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BA0A30" w14:textId="0657577B" w:rsidR="001B7CD5" w:rsidRDefault="001B7CD5" w:rsidP="001B7CD5">
      <w:pPr>
        <w:rPr>
          <w:rFonts w:ascii="TheSansB W6 SemiBold" w:eastAsia="Calibri" w:hAnsi="TheSansB W6 SemiBold" w:cs="Calibri"/>
          <w:b/>
          <w:bCs/>
          <w:color w:val="FFFFFF" w:themeColor="background1"/>
          <w:sz w:val="126"/>
          <w:szCs w:val="126"/>
        </w:rPr>
      </w:pPr>
      <w:bookmarkStart w:id="0" w:name="_GoBack"/>
      <w:bookmarkEnd w:id="0"/>
      <w:r w:rsidRPr="001B7CD5">
        <w:rPr>
          <w:noProof/>
          <w:color w:val="FFFFFF" w:themeColor="background1"/>
          <w:lang w:val="en-GB" w:eastAsia="en-GB"/>
        </w:rPr>
        <w:drawing>
          <wp:anchor distT="0" distB="0" distL="0" distR="0" simplePos="0" relativeHeight="485851136" behindDoc="0" locked="0" layoutInCell="1" allowOverlap="1" wp14:anchorId="2AAF69A7" wp14:editId="2674EA3C">
            <wp:simplePos x="0" y="0"/>
            <wp:positionH relativeFrom="page">
              <wp:posOffset>5316220</wp:posOffset>
            </wp:positionH>
            <wp:positionV relativeFrom="page">
              <wp:posOffset>922020</wp:posOffset>
            </wp:positionV>
            <wp:extent cx="1644650" cy="433070"/>
            <wp:effectExtent l="0" t="0" r="0" b="0"/>
            <wp:wrapNone/>
            <wp:docPr id="174"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png"/>
                    <pic:cNvPicPr/>
                  </pic:nvPicPr>
                  <pic:blipFill>
                    <a:blip r:embed="rId8" cstate="print"/>
                    <a:stretch>
                      <a:fillRect/>
                    </a:stretch>
                  </pic:blipFill>
                  <pic:spPr>
                    <a:xfrm>
                      <a:off x="0" y="0"/>
                      <a:ext cx="1644650" cy="433070"/>
                    </a:xfrm>
                    <a:prstGeom prst="rect">
                      <a:avLst/>
                    </a:prstGeom>
                  </pic:spPr>
                </pic:pic>
              </a:graphicData>
            </a:graphic>
          </wp:anchor>
        </w:drawing>
      </w:r>
      <w:r w:rsidRPr="001B7CD5">
        <w:rPr>
          <w:noProof/>
          <w:color w:val="FFFFFF" w:themeColor="background1"/>
          <w:lang w:val="en-GB" w:eastAsia="en-GB"/>
        </w:rPr>
        <mc:AlternateContent>
          <mc:Choice Requires="wpg">
            <w:drawing>
              <wp:anchor distT="0" distB="0" distL="114300" distR="114300" simplePos="0" relativeHeight="485850112" behindDoc="0" locked="0" layoutInCell="1" allowOverlap="1" wp14:anchorId="6E4ACCF8" wp14:editId="46A649BE">
                <wp:simplePos x="0" y="0"/>
                <wp:positionH relativeFrom="page">
                  <wp:posOffset>5316220</wp:posOffset>
                </wp:positionH>
                <wp:positionV relativeFrom="page">
                  <wp:posOffset>781685</wp:posOffset>
                </wp:positionV>
                <wp:extent cx="1641475" cy="64135"/>
                <wp:effectExtent l="0" t="0" r="0" b="0"/>
                <wp:wrapNone/>
                <wp:docPr id="171" name="docshapegroup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1475" cy="64135"/>
                          <a:chOff x="5467" y="14625"/>
                          <a:chExt cx="2585" cy="101"/>
                        </a:xfrm>
                      </wpg:grpSpPr>
                      <pic:pic xmlns:pic="http://schemas.openxmlformats.org/drawingml/2006/picture">
                        <pic:nvPicPr>
                          <pic:cNvPr id="172" name="docshape1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466" y="14624"/>
                            <a:ext cx="2517"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3" name="docshape162"/>
                        <wps:cNvSpPr>
                          <a:spLocks/>
                        </wps:cNvSpPr>
                        <wps:spPr bwMode="auto">
                          <a:xfrm>
                            <a:off x="6580" y="14624"/>
                            <a:ext cx="1471" cy="99"/>
                          </a:xfrm>
                          <a:custGeom>
                            <a:avLst/>
                            <a:gdLst>
                              <a:gd name="T0" fmla="+- 0 6612 6581"/>
                              <a:gd name="T1" fmla="*/ T0 w 1471"/>
                              <a:gd name="T2" fmla="+- 0 14625 14625"/>
                              <a:gd name="T3" fmla="*/ 14625 h 99"/>
                              <a:gd name="T4" fmla="+- 0 6581 6581"/>
                              <a:gd name="T5" fmla="*/ T4 w 1471"/>
                              <a:gd name="T6" fmla="+- 0 14625 14625"/>
                              <a:gd name="T7" fmla="*/ 14625 h 99"/>
                              <a:gd name="T8" fmla="+- 0 6581 6581"/>
                              <a:gd name="T9" fmla="*/ T8 w 1471"/>
                              <a:gd name="T10" fmla="+- 0 14638 14625"/>
                              <a:gd name="T11" fmla="*/ 14638 h 99"/>
                              <a:gd name="T12" fmla="+- 0 6612 6581"/>
                              <a:gd name="T13" fmla="*/ T12 w 1471"/>
                              <a:gd name="T14" fmla="+- 0 14638 14625"/>
                              <a:gd name="T15" fmla="*/ 14638 h 99"/>
                              <a:gd name="T16" fmla="+- 0 6612 6581"/>
                              <a:gd name="T17" fmla="*/ T16 w 1471"/>
                              <a:gd name="T18" fmla="+- 0 14625 14625"/>
                              <a:gd name="T19" fmla="*/ 14625 h 99"/>
                              <a:gd name="T20" fmla="+- 0 8052 6581"/>
                              <a:gd name="T21" fmla="*/ T20 w 1471"/>
                              <a:gd name="T22" fmla="+- 0 14649 14625"/>
                              <a:gd name="T23" fmla="*/ 14649 h 99"/>
                              <a:gd name="T24" fmla="+- 0 8008 6581"/>
                              <a:gd name="T25" fmla="*/ T24 w 1471"/>
                              <a:gd name="T26" fmla="+- 0 14649 14625"/>
                              <a:gd name="T27" fmla="*/ 14649 h 99"/>
                              <a:gd name="T28" fmla="+- 0 8008 6581"/>
                              <a:gd name="T29" fmla="*/ T28 w 1471"/>
                              <a:gd name="T30" fmla="+- 0 14660 14625"/>
                              <a:gd name="T31" fmla="*/ 14660 h 99"/>
                              <a:gd name="T32" fmla="+- 0 8012 6581"/>
                              <a:gd name="T33" fmla="*/ T32 w 1471"/>
                              <a:gd name="T34" fmla="+- 0 14661 14625"/>
                              <a:gd name="T35" fmla="*/ 14661 h 99"/>
                              <a:gd name="T36" fmla="+- 0 8017 6581"/>
                              <a:gd name="T37" fmla="*/ T36 w 1471"/>
                              <a:gd name="T38" fmla="+- 0 14662 14625"/>
                              <a:gd name="T39" fmla="*/ 14662 h 99"/>
                              <a:gd name="T40" fmla="+- 0 8021 6581"/>
                              <a:gd name="T41" fmla="*/ T40 w 1471"/>
                              <a:gd name="T42" fmla="+- 0 14662 14625"/>
                              <a:gd name="T43" fmla="*/ 14662 h 99"/>
                              <a:gd name="T44" fmla="+- 0 8021 6581"/>
                              <a:gd name="T45" fmla="*/ T44 w 1471"/>
                              <a:gd name="T46" fmla="+- 0 14711 14625"/>
                              <a:gd name="T47" fmla="*/ 14711 h 99"/>
                              <a:gd name="T48" fmla="+- 0 8017 6581"/>
                              <a:gd name="T49" fmla="*/ T48 w 1471"/>
                              <a:gd name="T50" fmla="+- 0 14711 14625"/>
                              <a:gd name="T51" fmla="*/ 14711 h 99"/>
                              <a:gd name="T52" fmla="+- 0 8012 6581"/>
                              <a:gd name="T53" fmla="*/ T52 w 1471"/>
                              <a:gd name="T54" fmla="+- 0 14712 14625"/>
                              <a:gd name="T55" fmla="*/ 14712 h 99"/>
                              <a:gd name="T56" fmla="+- 0 8008 6581"/>
                              <a:gd name="T57" fmla="*/ T56 w 1471"/>
                              <a:gd name="T58" fmla="+- 0 14713 14625"/>
                              <a:gd name="T59" fmla="*/ 14713 h 99"/>
                              <a:gd name="T60" fmla="+- 0 8008 6581"/>
                              <a:gd name="T61" fmla="*/ T60 w 1471"/>
                              <a:gd name="T62" fmla="+- 0 14724 14625"/>
                              <a:gd name="T63" fmla="*/ 14724 h 99"/>
                              <a:gd name="T64" fmla="+- 0 8052 6581"/>
                              <a:gd name="T65" fmla="*/ T64 w 1471"/>
                              <a:gd name="T66" fmla="+- 0 14724 14625"/>
                              <a:gd name="T67" fmla="*/ 14724 h 99"/>
                              <a:gd name="T68" fmla="+- 0 8052 6581"/>
                              <a:gd name="T69" fmla="*/ T68 w 1471"/>
                              <a:gd name="T70" fmla="+- 0 14713 14625"/>
                              <a:gd name="T71" fmla="*/ 14713 h 99"/>
                              <a:gd name="T72" fmla="+- 0 8048 6581"/>
                              <a:gd name="T73" fmla="*/ T72 w 1471"/>
                              <a:gd name="T74" fmla="+- 0 14712 14625"/>
                              <a:gd name="T75" fmla="*/ 14712 h 99"/>
                              <a:gd name="T76" fmla="+- 0 8043 6581"/>
                              <a:gd name="T77" fmla="*/ T76 w 1471"/>
                              <a:gd name="T78" fmla="+- 0 14711 14625"/>
                              <a:gd name="T79" fmla="*/ 14711 h 99"/>
                              <a:gd name="T80" fmla="+- 0 8039 6581"/>
                              <a:gd name="T81" fmla="*/ T80 w 1471"/>
                              <a:gd name="T82" fmla="+- 0 14711 14625"/>
                              <a:gd name="T83" fmla="*/ 14711 h 99"/>
                              <a:gd name="T84" fmla="+- 0 8039 6581"/>
                              <a:gd name="T85" fmla="*/ T84 w 1471"/>
                              <a:gd name="T86" fmla="+- 0 14662 14625"/>
                              <a:gd name="T87" fmla="*/ 14662 h 99"/>
                              <a:gd name="T88" fmla="+- 0 8043 6581"/>
                              <a:gd name="T89" fmla="*/ T88 w 1471"/>
                              <a:gd name="T90" fmla="+- 0 14662 14625"/>
                              <a:gd name="T91" fmla="*/ 14662 h 99"/>
                              <a:gd name="T92" fmla="+- 0 8048 6581"/>
                              <a:gd name="T93" fmla="*/ T92 w 1471"/>
                              <a:gd name="T94" fmla="+- 0 14661 14625"/>
                              <a:gd name="T95" fmla="*/ 14661 h 99"/>
                              <a:gd name="T96" fmla="+- 0 8052 6581"/>
                              <a:gd name="T97" fmla="*/ T96 w 1471"/>
                              <a:gd name="T98" fmla="+- 0 14660 14625"/>
                              <a:gd name="T99" fmla="*/ 14660 h 99"/>
                              <a:gd name="T100" fmla="+- 0 8052 6581"/>
                              <a:gd name="T101" fmla="*/ T100 w 1471"/>
                              <a:gd name="T102" fmla="+- 0 14649 14625"/>
                              <a:gd name="T103" fmla="*/ 14649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471" h="99">
                                <a:moveTo>
                                  <a:pt x="31" y="0"/>
                                </a:moveTo>
                                <a:lnTo>
                                  <a:pt x="0" y="0"/>
                                </a:lnTo>
                                <a:lnTo>
                                  <a:pt x="0" y="13"/>
                                </a:lnTo>
                                <a:lnTo>
                                  <a:pt x="31" y="13"/>
                                </a:lnTo>
                                <a:lnTo>
                                  <a:pt x="31" y="0"/>
                                </a:lnTo>
                                <a:close/>
                                <a:moveTo>
                                  <a:pt x="1471" y="24"/>
                                </a:moveTo>
                                <a:lnTo>
                                  <a:pt x="1427" y="24"/>
                                </a:lnTo>
                                <a:lnTo>
                                  <a:pt x="1427" y="35"/>
                                </a:lnTo>
                                <a:lnTo>
                                  <a:pt x="1431" y="36"/>
                                </a:lnTo>
                                <a:lnTo>
                                  <a:pt x="1436" y="37"/>
                                </a:lnTo>
                                <a:lnTo>
                                  <a:pt x="1440" y="37"/>
                                </a:lnTo>
                                <a:lnTo>
                                  <a:pt x="1440" y="86"/>
                                </a:lnTo>
                                <a:lnTo>
                                  <a:pt x="1436" y="86"/>
                                </a:lnTo>
                                <a:lnTo>
                                  <a:pt x="1431" y="87"/>
                                </a:lnTo>
                                <a:lnTo>
                                  <a:pt x="1427" y="88"/>
                                </a:lnTo>
                                <a:lnTo>
                                  <a:pt x="1427" y="99"/>
                                </a:lnTo>
                                <a:lnTo>
                                  <a:pt x="1471" y="99"/>
                                </a:lnTo>
                                <a:lnTo>
                                  <a:pt x="1471" y="88"/>
                                </a:lnTo>
                                <a:lnTo>
                                  <a:pt x="1467" y="87"/>
                                </a:lnTo>
                                <a:lnTo>
                                  <a:pt x="1462" y="86"/>
                                </a:lnTo>
                                <a:lnTo>
                                  <a:pt x="1458" y="86"/>
                                </a:lnTo>
                                <a:lnTo>
                                  <a:pt x="1458" y="37"/>
                                </a:lnTo>
                                <a:lnTo>
                                  <a:pt x="1462" y="37"/>
                                </a:lnTo>
                                <a:lnTo>
                                  <a:pt x="1467" y="36"/>
                                </a:lnTo>
                                <a:lnTo>
                                  <a:pt x="1471" y="35"/>
                                </a:lnTo>
                                <a:lnTo>
                                  <a:pt x="1471" y="2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34A0113" id="docshapegroup160" o:spid="_x0000_s1026" style="position:absolute;margin-left:418.6pt;margin-top:61.55pt;width:129.25pt;height:5.05pt;z-index:485850112;mso-position-horizontal-relative:page;mso-position-vertical-relative:page" coordorigin="5467,14625" coordsize="2585,1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61" o:spid="_x0000_s1027" type="#_x0000_t75" style="position:absolute;left:5466;top:14624;width:2517;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">
                  <v:imagedata r:id="rId14" o:title=""/>
                </v:shape>
                <v:shape id="docshape162" o:spid="_x0000_s1028" style="position:absolute;left:6580;top:14624;width:1471;height:99;visibility:visible;mso-wrap-style:square;v-text-anchor:top" coordsize="147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" path="m31,l,,,13r31,l31,xm1471,24r-44,l1427,35r4,1l1436,37r4,l1440,86r-4,l1431,87r-4,1l1427,99r44,l1471,88r-4,-1l1462,86r-4,l1458,37r4,l1467,36r4,-1l1471,24xe" stroked="f">
                  <v:path arrowok="t" o:connecttype="custom" o:connectlocs="31,14625;0,14625;0,14638;31,14638;31,14625;1471,14649;1427,14649;1427,14660;1431,14661;1436,14662;1440,14662;1440,14711;1436,14711;1431,14712;1427,14713;1427,14724;1471,14724;1471,14713;1467,14712;1462,14711;1458,14711;1458,14662;1462,14662;1467,14661;1471,14660;1471,14649" o:connectangles="0,0,0,0,0,0,0,0,0,0,0,0,0,0,0,0,0,0,0,0,0,0,0,0,0,0"/>
                </v:shape>
                <w10:wrap anchorx="page" anchory="page"/>
              </v:group>
            </w:pict>
          </mc:Fallback>
        </mc:AlternateContent>
      </w:r>
      <w:r w:rsidRPr="001B7CD5">
        <w:rPr>
          <w:noProof/>
          <w:color w:val="FFFFFF" w:themeColor="background1"/>
          <w:lang w:val="en-GB" w:eastAsia="en-GB"/>
        </w:rPr>
        <mc:AlternateContent>
          <mc:Choice Requires="wps">
            <w:drawing>
              <wp:anchor distT="0" distB="0" distL="114300" distR="114300" simplePos="0" relativeHeight="485849088" behindDoc="0" locked="0" layoutInCell="1" allowOverlap="1" wp14:anchorId="7467DD67" wp14:editId="4FA5C163">
                <wp:simplePos x="0" y="0"/>
                <wp:positionH relativeFrom="page">
                  <wp:posOffset>4467225</wp:posOffset>
                </wp:positionH>
                <wp:positionV relativeFrom="page">
                  <wp:posOffset>706755</wp:posOffset>
                </wp:positionV>
                <wp:extent cx="742950" cy="748030"/>
                <wp:effectExtent l="0" t="0" r="0" b="0"/>
                <wp:wrapNone/>
                <wp:docPr id="170" name="docshape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2950" cy="748030"/>
                        </a:xfrm>
                        <a:custGeom>
                          <a:avLst/>
                          <a:gdLst>
                            <a:gd name="T0" fmla="+- 0 4854 4130"/>
                            <a:gd name="T1" fmla="*/ T0 w 1170"/>
                            <a:gd name="T2" fmla="+- 0 15629 14507"/>
                            <a:gd name="T3" fmla="*/ 15629 h 1178"/>
                            <a:gd name="T4" fmla="+- 0 4623 4130"/>
                            <a:gd name="T5" fmla="*/ T4 w 1170"/>
                            <a:gd name="T6" fmla="+- 0 15681 14507"/>
                            <a:gd name="T7" fmla="*/ 15681 h 1178"/>
                            <a:gd name="T8" fmla="+- 0 4849 4130"/>
                            <a:gd name="T9" fmla="*/ T8 w 1170"/>
                            <a:gd name="T10" fmla="+- 0 15669 14507"/>
                            <a:gd name="T11" fmla="*/ 15669 h 1178"/>
                            <a:gd name="T12" fmla="+- 0 5149 4130"/>
                            <a:gd name="T13" fmla="*/ T12 w 1170"/>
                            <a:gd name="T14" fmla="+- 0 15501 14507"/>
                            <a:gd name="T15" fmla="*/ 15501 h 1178"/>
                            <a:gd name="T16" fmla="+- 0 4465 4130"/>
                            <a:gd name="T17" fmla="*/ T16 w 1170"/>
                            <a:gd name="T18" fmla="+- 0 14553 14507"/>
                            <a:gd name="T19" fmla="*/ 14553 h 1178"/>
                            <a:gd name="T20" fmla="+- 0 4200 4130"/>
                            <a:gd name="T21" fmla="*/ T20 w 1170"/>
                            <a:gd name="T22" fmla="+- 0 14791 14507"/>
                            <a:gd name="T23" fmla="*/ 14791 h 1178"/>
                            <a:gd name="T24" fmla="+- 0 4136 4130"/>
                            <a:gd name="T25" fmla="*/ T24 w 1170"/>
                            <a:gd name="T26" fmla="+- 0 15151 14507"/>
                            <a:gd name="T27" fmla="*/ 15151 h 1178"/>
                            <a:gd name="T28" fmla="+- 0 4308 4130"/>
                            <a:gd name="T29" fmla="*/ T28 w 1170"/>
                            <a:gd name="T30" fmla="+- 0 15435 14507"/>
                            <a:gd name="T31" fmla="*/ 15435 h 1178"/>
                            <a:gd name="T32" fmla="+- 0 4600 4130"/>
                            <a:gd name="T33" fmla="*/ T32 w 1170"/>
                            <a:gd name="T34" fmla="+- 0 15525 14507"/>
                            <a:gd name="T35" fmla="*/ 15525 h 1178"/>
                            <a:gd name="T36" fmla="+- 0 4830 4130"/>
                            <a:gd name="T37" fmla="*/ T36 w 1170"/>
                            <a:gd name="T38" fmla="+- 0 15449 14507"/>
                            <a:gd name="T39" fmla="*/ 15449 h 1178"/>
                            <a:gd name="T40" fmla="+- 0 4331 4130"/>
                            <a:gd name="T41" fmla="*/ T40 w 1170"/>
                            <a:gd name="T42" fmla="+- 0 15355 14507"/>
                            <a:gd name="T43" fmla="*/ 15355 h 1178"/>
                            <a:gd name="T44" fmla="+- 0 4212 4130"/>
                            <a:gd name="T45" fmla="*/ T44 w 1170"/>
                            <a:gd name="T46" fmla="+- 0 14993 14507"/>
                            <a:gd name="T47" fmla="*/ 14993 h 1178"/>
                            <a:gd name="T48" fmla="+- 0 4398 4130"/>
                            <a:gd name="T49" fmla="*/ T48 w 1170"/>
                            <a:gd name="T50" fmla="+- 0 14677 14507"/>
                            <a:gd name="T51" fmla="*/ 14677 h 1178"/>
                            <a:gd name="T52" fmla="+- 0 5003 4130"/>
                            <a:gd name="T53" fmla="*/ T52 w 1170"/>
                            <a:gd name="T54" fmla="+- 0 14583 14507"/>
                            <a:gd name="T55" fmla="*/ 14583 h 1178"/>
                            <a:gd name="T56" fmla="+- 0 4706 4130"/>
                            <a:gd name="T57" fmla="*/ T56 w 1170"/>
                            <a:gd name="T58" fmla="+- 0 14507 14507"/>
                            <a:gd name="T59" fmla="*/ 14507 h 1178"/>
                            <a:gd name="T60" fmla="+- 0 4947 4130"/>
                            <a:gd name="T61" fmla="*/ T60 w 1170"/>
                            <a:gd name="T62" fmla="+- 0 15421 14507"/>
                            <a:gd name="T63" fmla="*/ 15421 h 1178"/>
                            <a:gd name="T64" fmla="+- 0 5026 4130"/>
                            <a:gd name="T65" fmla="*/ T64 w 1170"/>
                            <a:gd name="T66" fmla="+- 0 15499 14507"/>
                            <a:gd name="T67" fmla="*/ 15499 h 1178"/>
                            <a:gd name="T68" fmla="+- 0 5097 4130"/>
                            <a:gd name="T69" fmla="*/ T68 w 1170"/>
                            <a:gd name="T70" fmla="+- 0 15403 14507"/>
                            <a:gd name="T71" fmla="*/ 15403 h 1178"/>
                            <a:gd name="T72" fmla="+- 0 4696 4130"/>
                            <a:gd name="T73" fmla="*/ T72 w 1170"/>
                            <a:gd name="T74" fmla="+- 0 14649 14507"/>
                            <a:gd name="T75" fmla="*/ 14649 h 1178"/>
                            <a:gd name="T76" fmla="+- 0 4390 4130"/>
                            <a:gd name="T77" fmla="*/ T76 w 1170"/>
                            <a:gd name="T78" fmla="+- 0 14755 14507"/>
                            <a:gd name="T79" fmla="*/ 14755 h 1178"/>
                            <a:gd name="T80" fmla="+- 0 4246 4130"/>
                            <a:gd name="T81" fmla="*/ T80 w 1170"/>
                            <a:gd name="T82" fmla="+- 0 15085 14507"/>
                            <a:gd name="T83" fmla="*/ 15085 h 1178"/>
                            <a:gd name="T84" fmla="+- 0 4433 4130"/>
                            <a:gd name="T85" fmla="*/ T84 w 1170"/>
                            <a:gd name="T86" fmla="+- 0 15405 14507"/>
                            <a:gd name="T87" fmla="*/ 15405 h 1178"/>
                            <a:gd name="T88" fmla="+- 0 4895 4130"/>
                            <a:gd name="T89" fmla="*/ T88 w 1170"/>
                            <a:gd name="T90" fmla="+- 0 15377 14507"/>
                            <a:gd name="T91" fmla="*/ 15377 h 1178"/>
                            <a:gd name="T92" fmla="+- 0 4357 4130"/>
                            <a:gd name="T93" fmla="*/ T92 w 1170"/>
                            <a:gd name="T94" fmla="+- 0 15235 14507"/>
                            <a:gd name="T95" fmla="*/ 15235 h 1178"/>
                            <a:gd name="T96" fmla="+- 0 4405 4130"/>
                            <a:gd name="T97" fmla="*/ T96 w 1170"/>
                            <a:gd name="T98" fmla="+- 0 15143 14507"/>
                            <a:gd name="T99" fmla="*/ 15143 h 1178"/>
                            <a:gd name="T100" fmla="+- 0 4322 4130"/>
                            <a:gd name="T101" fmla="*/ T100 w 1170"/>
                            <a:gd name="T102" fmla="+- 0 15099 14507"/>
                            <a:gd name="T103" fmla="*/ 15099 h 1178"/>
                            <a:gd name="T104" fmla="+- 0 4334 4130"/>
                            <a:gd name="T105" fmla="*/ T104 w 1170"/>
                            <a:gd name="T106" fmla="+- 0 14983 14507"/>
                            <a:gd name="T107" fmla="*/ 14983 h 1178"/>
                            <a:gd name="T108" fmla="+- 0 4471 4130"/>
                            <a:gd name="T109" fmla="*/ T108 w 1170"/>
                            <a:gd name="T110" fmla="+- 0 14887 14507"/>
                            <a:gd name="T111" fmla="*/ 14887 h 1178"/>
                            <a:gd name="T112" fmla="+- 0 4466 4130"/>
                            <a:gd name="T113" fmla="*/ T112 w 1170"/>
                            <a:gd name="T114" fmla="+- 0 14791 14507"/>
                            <a:gd name="T115" fmla="*/ 14791 h 1178"/>
                            <a:gd name="T116" fmla="+- 0 4982 4130"/>
                            <a:gd name="T117" fmla="*/ T116 w 1170"/>
                            <a:gd name="T118" fmla="+- 0 14729 14507"/>
                            <a:gd name="T119" fmla="*/ 14729 h 1178"/>
                            <a:gd name="T120" fmla="+- 0 4696 4130"/>
                            <a:gd name="T121" fmla="*/ T120 w 1170"/>
                            <a:gd name="T122" fmla="+- 0 14649 14507"/>
                            <a:gd name="T123" fmla="*/ 14649 h 1178"/>
                            <a:gd name="T124" fmla="+- 0 5115 4130"/>
                            <a:gd name="T125" fmla="*/ T124 w 1170"/>
                            <a:gd name="T126" fmla="+- 0 15365 14507"/>
                            <a:gd name="T127" fmla="*/ 15365 h 1178"/>
                            <a:gd name="T128" fmla="+- 0 5282 4130"/>
                            <a:gd name="T129" fmla="*/ T128 w 1170"/>
                            <a:gd name="T130" fmla="+- 0 15249 14507"/>
                            <a:gd name="T131" fmla="*/ 15249 h 1178"/>
                            <a:gd name="T132" fmla="+- 0 4489 4130"/>
                            <a:gd name="T133" fmla="*/ T132 w 1170"/>
                            <a:gd name="T134" fmla="+- 0 15117 14507"/>
                            <a:gd name="T135" fmla="*/ 15117 h 1178"/>
                            <a:gd name="T136" fmla="+- 0 4452 4130"/>
                            <a:gd name="T137" fmla="*/ T136 w 1170"/>
                            <a:gd name="T138" fmla="+- 0 15327 14507"/>
                            <a:gd name="T139" fmla="*/ 15327 h 1178"/>
                            <a:gd name="T140" fmla="+- 0 4913 4130"/>
                            <a:gd name="T141" fmla="*/ T140 w 1170"/>
                            <a:gd name="T142" fmla="+- 0 15183 14507"/>
                            <a:gd name="T143" fmla="*/ 15183 h 1178"/>
                            <a:gd name="T144" fmla="+- 0 5107 4130"/>
                            <a:gd name="T145" fmla="*/ T144 w 1170"/>
                            <a:gd name="T146" fmla="+- 0 15085 14507"/>
                            <a:gd name="T147" fmla="*/ 15085 h 1178"/>
                            <a:gd name="T148" fmla="+- 0 5000 4130"/>
                            <a:gd name="T149" fmla="*/ T148 w 1170"/>
                            <a:gd name="T150" fmla="+- 0 15175 14507"/>
                            <a:gd name="T151" fmla="*/ 15175 h 1178"/>
                            <a:gd name="T152" fmla="+- 0 5106 4130"/>
                            <a:gd name="T153" fmla="*/ T152 w 1170"/>
                            <a:gd name="T154" fmla="+- 0 15265 14507"/>
                            <a:gd name="T155" fmla="*/ 15265 h 1178"/>
                            <a:gd name="T156" fmla="+- 0 5295 4130"/>
                            <a:gd name="T157" fmla="*/ T156 w 1170"/>
                            <a:gd name="T158" fmla="+- 0 15173 14507"/>
                            <a:gd name="T159" fmla="*/ 15173 h 1178"/>
                            <a:gd name="T160" fmla="+- 0 5107 4130"/>
                            <a:gd name="T161" fmla="*/ T160 w 1170"/>
                            <a:gd name="T162" fmla="+- 0 15085 14507"/>
                            <a:gd name="T163" fmla="*/ 15085 h 1178"/>
                            <a:gd name="T164" fmla="+- 0 4359 4130"/>
                            <a:gd name="T165" fmla="*/ T164 w 1170"/>
                            <a:gd name="T166" fmla="+- 0 15187 14507"/>
                            <a:gd name="T167" fmla="*/ 15187 h 1178"/>
                            <a:gd name="T168" fmla="+- 0 4339 4130"/>
                            <a:gd name="T169" fmla="*/ T168 w 1170"/>
                            <a:gd name="T170" fmla="+- 0 15103 14507"/>
                            <a:gd name="T171" fmla="*/ 15103 h 1178"/>
                            <a:gd name="T172" fmla="+- 0 4377 4130"/>
                            <a:gd name="T173" fmla="*/ T172 w 1170"/>
                            <a:gd name="T174" fmla="+- 0 15101 14507"/>
                            <a:gd name="T175" fmla="*/ 15101 h 1178"/>
                            <a:gd name="T176" fmla="+- 0 5124 4130"/>
                            <a:gd name="T177" fmla="*/ T176 w 1170"/>
                            <a:gd name="T178" fmla="+- 0 15009 14507"/>
                            <a:gd name="T179" fmla="*/ 15009 h 1178"/>
                            <a:gd name="T180" fmla="+- 0 5224 4130"/>
                            <a:gd name="T181" fmla="*/ T180 w 1170"/>
                            <a:gd name="T182" fmla="+- 0 15095 14507"/>
                            <a:gd name="T183" fmla="*/ 15095 h 1178"/>
                            <a:gd name="T184" fmla="+- 0 4707 4130"/>
                            <a:gd name="T185" fmla="*/ T184 w 1170"/>
                            <a:gd name="T186" fmla="+- 0 14583 14507"/>
                            <a:gd name="T187" fmla="*/ 14583 h 1178"/>
                            <a:gd name="T188" fmla="+- 0 5062 4130"/>
                            <a:gd name="T189" fmla="*/ T188 w 1170"/>
                            <a:gd name="T190" fmla="+- 0 14715 14507"/>
                            <a:gd name="T191" fmla="*/ 14715 h 1178"/>
                            <a:gd name="T192" fmla="+- 0 5224 4130"/>
                            <a:gd name="T193" fmla="*/ T192 w 1170"/>
                            <a:gd name="T194" fmla="+- 0 15091 14507"/>
                            <a:gd name="T195" fmla="*/ 15091 h 1178"/>
                            <a:gd name="T196" fmla="+- 0 5280 4130"/>
                            <a:gd name="T197" fmla="*/ T196 w 1170"/>
                            <a:gd name="T198" fmla="+- 0 14929 14507"/>
                            <a:gd name="T199" fmla="*/ 14929 h 1178"/>
                            <a:gd name="T200" fmla="+- 0 5086 4130"/>
                            <a:gd name="T201" fmla="*/ T200 w 1170"/>
                            <a:gd name="T202" fmla="+- 0 14637 14507"/>
                            <a:gd name="T203" fmla="*/ 14637 h 1178"/>
                            <a:gd name="T204" fmla="+- 0 4347 4130"/>
                            <a:gd name="T205" fmla="*/ T204 w 1170"/>
                            <a:gd name="T206" fmla="+- 0 15003 14507"/>
                            <a:gd name="T207" fmla="*/ 15003 h 1178"/>
                            <a:gd name="T208" fmla="+- 0 4471 4130"/>
                            <a:gd name="T209" fmla="*/ T208 w 1170"/>
                            <a:gd name="T210" fmla="+- 0 15007 14507"/>
                            <a:gd name="T211" fmla="*/ 15007 h 1178"/>
                            <a:gd name="T212" fmla="+- 0 4856 4130"/>
                            <a:gd name="T213" fmla="*/ T212 w 1170"/>
                            <a:gd name="T214" fmla="+- 0 14753 14507"/>
                            <a:gd name="T215" fmla="*/ 14753 h 1178"/>
                            <a:gd name="T216" fmla="+- 0 4857 4130"/>
                            <a:gd name="T217" fmla="*/ T216 w 1170"/>
                            <a:gd name="T218" fmla="+- 0 14869 14507"/>
                            <a:gd name="T219" fmla="*/ 14869 h 1178"/>
                            <a:gd name="T220" fmla="+- 0 4966 4130"/>
                            <a:gd name="T221" fmla="*/ T220 w 1170"/>
                            <a:gd name="T222" fmla="+- 0 15027 14507"/>
                            <a:gd name="T223" fmla="*/ 15027 h 1178"/>
                            <a:gd name="T224" fmla="+- 0 5170 4130"/>
                            <a:gd name="T225" fmla="*/ T224 w 1170"/>
                            <a:gd name="T226" fmla="+- 0 14925 14507"/>
                            <a:gd name="T227" fmla="*/ 14925 h 1178"/>
                            <a:gd name="T228" fmla="+- 0 4770 4130"/>
                            <a:gd name="T229" fmla="*/ T228 w 1170"/>
                            <a:gd name="T230" fmla="+- 0 14747 14507"/>
                            <a:gd name="T231" fmla="*/ 14747 h 1178"/>
                            <a:gd name="T232" fmla="+- 0 4541 4130"/>
                            <a:gd name="T233" fmla="*/ T232 w 1170"/>
                            <a:gd name="T234" fmla="+- 0 14807 14507"/>
                            <a:gd name="T235" fmla="*/ 14807 h 1178"/>
                            <a:gd name="T236" fmla="+- 0 4712 4130"/>
                            <a:gd name="T237" fmla="*/ T236 w 1170"/>
                            <a:gd name="T238" fmla="+- 0 14919 14507"/>
                            <a:gd name="T239" fmla="*/ 14919 h 1178"/>
                            <a:gd name="T240" fmla="+- 0 4780 4130"/>
                            <a:gd name="T241" fmla="*/ T240 w 1170"/>
                            <a:gd name="T242" fmla="+- 0 14765 14507"/>
                            <a:gd name="T243" fmla="*/ 14765 h 1178"/>
                            <a:gd name="T244" fmla="+- 0 4422 4130"/>
                            <a:gd name="T245" fmla="*/ T244 w 1170"/>
                            <a:gd name="T246" fmla="+- 0 14863 14507"/>
                            <a:gd name="T247" fmla="*/ 14863 h 11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170" h="1178">
                              <a:moveTo>
                                <a:pt x="1022" y="990"/>
                              </a:moveTo>
                              <a:lnTo>
                                <a:pt x="901" y="990"/>
                              </a:lnTo>
                              <a:lnTo>
                                <a:pt x="849" y="1042"/>
                              </a:lnTo>
                              <a:lnTo>
                                <a:pt x="790" y="1086"/>
                              </a:lnTo>
                              <a:lnTo>
                                <a:pt x="724" y="1122"/>
                              </a:lnTo>
                              <a:lnTo>
                                <a:pt x="653" y="1148"/>
                              </a:lnTo>
                              <a:lnTo>
                                <a:pt x="577" y="1166"/>
                              </a:lnTo>
                              <a:lnTo>
                                <a:pt x="497" y="1170"/>
                              </a:lnTo>
                              <a:lnTo>
                                <a:pt x="494" y="1170"/>
                              </a:lnTo>
                              <a:lnTo>
                                <a:pt x="493" y="1174"/>
                              </a:lnTo>
                              <a:lnTo>
                                <a:pt x="496" y="1174"/>
                              </a:lnTo>
                              <a:lnTo>
                                <a:pt x="532" y="1178"/>
                              </a:lnTo>
                              <a:lnTo>
                                <a:pt x="572" y="1178"/>
                              </a:lnTo>
                              <a:lnTo>
                                <a:pt x="647" y="1174"/>
                              </a:lnTo>
                              <a:lnTo>
                                <a:pt x="719" y="1162"/>
                              </a:lnTo>
                              <a:lnTo>
                                <a:pt x="788" y="1144"/>
                              </a:lnTo>
                              <a:lnTo>
                                <a:pt x="853" y="1116"/>
                              </a:lnTo>
                              <a:lnTo>
                                <a:pt x="913" y="1082"/>
                              </a:lnTo>
                              <a:lnTo>
                                <a:pt x="969" y="1042"/>
                              </a:lnTo>
                              <a:lnTo>
                                <a:pt x="1019" y="994"/>
                              </a:lnTo>
                              <a:lnTo>
                                <a:pt x="1022" y="990"/>
                              </a:lnTo>
                              <a:close/>
                              <a:moveTo>
                                <a:pt x="576" y="0"/>
                              </a:moveTo>
                              <a:lnTo>
                                <a:pt x="490" y="6"/>
                              </a:lnTo>
                              <a:lnTo>
                                <a:pt x="409" y="22"/>
                              </a:lnTo>
                              <a:lnTo>
                                <a:pt x="335" y="46"/>
                              </a:lnTo>
                              <a:lnTo>
                                <a:pt x="268" y="80"/>
                              </a:lnTo>
                              <a:lnTo>
                                <a:pt x="207" y="122"/>
                              </a:lnTo>
                              <a:lnTo>
                                <a:pt x="154" y="170"/>
                              </a:lnTo>
                              <a:lnTo>
                                <a:pt x="108" y="224"/>
                              </a:lnTo>
                              <a:lnTo>
                                <a:pt x="70" y="284"/>
                              </a:lnTo>
                              <a:lnTo>
                                <a:pt x="40" y="348"/>
                              </a:lnTo>
                              <a:lnTo>
                                <a:pt x="18" y="418"/>
                              </a:lnTo>
                              <a:lnTo>
                                <a:pt x="5" y="488"/>
                              </a:lnTo>
                              <a:lnTo>
                                <a:pt x="0" y="562"/>
                              </a:lnTo>
                              <a:lnTo>
                                <a:pt x="6" y="644"/>
                              </a:lnTo>
                              <a:lnTo>
                                <a:pt x="23" y="716"/>
                              </a:lnTo>
                              <a:lnTo>
                                <a:pt x="51" y="780"/>
                              </a:lnTo>
                              <a:lnTo>
                                <a:pt x="86" y="838"/>
                              </a:lnTo>
                              <a:lnTo>
                                <a:pt x="129" y="886"/>
                              </a:lnTo>
                              <a:lnTo>
                                <a:pt x="178" y="928"/>
                              </a:lnTo>
                              <a:lnTo>
                                <a:pt x="232" y="960"/>
                              </a:lnTo>
                              <a:lnTo>
                                <a:pt x="290" y="986"/>
                              </a:lnTo>
                              <a:lnTo>
                                <a:pt x="349" y="1004"/>
                              </a:lnTo>
                              <a:lnTo>
                                <a:pt x="410" y="1016"/>
                              </a:lnTo>
                              <a:lnTo>
                                <a:pt x="470" y="1018"/>
                              </a:lnTo>
                              <a:lnTo>
                                <a:pt x="529" y="1014"/>
                              </a:lnTo>
                              <a:lnTo>
                                <a:pt x="585" y="1002"/>
                              </a:lnTo>
                              <a:lnTo>
                                <a:pt x="636" y="982"/>
                              </a:lnTo>
                              <a:lnTo>
                                <a:pt x="683" y="956"/>
                              </a:lnTo>
                              <a:lnTo>
                                <a:pt x="700" y="942"/>
                              </a:lnTo>
                              <a:lnTo>
                                <a:pt x="418" y="942"/>
                              </a:lnTo>
                              <a:lnTo>
                                <a:pt x="359" y="930"/>
                              </a:lnTo>
                              <a:lnTo>
                                <a:pt x="302" y="910"/>
                              </a:lnTo>
                              <a:lnTo>
                                <a:pt x="248" y="884"/>
                              </a:lnTo>
                              <a:lnTo>
                                <a:pt x="201" y="848"/>
                              </a:lnTo>
                              <a:lnTo>
                                <a:pt x="147" y="792"/>
                              </a:lnTo>
                              <a:lnTo>
                                <a:pt x="108" y="724"/>
                              </a:lnTo>
                              <a:lnTo>
                                <a:pt x="84" y="648"/>
                              </a:lnTo>
                              <a:lnTo>
                                <a:pt x="76" y="562"/>
                              </a:lnTo>
                              <a:lnTo>
                                <a:pt x="82" y="486"/>
                              </a:lnTo>
                              <a:lnTo>
                                <a:pt x="98" y="412"/>
                              </a:lnTo>
                              <a:lnTo>
                                <a:pt x="125" y="342"/>
                              </a:lnTo>
                              <a:lnTo>
                                <a:pt x="162" y="280"/>
                              </a:lnTo>
                              <a:lnTo>
                                <a:pt x="209" y="222"/>
                              </a:lnTo>
                              <a:lnTo>
                                <a:pt x="268" y="170"/>
                              </a:lnTo>
                              <a:lnTo>
                                <a:pt x="335" y="130"/>
                              </a:lnTo>
                              <a:lnTo>
                                <a:pt x="409" y="100"/>
                              </a:lnTo>
                              <a:lnTo>
                                <a:pt x="490" y="82"/>
                              </a:lnTo>
                              <a:lnTo>
                                <a:pt x="576" y="76"/>
                              </a:lnTo>
                              <a:lnTo>
                                <a:pt x="873" y="76"/>
                              </a:lnTo>
                              <a:lnTo>
                                <a:pt x="839" y="58"/>
                              </a:lnTo>
                              <a:lnTo>
                                <a:pt x="776" y="34"/>
                              </a:lnTo>
                              <a:lnTo>
                                <a:pt x="711" y="16"/>
                              </a:lnTo>
                              <a:lnTo>
                                <a:pt x="644" y="4"/>
                              </a:lnTo>
                              <a:lnTo>
                                <a:pt x="576" y="0"/>
                              </a:lnTo>
                              <a:close/>
                              <a:moveTo>
                                <a:pt x="893" y="838"/>
                              </a:moveTo>
                              <a:lnTo>
                                <a:pt x="864" y="844"/>
                              </a:lnTo>
                              <a:lnTo>
                                <a:pt x="839" y="860"/>
                              </a:lnTo>
                              <a:lnTo>
                                <a:pt x="823" y="884"/>
                              </a:lnTo>
                              <a:lnTo>
                                <a:pt x="817" y="914"/>
                              </a:lnTo>
                              <a:lnTo>
                                <a:pt x="823" y="944"/>
                              </a:lnTo>
                              <a:lnTo>
                                <a:pt x="839" y="968"/>
                              </a:lnTo>
                              <a:lnTo>
                                <a:pt x="863" y="984"/>
                              </a:lnTo>
                              <a:lnTo>
                                <a:pt x="893" y="992"/>
                              </a:lnTo>
                              <a:lnTo>
                                <a:pt x="896" y="992"/>
                              </a:lnTo>
                              <a:lnTo>
                                <a:pt x="899" y="990"/>
                              </a:lnTo>
                              <a:lnTo>
                                <a:pt x="1022" y="990"/>
                              </a:lnTo>
                              <a:lnTo>
                                <a:pt x="1062" y="940"/>
                              </a:lnTo>
                              <a:lnTo>
                                <a:pt x="1090" y="896"/>
                              </a:lnTo>
                              <a:lnTo>
                                <a:pt x="967" y="896"/>
                              </a:lnTo>
                              <a:lnTo>
                                <a:pt x="957" y="872"/>
                              </a:lnTo>
                              <a:lnTo>
                                <a:pt x="940" y="854"/>
                              </a:lnTo>
                              <a:lnTo>
                                <a:pt x="919" y="842"/>
                              </a:lnTo>
                              <a:lnTo>
                                <a:pt x="893" y="838"/>
                              </a:lnTo>
                              <a:close/>
                              <a:moveTo>
                                <a:pt x="566" y="142"/>
                              </a:moveTo>
                              <a:lnTo>
                                <a:pt x="501" y="146"/>
                              </a:lnTo>
                              <a:lnTo>
                                <a:pt x="436" y="158"/>
                              </a:lnTo>
                              <a:lnTo>
                                <a:pt x="373" y="180"/>
                              </a:lnTo>
                              <a:lnTo>
                                <a:pt x="314" y="210"/>
                              </a:lnTo>
                              <a:lnTo>
                                <a:pt x="260" y="248"/>
                              </a:lnTo>
                              <a:lnTo>
                                <a:pt x="213" y="296"/>
                              </a:lnTo>
                              <a:lnTo>
                                <a:pt x="173" y="352"/>
                              </a:lnTo>
                              <a:lnTo>
                                <a:pt x="142" y="418"/>
                              </a:lnTo>
                              <a:lnTo>
                                <a:pt x="123" y="494"/>
                              </a:lnTo>
                              <a:lnTo>
                                <a:pt x="116" y="578"/>
                              </a:lnTo>
                              <a:lnTo>
                                <a:pt x="126" y="676"/>
                              </a:lnTo>
                              <a:lnTo>
                                <a:pt x="153" y="754"/>
                              </a:lnTo>
                              <a:lnTo>
                                <a:pt x="194" y="816"/>
                              </a:lnTo>
                              <a:lnTo>
                                <a:pt x="246" y="862"/>
                              </a:lnTo>
                              <a:lnTo>
                                <a:pt x="303" y="898"/>
                              </a:lnTo>
                              <a:lnTo>
                                <a:pt x="362" y="924"/>
                              </a:lnTo>
                              <a:lnTo>
                                <a:pt x="418" y="942"/>
                              </a:lnTo>
                              <a:lnTo>
                                <a:pt x="700" y="942"/>
                              </a:lnTo>
                              <a:lnTo>
                                <a:pt x="729" y="918"/>
                              </a:lnTo>
                              <a:lnTo>
                                <a:pt x="765" y="870"/>
                              </a:lnTo>
                              <a:lnTo>
                                <a:pt x="777" y="840"/>
                              </a:lnTo>
                              <a:lnTo>
                                <a:pt x="329" y="840"/>
                              </a:lnTo>
                              <a:lnTo>
                                <a:pt x="289" y="814"/>
                              </a:lnTo>
                              <a:lnTo>
                                <a:pt x="255" y="774"/>
                              </a:lnTo>
                              <a:lnTo>
                                <a:pt x="227" y="728"/>
                              </a:lnTo>
                              <a:lnTo>
                                <a:pt x="207" y="674"/>
                              </a:lnTo>
                              <a:lnTo>
                                <a:pt x="253" y="674"/>
                              </a:lnTo>
                              <a:lnTo>
                                <a:pt x="261" y="668"/>
                              </a:lnTo>
                              <a:lnTo>
                                <a:pt x="271" y="654"/>
                              </a:lnTo>
                              <a:lnTo>
                                <a:pt x="275" y="636"/>
                              </a:lnTo>
                              <a:lnTo>
                                <a:pt x="271" y="618"/>
                              </a:lnTo>
                              <a:lnTo>
                                <a:pt x="264" y="608"/>
                              </a:lnTo>
                              <a:lnTo>
                                <a:pt x="193" y="608"/>
                              </a:lnTo>
                              <a:lnTo>
                                <a:pt x="192" y="598"/>
                              </a:lnTo>
                              <a:lnTo>
                                <a:pt x="192" y="592"/>
                              </a:lnTo>
                              <a:lnTo>
                                <a:pt x="192" y="578"/>
                              </a:lnTo>
                              <a:lnTo>
                                <a:pt x="193" y="552"/>
                              </a:lnTo>
                              <a:lnTo>
                                <a:pt x="195" y="526"/>
                              </a:lnTo>
                              <a:lnTo>
                                <a:pt x="199" y="500"/>
                              </a:lnTo>
                              <a:lnTo>
                                <a:pt x="204" y="476"/>
                              </a:lnTo>
                              <a:lnTo>
                                <a:pt x="356" y="476"/>
                              </a:lnTo>
                              <a:lnTo>
                                <a:pt x="359" y="472"/>
                              </a:lnTo>
                              <a:lnTo>
                                <a:pt x="366" y="440"/>
                              </a:lnTo>
                              <a:lnTo>
                                <a:pt x="359" y="406"/>
                              </a:lnTo>
                              <a:lnTo>
                                <a:pt x="341" y="380"/>
                              </a:lnTo>
                              <a:lnTo>
                                <a:pt x="314" y="360"/>
                              </a:lnTo>
                              <a:lnTo>
                                <a:pt x="292" y="356"/>
                              </a:lnTo>
                              <a:lnTo>
                                <a:pt x="261" y="356"/>
                              </a:lnTo>
                              <a:lnTo>
                                <a:pt x="296" y="318"/>
                              </a:lnTo>
                              <a:lnTo>
                                <a:pt x="336" y="284"/>
                              </a:lnTo>
                              <a:lnTo>
                                <a:pt x="380" y="258"/>
                              </a:lnTo>
                              <a:lnTo>
                                <a:pt x="429" y="240"/>
                              </a:lnTo>
                              <a:lnTo>
                                <a:pt x="640" y="240"/>
                              </a:lnTo>
                              <a:lnTo>
                                <a:pt x="627" y="222"/>
                              </a:lnTo>
                              <a:lnTo>
                                <a:pt x="852" y="222"/>
                              </a:lnTo>
                              <a:lnTo>
                                <a:pt x="843" y="216"/>
                              </a:lnTo>
                              <a:lnTo>
                                <a:pt x="777" y="184"/>
                              </a:lnTo>
                              <a:lnTo>
                                <a:pt x="708" y="160"/>
                              </a:lnTo>
                              <a:lnTo>
                                <a:pt x="637" y="146"/>
                              </a:lnTo>
                              <a:lnTo>
                                <a:pt x="566" y="142"/>
                              </a:lnTo>
                              <a:close/>
                              <a:moveTo>
                                <a:pt x="1152" y="738"/>
                              </a:moveTo>
                              <a:lnTo>
                                <a:pt x="1018" y="738"/>
                              </a:lnTo>
                              <a:lnTo>
                                <a:pt x="1010" y="780"/>
                              </a:lnTo>
                              <a:lnTo>
                                <a:pt x="999" y="820"/>
                              </a:lnTo>
                              <a:lnTo>
                                <a:pt x="985" y="858"/>
                              </a:lnTo>
                              <a:lnTo>
                                <a:pt x="967" y="896"/>
                              </a:lnTo>
                              <a:lnTo>
                                <a:pt x="1090" y="896"/>
                              </a:lnTo>
                              <a:lnTo>
                                <a:pt x="1100" y="880"/>
                              </a:lnTo>
                              <a:lnTo>
                                <a:pt x="1130" y="814"/>
                              </a:lnTo>
                              <a:lnTo>
                                <a:pt x="1152" y="742"/>
                              </a:lnTo>
                              <a:lnTo>
                                <a:pt x="1152" y="738"/>
                              </a:lnTo>
                              <a:close/>
                              <a:moveTo>
                                <a:pt x="554" y="510"/>
                              </a:moveTo>
                              <a:lnTo>
                                <a:pt x="478" y="522"/>
                              </a:lnTo>
                              <a:lnTo>
                                <a:pt x="411" y="556"/>
                              </a:lnTo>
                              <a:lnTo>
                                <a:pt x="359" y="610"/>
                              </a:lnTo>
                              <a:lnTo>
                                <a:pt x="325" y="676"/>
                              </a:lnTo>
                              <a:lnTo>
                                <a:pt x="312" y="752"/>
                              </a:lnTo>
                              <a:lnTo>
                                <a:pt x="313" y="776"/>
                              </a:lnTo>
                              <a:lnTo>
                                <a:pt x="317" y="798"/>
                              </a:lnTo>
                              <a:lnTo>
                                <a:pt x="322" y="820"/>
                              </a:lnTo>
                              <a:lnTo>
                                <a:pt x="329" y="840"/>
                              </a:lnTo>
                              <a:lnTo>
                                <a:pt x="777" y="840"/>
                              </a:lnTo>
                              <a:lnTo>
                                <a:pt x="787" y="814"/>
                              </a:lnTo>
                              <a:lnTo>
                                <a:pt x="795" y="752"/>
                              </a:lnTo>
                              <a:lnTo>
                                <a:pt x="783" y="676"/>
                              </a:lnTo>
                              <a:lnTo>
                                <a:pt x="749" y="610"/>
                              </a:lnTo>
                              <a:lnTo>
                                <a:pt x="697" y="556"/>
                              </a:lnTo>
                              <a:lnTo>
                                <a:pt x="630" y="522"/>
                              </a:lnTo>
                              <a:lnTo>
                                <a:pt x="554" y="510"/>
                              </a:lnTo>
                              <a:close/>
                              <a:moveTo>
                                <a:pt x="977" y="578"/>
                              </a:moveTo>
                              <a:lnTo>
                                <a:pt x="961" y="578"/>
                              </a:lnTo>
                              <a:lnTo>
                                <a:pt x="925" y="584"/>
                              </a:lnTo>
                              <a:lnTo>
                                <a:pt x="896" y="604"/>
                              </a:lnTo>
                              <a:lnTo>
                                <a:pt x="877" y="632"/>
                              </a:lnTo>
                              <a:lnTo>
                                <a:pt x="870" y="668"/>
                              </a:lnTo>
                              <a:lnTo>
                                <a:pt x="877" y="704"/>
                              </a:lnTo>
                              <a:lnTo>
                                <a:pt x="896" y="732"/>
                              </a:lnTo>
                              <a:lnTo>
                                <a:pt x="925" y="752"/>
                              </a:lnTo>
                              <a:lnTo>
                                <a:pt x="960" y="758"/>
                              </a:lnTo>
                              <a:lnTo>
                                <a:pt x="976" y="758"/>
                              </a:lnTo>
                              <a:lnTo>
                                <a:pt x="991" y="754"/>
                              </a:lnTo>
                              <a:lnTo>
                                <a:pt x="1005" y="746"/>
                              </a:lnTo>
                              <a:lnTo>
                                <a:pt x="1018" y="738"/>
                              </a:lnTo>
                              <a:lnTo>
                                <a:pt x="1152" y="738"/>
                              </a:lnTo>
                              <a:lnTo>
                                <a:pt x="1165" y="666"/>
                              </a:lnTo>
                              <a:lnTo>
                                <a:pt x="1169" y="598"/>
                              </a:lnTo>
                              <a:lnTo>
                                <a:pt x="1018" y="598"/>
                              </a:lnTo>
                              <a:lnTo>
                                <a:pt x="1006" y="590"/>
                              </a:lnTo>
                              <a:lnTo>
                                <a:pt x="992" y="584"/>
                              </a:lnTo>
                              <a:lnTo>
                                <a:pt x="977" y="578"/>
                              </a:lnTo>
                              <a:close/>
                              <a:moveTo>
                                <a:pt x="253" y="674"/>
                              </a:moveTo>
                              <a:lnTo>
                                <a:pt x="207" y="674"/>
                              </a:lnTo>
                              <a:lnTo>
                                <a:pt x="213" y="678"/>
                              </a:lnTo>
                              <a:lnTo>
                                <a:pt x="221" y="680"/>
                              </a:lnTo>
                              <a:lnTo>
                                <a:pt x="229" y="680"/>
                              </a:lnTo>
                              <a:lnTo>
                                <a:pt x="247" y="678"/>
                              </a:lnTo>
                              <a:lnTo>
                                <a:pt x="253" y="674"/>
                              </a:lnTo>
                              <a:close/>
                              <a:moveTo>
                                <a:pt x="230" y="590"/>
                              </a:moveTo>
                              <a:lnTo>
                                <a:pt x="219" y="592"/>
                              </a:lnTo>
                              <a:lnTo>
                                <a:pt x="209" y="596"/>
                              </a:lnTo>
                              <a:lnTo>
                                <a:pt x="200" y="602"/>
                              </a:lnTo>
                              <a:lnTo>
                                <a:pt x="193" y="608"/>
                              </a:lnTo>
                              <a:lnTo>
                                <a:pt x="264" y="608"/>
                              </a:lnTo>
                              <a:lnTo>
                                <a:pt x="262" y="604"/>
                              </a:lnTo>
                              <a:lnTo>
                                <a:pt x="247" y="594"/>
                              </a:lnTo>
                              <a:lnTo>
                                <a:pt x="230" y="590"/>
                              </a:lnTo>
                              <a:close/>
                              <a:moveTo>
                                <a:pt x="1040" y="418"/>
                              </a:moveTo>
                              <a:lnTo>
                                <a:pt x="952" y="418"/>
                              </a:lnTo>
                              <a:lnTo>
                                <a:pt x="975" y="458"/>
                              </a:lnTo>
                              <a:lnTo>
                                <a:pt x="994" y="502"/>
                              </a:lnTo>
                              <a:lnTo>
                                <a:pt x="1009" y="548"/>
                              </a:lnTo>
                              <a:lnTo>
                                <a:pt x="1018" y="598"/>
                              </a:lnTo>
                              <a:lnTo>
                                <a:pt x="1169" y="598"/>
                              </a:lnTo>
                              <a:lnTo>
                                <a:pt x="1170" y="588"/>
                              </a:lnTo>
                              <a:lnTo>
                                <a:pt x="1094" y="588"/>
                              </a:lnTo>
                              <a:lnTo>
                                <a:pt x="1076" y="506"/>
                              </a:lnTo>
                              <a:lnTo>
                                <a:pt x="1047" y="430"/>
                              </a:lnTo>
                              <a:lnTo>
                                <a:pt x="1040" y="418"/>
                              </a:lnTo>
                              <a:close/>
                              <a:moveTo>
                                <a:pt x="873" y="76"/>
                              </a:moveTo>
                              <a:lnTo>
                                <a:pt x="577" y="76"/>
                              </a:lnTo>
                              <a:lnTo>
                                <a:pt x="655" y="82"/>
                              </a:lnTo>
                              <a:lnTo>
                                <a:pt x="731" y="98"/>
                              </a:lnTo>
                              <a:lnTo>
                                <a:pt x="804" y="126"/>
                              </a:lnTo>
                              <a:lnTo>
                                <a:pt x="872" y="162"/>
                              </a:lnTo>
                              <a:lnTo>
                                <a:pt x="932" y="208"/>
                              </a:lnTo>
                              <a:lnTo>
                                <a:pt x="977" y="254"/>
                              </a:lnTo>
                              <a:lnTo>
                                <a:pt x="1021" y="314"/>
                              </a:lnTo>
                              <a:lnTo>
                                <a:pt x="1058" y="388"/>
                              </a:lnTo>
                              <a:lnTo>
                                <a:pt x="1084" y="476"/>
                              </a:lnTo>
                              <a:lnTo>
                                <a:pt x="1094" y="584"/>
                              </a:lnTo>
                              <a:lnTo>
                                <a:pt x="1094" y="588"/>
                              </a:lnTo>
                              <a:lnTo>
                                <a:pt x="1170" y="588"/>
                              </a:lnTo>
                              <a:lnTo>
                                <a:pt x="1170" y="584"/>
                              </a:lnTo>
                              <a:lnTo>
                                <a:pt x="1165" y="500"/>
                              </a:lnTo>
                              <a:lnTo>
                                <a:pt x="1150" y="422"/>
                              </a:lnTo>
                              <a:lnTo>
                                <a:pt x="1125" y="350"/>
                              </a:lnTo>
                              <a:lnTo>
                                <a:pt x="1093" y="286"/>
                              </a:lnTo>
                              <a:lnTo>
                                <a:pt x="1054" y="228"/>
                              </a:lnTo>
                              <a:lnTo>
                                <a:pt x="1008" y="174"/>
                              </a:lnTo>
                              <a:lnTo>
                                <a:pt x="956" y="130"/>
                              </a:lnTo>
                              <a:lnTo>
                                <a:pt x="900" y="90"/>
                              </a:lnTo>
                              <a:lnTo>
                                <a:pt x="873" y="76"/>
                              </a:lnTo>
                              <a:close/>
                              <a:moveTo>
                                <a:pt x="356" y="476"/>
                              </a:moveTo>
                              <a:lnTo>
                                <a:pt x="204" y="476"/>
                              </a:lnTo>
                              <a:lnTo>
                                <a:pt x="217" y="496"/>
                              </a:lnTo>
                              <a:lnTo>
                                <a:pt x="235" y="512"/>
                              </a:lnTo>
                              <a:lnTo>
                                <a:pt x="256" y="520"/>
                              </a:lnTo>
                              <a:lnTo>
                                <a:pt x="280" y="524"/>
                              </a:lnTo>
                              <a:lnTo>
                                <a:pt x="313" y="518"/>
                              </a:lnTo>
                              <a:lnTo>
                                <a:pt x="341" y="500"/>
                              </a:lnTo>
                              <a:lnTo>
                                <a:pt x="356" y="476"/>
                              </a:lnTo>
                              <a:close/>
                              <a:moveTo>
                                <a:pt x="852" y="222"/>
                              </a:moveTo>
                              <a:lnTo>
                                <a:pt x="627" y="222"/>
                              </a:lnTo>
                              <a:lnTo>
                                <a:pt x="677" y="230"/>
                              </a:lnTo>
                              <a:lnTo>
                                <a:pt x="726" y="246"/>
                              </a:lnTo>
                              <a:lnTo>
                                <a:pt x="773" y="264"/>
                              </a:lnTo>
                              <a:lnTo>
                                <a:pt x="818" y="290"/>
                              </a:lnTo>
                              <a:lnTo>
                                <a:pt x="779" y="302"/>
                              </a:lnTo>
                              <a:lnTo>
                                <a:pt x="748" y="328"/>
                              </a:lnTo>
                              <a:lnTo>
                                <a:pt x="727" y="362"/>
                              </a:lnTo>
                              <a:lnTo>
                                <a:pt x="720" y="404"/>
                              </a:lnTo>
                              <a:lnTo>
                                <a:pt x="729" y="450"/>
                              </a:lnTo>
                              <a:lnTo>
                                <a:pt x="754" y="486"/>
                              </a:lnTo>
                              <a:lnTo>
                                <a:pt x="791" y="512"/>
                              </a:lnTo>
                              <a:lnTo>
                                <a:pt x="836" y="520"/>
                              </a:lnTo>
                              <a:lnTo>
                                <a:pt x="878" y="514"/>
                              </a:lnTo>
                              <a:lnTo>
                                <a:pt x="914" y="492"/>
                              </a:lnTo>
                              <a:lnTo>
                                <a:pt x="940" y="460"/>
                              </a:lnTo>
                              <a:lnTo>
                                <a:pt x="952" y="418"/>
                              </a:lnTo>
                              <a:lnTo>
                                <a:pt x="1040" y="418"/>
                              </a:lnTo>
                              <a:lnTo>
                                <a:pt x="1007" y="364"/>
                              </a:lnTo>
                              <a:lnTo>
                                <a:pt x="959" y="306"/>
                              </a:lnTo>
                              <a:lnTo>
                                <a:pt x="904" y="256"/>
                              </a:lnTo>
                              <a:lnTo>
                                <a:pt x="852" y="222"/>
                              </a:lnTo>
                              <a:close/>
                              <a:moveTo>
                                <a:pt x="640" y="240"/>
                              </a:moveTo>
                              <a:lnTo>
                                <a:pt x="429" y="240"/>
                              </a:lnTo>
                              <a:lnTo>
                                <a:pt x="421" y="254"/>
                              </a:lnTo>
                              <a:lnTo>
                                <a:pt x="416" y="268"/>
                              </a:lnTo>
                              <a:lnTo>
                                <a:pt x="412" y="284"/>
                              </a:lnTo>
                              <a:lnTo>
                                <a:pt x="411" y="300"/>
                              </a:lnTo>
                              <a:lnTo>
                                <a:pt x="421" y="348"/>
                              </a:lnTo>
                              <a:lnTo>
                                <a:pt x="447" y="386"/>
                              </a:lnTo>
                              <a:lnTo>
                                <a:pt x="486" y="412"/>
                              </a:lnTo>
                              <a:lnTo>
                                <a:pt x="534" y="422"/>
                              </a:lnTo>
                              <a:lnTo>
                                <a:pt x="582" y="412"/>
                              </a:lnTo>
                              <a:lnTo>
                                <a:pt x="621" y="386"/>
                              </a:lnTo>
                              <a:lnTo>
                                <a:pt x="648" y="348"/>
                              </a:lnTo>
                              <a:lnTo>
                                <a:pt x="658" y="302"/>
                              </a:lnTo>
                              <a:lnTo>
                                <a:pt x="656" y="280"/>
                              </a:lnTo>
                              <a:lnTo>
                                <a:pt x="650" y="258"/>
                              </a:lnTo>
                              <a:lnTo>
                                <a:pt x="640" y="240"/>
                              </a:lnTo>
                              <a:close/>
                              <a:moveTo>
                                <a:pt x="281" y="354"/>
                              </a:moveTo>
                              <a:lnTo>
                                <a:pt x="267" y="354"/>
                              </a:lnTo>
                              <a:lnTo>
                                <a:pt x="261" y="356"/>
                              </a:lnTo>
                              <a:lnTo>
                                <a:pt x="292" y="356"/>
                              </a:lnTo>
                              <a:lnTo>
                                <a:pt x="281" y="3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2861E5" id="docshape159" o:spid="_x0000_s1026" style="position:absolute;margin-left:351.75pt;margin-top:55.65pt;width:58.5pt;height:58.9pt;z-index:48584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70,1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" path="m1022,990r-121,l849,1042r-59,44l724,1122r-71,26l577,1166r-80,4l494,1170r-1,4l496,1174r36,4l572,1178r75,-4l719,1162r69,-18l853,1116r60,-34l969,1042r50,-48l1022,990xm576,l490,6,409,22,335,46,268,80r-61,42l154,170r-46,54l70,284,40,348,18,418,5,488,,562r6,82l23,716r28,64l86,838r43,48l178,928r54,32l290,986r59,18l410,1016r60,2l529,1014r56,-12l636,982r47,-26l700,942r-282,l359,930,302,910,248,884,201,848,147,792,108,724,84,648,76,562r6,-76l98,412r27,-70l162,280r47,-58l268,170r67,-40l409,100,490,82r86,-6l873,76,839,58,776,34,711,16,644,4,576,xm893,838r-29,6l839,860r-16,24l817,914r6,30l839,968r24,16l893,992r3,l899,990r123,l1062,940r28,-44l967,896,957,872,940,854,919,842r-26,-4xm566,142r-65,4l436,158r-63,22l314,210r-54,38l213,296r-40,56l142,418r-19,76l116,578r10,98l153,754r41,62l246,862r57,36l362,924r56,18l700,942r29,-24l765,870r12,-30l329,840,289,814,255,774,227,728,207,674r46,l261,668r10,-14l275,636r-4,-18l264,608r-71,l192,598r,-6l192,578r1,-26l195,526r4,-26l204,476r152,l359,472r7,-32l359,406,341,380,314,360r-22,-4l261,356r35,-38l336,284r44,-26l429,240r211,l627,222r225,l843,216,777,184,708,160,637,146r-71,-4xm1152,738r-134,l1010,780r-11,40l985,858r-18,38l1090,896r10,-16l1130,814r22,-72l1152,738xm554,510r-76,12l411,556r-52,54l325,676r-13,76l313,776r4,22l322,820r7,20l777,840r10,-26l795,752,783,676,749,610,697,556,630,522,554,510xm977,578r-16,l925,584r-29,20l877,632r-7,36l877,704r19,28l925,752r35,6l976,758r15,-4l1005,746r13,-8l1152,738r13,-72l1169,598r-151,l1006,590r-14,-6l977,578xm253,674r-46,l213,678r8,2l229,680r18,-2l253,674xm230,590r-11,2l209,596r-9,6l193,608r71,l262,604,247,594r-17,-4xm1040,418r-88,l975,458r19,44l1009,548r9,50l1169,598r1,-10l1094,588r-18,-82l1047,430r-7,-12xm873,76r-296,l655,82r76,16l804,126r68,36l932,208r45,46l1021,314r37,74l1084,476r10,108l1094,588r76,l1170,584r-5,-84l1150,422r-25,-72l1093,286r-39,-58l1008,174,956,130,900,90,873,76xm356,476r-152,l217,496r18,16l256,520r24,4l313,518r28,-18l356,476xm852,222r-225,l677,230r49,16l773,264r45,26l779,302r-31,26l727,362r-7,42l729,450r25,36l791,512r45,8l878,514r36,-22l940,460r12,-42l1040,418r-33,-54l959,306,904,256,852,222xm640,240r-211,l421,254r-5,14l412,284r-1,16l421,348r26,38l486,412r48,10l582,412r39,-26l648,348r10,-46l656,280r-6,-22l640,240xm281,354r-14,l261,356r31,l281,354xe" stroked="f">
                <v:path arrowok="t" o:connecttype="custom" o:connectlocs="459740,9924415;313055,9957435;456565,9949815;647065,9843135;212725,9241155;44450,9392285;3810,9620885;113030,9801225;298450,9858375;444500,9810115;127635,9750425;52070,9520555;170180,9319895;554355,9260205;365760,9211945;518795,9792335;568960,9841865;614045,9780905;359410,9302115;165100,9369425;73660,9578975;192405,9782175;485775,9764395;144145,9674225;174625,9615805;121920,9587865;129540,9514205;216535,9453245;213360,9392285;541020,9352915;359410,9302115;625475,9756775;731520,9683115;227965,9599295;204470,9732645;497205,9641205;620395,9578975;552450,9636125;619760,9693275;739775,9634855;620395,9578975;145415,9643745;132715,9590405;156845,9589135;631190,9530715;694690,9585325;366395,9260205;591820,9344025;694690,9582785;730250,9479915;607060,9294495;137795,9526905;216535,9529445;461010,9368155;461645,9441815;530860,9542145;660400,9477375;406400,9364345;260985,9402445;369570,9473565;412750,9375775;185420,9438005" o:connectangles="0,0,0,0,0,0,0,0,0,0,0,0,0,0,0,0,0,0,0,0,0,0,0,0,0,0,0,0,0,0,0,0,0,0,0,0,0,0,0,0,0,0,0,0,0,0,0,0,0,0,0,0,0,0,0,0,0,0,0,0,0,0"/>
                <w10:wrap anchorx="page" anchory="page"/>
              </v:shape>
            </w:pict>
          </mc:Fallback>
        </mc:AlternateContent>
      </w:r>
      <w:r>
        <w:rPr>
          <w:noProof/>
          <w:lang w:val="en-GB" w:eastAsia="en-GB"/>
        </w:rPr>
        <w:drawing>
          <wp:anchor distT="0" distB="0" distL="114300" distR="114300" simplePos="0" relativeHeight="485847040" behindDoc="1" locked="1" layoutInCell="1" allowOverlap="1" wp14:anchorId="24F8CE4E" wp14:editId="5E4E8C09">
            <wp:simplePos x="0" y="0"/>
            <wp:positionH relativeFrom="page">
              <wp:align>left</wp:align>
            </wp:positionH>
            <wp:positionV relativeFrom="page">
              <wp:posOffset>0</wp:posOffset>
            </wp:positionV>
            <wp:extent cx="7550785" cy="6684010"/>
            <wp:effectExtent l="0" t="0" r="0" b="2540"/>
            <wp:wrapNone/>
            <wp:docPr id="169" name="docshap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docshape1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7746" r="3861" b="36410"/>
                    <a:stretch/>
                  </pic:blipFill>
                  <pic:spPr bwMode="auto">
                    <a:xfrm>
                      <a:off x="0" y="0"/>
                      <a:ext cx="7556935" cy="66900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7742">
        <w:rPr>
          <w:rFonts w:ascii="TheSansB W6 SemiBold" w:eastAsia="Calibri" w:hAnsi="TheSansB W6 SemiBold" w:cs="Calibri"/>
          <w:b/>
          <w:bCs/>
          <w:color w:val="FFFFFF" w:themeColor="background1"/>
          <w:sz w:val="126"/>
          <w:szCs w:val="126"/>
        </w:rPr>
        <w:t xml:space="preserve"> </w:t>
      </w:r>
    </w:p>
    <w:p w14:paraId="6025AAE1" w14:textId="77777777" w:rsidR="001B7CD5" w:rsidRDefault="001B7CD5" w:rsidP="001B7CD5">
      <w:pPr>
        <w:pStyle w:val="CoverTitle"/>
        <w:rPr>
          <w:lang w:eastAsia="en-GB"/>
        </w:rPr>
      </w:pPr>
    </w:p>
    <w:p w14:paraId="2019699C" w14:textId="77777777" w:rsidR="001B7CD5" w:rsidRDefault="001B7CD5" w:rsidP="001B7CD5">
      <w:pPr>
        <w:pStyle w:val="CoverTitle"/>
        <w:rPr>
          <w:lang w:eastAsia="en-GB"/>
        </w:rPr>
      </w:pPr>
    </w:p>
    <w:p w14:paraId="09F5406B" w14:textId="77777777" w:rsidR="001B7CD5" w:rsidRDefault="001B7CD5" w:rsidP="001B7CD5">
      <w:pPr>
        <w:pStyle w:val="CoverTitle"/>
        <w:rPr>
          <w:lang w:eastAsia="en-GB"/>
        </w:rPr>
      </w:pPr>
    </w:p>
    <w:p w14:paraId="1F36D5EF" w14:textId="425754E9" w:rsidR="00EF2505" w:rsidRPr="006E37CB" w:rsidRDefault="006E37CB" w:rsidP="006E37CB">
      <w:pPr>
        <w:pStyle w:val="CoverTitle"/>
        <w:spacing w:line="240" w:lineRule="auto"/>
        <w:rPr>
          <w:color w:val="FFFFFF" w:themeColor="background1"/>
          <w:sz w:val="58"/>
          <w:szCs w:val="52"/>
          <w:lang w:eastAsia="en-GB"/>
        </w:rPr>
      </w:pPr>
      <w:r w:rsidRPr="006E37CB">
        <w:rPr>
          <w:color w:val="FFFFFF" w:themeColor="background1"/>
          <w:sz w:val="58"/>
          <w:szCs w:val="52"/>
          <w:lang w:eastAsia="en-GB"/>
        </w:rPr>
        <w:t xml:space="preserve">Aotearoa New Zealand’s 7th Periodic Review under the Convention against Torture and Other Cruel, Inhuman or </w:t>
      </w:r>
      <w:r w:rsidRPr="006E37CB">
        <w:rPr>
          <w:color w:val="FFFFFF" w:themeColor="background1"/>
          <w:sz w:val="58"/>
          <w:szCs w:val="52"/>
          <w:lang w:eastAsia="en-GB"/>
        </w:rPr>
        <w:lastRenderedPageBreak/>
        <w:t>Degrading Treatment or Punishment</w:t>
      </w:r>
      <w:r w:rsidR="00EF2505" w:rsidRPr="006E37CB">
        <w:rPr>
          <w:color w:val="FFFFFF" w:themeColor="background1"/>
          <w:sz w:val="58"/>
          <w:szCs w:val="52"/>
          <w:lang w:eastAsia="en-GB"/>
        </w:rPr>
        <w:t xml:space="preserve"> </w:t>
      </w:r>
    </w:p>
    <w:p w14:paraId="723AB6A1" w14:textId="77777777" w:rsidR="00EF2505" w:rsidRPr="006E37CB" w:rsidRDefault="00EF2505" w:rsidP="00F6781D">
      <w:pPr>
        <w:pStyle w:val="CoverTitle"/>
        <w:spacing w:line="240" w:lineRule="auto"/>
        <w:rPr>
          <w:color w:val="FFFFFF" w:themeColor="background1"/>
          <w:sz w:val="34"/>
          <w:szCs w:val="14"/>
          <w:lang w:eastAsia="en-GB"/>
        </w:rPr>
      </w:pPr>
    </w:p>
    <w:p w14:paraId="3ED96D03" w14:textId="2E795145" w:rsidR="001B7CD5" w:rsidRPr="00EF2505" w:rsidRDefault="006E37CB" w:rsidP="00F6781D">
      <w:pPr>
        <w:pStyle w:val="CoverTitle"/>
        <w:spacing w:line="240" w:lineRule="auto"/>
        <w:rPr>
          <w:rFonts w:eastAsia="Calibri"/>
          <w:b w:val="0"/>
          <w:bCs/>
          <w:color w:val="FFFFFF" w:themeColor="background1"/>
          <w:sz w:val="30"/>
          <w:szCs w:val="10"/>
        </w:rPr>
      </w:pPr>
      <w:r w:rsidRPr="006E37CB">
        <w:rPr>
          <w:rFonts w:eastAsia="Calibri"/>
          <w:b w:val="0"/>
          <w:bCs/>
          <w:color w:val="FFFFFF" w:themeColor="background1"/>
          <w:sz w:val="30"/>
          <w:szCs w:val="10"/>
        </w:rPr>
        <w:t xml:space="preserve">Submission of the New Zealand Children’s Commissioner </w:t>
      </w:r>
      <w:r>
        <w:rPr>
          <w:rFonts w:eastAsia="Calibri"/>
          <w:b w:val="0"/>
          <w:bCs/>
          <w:color w:val="FFFFFF" w:themeColor="background1"/>
          <w:sz w:val="30"/>
          <w:szCs w:val="10"/>
        </w:rPr>
        <w:t>(OPCAT National Preventive Mechanism)</w:t>
      </w:r>
    </w:p>
    <w:p w14:paraId="7FEE050F" w14:textId="77777777" w:rsidR="00976EF5" w:rsidRDefault="00976EF5" w:rsidP="00F6781D">
      <w:pPr>
        <w:pStyle w:val="CoverTitle"/>
        <w:spacing w:line="240" w:lineRule="auto"/>
        <w:rPr>
          <w:rFonts w:eastAsia="Calibri"/>
          <w:b w:val="0"/>
          <w:bCs/>
          <w:color w:val="FFFFFF" w:themeColor="background1"/>
          <w:sz w:val="28"/>
          <w:szCs w:val="8"/>
        </w:rPr>
      </w:pPr>
    </w:p>
    <w:p w14:paraId="17ED1F1D" w14:textId="2F08CEB0" w:rsidR="00F10EB3" w:rsidRPr="00F6781D" w:rsidRDefault="001B7CD5" w:rsidP="00F6781D">
      <w:pPr>
        <w:pStyle w:val="CoverTitle"/>
        <w:spacing w:line="240" w:lineRule="auto"/>
        <w:rPr>
          <w:rFonts w:eastAsia="Calibri"/>
          <w:b w:val="0"/>
          <w:bCs/>
          <w:color w:val="FFFFFF" w:themeColor="background1"/>
          <w:sz w:val="28"/>
          <w:szCs w:val="8"/>
        </w:rPr>
        <w:sectPr w:rsidR="00F10EB3" w:rsidRPr="00F6781D" w:rsidSect="00F6781D">
          <w:type w:val="continuous"/>
          <w:pgSz w:w="11910" w:h="16840"/>
          <w:pgMar w:top="600" w:right="995" w:bottom="280" w:left="1200" w:header="720" w:footer="720" w:gutter="0"/>
          <w:cols w:space="720"/>
        </w:sectPr>
      </w:pPr>
      <w:r>
        <w:rPr>
          <w:noProof/>
          <w:lang w:val="en-GB" w:eastAsia="en-GB"/>
        </w:rPr>
        <w:drawing>
          <wp:anchor distT="0" distB="0" distL="114300" distR="114300" simplePos="0" relativeHeight="485844992" behindDoc="1" locked="1" layoutInCell="1" allowOverlap="1" wp14:anchorId="7D93B66D" wp14:editId="26CA6FC1">
            <wp:simplePos x="0" y="0"/>
            <wp:positionH relativeFrom="page">
              <wp:align>right</wp:align>
            </wp:positionH>
            <wp:positionV relativeFrom="page">
              <wp:posOffset>-635</wp:posOffset>
            </wp:positionV>
            <wp:extent cx="7854950" cy="6774815"/>
            <wp:effectExtent l="0" t="0" r="0" b="6985"/>
            <wp:wrapNone/>
            <wp:docPr id="180" name="docshap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docshape1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7746" b="36410"/>
                    <a:stretch/>
                  </pic:blipFill>
                  <pic:spPr bwMode="auto">
                    <a:xfrm>
                      <a:off x="0" y="0"/>
                      <a:ext cx="7854950" cy="6774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2886">
        <w:rPr>
          <w:noProof/>
          <w:lang w:val="en-GB" w:eastAsia="en-GB"/>
        </w:rPr>
        <w:drawing>
          <wp:anchor distT="0" distB="0" distL="114300" distR="114300" simplePos="0" relativeHeight="485842944" behindDoc="0" locked="1" layoutInCell="1" allowOverlap="1" wp14:anchorId="3F2E1834" wp14:editId="66635B9B">
            <wp:simplePos x="0" y="0"/>
            <wp:positionH relativeFrom="page">
              <wp:align>right</wp:align>
            </wp:positionH>
            <wp:positionV relativeFrom="page">
              <wp:posOffset>6677025</wp:posOffset>
            </wp:positionV>
            <wp:extent cx="7559675" cy="4010025"/>
            <wp:effectExtent l="0" t="0" r="3175" b="9525"/>
            <wp:wrapNone/>
            <wp:docPr id="179" name="docshap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docshape1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62402"/>
                    <a:stretch/>
                  </pic:blipFill>
                  <pic:spPr bwMode="auto">
                    <a:xfrm>
                      <a:off x="0" y="0"/>
                      <a:ext cx="7559675" cy="4010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2505">
        <w:rPr>
          <w:rFonts w:eastAsia="Calibri"/>
          <w:b w:val="0"/>
          <w:bCs/>
          <w:color w:val="FFFFFF" w:themeColor="background1"/>
          <w:sz w:val="28"/>
          <w:szCs w:val="8"/>
        </w:rPr>
        <w:t>12 June 2023</w:t>
      </w:r>
    </w:p>
    <w:p w14:paraId="0569BE2A" w14:textId="456419B8" w:rsidR="005E03A8" w:rsidRDefault="005E03A8" w:rsidP="00362886">
      <w:pPr>
        <w:keepNext/>
        <w:keepLines/>
        <w:widowControl/>
        <w:autoSpaceDE/>
        <w:autoSpaceDN/>
        <w:spacing w:before="480" w:after="240" w:line="560" w:lineRule="exact"/>
        <w:outlineLvl w:val="0"/>
        <w:rPr>
          <w:rFonts w:eastAsia="MS Gothic"/>
          <w:b/>
          <w:bCs/>
          <w:color w:val="C32026"/>
          <w:sz w:val="48"/>
          <w:szCs w:val="28"/>
          <w:lang w:val="en-AU"/>
        </w:rPr>
      </w:pPr>
      <w:r>
        <w:rPr>
          <w:rFonts w:eastAsia="MS Gothic"/>
          <w:b/>
          <w:bCs/>
          <w:color w:val="C32026"/>
          <w:sz w:val="48"/>
          <w:szCs w:val="28"/>
          <w:lang w:val="en-AU"/>
        </w:rPr>
        <w:lastRenderedPageBreak/>
        <w:t>Mihi (Acknowledgment)</w:t>
      </w:r>
    </w:p>
    <w:p w14:paraId="51405991" w14:textId="77777777" w:rsidR="006D5938" w:rsidRDefault="006D5938" w:rsidP="006D5938">
      <w:pPr>
        <w:pStyle w:val="Pull-OutText"/>
        <w:ind w:left="0"/>
        <w:rPr>
          <w:b/>
          <w:bCs/>
        </w:rPr>
      </w:pPr>
    </w:p>
    <w:p w14:paraId="5CEBC556" w14:textId="03AAF9DE" w:rsidR="006D5938" w:rsidRPr="006D5938" w:rsidRDefault="006D5938" w:rsidP="006D5938">
      <w:pPr>
        <w:pStyle w:val="Pull-OutText"/>
        <w:ind w:left="0"/>
        <w:rPr>
          <w:b/>
          <w:bCs/>
        </w:rPr>
      </w:pPr>
      <w:r w:rsidRPr="006D5938">
        <w:rPr>
          <w:b/>
          <w:bCs/>
        </w:rPr>
        <w:t>Tuia te rangi e tu iho nei. Tuia te papa e takoto nei</w:t>
      </w:r>
    </w:p>
    <w:p w14:paraId="5BFE5FB0" w14:textId="77777777" w:rsidR="006D5938" w:rsidRPr="006D5938" w:rsidRDefault="006D5938" w:rsidP="006D5938">
      <w:pPr>
        <w:pStyle w:val="Pull-OutText"/>
        <w:ind w:left="0"/>
        <w:rPr>
          <w:b/>
          <w:bCs/>
        </w:rPr>
      </w:pPr>
      <w:r w:rsidRPr="006D5938">
        <w:rPr>
          <w:b/>
          <w:bCs/>
        </w:rPr>
        <w:t>Tuia ngā kōrero, tuia ngā wānanga, Kia mau, kia ita, kia kuru pounamu te rongo, mō te oranga o ngā mokopuna. Haumi e, hui e, tāiki e.</w:t>
      </w:r>
    </w:p>
    <w:p w14:paraId="48A9CEE9" w14:textId="77777777" w:rsidR="006D5938" w:rsidRPr="006D5938" w:rsidRDefault="006D5938" w:rsidP="006D5938">
      <w:pPr>
        <w:pStyle w:val="Pull-OutText"/>
        <w:ind w:left="0"/>
        <w:rPr>
          <w:b/>
          <w:bCs/>
        </w:rPr>
      </w:pPr>
      <w:r w:rsidRPr="006D5938">
        <w:rPr>
          <w:b/>
          <w:bCs/>
        </w:rPr>
        <w:t xml:space="preserve">E aku rangatira, tēnā koutou katoa. Tēnā koutou e ngā mokopuna kua kōrero mai ki a mātou, kua whakapono ki a mātou. Ko a koutou kōrero ka tū hei kaiārahi i a mātou mahi katoa. E kore aku mihi e mutu ki a koutou ngā mokopuna. </w:t>
      </w:r>
    </w:p>
    <w:p w14:paraId="357390AB" w14:textId="77777777" w:rsidR="006D5938" w:rsidRPr="006D5938" w:rsidRDefault="006D5938" w:rsidP="006D5938">
      <w:pPr>
        <w:pStyle w:val="Pull-OutText"/>
        <w:ind w:left="0"/>
        <w:rPr>
          <w:b/>
          <w:bCs/>
        </w:rPr>
      </w:pPr>
      <w:r w:rsidRPr="006D5938">
        <w:rPr>
          <w:b/>
          <w:bCs/>
        </w:rPr>
        <w:t xml:space="preserve">E ngā kaimahi e tiaki ana i ā tātou mokopuna, ka rewa te pōtae ki a koutou. </w:t>
      </w:r>
    </w:p>
    <w:p w14:paraId="2D81C9A9" w14:textId="77777777" w:rsidR="006D5938" w:rsidRPr="006D5938" w:rsidRDefault="006D5938" w:rsidP="006D5938">
      <w:pPr>
        <w:pStyle w:val="Pull-OutText"/>
        <w:ind w:left="0"/>
        <w:rPr>
          <w:b/>
          <w:bCs/>
        </w:rPr>
      </w:pPr>
      <w:r w:rsidRPr="006D5938">
        <w:rPr>
          <w:b/>
          <w:bCs/>
        </w:rPr>
        <w:t xml:space="preserve">E mohio ana ahau ki te mahi nui ki mua i a tātou ki te whakatikatika i ngā hē me ngā ngoikoretanga i te pūnaha. E kore e ārikarika te mihi ki a koutou katoa. </w:t>
      </w:r>
    </w:p>
    <w:p w14:paraId="5758C5D9" w14:textId="2CB8F80D" w:rsidR="006D5938" w:rsidRDefault="006D5938" w:rsidP="006D5938">
      <w:pPr>
        <w:pStyle w:val="Pull-OutText"/>
        <w:ind w:left="0"/>
        <w:rPr>
          <w:i/>
          <w:iCs/>
        </w:rPr>
      </w:pPr>
    </w:p>
    <w:p w14:paraId="4F10E589" w14:textId="77777777" w:rsidR="006D5938" w:rsidRPr="006D5938" w:rsidRDefault="006D5938" w:rsidP="006D5938">
      <w:pPr>
        <w:rPr>
          <w:lang w:val="en-GB"/>
        </w:rPr>
      </w:pPr>
    </w:p>
    <w:p w14:paraId="100F1C99" w14:textId="7A4C2C9F" w:rsidR="006D5938" w:rsidRPr="00CB1D66" w:rsidRDefault="006D5938" w:rsidP="006D5938">
      <w:pPr>
        <w:pStyle w:val="Pull-OutText"/>
        <w:ind w:left="0"/>
      </w:pPr>
      <w:r w:rsidRPr="00CB1D66">
        <w:lastRenderedPageBreak/>
        <w:t>Weave together the sky and earth. Weave together the thoughts and knowledge. Hold firm, be committed and steadfast so that all children can live their best lives. Be united, draw together! Affirm!</w:t>
      </w:r>
    </w:p>
    <w:p w14:paraId="2EC8CD0F" w14:textId="77777777" w:rsidR="006D5938" w:rsidRPr="00CB1D66" w:rsidRDefault="006D5938" w:rsidP="006D5938">
      <w:pPr>
        <w:pStyle w:val="Pull-OutText"/>
        <w:ind w:left="0"/>
      </w:pPr>
      <w:r w:rsidRPr="00CB1D66">
        <w:t xml:space="preserve">I would like to thank my esteemed leaders, the mokopuna who spoke to us to, who trusted us with your kōrero. Your voice is our guide in everything we do. </w:t>
      </w:r>
    </w:p>
    <w:p w14:paraId="686F8A1E" w14:textId="77777777" w:rsidR="006D5938" w:rsidRPr="00CB1D66" w:rsidRDefault="006D5938" w:rsidP="006D5938">
      <w:pPr>
        <w:pStyle w:val="Pull-OutText"/>
        <w:ind w:left="0"/>
      </w:pPr>
      <w:r w:rsidRPr="00CB1D66">
        <w:t xml:space="preserve">My deepest thanks. </w:t>
      </w:r>
    </w:p>
    <w:p w14:paraId="1A12A0A7" w14:textId="77777777" w:rsidR="006D5938" w:rsidRPr="00CB1D66" w:rsidRDefault="006D5938" w:rsidP="006D5938">
      <w:pPr>
        <w:pStyle w:val="Pull-OutText"/>
        <w:ind w:left="0"/>
      </w:pPr>
      <w:r w:rsidRPr="00CB1D66">
        <w:t xml:space="preserve">To those who take care of our mokopuna, I salute you. </w:t>
      </w:r>
    </w:p>
    <w:p w14:paraId="57A9F4E4" w14:textId="77777777" w:rsidR="006D5938" w:rsidRPr="00CB1D66" w:rsidRDefault="006D5938" w:rsidP="006D5938">
      <w:pPr>
        <w:pStyle w:val="Pull-OutText"/>
        <w:ind w:left="0"/>
      </w:pPr>
      <w:r w:rsidRPr="00CB1D66">
        <w:t xml:space="preserve">I understand there is a lot of work ahead of us all as we address the wrongs and failures of the system. </w:t>
      </w:r>
    </w:p>
    <w:p w14:paraId="2E24C0F2" w14:textId="77777777" w:rsidR="006D5938" w:rsidRPr="00CB1D66" w:rsidRDefault="006D5938" w:rsidP="006D5938">
      <w:pPr>
        <w:pStyle w:val="Pull-OutText"/>
        <w:ind w:left="0"/>
      </w:pPr>
      <w:r w:rsidRPr="00CB1D66">
        <w:t>My thanks knows no end.</w:t>
      </w:r>
    </w:p>
    <w:p w14:paraId="2D784718" w14:textId="77777777" w:rsidR="006D5938" w:rsidRDefault="006D5938" w:rsidP="006D5938">
      <w:pPr>
        <w:rPr>
          <w:lang w:val="en-AU"/>
        </w:rPr>
      </w:pPr>
      <w:r>
        <w:rPr>
          <w:lang w:val="en-AU"/>
        </w:rPr>
        <w:br w:type="page"/>
      </w:r>
    </w:p>
    <w:p w14:paraId="057B014C" w14:textId="77777777" w:rsidR="0007737A" w:rsidRDefault="0007737A" w:rsidP="0007737A">
      <w:pPr>
        <w:rPr>
          <w:lang w:val="en-AU"/>
        </w:rPr>
      </w:pPr>
    </w:p>
    <w:p w14:paraId="3741E32D" w14:textId="77777777" w:rsidR="00976EF5" w:rsidRDefault="00976EF5" w:rsidP="00976EF5">
      <w:pPr>
        <w:rPr>
          <w:lang w:val="en-AU"/>
        </w:rPr>
      </w:pPr>
    </w:p>
    <w:p w14:paraId="7ECF4BEF" w14:textId="6DF3A65B" w:rsidR="00362886" w:rsidRPr="00063FE0" w:rsidRDefault="00362886" w:rsidP="0007737A">
      <w:pPr>
        <w:keepNext/>
        <w:keepLines/>
        <w:widowControl/>
        <w:autoSpaceDE/>
        <w:autoSpaceDN/>
        <w:spacing w:after="240" w:line="560" w:lineRule="exact"/>
        <w:outlineLvl w:val="0"/>
        <w:rPr>
          <w:rFonts w:eastAsia="MS Gothic"/>
          <w:b/>
          <w:bCs/>
          <w:color w:val="C32026"/>
          <w:sz w:val="48"/>
          <w:szCs w:val="28"/>
          <w:lang w:val="en-AU"/>
        </w:rPr>
      </w:pPr>
      <w:r w:rsidRPr="00063FE0">
        <w:rPr>
          <w:rFonts w:eastAsia="MS Gothic"/>
          <w:b/>
          <w:bCs/>
          <w:color w:val="C32026"/>
          <w:sz w:val="48"/>
          <w:szCs w:val="28"/>
          <w:lang w:val="en-AU"/>
        </w:rPr>
        <w:t>Introduction</w:t>
      </w:r>
    </w:p>
    <w:p w14:paraId="50329A1F" w14:textId="20A532CC" w:rsidR="00EF2505" w:rsidRPr="007D19C3" w:rsidRDefault="00EF2505" w:rsidP="0047540F">
      <w:pPr>
        <w:pStyle w:val="ListNumber"/>
        <w:jc w:val="both"/>
        <w:rPr>
          <w:rFonts w:ascii="Segoe UI" w:hAnsi="Segoe UI" w:cs="Segoe UI"/>
          <w:lang w:val="en-AU"/>
        </w:rPr>
      </w:pPr>
      <w:r w:rsidRPr="007D19C3">
        <w:rPr>
          <w:rFonts w:ascii="Segoe UI" w:hAnsi="Segoe UI" w:cs="Segoe UI"/>
        </w:rPr>
        <w:t>The Children’s Commissioner (OCC) welcomes the opportunity to provide this written submission to the</w:t>
      </w:r>
      <w:r w:rsidR="00E30DAE">
        <w:rPr>
          <w:rFonts w:ascii="Segoe UI" w:hAnsi="Segoe UI" w:cs="Segoe UI"/>
        </w:rPr>
        <w:t xml:space="preserve"> </w:t>
      </w:r>
      <w:r w:rsidR="00976EF5">
        <w:rPr>
          <w:rFonts w:ascii="Segoe UI" w:hAnsi="Segoe UI" w:cs="Segoe UI"/>
        </w:rPr>
        <w:t>United</w:t>
      </w:r>
      <w:r w:rsidRPr="007D19C3">
        <w:rPr>
          <w:rFonts w:ascii="Segoe UI" w:hAnsi="Segoe UI" w:cs="Segoe UI"/>
        </w:rPr>
        <w:t xml:space="preserve"> Committee against Torture</w:t>
      </w:r>
      <w:r w:rsidR="00976EF5" w:rsidRPr="00976EF5">
        <w:t xml:space="preserve"> </w:t>
      </w:r>
      <w:r w:rsidR="00976EF5" w:rsidRPr="00976EF5">
        <w:rPr>
          <w:rFonts w:ascii="Segoe UI" w:hAnsi="Segoe UI" w:cs="Segoe UI"/>
        </w:rPr>
        <w:t>and Other Cruel, Inhuman or Degrading Treatment or Punishment</w:t>
      </w:r>
      <w:r w:rsidR="00976EF5">
        <w:rPr>
          <w:rFonts w:ascii="Segoe UI" w:hAnsi="Segoe UI" w:cs="Segoe UI"/>
        </w:rPr>
        <w:t xml:space="preserve"> </w:t>
      </w:r>
      <w:r w:rsidRPr="007D19C3">
        <w:rPr>
          <w:rFonts w:ascii="Segoe UI" w:hAnsi="Segoe UI" w:cs="Segoe UI"/>
        </w:rPr>
        <w:t xml:space="preserve"> (the Committee). </w:t>
      </w:r>
    </w:p>
    <w:p w14:paraId="65D08B1E" w14:textId="28004718" w:rsidR="00EF2505" w:rsidRPr="007D19C3" w:rsidRDefault="00EF2505" w:rsidP="0047540F">
      <w:pPr>
        <w:pStyle w:val="ListNumber"/>
        <w:jc w:val="both"/>
        <w:rPr>
          <w:rFonts w:ascii="Segoe UI" w:hAnsi="Segoe UI" w:cs="Segoe UI"/>
          <w:lang w:val="en-AU"/>
        </w:rPr>
      </w:pPr>
      <w:r w:rsidRPr="007D19C3">
        <w:rPr>
          <w:rFonts w:ascii="Segoe UI" w:hAnsi="Segoe UI" w:cs="Segoe UI"/>
        </w:rPr>
        <w:t>The OCC is an independent Crown entity</w:t>
      </w:r>
      <w:r w:rsidRPr="007D19C3">
        <w:rPr>
          <w:rStyle w:val="FootnoteReference"/>
          <w:rFonts w:ascii="Segoe UI" w:hAnsi="Segoe UI" w:cs="Segoe UI"/>
        </w:rPr>
        <w:footnoteReference w:id="1"/>
      </w:r>
      <w:r w:rsidRPr="007D19C3">
        <w:rPr>
          <w:rFonts w:ascii="Segoe UI" w:hAnsi="Segoe UI" w:cs="Segoe UI"/>
        </w:rPr>
        <w:t xml:space="preserve"> and has </w:t>
      </w:r>
      <w:bookmarkStart w:id="1" w:name="_Hlk135220348"/>
      <w:r w:rsidRPr="007D19C3">
        <w:rPr>
          <w:rFonts w:ascii="Segoe UI" w:hAnsi="Segoe UI" w:cs="Segoe UI"/>
        </w:rPr>
        <w:t>statutory responsibility to raise awareness, and understanding, of the United Nations Convention on the Rights of the Child (the Children’s Convention) and to advance and monitor application of it by State department</w:t>
      </w:r>
      <w:r w:rsidR="00DD006B">
        <w:rPr>
          <w:rFonts w:ascii="Segoe UI" w:hAnsi="Segoe UI" w:cs="Segoe UI"/>
        </w:rPr>
        <w:t>s</w:t>
      </w:r>
      <w:r w:rsidRPr="007D19C3">
        <w:rPr>
          <w:rFonts w:ascii="Segoe UI" w:hAnsi="Segoe UI" w:cs="Segoe UI"/>
        </w:rPr>
        <w:t xml:space="preserve"> and Instruments of the Crown</w:t>
      </w:r>
      <w:bookmarkEnd w:id="1"/>
      <w:r w:rsidRPr="007D19C3">
        <w:rPr>
          <w:rFonts w:ascii="Segoe UI" w:hAnsi="Segoe UI" w:cs="Segoe UI"/>
        </w:rPr>
        <w:t>.</w:t>
      </w:r>
      <w:r w:rsidR="00B17DCE">
        <w:rPr>
          <w:rStyle w:val="FootnoteReference"/>
          <w:rFonts w:ascii="Segoe UI" w:hAnsi="Segoe UI" w:cs="Segoe UI"/>
        </w:rPr>
        <w:footnoteReference w:id="2"/>
      </w:r>
    </w:p>
    <w:p w14:paraId="23CD7233" w14:textId="0A313E3E" w:rsidR="00EF2505" w:rsidRPr="007D19C3" w:rsidRDefault="00EF2505" w:rsidP="0047540F">
      <w:pPr>
        <w:pStyle w:val="ListNumber"/>
        <w:jc w:val="both"/>
        <w:rPr>
          <w:rFonts w:ascii="Segoe UI" w:hAnsi="Segoe UI" w:cs="Segoe UI"/>
          <w:lang w:val="en-AU"/>
        </w:rPr>
      </w:pPr>
      <w:r w:rsidRPr="007D19C3">
        <w:rPr>
          <w:rFonts w:ascii="Segoe UI" w:hAnsi="Segoe UI" w:cs="Segoe UI"/>
        </w:rPr>
        <w:t xml:space="preserve">The OCC is a designated National Preventive Mechanism (NPM) under the Optional Protocol to the Convention against Torture and Other Cruel, Inhuman or Degrading Treatment or Punishment (OPCAT). OCC’s functions are outlined in the </w:t>
      </w:r>
      <w:hyperlink r:id="rId16" w:history="1">
        <w:r w:rsidRPr="007D19C3">
          <w:rPr>
            <w:rStyle w:val="Hyperlink"/>
            <w:rFonts w:ascii="Segoe UI" w:hAnsi="Segoe UI" w:cs="Segoe UI"/>
          </w:rPr>
          <w:t>Crimes of Torture Act 1989</w:t>
        </w:r>
      </w:hyperlink>
      <w:r w:rsidRPr="007D19C3">
        <w:rPr>
          <w:rFonts w:ascii="Segoe UI" w:hAnsi="Segoe UI" w:cs="Segoe UI"/>
        </w:rPr>
        <w:t xml:space="preserve"> (COTA).</w:t>
      </w:r>
    </w:p>
    <w:p w14:paraId="50D6710E" w14:textId="42CD9CD6" w:rsidR="00EF2505" w:rsidRPr="007D19C3" w:rsidRDefault="00EF2505" w:rsidP="0047540F">
      <w:pPr>
        <w:pStyle w:val="ListNumber"/>
        <w:jc w:val="both"/>
        <w:rPr>
          <w:rFonts w:ascii="Segoe UI" w:hAnsi="Segoe UI" w:cs="Segoe UI"/>
        </w:rPr>
      </w:pPr>
      <w:r w:rsidRPr="007D19C3">
        <w:rPr>
          <w:rFonts w:ascii="Segoe UI" w:hAnsi="Segoe UI" w:cs="Segoe UI"/>
        </w:rPr>
        <w:t xml:space="preserve">This submission is for the Committee’s </w:t>
      </w:r>
      <w:r w:rsidR="00E30DAE">
        <w:rPr>
          <w:rFonts w:ascii="Segoe UI" w:hAnsi="Segoe UI" w:cs="Segoe UI"/>
        </w:rPr>
        <w:t>seventh</w:t>
      </w:r>
      <w:r w:rsidRPr="007D19C3">
        <w:rPr>
          <w:rFonts w:ascii="Segoe UI" w:hAnsi="Segoe UI" w:cs="Segoe UI"/>
        </w:rPr>
        <w:t xml:space="preserve"> periodic review of New Zealand under the United Nations Convention against Torture and Other Cruel, Inhuman or Degrading Treatment or Punishment (CAT) and the State Report </w:t>
      </w:r>
      <w:r w:rsidRPr="007D19C3">
        <w:rPr>
          <w:rFonts w:ascii="Segoe UI" w:hAnsi="Segoe UI" w:cs="Segoe UI"/>
        </w:rPr>
        <w:lastRenderedPageBreak/>
        <w:t>dated 16 March 2020.</w:t>
      </w:r>
      <w:r w:rsidRPr="007D19C3">
        <w:rPr>
          <w:rStyle w:val="FootnoteReference"/>
          <w:rFonts w:ascii="Segoe UI" w:hAnsi="Segoe UI" w:cs="Segoe UI"/>
        </w:rPr>
        <w:footnoteReference w:id="3"/>
      </w:r>
      <w:r w:rsidRPr="007D19C3">
        <w:rPr>
          <w:rFonts w:ascii="Segoe UI" w:hAnsi="Segoe UI" w:cs="Segoe UI"/>
        </w:rPr>
        <w:t xml:space="preserve"> This submission is provided in response to the Committee’s List of Issues Prior to Reporting (LOIPR) to the New Zealand Government dated 9 June 2017.</w:t>
      </w:r>
      <w:r w:rsidRPr="007D19C3">
        <w:rPr>
          <w:rStyle w:val="FootnoteReference"/>
          <w:rFonts w:ascii="Segoe UI" w:hAnsi="Segoe UI" w:cs="Segoe UI"/>
        </w:rPr>
        <w:footnoteReference w:id="4"/>
      </w:r>
    </w:p>
    <w:p w14:paraId="43C2B153" w14:textId="131E4702" w:rsidR="00EF2505" w:rsidRPr="007D19C3" w:rsidRDefault="00EF2505" w:rsidP="0047540F">
      <w:pPr>
        <w:pStyle w:val="ListNumber"/>
        <w:jc w:val="both"/>
        <w:rPr>
          <w:rFonts w:ascii="Segoe UI" w:hAnsi="Segoe UI" w:cs="Segoe UI"/>
        </w:rPr>
      </w:pPr>
      <w:r w:rsidRPr="007D19C3">
        <w:rPr>
          <w:rFonts w:ascii="Segoe UI" w:hAnsi="Segoe UI" w:cs="Segoe UI"/>
        </w:rPr>
        <w:t xml:space="preserve">This report will focus specifically on mokopuna (children </w:t>
      </w:r>
      <w:r w:rsidR="00935A64">
        <w:rPr>
          <w:rFonts w:ascii="Segoe UI" w:hAnsi="Segoe UI" w:cs="Segoe UI"/>
        </w:rPr>
        <w:t>and young people</w:t>
      </w:r>
      <w:r w:rsidR="00E30DAE">
        <w:rPr>
          <w:rFonts w:ascii="Segoe UI" w:hAnsi="Segoe UI" w:cs="Segoe UI"/>
        </w:rPr>
        <w:t xml:space="preserve"> </w:t>
      </w:r>
      <w:r w:rsidR="008E133B">
        <w:rPr>
          <w:rFonts w:ascii="Segoe UI" w:hAnsi="Segoe UI" w:cs="Segoe UI"/>
        </w:rPr>
        <w:t>aged under 18 years</w:t>
      </w:r>
      <w:r w:rsidRPr="007D19C3">
        <w:rPr>
          <w:rFonts w:ascii="Segoe UI" w:hAnsi="Segoe UI" w:cs="Segoe UI"/>
        </w:rPr>
        <w:t xml:space="preserve">) and is structured against the items listed in the LOIPR. It sets out proposed recommendations at page </w:t>
      </w:r>
      <w:r w:rsidR="00195649">
        <w:rPr>
          <w:rFonts w:ascii="Segoe UI" w:hAnsi="Segoe UI" w:cs="Segoe UI"/>
        </w:rPr>
        <w:t>29</w:t>
      </w:r>
      <w:r w:rsidRPr="007D19C3">
        <w:rPr>
          <w:rFonts w:ascii="Segoe UI" w:hAnsi="Segoe UI" w:cs="Segoe UI"/>
        </w:rPr>
        <w:t xml:space="preserve"> for the Committee to consider when formulating its Concluding Observations.</w:t>
      </w:r>
    </w:p>
    <w:p w14:paraId="350CF113" w14:textId="77777777" w:rsidR="00EF2505" w:rsidRPr="007D19C3" w:rsidRDefault="00EF2505" w:rsidP="0047540F">
      <w:pPr>
        <w:pStyle w:val="ListNumber"/>
        <w:jc w:val="both"/>
        <w:rPr>
          <w:rFonts w:ascii="Segoe UI" w:hAnsi="Segoe UI" w:cs="Segoe UI"/>
        </w:rPr>
      </w:pPr>
      <w:r w:rsidRPr="007D19C3">
        <w:rPr>
          <w:rFonts w:ascii="Segoe UI" w:hAnsi="Segoe UI" w:cs="Segoe UI"/>
        </w:rPr>
        <w:t>The OCC is one of five NPMs in New Zealand, with activities coordinated by the Central NPM; Te Kāhui Tika Tangata (the Human Rights Commission). Other NPMs may provide individual submissions under their respective mandates, which the OCC supports.</w:t>
      </w:r>
    </w:p>
    <w:p w14:paraId="4645A5E1" w14:textId="5288C70F" w:rsidR="00EF2505" w:rsidRPr="005E03A8" w:rsidRDefault="00EF2505" w:rsidP="0047540F">
      <w:pPr>
        <w:pStyle w:val="ListNumber"/>
        <w:jc w:val="both"/>
        <w:rPr>
          <w:rFonts w:ascii="Segoe UI" w:hAnsi="Segoe UI" w:cs="Segoe UI"/>
        </w:rPr>
      </w:pPr>
      <w:r w:rsidRPr="007D19C3">
        <w:rPr>
          <w:rFonts w:ascii="Segoe UI" w:hAnsi="Segoe UI" w:cs="Segoe UI"/>
        </w:rPr>
        <w:t xml:space="preserve">The OCC notes positive progress from the New Zealand Government in protecting and upholding human </w:t>
      </w:r>
      <w:r w:rsidRPr="007D19C3">
        <w:rPr>
          <w:rFonts w:ascii="Segoe UI" w:hAnsi="Segoe UI" w:cs="Segoe UI"/>
          <w:lang w:val="en-AU"/>
        </w:rPr>
        <w:t>rights</w:t>
      </w:r>
      <w:r w:rsidRPr="007D19C3">
        <w:rPr>
          <w:rFonts w:ascii="Segoe UI" w:hAnsi="Segoe UI" w:cs="Segoe UI"/>
        </w:rPr>
        <w:t xml:space="preserve">, including key developments and legislative changes listed </w:t>
      </w:r>
      <w:r w:rsidRPr="005E03A8">
        <w:rPr>
          <w:rFonts w:ascii="Segoe UI" w:hAnsi="Segoe UI" w:cs="Segoe UI"/>
        </w:rPr>
        <w:t xml:space="preserve">in the </w:t>
      </w:r>
      <w:r w:rsidR="00DD006B" w:rsidRPr="005E03A8">
        <w:rPr>
          <w:rFonts w:ascii="Segoe UI" w:hAnsi="Segoe UI" w:cs="Segoe UI"/>
        </w:rPr>
        <w:t>State</w:t>
      </w:r>
      <w:r w:rsidRPr="005E03A8">
        <w:rPr>
          <w:rFonts w:ascii="Segoe UI" w:hAnsi="Segoe UI" w:cs="Segoe UI"/>
        </w:rPr>
        <w:t xml:space="preserve"> </w:t>
      </w:r>
      <w:r w:rsidR="00DD006B" w:rsidRPr="005E03A8">
        <w:rPr>
          <w:rFonts w:ascii="Segoe UI" w:hAnsi="Segoe UI" w:cs="Segoe UI"/>
        </w:rPr>
        <w:t>R</w:t>
      </w:r>
      <w:r w:rsidRPr="005E03A8">
        <w:rPr>
          <w:rFonts w:ascii="Segoe UI" w:hAnsi="Segoe UI" w:cs="Segoe UI"/>
        </w:rPr>
        <w:t>eport.</w:t>
      </w:r>
      <w:r w:rsidRPr="005E03A8">
        <w:rPr>
          <w:rStyle w:val="FootnoteReference"/>
          <w:rFonts w:ascii="Segoe UI" w:hAnsi="Segoe UI" w:cs="Segoe UI"/>
        </w:rPr>
        <w:footnoteReference w:id="5"/>
      </w:r>
      <w:r w:rsidRPr="005E03A8">
        <w:rPr>
          <w:rFonts w:ascii="Segoe UI" w:hAnsi="Segoe UI" w:cs="Segoe UI"/>
        </w:rPr>
        <w:t xml:space="preserve"> However, there continue to be issues of concern for mokopuna, which are detailed in this </w:t>
      </w:r>
      <w:r w:rsidR="00DD006B" w:rsidRPr="005E03A8">
        <w:rPr>
          <w:rFonts w:ascii="Segoe UI" w:hAnsi="Segoe UI" w:cs="Segoe UI"/>
        </w:rPr>
        <w:t>submission</w:t>
      </w:r>
      <w:r w:rsidRPr="005E03A8">
        <w:rPr>
          <w:rFonts w:ascii="Segoe UI" w:hAnsi="Segoe UI" w:cs="Segoe UI"/>
        </w:rPr>
        <w:t>.</w:t>
      </w:r>
    </w:p>
    <w:p w14:paraId="56A0E6C5" w14:textId="0744CCFF" w:rsidR="00CB6202" w:rsidRPr="005E03A8" w:rsidRDefault="00CB6202" w:rsidP="0047540F">
      <w:pPr>
        <w:pStyle w:val="ListNumber"/>
        <w:jc w:val="both"/>
        <w:rPr>
          <w:rFonts w:ascii="Segoe UI" w:hAnsi="Segoe UI" w:cs="Segoe UI"/>
        </w:rPr>
      </w:pPr>
      <w:r w:rsidRPr="005E03A8">
        <w:rPr>
          <w:rFonts w:ascii="Segoe UI" w:hAnsi="Segoe UI" w:cs="Segoe UI"/>
        </w:rPr>
        <w:t>Contact details</w:t>
      </w:r>
      <w:r w:rsidR="005E03A8" w:rsidRPr="005E03A8">
        <w:rPr>
          <w:rFonts w:ascii="Segoe UI" w:hAnsi="Segoe UI" w:cs="Segoe UI"/>
        </w:rPr>
        <w:t xml:space="preserve">: </w:t>
      </w:r>
      <w:hyperlink r:id="rId17" w:history="1">
        <w:r w:rsidR="00E30DAE" w:rsidRPr="00066BC6">
          <w:rPr>
            <w:rStyle w:val="Hyperlink"/>
          </w:rPr>
          <w:t>C.Burrage@occ.org.nz</w:t>
        </w:r>
      </w:hyperlink>
      <w:r w:rsidR="00E30DAE">
        <w:t xml:space="preserve">  </w:t>
      </w:r>
    </w:p>
    <w:p w14:paraId="0577B99D" w14:textId="6D903DE5" w:rsidR="007D19C3" w:rsidRDefault="007D19C3" w:rsidP="005E03A8">
      <w:pPr>
        <w:rPr>
          <w:lang w:val="en-AU"/>
        </w:rPr>
      </w:pPr>
    </w:p>
    <w:p w14:paraId="751F3810" w14:textId="77777777" w:rsidR="006D5938" w:rsidRDefault="006D5938">
      <w:pPr>
        <w:rPr>
          <w:rFonts w:eastAsia="MS Gothic"/>
          <w:b/>
          <w:bCs/>
          <w:color w:val="C32026"/>
          <w:sz w:val="48"/>
          <w:szCs w:val="28"/>
          <w:lang w:val="en-AU"/>
        </w:rPr>
      </w:pPr>
      <w:r>
        <w:rPr>
          <w:rFonts w:eastAsia="MS Gothic"/>
          <w:b/>
          <w:bCs/>
          <w:color w:val="C32026"/>
          <w:sz w:val="48"/>
          <w:szCs w:val="28"/>
          <w:lang w:val="en-AU"/>
        </w:rPr>
        <w:br w:type="page"/>
      </w:r>
    </w:p>
    <w:p w14:paraId="34338EC2" w14:textId="77777777" w:rsidR="0007737A" w:rsidRDefault="0007737A" w:rsidP="0007737A">
      <w:pPr>
        <w:rPr>
          <w:lang w:val="en-AU"/>
        </w:rPr>
      </w:pPr>
    </w:p>
    <w:p w14:paraId="18C4D0C8" w14:textId="668C6CB7" w:rsidR="00693B94" w:rsidRDefault="00EF2505" w:rsidP="00ED20FE">
      <w:pPr>
        <w:keepNext/>
        <w:keepLines/>
        <w:widowControl/>
        <w:autoSpaceDE/>
        <w:autoSpaceDN/>
        <w:spacing w:after="240" w:line="560" w:lineRule="exact"/>
        <w:outlineLvl w:val="0"/>
        <w:rPr>
          <w:rFonts w:eastAsia="MS Gothic"/>
          <w:b/>
          <w:bCs/>
          <w:color w:val="C32026"/>
          <w:sz w:val="48"/>
          <w:szCs w:val="28"/>
          <w:lang w:val="en-AU"/>
        </w:rPr>
      </w:pPr>
      <w:r>
        <w:rPr>
          <w:rFonts w:eastAsia="MS Gothic"/>
          <w:b/>
          <w:bCs/>
          <w:color w:val="C32026"/>
          <w:sz w:val="48"/>
          <w:szCs w:val="28"/>
          <w:lang w:val="en-AU"/>
        </w:rPr>
        <w:t>Background</w:t>
      </w:r>
    </w:p>
    <w:p w14:paraId="6132EAF8" w14:textId="77777777" w:rsidR="00EF2505" w:rsidRPr="00B72853" w:rsidRDefault="00EF2505" w:rsidP="00EF2505">
      <w:pPr>
        <w:pStyle w:val="Heading4"/>
      </w:pPr>
      <w:r>
        <w:t>Te Tiriti o Waitangi/The Treaty of Waitangi</w:t>
      </w:r>
    </w:p>
    <w:p w14:paraId="67586A2F" w14:textId="75790FC6"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lang w:val="en-AU"/>
        </w:rPr>
        <w:t>Te Tiriti o Waitangi (Te Tiriti) is the founding legal document of New Zealand, which was signed between the British Crown and Māori rangatira (chiefs) in 1840.</w:t>
      </w:r>
      <w:r w:rsidRPr="007D19C3">
        <w:rPr>
          <w:rStyle w:val="FootnoteReference"/>
          <w:rFonts w:ascii="Segoe UI" w:hAnsi="Segoe UI" w:cs="Segoe UI"/>
          <w:lang w:val="en-AU"/>
        </w:rPr>
        <w:footnoteReference w:id="6"/>
      </w:r>
      <w:r w:rsidRPr="007D19C3">
        <w:rPr>
          <w:rFonts w:ascii="Segoe UI" w:hAnsi="Segoe UI" w:cs="Segoe UI"/>
          <w:lang w:val="en-AU"/>
        </w:rPr>
        <w:t xml:space="preserve"> Te Tiriti affirmed the pre-existing rights of Māori and provided authority for the Crown and its subjects to reside in New Zealand.</w:t>
      </w:r>
    </w:p>
    <w:p w14:paraId="676A5F9B" w14:textId="34F86DDF"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lang w:val="en-AU"/>
        </w:rPr>
        <w:t>Te Tiriti guaranteed that Māori would continue to exercise tino rangatiratanga</w:t>
      </w:r>
      <w:r w:rsidRPr="007D19C3">
        <w:rPr>
          <w:rStyle w:val="FootnoteReference"/>
          <w:rFonts w:ascii="Segoe UI" w:hAnsi="Segoe UI" w:cs="Segoe UI"/>
          <w:lang w:val="en-AU"/>
        </w:rPr>
        <w:footnoteReference w:id="7"/>
      </w:r>
      <w:r w:rsidRPr="007D19C3">
        <w:rPr>
          <w:rFonts w:ascii="Segoe UI" w:hAnsi="Segoe UI" w:cs="Segoe UI"/>
          <w:lang w:val="en-AU"/>
        </w:rPr>
        <w:t xml:space="preserve"> (absolute authority) over their peoples, whenua (lands), resources, kāinga (homes, villages) and taonga (including mokopuna Māori</w:t>
      </w:r>
      <w:r w:rsidRPr="007D19C3">
        <w:rPr>
          <w:rStyle w:val="FootnoteReference"/>
          <w:rFonts w:ascii="Segoe UI" w:hAnsi="Segoe UI" w:cs="Segoe UI"/>
          <w:lang w:val="en-AU"/>
        </w:rPr>
        <w:footnoteReference w:id="8"/>
      </w:r>
      <w:r w:rsidRPr="007D19C3">
        <w:rPr>
          <w:rFonts w:ascii="Segoe UI" w:hAnsi="Segoe UI" w:cs="Segoe UI"/>
          <w:lang w:val="en-AU"/>
        </w:rPr>
        <w:t>) in accordance with tikanga Māori (Māori laws and customs), whilst also providing kāwanatanga</w:t>
      </w:r>
      <w:r w:rsidRPr="007D19C3">
        <w:rPr>
          <w:rStyle w:val="FootnoteReference"/>
          <w:rFonts w:ascii="Segoe UI" w:hAnsi="Segoe UI" w:cs="Segoe UI"/>
          <w:lang w:val="en-AU"/>
        </w:rPr>
        <w:footnoteReference w:id="9"/>
      </w:r>
      <w:r w:rsidRPr="007D19C3">
        <w:rPr>
          <w:rFonts w:ascii="Segoe UI" w:hAnsi="Segoe UI" w:cs="Segoe UI"/>
          <w:lang w:val="en-AU"/>
        </w:rPr>
        <w:t xml:space="preserve"> (governance) obligations on the Crown to govern its peoples under its own laws. </w:t>
      </w:r>
    </w:p>
    <w:p w14:paraId="727368EF" w14:textId="5D7D6E02"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lang w:val="en-AU"/>
        </w:rPr>
        <w:lastRenderedPageBreak/>
        <w:t>The intention of Te Tiriti was that two systems would operate simultaneously and share power and authority as equals, with details of the relationship to be negotiated over time.</w:t>
      </w:r>
      <w:r w:rsidRPr="007D19C3">
        <w:rPr>
          <w:rStyle w:val="FootnoteReference"/>
          <w:rFonts w:ascii="Segoe UI" w:hAnsi="Segoe UI" w:cs="Segoe UI"/>
          <w:lang w:val="en-AU"/>
        </w:rPr>
        <w:footnoteReference w:id="10"/>
      </w:r>
    </w:p>
    <w:p w14:paraId="508D8672" w14:textId="77777777"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lang w:val="en-AU"/>
        </w:rPr>
        <w:t>Te Tiriti further guaranteed Māori equal citizenship rights and privileges, placing obligations on the Crown to ensure equity for Māori alongside other New Zealanders.</w:t>
      </w:r>
      <w:r w:rsidRPr="007D19C3">
        <w:rPr>
          <w:rStyle w:val="FootnoteReference"/>
          <w:rFonts w:ascii="Segoe UI" w:hAnsi="Segoe UI" w:cs="Segoe UI"/>
          <w:lang w:val="en-AU"/>
        </w:rPr>
        <w:footnoteReference w:id="11"/>
      </w:r>
    </w:p>
    <w:p w14:paraId="1A01295C" w14:textId="3DB4E813" w:rsidR="00EF2505" w:rsidRPr="007D19C3" w:rsidRDefault="00EF2505" w:rsidP="0047540F">
      <w:pPr>
        <w:pStyle w:val="ListNumber"/>
        <w:ind w:left="567" w:hanging="567"/>
        <w:jc w:val="both"/>
        <w:rPr>
          <w:rFonts w:ascii="Segoe UI" w:hAnsi="Segoe UI" w:cs="Segoe UI"/>
          <w:lang w:val="en-AU"/>
        </w:rPr>
      </w:pPr>
      <w:bookmarkStart w:id="2" w:name="_Hlk136161138"/>
      <w:r w:rsidRPr="007D19C3">
        <w:rPr>
          <w:rFonts w:ascii="Segoe UI" w:hAnsi="Segoe UI" w:cs="Segoe UI"/>
          <w:lang w:val="en-AU"/>
        </w:rPr>
        <w:t>Te Tiriti is the constitutional framework and context within which international human rights, standards and guidance</w:t>
      </w:r>
      <w:r w:rsidR="004C342B">
        <w:rPr>
          <w:rFonts w:ascii="Segoe UI" w:hAnsi="Segoe UI" w:cs="Segoe UI"/>
          <w:lang w:val="en-AU"/>
        </w:rPr>
        <w:t xml:space="preserve"> (including the CAT)</w:t>
      </w:r>
      <w:r w:rsidRPr="007D19C3">
        <w:rPr>
          <w:rFonts w:ascii="Segoe UI" w:hAnsi="Segoe UI" w:cs="Segoe UI"/>
          <w:lang w:val="en-AU"/>
        </w:rPr>
        <w:t xml:space="preserve"> must be applied and interpreted. This </w:t>
      </w:r>
      <w:r w:rsidR="004C342B">
        <w:rPr>
          <w:lang w:val="en-AU"/>
        </w:rPr>
        <w:t xml:space="preserve">approach is fundamental to upholding the human rights of all mokopuna in New Zealand, especially mokopuna Māori </w:t>
      </w:r>
      <w:r w:rsidR="004C342B" w:rsidRPr="007D19C3">
        <w:rPr>
          <w:rFonts w:ascii="Segoe UI" w:hAnsi="Segoe UI" w:cs="Segoe UI"/>
        </w:rPr>
        <w:t>(M</w:t>
      </w:r>
      <w:r w:rsidR="004C342B" w:rsidRPr="007D19C3">
        <w:rPr>
          <w:rFonts w:ascii="Segoe UI" w:hAnsi="Segoe UI" w:cs="Segoe UI"/>
          <w:lang w:val="mi-NZ"/>
        </w:rPr>
        <w:t xml:space="preserve">āori </w:t>
      </w:r>
      <w:r w:rsidR="004C342B" w:rsidRPr="007D19C3">
        <w:rPr>
          <w:rFonts w:ascii="Segoe UI" w:hAnsi="Segoe UI" w:cs="Segoe UI"/>
        </w:rPr>
        <w:t>children and young people)</w:t>
      </w:r>
      <w:r w:rsidR="004C342B">
        <w:rPr>
          <w:lang w:val="en-AU"/>
        </w:rPr>
        <w:t xml:space="preserve">, and </w:t>
      </w:r>
      <w:r w:rsidRPr="007D19C3">
        <w:rPr>
          <w:rFonts w:ascii="Segoe UI" w:hAnsi="Segoe UI" w:cs="Segoe UI"/>
          <w:lang w:val="en-AU"/>
        </w:rPr>
        <w:t>is affirmed and reinforced under Articles 18 and 19 of the United Nations Declaration on the Rights of Indigenous Peoples (UNDRIP).</w:t>
      </w:r>
    </w:p>
    <w:p w14:paraId="405BBB1B" w14:textId="48CDBB5B" w:rsidR="00EF2505" w:rsidRPr="007D19C3" w:rsidRDefault="00EF2505" w:rsidP="0047540F">
      <w:pPr>
        <w:pStyle w:val="ListNumber"/>
        <w:ind w:left="567" w:hanging="567"/>
        <w:jc w:val="both"/>
        <w:rPr>
          <w:rFonts w:ascii="Segoe UI" w:hAnsi="Segoe UI" w:cs="Segoe UI"/>
          <w:lang w:val="en-AU"/>
        </w:rPr>
      </w:pPr>
      <w:bookmarkStart w:id="3" w:name="_Hlk136161153"/>
      <w:bookmarkEnd w:id="2"/>
      <w:r w:rsidRPr="007D19C3">
        <w:rPr>
          <w:rFonts w:ascii="Segoe UI" w:hAnsi="Segoe UI" w:cs="Segoe UI"/>
          <w:lang w:val="en-AU"/>
        </w:rPr>
        <w:t xml:space="preserve">Mokopuna Māori </w:t>
      </w:r>
      <w:r w:rsidRPr="007D19C3">
        <w:rPr>
          <w:rFonts w:ascii="Segoe UI" w:hAnsi="Segoe UI" w:cs="Segoe UI"/>
        </w:rPr>
        <w:t xml:space="preserve">therefore </w:t>
      </w:r>
      <w:r w:rsidRPr="007D19C3">
        <w:rPr>
          <w:rFonts w:ascii="Segoe UI" w:hAnsi="Segoe UI" w:cs="Segoe UI"/>
          <w:lang w:val="en-AU"/>
        </w:rPr>
        <w:t>have unique rights as tangata whenua (indigenous peoples) in accordance with tikanga Māori, as treaty partners, and as indigenous children. Mokopuna Māori have human rights as indigenous children under domestic and international law, including Te Tiriti, UNDRIP and the Children’s Convention.</w:t>
      </w:r>
    </w:p>
    <w:bookmarkEnd w:id="3"/>
    <w:p w14:paraId="36EBC688" w14:textId="71CBB2DA"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rPr>
        <w:t xml:space="preserve">However, </w:t>
      </w:r>
      <w:r w:rsidR="008E133B">
        <w:rPr>
          <w:rFonts w:ascii="Segoe UI" w:hAnsi="Segoe UI" w:cs="Segoe UI"/>
        </w:rPr>
        <w:t xml:space="preserve">historic and </w:t>
      </w:r>
      <w:r w:rsidRPr="007D19C3">
        <w:rPr>
          <w:rFonts w:ascii="Segoe UI" w:hAnsi="Segoe UI" w:cs="Segoe UI"/>
        </w:rPr>
        <w:t xml:space="preserve">ongoing systemic inequities and structural racism experienced by mokopuna Māori is </w:t>
      </w:r>
      <w:r w:rsidRPr="007D19C3">
        <w:rPr>
          <w:rFonts w:ascii="Segoe UI" w:hAnsi="Segoe UI" w:cs="Segoe UI"/>
          <w:lang w:val="en-AU"/>
        </w:rPr>
        <w:t xml:space="preserve">evidence of the continued breaches </w:t>
      </w:r>
      <w:r w:rsidRPr="007D19C3">
        <w:rPr>
          <w:rFonts w:ascii="Segoe UI" w:hAnsi="Segoe UI" w:cs="Segoe UI"/>
          <w:lang w:val="en-AU"/>
        </w:rPr>
        <w:lastRenderedPageBreak/>
        <w:t>of Te Tiriti and failure of the Crown to honour the promises of partnership it gave to Māori.</w:t>
      </w:r>
    </w:p>
    <w:p w14:paraId="4DB5F8E3" w14:textId="34FB762D"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lang w:val="en-AU"/>
        </w:rPr>
        <w:t xml:space="preserve">Mokopuna Māori remain disproportionately represented in places of detention, abuse and harm statistics, rates of </w:t>
      </w:r>
      <w:r w:rsidR="00DD006B">
        <w:t>use of force (restraint) and secure care (seclusion)</w:t>
      </w:r>
      <w:r w:rsidRPr="007D19C3">
        <w:rPr>
          <w:rFonts w:ascii="Segoe UI" w:hAnsi="Segoe UI" w:cs="Segoe UI"/>
          <w:lang w:val="en-AU"/>
        </w:rPr>
        <w:t xml:space="preserve">, solitary confinement, use of </w:t>
      </w:r>
      <w:r w:rsidR="00882786">
        <w:rPr>
          <w:rFonts w:ascii="Segoe UI" w:hAnsi="Segoe UI" w:cs="Segoe UI"/>
          <w:lang w:val="en-AU"/>
        </w:rPr>
        <w:t xml:space="preserve">less than </w:t>
      </w:r>
      <w:r w:rsidRPr="007D19C3">
        <w:rPr>
          <w:rFonts w:ascii="Segoe UI" w:hAnsi="Segoe UI" w:cs="Segoe UI"/>
          <w:lang w:val="en-AU"/>
        </w:rPr>
        <w:t>lethal devices, rates of suicide,</w:t>
      </w:r>
      <w:r w:rsidR="00882786">
        <w:rPr>
          <w:rFonts w:ascii="Segoe UI" w:hAnsi="Segoe UI" w:cs="Segoe UI"/>
          <w:lang w:val="en-AU"/>
        </w:rPr>
        <w:t xml:space="preserve"> </w:t>
      </w:r>
      <w:r w:rsidRPr="007D19C3">
        <w:rPr>
          <w:rFonts w:ascii="Segoe UI" w:hAnsi="Segoe UI" w:cs="Segoe UI"/>
          <w:lang w:val="en-AU"/>
        </w:rPr>
        <w:t>poor mental health</w:t>
      </w:r>
      <w:r w:rsidR="00882786">
        <w:rPr>
          <w:rFonts w:ascii="Segoe UI" w:hAnsi="Segoe UI" w:cs="Segoe UI"/>
          <w:lang w:val="en-AU"/>
        </w:rPr>
        <w:t xml:space="preserve"> outcomes</w:t>
      </w:r>
      <w:r w:rsidRPr="007D19C3">
        <w:rPr>
          <w:rFonts w:ascii="Segoe UI" w:hAnsi="Segoe UI" w:cs="Segoe UI"/>
          <w:lang w:val="en-AU"/>
        </w:rPr>
        <w:t>, and youth offending rates, among other indicators.</w:t>
      </w:r>
    </w:p>
    <w:p w14:paraId="0CD362DF" w14:textId="0B2F990C" w:rsidR="00EF2505" w:rsidRPr="008E133B" w:rsidRDefault="00EF2505" w:rsidP="0047540F">
      <w:pPr>
        <w:pStyle w:val="ListNumber"/>
        <w:ind w:left="567" w:hanging="567"/>
        <w:jc w:val="both"/>
        <w:rPr>
          <w:rFonts w:ascii="Segoe UI" w:hAnsi="Segoe UI" w:cs="Segoe UI"/>
          <w:lang w:val="en-AU"/>
        </w:rPr>
      </w:pPr>
      <w:r w:rsidRPr="007D19C3">
        <w:rPr>
          <w:rFonts w:ascii="Segoe UI" w:hAnsi="Segoe UI" w:cs="Segoe UI"/>
          <w:lang w:val="en-AU"/>
        </w:rPr>
        <w:t>The ongoing systemic inequities experienced by Māori in places of detention are also detailed in reports</w:t>
      </w:r>
      <w:r w:rsidRPr="007D19C3">
        <w:rPr>
          <w:rFonts w:ascii="Segoe UI" w:hAnsi="Segoe UI" w:cs="Segoe UI"/>
        </w:rPr>
        <w:t xml:space="preserve"> from other </w:t>
      </w:r>
      <w:r w:rsidR="00882B45">
        <w:rPr>
          <w:rFonts w:ascii="Segoe UI" w:hAnsi="Segoe UI" w:cs="Segoe UI"/>
        </w:rPr>
        <w:t>NPMs</w:t>
      </w:r>
      <w:r w:rsidRPr="007D19C3">
        <w:rPr>
          <w:rFonts w:ascii="Segoe UI" w:hAnsi="Segoe UI" w:cs="Segoe UI"/>
        </w:rPr>
        <w:t>, reiterating that for as long as Te Tiriti continues to be breached and colonial systems and structures remain unchanged, Māori (particularly mokopuna Māori) will continue to be placed at risk of torture and other cruel, inhuman or degrading treatment or punishment.</w:t>
      </w:r>
    </w:p>
    <w:p w14:paraId="3C0F2432" w14:textId="588F4EA0" w:rsidR="008E133B" w:rsidRPr="008E133B" w:rsidRDefault="008E133B" w:rsidP="008E133B">
      <w:pPr>
        <w:pStyle w:val="ListNumber"/>
        <w:ind w:left="567" w:hanging="567"/>
        <w:jc w:val="both"/>
        <w:rPr>
          <w:rFonts w:ascii="Segoe UI" w:hAnsi="Segoe UI" w:cs="Segoe UI"/>
          <w:lang w:val="en-AU"/>
        </w:rPr>
      </w:pPr>
      <w:r>
        <w:rPr>
          <w:rFonts w:ascii="Segoe UI" w:hAnsi="Segoe UI" w:cs="Segoe UI"/>
          <w:lang w:val="en-AU"/>
        </w:rPr>
        <w:t xml:space="preserve">Amending </w:t>
      </w:r>
      <w:r w:rsidRPr="007D19C3">
        <w:rPr>
          <w:rFonts w:ascii="Segoe UI" w:hAnsi="Segoe UI" w:cs="Segoe UI"/>
          <w:lang w:val="en-AU"/>
        </w:rPr>
        <w:t>the Crimes of Torture Act 1989 to include explicit obligations on the Government, as well as all NPMs</w:t>
      </w:r>
      <w:r>
        <w:rPr>
          <w:rFonts w:ascii="Segoe UI" w:hAnsi="Segoe UI" w:cs="Segoe UI"/>
          <w:lang w:val="en-AU"/>
        </w:rPr>
        <w:t>,</w:t>
      </w:r>
      <w:r w:rsidRPr="007D19C3">
        <w:rPr>
          <w:rFonts w:ascii="Segoe UI" w:hAnsi="Segoe UI" w:cs="Segoe UI"/>
          <w:lang w:val="en-AU"/>
        </w:rPr>
        <w:t xml:space="preserve"> to actively uphold its obligations under Te Tiriti</w:t>
      </w:r>
      <w:r>
        <w:rPr>
          <w:rFonts w:ascii="Segoe UI" w:hAnsi="Segoe UI" w:cs="Segoe UI"/>
          <w:lang w:val="en-AU"/>
        </w:rPr>
        <w:t xml:space="preserve"> would help to address the </w:t>
      </w:r>
      <w:r w:rsidRPr="007D19C3">
        <w:rPr>
          <w:rFonts w:ascii="Segoe UI" w:hAnsi="Segoe UI" w:cs="Segoe UI"/>
          <w:lang w:val="en-AU"/>
        </w:rPr>
        <w:t>ongoing systemic inequities experienced by Māori in places of detention.</w:t>
      </w:r>
      <w:r>
        <w:rPr>
          <w:rFonts w:ascii="Segoe UI" w:hAnsi="Segoe UI" w:cs="Segoe UI"/>
          <w:lang w:val="en-AU"/>
        </w:rPr>
        <w:t xml:space="preserve"> For reference, the Committee may wish to refer to the Te Tiriti obligations as expressed under s 7AA of the </w:t>
      </w:r>
      <w:hyperlink r:id="rId18" w:history="1">
        <w:r w:rsidRPr="008424DE">
          <w:rPr>
            <w:rStyle w:val="Hyperlink"/>
            <w:rFonts w:ascii="Segoe UI" w:hAnsi="Segoe UI" w:cs="Segoe UI"/>
            <w:lang w:val="en-AU"/>
          </w:rPr>
          <w:t>Oranga Tamariki Act 1989</w:t>
        </w:r>
      </w:hyperlink>
      <w:r>
        <w:rPr>
          <w:rFonts w:ascii="Segoe UI" w:hAnsi="Segoe UI" w:cs="Segoe UI"/>
          <w:lang w:val="en-AU"/>
        </w:rPr>
        <w:t xml:space="preserve"> or s 6 of the </w:t>
      </w:r>
      <w:hyperlink r:id="rId19" w:history="1">
        <w:r w:rsidRPr="007D19C3">
          <w:rPr>
            <w:rStyle w:val="Hyperlink"/>
            <w:rFonts w:ascii="Segoe UI" w:hAnsi="Segoe UI" w:cs="Segoe UI"/>
          </w:rPr>
          <w:t>Children and Young People's Commission Act 2022</w:t>
        </w:r>
      </w:hyperlink>
      <w:r>
        <w:rPr>
          <w:rStyle w:val="Hyperlink"/>
          <w:rFonts w:ascii="Segoe UI" w:hAnsi="Segoe UI" w:cs="Segoe UI"/>
        </w:rPr>
        <w:t>.</w:t>
      </w:r>
    </w:p>
    <w:p w14:paraId="2484AAB4" w14:textId="77777777" w:rsidR="00EF2505" w:rsidRPr="00B72853" w:rsidRDefault="00EF2505" w:rsidP="00EF2505">
      <w:pPr>
        <w:pStyle w:val="Heading4"/>
        <w:rPr>
          <w:lang w:val="en-AU"/>
        </w:rPr>
      </w:pPr>
      <w:r>
        <w:rPr>
          <w:lang w:val="en-AU"/>
        </w:rPr>
        <w:t>New Oversight System and Legislative Changes</w:t>
      </w:r>
    </w:p>
    <w:p w14:paraId="10957CE2" w14:textId="469281B1" w:rsidR="00EF2505" w:rsidRPr="007D19C3" w:rsidRDefault="00EF2505" w:rsidP="0047540F">
      <w:pPr>
        <w:pStyle w:val="ListNumber"/>
        <w:ind w:left="567" w:hanging="567"/>
        <w:jc w:val="both"/>
        <w:rPr>
          <w:rFonts w:ascii="Segoe UI" w:hAnsi="Segoe UI" w:cs="Segoe UI"/>
        </w:rPr>
      </w:pPr>
      <w:r w:rsidRPr="007D19C3">
        <w:rPr>
          <w:rFonts w:ascii="Segoe UI" w:hAnsi="Segoe UI" w:cs="Segoe UI"/>
        </w:rPr>
        <w:lastRenderedPageBreak/>
        <w:t xml:space="preserve">On 1 July </w:t>
      </w:r>
      <w:r w:rsidRPr="007D19C3">
        <w:rPr>
          <w:rFonts w:ascii="Segoe UI" w:hAnsi="Segoe UI" w:cs="Segoe UI"/>
          <w:lang w:val="en-AU"/>
        </w:rPr>
        <w:t>2023</w:t>
      </w:r>
      <w:r w:rsidRPr="007D19C3">
        <w:rPr>
          <w:rFonts w:ascii="Segoe UI" w:hAnsi="Segoe UI" w:cs="Segoe UI"/>
        </w:rPr>
        <w:t>, the OCC will transition into a Children and Young People’s Commission</w:t>
      </w:r>
      <w:r w:rsidR="00754536">
        <w:rPr>
          <w:rFonts w:ascii="Segoe UI" w:hAnsi="Segoe UI" w:cs="Segoe UI"/>
        </w:rPr>
        <w:t xml:space="preserve"> (the Commission)</w:t>
      </w:r>
      <w:r w:rsidR="00574CF6">
        <w:rPr>
          <w:rFonts w:ascii="Segoe UI" w:hAnsi="Segoe UI" w:cs="Segoe UI"/>
        </w:rPr>
        <w:t xml:space="preserve">, comprising a Board of up to </w:t>
      </w:r>
      <w:r w:rsidR="00754536">
        <w:rPr>
          <w:rFonts w:ascii="Segoe UI" w:hAnsi="Segoe UI" w:cs="Segoe UI"/>
        </w:rPr>
        <w:t>six</w:t>
      </w:r>
      <w:r w:rsidR="00574CF6">
        <w:rPr>
          <w:rFonts w:ascii="Segoe UI" w:hAnsi="Segoe UI" w:cs="Segoe UI"/>
        </w:rPr>
        <w:t xml:space="preserve"> Commissioners</w:t>
      </w:r>
      <w:r w:rsidRPr="007D19C3">
        <w:rPr>
          <w:rFonts w:ascii="Segoe UI" w:hAnsi="Segoe UI" w:cs="Segoe UI"/>
        </w:rPr>
        <w:t xml:space="preserve">. The </w:t>
      </w:r>
      <w:hyperlink r:id="rId20" w:history="1">
        <w:r w:rsidRPr="007D19C3">
          <w:rPr>
            <w:rStyle w:val="Hyperlink"/>
            <w:rFonts w:ascii="Segoe UI" w:hAnsi="Segoe UI" w:cs="Segoe UI"/>
          </w:rPr>
          <w:t>Children and Young People's Commission Act 2022</w:t>
        </w:r>
      </w:hyperlink>
      <w:r w:rsidRPr="00882B45">
        <w:rPr>
          <w:rStyle w:val="Hyperlink"/>
          <w:rFonts w:ascii="Segoe UI" w:hAnsi="Segoe UI" w:cs="Segoe UI"/>
          <w:u w:val="none"/>
        </w:rPr>
        <w:t xml:space="preserve"> </w:t>
      </w:r>
      <w:r w:rsidR="00882B45" w:rsidRPr="009C46B4">
        <w:t xml:space="preserve">(the CYPCA) </w:t>
      </w:r>
      <w:r w:rsidRPr="009C46B4">
        <w:rPr>
          <w:rFonts w:ascii="Segoe UI" w:hAnsi="Segoe UI" w:cs="Segoe UI"/>
        </w:rPr>
        <w:t>will</w:t>
      </w:r>
      <w:r w:rsidRPr="008424DE">
        <w:t xml:space="preserve"> replac</w:t>
      </w:r>
      <w:r w:rsidR="001E0CC2">
        <w:t xml:space="preserve">e </w:t>
      </w:r>
      <w:r w:rsidRPr="008424DE">
        <w:t xml:space="preserve">the </w:t>
      </w:r>
      <w:hyperlink r:id="rId21" w:history="1">
        <w:r w:rsidRPr="007D19C3">
          <w:rPr>
            <w:rStyle w:val="Hyperlink"/>
            <w:rFonts w:ascii="Segoe UI" w:hAnsi="Segoe UI" w:cs="Segoe UI"/>
          </w:rPr>
          <w:t>Children's Commissioner Act 2003</w:t>
        </w:r>
      </w:hyperlink>
      <w:r w:rsidR="00882B45">
        <w:rPr>
          <w:rStyle w:val="Hyperlink"/>
          <w:rFonts w:ascii="Segoe UI" w:hAnsi="Segoe UI" w:cs="Segoe UI"/>
          <w:u w:val="none"/>
        </w:rPr>
        <w:t xml:space="preserve"> </w:t>
      </w:r>
      <w:r w:rsidR="00882B45" w:rsidRPr="009C46B4">
        <w:rPr>
          <w:lang w:val="en-AU"/>
        </w:rPr>
        <w:t>(CCA).</w:t>
      </w:r>
    </w:p>
    <w:p w14:paraId="4913D8BB" w14:textId="7089A0E8" w:rsidR="00EF2505" w:rsidRPr="007D19C3" w:rsidRDefault="008E133B" w:rsidP="0047540F">
      <w:pPr>
        <w:pStyle w:val="ListNumber"/>
        <w:ind w:left="567" w:hanging="567"/>
        <w:jc w:val="both"/>
        <w:rPr>
          <w:rFonts w:ascii="Segoe UI" w:hAnsi="Segoe UI" w:cs="Segoe UI"/>
          <w:lang w:val="en-AU"/>
        </w:rPr>
      </w:pPr>
      <w:r>
        <w:rPr>
          <w:rFonts w:ascii="Segoe UI" w:hAnsi="Segoe UI" w:cs="Segoe UI"/>
        </w:rPr>
        <w:t>The purpose of the new Commission is to promote and advance the rights, interests, and participation of children and young people and to improve their wellbeing within (without limitation) the context of their families, whānau</w:t>
      </w:r>
      <w:r w:rsidR="004C342B">
        <w:rPr>
          <w:rFonts w:ascii="Segoe UI" w:hAnsi="Segoe UI" w:cs="Segoe UI"/>
        </w:rPr>
        <w:t xml:space="preserve"> (extended family unit)</w:t>
      </w:r>
      <w:r>
        <w:rPr>
          <w:rFonts w:ascii="Segoe UI" w:hAnsi="Segoe UI" w:cs="Segoe UI"/>
        </w:rPr>
        <w:t>, hapū</w:t>
      </w:r>
      <w:r w:rsidR="004C342B">
        <w:rPr>
          <w:rFonts w:ascii="Segoe UI" w:hAnsi="Segoe UI" w:cs="Segoe UI"/>
        </w:rPr>
        <w:t xml:space="preserve"> (sub-tribe)</w:t>
      </w:r>
      <w:r>
        <w:rPr>
          <w:rFonts w:ascii="Segoe UI" w:hAnsi="Segoe UI" w:cs="Segoe UI"/>
        </w:rPr>
        <w:t xml:space="preserve">, iwi </w:t>
      </w:r>
      <w:r w:rsidR="004C342B">
        <w:rPr>
          <w:rFonts w:ascii="Segoe UI" w:hAnsi="Segoe UI" w:cs="Segoe UI"/>
          <w:lang w:val="en-AU"/>
        </w:rPr>
        <w:t xml:space="preserve">(tribe) </w:t>
      </w:r>
      <w:r>
        <w:rPr>
          <w:rFonts w:ascii="Segoe UI" w:hAnsi="Segoe UI" w:cs="Segoe UI"/>
        </w:rPr>
        <w:t>and communities.</w:t>
      </w:r>
      <w:r>
        <w:rPr>
          <w:rStyle w:val="FootnoteReference"/>
          <w:rFonts w:ascii="Segoe UI" w:hAnsi="Segoe UI" w:cs="Segoe UI"/>
        </w:rPr>
        <w:footnoteReference w:id="12"/>
      </w:r>
      <w:r>
        <w:rPr>
          <w:rFonts w:ascii="Segoe UI" w:hAnsi="Segoe UI" w:cs="Segoe UI"/>
        </w:rPr>
        <w:t xml:space="preserve"> </w:t>
      </w:r>
      <w:r w:rsidR="004C342B">
        <w:rPr>
          <w:rFonts w:ascii="Segoe UI" w:hAnsi="Segoe UI" w:cs="Segoe UI"/>
        </w:rPr>
        <w:t>T</w:t>
      </w:r>
      <w:r>
        <w:rPr>
          <w:rFonts w:ascii="Segoe UI" w:hAnsi="Segoe UI" w:cs="Segoe UI"/>
        </w:rPr>
        <w:t xml:space="preserve">he Commission will </w:t>
      </w:r>
      <w:r w:rsidR="004C342B">
        <w:rPr>
          <w:rFonts w:ascii="Segoe UI" w:hAnsi="Segoe UI" w:cs="Segoe UI"/>
        </w:rPr>
        <w:t xml:space="preserve">also </w:t>
      </w:r>
      <w:r>
        <w:rPr>
          <w:rFonts w:ascii="Segoe UI" w:hAnsi="Segoe UI" w:cs="Segoe UI"/>
        </w:rPr>
        <w:t>have</w:t>
      </w:r>
      <w:r w:rsidR="00EF2505" w:rsidRPr="007D19C3">
        <w:rPr>
          <w:rFonts w:ascii="Segoe UI" w:hAnsi="Segoe UI" w:cs="Segoe UI"/>
        </w:rPr>
        <w:t xml:space="preserve"> increased Te </w:t>
      </w:r>
      <w:r w:rsidR="00EF2505" w:rsidRPr="007D19C3">
        <w:rPr>
          <w:rFonts w:ascii="Segoe UI" w:hAnsi="Segoe UI" w:cs="Segoe UI"/>
          <w:lang w:val="en-AU"/>
        </w:rPr>
        <w:t>Tiriti</w:t>
      </w:r>
      <w:r w:rsidR="00EF2505" w:rsidRPr="007D19C3">
        <w:rPr>
          <w:rFonts w:ascii="Segoe UI" w:hAnsi="Segoe UI" w:cs="Segoe UI"/>
        </w:rPr>
        <w:t xml:space="preserve"> obligations</w:t>
      </w:r>
      <w:r>
        <w:rPr>
          <w:rFonts w:ascii="Segoe UI" w:hAnsi="Segoe UI" w:cs="Segoe UI"/>
        </w:rPr>
        <w:t>.</w:t>
      </w:r>
      <w:r w:rsidR="00EF2505" w:rsidRPr="007D19C3">
        <w:rPr>
          <w:rStyle w:val="FootnoteReference"/>
          <w:rFonts w:ascii="Segoe UI" w:hAnsi="Segoe UI" w:cs="Segoe UI"/>
        </w:rPr>
        <w:footnoteReference w:id="13"/>
      </w:r>
      <w:r w:rsidR="00EF2505" w:rsidRPr="007D19C3">
        <w:rPr>
          <w:rFonts w:ascii="Segoe UI" w:hAnsi="Segoe UI" w:cs="Segoe UI"/>
        </w:rPr>
        <w:t xml:space="preserve"> </w:t>
      </w:r>
      <w:r>
        <w:rPr>
          <w:rFonts w:ascii="Segoe UI" w:hAnsi="Segoe UI" w:cs="Segoe UI"/>
        </w:rPr>
        <w:t>The Children’s Commissioner’s NPM delegation will pass to the new Commission.</w:t>
      </w:r>
    </w:p>
    <w:p w14:paraId="3C2C75F1" w14:textId="7216A496"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rPr>
        <w:t xml:space="preserve">However, </w:t>
      </w:r>
      <w:r w:rsidR="008E133B">
        <w:rPr>
          <w:rFonts w:ascii="Segoe UI" w:hAnsi="Segoe UI" w:cs="Segoe UI"/>
        </w:rPr>
        <w:t>the Commission will not have</w:t>
      </w:r>
      <w:r w:rsidRPr="007D19C3">
        <w:rPr>
          <w:rFonts w:ascii="Segoe UI" w:hAnsi="Segoe UI" w:cs="Segoe UI"/>
        </w:rPr>
        <w:t xml:space="preserve"> powers to receive complaints, conduct investigations</w:t>
      </w:r>
      <w:r w:rsidR="004C342B">
        <w:rPr>
          <w:rFonts w:ascii="Segoe UI" w:hAnsi="Segoe UI" w:cs="Segoe UI"/>
        </w:rPr>
        <w:t>,</w:t>
      </w:r>
      <w:r w:rsidRPr="007D19C3">
        <w:rPr>
          <w:rFonts w:ascii="Segoe UI" w:hAnsi="Segoe UI" w:cs="Segoe UI"/>
        </w:rPr>
        <w:t xml:space="preserve"> and obtain any information necessary in relation to the </w:t>
      </w:r>
      <w:hyperlink r:id="rId22" w:history="1">
        <w:r w:rsidRPr="00065D51">
          <w:rPr>
            <w:rStyle w:val="Hyperlink"/>
            <w:rFonts w:ascii="Segoe UI" w:hAnsi="Segoe UI" w:cs="Segoe UI"/>
          </w:rPr>
          <w:t>Oranga Tamariki Act 1989</w:t>
        </w:r>
      </w:hyperlink>
      <w:r w:rsidR="00882B45">
        <w:rPr>
          <w:rFonts w:ascii="Segoe UI" w:hAnsi="Segoe UI" w:cs="Segoe UI"/>
        </w:rPr>
        <w:t>.</w:t>
      </w:r>
      <w:r w:rsidRPr="007D19C3">
        <w:rPr>
          <w:rStyle w:val="FootnoteReference"/>
          <w:rFonts w:ascii="Segoe UI" w:hAnsi="Segoe UI" w:cs="Segoe UI"/>
        </w:rPr>
        <w:footnoteReference w:id="14"/>
      </w:r>
      <w:r w:rsidR="008E133B">
        <w:rPr>
          <w:rFonts w:ascii="Segoe UI" w:hAnsi="Segoe UI" w:cs="Segoe UI"/>
        </w:rPr>
        <w:t xml:space="preserve"> </w:t>
      </w:r>
      <w:r w:rsidR="008E133B">
        <w:t>This is a change in functions - u</w:t>
      </w:r>
      <w:r w:rsidR="008E133B">
        <w:rPr>
          <w:rFonts w:ascii="Segoe UI" w:hAnsi="Segoe UI" w:cs="Segoe UI"/>
        </w:rPr>
        <w:t>nder s 13 of the CCA, the</w:t>
      </w:r>
      <w:r w:rsidR="008E133B" w:rsidRPr="00087A1C">
        <w:rPr>
          <w:rFonts w:ascii="Segoe UI" w:hAnsi="Segoe UI" w:cs="Segoe UI"/>
        </w:rPr>
        <w:t xml:space="preserve"> </w:t>
      </w:r>
      <w:r w:rsidR="008E133B" w:rsidRPr="007D19C3">
        <w:rPr>
          <w:rFonts w:ascii="Segoe UI" w:hAnsi="Segoe UI" w:cs="Segoe UI"/>
        </w:rPr>
        <w:t>OCC</w:t>
      </w:r>
      <w:r w:rsidR="008E133B">
        <w:rPr>
          <w:rFonts w:ascii="Segoe UI" w:hAnsi="Segoe UI" w:cs="Segoe UI"/>
        </w:rPr>
        <w:t xml:space="preserve"> has these powers currently.</w:t>
      </w:r>
    </w:p>
    <w:p w14:paraId="1DFD98D0" w14:textId="0DF29B3A"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rPr>
        <w:t xml:space="preserve">These changes resulted from </w:t>
      </w:r>
      <w:r w:rsidR="008E133B">
        <w:rPr>
          <w:rFonts w:ascii="Segoe UI" w:hAnsi="Segoe UI" w:cs="Segoe UI"/>
        </w:rPr>
        <w:t>the need for a body to monitor new National Care Standards</w:t>
      </w:r>
      <w:r w:rsidR="004C342B" w:rsidRPr="0047540F">
        <w:rPr>
          <w:rStyle w:val="FootnoteReference"/>
          <w:rFonts w:ascii="Segoe UI" w:hAnsi="Segoe UI" w:cs="Segoe UI"/>
        </w:rPr>
        <w:footnoteReference w:id="15"/>
      </w:r>
      <w:r w:rsidR="008E133B">
        <w:rPr>
          <w:rFonts w:ascii="Segoe UI" w:hAnsi="Segoe UI" w:cs="Segoe UI"/>
        </w:rPr>
        <w:t xml:space="preserve"> and greater accountability mechanisms for </w:t>
      </w:r>
      <w:r w:rsidRPr="007D19C3">
        <w:rPr>
          <w:rFonts w:ascii="Segoe UI" w:hAnsi="Segoe UI" w:cs="Segoe UI"/>
        </w:rPr>
        <w:t xml:space="preserve">Oranga Tamariki (Ministry for Children) in the face of </w:t>
      </w:r>
      <w:r w:rsidR="008E133B">
        <w:rPr>
          <w:rFonts w:ascii="Segoe UI" w:hAnsi="Segoe UI" w:cs="Segoe UI"/>
        </w:rPr>
        <w:t>concerning experiences and</w:t>
      </w:r>
      <w:r w:rsidR="008E133B" w:rsidRPr="007D19C3">
        <w:rPr>
          <w:rFonts w:ascii="Segoe UI" w:hAnsi="Segoe UI" w:cs="Segoe UI"/>
        </w:rPr>
        <w:t xml:space="preserve"> </w:t>
      </w:r>
      <w:r w:rsidRPr="007D19C3">
        <w:rPr>
          <w:rFonts w:ascii="Segoe UI" w:hAnsi="Segoe UI" w:cs="Segoe UI"/>
        </w:rPr>
        <w:lastRenderedPageBreak/>
        <w:t>outcomes for mokopuna in the care and protection</w:t>
      </w:r>
      <w:r w:rsidR="00754536">
        <w:rPr>
          <w:rFonts w:ascii="Segoe UI" w:hAnsi="Segoe UI" w:cs="Segoe UI"/>
        </w:rPr>
        <w:t xml:space="preserve"> (C&amp;P)</w:t>
      </w:r>
      <w:r w:rsidRPr="007D19C3">
        <w:rPr>
          <w:rFonts w:ascii="Segoe UI" w:hAnsi="Segoe UI" w:cs="Segoe UI"/>
        </w:rPr>
        <w:t xml:space="preserve"> and youth justice</w:t>
      </w:r>
      <w:r w:rsidR="00754536">
        <w:rPr>
          <w:rFonts w:ascii="Segoe UI" w:hAnsi="Segoe UI" w:cs="Segoe UI"/>
        </w:rPr>
        <w:t xml:space="preserve"> (YJ)</w:t>
      </w:r>
      <w:r w:rsidRPr="007D19C3">
        <w:rPr>
          <w:rFonts w:ascii="Segoe UI" w:hAnsi="Segoe UI" w:cs="Segoe UI"/>
        </w:rPr>
        <w:t xml:space="preserve"> systems</w:t>
      </w:r>
      <w:r w:rsidRPr="008424DE">
        <w:rPr>
          <w:rFonts w:ascii="Segoe UI" w:hAnsi="Segoe UI" w:cs="Segoe UI"/>
        </w:rPr>
        <w:t>.</w:t>
      </w:r>
    </w:p>
    <w:p w14:paraId="1B54147E" w14:textId="24E33970" w:rsidR="007D19C3" w:rsidRPr="007D19C3" w:rsidRDefault="00EF2505" w:rsidP="0047540F">
      <w:pPr>
        <w:pStyle w:val="ListNumber"/>
        <w:ind w:left="567" w:hanging="567"/>
        <w:jc w:val="both"/>
        <w:rPr>
          <w:rFonts w:ascii="Segoe UI" w:hAnsi="Segoe UI" w:cs="Segoe UI"/>
          <w:lang w:val="en-AU"/>
        </w:rPr>
      </w:pPr>
      <w:r w:rsidRPr="007D19C3">
        <w:rPr>
          <w:rFonts w:ascii="Segoe UI" w:hAnsi="Segoe UI" w:cs="Segoe UI"/>
        </w:rPr>
        <w:t xml:space="preserve">In 2019, Cabinet agreed to develop legislation aimed to strengthen and resource the Oranga </w:t>
      </w:r>
      <w:r w:rsidRPr="007D19C3">
        <w:rPr>
          <w:rFonts w:ascii="Segoe UI" w:hAnsi="Segoe UI" w:cs="Segoe UI"/>
          <w:lang w:val="en-AU"/>
        </w:rPr>
        <w:t>Tamariki</w:t>
      </w:r>
      <w:r w:rsidRPr="007D19C3">
        <w:rPr>
          <w:rFonts w:ascii="Segoe UI" w:hAnsi="Segoe UI" w:cs="Segoe UI"/>
        </w:rPr>
        <w:t xml:space="preserve"> </w:t>
      </w:r>
      <w:r w:rsidR="00065D51">
        <w:rPr>
          <w:rFonts w:ascii="Segoe UI" w:hAnsi="Segoe UI" w:cs="Segoe UI"/>
        </w:rPr>
        <w:t>O</w:t>
      </w:r>
      <w:r w:rsidRPr="007D19C3">
        <w:rPr>
          <w:rFonts w:ascii="Segoe UI" w:hAnsi="Segoe UI" w:cs="Segoe UI"/>
        </w:rPr>
        <w:t xml:space="preserve">versight </w:t>
      </w:r>
      <w:r w:rsidR="00065D51">
        <w:rPr>
          <w:rFonts w:ascii="Segoe UI" w:hAnsi="Segoe UI" w:cs="Segoe UI"/>
        </w:rPr>
        <w:t>S</w:t>
      </w:r>
      <w:r w:rsidRPr="007D19C3">
        <w:rPr>
          <w:rFonts w:ascii="Segoe UI" w:hAnsi="Segoe UI" w:cs="Segoe UI"/>
        </w:rPr>
        <w:t>ystem</w:t>
      </w:r>
      <w:r w:rsidR="00021AEB">
        <w:rPr>
          <w:rFonts w:ascii="Segoe UI" w:hAnsi="Segoe UI" w:cs="Segoe UI"/>
        </w:rPr>
        <w:t xml:space="preserve"> </w:t>
      </w:r>
      <w:r w:rsidRPr="007D19C3">
        <w:rPr>
          <w:rFonts w:ascii="Segoe UI" w:hAnsi="Segoe UI" w:cs="Segoe UI"/>
        </w:rPr>
        <w:t>in three areas: system-level advocacy for all mokopuna, complaints oversight and investigations, and independent monitoring of the Oranga Tamariki system.</w:t>
      </w:r>
      <w:r w:rsidR="00D52DFC">
        <w:rPr>
          <w:rStyle w:val="FootnoteReference"/>
          <w:rFonts w:ascii="Segoe UI" w:hAnsi="Segoe UI" w:cs="Segoe UI"/>
        </w:rPr>
        <w:footnoteReference w:id="16"/>
      </w:r>
    </w:p>
    <w:p w14:paraId="73C53E64" w14:textId="77777777" w:rsidR="008E133B" w:rsidRPr="008E133B" w:rsidRDefault="00EF2505" w:rsidP="0047540F">
      <w:pPr>
        <w:pStyle w:val="ListNumber"/>
        <w:ind w:left="567" w:hanging="567"/>
        <w:jc w:val="both"/>
        <w:rPr>
          <w:rFonts w:ascii="Segoe UI" w:hAnsi="Segoe UI" w:cs="Segoe UI"/>
          <w:lang w:val="en-AU"/>
        </w:rPr>
      </w:pPr>
      <w:r w:rsidRPr="007D19C3">
        <w:rPr>
          <w:rFonts w:ascii="Segoe UI" w:hAnsi="Segoe UI" w:cs="Segoe UI"/>
        </w:rPr>
        <w:t>The Oversight of Oranga Tamariki System and Children and Young People’s Commission Bill (the Oversight Bill) aimed to deliver expanded, and more comprehensive, monitoring of Oranga Tamariki</w:t>
      </w:r>
      <w:r w:rsidR="008E133B">
        <w:rPr>
          <w:rFonts w:ascii="Segoe UI" w:hAnsi="Segoe UI" w:cs="Segoe UI"/>
        </w:rPr>
        <w:t>.</w:t>
      </w:r>
      <w:r w:rsidRPr="007D19C3">
        <w:rPr>
          <w:rFonts w:ascii="Segoe UI" w:hAnsi="Segoe UI" w:cs="Segoe UI"/>
        </w:rPr>
        <w:t xml:space="preserve"> </w:t>
      </w:r>
    </w:p>
    <w:p w14:paraId="7E77F1F4" w14:textId="6840998A" w:rsidR="007D19C3" w:rsidRPr="007D19C3" w:rsidRDefault="008E133B" w:rsidP="0047540F">
      <w:pPr>
        <w:pStyle w:val="ListNumber"/>
        <w:ind w:left="567" w:hanging="567"/>
        <w:jc w:val="both"/>
        <w:rPr>
          <w:rFonts w:ascii="Segoe UI" w:hAnsi="Segoe UI" w:cs="Segoe UI"/>
          <w:lang w:val="en-AU"/>
        </w:rPr>
      </w:pPr>
      <w:r>
        <w:rPr>
          <w:rFonts w:ascii="Segoe UI" w:hAnsi="Segoe UI" w:cs="Segoe UI"/>
        </w:rPr>
        <w:t>Since 1989, it has been the role of the Children’s Commissioner to monitor the C&amp;P and YJ systems.</w:t>
      </w:r>
      <w:r w:rsidRPr="007D19C3">
        <w:rPr>
          <w:rFonts w:ascii="Segoe UI" w:hAnsi="Segoe UI" w:cs="Segoe UI"/>
        </w:rPr>
        <w:t xml:space="preserve"> </w:t>
      </w:r>
      <w:r>
        <w:rPr>
          <w:rFonts w:ascii="Segoe UI" w:hAnsi="Segoe UI" w:cs="Segoe UI"/>
        </w:rPr>
        <w:t>S</w:t>
      </w:r>
      <w:r w:rsidR="00EF2505" w:rsidRPr="007D19C3">
        <w:rPr>
          <w:rFonts w:ascii="Segoe UI" w:hAnsi="Segoe UI" w:cs="Segoe UI"/>
        </w:rPr>
        <w:t>uccessive Children’s Commissioners had not been adequately resourced to deliver</w:t>
      </w:r>
      <w:r>
        <w:rPr>
          <w:rFonts w:ascii="Segoe UI" w:hAnsi="Segoe UI" w:cs="Segoe UI"/>
        </w:rPr>
        <w:t xml:space="preserve"> this</w:t>
      </w:r>
      <w:r w:rsidR="00EF2505" w:rsidRPr="007D19C3">
        <w:rPr>
          <w:rFonts w:ascii="Segoe UI" w:hAnsi="Segoe UI" w:cs="Segoe UI"/>
        </w:rPr>
        <w:t>, despite multiple recommendations from the Committee, the Subcommittee on Prevention of Torture and Other Cruel, Inhuman or Degrading Treatment or Punishment (SPT) and the Committee on the Rights of the Child.</w:t>
      </w:r>
      <w:r w:rsidR="00EF2505" w:rsidRPr="007D19C3">
        <w:rPr>
          <w:rStyle w:val="FootnoteReference"/>
          <w:rFonts w:ascii="Segoe UI" w:hAnsi="Segoe UI" w:cs="Segoe UI"/>
        </w:rPr>
        <w:footnoteReference w:id="17"/>
      </w:r>
    </w:p>
    <w:p w14:paraId="5738CFC4" w14:textId="56B98FE1"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rPr>
        <w:t xml:space="preserve">On 29 August 2022, the Oversight Bill became law, creating two separate Acts: the </w:t>
      </w:r>
      <w:hyperlink r:id="rId23" w:history="1">
        <w:r w:rsidRPr="00B17DCE">
          <w:rPr>
            <w:rStyle w:val="Hyperlink"/>
            <w:rFonts w:ascii="Segoe UI" w:hAnsi="Segoe UI" w:cs="Segoe UI"/>
          </w:rPr>
          <w:t>Oversight of Oranga Tamariki System Act 2022</w:t>
        </w:r>
      </w:hyperlink>
      <w:r w:rsidR="00E0158D">
        <w:rPr>
          <w:rFonts w:ascii="Segoe UI" w:hAnsi="Segoe UI" w:cs="Segoe UI"/>
        </w:rPr>
        <w:t xml:space="preserve">, </w:t>
      </w:r>
      <w:r w:rsidR="00754536">
        <w:rPr>
          <w:rFonts w:ascii="Segoe UI" w:hAnsi="Segoe UI" w:cs="Segoe UI"/>
        </w:rPr>
        <w:t xml:space="preserve">which came into force on 1 May 2023, </w:t>
      </w:r>
      <w:r w:rsidRPr="007D19C3">
        <w:rPr>
          <w:rFonts w:ascii="Segoe UI" w:hAnsi="Segoe UI" w:cs="Segoe UI"/>
        </w:rPr>
        <w:t xml:space="preserve">and the </w:t>
      </w:r>
      <w:r w:rsidR="00065D51" w:rsidRPr="00065D51">
        <w:rPr>
          <w:rFonts w:ascii="Segoe UI" w:hAnsi="Segoe UI" w:cs="Segoe UI"/>
        </w:rPr>
        <w:t>CYPCA</w:t>
      </w:r>
      <w:r w:rsidR="00E0158D">
        <w:rPr>
          <w:rFonts w:ascii="Segoe UI" w:hAnsi="Segoe UI" w:cs="Segoe UI"/>
        </w:rPr>
        <w:t xml:space="preserve">, which </w:t>
      </w:r>
      <w:r w:rsidRPr="007D19C3">
        <w:rPr>
          <w:rFonts w:ascii="Segoe UI" w:hAnsi="Segoe UI" w:cs="Segoe UI"/>
        </w:rPr>
        <w:t>will come into force on 1 July 2023</w:t>
      </w:r>
      <w:r w:rsidR="00E0158D">
        <w:rPr>
          <w:rFonts w:ascii="Segoe UI" w:hAnsi="Segoe UI" w:cs="Segoe UI"/>
        </w:rPr>
        <w:t>.</w:t>
      </w:r>
      <w:r w:rsidRPr="007D19C3">
        <w:rPr>
          <w:rFonts w:ascii="Segoe UI" w:hAnsi="Segoe UI" w:cs="Segoe UI"/>
          <w:lang w:eastAsia="en-NZ"/>
        </w:rPr>
        <w:t xml:space="preserve"> </w:t>
      </w:r>
      <w:r w:rsidR="00E0158D">
        <w:rPr>
          <w:rFonts w:ascii="Segoe UI" w:hAnsi="Segoe UI" w:cs="Segoe UI"/>
        </w:rPr>
        <w:t>T</w:t>
      </w:r>
      <w:r w:rsidRPr="007D19C3">
        <w:rPr>
          <w:rFonts w:ascii="Segoe UI" w:hAnsi="Segoe UI" w:cs="Segoe UI"/>
        </w:rPr>
        <w:t>he legislation must be reviewed within three years of enactment.</w:t>
      </w:r>
    </w:p>
    <w:p w14:paraId="1B14F600" w14:textId="3C1F4FE2"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lang w:val="en-AU"/>
        </w:rPr>
        <w:lastRenderedPageBreak/>
        <w:t xml:space="preserve">As noted in the </w:t>
      </w:r>
      <w:r w:rsidRPr="007D19C3">
        <w:rPr>
          <w:rFonts w:ascii="Segoe UI" w:hAnsi="Segoe UI" w:cs="Segoe UI"/>
        </w:rPr>
        <w:t>Government’s</w:t>
      </w:r>
      <w:r w:rsidRPr="007D19C3">
        <w:rPr>
          <w:rFonts w:ascii="Segoe UI" w:hAnsi="Segoe UI" w:cs="Segoe UI"/>
          <w:lang w:val="en-AU"/>
        </w:rPr>
        <w:t xml:space="preserve"> report to the Committee, Cabinet’s original intent was to transfer oversight </w:t>
      </w:r>
      <w:r w:rsidRPr="00065D51">
        <w:rPr>
          <w:rFonts w:ascii="Segoe UI" w:hAnsi="Segoe UI" w:cs="Segoe UI"/>
        </w:rPr>
        <w:t>functions</w:t>
      </w:r>
      <w:r w:rsidRPr="007D19C3">
        <w:rPr>
          <w:rFonts w:ascii="Segoe UI" w:hAnsi="Segoe UI" w:cs="Segoe UI"/>
          <w:lang w:val="en-AU"/>
        </w:rPr>
        <w:t xml:space="preserve"> </w:t>
      </w:r>
      <w:r w:rsidR="006A792C">
        <w:rPr>
          <w:rFonts w:ascii="Segoe UI" w:hAnsi="Segoe UI" w:cs="Segoe UI"/>
          <w:lang w:val="en-AU"/>
        </w:rPr>
        <w:t xml:space="preserve">back </w:t>
      </w:r>
      <w:r w:rsidRPr="007D19C3">
        <w:rPr>
          <w:rFonts w:ascii="Segoe UI" w:hAnsi="Segoe UI" w:cs="Segoe UI"/>
          <w:lang w:val="en-AU"/>
        </w:rPr>
        <w:t>to the Children’s Commissioner</w:t>
      </w:r>
      <w:r w:rsidR="006A792C">
        <w:rPr>
          <w:rFonts w:ascii="Segoe UI" w:hAnsi="Segoe UI" w:cs="Segoe UI"/>
          <w:lang w:val="en-AU"/>
        </w:rPr>
        <w:t>, once they were established</w:t>
      </w:r>
      <w:r w:rsidRPr="007D19C3">
        <w:rPr>
          <w:rFonts w:ascii="Segoe UI" w:hAnsi="Segoe UI" w:cs="Segoe UI"/>
          <w:lang w:val="en-AU"/>
        </w:rPr>
        <w:t>.</w:t>
      </w:r>
      <w:r w:rsidRPr="007D19C3">
        <w:rPr>
          <w:rStyle w:val="FootnoteReference"/>
          <w:rFonts w:ascii="Segoe UI" w:hAnsi="Segoe UI" w:cs="Segoe UI"/>
          <w:lang w:val="en-AU"/>
        </w:rPr>
        <w:footnoteReference w:id="18"/>
      </w:r>
      <w:r w:rsidRPr="007D19C3">
        <w:rPr>
          <w:rFonts w:ascii="Segoe UI" w:hAnsi="Segoe UI" w:cs="Segoe UI"/>
          <w:lang w:val="en-AU"/>
        </w:rPr>
        <w:t xml:space="preserve"> However, this </w:t>
      </w:r>
      <w:r w:rsidR="00D52DFC">
        <w:rPr>
          <w:rFonts w:ascii="Segoe UI" w:hAnsi="Segoe UI" w:cs="Segoe UI"/>
          <w:lang w:val="en-AU"/>
        </w:rPr>
        <w:t xml:space="preserve">later </w:t>
      </w:r>
      <w:r w:rsidRPr="007D19C3">
        <w:rPr>
          <w:rFonts w:ascii="Segoe UI" w:hAnsi="Segoe UI" w:cs="Segoe UI"/>
          <w:lang w:val="en-AU"/>
        </w:rPr>
        <w:t>shifted</w:t>
      </w:r>
      <w:r w:rsidR="00D52DFC">
        <w:rPr>
          <w:rFonts w:ascii="Segoe UI" w:hAnsi="Segoe UI" w:cs="Segoe UI"/>
          <w:lang w:val="en-AU"/>
        </w:rPr>
        <w:t xml:space="preserve"> when drafting the Oversight Bill</w:t>
      </w:r>
      <w:r w:rsidRPr="007D19C3">
        <w:rPr>
          <w:rFonts w:ascii="Segoe UI" w:hAnsi="Segoe UI" w:cs="Segoe UI"/>
          <w:lang w:val="en-AU"/>
        </w:rPr>
        <w:t>.</w:t>
      </w:r>
    </w:p>
    <w:p w14:paraId="032805FB" w14:textId="2397EF87" w:rsidR="00E0158D" w:rsidRDefault="00EF2505" w:rsidP="0047540F">
      <w:pPr>
        <w:pStyle w:val="ListNumber"/>
        <w:ind w:left="567" w:hanging="567"/>
        <w:jc w:val="both"/>
        <w:rPr>
          <w:rFonts w:ascii="Segoe UI" w:hAnsi="Segoe UI" w:cs="Segoe UI"/>
          <w:lang w:val="en-AU"/>
        </w:rPr>
      </w:pPr>
      <w:r w:rsidRPr="007D19C3">
        <w:rPr>
          <w:rFonts w:ascii="Segoe UI" w:hAnsi="Segoe UI" w:cs="Segoe UI"/>
          <w:lang w:val="en-AU"/>
        </w:rPr>
        <w:t xml:space="preserve">The two Acts </w:t>
      </w:r>
      <w:r w:rsidR="00366681">
        <w:rPr>
          <w:rFonts w:ascii="Segoe UI" w:hAnsi="Segoe UI" w:cs="Segoe UI"/>
          <w:lang w:val="en-AU"/>
        </w:rPr>
        <w:t xml:space="preserve">establish a new Oversight System, which comprises </w:t>
      </w:r>
      <w:r w:rsidR="00366681" w:rsidRPr="007D19C3">
        <w:rPr>
          <w:rFonts w:ascii="Segoe UI" w:hAnsi="Segoe UI" w:cs="Segoe UI"/>
          <w:lang w:val="en-AU"/>
        </w:rPr>
        <w:t xml:space="preserve">Aroturuki Tamariki </w:t>
      </w:r>
      <w:r w:rsidR="00366681">
        <w:rPr>
          <w:rFonts w:ascii="Segoe UI" w:hAnsi="Segoe UI" w:cs="Segoe UI"/>
          <w:lang w:val="en-AU"/>
        </w:rPr>
        <w:t>(</w:t>
      </w:r>
      <w:r w:rsidR="00366681" w:rsidRPr="007D19C3">
        <w:rPr>
          <w:rFonts w:ascii="Segoe UI" w:hAnsi="Segoe UI" w:cs="Segoe UI"/>
          <w:lang w:val="en-AU"/>
        </w:rPr>
        <w:t>Independent Children’s Monitor</w:t>
      </w:r>
      <w:r w:rsidR="00366681">
        <w:rPr>
          <w:rFonts w:ascii="Segoe UI" w:hAnsi="Segoe UI" w:cs="Segoe UI"/>
          <w:lang w:val="en-AU"/>
        </w:rPr>
        <w:t>),</w:t>
      </w:r>
      <w:r w:rsidR="005779C1">
        <w:rPr>
          <w:rStyle w:val="FootnoteReference"/>
          <w:rFonts w:ascii="Segoe UI" w:hAnsi="Segoe UI" w:cs="Segoe UI"/>
          <w:lang w:val="en-AU"/>
        </w:rPr>
        <w:footnoteReference w:id="19"/>
      </w:r>
      <w:r w:rsidR="00366681">
        <w:rPr>
          <w:rFonts w:ascii="Segoe UI" w:hAnsi="Segoe UI" w:cs="Segoe UI"/>
          <w:lang w:val="en-AU"/>
        </w:rPr>
        <w:t xml:space="preserve"> the Office of the Ombudsman (the Ombudsman), and the Commission. M</w:t>
      </w:r>
      <w:r w:rsidRPr="007D19C3">
        <w:rPr>
          <w:rFonts w:ascii="Segoe UI" w:hAnsi="Segoe UI" w:cs="Segoe UI"/>
          <w:lang w:val="en-AU"/>
        </w:rPr>
        <w:t>onitoring of the Oranga Tamariki system</w:t>
      </w:r>
      <w:r w:rsidR="00A8352D">
        <w:rPr>
          <w:rFonts w:ascii="Segoe UI" w:hAnsi="Segoe UI" w:cs="Segoe UI"/>
          <w:lang w:val="en-AU"/>
        </w:rPr>
        <w:t xml:space="preserve"> will</w:t>
      </w:r>
      <w:r w:rsidRPr="007D19C3">
        <w:rPr>
          <w:rFonts w:ascii="Segoe UI" w:hAnsi="Segoe UI" w:cs="Segoe UI"/>
          <w:lang w:val="en-AU"/>
        </w:rPr>
        <w:t xml:space="preserve"> be undertaken by Aroturuki Tamariki, as a departmental agency of the New Zealand Government housed within</w:t>
      </w:r>
      <w:r w:rsidR="008424DE">
        <w:rPr>
          <w:rFonts w:ascii="Segoe UI" w:hAnsi="Segoe UI" w:cs="Segoe UI"/>
          <w:lang w:val="en-AU"/>
        </w:rPr>
        <w:t xml:space="preserve"> </w:t>
      </w:r>
      <w:r w:rsidRPr="007D19C3">
        <w:rPr>
          <w:rFonts w:ascii="Segoe UI" w:hAnsi="Segoe UI" w:cs="Segoe UI"/>
          <w:lang w:val="en-AU"/>
        </w:rPr>
        <w:t>the Education Review Office.</w:t>
      </w:r>
      <w:r w:rsidRPr="007D19C3">
        <w:rPr>
          <w:rStyle w:val="FootnoteReference"/>
          <w:rFonts w:ascii="Segoe UI" w:hAnsi="Segoe UI" w:cs="Segoe UI"/>
          <w:lang w:val="en-AU"/>
        </w:rPr>
        <w:footnoteReference w:id="20"/>
      </w:r>
      <w:r w:rsidRPr="007D19C3">
        <w:rPr>
          <w:rFonts w:ascii="Segoe UI" w:hAnsi="Segoe UI" w:cs="Segoe UI"/>
          <w:lang w:val="en-AU"/>
        </w:rPr>
        <w:t xml:space="preserve"> The Ombudsman is now </w:t>
      </w:r>
      <w:r w:rsidR="008E133B">
        <w:rPr>
          <w:rFonts w:ascii="Segoe UI" w:hAnsi="Segoe UI" w:cs="Segoe UI"/>
          <w:lang w:val="en-AU"/>
        </w:rPr>
        <w:t>sole</w:t>
      </w:r>
      <w:r w:rsidR="00021AEB">
        <w:rPr>
          <w:rFonts w:ascii="Segoe UI" w:hAnsi="Segoe UI" w:cs="Segoe UI"/>
          <w:lang w:val="en-AU"/>
        </w:rPr>
        <w:t>l</w:t>
      </w:r>
      <w:r w:rsidR="008E133B">
        <w:rPr>
          <w:rFonts w:ascii="Segoe UI" w:hAnsi="Segoe UI" w:cs="Segoe UI"/>
          <w:lang w:val="en-AU"/>
        </w:rPr>
        <w:t xml:space="preserve">y </w:t>
      </w:r>
      <w:r w:rsidRPr="007D19C3">
        <w:rPr>
          <w:rFonts w:ascii="Segoe UI" w:hAnsi="Segoe UI" w:cs="Segoe UI"/>
          <w:lang w:val="en-AU"/>
        </w:rPr>
        <w:t>responsible for receiving complaints from mokopuna in relation to the operation of Oranga Tamariki or care or custody providers, and for investigating those complaints.</w:t>
      </w:r>
    </w:p>
    <w:p w14:paraId="365C5AE0" w14:textId="660AEB83" w:rsidR="00EF2505" w:rsidRPr="007D19C3" w:rsidRDefault="00B17DCE" w:rsidP="0047540F">
      <w:pPr>
        <w:pStyle w:val="ListNumber"/>
        <w:ind w:left="567" w:hanging="567"/>
        <w:jc w:val="both"/>
        <w:rPr>
          <w:rFonts w:ascii="Segoe UI" w:hAnsi="Segoe UI" w:cs="Segoe UI"/>
          <w:lang w:val="en-AU"/>
        </w:rPr>
      </w:pPr>
      <w:r>
        <w:rPr>
          <w:rFonts w:ascii="Segoe UI" w:hAnsi="Segoe UI" w:cs="Segoe UI"/>
          <w:lang w:val="en-AU"/>
        </w:rPr>
        <w:t xml:space="preserve">The </w:t>
      </w:r>
      <w:r w:rsidR="008A668F">
        <w:rPr>
          <w:rFonts w:ascii="Segoe UI" w:hAnsi="Segoe UI" w:cs="Segoe UI"/>
          <w:lang w:val="en-AU"/>
        </w:rPr>
        <w:t>Commission</w:t>
      </w:r>
      <w:r w:rsidR="00065D51">
        <w:rPr>
          <w:rFonts w:ascii="Segoe UI" w:hAnsi="Segoe UI" w:cs="Segoe UI"/>
          <w:lang w:val="en-AU"/>
        </w:rPr>
        <w:t xml:space="preserve"> </w:t>
      </w:r>
      <w:r w:rsidR="008A668F">
        <w:rPr>
          <w:rFonts w:ascii="Segoe UI" w:hAnsi="Segoe UI" w:cs="Segoe UI"/>
          <w:lang w:val="en-AU"/>
        </w:rPr>
        <w:t>will be</w:t>
      </w:r>
      <w:r w:rsidR="00EF2505" w:rsidRPr="007D19C3">
        <w:rPr>
          <w:rFonts w:ascii="Segoe UI" w:hAnsi="Segoe UI" w:cs="Segoe UI"/>
          <w:lang w:val="en-AU"/>
        </w:rPr>
        <w:t xml:space="preserve"> responsible for advocating for </w:t>
      </w:r>
      <w:r w:rsidR="00E0158D">
        <w:rPr>
          <w:rFonts w:ascii="Segoe UI" w:hAnsi="Segoe UI" w:cs="Segoe UI"/>
          <w:lang w:val="en-AU"/>
        </w:rPr>
        <w:t xml:space="preserve">and promoting </w:t>
      </w:r>
      <w:r w:rsidR="00EF2505" w:rsidRPr="007D19C3">
        <w:rPr>
          <w:rFonts w:ascii="Segoe UI" w:hAnsi="Segoe UI" w:cs="Segoe UI"/>
          <w:lang w:val="en-AU"/>
        </w:rPr>
        <w:t>the interests, rights</w:t>
      </w:r>
      <w:r w:rsidR="007D19C3">
        <w:rPr>
          <w:rFonts w:ascii="Segoe UI" w:hAnsi="Segoe UI" w:cs="Segoe UI"/>
          <w:lang w:val="en-AU"/>
        </w:rPr>
        <w:t>,</w:t>
      </w:r>
      <w:r w:rsidR="00EF2505" w:rsidRPr="007D19C3">
        <w:rPr>
          <w:rFonts w:ascii="Segoe UI" w:hAnsi="Segoe UI" w:cs="Segoe UI"/>
          <w:lang w:val="en-AU"/>
        </w:rPr>
        <w:t xml:space="preserve"> and wellbeing of all mokopuna, </w:t>
      </w:r>
      <w:r w:rsidR="00065D51">
        <w:rPr>
          <w:rFonts w:ascii="Segoe UI" w:hAnsi="Segoe UI" w:cs="Segoe UI"/>
          <w:lang w:val="en-AU"/>
        </w:rPr>
        <w:t>(</w:t>
      </w:r>
      <w:r w:rsidR="00EF2505" w:rsidRPr="007D19C3">
        <w:rPr>
          <w:rFonts w:ascii="Segoe UI" w:hAnsi="Segoe UI" w:cs="Segoe UI"/>
          <w:lang w:val="en-AU"/>
        </w:rPr>
        <w:t>including those in the Oranga Tamariki system</w:t>
      </w:r>
      <w:r w:rsidR="00065D51">
        <w:rPr>
          <w:rFonts w:ascii="Segoe UI" w:hAnsi="Segoe UI" w:cs="Segoe UI"/>
          <w:lang w:val="en-AU"/>
        </w:rPr>
        <w:t xml:space="preserve">) </w:t>
      </w:r>
      <w:r w:rsidR="00EF2505" w:rsidRPr="007D19C3">
        <w:rPr>
          <w:rFonts w:ascii="Segoe UI" w:hAnsi="Segoe UI" w:cs="Segoe UI"/>
          <w:lang w:val="en-AU"/>
        </w:rPr>
        <w:t>and where needed, help mokopuna and their whānau</w:t>
      </w:r>
      <w:r w:rsidR="00065D51">
        <w:rPr>
          <w:rFonts w:ascii="Segoe UI" w:hAnsi="Segoe UI" w:cs="Segoe UI"/>
          <w:lang w:val="en-AU"/>
        </w:rPr>
        <w:t xml:space="preserve"> </w:t>
      </w:r>
      <w:r w:rsidR="00EF2505" w:rsidRPr="007D19C3">
        <w:rPr>
          <w:rFonts w:ascii="Segoe UI" w:hAnsi="Segoe UI" w:cs="Segoe UI"/>
          <w:lang w:val="en-AU"/>
        </w:rPr>
        <w:t xml:space="preserve">navigate the system to </w:t>
      </w:r>
      <w:r w:rsidR="00E0158D">
        <w:rPr>
          <w:rFonts w:ascii="Segoe UI" w:hAnsi="Segoe UI" w:cs="Segoe UI"/>
          <w:lang w:val="en-AU"/>
        </w:rPr>
        <w:t>facilitate the resolution of</w:t>
      </w:r>
      <w:r w:rsidR="00EF2505" w:rsidRPr="007D19C3">
        <w:rPr>
          <w:rFonts w:ascii="Segoe UI" w:hAnsi="Segoe UI" w:cs="Segoe UI"/>
          <w:lang w:val="en-AU"/>
        </w:rPr>
        <w:t xml:space="preserve"> </w:t>
      </w:r>
      <w:r w:rsidR="00E0158D">
        <w:rPr>
          <w:rFonts w:ascii="Segoe UI" w:hAnsi="Segoe UI" w:cs="Segoe UI"/>
          <w:lang w:val="en-AU"/>
        </w:rPr>
        <w:t>issues</w:t>
      </w:r>
      <w:r w:rsidR="00EF2505" w:rsidRPr="007D19C3">
        <w:rPr>
          <w:rFonts w:ascii="Segoe UI" w:hAnsi="Segoe UI" w:cs="Segoe UI"/>
          <w:lang w:val="en-AU"/>
        </w:rPr>
        <w:t>.</w:t>
      </w:r>
      <w:r w:rsidR="00065D51">
        <w:rPr>
          <w:rStyle w:val="FootnoteReference"/>
          <w:rFonts w:ascii="Segoe UI" w:hAnsi="Segoe UI" w:cs="Segoe UI"/>
          <w:lang w:val="en-AU"/>
        </w:rPr>
        <w:footnoteReference w:id="21"/>
      </w:r>
    </w:p>
    <w:p w14:paraId="5DC946B1" w14:textId="5B241318"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lang w:val="en-AU"/>
        </w:rPr>
        <w:lastRenderedPageBreak/>
        <w:t>All three agencies are required to work together</w:t>
      </w:r>
      <w:r w:rsidR="00021AEB">
        <w:rPr>
          <w:rFonts w:ascii="Segoe UI" w:hAnsi="Segoe UI" w:cs="Segoe UI"/>
          <w:vertAlign w:val="superscript"/>
          <w:lang w:val="en-AU"/>
        </w:rPr>
        <w:t xml:space="preserve"> </w:t>
      </w:r>
      <w:r w:rsidRPr="007D19C3">
        <w:rPr>
          <w:rFonts w:ascii="Segoe UI" w:hAnsi="Segoe UI" w:cs="Segoe UI"/>
          <w:lang w:val="en-AU"/>
        </w:rPr>
        <w:t xml:space="preserve">to ensure the law is upheld, </w:t>
      </w:r>
      <w:r w:rsidR="00A8352D">
        <w:rPr>
          <w:rFonts w:ascii="Segoe UI" w:hAnsi="Segoe UI" w:cs="Segoe UI"/>
          <w:lang w:val="en-AU"/>
        </w:rPr>
        <w:t xml:space="preserve">that </w:t>
      </w:r>
      <w:r w:rsidRPr="007D19C3">
        <w:rPr>
          <w:rFonts w:ascii="Segoe UI" w:hAnsi="Segoe UI" w:cs="Segoe UI"/>
          <w:lang w:val="en-AU"/>
        </w:rPr>
        <w:t xml:space="preserve">services are being delivered effectively, and those services are improving </w:t>
      </w:r>
      <w:r w:rsidR="008E133B">
        <w:rPr>
          <w:rFonts w:ascii="Segoe UI" w:hAnsi="Segoe UI" w:cs="Segoe UI"/>
          <w:lang w:val="en-AU"/>
        </w:rPr>
        <w:t xml:space="preserve">experiences and </w:t>
      </w:r>
      <w:r w:rsidRPr="007D19C3">
        <w:rPr>
          <w:rFonts w:ascii="Segoe UI" w:hAnsi="Segoe UI" w:cs="Segoe UI"/>
          <w:lang w:val="en-AU"/>
        </w:rPr>
        <w:t>outcomes for mokopuna.</w:t>
      </w:r>
      <w:r w:rsidR="00021AEB" w:rsidRPr="007D19C3">
        <w:rPr>
          <w:rFonts w:ascii="Segoe UI" w:hAnsi="Segoe UI" w:cs="Segoe UI"/>
          <w:vertAlign w:val="superscript"/>
        </w:rPr>
        <w:footnoteReference w:id="22"/>
      </w:r>
    </w:p>
    <w:p w14:paraId="47A93D7D" w14:textId="0D68707C" w:rsidR="00EF2505" w:rsidRPr="007D19C3" w:rsidRDefault="00EF2505" w:rsidP="0047540F">
      <w:pPr>
        <w:pStyle w:val="ListNumber"/>
        <w:ind w:left="567" w:hanging="567"/>
        <w:jc w:val="both"/>
        <w:rPr>
          <w:rFonts w:ascii="Segoe UI" w:hAnsi="Segoe UI" w:cs="Segoe UI"/>
          <w:lang w:val="en-AU"/>
        </w:rPr>
      </w:pPr>
      <w:r w:rsidRPr="007D19C3">
        <w:rPr>
          <w:rFonts w:ascii="Segoe UI" w:hAnsi="Segoe UI" w:cs="Segoe UI"/>
          <w:lang w:val="en-AU"/>
        </w:rPr>
        <w:t>The final report from the Royal Commission of Inquiry into Abuse in State Care and Faith-Based Institutions (the Royal</w:t>
      </w:r>
      <w:r w:rsidRPr="007D19C3">
        <w:rPr>
          <w:rFonts w:ascii="Segoe UI" w:hAnsi="Segoe UI" w:cs="Segoe UI"/>
        </w:rPr>
        <w:t xml:space="preserve"> Commission)</w:t>
      </w:r>
      <w:r w:rsidRPr="007D19C3">
        <w:rPr>
          <w:rFonts w:ascii="Segoe UI" w:hAnsi="Segoe UI" w:cs="Segoe UI"/>
          <w:lang w:val="en-AU"/>
        </w:rPr>
        <w:t xml:space="preserve"> is due mid-2024.</w:t>
      </w:r>
      <w:r w:rsidR="00021AEB" w:rsidRPr="007D19C3">
        <w:rPr>
          <w:rStyle w:val="FootnoteReference"/>
          <w:rFonts w:ascii="Segoe UI" w:hAnsi="Segoe UI" w:cs="Segoe UI"/>
        </w:rPr>
        <w:footnoteReference w:id="23"/>
      </w:r>
      <w:r w:rsidRPr="007D19C3">
        <w:rPr>
          <w:rFonts w:ascii="Segoe UI" w:hAnsi="Segoe UI" w:cs="Segoe UI"/>
          <w:lang w:val="en-AU"/>
        </w:rPr>
        <w:t xml:space="preserve"> </w:t>
      </w:r>
      <w:r w:rsidR="00CD624C">
        <w:rPr>
          <w:rFonts w:ascii="Segoe UI" w:hAnsi="Segoe UI" w:cs="Segoe UI"/>
          <w:lang w:val="en-AU"/>
        </w:rPr>
        <w:t xml:space="preserve">The </w:t>
      </w:r>
      <w:r w:rsidRPr="007D19C3">
        <w:rPr>
          <w:rFonts w:ascii="Segoe UI" w:hAnsi="Segoe UI" w:cs="Segoe UI"/>
          <w:lang w:val="en-AU"/>
        </w:rPr>
        <w:t xml:space="preserve">OCC advocates for a review </w:t>
      </w:r>
      <w:r w:rsidR="005779C1">
        <w:rPr>
          <w:rFonts w:ascii="Segoe UI" w:hAnsi="Segoe UI" w:cs="Segoe UI"/>
          <w:lang w:val="en-AU"/>
        </w:rPr>
        <w:t xml:space="preserve">of the Oversight System </w:t>
      </w:r>
      <w:r w:rsidR="00A8352D">
        <w:rPr>
          <w:rFonts w:ascii="Segoe UI" w:hAnsi="Segoe UI" w:cs="Segoe UI"/>
          <w:lang w:val="en-AU"/>
        </w:rPr>
        <w:t xml:space="preserve">following </w:t>
      </w:r>
      <w:r w:rsidRPr="007D19C3">
        <w:rPr>
          <w:rFonts w:ascii="Segoe UI" w:hAnsi="Segoe UI" w:cs="Segoe UI"/>
          <w:lang w:val="en-AU"/>
        </w:rPr>
        <w:t>release of this report to ensure monitoring and oversight arrangements for mokopuna in the care system address the findings and recommendations of the Royal Commission.</w:t>
      </w:r>
    </w:p>
    <w:p w14:paraId="42A8CA3D" w14:textId="510FB38E" w:rsidR="00EF2505" w:rsidRPr="00B72853" w:rsidRDefault="00EF2505" w:rsidP="00EF2505">
      <w:pPr>
        <w:pStyle w:val="Heading4"/>
        <w:rPr>
          <w:lang w:val="en-AU"/>
        </w:rPr>
      </w:pPr>
      <w:r>
        <w:rPr>
          <w:lang w:val="en-AU"/>
        </w:rPr>
        <w:t>Recent Concluding Observations from other United Nations Committees</w:t>
      </w:r>
    </w:p>
    <w:p w14:paraId="60635A3A" w14:textId="7AAFFD3D" w:rsidR="00EF2505" w:rsidRPr="0042767D" w:rsidRDefault="00EF2505" w:rsidP="007D19C3">
      <w:pPr>
        <w:pStyle w:val="ListNumber"/>
        <w:ind w:left="567" w:hanging="567"/>
        <w:rPr>
          <w:lang w:val="en-AU"/>
        </w:rPr>
      </w:pPr>
      <w:bookmarkStart w:id="4" w:name="_Hlk135220573"/>
      <w:r>
        <w:t xml:space="preserve">In </w:t>
      </w:r>
      <w:r w:rsidRPr="007D19C3">
        <w:rPr>
          <w:rFonts w:ascii="Segoe UI" w:hAnsi="Segoe UI" w:cs="Segoe UI"/>
          <w:lang w:val="en-AU"/>
        </w:rPr>
        <w:t>February</w:t>
      </w:r>
      <w:r>
        <w:t xml:space="preserve"> 2023, the United Nations Committee on the Rights of the Child released its Concluding Observations on New Zealand’s implementation of the Children’s Convention.</w:t>
      </w:r>
      <w:r>
        <w:rPr>
          <w:rStyle w:val="FootnoteReference"/>
        </w:rPr>
        <w:footnoteReference w:id="24"/>
      </w:r>
      <w:r w:rsidRPr="00564B47">
        <w:t xml:space="preserve"> </w:t>
      </w:r>
      <w:r>
        <w:t xml:space="preserve">This report raised </w:t>
      </w:r>
      <w:r w:rsidRPr="0042767D">
        <w:t xml:space="preserve">concerns regarding the overrepresentation of </w:t>
      </w:r>
      <w:r>
        <w:t xml:space="preserve">mokopuna </w:t>
      </w:r>
      <w:r w:rsidRPr="0042767D">
        <w:t xml:space="preserve">Māori in the </w:t>
      </w:r>
      <w:r w:rsidR="00754536">
        <w:t>YJ</w:t>
      </w:r>
      <w:r w:rsidRPr="0042767D">
        <w:t xml:space="preserve"> system</w:t>
      </w:r>
      <w:r>
        <w:t>,</w:t>
      </w:r>
      <w:r w:rsidRPr="0042767D">
        <w:t xml:space="preserve"> and among those who </w:t>
      </w:r>
      <w:r w:rsidR="008E133B">
        <w:t>die by</w:t>
      </w:r>
      <w:r w:rsidR="008E133B" w:rsidRPr="0042767D">
        <w:t xml:space="preserve"> </w:t>
      </w:r>
      <w:r w:rsidRPr="0042767D">
        <w:t>suicide in closed institutions.</w:t>
      </w:r>
      <w:r>
        <w:t xml:space="preserve"> </w:t>
      </w:r>
      <w:bookmarkEnd w:id="4"/>
    </w:p>
    <w:p w14:paraId="568D134B" w14:textId="7495C9EE" w:rsidR="00EF2505" w:rsidRPr="00AA4D9D" w:rsidRDefault="00EF2505" w:rsidP="007D19C3">
      <w:pPr>
        <w:pStyle w:val="ListNumber"/>
        <w:ind w:left="567" w:hanging="567"/>
        <w:rPr>
          <w:lang w:val="en-AU"/>
        </w:rPr>
      </w:pPr>
      <w:r w:rsidRPr="0042767D">
        <w:t xml:space="preserve">It </w:t>
      </w:r>
      <w:r>
        <w:t xml:space="preserve">also </w:t>
      </w:r>
      <w:r w:rsidRPr="007D19C3">
        <w:rPr>
          <w:rFonts w:ascii="Segoe UI" w:hAnsi="Segoe UI" w:cs="Segoe UI"/>
          <w:lang w:val="en-AU"/>
        </w:rPr>
        <w:t>recommended</w:t>
      </w:r>
      <w:r w:rsidRPr="0042767D">
        <w:t xml:space="preserve"> that </w:t>
      </w:r>
      <w:r>
        <w:t xml:space="preserve">the </w:t>
      </w:r>
      <w:r w:rsidRPr="0042767D">
        <w:t>New Zealand</w:t>
      </w:r>
      <w:r>
        <w:t xml:space="preserve"> Government </w:t>
      </w:r>
      <w:r w:rsidRPr="0042767D">
        <w:t>develop an action plan to address the connections between offending and neurodisability, alienation from wh</w:t>
      </w:r>
      <w:r>
        <w:t>ā</w:t>
      </w:r>
      <w:r w:rsidRPr="0042767D">
        <w:t xml:space="preserve">nau, school and community, substance abuse, </w:t>
      </w:r>
      <w:r w:rsidRPr="0042767D">
        <w:lastRenderedPageBreak/>
        <w:t xml:space="preserve">family violence, removal into state care and intergenerational issues, in order to reduce the disparity in the rates of sentencing, incarceration and survival in detention of </w:t>
      </w:r>
      <w:r>
        <w:t xml:space="preserve">mokopuna </w:t>
      </w:r>
      <w:r w:rsidRPr="0042767D">
        <w:t>Māori.</w:t>
      </w:r>
      <w:r>
        <w:rPr>
          <w:rStyle w:val="FootnoteReference"/>
        </w:rPr>
        <w:footnoteReference w:id="25"/>
      </w:r>
    </w:p>
    <w:p w14:paraId="4EB4E749" w14:textId="46390F09" w:rsidR="00EF2505" w:rsidRPr="007D19C3" w:rsidRDefault="008A668F" w:rsidP="007D19C3">
      <w:pPr>
        <w:pStyle w:val="ListNumber"/>
        <w:ind w:left="567" w:hanging="567"/>
      </w:pPr>
      <w:r>
        <w:t xml:space="preserve">The </w:t>
      </w:r>
      <w:r w:rsidR="00EF2505">
        <w:t xml:space="preserve">OCC </w:t>
      </w:r>
      <w:bookmarkStart w:id="5" w:name="_Hlk135220597"/>
      <w:r w:rsidR="00EF2505">
        <w:t xml:space="preserve">refers the Committee to paras 28(e-g), 40(b), 43(a-e) of this report, which include specific recommendations on mokopuna within the </w:t>
      </w:r>
      <w:r w:rsidR="00754536">
        <w:t>C&amp;P</w:t>
      </w:r>
      <w:r w:rsidR="00EF2505">
        <w:t xml:space="preserve"> and </w:t>
      </w:r>
      <w:r w:rsidR="00754536">
        <w:t>YJ</w:t>
      </w:r>
      <w:r w:rsidR="00EF2505">
        <w:t xml:space="preserve"> system</w:t>
      </w:r>
      <w:bookmarkEnd w:id="5"/>
      <w:r w:rsidR="00EF2505">
        <w:t>s.</w:t>
      </w:r>
    </w:p>
    <w:p w14:paraId="2E4F5C18" w14:textId="24473FA1" w:rsidR="00EF2505" w:rsidRPr="009D6BE0" w:rsidRDefault="008A668F" w:rsidP="007D19C3">
      <w:pPr>
        <w:pStyle w:val="ListNumber"/>
        <w:ind w:left="567" w:hanging="567"/>
        <w:rPr>
          <w:lang w:val="en-AU"/>
        </w:rPr>
      </w:pPr>
      <w:r>
        <w:t xml:space="preserve">The </w:t>
      </w:r>
      <w:r w:rsidR="00EF2505">
        <w:t xml:space="preserve">OCC refers </w:t>
      </w:r>
      <w:bookmarkStart w:id="6" w:name="_Hlk135220538"/>
      <w:r w:rsidR="00EF2505">
        <w:t xml:space="preserve">the Committee to the recent Concluding Observations from </w:t>
      </w:r>
      <w:r w:rsidR="00EF2505" w:rsidRPr="007D19C3">
        <w:t xml:space="preserve">the </w:t>
      </w:r>
      <w:r w:rsidR="00EF2505">
        <w:t xml:space="preserve">United Nations Committee on the </w:t>
      </w:r>
      <w:r w:rsidR="00EF2505">
        <w:rPr>
          <w:rFonts w:ascii="Segoe UI" w:hAnsi="Segoe UI" w:cs="Segoe UI"/>
        </w:rPr>
        <w:t>Rights of Persons with Disabilities,</w:t>
      </w:r>
      <w:r w:rsidR="00EF2505">
        <w:rPr>
          <w:rStyle w:val="FootnoteReference"/>
          <w:rFonts w:ascii="Segoe UI" w:hAnsi="Segoe UI" w:cs="Segoe UI"/>
        </w:rPr>
        <w:footnoteReference w:id="26"/>
      </w:r>
      <w:r w:rsidR="00EF2505">
        <w:rPr>
          <w:rFonts w:ascii="Segoe UI" w:hAnsi="Segoe UI" w:cs="Segoe UI"/>
        </w:rPr>
        <w:t xml:space="preserve"> which recommends </w:t>
      </w:r>
      <w:r w:rsidR="00EF2505" w:rsidRPr="00564B47">
        <w:rPr>
          <w:rFonts w:ascii="Segoe UI" w:hAnsi="Segoe UI" w:cs="Segoe UI"/>
        </w:rPr>
        <w:t>eliminat</w:t>
      </w:r>
      <w:r w:rsidR="00EF2505">
        <w:rPr>
          <w:rFonts w:ascii="Segoe UI" w:hAnsi="Segoe UI" w:cs="Segoe UI"/>
        </w:rPr>
        <w:t>ing</w:t>
      </w:r>
      <w:r w:rsidR="00EF2505" w:rsidRPr="00564B47">
        <w:rPr>
          <w:rFonts w:ascii="Segoe UI" w:hAnsi="Segoe UI" w:cs="Segoe UI"/>
        </w:rPr>
        <w:t xml:space="preserve"> the use of solitary confinement, seclusion, physical and chemical </w:t>
      </w:r>
      <w:r w:rsidR="0047540F" w:rsidRPr="00564B47">
        <w:rPr>
          <w:rFonts w:ascii="Segoe UI" w:hAnsi="Segoe UI" w:cs="Segoe UI"/>
        </w:rPr>
        <w:t>restraints,</w:t>
      </w:r>
      <w:r w:rsidR="00EF2505" w:rsidRPr="00564B47">
        <w:rPr>
          <w:rFonts w:ascii="Segoe UI" w:hAnsi="Segoe UI" w:cs="Segoe UI"/>
        </w:rPr>
        <w:t xml:space="preserve"> and other restrictive practices in places of detention</w:t>
      </w:r>
      <w:r w:rsidR="00EF2505">
        <w:rPr>
          <w:rFonts w:ascii="Segoe UI" w:hAnsi="Segoe UI" w:cs="Segoe UI"/>
        </w:rPr>
        <w:t xml:space="preserve">. </w:t>
      </w:r>
      <w:bookmarkEnd w:id="6"/>
      <w:r w:rsidR="00EF2505">
        <w:rPr>
          <w:rFonts w:ascii="Segoe UI" w:hAnsi="Segoe UI" w:cs="Segoe UI"/>
        </w:rPr>
        <w:t xml:space="preserve">Mokopuna in places of detention continue to experience high rates of seclusion and restraint, which is detailed at paras </w:t>
      </w:r>
      <w:r w:rsidR="00766FAF">
        <w:rPr>
          <w:rFonts w:ascii="Segoe UI" w:hAnsi="Segoe UI" w:cs="Segoe UI"/>
        </w:rPr>
        <w:t>87-90.</w:t>
      </w:r>
    </w:p>
    <w:p w14:paraId="77C2043D" w14:textId="77777777" w:rsidR="00A8352D" w:rsidRDefault="00A8352D">
      <w:pPr>
        <w:rPr>
          <w:rFonts w:ascii="Calibri" w:eastAsia="Calibri" w:hAnsi="Calibri" w:cs="Calibri"/>
          <w:sz w:val="36"/>
          <w:szCs w:val="36"/>
          <w:lang w:val="en-AU"/>
        </w:rPr>
      </w:pPr>
      <w:r>
        <w:rPr>
          <w:lang w:val="en-AU"/>
        </w:rPr>
        <w:br w:type="page"/>
      </w:r>
    </w:p>
    <w:p w14:paraId="358CDE1C" w14:textId="41767061" w:rsidR="00EF2505" w:rsidRDefault="00EF2505" w:rsidP="00EF2505">
      <w:pPr>
        <w:pStyle w:val="Heading4"/>
        <w:rPr>
          <w:lang w:val="en-AU"/>
        </w:rPr>
      </w:pPr>
      <w:r>
        <w:rPr>
          <w:lang w:val="en-AU"/>
        </w:rPr>
        <w:lastRenderedPageBreak/>
        <w:t>Impacts of COVID-19</w:t>
      </w:r>
    </w:p>
    <w:p w14:paraId="7831A665" w14:textId="4C931634" w:rsidR="00EF2505" w:rsidRPr="007D19C3" w:rsidRDefault="00EF2505" w:rsidP="0047540F">
      <w:pPr>
        <w:pStyle w:val="ListNumber"/>
        <w:ind w:left="567" w:hanging="567"/>
        <w:jc w:val="both"/>
      </w:pPr>
      <w:r w:rsidRPr="001A1C56">
        <w:rPr>
          <w:lang w:val="en-AU"/>
        </w:rPr>
        <w:t>COVID-19</w:t>
      </w:r>
      <w:r w:rsidR="00695BE7">
        <w:rPr>
          <w:rStyle w:val="FootnoteReference"/>
          <w:lang w:val="en-AU"/>
        </w:rPr>
        <w:footnoteReference w:id="27"/>
      </w:r>
      <w:r w:rsidRPr="001A1C56">
        <w:rPr>
          <w:lang w:val="en-AU"/>
        </w:rPr>
        <w:t xml:space="preserve"> impact</w:t>
      </w:r>
      <w:r>
        <w:rPr>
          <w:lang w:val="en-AU"/>
        </w:rPr>
        <w:t>ed</w:t>
      </w:r>
      <w:r w:rsidRPr="001A1C56">
        <w:rPr>
          <w:lang w:val="en-AU"/>
        </w:rPr>
        <w:t xml:space="preserve"> upon day-to-day operations in places of detention across the country.</w:t>
      </w:r>
      <w:r>
        <w:rPr>
          <w:rStyle w:val="FootnoteReference"/>
          <w:lang w:val="en-AU"/>
        </w:rPr>
        <w:footnoteReference w:id="28"/>
      </w:r>
      <w:r w:rsidRPr="001A1C56">
        <w:rPr>
          <w:lang w:val="en-AU"/>
        </w:rPr>
        <w:t xml:space="preserve"> </w:t>
      </w:r>
      <w:r>
        <w:rPr>
          <w:lang w:val="en-AU"/>
        </w:rPr>
        <w:t>Secure r</w:t>
      </w:r>
      <w:r w:rsidRPr="001A1C56">
        <w:rPr>
          <w:lang w:val="en-AU"/>
        </w:rPr>
        <w:t xml:space="preserve">esidences remained at reduced capacity for large parts of </w:t>
      </w:r>
      <w:r>
        <w:rPr>
          <w:lang w:val="en-AU"/>
        </w:rPr>
        <w:t xml:space="preserve">2021-22 </w:t>
      </w:r>
      <w:r w:rsidRPr="001A1C56">
        <w:rPr>
          <w:lang w:val="en-AU"/>
        </w:rPr>
        <w:t>to ensure the Oranga Tamariki COVID</w:t>
      </w:r>
      <w:r>
        <w:rPr>
          <w:lang w:val="en-AU"/>
        </w:rPr>
        <w:t>-19</w:t>
      </w:r>
      <w:r w:rsidRPr="001A1C56">
        <w:rPr>
          <w:lang w:val="en-AU"/>
        </w:rPr>
        <w:t xml:space="preserve"> strategy could be enacted if a positive case was to present </w:t>
      </w:r>
      <w:r w:rsidRPr="007D19C3">
        <w:t>itself. This included holding whole units within residences vacant, having dedicated isolation wings, and staff having the ability to work in team ‘bubbles’ to ensure they had the capability keep themselves and mokopuna safe.</w:t>
      </w:r>
    </w:p>
    <w:p w14:paraId="7FE06B3F" w14:textId="01D4FE37" w:rsidR="00EF2505" w:rsidRPr="007D19C3" w:rsidRDefault="008A668F" w:rsidP="0047540F">
      <w:pPr>
        <w:pStyle w:val="ListNumber"/>
        <w:ind w:left="567" w:hanging="567"/>
        <w:jc w:val="both"/>
      </w:pPr>
      <w:r>
        <w:t xml:space="preserve">The </w:t>
      </w:r>
      <w:r w:rsidR="00EF2505" w:rsidRPr="007D19C3">
        <w:t>OCC engaged in full monitoring visits and worked in line with government and facility guidelines and protocols to reduce the risk of spread of COVID-19.</w:t>
      </w:r>
    </w:p>
    <w:p w14:paraId="3449DBFF" w14:textId="46F6CB74" w:rsidR="00EF2505" w:rsidRPr="007D19C3" w:rsidRDefault="00EF2505" w:rsidP="0047540F">
      <w:pPr>
        <w:pStyle w:val="ListNumber"/>
        <w:ind w:left="567" w:hanging="567"/>
        <w:jc w:val="both"/>
      </w:pPr>
      <w:r w:rsidRPr="007D19C3">
        <w:t>The majority of facilities</w:t>
      </w:r>
      <w:r w:rsidR="008A668F">
        <w:t xml:space="preserve"> the </w:t>
      </w:r>
      <w:r w:rsidRPr="007D19C3">
        <w:t>OCC visited had comprehensive COVID-19 response plans in place, which included containment strategies to limit the spread of COVID-19.</w:t>
      </w:r>
    </w:p>
    <w:p w14:paraId="067C2DC0" w14:textId="0065FDEF" w:rsidR="00EF2505" w:rsidRPr="001A1C56" w:rsidRDefault="00EF2505" w:rsidP="0047540F">
      <w:pPr>
        <w:pStyle w:val="ListNumber"/>
        <w:ind w:left="567" w:hanging="567"/>
        <w:jc w:val="both"/>
        <w:rPr>
          <w:lang w:val="en-AU"/>
        </w:rPr>
      </w:pPr>
      <w:r>
        <w:t>Some of the key COVID-19-related impacts across facilities included:</w:t>
      </w:r>
      <w:r w:rsidRPr="001A1C56">
        <w:t xml:space="preserve"> </w:t>
      </w:r>
      <w:r>
        <w:t>limited a</w:t>
      </w:r>
      <w:r w:rsidRPr="001A1C56">
        <w:t>ccess to independent advocates</w:t>
      </w:r>
      <w:r>
        <w:t xml:space="preserve">; a national shortage for workers in places of detention was exacerbated by COVID-19; facilities are not fit-for-purpose (this was true prior to COVID-19) and did not have enough </w:t>
      </w:r>
      <w:r>
        <w:lastRenderedPageBreak/>
        <w:t>separate or multi-use spaces; access to off-site activities was reduced in some facilities</w:t>
      </w:r>
      <w:r w:rsidR="0021422A">
        <w:t>;</w:t>
      </w:r>
      <w:r>
        <w:t xml:space="preserve"> and opportunities for external facilitators to run youth</w:t>
      </w:r>
      <w:r w:rsidR="00754536">
        <w:t>-</w:t>
      </w:r>
      <w:r>
        <w:t>focused programmes was limited.</w:t>
      </w:r>
      <w:r w:rsidR="0021422A">
        <w:rPr>
          <w:rStyle w:val="FootnoteReference"/>
        </w:rPr>
        <w:footnoteReference w:id="29"/>
      </w:r>
    </w:p>
    <w:p w14:paraId="03CA7662" w14:textId="0014B20E" w:rsidR="009A78A7" w:rsidRDefault="00EF2505" w:rsidP="0044363A">
      <w:pPr>
        <w:keepNext/>
        <w:keepLines/>
        <w:widowControl/>
        <w:autoSpaceDE/>
        <w:autoSpaceDN/>
        <w:spacing w:before="120" w:after="120" w:line="120" w:lineRule="atLeast"/>
        <w:outlineLvl w:val="0"/>
        <w:rPr>
          <w:rFonts w:eastAsia="MS Gothic"/>
          <w:b/>
          <w:bCs/>
          <w:color w:val="C32026"/>
          <w:sz w:val="48"/>
          <w:szCs w:val="28"/>
          <w:lang w:val="en-AU"/>
        </w:rPr>
      </w:pPr>
      <w:r>
        <w:rPr>
          <w:rFonts w:eastAsia="MS Gothic"/>
          <w:b/>
          <w:bCs/>
          <w:color w:val="C32026"/>
          <w:sz w:val="48"/>
          <w:szCs w:val="28"/>
          <w:lang w:val="en-AU"/>
        </w:rPr>
        <w:t>Article 2</w:t>
      </w:r>
    </w:p>
    <w:p w14:paraId="64E41551" w14:textId="77777777" w:rsidR="00EF2505" w:rsidRPr="002626D0" w:rsidRDefault="00EF2505" w:rsidP="00EF2505">
      <w:pPr>
        <w:pStyle w:val="Heading4"/>
      </w:pPr>
      <w:r>
        <w:t>List of Issues Para 3 – Rights of people in custody</w:t>
      </w:r>
    </w:p>
    <w:p w14:paraId="1D12B412" w14:textId="19D9FD87" w:rsidR="00EF2505" w:rsidRPr="0047540F" w:rsidRDefault="00EF2505" w:rsidP="0047540F">
      <w:pPr>
        <w:pStyle w:val="ListNumber"/>
        <w:ind w:left="567" w:hanging="567"/>
        <w:jc w:val="both"/>
        <w:rPr>
          <w:rFonts w:ascii="Segoe UI" w:hAnsi="Segoe UI" w:cs="Segoe UI"/>
          <w:lang w:val="en-AU"/>
        </w:rPr>
      </w:pPr>
      <w:r w:rsidRPr="0047540F">
        <w:rPr>
          <w:rFonts w:ascii="Segoe UI" w:hAnsi="Segoe UI" w:cs="Segoe UI"/>
        </w:rPr>
        <w:t xml:space="preserve">While Oranga Tamariki </w:t>
      </w:r>
      <w:r w:rsidR="008A668F" w:rsidRPr="0047540F">
        <w:rPr>
          <w:rFonts w:ascii="Segoe UI" w:hAnsi="Segoe UI" w:cs="Segoe UI"/>
        </w:rPr>
        <w:t>ha</w:t>
      </w:r>
      <w:r w:rsidR="008A668F">
        <w:rPr>
          <w:rFonts w:ascii="Segoe UI" w:hAnsi="Segoe UI" w:cs="Segoe UI"/>
        </w:rPr>
        <w:t>s</w:t>
      </w:r>
      <w:r w:rsidR="008A668F" w:rsidRPr="0047540F">
        <w:rPr>
          <w:rFonts w:ascii="Segoe UI" w:hAnsi="Segoe UI" w:cs="Segoe UI"/>
        </w:rPr>
        <w:t xml:space="preserve"> </w:t>
      </w:r>
      <w:r w:rsidRPr="0047540F">
        <w:rPr>
          <w:rFonts w:ascii="Segoe UI" w:hAnsi="Segoe UI" w:cs="Segoe UI"/>
        </w:rPr>
        <w:t>strengthened requirements under the National Care Standards as well as established processes to ensure mokopuna in secure residences are aware of their rights,</w:t>
      </w:r>
      <w:r w:rsidR="002F0C44">
        <w:rPr>
          <w:rStyle w:val="FootnoteReference"/>
          <w:rFonts w:ascii="Segoe UI" w:hAnsi="Segoe UI" w:cs="Segoe UI"/>
        </w:rPr>
        <w:footnoteReference w:id="30"/>
      </w:r>
      <w:r w:rsidRPr="0047540F">
        <w:rPr>
          <w:rFonts w:ascii="Segoe UI" w:hAnsi="Segoe UI" w:cs="Segoe UI"/>
        </w:rPr>
        <w:t xml:space="preserve"> OCC monitoring of secure residences has found </w:t>
      </w:r>
      <w:r w:rsidR="006E5D99">
        <w:t>that mokopuna do not always understand their rights</w:t>
      </w:r>
      <w:r w:rsidRPr="0047540F">
        <w:rPr>
          <w:rFonts w:ascii="Segoe UI" w:hAnsi="Segoe UI" w:cs="Segoe UI"/>
        </w:rPr>
        <w:t>.</w:t>
      </w:r>
      <w:r w:rsidR="0021422A">
        <w:rPr>
          <w:rStyle w:val="FootnoteReference"/>
          <w:rFonts w:ascii="Segoe UI" w:hAnsi="Segoe UI" w:cs="Segoe UI"/>
        </w:rPr>
        <w:footnoteReference w:id="31"/>
      </w:r>
      <w:r w:rsidR="002F0C44">
        <w:rPr>
          <w:rFonts w:ascii="Segoe UI" w:hAnsi="Segoe UI" w:cs="Segoe UI"/>
        </w:rPr>
        <w:t xml:space="preserve"> This includes mokopuna understanding of </w:t>
      </w:r>
      <w:r w:rsidR="006E5D99">
        <w:rPr>
          <w:rFonts w:ascii="Segoe UI" w:hAnsi="Segoe UI" w:cs="Segoe UI"/>
        </w:rPr>
        <w:t xml:space="preserve">their </w:t>
      </w:r>
      <w:r w:rsidR="002F0C44">
        <w:rPr>
          <w:rFonts w:ascii="Segoe UI" w:hAnsi="Segoe UI" w:cs="Segoe UI"/>
        </w:rPr>
        <w:t>rights under the Children’s Convention and CAT.</w:t>
      </w:r>
    </w:p>
    <w:p w14:paraId="2B116273" w14:textId="181B8EA4" w:rsidR="00EF2505" w:rsidRPr="001E0CC2" w:rsidRDefault="006E5D99" w:rsidP="0047540F">
      <w:pPr>
        <w:pStyle w:val="ListNumber"/>
        <w:ind w:left="567" w:hanging="567"/>
        <w:jc w:val="both"/>
        <w:rPr>
          <w:rFonts w:ascii="Segoe UI" w:hAnsi="Segoe UI" w:cs="Segoe UI"/>
          <w:lang w:val="en-AU"/>
        </w:rPr>
      </w:pPr>
      <w:r>
        <w:t>This lack of awareness and understanding of their rights by mokopuna</w:t>
      </w:r>
      <w:r w:rsidRPr="0047540F" w:rsidDel="006E5D99">
        <w:rPr>
          <w:rFonts w:ascii="Segoe UI" w:hAnsi="Segoe UI" w:cs="Segoe UI"/>
        </w:rPr>
        <w:t xml:space="preserve"> </w:t>
      </w:r>
      <w:r>
        <w:rPr>
          <w:rFonts w:ascii="Segoe UI" w:hAnsi="Segoe UI" w:cs="Segoe UI"/>
        </w:rPr>
        <w:t>may</w:t>
      </w:r>
      <w:r w:rsidR="00EF2505" w:rsidRPr="0047540F">
        <w:rPr>
          <w:rFonts w:ascii="Segoe UI" w:hAnsi="Segoe UI" w:cs="Segoe UI"/>
        </w:rPr>
        <w:t xml:space="preserve"> be exacerbated with the separate function of Oranga Tamariki oversight monitoring in residences </w:t>
      </w:r>
      <w:r w:rsidR="002F0C44">
        <w:rPr>
          <w:rFonts w:ascii="Segoe UI" w:hAnsi="Segoe UI" w:cs="Segoe UI"/>
        </w:rPr>
        <w:t>(</w:t>
      </w:r>
      <w:r w:rsidR="008A668F">
        <w:rPr>
          <w:rFonts w:ascii="Segoe UI" w:hAnsi="Segoe UI" w:cs="Segoe UI"/>
        </w:rPr>
        <w:t xml:space="preserve">now done by </w:t>
      </w:r>
      <w:r w:rsidR="009C3B5B">
        <w:rPr>
          <w:rFonts w:ascii="Segoe UI" w:hAnsi="Segoe UI" w:cs="Segoe UI"/>
        </w:rPr>
        <w:t>Aroturuki Tamar</w:t>
      </w:r>
      <w:r w:rsidR="004C1244">
        <w:rPr>
          <w:rFonts w:ascii="Segoe UI" w:hAnsi="Segoe UI" w:cs="Segoe UI"/>
        </w:rPr>
        <w:t>i</w:t>
      </w:r>
      <w:r w:rsidR="009C3B5B">
        <w:rPr>
          <w:rFonts w:ascii="Segoe UI" w:hAnsi="Segoe UI" w:cs="Segoe UI"/>
        </w:rPr>
        <w:t>ki</w:t>
      </w:r>
      <w:r w:rsidR="008A668F">
        <w:rPr>
          <w:rFonts w:ascii="Segoe UI" w:hAnsi="Segoe UI" w:cs="Segoe UI"/>
        </w:rPr>
        <w:t xml:space="preserve">, </w:t>
      </w:r>
      <w:r w:rsidR="002F0C44">
        <w:rPr>
          <w:rFonts w:ascii="Segoe UI" w:hAnsi="Segoe UI" w:cs="Segoe UI"/>
        </w:rPr>
        <w:t xml:space="preserve">see para </w:t>
      </w:r>
      <w:r w:rsidR="00766FAF">
        <w:rPr>
          <w:rFonts w:ascii="Segoe UI" w:hAnsi="Segoe UI" w:cs="Segoe UI"/>
        </w:rPr>
        <w:t>28</w:t>
      </w:r>
      <w:r w:rsidR="002F0C44">
        <w:rPr>
          <w:rFonts w:ascii="Segoe UI" w:hAnsi="Segoe UI" w:cs="Segoe UI"/>
        </w:rPr>
        <w:t xml:space="preserve">) </w:t>
      </w:r>
      <w:r w:rsidR="00EF2505" w:rsidRPr="0047540F">
        <w:rPr>
          <w:rFonts w:ascii="Segoe UI" w:hAnsi="Segoe UI" w:cs="Segoe UI"/>
        </w:rPr>
        <w:t xml:space="preserve">and the NPM function that the OCC will continue to exercise </w:t>
      </w:r>
      <w:r w:rsidR="005779C1">
        <w:rPr>
          <w:rFonts w:ascii="Segoe UI" w:hAnsi="Segoe UI" w:cs="Segoe UI"/>
        </w:rPr>
        <w:t xml:space="preserve">as the Commission </w:t>
      </w:r>
      <w:r w:rsidR="00EF2505" w:rsidRPr="0047540F">
        <w:rPr>
          <w:rFonts w:ascii="Segoe UI" w:hAnsi="Segoe UI" w:cs="Segoe UI"/>
        </w:rPr>
        <w:t xml:space="preserve">in respect of </w:t>
      </w:r>
      <w:r w:rsidR="005779C1">
        <w:rPr>
          <w:rFonts w:ascii="Segoe UI" w:hAnsi="Segoe UI" w:cs="Segoe UI"/>
        </w:rPr>
        <w:t>examining</w:t>
      </w:r>
      <w:r w:rsidR="005779C1" w:rsidRPr="0047540F">
        <w:rPr>
          <w:rFonts w:ascii="Segoe UI" w:hAnsi="Segoe UI" w:cs="Segoe UI"/>
        </w:rPr>
        <w:t xml:space="preserve"> </w:t>
      </w:r>
      <w:r w:rsidR="00EF2505" w:rsidRPr="0047540F">
        <w:rPr>
          <w:rFonts w:ascii="Segoe UI" w:hAnsi="Segoe UI" w:cs="Segoe UI"/>
        </w:rPr>
        <w:t>detention treatment and conditions in accordance with OPCAT.</w:t>
      </w:r>
    </w:p>
    <w:p w14:paraId="2B7C10B6" w14:textId="63CB5805" w:rsidR="006A792C" w:rsidRPr="008F0EEA" w:rsidRDefault="009C3B5B" w:rsidP="0047540F">
      <w:pPr>
        <w:pStyle w:val="ListNumber"/>
        <w:ind w:left="567" w:hanging="567"/>
        <w:jc w:val="both"/>
        <w:rPr>
          <w:rFonts w:ascii="Segoe UI" w:hAnsi="Segoe UI" w:cs="Segoe UI"/>
          <w:lang w:val="en-AU"/>
        </w:rPr>
      </w:pPr>
      <w:r w:rsidRPr="008F0EEA">
        <w:rPr>
          <w:rFonts w:ascii="Segoe UI" w:hAnsi="Segoe UI" w:cs="Segoe UI"/>
          <w:lang w:val="en-AU"/>
        </w:rPr>
        <w:lastRenderedPageBreak/>
        <w:t>The Oversight Agencies</w:t>
      </w:r>
      <w:r w:rsidR="005779C1" w:rsidRPr="008F0EEA">
        <w:rPr>
          <w:rStyle w:val="FootnoteReference"/>
          <w:rFonts w:ascii="Segoe UI" w:hAnsi="Segoe UI" w:cs="Segoe UI"/>
          <w:lang w:val="en-AU"/>
        </w:rPr>
        <w:footnoteReference w:id="32"/>
      </w:r>
      <w:r w:rsidRPr="008F0EEA">
        <w:rPr>
          <w:rFonts w:ascii="Segoe UI" w:hAnsi="Segoe UI" w:cs="Segoe UI"/>
          <w:lang w:val="en-AU"/>
        </w:rPr>
        <w:t xml:space="preserve"> </w:t>
      </w:r>
      <w:r w:rsidR="005779C1" w:rsidRPr="008F0EEA">
        <w:rPr>
          <w:rFonts w:ascii="Segoe UI" w:hAnsi="Segoe UI" w:cs="Segoe UI"/>
          <w:lang w:val="en-AU"/>
        </w:rPr>
        <w:t>have committed to working collaboratively towards</w:t>
      </w:r>
      <w:r w:rsidRPr="008F0EEA">
        <w:rPr>
          <w:rFonts w:ascii="Segoe UI" w:hAnsi="Segoe UI" w:cs="Segoe UI"/>
          <w:lang w:val="en-AU"/>
        </w:rPr>
        <w:t xml:space="preserve"> ensuring mokopuna </w:t>
      </w:r>
      <w:r w:rsidR="000451B1" w:rsidRPr="008F0EEA">
        <w:rPr>
          <w:rFonts w:ascii="Segoe UI" w:hAnsi="Segoe UI" w:cs="Segoe UI"/>
          <w:lang w:val="en-AU"/>
        </w:rPr>
        <w:t>understand the new Oversight System</w:t>
      </w:r>
      <w:r w:rsidR="005779C1" w:rsidRPr="008F0EEA">
        <w:rPr>
          <w:rFonts w:ascii="Segoe UI" w:hAnsi="Segoe UI" w:cs="Segoe UI"/>
          <w:lang w:val="en-AU"/>
        </w:rPr>
        <w:t xml:space="preserve"> and the respective roles of each monitoring body,</w:t>
      </w:r>
      <w:r w:rsidR="000451B1" w:rsidRPr="008F0EEA">
        <w:rPr>
          <w:rFonts w:ascii="Segoe UI" w:hAnsi="Segoe UI" w:cs="Segoe UI"/>
          <w:lang w:val="en-AU"/>
        </w:rPr>
        <w:t xml:space="preserve"> and how </w:t>
      </w:r>
      <w:r w:rsidR="005779C1" w:rsidRPr="008F0EEA">
        <w:rPr>
          <w:rFonts w:ascii="Segoe UI" w:hAnsi="Segoe UI" w:cs="Segoe UI"/>
          <w:lang w:val="en-AU"/>
        </w:rPr>
        <w:t>mokopuna</w:t>
      </w:r>
      <w:r w:rsidR="000451B1" w:rsidRPr="008F0EEA">
        <w:rPr>
          <w:rFonts w:ascii="Segoe UI" w:hAnsi="Segoe UI" w:cs="Segoe UI"/>
          <w:lang w:val="en-AU"/>
        </w:rPr>
        <w:t xml:space="preserve"> can </w:t>
      </w:r>
      <w:r w:rsidR="005779C1" w:rsidRPr="008F0EEA">
        <w:rPr>
          <w:rFonts w:ascii="Segoe UI" w:hAnsi="Segoe UI" w:cs="Segoe UI"/>
          <w:lang w:val="en-AU"/>
        </w:rPr>
        <w:t xml:space="preserve">contact or </w:t>
      </w:r>
      <w:r w:rsidR="000451B1" w:rsidRPr="008F0EEA">
        <w:rPr>
          <w:rFonts w:ascii="Segoe UI" w:hAnsi="Segoe UI" w:cs="Segoe UI"/>
          <w:lang w:val="en-AU"/>
        </w:rPr>
        <w:t xml:space="preserve">make a complaint to </w:t>
      </w:r>
      <w:r w:rsidR="005779C1" w:rsidRPr="008F0EEA">
        <w:rPr>
          <w:rFonts w:ascii="Segoe UI" w:hAnsi="Segoe UI" w:cs="Segoe UI"/>
          <w:lang w:val="en-AU"/>
        </w:rPr>
        <w:t>relevant</w:t>
      </w:r>
      <w:r w:rsidR="000451B1" w:rsidRPr="008F0EEA">
        <w:rPr>
          <w:rFonts w:ascii="Segoe UI" w:hAnsi="Segoe UI" w:cs="Segoe UI"/>
          <w:lang w:val="en-AU"/>
        </w:rPr>
        <w:t xml:space="preserve"> agencies</w:t>
      </w:r>
      <w:r w:rsidRPr="008F0EEA">
        <w:rPr>
          <w:rFonts w:ascii="Segoe UI" w:hAnsi="Segoe UI" w:cs="Segoe UI"/>
          <w:lang w:val="en-AU"/>
        </w:rPr>
        <w:t>.</w:t>
      </w:r>
    </w:p>
    <w:p w14:paraId="54FA9DEF" w14:textId="77777777" w:rsidR="00EF2505" w:rsidRDefault="00EF2505" w:rsidP="00EF2505">
      <w:pPr>
        <w:pStyle w:val="Heading4"/>
        <w:rPr>
          <w:lang w:val="en-AU"/>
        </w:rPr>
      </w:pPr>
      <w:r>
        <w:rPr>
          <w:lang w:val="en-AU"/>
        </w:rPr>
        <w:t>List of Issues Para 4 – National Preventive Mechanism</w:t>
      </w:r>
    </w:p>
    <w:p w14:paraId="2D89B098" w14:textId="77777777" w:rsidR="00EF2505" w:rsidRPr="00593729" w:rsidRDefault="00EF2505" w:rsidP="00EF2505">
      <w:pPr>
        <w:pStyle w:val="Pull-OutText"/>
        <w:ind w:left="0"/>
      </w:pPr>
      <w:r>
        <w:t>A</w:t>
      </w:r>
      <w:r w:rsidRPr="00593729">
        <w:t>chievements and activities</w:t>
      </w:r>
    </w:p>
    <w:p w14:paraId="164877BC" w14:textId="7095AA3A" w:rsidR="00EF2505" w:rsidRDefault="00EF2505" w:rsidP="0047540F">
      <w:pPr>
        <w:pStyle w:val="ListNumber"/>
        <w:ind w:left="567" w:hanging="567"/>
        <w:jc w:val="both"/>
      </w:pPr>
      <w:r>
        <w:t xml:space="preserve">OCC </w:t>
      </w:r>
      <w:r w:rsidR="001E0CC2">
        <w:t xml:space="preserve">is </w:t>
      </w:r>
      <w:r>
        <w:t>responsible for monitoring four C&amp;P and five YJ residences established under section 364 of the Oranga Tamariki Act 1989; 14 community</w:t>
      </w:r>
      <w:r w:rsidR="00021AEB">
        <w:t>-</w:t>
      </w:r>
      <w:r>
        <w:t>based remand care homes; one special purpose facility</w:t>
      </w:r>
      <w:r w:rsidR="00942F4B">
        <w:t>;</w:t>
      </w:r>
      <w:r>
        <w:rPr>
          <w:rStyle w:val="FootnoteReference"/>
        </w:rPr>
        <w:footnoteReference w:id="33"/>
      </w:r>
      <w:r>
        <w:t xml:space="preserve"> and five health and disability places of detention established specifically for the care of mokopuna, including youth forensic units and child and adolescent mental health units.</w:t>
      </w:r>
      <w:r>
        <w:rPr>
          <w:rStyle w:val="FootnoteReference"/>
        </w:rPr>
        <w:footnoteReference w:id="34"/>
      </w:r>
    </w:p>
    <w:p w14:paraId="541FB59B" w14:textId="20A98D3E" w:rsidR="00EF2505" w:rsidRDefault="00EF2505" w:rsidP="0047540F">
      <w:pPr>
        <w:pStyle w:val="ListNumber"/>
        <w:ind w:left="567" w:hanging="567"/>
        <w:jc w:val="both"/>
      </w:pPr>
      <w:r>
        <w:t xml:space="preserve">Between 2021-22, </w:t>
      </w:r>
      <w:r w:rsidR="00942F4B">
        <w:t xml:space="preserve">the </w:t>
      </w:r>
      <w:r>
        <w:t xml:space="preserve">OCC </w:t>
      </w:r>
      <w:r w:rsidRPr="001A1C56">
        <w:t xml:space="preserve">conducted </w:t>
      </w:r>
      <w:r>
        <w:t>12</w:t>
      </w:r>
      <w:r w:rsidRPr="001A1C56">
        <w:t xml:space="preserve"> monitoring visits</w:t>
      </w:r>
      <w:r w:rsidR="00021AEB">
        <w:t xml:space="preserve"> and 21 visits in 2020/21</w:t>
      </w:r>
      <w:r>
        <w:t>.</w:t>
      </w:r>
      <w:r>
        <w:rPr>
          <w:rStyle w:val="FootnoteReference"/>
        </w:rPr>
        <w:footnoteReference w:id="35"/>
      </w:r>
      <w:r>
        <w:t xml:space="preserve"> Between 2019-20</w:t>
      </w:r>
      <w:r w:rsidR="00942F4B">
        <w:t>, the</w:t>
      </w:r>
      <w:r>
        <w:t xml:space="preserve"> OCC conducted seven onsite visits</w:t>
      </w:r>
      <w:r w:rsidR="00AE34E8">
        <w:t xml:space="preserve"> </w:t>
      </w:r>
      <w:r w:rsidR="00AE34E8">
        <w:lastRenderedPageBreak/>
        <w:t xml:space="preserve">and  </w:t>
      </w:r>
      <w:r>
        <w:t>eight visits ‘virtually’ by either video or phone call,</w:t>
      </w:r>
      <w:r w:rsidR="00AE34E8">
        <w:t xml:space="preserve"> due to</w:t>
      </w:r>
      <w:r>
        <w:t xml:space="preserve"> </w:t>
      </w:r>
      <w:r w:rsidR="00AE34E8">
        <w:t xml:space="preserve">Government enforced COVID-19 pandemic related restrictions. These virtual visits </w:t>
      </w:r>
      <w:r>
        <w:t>focuss</w:t>
      </w:r>
      <w:r w:rsidR="00AE34E8">
        <w:t>ed</w:t>
      </w:r>
      <w:r>
        <w:t xml:space="preserve"> solely on mokopuna experiences of lockdown in secure facilities, and how facilities responded to the COVID-19 environment.</w:t>
      </w:r>
      <w:r w:rsidR="00942F4B">
        <w:rPr>
          <w:rStyle w:val="FootnoteReference"/>
        </w:rPr>
        <w:footnoteReference w:id="36"/>
      </w:r>
    </w:p>
    <w:p w14:paraId="54F64A18" w14:textId="55157FB1" w:rsidR="00EF2505" w:rsidRPr="003F3293" w:rsidRDefault="00EF2505" w:rsidP="0047540F">
      <w:pPr>
        <w:pStyle w:val="ListNumber"/>
        <w:ind w:left="567" w:hanging="567"/>
        <w:jc w:val="both"/>
      </w:pPr>
      <w:r>
        <w:t xml:space="preserve">Annual updates on </w:t>
      </w:r>
      <w:r w:rsidR="00942F4B">
        <w:t xml:space="preserve">the </w:t>
      </w:r>
      <w:r>
        <w:t>OCC</w:t>
      </w:r>
      <w:r w:rsidR="00942F4B">
        <w:t>’s</w:t>
      </w:r>
      <w:r>
        <w:t xml:space="preserve"> activities are published in the Human Rights Commission </w:t>
      </w:r>
      <w:r w:rsidRPr="00E100C5">
        <w:rPr>
          <w:i/>
          <w:iCs/>
        </w:rPr>
        <w:t>‘Monitoring Places of Detention’</w:t>
      </w:r>
      <w:r w:rsidRPr="00886C69">
        <w:t xml:space="preserve"> reports</w:t>
      </w:r>
      <w:r>
        <w:t>.</w:t>
      </w:r>
      <w:r>
        <w:rPr>
          <w:rStyle w:val="FootnoteReference"/>
        </w:rPr>
        <w:footnoteReference w:id="37"/>
      </w:r>
      <w:r>
        <w:t xml:space="preserve"> Alongside individual reports of all facility inspections being published on the OCC’s website</w:t>
      </w:r>
      <w:r w:rsidR="00754536">
        <w:t>,</w:t>
      </w:r>
      <w:r>
        <w:t xml:space="preserve"> between 2015 – 2020, </w:t>
      </w:r>
      <w:r w:rsidR="00942F4B">
        <w:t xml:space="preserve">the </w:t>
      </w:r>
      <w:r>
        <w:t xml:space="preserve">OCC also published several thematic </w:t>
      </w:r>
      <w:r w:rsidRPr="00E100C5">
        <w:rPr>
          <w:i/>
          <w:iCs/>
        </w:rPr>
        <w:t>‘State of Care'</w:t>
      </w:r>
      <w:r>
        <w:rPr>
          <w:rStyle w:val="FootnoteReference"/>
          <w:rFonts w:ascii="Segoe UI" w:hAnsi="Segoe UI" w:cs="Segoe UI"/>
        </w:rPr>
        <w:footnoteReference w:id="38"/>
      </w:r>
      <w:r w:rsidRPr="00E100C5">
        <w:rPr>
          <w:rFonts w:ascii="Segoe UI" w:hAnsi="Segoe UI" w:cs="Segoe UI"/>
        </w:rPr>
        <w:t xml:space="preserve"> reports </w:t>
      </w:r>
      <w:r w:rsidR="005779C1">
        <w:rPr>
          <w:rFonts w:ascii="Segoe UI" w:hAnsi="Segoe UI" w:cs="Segoe UI"/>
        </w:rPr>
        <w:t xml:space="preserve">under its s 13 mandate of the CCA </w:t>
      </w:r>
      <w:r w:rsidRPr="003F3293">
        <w:t xml:space="preserve">to hear the voices of mokopuna </w:t>
      </w:r>
      <w:r>
        <w:t xml:space="preserve">and their experiences of the </w:t>
      </w:r>
      <w:r w:rsidR="00754536">
        <w:t>C&amp;P</w:t>
      </w:r>
      <w:r>
        <w:t xml:space="preserve"> and </w:t>
      </w:r>
      <w:r w:rsidR="00754536">
        <w:t>YJ</w:t>
      </w:r>
      <w:r>
        <w:t xml:space="preserve"> system</w:t>
      </w:r>
      <w:r w:rsidR="00942F4B">
        <w:t>s</w:t>
      </w:r>
      <w:r>
        <w:t>.</w:t>
      </w:r>
    </w:p>
    <w:p w14:paraId="07855769" w14:textId="77777777" w:rsidR="00EF2505" w:rsidRPr="00593729" w:rsidRDefault="00EF2505" w:rsidP="00EF2505">
      <w:pPr>
        <w:pStyle w:val="Pull-OutText"/>
        <w:ind w:left="0"/>
      </w:pPr>
      <w:r w:rsidRPr="00593729">
        <w:t>Resourcing</w:t>
      </w:r>
    </w:p>
    <w:p w14:paraId="030111FE" w14:textId="1CC8A672" w:rsidR="00BB2037" w:rsidRPr="00BB2037" w:rsidRDefault="00EF2505" w:rsidP="00BB2037">
      <w:pPr>
        <w:pStyle w:val="ListNumber"/>
        <w:ind w:left="567" w:hanging="567"/>
        <w:jc w:val="both"/>
        <w:rPr>
          <w:lang w:val="en-AU"/>
        </w:rPr>
      </w:pPr>
      <w:r w:rsidRPr="00BE26D5">
        <w:rPr>
          <w:rFonts w:ascii="Segoe UI" w:hAnsi="Segoe UI" w:cs="Segoe UI"/>
        </w:rPr>
        <w:t xml:space="preserve">The provision of adequate financial and human resources for NPMs constitutes an ongoing legal </w:t>
      </w:r>
      <w:r w:rsidRPr="00FA2CAC">
        <w:t>obligation</w:t>
      </w:r>
      <w:r w:rsidRPr="00BE26D5">
        <w:rPr>
          <w:rFonts w:ascii="Segoe UI" w:hAnsi="Segoe UI" w:cs="Segoe UI"/>
        </w:rPr>
        <w:t xml:space="preserve"> of the Government under Article 18.3 of the </w:t>
      </w:r>
      <w:r w:rsidRPr="00457B98">
        <w:rPr>
          <w:rFonts w:ascii="Segoe UI" w:hAnsi="Segoe UI" w:cs="Segoe UI"/>
        </w:rPr>
        <w:t>OPCAT</w:t>
      </w:r>
      <w:r w:rsidRPr="00BE26D5">
        <w:rPr>
          <w:rFonts w:ascii="Segoe UI" w:hAnsi="Segoe UI" w:cs="Segoe UI"/>
        </w:rPr>
        <w:t xml:space="preserve">. </w:t>
      </w:r>
      <w:r w:rsidRPr="002A65F7">
        <w:t>Despite</w:t>
      </w:r>
      <w:r w:rsidRPr="00BE26D5">
        <w:rPr>
          <w:rFonts w:ascii="Segoe UI" w:hAnsi="Segoe UI" w:cs="Segoe UI"/>
        </w:rPr>
        <w:t xml:space="preserve"> </w:t>
      </w:r>
      <w:r w:rsidRPr="00FA2CAC">
        <w:t xml:space="preserve">these obligations, </w:t>
      </w:r>
      <w:r w:rsidR="00B54F74">
        <w:t xml:space="preserve">historically </w:t>
      </w:r>
      <w:r w:rsidRPr="00FA2CAC">
        <w:t xml:space="preserve">the OCC </w:t>
      </w:r>
      <w:r w:rsidR="008A668F" w:rsidRPr="00FA2CAC">
        <w:t>ha</w:t>
      </w:r>
      <w:r w:rsidR="008A668F">
        <w:t>s</w:t>
      </w:r>
      <w:r w:rsidR="008A668F" w:rsidRPr="00FA2CAC">
        <w:t xml:space="preserve"> </w:t>
      </w:r>
      <w:r w:rsidRPr="00FA2CAC">
        <w:t xml:space="preserve">not been </w:t>
      </w:r>
      <w:r>
        <w:lastRenderedPageBreak/>
        <w:t xml:space="preserve">fully </w:t>
      </w:r>
      <w:r w:rsidRPr="00FA2CAC">
        <w:t xml:space="preserve">resourced to </w:t>
      </w:r>
      <w:r w:rsidR="00B54F74">
        <w:t>effectively undertake</w:t>
      </w:r>
      <w:r w:rsidR="00B54F74" w:rsidRPr="00FA2CAC">
        <w:t xml:space="preserve"> </w:t>
      </w:r>
      <w:r w:rsidR="00AE34E8">
        <w:t>the</w:t>
      </w:r>
      <w:r w:rsidR="00DD0C58" w:rsidRPr="00FA2CAC">
        <w:t xml:space="preserve"> </w:t>
      </w:r>
      <w:r w:rsidRPr="00FA2CAC">
        <w:t>OPCAT mandate and functions</w:t>
      </w:r>
      <w:r w:rsidR="00766FAF">
        <w:t xml:space="preserve"> (refer para 25)</w:t>
      </w:r>
      <w:r>
        <w:t xml:space="preserve">. </w:t>
      </w:r>
    </w:p>
    <w:p w14:paraId="5A9F1F89" w14:textId="09854C5A" w:rsidR="00BB2037" w:rsidRPr="00695BE7" w:rsidRDefault="00BB2037" w:rsidP="00695BE7">
      <w:pPr>
        <w:pStyle w:val="ListNumber"/>
        <w:ind w:left="567" w:hanging="567"/>
        <w:jc w:val="both"/>
        <w:rPr>
          <w:lang w:val="en-AU"/>
        </w:rPr>
      </w:pPr>
      <w:r>
        <w:t xml:space="preserve">SPT’s 2013 report, </w:t>
      </w:r>
      <w:r w:rsidRPr="00457B98">
        <w:t>following</w:t>
      </w:r>
      <w:r w:rsidRPr="00BB2037">
        <w:rPr>
          <w:rFonts w:ascii="Segoe UI" w:hAnsi="Segoe UI" w:cs="Segoe UI"/>
        </w:rPr>
        <w:t xml:space="preserve"> their visit to New Zealand, noted OCC was </w:t>
      </w:r>
      <w:r w:rsidRPr="00BB2037">
        <w:rPr>
          <w:szCs w:val="18"/>
        </w:rPr>
        <w:t>inadequately</w:t>
      </w:r>
      <w:r w:rsidRPr="00BB2037">
        <w:rPr>
          <w:rFonts w:ascii="Segoe UI" w:hAnsi="Segoe UI" w:cs="Segoe UI"/>
        </w:rPr>
        <w:t xml:space="preserve"> resourced to carry out its NPM work, stating: </w:t>
      </w:r>
      <w:r w:rsidRPr="00BB2037">
        <w:rPr>
          <w:rFonts w:ascii="Segoe UI" w:hAnsi="Segoe UI" w:cs="Segoe UI"/>
          <w:i/>
          <w:iCs/>
        </w:rPr>
        <w:t xml:space="preserve">“Most of the components of the NPM have not received extra resources since their designation to carry out their OPCAT mandate which, together with general staff shortages, have severely impeded their ability to do so.” </w:t>
      </w:r>
      <w:r w:rsidRPr="00FB69E8">
        <w:rPr>
          <w:rStyle w:val="FootnoteReference"/>
          <w:rFonts w:ascii="Segoe UI" w:hAnsi="Segoe UI" w:cs="Segoe UI"/>
        </w:rPr>
        <w:footnoteReference w:id="39"/>
      </w:r>
      <w:r w:rsidRPr="00BB2037">
        <w:rPr>
          <w:rFonts w:ascii="Segoe UI" w:hAnsi="Segoe UI" w:cs="Segoe UI"/>
          <w:i/>
          <w:iCs/>
        </w:rPr>
        <w:t xml:space="preserve"> </w:t>
      </w:r>
      <w:r w:rsidRPr="002A65F7">
        <w:rPr>
          <w:rStyle w:val="FootnoteReference"/>
          <w:rFonts w:ascii="Segoe UI" w:hAnsi="Segoe UI" w:cs="Segoe UI"/>
        </w:rPr>
        <w:footnoteReference w:id="40"/>
      </w:r>
    </w:p>
    <w:p w14:paraId="0908821A" w14:textId="4833B624" w:rsidR="00EF2505" w:rsidRPr="00BB2037" w:rsidRDefault="00BB2037" w:rsidP="00BB2037">
      <w:pPr>
        <w:pStyle w:val="ListNumber"/>
        <w:ind w:left="567" w:hanging="567"/>
        <w:jc w:val="both"/>
        <w:rPr>
          <w:lang w:val="en-AU"/>
        </w:rPr>
      </w:pPr>
      <w:r w:rsidRPr="00BB2037">
        <w:rPr>
          <w:rFonts w:ascii="Segoe UI" w:hAnsi="Segoe UI" w:cs="Segoe UI"/>
        </w:rPr>
        <w:t xml:space="preserve">To date, the </w:t>
      </w:r>
      <w:r w:rsidR="00EF2505" w:rsidRPr="00BB2037">
        <w:rPr>
          <w:rFonts w:ascii="Segoe UI" w:hAnsi="Segoe UI" w:cs="Segoe UI"/>
        </w:rPr>
        <w:t xml:space="preserve">OCC’s NPM </w:t>
      </w:r>
      <w:r w:rsidR="00EF2505" w:rsidRPr="0047540F">
        <w:t>monitoring</w:t>
      </w:r>
      <w:r w:rsidR="00EF2505" w:rsidRPr="00BB2037">
        <w:rPr>
          <w:rFonts w:ascii="Segoe UI" w:hAnsi="Segoe UI" w:cs="Segoe UI"/>
        </w:rPr>
        <w:t xml:space="preserve"> of Oranga Tamariki secure residences </w:t>
      </w:r>
      <w:r w:rsidR="000A46B2">
        <w:rPr>
          <w:rFonts w:ascii="Segoe UI" w:hAnsi="Segoe UI" w:cs="Segoe UI"/>
        </w:rPr>
        <w:t>was</w:t>
      </w:r>
      <w:r w:rsidR="000A46B2" w:rsidRPr="00BB2037">
        <w:rPr>
          <w:rFonts w:ascii="Segoe UI" w:hAnsi="Segoe UI" w:cs="Segoe UI"/>
        </w:rPr>
        <w:t xml:space="preserve"> </w:t>
      </w:r>
      <w:r w:rsidR="00EF2505" w:rsidRPr="00BB2037">
        <w:t>undertaken</w:t>
      </w:r>
      <w:r w:rsidR="00EF2505" w:rsidRPr="00BB2037">
        <w:rPr>
          <w:rFonts w:ascii="Segoe UI" w:hAnsi="Segoe UI" w:cs="Segoe UI"/>
        </w:rPr>
        <w:t xml:space="preserve"> in conjunction with its mandate </w:t>
      </w:r>
      <w:r w:rsidR="00EF2505" w:rsidRPr="00457B98">
        <w:t>under</w:t>
      </w:r>
      <w:r w:rsidR="00EF2505" w:rsidRPr="00BB2037">
        <w:rPr>
          <w:rFonts w:ascii="Segoe UI" w:hAnsi="Segoe UI" w:cs="Segoe UI"/>
        </w:rPr>
        <w:t xml:space="preserve"> </w:t>
      </w:r>
      <w:r w:rsidRPr="00BB2037">
        <w:rPr>
          <w:rFonts w:ascii="Segoe UI" w:hAnsi="Segoe UI" w:cs="Segoe UI"/>
        </w:rPr>
        <w:t xml:space="preserve">s </w:t>
      </w:r>
      <w:r w:rsidR="00EF2505" w:rsidRPr="00BB2037">
        <w:rPr>
          <w:rFonts w:ascii="Segoe UI" w:hAnsi="Segoe UI" w:cs="Segoe UI"/>
        </w:rPr>
        <w:t xml:space="preserve">13 of the </w:t>
      </w:r>
      <w:hyperlink r:id="rId24" w:history="1">
        <w:r>
          <w:rPr>
            <w:rStyle w:val="Hyperlink"/>
          </w:rPr>
          <w:t>CCA</w:t>
        </w:r>
      </w:hyperlink>
      <w:r w:rsidR="000A46B2">
        <w:rPr>
          <w:rStyle w:val="Hyperlink"/>
        </w:rPr>
        <w:t>,</w:t>
      </w:r>
      <w:r w:rsidR="00EF2505" w:rsidRPr="00050F91">
        <w:t xml:space="preserve"> </w:t>
      </w:r>
      <w:r w:rsidR="00EF2505" w:rsidRPr="00BB2037">
        <w:rPr>
          <w:rFonts w:ascii="Segoe UI" w:hAnsi="Segoe UI" w:cs="Segoe UI"/>
        </w:rPr>
        <w:t>through baseline funding.</w:t>
      </w:r>
      <w:r w:rsidRPr="00BB2037">
        <w:rPr>
          <w:rFonts w:ascii="Segoe UI" w:hAnsi="Segoe UI" w:cs="Segoe UI"/>
        </w:rPr>
        <w:t xml:space="preserve"> This is </w:t>
      </w:r>
      <w:r w:rsidRPr="00BB2037">
        <w:rPr>
          <w:szCs w:val="18"/>
        </w:rPr>
        <w:t>contrary</w:t>
      </w:r>
      <w:r w:rsidRPr="00BB2037">
        <w:rPr>
          <w:rFonts w:ascii="Segoe UI" w:hAnsi="Segoe UI" w:cs="Segoe UI"/>
        </w:rPr>
        <w:t xml:space="preserve"> to the SPT’s basic principles,</w:t>
      </w:r>
      <w:r>
        <w:rPr>
          <w:rStyle w:val="FootnoteReference"/>
          <w:rFonts w:ascii="Segoe UI" w:hAnsi="Segoe UI" w:cs="Segoe UI"/>
        </w:rPr>
        <w:footnoteReference w:id="41"/>
      </w:r>
      <w:r w:rsidRPr="00BB2037">
        <w:rPr>
          <w:rFonts w:ascii="Segoe UI" w:hAnsi="Segoe UI" w:cs="Segoe UI"/>
        </w:rPr>
        <w:t xml:space="preserve"> which state: </w:t>
      </w:r>
      <w:r w:rsidRPr="00BB2037">
        <w:rPr>
          <w:rFonts w:ascii="Segoe UI" w:hAnsi="Segoe UI" w:cs="Segoe UI"/>
          <w:i/>
          <w:iCs/>
        </w:rPr>
        <w:t>“where the body designated as NPM performs other functions in addition to those under OPCAT, its NPM functions should be located within a separate unit or department, with its own staff and budget.”</w:t>
      </w:r>
    </w:p>
    <w:p w14:paraId="23CF41A1" w14:textId="63E5BBF7" w:rsidR="000A46B2" w:rsidRPr="000A46B2" w:rsidRDefault="00EF2505" w:rsidP="000A46B2">
      <w:pPr>
        <w:pStyle w:val="ListNumber"/>
        <w:ind w:left="567" w:hanging="567"/>
        <w:jc w:val="both"/>
      </w:pPr>
      <w:r w:rsidRPr="00050F91">
        <w:lastRenderedPageBreak/>
        <w:t>In 2020, the Children’s Commissioner accepted new OPCAT designations</w:t>
      </w:r>
      <w:r>
        <w:t xml:space="preserve"> from the Ministry of Justice</w:t>
      </w:r>
      <w:r w:rsidRPr="00050F91">
        <w:t>.</w:t>
      </w:r>
      <w:r w:rsidRPr="00050F91">
        <w:rPr>
          <w:rStyle w:val="FootnoteReference"/>
        </w:rPr>
        <w:footnoteReference w:id="42"/>
      </w:r>
      <w:r w:rsidRPr="00050F91">
        <w:t xml:space="preserve"> </w:t>
      </w:r>
      <w:r w:rsidR="000A46B2">
        <w:t>S</w:t>
      </w:r>
      <w:r w:rsidRPr="00050F91">
        <w:t xml:space="preserve">ome funding was </w:t>
      </w:r>
      <w:r>
        <w:t xml:space="preserve">provided via the Ministry of Social Development </w:t>
      </w:r>
      <w:r w:rsidRPr="00050F91">
        <w:t>to increase staffing levels</w:t>
      </w:r>
      <w:r w:rsidR="000A46B2">
        <w:t xml:space="preserve"> and </w:t>
      </w:r>
      <w:r w:rsidR="000A46B2" w:rsidRPr="000A46B2">
        <w:t>New Zealand’s 2023 Budget</w:t>
      </w:r>
      <w:r w:rsidR="000A46B2" w:rsidRPr="000A46B2">
        <w:rPr>
          <w:rStyle w:val="FootnoteReference"/>
        </w:rPr>
        <w:footnoteReference w:id="43"/>
      </w:r>
      <w:r w:rsidR="000A46B2" w:rsidRPr="000A46B2">
        <w:t xml:space="preserve"> allocated increased funding to establish and implement the new Commission and its incoming Board, </w:t>
      </w:r>
      <w:r w:rsidR="000A46B2">
        <w:t xml:space="preserve">alongside its NPM </w:t>
      </w:r>
      <w:r w:rsidR="000A46B2" w:rsidRPr="000A46B2">
        <w:t>functions.</w:t>
      </w:r>
    </w:p>
    <w:p w14:paraId="15726833" w14:textId="07131D66" w:rsidR="000A46B2" w:rsidRDefault="000A46B2" w:rsidP="000A46B2">
      <w:pPr>
        <w:pStyle w:val="ListNumber"/>
        <w:ind w:left="567" w:hanging="567"/>
        <w:jc w:val="both"/>
      </w:pPr>
      <w:r>
        <w:t>Between 2022/23 and 2023/24, the OCC has received $1.64 million annually to undertake its NPM functions. Currently nine full-time equivalent staff are responsible for monitoring 34 places of detention, which is project to increase over time with the roll-out of another 16 community-based youth justice remand homes.</w:t>
      </w:r>
    </w:p>
    <w:p w14:paraId="7F361547" w14:textId="50AE933A" w:rsidR="000A46B2" w:rsidRDefault="000A46B2" w:rsidP="00226E35">
      <w:pPr>
        <w:pStyle w:val="ListNumber"/>
        <w:ind w:left="567" w:hanging="567"/>
        <w:jc w:val="both"/>
      </w:pPr>
      <w:r>
        <w:t>While the OCC welcome</w:t>
      </w:r>
      <w:r w:rsidR="001033CC">
        <w:t>s</w:t>
      </w:r>
      <w:r>
        <w:t xml:space="preserve"> this investment, </w:t>
      </w:r>
      <w:r w:rsidR="00EF2505" w:rsidRPr="00050F91">
        <w:t xml:space="preserve">it </w:t>
      </w:r>
      <w:r>
        <w:t>only allows the OCC to undertak</w:t>
      </w:r>
      <w:r w:rsidR="001033CC">
        <w:t>e</w:t>
      </w:r>
      <w:r>
        <w:t xml:space="preserve"> the minimum requirements to be compliant with the OPCAT mandate, and does not allow for other preventive activities, including thematic work, educative or advisory functions</w:t>
      </w:r>
      <w:r w:rsidR="00EF2505" w:rsidRPr="00050F91">
        <w:t xml:space="preserve">. </w:t>
      </w:r>
      <w:r>
        <w:t>Further, this funding is not secure – each year the OCC is required to reapply for funding to meet ongoing cost pressures and capacity.</w:t>
      </w:r>
    </w:p>
    <w:p w14:paraId="1EF902F7" w14:textId="1D043384" w:rsidR="00BB2037" w:rsidRPr="00050F91" w:rsidRDefault="000A46B2">
      <w:pPr>
        <w:pStyle w:val="ListNumber"/>
        <w:ind w:left="567" w:hanging="567"/>
        <w:jc w:val="both"/>
      </w:pPr>
      <w:r w:rsidRPr="004A7615">
        <w:t xml:space="preserve">More funding is needed for the NPM function to be truly </w:t>
      </w:r>
      <w:r w:rsidR="004A7615">
        <w:t xml:space="preserve">innovative, responsive, </w:t>
      </w:r>
      <w:r w:rsidRPr="004A7615">
        <w:t xml:space="preserve">effective and result in meaningful changes for mokopuna in detention. </w:t>
      </w:r>
      <w:r w:rsidR="00BB2037">
        <w:t>The OCC welcome</w:t>
      </w:r>
      <w:r w:rsidR="001033CC">
        <w:t>s</w:t>
      </w:r>
      <w:r w:rsidR="00BB2037">
        <w:t xml:space="preserve"> the Government’s recent investment into funding </w:t>
      </w:r>
      <w:r w:rsidR="00754536">
        <w:t>its</w:t>
      </w:r>
      <w:r w:rsidR="00BB2037">
        <w:t xml:space="preserve"> NPM </w:t>
      </w:r>
      <w:r w:rsidR="00754536">
        <w:t xml:space="preserve">role, </w:t>
      </w:r>
      <w:r>
        <w:t xml:space="preserve">which is </w:t>
      </w:r>
      <w:r w:rsidR="00754536">
        <w:t>an ongoing obligation,</w:t>
      </w:r>
      <w:r w:rsidR="00BB2037">
        <w:t xml:space="preserve"> and note that any </w:t>
      </w:r>
      <w:r w:rsidR="00BB2037">
        <w:lastRenderedPageBreak/>
        <w:t>future designations under OPCAT will need to be met with sufficient funding to support this.</w:t>
      </w:r>
    </w:p>
    <w:p w14:paraId="6F1F8114" w14:textId="77777777" w:rsidR="00EF2505" w:rsidRPr="00AA4D9D" w:rsidRDefault="00EF2505" w:rsidP="00EF2505">
      <w:pPr>
        <w:pStyle w:val="Heading4"/>
        <w:rPr>
          <w:lang w:val="en-AU"/>
        </w:rPr>
      </w:pPr>
      <w:r>
        <w:rPr>
          <w:lang w:val="en-AU"/>
        </w:rPr>
        <w:t>List of Issues Para 5 – Violence against children</w:t>
      </w:r>
    </w:p>
    <w:p w14:paraId="26A7D799" w14:textId="77777777" w:rsidR="00EF2505" w:rsidRDefault="00EF2505" w:rsidP="0047540F">
      <w:pPr>
        <w:pStyle w:val="ListNumber"/>
        <w:ind w:left="567" w:hanging="567"/>
        <w:jc w:val="both"/>
      </w:pPr>
      <w:r>
        <w:t>In 2020, a new ministerial portfolio Prevention of Family and Sexual Violence was established.</w:t>
      </w:r>
      <w:r>
        <w:rPr>
          <w:rStyle w:val="FootnoteReference"/>
        </w:rPr>
        <w:footnoteReference w:id="44"/>
      </w:r>
      <w:r>
        <w:t xml:space="preserve"> In December 2021, Te </w:t>
      </w:r>
      <w:r w:rsidRPr="0047540F">
        <w:rPr>
          <w:rFonts w:ascii="Segoe UI" w:hAnsi="Segoe UI" w:cs="Segoe UI"/>
        </w:rPr>
        <w:t>Aorerekura</w:t>
      </w:r>
      <w:r>
        <w:t xml:space="preserve">: National Strategy to Eliminate Family Violence and Sexual Violence (Te Aorerekura) was launched. </w:t>
      </w:r>
    </w:p>
    <w:p w14:paraId="73121BF0" w14:textId="127A034A" w:rsidR="00EF2505" w:rsidRDefault="00EF2505" w:rsidP="0047540F">
      <w:pPr>
        <w:pStyle w:val="ListNumber"/>
        <w:ind w:left="567" w:hanging="567"/>
        <w:jc w:val="both"/>
      </w:pPr>
      <w:r>
        <w:t xml:space="preserve">Te </w:t>
      </w:r>
      <w:r w:rsidRPr="0047540F">
        <w:rPr>
          <w:rFonts w:ascii="Segoe UI" w:hAnsi="Segoe UI" w:cs="Segoe UI"/>
        </w:rPr>
        <w:t>Aorerekura</w:t>
      </w:r>
      <w:r>
        <w:t xml:space="preserve"> is a 25-year strategy supported by a series of Action Plans,</w:t>
      </w:r>
      <w:r>
        <w:rPr>
          <w:rStyle w:val="FootnoteReference"/>
        </w:rPr>
        <w:footnoteReference w:id="45"/>
      </w:r>
      <w:r>
        <w:t xml:space="preserve"> the first of which spans 2021-23. There are 6-monthly reports published on progress under the Action Plan. Te Puna Aonui</w:t>
      </w:r>
      <w:r>
        <w:rPr>
          <w:rStyle w:val="FootnoteReference"/>
        </w:rPr>
        <w:footnoteReference w:id="46"/>
      </w:r>
      <w:r>
        <w:t xml:space="preserve"> is responsible for the delivery of Te Aorerekura.</w:t>
      </w:r>
    </w:p>
    <w:p w14:paraId="1BD5862A" w14:textId="2E82B078" w:rsidR="00EF2505" w:rsidRDefault="00EF2505" w:rsidP="0047540F">
      <w:pPr>
        <w:pStyle w:val="ListNumber"/>
        <w:ind w:left="567" w:hanging="567"/>
        <w:jc w:val="both"/>
      </w:pPr>
      <w:r w:rsidRPr="0001576C">
        <w:t xml:space="preserve">Te Aorerekura </w:t>
      </w:r>
      <w:r w:rsidRPr="0047540F">
        <w:rPr>
          <w:rFonts w:ascii="Segoe UI" w:hAnsi="Segoe UI" w:cs="Segoe UI"/>
        </w:rPr>
        <w:t>acknowledges</w:t>
      </w:r>
      <w:r w:rsidRPr="0001576C">
        <w:t xml:space="preserve"> the gendered nature of family violence and sexual violence and highlights the compounding effects of multiple forms of discrimination. Specifically, Te Aorerekura draws attention to the significant impact on wāhine Māori </w:t>
      </w:r>
      <w:r w:rsidR="000B3003">
        <w:t xml:space="preserve">(Māori women) </w:t>
      </w:r>
      <w:r w:rsidRPr="0001576C">
        <w:t>from intersections of racism, sexism</w:t>
      </w:r>
      <w:r w:rsidR="0040643C">
        <w:t>,</w:t>
      </w:r>
      <w:r w:rsidRPr="0001576C">
        <w:t xml:space="preserve"> and colonisation. </w:t>
      </w:r>
    </w:p>
    <w:p w14:paraId="6988C1C9" w14:textId="0A0C0138" w:rsidR="00EF2505" w:rsidRDefault="00EF4EA7" w:rsidP="0047540F">
      <w:pPr>
        <w:pStyle w:val="ListNumber"/>
        <w:ind w:left="567" w:hanging="567"/>
        <w:jc w:val="both"/>
      </w:pPr>
      <w:r>
        <w:lastRenderedPageBreak/>
        <w:t>While the original development of Te Aorerekura lacked input from mokopuna, t</w:t>
      </w:r>
      <w:r w:rsidR="0040643C">
        <w:t xml:space="preserve">he </w:t>
      </w:r>
      <w:r w:rsidR="00EF2505">
        <w:t xml:space="preserve">OCC supports </w:t>
      </w:r>
      <w:r>
        <w:t>recent</w:t>
      </w:r>
      <w:r w:rsidR="00EF2505">
        <w:t xml:space="preserve"> </w:t>
      </w:r>
      <w:r>
        <w:t xml:space="preserve">progress </w:t>
      </w:r>
      <w:r w:rsidR="00754536">
        <w:t xml:space="preserve">towards </w:t>
      </w:r>
      <w:r>
        <w:t>targeted consultation with mokopuna to ensure approaches and services truly meet their needs</w:t>
      </w:r>
      <w:r w:rsidR="00EF2505">
        <w:t xml:space="preserve">. </w:t>
      </w:r>
    </w:p>
    <w:p w14:paraId="313933C3" w14:textId="06D232D1" w:rsidR="00EF2505" w:rsidRDefault="00EF4EA7" w:rsidP="0047540F">
      <w:pPr>
        <w:pStyle w:val="ListNumber"/>
        <w:ind w:left="567" w:hanging="567"/>
        <w:jc w:val="both"/>
      </w:pPr>
      <w:r>
        <w:t>New Zealand’s</w:t>
      </w:r>
      <w:r w:rsidR="0040643C">
        <w:t xml:space="preserve"> </w:t>
      </w:r>
      <w:r w:rsidR="00EF2505">
        <w:t>2023 Budget increase</w:t>
      </w:r>
      <w:r w:rsidR="003C32C5">
        <w:t>d</w:t>
      </w:r>
      <w:r w:rsidR="00EF2505">
        <w:t xml:space="preserve"> the funding of advocates for mokopuna who need to leave home due to violence, and specialists to support young people through Family Dispute Resolution processes. The </w:t>
      </w:r>
      <w:r w:rsidR="0040643C">
        <w:t xml:space="preserve">2023 </w:t>
      </w:r>
      <w:r w:rsidR="00EF2505">
        <w:t xml:space="preserve">Budget also made a commitment to accessible family violence and sexual violence services for disabled people, and an emphasis on Kaupapa Māori </w:t>
      </w:r>
      <w:r w:rsidR="00D43F43" w:rsidRPr="00991696">
        <w:rPr>
          <w:rFonts w:ascii="Segoe UI" w:hAnsi="Segoe UI" w:cs="Segoe UI"/>
        </w:rPr>
        <w:t>(Māori approach)</w:t>
      </w:r>
      <w:r w:rsidR="00D43F43">
        <w:rPr>
          <w:rFonts w:ascii="Segoe UI" w:hAnsi="Segoe UI" w:cs="Segoe UI"/>
        </w:rPr>
        <w:t xml:space="preserve"> </w:t>
      </w:r>
      <w:r w:rsidR="00EF2505">
        <w:t>specialist sexual violence services for whānau.</w:t>
      </w:r>
      <w:r>
        <w:rPr>
          <w:rStyle w:val="FootnoteReference"/>
        </w:rPr>
        <w:footnoteReference w:id="47"/>
      </w:r>
    </w:p>
    <w:p w14:paraId="7A83843F" w14:textId="77777777" w:rsidR="00EF2505" w:rsidRPr="00D0341A" w:rsidRDefault="00EF2505" w:rsidP="00EF2505">
      <w:pPr>
        <w:pStyle w:val="Pull-OutText"/>
        <w:ind w:left="0"/>
      </w:pPr>
      <w:r w:rsidRPr="00D0341A">
        <w:t>Violence following emergencies</w:t>
      </w:r>
    </w:p>
    <w:p w14:paraId="22755EDF" w14:textId="07BC4AC0" w:rsidR="00EF2505" w:rsidRPr="00C33186" w:rsidRDefault="00EF2505" w:rsidP="0047540F">
      <w:pPr>
        <w:pStyle w:val="ListNumber"/>
        <w:ind w:left="567" w:hanging="567"/>
        <w:jc w:val="both"/>
        <w:rPr>
          <w:sz w:val="26"/>
          <w:szCs w:val="28"/>
        </w:rPr>
      </w:pPr>
      <w:r w:rsidRPr="0001576C">
        <w:t>Literature suggests</w:t>
      </w:r>
      <w:r w:rsidR="0040643C">
        <w:t xml:space="preserve"> </w:t>
      </w:r>
      <w:r w:rsidR="0040643C" w:rsidRPr="00EF4EA7">
        <w:rPr>
          <w:i/>
          <w:iCs/>
        </w:rPr>
        <w:t>“v</w:t>
      </w:r>
      <w:r w:rsidRPr="00EF4EA7">
        <w:rPr>
          <w:i/>
          <w:iCs/>
        </w:rPr>
        <w:t>iolence against women and children, sexual violence and interpersonal violence escalate and intensify during natural disasters and emergencies like a pandemic</w:t>
      </w:r>
      <w:r w:rsidR="0040643C" w:rsidRPr="00EF4EA7">
        <w:rPr>
          <w:i/>
          <w:iCs/>
        </w:rPr>
        <w:t>”</w:t>
      </w:r>
      <w:r w:rsidRPr="0001576C">
        <w:t>.</w:t>
      </w:r>
      <w:r w:rsidRPr="0001576C">
        <w:rPr>
          <w:rStyle w:val="FootnoteReference"/>
        </w:rPr>
        <w:footnoteReference w:id="48"/>
      </w:r>
      <w:r w:rsidRPr="0001576C">
        <w:t xml:space="preserve"> </w:t>
      </w:r>
      <w:r w:rsidR="0040643C">
        <w:t>New Zealand</w:t>
      </w:r>
      <w:r>
        <w:t xml:space="preserve"> saw an increase in family violence during the COVID-19 </w:t>
      </w:r>
      <w:r w:rsidR="0040643C">
        <w:t>p</w:t>
      </w:r>
      <w:r>
        <w:t>andemic, following international trends.</w:t>
      </w:r>
    </w:p>
    <w:p w14:paraId="720EBAFC" w14:textId="39E8F763" w:rsidR="008F712C" w:rsidRPr="00EF4EA7" w:rsidRDefault="00EF2505" w:rsidP="00E0158D">
      <w:pPr>
        <w:pStyle w:val="ListNumber"/>
        <w:ind w:left="567" w:hanging="567"/>
        <w:jc w:val="both"/>
        <w:rPr>
          <w:sz w:val="26"/>
          <w:szCs w:val="28"/>
        </w:rPr>
      </w:pPr>
      <w:r>
        <w:t>During the 2020 Lockdown, Police reported a 20% increase in family harm callouts.</w:t>
      </w:r>
      <w:r w:rsidR="00A52B02">
        <w:rPr>
          <w:rStyle w:val="FootnoteReference"/>
        </w:rPr>
        <w:footnoteReference w:id="49"/>
      </w:r>
      <w:r>
        <w:t xml:space="preserve"> In February 2023, New Zealand experienced emergency weather events including Cyclone Gabrielle. </w:t>
      </w:r>
      <w:r>
        <w:rPr>
          <w:rFonts w:ascii="Segoe UI" w:hAnsi="Segoe UI" w:cs="Segoe UI"/>
          <w:sz w:val="22"/>
        </w:rPr>
        <w:t xml:space="preserve">Police reported </w:t>
      </w:r>
      <w:r w:rsidRPr="00342A6B">
        <w:rPr>
          <w:rFonts w:ascii="Segoe UI" w:hAnsi="Segoe UI" w:cs="Segoe UI"/>
          <w:szCs w:val="28"/>
        </w:rPr>
        <w:t xml:space="preserve">that they saw </w:t>
      </w:r>
      <w:r w:rsidRPr="00342A6B">
        <w:rPr>
          <w:rFonts w:ascii="Segoe UI" w:hAnsi="Segoe UI" w:cs="Segoe UI"/>
          <w:szCs w:val="28"/>
        </w:rPr>
        <w:lastRenderedPageBreak/>
        <w:t>a 60% increase in reports of family violence in the aftermath of Cyclone Gabrielle.</w:t>
      </w:r>
      <w:r w:rsidRPr="00342A6B">
        <w:rPr>
          <w:rStyle w:val="FootnoteReference"/>
          <w:rFonts w:ascii="Segoe UI" w:hAnsi="Segoe UI" w:cs="Segoe UI"/>
          <w:szCs w:val="28"/>
        </w:rPr>
        <w:footnoteReference w:id="50"/>
      </w:r>
      <w:r w:rsidRPr="00342A6B">
        <w:rPr>
          <w:rFonts w:ascii="Segoe UI" w:hAnsi="Segoe UI" w:cs="Segoe UI"/>
          <w:szCs w:val="28"/>
        </w:rPr>
        <w:t xml:space="preserve"> </w:t>
      </w:r>
    </w:p>
    <w:p w14:paraId="3967675C" w14:textId="26AE3323" w:rsidR="00EF4EA7" w:rsidRPr="00E0158D" w:rsidRDefault="00EF4EA7" w:rsidP="00E0158D">
      <w:pPr>
        <w:pStyle w:val="ListNumber"/>
        <w:ind w:left="567" w:hanging="567"/>
        <w:jc w:val="both"/>
        <w:rPr>
          <w:sz w:val="26"/>
          <w:szCs w:val="28"/>
        </w:rPr>
      </w:pPr>
      <w:r>
        <w:t xml:space="preserve">More work is needed to understand the impacts of national emergencies and natural disasters on family violence and any emergency guidelines or planning (including response or prevention strategies) must </w:t>
      </w:r>
      <w:r w:rsidRPr="00EF4EA7">
        <w:t>include the involvement of domestic violence services</w:t>
      </w:r>
      <w:r>
        <w:t xml:space="preserve"> as a priority, as well as accurate reporting and training</w:t>
      </w:r>
      <w:r w:rsidR="00F332B1">
        <w:t xml:space="preserve"> for staff involved in disaster response</w:t>
      </w:r>
      <w:r>
        <w:t>, and increasing access to counselling and support services for communities.</w:t>
      </w:r>
    </w:p>
    <w:p w14:paraId="0DA92C39" w14:textId="77777777" w:rsidR="00EF2505" w:rsidRPr="00D0341A" w:rsidRDefault="00EF2505" w:rsidP="00EF2505">
      <w:pPr>
        <w:pStyle w:val="Pull-OutText"/>
        <w:ind w:left="0"/>
      </w:pPr>
      <w:r w:rsidRPr="00D0341A">
        <w:t>Gendered violence among young people</w:t>
      </w:r>
    </w:p>
    <w:p w14:paraId="0DC1BE11" w14:textId="155997EF" w:rsidR="00EF2505" w:rsidRPr="0047540F" w:rsidRDefault="00EF2505" w:rsidP="0047540F">
      <w:pPr>
        <w:pStyle w:val="ListNumber"/>
        <w:ind w:left="567" w:hanging="567"/>
        <w:jc w:val="both"/>
      </w:pPr>
      <w:r w:rsidRPr="0047540F">
        <w:t>An emerging trend that researchers consider</w:t>
      </w:r>
      <w:r w:rsidRPr="0047540F">
        <w:rPr>
          <w:rStyle w:val="FootnoteReference"/>
        </w:rPr>
        <w:footnoteReference w:id="51"/>
      </w:r>
      <w:r w:rsidRPr="0047540F">
        <w:t xml:space="preserve"> an issue for young people in New Zealand, and young women in particular, is degrading and violent acts such as slapping, spitting and strangulation being normalised as part of sex.</w:t>
      </w:r>
      <w:r w:rsidRPr="0047540F">
        <w:rPr>
          <w:rStyle w:val="FootnoteReference"/>
        </w:rPr>
        <w:footnoteReference w:id="52"/>
      </w:r>
      <w:r w:rsidRPr="0047540F">
        <w:t xml:space="preserve"> </w:t>
      </w:r>
    </w:p>
    <w:p w14:paraId="5CA54AAC" w14:textId="3D7D45C9" w:rsidR="00EF2505" w:rsidRPr="0047540F" w:rsidRDefault="00EF2505" w:rsidP="0047540F">
      <w:pPr>
        <w:pStyle w:val="ListNumber"/>
        <w:ind w:left="567" w:hanging="567"/>
        <w:jc w:val="both"/>
      </w:pPr>
      <w:r w:rsidRPr="0047540F">
        <w:t>Addressing unhealthy and harmful relationships with mokopuna, and empowering mokopuna with strategies to implement healthy relationships despite the things they may have learned from whānau</w:t>
      </w:r>
      <w:r w:rsidR="008D4E5E">
        <w:t xml:space="preserve"> or social media</w:t>
      </w:r>
      <w:r w:rsidRPr="0047540F">
        <w:t>, is integral to breaking the cycle of family violence in New Zealand.</w:t>
      </w:r>
    </w:p>
    <w:p w14:paraId="4C2E80AD" w14:textId="77777777" w:rsidR="00EF2505" w:rsidRPr="006449C8" w:rsidRDefault="00EF2505" w:rsidP="00EF2505">
      <w:pPr>
        <w:pStyle w:val="Heading4"/>
        <w:rPr>
          <w:lang w:val="en-AU"/>
        </w:rPr>
      </w:pPr>
      <w:r>
        <w:rPr>
          <w:lang w:val="en-AU"/>
        </w:rPr>
        <w:lastRenderedPageBreak/>
        <w:t>List of Issues Para 6 – Child trafficking</w:t>
      </w:r>
    </w:p>
    <w:p w14:paraId="04EF4266" w14:textId="37E47097" w:rsidR="00F332B1" w:rsidRPr="00F332B1" w:rsidRDefault="00F332B1" w:rsidP="00F332B1">
      <w:pPr>
        <w:pStyle w:val="ListNumber"/>
        <w:ind w:left="567" w:hanging="567"/>
        <w:jc w:val="both"/>
        <w:rPr>
          <w:lang w:val="en-AU"/>
        </w:rPr>
      </w:pPr>
      <w:r w:rsidRPr="0047540F">
        <w:rPr>
          <w:lang w:val="en-AU"/>
        </w:rPr>
        <w:t xml:space="preserve">The </w:t>
      </w:r>
      <w:r>
        <w:t xml:space="preserve">United Nations </w:t>
      </w:r>
      <w:r w:rsidRPr="0047540F">
        <w:rPr>
          <w:lang w:val="en-AU"/>
        </w:rPr>
        <w:t>Committee</w:t>
      </w:r>
      <w:r>
        <w:t xml:space="preserve"> on the Rights of the Child in its Concluding Observations (2023)</w:t>
      </w:r>
      <w:r>
        <w:rPr>
          <w:rStyle w:val="FootnoteReference"/>
        </w:rPr>
        <w:footnoteReference w:id="53"/>
      </w:r>
      <w:r>
        <w:t xml:space="preserve"> made specific recommendations relating to child trafficking and implementing the Optional Protocol on the sale of children, child prostitution and child pornography (OPSC)</w:t>
      </w:r>
      <w:r w:rsidR="004A7615">
        <w:t>,</w:t>
      </w:r>
      <w:r w:rsidR="00917ED7">
        <w:rPr>
          <w:rStyle w:val="FootnoteReference"/>
        </w:rPr>
        <w:footnoteReference w:id="54"/>
      </w:r>
      <w:r>
        <w:t xml:space="preserve"> which the OCC supports.</w:t>
      </w:r>
    </w:p>
    <w:p w14:paraId="30BE44FC" w14:textId="50EE453C" w:rsidR="00F332B1" w:rsidRPr="00917ED7" w:rsidRDefault="00F332B1" w:rsidP="00F332B1">
      <w:pPr>
        <w:pStyle w:val="ListNumber"/>
        <w:ind w:left="567" w:hanging="567"/>
        <w:jc w:val="both"/>
        <w:rPr>
          <w:lang w:val="en-AU"/>
        </w:rPr>
      </w:pPr>
      <w:r>
        <w:rPr>
          <w:lang w:val="en-AU"/>
        </w:rPr>
        <w:t>These recommendations included</w:t>
      </w:r>
      <w:r w:rsidR="00D43F43">
        <w:rPr>
          <w:lang w:val="en-AU"/>
        </w:rPr>
        <w:t>:</w:t>
      </w:r>
      <w:r>
        <w:rPr>
          <w:lang w:val="en-AU"/>
        </w:rPr>
        <w:t xml:space="preserve"> adopting a d</w:t>
      </w:r>
      <w:r>
        <w:t>ata-collection system covering all areas of the OPSC and disaggregated by form of exploitation and the age and gender of victims; a national action plan addressing all crimes as defined in the OPSC, ensuring it is responsive to the nature and root causes of the sexual exploitation of mokopuna; s</w:t>
      </w:r>
      <w:r w:rsidR="00D43F43">
        <w:t>t</w:t>
      </w:r>
      <w:r>
        <w:t>rengthening the coordination and cooperation between child protection stakeholders to improve the early detection and identification of mokopuna who are victims of all offences prohibited under the OPSC, taking into account acts that are perpetrated both online and offline, and ensure that they have immediate access to victim support services, including shelters; and ensuring that all crimes under articles 2 and 3 of the OPSC are investigated and that perpetrators, including legal persons such as corporations, are prosecuted and sanctioned for offences under the OPSC.</w:t>
      </w:r>
    </w:p>
    <w:p w14:paraId="20F000CC" w14:textId="23141C30" w:rsidR="00917ED7" w:rsidRPr="0047540F" w:rsidRDefault="00917ED7" w:rsidP="00F332B1">
      <w:pPr>
        <w:pStyle w:val="ListNumber"/>
        <w:ind w:left="567" w:hanging="567"/>
        <w:jc w:val="both"/>
        <w:rPr>
          <w:lang w:val="en-AU"/>
        </w:rPr>
      </w:pPr>
      <w:r>
        <w:lastRenderedPageBreak/>
        <w:t xml:space="preserve">Robust oversight of the OPSC </w:t>
      </w:r>
      <w:r w:rsidR="00D43F43">
        <w:t xml:space="preserve">and cross-agency coordination </w:t>
      </w:r>
      <w:r>
        <w:t>is needed to ensure the effective implementation of these recommendations.</w:t>
      </w:r>
    </w:p>
    <w:p w14:paraId="0632819B" w14:textId="19966212" w:rsidR="00EF2505" w:rsidRDefault="00EF2505" w:rsidP="00EF2505">
      <w:pPr>
        <w:keepNext/>
        <w:keepLines/>
        <w:widowControl/>
        <w:autoSpaceDE/>
        <w:autoSpaceDN/>
        <w:spacing w:before="120" w:after="120" w:line="120" w:lineRule="atLeast"/>
        <w:outlineLvl w:val="0"/>
        <w:rPr>
          <w:rFonts w:eastAsia="MS Gothic"/>
          <w:b/>
          <w:bCs/>
          <w:color w:val="C32026"/>
          <w:sz w:val="48"/>
          <w:szCs w:val="28"/>
          <w:lang w:val="en-AU"/>
        </w:rPr>
      </w:pPr>
      <w:r>
        <w:rPr>
          <w:rFonts w:eastAsia="MS Gothic"/>
          <w:b/>
          <w:bCs/>
          <w:color w:val="C32026"/>
          <w:sz w:val="48"/>
          <w:szCs w:val="28"/>
          <w:lang w:val="en-AU"/>
        </w:rPr>
        <w:t>Article 10</w:t>
      </w:r>
    </w:p>
    <w:p w14:paraId="64568EA3" w14:textId="77777777" w:rsidR="00EF2505" w:rsidRPr="0043291E" w:rsidRDefault="00EF2505" w:rsidP="00EF2505">
      <w:pPr>
        <w:pStyle w:val="Heading4"/>
      </w:pPr>
      <w:r>
        <w:t>List of Issues Para 14 – Training of enforcement personnel</w:t>
      </w:r>
    </w:p>
    <w:p w14:paraId="67AAF375" w14:textId="20B46855" w:rsidR="00EF2505" w:rsidRDefault="00EF2505" w:rsidP="0047540F">
      <w:pPr>
        <w:pStyle w:val="ListNumber"/>
        <w:ind w:left="567" w:hanging="567"/>
        <w:jc w:val="both"/>
        <w:rPr>
          <w:lang w:val="en-AU"/>
        </w:rPr>
      </w:pPr>
      <w:r>
        <w:t xml:space="preserve">Staff across multiple Oranga Tamariki secure residences have highlighted the lack of training they receive, whether it be from initial induction to a facility, or any ongoing training or development. In </w:t>
      </w:r>
      <w:r w:rsidRPr="0047540F">
        <w:rPr>
          <w:lang w:val="en-AU"/>
        </w:rPr>
        <w:t>many</w:t>
      </w:r>
      <w:r>
        <w:t xml:space="preserve"> cases, staff described feeling unequipped to support or manage the behaviours of mokopuna, particularly those with disabilities or high and complex </w:t>
      </w:r>
      <w:r w:rsidRPr="00827B7E">
        <w:rPr>
          <w:szCs w:val="18"/>
        </w:rPr>
        <w:t>needs</w:t>
      </w:r>
      <w:r>
        <w:t xml:space="preserve"> who are regularly placed into care. This lack of training places both mokopuna and staff at risk and emphasises the need for adequate and more specialised training to be put in place as a safety and protective measure</w:t>
      </w:r>
      <w:r>
        <w:rPr>
          <w:lang w:val="en-AU"/>
        </w:rPr>
        <w:t>.</w:t>
      </w:r>
    </w:p>
    <w:p w14:paraId="5FDF202C" w14:textId="718F4753" w:rsidR="00EF2505" w:rsidRDefault="00EF2505" w:rsidP="0047540F">
      <w:pPr>
        <w:pStyle w:val="ListNumber"/>
        <w:ind w:left="567" w:hanging="567"/>
        <w:jc w:val="both"/>
        <w:rPr>
          <w:lang w:val="en-AU"/>
        </w:rPr>
      </w:pPr>
      <w:r>
        <w:rPr>
          <w:lang w:val="en-AU"/>
        </w:rPr>
        <w:t xml:space="preserve">Oranga Tamariki </w:t>
      </w:r>
      <w:r w:rsidR="008D4E5E">
        <w:rPr>
          <w:lang w:val="en-AU"/>
        </w:rPr>
        <w:t xml:space="preserve">has </w:t>
      </w:r>
      <w:r>
        <w:rPr>
          <w:lang w:val="en-AU"/>
        </w:rPr>
        <w:t>developed Te Waharoa training for staff working in secure residences.</w:t>
      </w:r>
      <w:r>
        <w:rPr>
          <w:rStyle w:val="FootnoteReference"/>
          <w:lang w:val="en-AU"/>
        </w:rPr>
        <w:footnoteReference w:id="55"/>
      </w:r>
      <w:r>
        <w:rPr>
          <w:lang w:val="en-AU"/>
        </w:rPr>
        <w:t xml:space="preserve"> However, OCC monitoring visits have found that often, as a result of staffing shortages, this training is significantly shortened in order to place staff ‘on the floor’ as soon as possible.</w:t>
      </w:r>
      <w:r>
        <w:rPr>
          <w:rStyle w:val="FootnoteReference"/>
          <w:lang w:val="en-AU"/>
        </w:rPr>
        <w:footnoteReference w:id="56"/>
      </w:r>
    </w:p>
    <w:p w14:paraId="385EF475" w14:textId="7628FF09" w:rsidR="00EF2505" w:rsidRDefault="00EF2505" w:rsidP="0047540F">
      <w:pPr>
        <w:pStyle w:val="ListNumber"/>
        <w:ind w:left="567" w:hanging="567"/>
        <w:jc w:val="both"/>
        <w:rPr>
          <w:lang w:val="en-AU"/>
        </w:rPr>
      </w:pPr>
      <w:r>
        <w:rPr>
          <w:lang w:val="en-AU"/>
        </w:rPr>
        <w:t xml:space="preserve">The </w:t>
      </w:r>
      <w:r w:rsidR="00D43F43">
        <w:rPr>
          <w:lang w:val="en-AU"/>
        </w:rPr>
        <w:t>State</w:t>
      </w:r>
      <w:r>
        <w:rPr>
          <w:lang w:val="en-AU"/>
        </w:rPr>
        <w:t xml:space="preserve"> report notes that seclusion and restraint reduced as a result of Te Waharoa and a Māori-focused restorative practice approach, however, </w:t>
      </w:r>
      <w:r>
        <w:rPr>
          <w:lang w:val="en-AU"/>
        </w:rPr>
        <w:lastRenderedPageBreak/>
        <w:t xml:space="preserve">recent data indicates </w:t>
      </w:r>
      <w:r w:rsidR="00D43F43">
        <w:rPr>
          <w:lang w:val="en-AU"/>
        </w:rPr>
        <w:t>an increasing</w:t>
      </w:r>
      <w:r>
        <w:rPr>
          <w:lang w:val="en-AU"/>
        </w:rPr>
        <w:t xml:space="preserve"> use of restraints and secure care.</w:t>
      </w:r>
      <w:r>
        <w:rPr>
          <w:rStyle w:val="FootnoteReference"/>
          <w:lang w:val="en-AU"/>
        </w:rPr>
        <w:footnoteReference w:id="57"/>
      </w:r>
      <w:r>
        <w:rPr>
          <w:lang w:val="en-AU"/>
        </w:rPr>
        <w:t xml:space="preserve"> This may be connected to the lack of adequate training that staff receive.</w:t>
      </w:r>
    </w:p>
    <w:p w14:paraId="057A9991" w14:textId="63739366" w:rsidR="00EF2505" w:rsidRPr="0047540F" w:rsidRDefault="00EF2505" w:rsidP="0047540F">
      <w:pPr>
        <w:pStyle w:val="ListNumber"/>
        <w:ind w:left="567" w:hanging="567"/>
        <w:jc w:val="both"/>
        <w:rPr>
          <w:lang w:val="en-AU"/>
        </w:rPr>
      </w:pPr>
      <w:r w:rsidRPr="0043291E">
        <w:rPr>
          <w:lang w:val="en-AU"/>
        </w:rPr>
        <w:t xml:space="preserve">Additionally, </w:t>
      </w:r>
      <w:r>
        <w:rPr>
          <w:lang w:val="en-AU"/>
        </w:rPr>
        <w:t>Te Waharoa</w:t>
      </w:r>
      <w:r w:rsidRPr="0043291E">
        <w:rPr>
          <w:lang w:val="en-AU"/>
        </w:rPr>
        <w:t xml:space="preserve"> training does not cover</w:t>
      </w:r>
      <w:r>
        <w:rPr>
          <w:lang w:val="en-AU"/>
        </w:rPr>
        <w:t xml:space="preserve"> how to respond to</w:t>
      </w:r>
      <w:r w:rsidRPr="0043291E">
        <w:rPr>
          <w:lang w:val="en-AU"/>
        </w:rPr>
        <w:t xml:space="preserve"> torture, ill treatment, or the OCC’s OPCAT mandate.</w:t>
      </w:r>
    </w:p>
    <w:p w14:paraId="4B61FFC8" w14:textId="10920749" w:rsidR="00EF2505" w:rsidRPr="0043291E" w:rsidRDefault="00AE7853" w:rsidP="0047540F">
      <w:pPr>
        <w:pStyle w:val="ListNumber"/>
        <w:ind w:left="567" w:hanging="567"/>
        <w:jc w:val="both"/>
        <w:rPr>
          <w:lang w:val="en-AU"/>
        </w:rPr>
      </w:pPr>
      <w:r>
        <w:rPr>
          <w:lang w:val="en-AU"/>
        </w:rPr>
        <w:t>The OCC note</w:t>
      </w:r>
      <w:r w:rsidR="008D4E5E">
        <w:rPr>
          <w:lang w:val="en-AU"/>
        </w:rPr>
        <w:t>s</w:t>
      </w:r>
      <w:r>
        <w:rPr>
          <w:lang w:val="en-AU"/>
        </w:rPr>
        <w:t xml:space="preserve"> that where mokopuna are detained in adult facilities, child-specific training is needed. </w:t>
      </w:r>
      <w:r w:rsidR="00E0158D">
        <w:rPr>
          <w:lang w:val="en-AU"/>
        </w:rPr>
        <w:t>The OCC refers the Committee to the Ombudsman’s submission, which covers these issues in more detail.</w:t>
      </w:r>
    </w:p>
    <w:p w14:paraId="099E66AA" w14:textId="77777777" w:rsidR="00EF2505" w:rsidRPr="00173112" w:rsidRDefault="00EF2505" w:rsidP="00EF2505">
      <w:pPr>
        <w:pStyle w:val="Heading4"/>
        <w:rPr>
          <w:lang w:val="en-AU"/>
        </w:rPr>
      </w:pPr>
      <w:r>
        <w:rPr>
          <w:lang w:val="en-AU"/>
        </w:rPr>
        <w:t>List of Issues Para 15 – Less than lethal devices</w:t>
      </w:r>
    </w:p>
    <w:p w14:paraId="1CD5346B" w14:textId="77777777" w:rsidR="00EF2505" w:rsidRPr="00173112" w:rsidRDefault="00EF2505" w:rsidP="00EF2505">
      <w:pPr>
        <w:pStyle w:val="Pull-OutText"/>
        <w:ind w:left="0"/>
        <w:rPr>
          <w:lang w:val="en-AU"/>
        </w:rPr>
      </w:pPr>
      <w:r>
        <w:t xml:space="preserve">Restraint chairs </w:t>
      </w:r>
    </w:p>
    <w:p w14:paraId="3A48AA3D" w14:textId="77777777" w:rsidR="00EF2505" w:rsidRPr="00173112" w:rsidRDefault="00EF2505" w:rsidP="0047540F">
      <w:pPr>
        <w:pStyle w:val="ListNumber"/>
        <w:ind w:left="567" w:hanging="567"/>
        <w:jc w:val="both"/>
        <w:rPr>
          <w:lang w:val="en-AU"/>
        </w:rPr>
      </w:pPr>
      <w:r>
        <w:t xml:space="preserve">Restraint chairs are still being used by the New Zealand Police for mokopuna as young as 13, despite being considered ‘inherently degrading’ and following </w:t>
      </w:r>
      <w:r w:rsidRPr="00173112">
        <w:rPr>
          <w:rFonts w:ascii="Segoe UI" w:hAnsi="Segoe UI" w:cs="Segoe UI"/>
        </w:rPr>
        <w:t>recommendations</w:t>
      </w:r>
      <w:r>
        <w:t xml:space="preserve"> made to the New Zealand Police that they be abolished and replaced with less restrictive methods.</w:t>
      </w:r>
      <w:r>
        <w:rPr>
          <w:rStyle w:val="FootnoteReference"/>
        </w:rPr>
        <w:footnoteReference w:id="58"/>
      </w:r>
      <w:r>
        <w:t xml:space="preserve"> </w:t>
      </w:r>
      <w:r>
        <w:rPr>
          <w:rStyle w:val="FootnoteReference"/>
        </w:rPr>
        <w:footnoteReference w:id="59"/>
      </w:r>
    </w:p>
    <w:p w14:paraId="72F1C151" w14:textId="77777777" w:rsidR="00EF2505" w:rsidRPr="00173112" w:rsidRDefault="00EF2505" w:rsidP="0047540F">
      <w:pPr>
        <w:pStyle w:val="ListNumber"/>
        <w:ind w:left="567" w:hanging="567"/>
        <w:jc w:val="both"/>
        <w:rPr>
          <w:lang w:val="en-AU"/>
        </w:rPr>
      </w:pPr>
      <w:r>
        <w:t xml:space="preserve">In 2020, restraint chairs were used three times on mokopuna with one incident involving a 13-year-old. Between 2015 and 2020, New Zealand Police strapped 38 mokopuna into restraint chairs, some more than </w:t>
      </w:r>
      <w:r>
        <w:lastRenderedPageBreak/>
        <w:t>once.</w:t>
      </w:r>
      <w:r>
        <w:rPr>
          <w:rStyle w:val="FootnoteReference"/>
        </w:rPr>
        <w:footnoteReference w:id="60"/>
      </w:r>
      <w:r>
        <w:t xml:space="preserve"> Recent data on the use of restraint chairs, </w:t>
      </w:r>
      <w:r w:rsidRPr="00173112">
        <w:rPr>
          <w:rFonts w:ascii="Segoe UI" w:hAnsi="Segoe UI" w:cs="Segoe UI"/>
        </w:rPr>
        <w:t>and</w:t>
      </w:r>
      <w:r>
        <w:t xml:space="preserve"> other restrictive practices, was not made available by the New Zealand Police. The use of restraint chairs is symptomatic of wider problems within the youth mental health system and lack of mental health crisis support for mokopuna.</w:t>
      </w:r>
      <w:r>
        <w:rPr>
          <w:rStyle w:val="FootnoteReference"/>
        </w:rPr>
        <w:footnoteReference w:id="61"/>
      </w:r>
    </w:p>
    <w:p w14:paraId="3F92401B" w14:textId="77777777" w:rsidR="00EF2505" w:rsidRPr="00173112" w:rsidRDefault="00EF2505" w:rsidP="00EF2505">
      <w:pPr>
        <w:pStyle w:val="Pull-OutText"/>
        <w:ind w:left="0"/>
        <w:rPr>
          <w:lang w:val="en-AU"/>
        </w:rPr>
      </w:pPr>
      <w:r>
        <w:t xml:space="preserve">Spit hoods </w:t>
      </w:r>
    </w:p>
    <w:p w14:paraId="68B21310" w14:textId="6A49FA17" w:rsidR="00EF2505" w:rsidRPr="00173112" w:rsidRDefault="00EF2505" w:rsidP="0047540F">
      <w:pPr>
        <w:pStyle w:val="ListNumber"/>
        <w:ind w:left="567" w:hanging="567"/>
        <w:jc w:val="both"/>
        <w:rPr>
          <w:lang w:val="en-AU"/>
        </w:rPr>
      </w:pPr>
      <w:r>
        <w:t>Between 2016 and 2020, the New Zealand Police used spit hoods on 117 mokopuna, using the hoods 129 times in total, with seven mokopuna placed in them more than once. Almost 70 uses were on mokopuna Māori, including one aged just nine years old in 2018.</w:t>
      </w:r>
      <w:r>
        <w:rPr>
          <w:rStyle w:val="FootnoteReference"/>
        </w:rPr>
        <w:footnoteReference w:id="62"/>
      </w:r>
      <w:r>
        <w:t xml:space="preserve"> </w:t>
      </w:r>
      <w:r w:rsidR="00917ED7">
        <w:t xml:space="preserve">The Committee may wish to request recent statistics on this matter. </w:t>
      </w:r>
      <w:r w:rsidR="00E0158D">
        <w:t>In the OCC’s view, the use of spit hoods on mokopuna</w:t>
      </w:r>
      <w:r>
        <w:t xml:space="preserve"> is an unacceptable and degrading practice. </w:t>
      </w:r>
    </w:p>
    <w:p w14:paraId="1292430D" w14:textId="77777777" w:rsidR="00EF2505" w:rsidRPr="00173112" w:rsidRDefault="00EF2505" w:rsidP="00EF2505">
      <w:pPr>
        <w:pStyle w:val="Pull-OutText"/>
        <w:ind w:left="0"/>
        <w:rPr>
          <w:lang w:val="en-AU"/>
        </w:rPr>
      </w:pPr>
      <w:r>
        <w:t xml:space="preserve">Pepper spray of mokopuna </w:t>
      </w:r>
    </w:p>
    <w:p w14:paraId="49B4EDCC" w14:textId="73FD69AD" w:rsidR="00E0158D" w:rsidRPr="00E0158D" w:rsidRDefault="00EF2505" w:rsidP="0047540F">
      <w:pPr>
        <w:pStyle w:val="ListNumber"/>
        <w:ind w:left="567" w:hanging="567"/>
        <w:jc w:val="both"/>
        <w:rPr>
          <w:lang w:val="en-AU"/>
        </w:rPr>
      </w:pPr>
      <w:r>
        <w:t>Between 2017 and 2021, more than 480 mokopuna aged 17 years old and under, were pepper sprayed by the New Zealand Police.</w:t>
      </w:r>
      <w:r>
        <w:rPr>
          <w:rStyle w:val="FootnoteReference"/>
        </w:rPr>
        <w:footnoteReference w:id="63"/>
      </w:r>
      <w:r w:rsidR="00E0158D">
        <w:t xml:space="preserve"> </w:t>
      </w:r>
      <w:r w:rsidR="00917ED7">
        <w:t>The Committee may wish to request recent statistics on this matter.</w:t>
      </w:r>
    </w:p>
    <w:p w14:paraId="10231554" w14:textId="352E2A11" w:rsidR="00EF2505" w:rsidRDefault="00EF2505" w:rsidP="0047540F">
      <w:pPr>
        <w:pStyle w:val="ListNumber"/>
        <w:ind w:left="567" w:hanging="567"/>
        <w:jc w:val="both"/>
        <w:rPr>
          <w:lang w:val="en-AU"/>
        </w:rPr>
      </w:pPr>
      <w:r>
        <w:lastRenderedPageBreak/>
        <w:t>The use of pepper spray on mokopuna is unacceptable and poses serious health risks to mokopuna in contravention to Article 37(a) of the Children’s Convention</w:t>
      </w:r>
      <w:r w:rsidR="004A7615">
        <w:t xml:space="preserve"> and Article 16 of the CAT</w:t>
      </w:r>
      <w:r>
        <w:t>.</w:t>
      </w:r>
    </w:p>
    <w:p w14:paraId="5AA2D233" w14:textId="329F3D08" w:rsidR="00EF2505" w:rsidRDefault="00EF2505" w:rsidP="00EF2505">
      <w:pPr>
        <w:keepNext/>
        <w:keepLines/>
        <w:widowControl/>
        <w:autoSpaceDE/>
        <w:autoSpaceDN/>
        <w:spacing w:before="120" w:after="120" w:line="120" w:lineRule="atLeast"/>
        <w:outlineLvl w:val="0"/>
        <w:rPr>
          <w:rFonts w:eastAsia="MS Gothic"/>
          <w:b/>
          <w:bCs/>
          <w:color w:val="C32026"/>
          <w:sz w:val="48"/>
          <w:szCs w:val="28"/>
          <w:lang w:val="en-AU"/>
        </w:rPr>
      </w:pPr>
      <w:r>
        <w:rPr>
          <w:rFonts w:eastAsia="MS Gothic"/>
          <w:b/>
          <w:bCs/>
          <w:color w:val="C32026"/>
          <w:sz w:val="48"/>
          <w:szCs w:val="28"/>
          <w:lang w:val="en-AU"/>
        </w:rPr>
        <w:t>Article 11</w:t>
      </w:r>
    </w:p>
    <w:p w14:paraId="6DD20F57" w14:textId="77777777" w:rsidR="00EF2505" w:rsidRPr="008C507D" w:rsidRDefault="00EF2505" w:rsidP="00EF2505">
      <w:pPr>
        <w:pStyle w:val="Heading4"/>
        <w:rPr>
          <w:lang w:val="en-AU"/>
        </w:rPr>
      </w:pPr>
      <w:r>
        <w:rPr>
          <w:lang w:val="en-AU"/>
        </w:rPr>
        <w:t>List of Issues Para 18 – Pre-trial detention</w:t>
      </w:r>
    </w:p>
    <w:p w14:paraId="78A6299B" w14:textId="32A1D2FF" w:rsidR="00AE7853" w:rsidRPr="00FB4ADC" w:rsidRDefault="00AE7853" w:rsidP="00DC16F6">
      <w:pPr>
        <w:pStyle w:val="ListNumber"/>
        <w:ind w:left="567" w:hanging="567"/>
        <w:jc w:val="both"/>
        <w:rPr>
          <w:lang w:val="en-AU"/>
        </w:rPr>
      </w:pPr>
      <w:r w:rsidRPr="00FB4ADC">
        <w:t xml:space="preserve">Mokopuna appearing before the Youth Court are currently subject to one of </w:t>
      </w:r>
      <w:r w:rsidR="008D4E5E">
        <w:t xml:space="preserve">five </w:t>
      </w:r>
      <w:r w:rsidRPr="00FB4ADC">
        <w:t>remand options set out in section 238 of the Oranga Tamariki Act 1989 when they are awaiting their hearing or sentencing.</w:t>
      </w:r>
      <w:r w:rsidR="00FB4ADC" w:rsidRPr="00FB4ADC">
        <w:rPr>
          <w:rStyle w:val="FootnoteReference"/>
        </w:rPr>
        <w:footnoteReference w:id="64"/>
      </w:r>
    </w:p>
    <w:p w14:paraId="2EA37192" w14:textId="712900FD" w:rsidR="00EF2505" w:rsidRPr="00FB4ADC" w:rsidRDefault="00AE7853" w:rsidP="00DC16F6">
      <w:pPr>
        <w:pStyle w:val="ListNumber"/>
        <w:ind w:left="567" w:hanging="567"/>
        <w:jc w:val="both"/>
        <w:rPr>
          <w:lang w:val="en-AU"/>
        </w:rPr>
      </w:pPr>
      <w:r w:rsidRPr="00FB4ADC">
        <w:t xml:space="preserve">Oranga Tamariki </w:t>
      </w:r>
      <w:r w:rsidR="008D4E5E" w:rsidRPr="00FB4ADC">
        <w:t>ha</w:t>
      </w:r>
      <w:r w:rsidR="008D4E5E">
        <w:t>s</w:t>
      </w:r>
      <w:r w:rsidR="008D4E5E" w:rsidRPr="00FB4ADC">
        <w:t xml:space="preserve"> </w:t>
      </w:r>
      <w:r w:rsidRPr="00FB4ADC">
        <w:t xml:space="preserve">acknowledged that current options are no longer fit-for-purpose </w:t>
      </w:r>
      <w:r w:rsidR="00FB4ADC">
        <w:t>and require</w:t>
      </w:r>
      <w:r w:rsidRPr="00FB4ADC">
        <w:t xml:space="preserve"> reform, which is currently being reviewed under the Residential Care and Other Matters Amendment Bill</w:t>
      </w:r>
      <w:r w:rsidR="00FB4ADC" w:rsidRPr="00FB4ADC">
        <w:t xml:space="preserve"> (the Residential Bill)</w:t>
      </w:r>
      <w:r w:rsidRPr="00FB4ADC">
        <w:t>.</w:t>
      </w:r>
      <w:r w:rsidRPr="00FB4ADC">
        <w:rPr>
          <w:rStyle w:val="FootnoteReference"/>
        </w:rPr>
        <w:footnoteReference w:id="65"/>
      </w:r>
      <w:r w:rsidR="00BB4618" w:rsidRPr="00BB4618">
        <w:rPr>
          <w:lang w:val="en-AU"/>
        </w:rPr>
        <w:t xml:space="preserve"> </w:t>
      </w:r>
      <w:r w:rsidR="00BB4618" w:rsidRPr="00FB4ADC">
        <w:rPr>
          <w:lang w:val="en-AU"/>
        </w:rPr>
        <w:t xml:space="preserve">The OCC </w:t>
      </w:r>
      <w:r w:rsidR="00BB4618">
        <w:rPr>
          <w:lang w:val="en-AU"/>
        </w:rPr>
        <w:t>welcomes</w:t>
      </w:r>
      <w:r w:rsidR="00BB4618" w:rsidRPr="00FB4ADC">
        <w:rPr>
          <w:lang w:val="en-AU"/>
        </w:rPr>
        <w:t xml:space="preserve"> these reforms to ensure that Oranga Tamariki upholds its obligations under </w:t>
      </w:r>
      <w:r w:rsidR="00BB4618">
        <w:rPr>
          <w:lang w:val="en-AU"/>
        </w:rPr>
        <w:t xml:space="preserve">Te Tiriti and </w:t>
      </w:r>
      <w:r w:rsidR="00BB4618" w:rsidRPr="00FB4ADC">
        <w:rPr>
          <w:lang w:val="en-AU"/>
        </w:rPr>
        <w:t>s 7AA of the Oranga Tamariki Act, as well as support mokopuna to r</w:t>
      </w:r>
      <w:r w:rsidR="00BB4618" w:rsidRPr="00FB4ADC">
        <w:t>emain with their family, whānau, hapu or iwi on remand wherever possible</w:t>
      </w:r>
      <w:r w:rsidR="00BB4618" w:rsidRPr="00FB4ADC">
        <w:rPr>
          <w:lang w:val="en-AU"/>
        </w:rPr>
        <w:t>.</w:t>
      </w:r>
    </w:p>
    <w:p w14:paraId="6F665E9C" w14:textId="0A455CA4" w:rsidR="003A2DDB" w:rsidRPr="00BB4618" w:rsidRDefault="00BB4618" w:rsidP="003A2DDB">
      <w:pPr>
        <w:pStyle w:val="ListNumber"/>
        <w:ind w:left="567" w:hanging="567"/>
        <w:jc w:val="both"/>
        <w:rPr>
          <w:lang w:val="en-AU"/>
        </w:rPr>
      </w:pPr>
      <w:r>
        <w:rPr>
          <w:lang w:val="en-AU"/>
        </w:rPr>
        <w:t>Additionally, for</w:t>
      </w:r>
      <w:r w:rsidR="003A2DDB" w:rsidRPr="00BB4618">
        <w:rPr>
          <w:lang w:val="en-AU"/>
        </w:rPr>
        <w:t xml:space="preserve"> mokopuna, time on remand is not counted towards </w:t>
      </w:r>
      <w:r w:rsidR="00E0158D" w:rsidRPr="00BB4618">
        <w:rPr>
          <w:lang w:val="en-AU"/>
        </w:rPr>
        <w:t>‘</w:t>
      </w:r>
      <w:r w:rsidR="003A2DDB" w:rsidRPr="00BB4618">
        <w:rPr>
          <w:lang w:val="en-AU"/>
        </w:rPr>
        <w:t>time served</w:t>
      </w:r>
      <w:r w:rsidR="00E0158D" w:rsidRPr="00BB4618">
        <w:rPr>
          <w:lang w:val="en-AU"/>
        </w:rPr>
        <w:t>’</w:t>
      </w:r>
      <w:r w:rsidR="003A2DDB" w:rsidRPr="00BB4618">
        <w:rPr>
          <w:lang w:val="en-AU"/>
        </w:rPr>
        <w:t xml:space="preserve"> when </w:t>
      </w:r>
      <w:r w:rsidR="00E0158D" w:rsidRPr="00BB4618">
        <w:rPr>
          <w:lang w:val="en-AU"/>
        </w:rPr>
        <w:t>they are sentenced</w:t>
      </w:r>
      <w:r w:rsidR="003A2DDB" w:rsidRPr="00BB4618">
        <w:rPr>
          <w:lang w:val="en-AU"/>
        </w:rPr>
        <w:t xml:space="preserve"> (unlike </w:t>
      </w:r>
      <w:r w:rsidR="00E0158D" w:rsidRPr="00BB4618">
        <w:rPr>
          <w:lang w:val="en-AU"/>
        </w:rPr>
        <w:t xml:space="preserve">in </w:t>
      </w:r>
      <w:r w:rsidR="003A2DDB" w:rsidRPr="00BB4618">
        <w:rPr>
          <w:lang w:val="en-AU"/>
        </w:rPr>
        <w:t>the adult jurisdiction). Many mokopuna are spending in excess of 60 days on remand</w:t>
      </w:r>
      <w:r w:rsidRPr="00BB4618">
        <w:rPr>
          <w:lang w:val="en-AU"/>
        </w:rPr>
        <w:t xml:space="preserve"> and </w:t>
      </w:r>
      <w:r w:rsidR="003A2DDB" w:rsidRPr="00BB4618">
        <w:rPr>
          <w:lang w:val="en-AU"/>
        </w:rPr>
        <w:t xml:space="preserve">can then </w:t>
      </w:r>
      <w:r w:rsidR="003A2DDB" w:rsidRPr="00BB4618">
        <w:rPr>
          <w:lang w:val="en-AU"/>
        </w:rPr>
        <w:lastRenderedPageBreak/>
        <w:t>spend up to six additional months on a Supervision with Residence order when sentenced through the Youth Court.</w:t>
      </w:r>
      <w:r w:rsidR="003A2DDB" w:rsidRPr="00BB4618">
        <w:rPr>
          <w:rStyle w:val="FootnoteReference"/>
          <w:lang w:val="en-AU"/>
        </w:rPr>
        <w:footnoteReference w:id="66"/>
      </w:r>
    </w:p>
    <w:p w14:paraId="4DFFD8BD" w14:textId="64D99552" w:rsidR="00AE7853" w:rsidRPr="00FB4ADC" w:rsidRDefault="00AE7853" w:rsidP="00DC16F6">
      <w:pPr>
        <w:pStyle w:val="ListNumber"/>
        <w:ind w:left="567" w:hanging="567"/>
        <w:jc w:val="both"/>
        <w:rPr>
          <w:lang w:val="en-AU"/>
        </w:rPr>
      </w:pPr>
      <w:r w:rsidRPr="00FB4ADC">
        <w:rPr>
          <w:lang w:val="en-AU"/>
        </w:rPr>
        <w:t>Approximately 20% of mokopuna appearing before the court are placed in a secure residence.</w:t>
      </w:r>
      <w:r w:rsidRPr="00FB4ADC">
        <w:rPr>
          <w:rStyle w:val="FootnoteReference"/>
          <w:lang w:val="en-AU"/>
        </w:rPr>
        <w:footnoteReference w:id="67"/>
      </w:r>
      <w:r w:rsidRPr="00FB4ADC">
        <w:rPr>
          <w:lang w:val="en-AU"/>
        </w:rPr>
        <w:t xml:space="preserve"> </w:t>
      </w:r>
      <w:r w:rsidR="00694736">
        <w:rPr>
          <w:lang w:val="en-AU"/>
        </w:rPr>
        <w:t xml:space="preserve">The OCC recalls the </w:t>
      </w:r>
      <w:r w:rsidR="00694736">
        <w:t xml:space="preserve">United Nations </w:t>
      </w:r>
      <w:r w:rsidR="00694736" w:rsidRPr="0047540F">
        <w:rPr>
          <w:lang w:val="en-AU"/>
        </w:rPr>
        <w:t>Committee</w:t>
      </w:r>
      <w:r w:rsidR="00694736">
        <w:t xml:space="preserve"> on the Rights of the Child </w:t>
      </w:r>
      <w:r w:rsidR="00694736">
        <w:rPr>
          <w:lang w:val="en-AU"/>
        </w:rPr>
        <w:t xml:space="preserve">recommendation </w:t>
      </w:r>
      <w:r w:rsidR="00694736">
        <w:t>(2023)</w:t>
      </w:r>
      <w:r w:rsidR="00694736">
        <w:rPr>
          <w:rStyle w:val="FootnoteReference"/>
        </w:rPr>
        <w:footnoteReference w:id="68"/>
      </w:r>
      <w:r w:rsidR="00694736">
        <w:t xml:space="preserve"> </w:t>
      </w:r>
      <w:r w:rsidR="00694736">
        <w:rPr>
          <w:lang w:val="en-AU"/>
        </w:rPr>
        <w:t>to</w:t>
      </w:r>
      <w:r w:rsidR="00694736">
        <w:t xml:space="preserve"> repeal the practice of remanding </w:t>
      </w:r>
      <w:r w:rsidR="0029577C">
        <w:t>mokopuna</w:t>
      </w:r>
      <w:r w:rsidR="00694736">
        <w:t xml:space="preserve"> into police custody and reduce the proportion of </w:t>
      </w:r>
      <w:r w:rsidR="0029577C">
        <w:t>mokopuna</w:t>
      </w:r>
      <w:r w:rsidR="00694736">
        <w:t xml:space="preserve"> in secure </w:t>
      </w:r>
      <w:r w:rsidR="0029577C">
        <w:t>YJ</w:t>
      </w:r>
      <w:r w:rsidR="00694736">
        <w:t xml:space="preserve"> residences who are on remand, including by investing in the development of community-based residences and strengthening the availability and use of non-custodial measures</w:t>
      </w:r>
      <w:r w:rsidR="0029577C">
        <w:t>.</w:t>
      </w:r>
    </w:p>
    <w:p w14:paraId="4F48B658" w14:textId="77777777" w:rsidR="00EF2505" w:rsidRPr="00173112" w:rsidRDefault="00EF2505" w:rsidP="00EF2505">
      <w:pPr>
        <w:pStyle w:val="Pull-OutText"/>
        <w:ind w:left="0"/>
        <w:rPr>
          <w:highlight w:val="yellow"/>
          <w:lang w:val="en-AU"/>
        </w:rPr>
      </w:pPr>
      <w:r>
        <w:t>The use of Police cells to hold mokopuna on remand</w:t>
      </w:r>
    </w:p>
    <w:p w14:paraId="0B0CCF1F" w14:textId="7A0AA188" w:rsidR="00EF2505" w:rsidRDefault="00EF2505" w:rsidP="00DC16F6">
      <w:pPr>
        <w:pStyle w:val="ListNumber"/>
        <w:ind w:left="567" w:hanging="567"/>
        <w:jc w:val="both"/>
      </w:pPr>
      <w:r>
        <w:t xml:space="preserve">Under </w:t>
      </w:r>
      <w:r w:rsidR="0029577C">
        <w:t>s</w:t>
      </w:r>
      <w:r>
        <w:t xml:space="preserve"> 238(1)(e) of the Oranga Tamariki Act 1989, </w:t>
      </w:r>
      <w:r w:rsidR="008D4E5E">
        <w:t xml:space="preserve"> the Youth Court can </w:t>
      </w:r>
      <w:r w:rsidR="009F4E75">
        <w:t xml:space="preserve">remand mokopuna in </w:t>
      </w:r>
      <w:r>
        <w:t xml:space="preserve">adult Police cells pending </w:t>
      </w:r>
      <w:r w:rsidR="009F4E75">
        <w:t>Oranga Tamariki  finding suitable facilities for the detention of the mokopuna in safe custody</w:t>
      </w:r>
      <w:r>
        <w:t>. Despite advocating</w:t>
      </w:r>
      <w:r>
        <w:rPr>
          <w:rStyle w:val="FootnoteReference"/>
        </w:rPr>
        <w:footnoteReference w:id="69"/>
      </w:r>
      <w:r>
        <w:t xml:space="preserve"> for this option to be removed and repealed, it remains an option.</w:t>
      </w:r>
    </w:p>
    <w:p w14:paraId="3A7E39B2" w14:textId="77777777" w:rsidR="004A7615" w:rsidRDefault="00EF2505" w:rsidP="00DC16F6">
      <w:pPr>
        <w:pStyle w:val="ListNumber"/>
        <w:ind w:left="567" w:hanging="567"/>
        <w:jc w:val="both"/>
      </w:pPr>
      <w:r>
        <w:t>In 2018, almost 200 mokopuna were held in Police cells for periods of more than 24 hours: in some cases, up to seven days.</w:t>
      </w:r>
      <w:r>
        <w:rPr>
          <w:rStyle w:val="FootnoteReference"/>
        </w:rPr>
        <w:footnoteReference w:id="70"/>
      </w:r>
      <w:r>
        <w:t xml:space="preserve"> There were almost twice as many mokopuna in Police cells for more than 24 hours than there were in 2014; and is estimated that 70-80% of those held in Police cells were mokopuna Māori.</w:t>
      </w:r>
      <w:r>
        <w:rPr>
          <w:rStyle w:val="FootnoteReference"/>
        </w:rPr>
        <w:footnoteReference w:id="71"/>
      </w:r>
      <w:r w:rsidR="004A7615">
        <w:t xml:space="preserve"> </w:t>
      </w:r>
    </w:p>
    <w:p w14:paraId="18C6280C" w14:textId="6C5422F6" w:rsidR="00EF2505" w:rsidRDefault="004A7615" w:rsidP="00DC16F6">
      <w:pPr>
        <w:pStyle w:val="ListNumber"/>
        <w:ind w:left="567" w:hanging="567"/>
        <w:jc w:val="both"/>
      </w:pPr>
      <w:r>
        <w:t>Between December 2022 to January 2023, 34 mokopuna remained in Police custody under section 238(1)(e). These 34 mokopuna included one 13-year-old,</w:t>
      </w:r>
      <w:r>
        <w:rPr>
          <w:rStyle w:val="FootnoteReference"/>
        </w:rPr>
        <w:footnoteReference w:id="72"/>
      </w:r>
      <w:r>
        <w:t xml:space="preserve"> eight 14-year-olds, seven 15-year-olds, eight 16-year-olds, and 10 seventeen-year-olds.</w:t>
      </w:r>
      <w:r>
        <w:rPr>
          <w:rStyle w:val="FootnoteReference"/>
        </w:rPr>
        <w:footnoteReference w:id="73"/>
      </w:r>
      <w:r>
        <w:t xml:space="preserve"> Of the 34 mokopuna, seven were held for less than 24 hours, 17 for more than 24 hours less than two days, five for between two and three days, and four for three days.</w:t>
      </w:r>
    </w:p>
    <w:p w14:paraId="347ADC59" w14:textId="3263993F" w:rsidR="00BB4618" w:rsidRDefault="009B264F" w:rsidP="00DC16F6">
      <w:pPr>
        <w:pStyle w:val="ListNumber"/>
        <w:ind w:left="567" w:hanging="567"/>
        <w:jc w:val="both"/>
      </w:pPr>
      <w:r>
        <w:t>Remand of mokopuna in police cells is harmful and an in</w:t>
      </w:r>
      <w:r w:rsidR="00EF2505">
        <w:t xml:space="preserve">appropriate custodial environment for mokopuna. Being held in a Police cell for extended periods can quickly lead to physical, mental, and emotional harm for a young person, and a real risk of self-harm. However, there is no limit on the amount of time mokopuna can be held in Police custody under </w:t>
      </w:r>
      <w:r w:rsidR="0029577C">
        <w:t>s</w:t>
      </w:r>
      <w:r w:rsidR="00EF2505">
        <w:t xml:space="preserve"> 238(1)(e). </w:t>
      </w:r>
    </w:p>
    <w:p w14:paraId="04FB1434" w14:textId="4686F058" w:rsidR="00EF2505" w:rsidRDefault="00EF2505" w:rsidP="00DC16F6">
      <w:pPr>
        <w:pStyle w:val="ListNumber"/>
        <w:ind w:left="567" w:hanging="567"/>
        <w:jc w:val="both"/>
      </w:pPr>
      <w:r w:rsidRPr="00BB4618">
        <w:t>In practice this is reviewed every 24 hours, but mokopuna can, and have been, held in Police cells for several days at a time.</w:t>
      </w:r>
      <w:r w:rsidR="00BB4618">
        <w:t xml:space="preserve"> </w:t>
      </w:r>
      <w:r w:rsidR="0029577C">
        <w:t>This may occur where mokopuna are arrested on a Friday, with the next court day scheduled for Tuesday or Wednesday, or where there are no alternative facilities available.</w:t>
      </w:r>
    </w:p>
    <w:p w14:paraId="2DC2F1DC" w14:textId="724E1156" w:rsidR="00EF2505" w:rsidRPr="00173112" w:rsidRDefault="00EF2505" w:rsidP="00955179">
      <w:pPr>
        <w:pStyle w:val="ListNumber"/>
        <w:ind w:left="567" w:hanging="567"/>
        <w:jc w:val="both"/>
      </w:pPr>
      <w:r>
        <w:t>Remand in Police cells is a breach of mokopuna rights under Article 37(a) of the Children’s Convention.</w:t>
      </w:r>
      <w:r w:rsidR="0072120B">
        <w:rPr>
          <w:rStyle w:val="FootnoteReference"/>
        </w:rPr>
        <w:footnoteReference w:id="74"/>
      </w:r>
      <w:r>
        <w:t xml:space="preserve"> The option of remanding mokopuna in police cells should be </w:t>
      </w:r>
      <w:r w:rsidR="009F4E75">
        <w:t>repealed forthwith</w:t>
      </w:r>
      <w:r>
        <w:t xml:space="preserve">. </w:t>
      </w:r>
      <w:r w:rsidR="009F4E75">
        <w:t xml:space="preserve">This would place the onus firmly on Oranga Tamariki to provide mokopuna and whānau focussed places of safety for mokopuna who may need to be </w:t>
      </w:r>
      <w:r w:rsidR="00BB4618">
        <w:t>temporarily</w:t>
      </w:r>
      <w:r w:rsidR="009F4E75">
        <w:t xml:space="preserve"> detained. </w:t>
      </w:r>
      <w:r>
        <w:t>This would particularly benefit mokopuna Māori, given 70% of mokopuna held in Police cells are Māori.</w:t>
      </w:r>
      <w:r>
        <w:rPr>
          <w:rStyle w:val="FootnoteReference"/>
        </w:rPr>
        <w:footnoteReference w:id="75"/>
      </w:r>
    </w:p>
    <w:p w14:paraId="2AC5443D" w14:textId="77777777" w:rsidR="00EF2505" w:rsidRPr="00173112" w:rsidRDefault="00EF2505" w:rsidP="00EF2505">
      <w:pPr>
        <w:pStyle w:val="Pull-OutText"/>
        <w:ind w:left="0"/>
        <w:rPr>
          <w:lang w:val="en-AU"/>
        </w:rPr>
      </w:pPr>
      <w:r>
        <w:t xml:space="preserve">Strip searches </w:t>
      </w:r>
    </w:p>
    <w:p w14:paraId="6CD79E4A" w14:textId="480953E5" w:rsidR="00EF2505" w:rsidRPr="00173112" w:rsidRDefault="00EF2505" w:rsidP="00955179">
      <w:pPr>
        <w:pStyle w:val="ListNumber"/>
        <w:ind w:left="567" w:hanging="567"/>
        <w:jc w:val="both"/>
        <w:rPr>
          <w:lang w:val="en-AU"/>
        </w:rPr>
      </w:pPr>
      <w:r>
        <w:t xml:space="preserve">Between July 2020 and January 2021, Oranga Tamariki conducted 41 strip searches of mokopuna in </w:t>
      </w:r>
      <w:r w:rsidR="00FB4ADC">
        <w:t>YJ</w:t>
      </w:r>
      <w:r>
        <w:t xml:space="preserve"> residences.</w:t>
      </w:r>
      <w:r>
        <w:rPr>
          <w:rStyle w:val="FootnoteReference"/>
        </w:rPr>
        <w:footnoteReference w:id="76"/>
      </w:r>
      <w:r>
        <w:t xml:space="preserve"> The practice of strip searching mokopuna is inherently degrading and all powers to do so should cease immediately, replaced with alternative and less invasive options that respect privacy, including bodily and psychological autonomy, and personal dignity. </w:t>
      </w:r>
    </w:p>
    <w:p w14:paraId="26E07DB0" w14:textId="77777777" w:rsidR="00EF2505" w:rsidRDefault="00EF2505" w:rsidP="00EF2505">
      <w:pPr>
        <w:pStyle w:val="Heading4"/>
        <w:rPr>
          <w:lang w:val="en-AU"/>
        </w:rPr>
      </w:pPr>
      <w:r w:rsidRPr="00B938A7">
        <w:rPr>
          <w:lang w:val="en-AU"/>
        </w:rPr>
        <w:t>List of Issues Para 19</w:t>
      </w:r>
      <w:r>
        <w:rPr>
          <w:lang w:val="en-AU"/>
        </w:rPr>
        <w:t xml:space="preserve"> – Solitary confinement</w:t>
      </w:r>
    </w:p>
    <w:p w14:paraId="0D4285B5" w14:textId="77777777" w:rsidR="00EF2505" w:rsidRPr="00173112" w:rsidRDefault="00EF2505" w:rsidP="00EF2505">
      <w:pPr>
        <w:pStyle w:val="Pull-OutText"/>
        <w:rPr>
          <w:color w:val="C00000"/>
          <w:highlight w:val="yellow"/>
          <w:lang w:val="en-AU"/>
        </w:rPr>
      </w:pPr>
      <w:r>
        <w:t>“…the restraints are, like sometimes they like actually try to hurt you</w:t>
      </w:r>
      <w:r w:rsidRPr="00173112">
        <w:rPr>
          <w:color w:val="C00000"/>
        </w:rPr>
        <w:t>”</w:t>
      </w:r>
      <w:r w:rsidRPr="00173112">
        <w:rPr>
          <w:rStyle w:val="FootnoteReference"/>
          <w:color w:val="C00000"/>
        </w:rPr>
        <w:footnoteReference w:id="77"/>
      </w:r>
    </w:p>
    <w:p w14:paraId="2413C88B" w14:textId="200C125B" w:rsidR="00EF2505" w:rsidRPr="00955179" w:rsidRDefault="00EF2505" w:rsidP="00955179">
      <w:pPr>
        <w:pStyle w:val="ListNumber"/>
        <w:ind w:left="567" w:hanging="567"/>
        <w:jc w:val="both"/>
        <w:rPr>
          <w:i/>
          <w:iCs/>
          <w:lang w:val="en-AU"/>
        </w:rPr>
      </w:pPr>
      <w:r>
        <w:t xml:space="preserve">OCC monitoring consistently highlights concerns regarding the ongoing use </w:t>
      </w:r>
      <w:r w:rsidR="009F4E75">
        <w:t xml:space="preserve">of </w:t>
      </w:r>
      <w:r>
        <w:t>restraint and seclusion in detention.</w:t>
      </w:r>
      <w:r>
        <w:rPr>
          <w:rStyle w:val="FootnoteReference"/>
        </w:rPr>
        <w:footnoteReference w:id="78"/>
      </w:r>
    </w:p>
    <w:p w14:paraId="260152D1" w14:textId="77777777" w:rsidR="00EF2505" w:rsidRPr="00173112" w:rsidRDefault="00EF2505" w:rsidP="00955179">
      <w:pPr>
        <w:pStyle w:val="ListNumber"/>
        <w:ind w:left="567" w:hanging="567"/>
        <w:jc w:val="both"/>
        <w:rPr>
          <w:i/>
          <w:iCs/>
          <w:lang w:val="en-AU"/>
        </w:rPr>
      </w:pPr>
      <w:r>
        <w:t>Restraint is often used excessively, inappropriately, and has resulted in harm and injury to mokopuna, including for those who witness it.</w:t>
      </w:r>
      <w:r>
        <w:rPr>
          <w:rStyle w:val="FootnoteReference"/>
        </w:rPr>
        <w:footnoteReference w:id="79"/>
      </w:r>
      <w:r>
        <w:t xml:space="preserve"> Between January 2015 and March 2021, mokopuna were restrained 3,572 times in YJ residences operated by Oranga Tamariki and placed in seclusion 6,518 times. Mokopuna in C&amp;P residences were restrained 1,844 times and placed in seclusion 2,151 times over the same period.</w:t>
      </w:r>
      <w:r>
        <w:rPr>
          <w:rStyle w:val="FootnoteReference"/>
        </w:rPr>
        <w:footnoteReference w:id="80"/>
      </w:r>
    </w:p>
    <w:p w14:paraId="02DB638A" w14:textId="5D7CD677" w:rsidR="00EF2505" w:rsidRDefault="00EF2505" w:rsidP="00955179">
      <w:pPr>
        <w:pStyle w:val="ListNumber"/>
        <w:ind w:left="567" w:hanging="567"/>
        <w:jc w:val="both"/>
        <w:rPr>
          <w:lang w:val="en-AU"/>
        </w:rPr>
      </w:pPr>
      <w:r w:rsidRPr="00173112">
        <w:rPr>
          <w:lang w:val="en-AU"/>
        </w:rPr>
        <w:t xml:space="preserve">The </w:t>
      </w:r>
      <w:r w:rsidRPr="00955179">
        <w:rPr>
          <w:lang w:val="en-AU"/>
        </w:rPr>
        <w:t>seclusion</w:t>
      </w:r>
      <w:r w:rsidRPr="00173112">
        <w:rPr>
          <w:lang w:val="en-AU"/>
        </w:rPr>
        <w:t xml:space="preserve"> of mokopuna, in all settings, runs contrary to international human rights law which </w:t>
      </w:r>
      <w:r w:rsidRPr="00827B7E">
        <w:t>completely</w:t>
      </w:r>
      <w:r w:rsidRPr="00173112">
        <w:rPr>
          <w:lang w:val="en-AU"/>
        </w:rPr>
        <w:t xml:space="preserve"> prohibits its use with mokopuna under 18 years of age</w:t>
      </w:r>
      <w:r>
        <w:rPr>
          <w:rStyle w:val="FootnoteReference"/>
          <w:lang w:val="en-AU"/>
        </w:rPr>
        <w:footnoteReference w:id="81"/>
      </w:r>
      <w:r w:rsidRPr="00173112">
        <w:rPr>
          <w:lang w:val="en-AU"/>
        </w:rPr>
        <w:t xml:space="preserve"> and is contrary to Article 37(a) of the Children’s Convention.</w:t>
      </w:r>
      <w:r w:rsidR="009F4E75">
        <w:rPr>
          <w:lang w:val="en-AU"/>
        </w:rPr>
        <w:t xml:space="preserve"> </w:t>
      </w:r>
    </w:p>
    <w:p w14:paraId="193C80EE" w14:textId="4E471932" w:rsidR="009F4E75" w:rsidRPr="00173112" w:rsidRDefault="009F4E75" w:rsidP="00955179">
      <w:pPr>
        <w:pStyle w:val="ListNumber"/>
        <w:ind w:left="567" w:hanging="567"/>
        <w:jc w:val="both"/>
        <w:rPr>
          <w:lang w:val="en-AU"/>
        </w:rPr>
      </w:pPr>
      <w:r>
        <w:rPr>
          <w:lang w:val="en-AU"/>
        </w:rPr>
        <w:t>The OCC is advocating for the practices of restraint and seclusion to cease</w:t>
      </w:r>
      <w:r w:rsidR="00106C50">
        <w:rPr>
          <w:lang w:val="en-AU"/>
        </w:rPr>
        <w:t>, and to be replaced with therapeutic models of care for mokopuna in detention.</w:t>
      </w:r>
    </w:p>
    <w:p w14:paraId="358661C0" w14:textId="33283827" w:rsidR="00EF2505" w:rsidRPr="00B938A7" w:rsidRDefault="00EF2505" w:rsidP="00EF2505">
      <w:pPr>
        <w:pStyle w:val="Heading4"/>
        <w:rPr>
          <w:lang w:val="en-AU"/>
        </w:rPr>
      </w:pPr>
      <w:r>
        <w:rPr>
          <w:lang w:val="en-AU"/>
        </w:rPr>
        <w:t xml:space="preserve">List of Issues Para 20 – </w:t>
      </w:r>
      <w:r w:rsidR="007C7947">
        <w:rPr>
          <w:lang w:val="en-AU"/>
        </w:rPr>
        <w:t>Mokopuna</w:t>
      </w:r>
      <w:r>
        <w:rPr>
          <w:lang w:val="en-AU"/>
        </w:rPr>
        <w:t xml:space="preserve"> in places of detention</w:t>
      </w:r>
    </w:p>
    <w:p w14:paraId="7F60DA91" w14:textId="3CB12A71" w:rsidR="00EF2505" w:rsidRDefault="00EF2505" w:rsidP="00955179">
      <w:pPr>
        <w:pStyle w:val="ListNumber"/>
        <w:ind w:left="567" w:hanging="567"/>
        <w:jc w:val="both"/>
        <w:rPr>
          <w:rFonts w:ascii="Segoe UI" w:hAnsi="Segoe UI" w:cs="Segoe UI"/>
        </w:rPr>
      </w:pPr>
      <w:r w:rsidRPr="00886C69">
        <w:rPr>
          <w:rFonts w:ascii="Segoe UI" w:hAnsi="Segoe UI" w:cs="Segoe UI"/>
        </w:rPr>
        <w:t xml:space="preserve">Of significant concern across all settings </w:t>
      </w:r>
      <w:r>
        <w:rPr>
          <w:rFonts w:ascii="Segoe UI" w:hAnsi="Segoe UI" w:cs="Segoe UI"/>
        </w:rPr>
        <w:t xml:space="preserve">where mokopuna are detained </w:t>
      </w:r>
      <w:r w:rsidRPr="00886C69">
        <w:rPr>
          <w:rFonts w:ascii="Segoe UI" w:hAnsi="Segoe UI" w:cs="Segoe UI"/>
        </w:rPr>
        <w:t xml:space="preserve">is the overrepresentation of mokopuna Māori, </w:t>
      </w:r>
      <w:r w:rsidR="00106C50">
        <w:rPr>
          <w:rFonts w:ascii="Segoe UI" w:hAnsi="Segoe UI" w:cs="Segoe UI"/>
        </w:rPr>
        <w:t>and</w:t>
      </w:r>
      <w:r>
        <w:rPr>
          <w:rFonts w:ascii="Segoe UI" w:hAnsi="Segoe UI" w:cs="Segoe UI"/>
        </w:rPr>
        <w:t xml:space="preserve"> disabled and Pacific mokopuna, </w:t>
      </w:r>
      <w:r w:rsidRPr="00886C69">
        <w:rPr>
          <w:rFonts w:ascii="Segoe UI" w:hAnsi="Segoe UI" w:cs="Segoe UI"/>
        </w:rPr>
        <w:t xml:space="preserve">high use of </w:t>
      </w:r>
      <w:r>
        <w:rPr>
          <w:rFonts w:ascii="Segoe UI" w:hAnsi="Segoe UI" w:cs="Segoe UI"/>
        </w:rPr>
        <w:t xml:space="preserve">restraint and </w:t>
      </w:r>
      <w:r w:rsidRPr="00886C69">
        <w:rPr>
          <w:rFonts w:ascii="Segoe UI" w:hAnsi="Segoe UI" w:cs="Segoe UI"/>
        </w:rPr>
        <w:t xml:space="preserve">seclusion, poor complaints </w:t>
      </w:r>
      <w:r w:rsidRPr="00827B7E">
        <w:t>processes</w:t>
      </w:r>
      <w:r w:rsidRPr="00886C69">
        <w:rPr>
          <w:rFonts w:ascii="Segoe UI" w:hAnsi="Segoe UI" w:cs="Segoe UI"/>
        </w:rPr>
        <w:t>, lack of staff training</w:t>
      </w:r>
      <w:r>
        <w:rPr>
          <w:rFonts w:ascii="Segoe UI" w:hAnsi="Segoe UI" w:cs="Segoe UI"/>
        </w:rPr>
        <w:t xml:space="preserve"> and persistent staffing shortages</w:t>
      </w:r>
      <w:r w:rsidRPr="00886C69">
        <w:rPr>
          <w:rFonts w:ascii="Segoe UI" w:hAnsi="Segoe UI" w:cs="Segoe UI"/>
        </w:rPr>
        <w:t>, and the facilities themselves not being</w:t>
      </w:r>
      <w:r>
        <w:rPr>
          <w:rFonts w:ascii="Segoe UI" w:hAnsi="Segoe UI" w:cs="Segoe UI"/>
        </w:rPr>
        <w:t xml:space="preserve"> child-friendly, therapeutic or</w:t>
      </w:r>
      <w:r w:rsidRPr="00886C69">
        <w:rPr>
          <w:rFonts w:ascii="Segoe UI" w:hAnsi="Segoe UI" w:cs="Segoe UI"/>
        </w:rPr>
        <w:t xml:space="preserve"> fit-for-purpose.</w:t>
      </w:r>
    </w:p>
    <w:p w14:paraId="456B87D5" w14:textId="42CD68A2" w:rsidR="00EF2505" w:rsidRDefault="00EF2505" w:rsidP="002A762E">
      <w:pPr>
        <w:pStyle w:val="ListNumber"/>
        <w:ind w:left="567" w:hanging="567"/>
        <w:jc w:val="both"/>
        <w:rPr>
          <w:rFonts w:ascii="Segoe UI" w:hAnsi="Segoe UI" w:cs="Segoe UI"/>
        </w:rPr>
      </w:pPr>
      <w:r>
        <w:rPr>
          <w:rFonts w:ascii="Segoe UI" w:hAnsi="Segoe UI" w:cs="Segoe UI"/>
        </w:rPr>
        <w:t>A</w:t>
      </w:r>
      <w:r w:rsidRPr="008612D1">
        <w:rPr>
          <w:rFonts w:ascii="Segoe UI" w:hAnsi="Segoe UI" w:cs="Segoe UI"/>
        </w:rPr>
        <w:t xml:space="preserve">cross all </w:t>
      </w:r>
      <w:r>
        <w:rPr>
          <w:rFonts w:ascii="Segoe UI" w:hAnsi="Segoe UI" w:cs="Segoe UI"/>
        </w:rPr>
        <w:t xml:space="preserve">secure </w:t>
      </w:r>
      <w:r w:rsidRPr="008612D1">
        <w:rPr>
          <w:rFonts w:ascii="Segoe UI" w:hAnsi="Segoe UI" w:cs="Segoe UI"/>
        </w:rPr>
        <w:t>residences, there is a lack of a nationally</w:t>
      </w:r>
      <w:r w:rsidR="005A03F7">
        <w:rPr>
          <w:rFonts w:ascii="Segoe UI" w:hAnsi="Segoe UI" w:cs="Segoe UI"/>
        </w:rPr>
        <w:t>-</w:t>
      </w:r>
      <w:r w:rsidRPr="008612D1">
        <w:rPr>
          <w:rFonts w:ascii="Segoe UI" w:hAnsi="Segoe UI" w:cs="Segoe UI"/>
        </w:rPr>
        <w:t>led strategy to meet the legislative requirements under s</w:t>
      </w:r>
      <w:r>
        <w:rPr>
          <w:rFonts w:ascii="Segoe UI" w:hAnsi="Segoe UI" w:cs="Segoe UI"/>
        </w:rPr>
        <w:t xml:space="preserve"> </w:t>
      </w:r>
      <w:r w:rsidRPr="008612D1">
        <w:rPr>
          <w:rFonts w:ascii="Segoe UI" w:hAnsi="Segoe UI" w:cs="Segoe UI"/>
        </w:rPr>
        <w:t>7AA of the Oranga Tamariki Act</w:t>
      </w:r>
      <w:r>
        <w:rPr>
          <w:rFonts w:ascii="Segoe UI" w:hAnsi="Segoe UI" w:cs="Segoe UI"/>
        </w:rPr>
        <w:t xml:space="preserve"> 1989</w:t>
      </w:r>
      <w:r w:rsidRPr="008612D1">
        <w:rPr>
          <w:rFonts w:ascii="Segoe UI" w:hAnsi="Segoe UI" w:cs="Segoe UI"/>
        </w:rPr>
        <w:t xml:space="preserve">, </w:t>
      </w:r>
      <w:r w:rsidRPr="002A762E">
        <w:rPr>
          <w:rFonts w:ascii="Segoe UI" w:hAnsi="Segoe UI" w:cs="Segoe UI"/>
        </w:rPr>
        <w:t>imbed</w:t>
      </w:r>
      <w:r w:rsidRPr="008612D1">
        <w:rPr>
          <w:rFonts w:ascii="Segoe UI" w:hAnsi="Segoe UI" w:cs="Segoe UI"/>
        </w:rPr>
        <w:t xml:space="preserve"> Te Tiriti</w:t>
      </w:r>
      <w:r w:rsidR="005A03F7">
        <w:rPr>
          <w:rFonts w:ascii="Segoe UI" w:hAnsi="Segoe UI" w:cs="Segoe UI"/>
        </w:rPr>
        <w:t>,</w:t>
      </w:r>
      <w:r>
        <w:rPr>
          <w:rFonts w:ascii="Segoe UI" w:hAnsi="Segoe UI" w:cs="Segoe UI"/>
        </w:rPr>
        <w:t xml:space="preserve"> and uphold the rights of mokopuna Māori</w:t>
      </w:r>
      <w:r w:rsidRPr="008612D1">
        <w:rPr>
          <w:rFonts w:ascii="Segoe UI" w:hAnsi="Segoe UI" w:cs="Segoe UI"/>
        </w:rPr>
        <w:t>.</w:t>
      </w:r>
      <w:r w:rsidR="00BB4618">
        <w:rPr>
          <w:rFonts w:ascii="Segoe UI" w:hAnsi="Segoe UI" w:cs="Segoe UI"/>
        </w:rPr>
        <w:t xml:space="preserve"> </w:t>
      </w:r>
    </w:p>
    <w:p w14:paraId="2E9B844A" w14:textId="6CA76D13" w:rsidR="00694736" w:rsidRPr="00D82054" w:rsidRDefault="00694736" w:rsidP="00694736">
      <w:pPr>
        <w:pStyle w:val="ListNumber"/>
        <w:ind w:left="567" w:hanging="567"/>
        <w:jc w:val="both"/>
      </w:pPr>
      <w:r>
        <w:t xml:space="preserve">The OCC </w:t>
      </w:r>
      <w:r w:rsidR="009B264F">
        <w:t>has</w:t>
      </w:r>
      <w:r>
        <w:t xml:space="preserve"> observed </w:t>
      </w:r>
      <w:r w:rsidRPr="00BB4618">
        <w:rPr>
          <w:rFonts w:ascii="Segoe UI" w:hAnsi="Segoe UI" w:cs="Segoe UI"/>
        </w:rPr>
        <w:t>significant</w:t>
      </w:r>
      <w:r>
        <w:t xml:space="preserve"> variation across New Zealand in terms of engagement and partnerships with </w:t>
      </w:r>
      <w:r w:rsidRPr="00694736">
        <w:t>tangata whenua</w:t>
      </w:r>
      <w:r>
        <w:t xml:space="preserve"> and how Oranga Tamariki </w:t>
      </w:r>
      <w:r w:rsidR="009B264F">
        <w:t xml:space="preserve">is </w:t>
      </w:r>
      <w:r>
        <w:t xml:space="preserve">exercising </w:t>
      </w:r>
      <w:r w:rsidR="009B264F">
        <w:t>its</w:t>
      </w:r>
      <w:r>
        <w:t xml:space="preserve"> duties under s 7AA.</w:t>
      </w:r>
      <w:r w:rsidR="00365DBA">
        <w:rPr>
          <w:rStyle w:val="FootnoteReference"/>
        </w:rPr>
        <w:footnoteReference w:id="82"/>
      </w:r>
      <w:r>
        <w:t xml:space="preserve"> Often this has occurred based on individual relationships.</w:t>
      </w:r>
    </w:p>
    <w:p w14:paraId="47BEBD2C" w14:textId="29C9C4DB" w:rsidR="00D82054" w:rsidRPr="00D82054" w:rsidRDefault="00D82054" w:rsidP="00D82054">
      <w:pPr>
        <w:pStyle w:val="ListNumber"/>
        <w:ind w:left="567" w:hanging="567"/>
        <w:jc w:val="both"/>
        <w:rPr>
          <w:lang w:val="mi-NZ"/>
        </w:rPr>
      </w:pPr>
      <w:r>
        <w:rPr>
          <w:lang w:val="mi-NZ"/>
        </w:rPr>
        <w:t>A recent report from Aroturuki Tamariki found that o</w:t>
      </w:r>
      <w:r w:rsidRPr="00D82054">
        <w:rPr>
          <w:lang w:val="mi-NZ"/>
        </w:rPr>
        <w:t xml:space="preserve">nly 13% of </w:t>
      </w:r>
      <w:r>
        <w:rPr>
          <w:lang w:val="mi-NZ"/>
        </w:rPr>
        <w:t>mokopuna</w:t>
      </w:r>
      <w:r w:rsidRPr="00D82054">
        <w:rPr>
          <w:lang w:val="mi-NZ"/>
        </w:rPr>
        <w:t xml:space="preserve"> Māori </w:t>
      </w:r>
      <w:r>
        <w:rPr>
          <w:lang w:val="mi-NZ"/>
        </w:rPr>
        <w:t xml:space="preserve">in care </w:t>
      </w:r>
      <w:r w:rsidRPr="00D82054">
        <w:rPr>
          <w:lang w:val="mi-NZ"/>
        </w:rPr>
        <w:t>ha</w:t>
      </w:r>
      <w:r>
        <w:rPr>
          <w:lang w:val="mi-NZ"/>
        </w:rPr>
        <w:t>d</w:t>
      </w:r>
      <w:r w:rsidRPr="00D82054">
        <w:rPr>
          <w:lang w:val="mi-NZ"/>
        </w:rPr>
        <w:t xml:space="preserve"> connections to key people from their marae</w:t>
      </w:r>
      <w:r>
        <w:rPr>
          <w:lang w:val="mi-NZ"/>
        </w:rPr>
        <w:t xml:space="preserve"> (traditional meeting place)</w:t>
      </w:r>
      <w:r w:rsidRPr="00D82054">
        <w:rPr>
          <w:lang w:val="mi-NZ"/>
        </w:rPr>
        <w:t>, hap</w:t>
      </w:r>
      <w:r>
        <w:rPr>
          <w:lang w:val="mi-NZ"/>
        </w:rPr>
        <w:t>ū</w:t>
      </w:r>
      <w:r w:rsidR="007D2A4C" w:rsidRPr="005C2FC3">
        <w:rPr>
          <w:rFonts w:ascii="Segoe UI" w:hAnsi="Segoe UI" w:cs="Segoe UI"/>
          <w:lang w:val="mi-NZ"/>
        </w:rPr>
        <w:t xml:space="preserve"> </w:t>
      </w:r>
      <w:r w:rsidRPr="00D82054">
        <w:rPr>
          <w:lang w:val="mi-NZ"/>
        </w:rPr>
        <w:t xml:space="preserve">or iwi. Only 9% of plans for </w:t>
      </w:r>
      <w:r>
        <w:rPr>
          <w:lang w:val="mi-NZ"/>
        </w:rPr>
        <w:t>mokopuna</w:t>
      </w:r>
      <w:r w:rsidRPr="00D82054">
        <w:rPr>
          <w:lang w:val="mi-NZ"/>
        </w:rPr>
        <w:t xml:space="preserve"> Māori include</w:t>
      </w:r>
      <w:r>
        <w:rPr>
          <w:lang w:val="mi-NZ"/>
        </w:rPr>
        <w:t>d</w:t>
      </w:r>
      <w:r w:rsidRPr="00D82054">
        <w:rPr>
          <w:lang w:val="mi-NZ"/>
        </w:rPr>
        <w:t xml:space="preserve"> contact arrangements with those key people. Only 5% of plans consider</w:t>
      </w:r>
      <w:r>
        <w:rPr>
          <w:lang w:val="mi-NZ"/>
        </w:rPr>
        <w:t>ed</w:t>
      </w:r>
      <w:r w:rsidRPr="00D82054">
        <w:rPr>
          <w:lang w:val="mi-NZ"/>
        </w:rPr>
        <w:t xml:space="preserve"> the views of hap</w:t>
      </w:r>
      <w:r>
        <w:rPr>
          <w:lang w:val="mi-NZ"/>
        </w:rPr>
        <w:t>ū</w:t>
      </w:r>
      <w:r w:rsidRPr="00D82054">
        <w:rPr>
          <w:lang w:val="mi-NZ"/>
        </w:rPr>
        <w:t xml:space="preserve"> or iwi. </w:t>
      </w:r>
      <w:r>
        <w:rPr>
          <w:lang w:val="mi-NZ"/>
        </w:rPr>
        <w:t>T</w:t>
      </w:r>
      <w:r w:rsidRPr="00D82054">
        <w:rPr>
          <w:lang w:val="mi-NZ"/>
        </w:rPr>
        <w:t xml:space="preserve">here </w:t>
      </w:r>
      <w:r>
        <w:rPr>
          <w:lang w:val="mi-NZ"/>
        </w:rPr>
        <w:t>was</w:t>
      </w:r>
      <w:r w:rsidRPr="00D82054">
        <w:rPr>
          <w:lang w:val="mi-NZ"/>
        </w:rPr>
        <w:t xml:space="preserve"> a 10% decrease in the proportion of </w:t>
      </w:r>
      <w:r>
        <w:rPr>
          <w:lang w:val="mi-NZ"/>
        </w:rPr>
        <w:t>mokopuna</w:t>
      </w:r>
      <w:r w:rsidRPr="00D82054">
        <w:rPr>
          <w:lang w:val="mi-NZ"/>
        </w:rPr>
        <w:t xml:space="preserve"> Māori being supported to connect with their marae, hap</w:t>
      </w:r>
      <w:r>
        <w:rPr>
          <w:lang w:val="mi-NZ"/>
        </w:rPr>
        <w:t>ū</w:t>
      </w:r>
      <w:r w:rsidRPr="00D82054">
        <w:rPr>
          <w:lang w:val="mi-NZ"/>
        </w:rPr>
        <w:t xml:space="preserve"> or iwi, from 39% to 29%</w:t>
      </w:r>
      <w:r>
        <w:rPr>
          <w:lang w:val="mi-NZ"/>
        </w:rPr>
        <w:t xml:space="preserve"> between 2021-22</w:t>
      </w:r>
      <w:r w:rsidRPr="00D82054">
        <w:rPr>
          <w:lang w:val="mi-NZ"/>
        </w:rPr>
        <w:t xml:space="preserve">. The report </w:t>
      </w:r>
      <w:r>
        <w:rPr>
          <w:lang w:val="mi-NZ"/>
        </w:rPr>
        <w:t xml:space="preserve">also </w:t>
      </w:r>
      <w:r w:rsidRPr="00D82054">
        <w:rPr>
          <w:lang w:val="mi-NZ"/>
        </w:rPr>
        <w:t>note</w:t>
      </w:r>
      <w:r>
        <w:rPr>
          <w:lang w:val="mi-NZ"/>
        </w:rPr>
        <w:t>d</w:t>
      </w:r>
      <w:r w:rsidRPr="00D82054">
        <w:rPr>
          <w:lang w:val="mi-NZ"/>
        </w:rPr>
        <w:t xml:space="preserve"> a lack of connection and consultation outside the immediate wh</w:t>
      </w:r>
      <w:r>
        <w:rPr>
          <w:lang w:val="mi-NZ"/>
        </w:rPr>
        <w:t>ā</w:t>
      </w:r>
      <w:r w:rsidRPr="00D82054">
        <w:rPr>
          <w:lang w:val="mi-NZ"/>
        </w:rPr>
        <w:t>nau.</w:t>
      </w:r>
      <w:r>
        <w:rPr>
          <w:rStyle w:val="FootnoteReference"/>
          <w:lang w:val="mi-NZ"/>
        </w:rPr>
        <w:footnoteReference w:id="83"/>
      </w:r>
    </w:p>
    <w:p w14:paraId="02C0BFB3" w14:textId="6CF27258" w:rsidR="00D82054" w:rsidRDefault="00D82054" w:rsidP="00694736">
      <w:pPr>
        <w:pStyle w:val="ListNumber"/>
        <w:ind w:left="567" w:hanging="567"/>
        <w:jc w:val="both"/>
      </w:pPr>
      <w:r>
        <w:t xml:space="preserve">The objectives established under s 7AA, which </w:t>
      </w:r>
      <w:r w:rsidR="009B264F">
        <w:t xml:space="preserve">imposes obligations on the Chief Executive of Oranga Tamariki to recognise and commit to the principles of Te Tiriti and </w:t>
      </w:r>
      <w:r w:rsidR="0013490C">
        <w:t>in particular for</w:t>
      </w:r>
      <w:r w:rsidR="005A03F7">
        <w:t xml:space="preserve"> </w:t>
      </w:r>
      <w:r>
        <w:t>mokopuna M</w:t>
      </w:r>
      <w:r>
        <w:rPr>
          <w:lang w:val="mi-NZ"/>
        </w:rPr>
        <w:t>āori</w:t>
      </w:r>
      <w:r w:rsidR="0013490C">
        <w:rPr>
          <w:lang w:val="mi-NZ"/>
        </w:rPr>
        <w:t xml:space="preserve"> through whakapapa (ancestral connections</w:t>
      </w:r>
      <w:r w:rsidR="006118D7">
        <w:rPr>
          <w:lang w:val="mi-NZ"/>
        </w:rPr>
        <w:t>/ genealogy</w:t>
      </w:r>
      <w:r w:rsidR="0013490C">
        <w:rPr>
          <w:lang w:val="mi-NZ"/>
        </w:rPr>
        <w:t xml:space="preserve">) </w:t>
      </w:r>
      <w:r>
        <w:rPr>
          <w:lang w:val="mi-NZ"/>
        </w:rPr>
        <w:t xml:space="preserve"> to remain in the care of their whānau, hapū and iwi, is yet to be realised.</w:t>
      </w:r>
    </w:p>
    <w:p w14:paraId="3BA3720B" w14:textId="40B1ED10" w:rsidR="00EF2505" w:rsidRPr="00270453" w:rsidRDefault="00106C50" w:rsidP="002A762E">
      <w:pPr>
        <w:pStyle w:val="ListNumber"/>
        <w:ind w:left="567" w:hanging="567"/>
        <w:jc w:val="both"/>
        <w:rPr>
          <w:rFonts w:ascii="Segoe UI" w:hAnsi="Segoe UI" w:cs="Segoe UI"/>
        </w:rPr>
      </w:pPr>
      <w:r>
        <w:rPr>
          <w:rFonts w:ascii="Segoe UI" w:hAnsi="Segoe UI" w:cs="Segoe UI"/>
        </w:rPr>
        <w:t xml:space="preserve">For </w:t>
      </w:r>
      <w:r w:rsidR="001D4EE3">
        <w:rPr>
          <w:rFonts w:ascii="Segoe UI" w:hAnsi="Segoe UI" w:cs="Segoe UI"/>
        </w:rPr>
        <w:t>d</w:t>
      </w:r>
      <w:r w:rsidR="00EF2505" w:rsidRPr="00270453">
        <w:rPr>
          <w:rFonts w:ascii="Segoe UI" w:hAnsi="Segoe UI" w:cs="Segoe UI"/>
        </w:rPr>
        <w:t>isabled mokopuna</w:t>
      </w:r>
      <w:r w:rsidR="00226E35">
        <w:rPr>
          <w:rFonts w:ascii="Segoe UI" w:hAnsi="Segoe UI" w:cs="Segoe UI"/>
        </w:rPr>
        <w:t xml:space="preserve"> in detention,</w:t>
      </w:r>
      <w:r w:rsidR="00EF2505" w:rsidRPr="00270453">
        <w:rPr>
          <w:rFonts w:ascii="Segoe UI" w:hAnsi="Segoe UI" w:cs="Segoe UI"/>
        </w:rPr>
        <w:t xml:space="preserve"> there </w:t>
      </w:r>
      <w:r>
        <w:rPr>
          <w:rFonts w:ascii="Segoe UI" w:hAnsi="Segoe UI" w:cs="Segoe UI"/>
        </w:rPr>
        <w:t>is</w:t>
      </w:r>
      <w:r w:rsidRPr="00270453">
        <w:rPr>
          <w:rFonts w:ascii="Segoe UI" w:hAnsi="Segoe UI" w:cs="Segoe UI"/>
        </w:rPr>
        <w:t xml:space="preserve"> </w:t>
      </w:r>
      <w:r w:rsidR="00EF2505" w:rsidRPr="00270453">
        <w:rPr>
          <w:rFonts w:ascii="Segoe UI" w:hAnsi="Segoe UI" w:cs="Segoe UI"/>
        </w:rPr>
        <w:t>insufficient data on the prevalence and outcomes for this group. A 2022</w:t>
      </w:r>
      <w:r w:rsidR="00EF2505">
        <w:rPr>
          <w:rFonts w:ascii="Segoe UI" w:hAnsi="Segoe UI" w:cs="Segoe UI"/>
        </w:rPr>
        <w:t xml:space="preserve"> </w:t>
      </w:r>
      <w:r w:rsidR="00EF2505" w:rsidRPr="00270453">
        <w:rPr>
          <w:rFonts w:ascii="Segoe UI" w:hAnsi="Segoe UI" w:cs="Segoe UI"/>
        </w:rPr>
        <w:t>study found that mokopuna with Fetal Alcohol Spectrum Disorder (FASD) were 19 times more likely to be incarcerated than those without; up to two-thirds of ‘young offenders’ would have been positively screened for Attention Deficit Hyperactivity Disorder; and mokopuna incarcerated in a YJ residence were seven times more likely to have a hearing loss than a matched control population.</w:t>
      </w:r>
      <w:r w:rsidR="00EF2505" w:rsidRPr="00270453">
        <w:rPr>
          <w:rStyle w:val="FootnoteReference"/>
          <w:rFonts w:ascii="Segoe UI" w:hAnsi="Segoe UI" w:cs="Segoe UI"/>
        </w:rPr>
        <w:footnoteReference w:id="84"/>
      </w:r>
    </w:p>
    <w:p w14:paraId="22A9E9D7" w14:textId="77777777" w:rsidR="00EF2505" w:rsidRPr="00886C69" w:rsidRDefault="00EF2505" w:rsidP="002A762E">
      <w:pPr>
        <w:pStyle w:val="ListNumber"/>
        <w:ind w:left="567" w:hanging="567"/>
        <w:jc w:val="both"/>
        <w:rPr>
          <w:rFonts w:ascii="Segoe UI" w:hAnsi="Segoe UI" w:cs="Segoe UI"/>
        </w:rPr>
      </w:pPr>
      <w:r w:rsidRPr="00270453">
        <w:rPr>
          <w:rFonts w:ascii="Segoe UI" w:hAnsi="Segoe UI" w:cs="Segoe UI"/>
        </w:rPr>
        <w:t xml:space="preserve">These </w:t>
      </w:r>
      <w:bookmarkStart w:id="7" w:name="_Hlk136162699"/>
      <w:r w:rsidRPr="00270453">
        <w:rPr>
          <w:rFonts w:ascii="Segoe UI" w:hAnsi="Segoe UI" w:cs="Segoe UI"/>
        </w:rPr>
        <w:t xml:space="preserve">issues largely remain </w:t>
      </w:r>
      <w:r w:rsidRPr="00270453">
        <w:t>unchanged</w:t>
      </w:r>
      <w:r w:rsidRPr="00270453">
        <w:rPr>
          <w:rFonts w:ascii="Segoe UI" w:hAnsi="Segoe UI" w:cs="Segoe UI"/>
        </w:rPr>
        <w:t xml:space="preserve"> through years of monitoring, despite repeat</w:t>
      </w:r>
      <w:r>
        <w:rPr>
          <w:rFonts w:ascii="Segoe UI" w:hAnsi="Segoe UI" w:cs="Segoe UI"/>
        </w:rPr>
        <w:t>ed</w:t>
      </w:r>
      <w:r w:rsidRPr="00270453">
        <w:rPr>
          <w:rFonts w:ascii="Segoe UI" w:hAnsi="Segoe UI" w:cs="Segoe UI"/>
        </w:rPr>
        <w:t xml:space="preserve"> recommendations, escalation within agencies, publishing</w:t>
      </w:r>
      <w:r w:rsidRPr="00886C69">
        <w:rPr>
          <w:rFonts w:ascii="Segoe UI" w:hAnsi="Segoe UI" w:cs="Segoe UI"/>
        </w:rPr>
        <w:t xml:space="preserve"> reports</w:t>
      </w:r>
      <w:r>
        <w:rPr>
          <w:rFonts w:ascii="Segoe UI" w:hAnsi="Segoe UI" w:cs="Segoe UI"/>
        </w:rPr>
        <w:t>, thematic inquiries, and media statements</w:t>
      </w:r>
      <w:bookmarkEnd w:id="7"/>
      <w:r w:rsidRPr="00886C69">
        <w:rPr>
          <w:rFonts w:ascii="Segoe UI" w:hAnsi="Segoe UI" w:cs="Segoe UI"/>
        </w:rPr>
        <w:t>.</w:t>
      </w:r>
    </w:p>
    <w:p w14:paraId="6B7C9719" w14:textId="77777777" w:rsidR="00EF2505" w:rsidRDefault="00EF2505" w:rsidP="00EF2505">
      <w:pPr>
        <w:pStyle w:val="Pull-OutText"/>
        <w:ind w:left="0"/>
      </w:pPr>
      <w:r>
        <w:t>Care and protection (C&amp;P) residences</w:t>
      </w:r>
    </w:p>
    <w:p w14:paraId="25BD8A8D" w14:textId="77777777" w:rsidR="00EF2505" w:rsidRPr="003A23CC" w:rsidRDefault="00EF2505" w:rsidP="00EF2505">
      <w:pPr>
        <w:pStyle w:val="Pull-OutText"/>
      </w:pPr>
      <w:r>
        <w:t>“…If a young person gets put in here… the moment they walk in here their innocence just gets ripped away from them and tossed in the tra</w:t>
      </w:r>
      <w:r w:rsidRPr="00A72151">
        <w:t>sh.”</w:t>
      </w:r>
      <w:r w:rsidRPr="00A72151">
        <w:rPr>
          <w:vertAlign w:val="superscript"/>
        </w:rPr>
        <w:footnoteReference w:id="85"/>
      </w:r>
    </w:p>
    <w:p w14:paraId="5440AFB2" w14:textId="03BC7905" w:rsidR="0013490C" w:rsidRPr="005A03F7" w:rsidRDefault="0013490C" w:rsidP="002A762E">
      <w:pPr>
        <w:pStyle w:val="ListNumber"/>
        <w:ind w:left="567" w:hanging="567"/>
        <w:jc w:val="both"/>
        <w:rPr>
          <w:lang w:val="en-AU"/>
        </w:rPr>
      </w:pPr>
      <w:r>
        <w:rPr>
          <w:rFonts w:ascii="Segoe UI" w:hAnsi="Segoe UI" w:cs="Segoe UI"/>
        </w:rPr>
        <w:t xml:space="preserve">Care and protection residence models in </w:t>
      </w:r>
      <w:r w:rsidR="005A03F7">
        <w:rPr>
          <w:rFonts w:ascii="Segoe UI" w:hAnsi="Segoe UI" w:cs="Segoe UI"/>
        </w:rPr>
        <w:t>Aotearoa New Zealand</w:t>
      </w:r>
      <w:r>
        <w:rPr>
          <w:rFonts w:ascii="Segoe UI" w:hAnsi="Segoe UI" w:cs="Segoe UI"/>
        </w:rPr>
        <w:t xml:space="preserve"> are </w:t>
      </w:r>
      <w:r w:rsidR="005A03F7">
        <w:rPr>
          <w:rFonts w:ascii="Segoe UI" w:hAnsi="Segoe UI" w:cs="Segoe UI"/>
        </w:rPr>
        <w:t>outdated</w:t>
      </w:r>
      <w:r>
        <w:rPr>
          <w:rFonts w:ascii="Segoe UI" w:hAnsi="Segoe UI" w:cs="Segoe UI"/>
        </w:rPr>
        <w:t xml:space="preserve"> and more akin to prisons than a place of safety and care for mokopuna.</w:t>
      </w:r>
    </w:p>
    <w:p w14:paraId="73790F6C" w14:textId="518AC8A8" w:rsidR="00EF2505" w:rsidRPr="00EF53FB" w:rsidRDefault="00EF2505" w:rsidP="002A762E">
      <w:pPr>
        <w:pStyle w:val="ListNumber"/>
        <w:ind w:left="567" w:hanging="567"/>
        <w:jc w:val="both"/>
        <w:rPr>
          <w:lang w:val="en-AU"/>
        </w:rPr>
      </w:pPr>
      <w:r>
        <w:rPr>
          <w:rFonts w:ascii="Segoe UI" w:hAnsi="Segoe UI" w:cs="Segoe UI"/>
        </w:rPr>
        <w:t>OCC</w:t>
      </w:r>
      <w:r w:rsidRPr="00FB69E8">
        <w:rPr>
          <w:rFonts w:ascii="Segoe UI" w:hAnsi="Segoe UI" w:cs="Segoe UI"/>
        </w:rPr>
        <w:t xml:space="preserve"> monitoring of C&amp;P residences </w:t>
      </w:r>
      <w:r>
        <w:rPr>
          <w:rFonts w:ascii="Segoe UI" w:hAnsi="Segoe UI" w:cs="Segoe UI"/>
        </w:rPr>
        <w:t xml:space="preserve">in the </w:t>
      </w:r>
      <w:r>
        <w:t xml:space="preserve">last CAT reporting cycle </w:t>
      </w:r>
      <w:r w:rsidRPr="00FB69E8">
        <w:rPr>
          <w:rFonts w:ascii="Segoe UI" w:hAnsi="Segoe UI" w:cs="Segoe UI"/>
        </w:rPr>
        <w:t xml:space="preserve">has </w:t>
      </w:r>
      <w:r>
        <w:t xml:space="preserve">identified some areas of positive practice, such as education and activities, access to primary health care, the presence of independent advocates, some positive relationships with staff, </w:t>
      </w:r>
      <w:r w:rsidR="00FB4ADC">
        <w:t xml:space="preserve">good </w:t>
      </w:r>
      <w:r>
        <w:t>access to whānau (including through Facetime),</w:t>
      </w:r>
      <w:r>
        <w:rPr>
          <w:rStyle w:val="FootnoteReference"/>
        </w:rPr>
        <w:footnoteReference w:id="86"/>
      </w:r>
      <w:r>
        <w:t xml:space="preserve"> as well as opportunities for both staff and mokopuna to learn about </w:t>
      </w:r>
      <w:r w:rsidR="00FB4ADC">
        <w:t>t</w:t>
      </w:r>
      <w:r>
        <w:t xml:space="preserve">e </w:t>
      </w:r>
      <w:r w:rsidR="00FB4ADC">
        <w:t>a</w:t>
      </w:r>
      <w:r>
        <w:t xml:space="preserve">o Māori </w:t>
      </w:r>
      <w:r w:rsidR="00FB4ADC">
        <w:t xml:space="preserve">(a Māori worldview) </w:t>
      </w:r>
      <w:r>
        <w:t>through introduced roles such as the Kaiwhakaako.</w:t>
      </w:r>
      <w:r>
        <w:rPr>
          <w:rStyle w:val="FootnoteReference"/>
        </w:rPr>
        <w:footnoteReference w:id="87"/>
      </w:r>
      <w:r w:rsidR="00226E35">
        <w:t xml:space="preserve"> </w:t>
      </w:r>
      <w:r>
        <w:rPr>
          <w:rStyle w:val="FootnoteReference"/>
        </w:rPr>
        <w:footnoteReference w:id="88"/>
      </w:r>
      <w:r>
        <w:t xml:space="preserve"> Some facilities were also actively emphasising de-escalation techniques and delivering care based on te ao Māori principles.</w:t>
      </w:r>
      <w:r>
        <w:rPr>
          <w:rStyle w:val="FootnoteReference"/>
        </w:rPr>
        <w:footnoteReference w:id="89"/>
      </w:r>
    </w:p>
    <w:p w14:paraId="0341E657" w14:textId="7AC352F0" w:rsidR="00EF2505" w:rsidRPr="00011697" w:rsidRDefault="00EF2505" w:rsidP="002A762E">
      <w:pPr>
        <w:pStyle w:val="ListNumber"/>
        <w:ind w:left="567" w:hanging="567"/>
        <w:jc w:val="both"/>
        <w:rPr>
          <w:lang w:val="en-AU"/>
        </w:rPr>
      </w:pPr>
      <w:r>
        <w:rPr>
          <w:rFonts w:ascii="Segoe UI" w:hAnsi="Segoe UI" w:cs="Segoe UI"/>
        </w:rPr>
        <w:t>However, OCC continue</w:t>
      </w:r>
      <w:r w:rsidR="00106C50">
        <w:rPr>
          <w:rFonts w:ascii="Segoe UI" w:hAnsi="Segoe UI" w:cs="Segoe UI"/>
        </w:rPr>
        <w:t>s</w:t>
      </w:r>
      <w:r>
        <w:rPr>
          <w:rFonts w:ascii="Segoe UI" w:hAnsi="Segoe UI" w:cs="Segoe UI"/>
        </w:rPr>
        <w:t xml:space="preserve"> to see</w:t>
      </w:r>
      <w:r w:rsidRPr="00FB69E8">
        <w:rPr>
          <w:rFonts w:ascii="Segoe UI" w:hAnsi="Segoe UI" w:cs="Segoe UI"/>
        </w:rPr>
        <w:t xml:space="preserve"> variation in social work practice</w:t>
      </w:r>
      <w:r>
        <w:rPr>
          <w:rFonts w:ascii="Segoe UI" w:hAnsi="Segoe UI" w:cs="Segoe UI"/>
        </w:rPr>
        <w:t>;</w:t>
      </w:r>
      <w:r w:rsidRPr="00FB69E8">
        <w:rPr>
          <w:rFonts w:ascii="Segoe UI" w:hAnsi="Segoe UI" w:cs="Segoe UI"/>
        </w:rPr>
        <w:t xml:space="preserve"> </w:t>
      </w:r>
      <w:r w:rsidRPr="00011697">
        <w:t>inadequate</w:t>
      </w:r>
      <w:r w:rsidRPr="00FB69E8">
        <w:rPr>
          <w:rFonts w:ascii="Segoe UI" w:hAnsi="Segoe UI" w:cs="Segoe UI"/>
        </w:rPr>
        <w:t xml:space="preserve"> support, training and supervision of social workers and care staff</w:t>
      </w:r>
      <w:r>
        <w:rPr>
          <w:rFonts w:ascii="Segoe UI" w:hAnsi="Segoe UI" w:cs="Segoe UI"/>
        </w:rPr>
        <w:t>;</w:t>
      </w:r>
      <w:r w:rsidRPr="00FB69E8">
        <w:rPr>
          <w:rFonts w:ascii="Segoe UI" w:hAnsi="Segoe UI" w:cs="Segoe UI"/>
        </w:rPr>
        <w:t xml:space="preserve"> </w:t>
      </w:r>
      <w:r>
        <w:rPr>
          <w:rFonts w:ascii="Segoe UI" w:hAnsi="Segoe UI" w:cs="Segoe UI"/>
        </w:rPr>
        <w:t xml:space="preserve">examples of </w:t>
      </w:r>
      <w:r w:rsidRPr="00FB69E8">
        <w:rPr>
          <w:rFonts w:ascii="Segoe UI" w:hAnsi="Segoe UI" w:cs="Segoe UI"/>
        </w:rPr>
        <w:t xml:space="preserve">restrictive practices and </w:t>
      </w:r>
      <w:r w:rsidRPr="00827B7E">
        <w:t>concerning</w:t>
      </w:r>
      <w:r w:rsidRPr="00FB69E8">
        <w:rPr>
          <w:rFonts w:ascii="Segoe UI" w:hAnsi="Segoe UI" w:cs="Segoe UI"/>
        </w:rPr>
        <w:t xml:space="preserve"> staff behaviour</w:t>
      </w:r>
      <w:r>
        <w:rPr>
          <w:rFonts w:ascii="Segoe UI" w:hAnsi="Segoe UI" w:cs="Segoe UI"/>
        </w:rPr>
        <w:t>;</w:t>
      </w:r>
      <w:r>
        <w:rPr>
          <w:rStyle w:val="FootnoteReference"/>
          <w:rFonts w:ascii="Segoe UI" w:hAnsi="Segoe UI" w:cs="Segoe UI"/>
        </w:rPr>
        <w:footnoteReference w:id="90"/>
      </w:r>
      <w:r w:rsidRPr="00FB69E8">
        <w:rPr>
          <w:rFonts w:ascii="Segoe UI" w:hAnsi="Segoe UI" w:cs="Segoe UI"/>
        </w:rPr>
        <w:t xml:space="preserve"> high use of </w:t>
      </w:r>
      <w:r>
        <w:rPr>
          <w:rFonts w:ascii="Segoe UI" w:hAnsi="Segoe UI" w:cs="Segoe UI"/>
        </w:rPr>
        <w:t xml:space="preserve">restraint and </w:t>
      </w:r>
      <w:r w:rsidRPr="00FB69E8">
        <w:rPr>
          <w:rFonts w:ascii="Segoe UI" w:hAnsi="Segoe UI" w:cs="Segoe UI"/>
        </w:rPr>
        <w:t>seclusion</w:t>
      </w:r>
      <w:r>
        <w:rPr>
          <w:rFonts w:ascii="Segoe UI" w:hAnsi="Segoe UI" w:cs="Segoe UI"/>
        </w:rPr>
        <w:t>;</w:t>
      </w:r>
      <w:r w:rsidRPr="00FB69E8">
        <w:rPr>
          <w:rFonts w:ascii="Segoe UI" w:hAnsi="Segoe UI" w:cs="Segoe UI"/>
        </w:rPr>
        <w:t xml:space="preserve"> extended length of stay</w:t>
      </w:r>
      <w:r>
        <w:rPr>
          <w:rFonts w:ascii="Segoe UI" w:hAnsi="Segoe UI" w:cs="Segoe UI"/>
        </w:rPr>
        <w:t>;</w:t>
      </w:r>
      <w:r w:rsidRPr="00FB69E8">
        <w:rPr>
          <w:rFonts w:ascii="Segoe UI" w:hAnsi="Segoe UI" w:cs="Segoe UI"/>
        </w:rPr>
        <w:t xml:space="preserve"> poor transition planning</w:t>
      </w:r>
      <w:r>
        <w:rPr>
          <w:rFonts w:ascii="Segoe UI" w:hAnsi="Segoe UI" w:cs="Segoe UI"/>
        </w:rPr>
        <w:t>;</w:t>
      </w:r>
      <w:r w:rsidRPr="00FB69E8">
        <w:rPr>
          <w:rFonts w:ascii="Segoe UI" w:hAnsi="Segoe UI" w:cs="Segoe UI"/>
        </w:rPr>
        <w:t xml:space="preserve"> a flawed and biased grievance (complaints) system</w:t>
      </w:r>
      <w:r>
        <w:rPr>
          <w:rFonts w:ascii="Segoe UI" w:hAnsi="Segoe UI" w:cs="Segoe UI"/>
        </w:rPr>
        <w:t xml:space="preserve"> (</w:t>
      </w:r>
      <w:r w:rsidRPr="00203DE5">
        <w:rPr>
          <w:rFonts w:ascii="Segoe UI" w:hAnsi="Segoe UI" w:cs="Segoe UI"/>
        </w:rPr>
        <w:t xml:space="preserve">see para </w:t>
      </w:r>
      <w:r w:rsidR="00766FAF">
        <w:rPr>
          <w:rFonts w:ascii="Segoe UI" w:hAnsi="Segoe UI" w:cs="Segoe UI"/>
        </w:rPr>
        <w:t>152-157</w:t>
      </w:r>
      <w:r>
        <w:rPr>
          <w:rFonts w:ascii="Segoe UI" w:hAnsi="Segoe UI" w:cs="Segoe UI"/>
        </w:rPr>
        <w:t>);</w:t>
      </w:r>
      <w:r w:rsidRPr="00FB69E8">
        <w:rPr>
          <w:rFonts w:ascii="Segoe UI" w:hAnsi="Segoe UI" w:cs="Segoe UI"/>
        </w:rPr>
        <w:t xml:space="preserve"> </w:t>
      </w:r>
      <w:r>
        <w:rPr>
          <w:rFonts w:ascii="Segoe UI" w:hAnsi="Segoe UI" w:cs="Segoe UI"/>
        </w:rPr>
        <w:t>lack of child-friendly processes; lack of cultural support in some residences; and lack of support for mokopuna with significant mental health and high and complex needs</w:t>
      </w:r>
      <w:r w:rsidRPr="00FB69E8">
        <w:rPr>
          <w:rFonts w:ascii="Segoe UI" w:hAnsi="Segoe UI" w:cs="Segoe UI"/>
        </w:rPr>
        <w:t>.</w:t>
      </w:r>
      <w:r w:rsidRPr="00FB69E8">
        <w:rPr>
          <w:rStyle w:val="FootnoteReference"/>
          <w:rFonts w:ascii="Segoe UI" w:hAnsi="Segoe UI" w:cs="Segoe UI"/>
        </w:rPr>
        <w:footnoteReference w:id="91"/>
      </w:r>
    </w:p>
    <w:p w14:paraId="148D5B9C" w14:textId="3121883E" w:rsidR="00EF2505" w:rsidRPr="00FB5267" w:rsidRDefault="00EF2505" w:rsidP="002A762E">
      <w:pPr>
        <w:pStyle w:val="ListNumber"/>
        <w:ind w:left="567" w:hanging="567"/>
        <w:jc w:val="both"/>
        <w:rPr>
          <w:lang w:val="en-AU"/>
        </w:rPr>
      </w:pPr>
      <w:r>
        <w:rPr>
          <w:rFonts w:ascii="Segoe UI" w:hAnsi="Segoe UI" w:cs="Segoe UI"/>
        </w:rPr>
        <w:t xml:space="preserve">OCC </w:t>
      </w:r>
      <w:r w:rsidR="00106C50">
        <w:rPr>
          <w:rFonts w:ascii="Segoe UI" w:hAnsi="Segoe UI" w:cs="Segoe UI"/>
        </w:rPr>
        <w:t>has</w:t>
      </w:r>
      <w:r>
        <w:rPr>
          <w:rFonts w:ascii="Segoe UI" w:hAnsi="Segoe UI" w:cs="Segoe UI"/>
        </w:rPr>
        <w:t xml:space="preserve"> observed a lack of overarching strategic focus or leadership, or therapeutic model of care in these facilities to provide tailored care solutions to mokopuna.</w:t>
      </w:r>
    </w:p>
    <w:p w14:paraId="3645BAFF" w14:textId="6E74846B" w:rsidR="00EF2505" w:rsidRPr="00886C69" w:rsidRDefault="00EF2505" w:rsidP="002A762E">
      <w:pPr>
        <w:pStyle w:val="ListNumber"/>
        <w:ind w:left="567" w:hanging="567"/>
        <w:jc w:val="both"/>
        <w:rPr>
          <w:rFonts w:ascii="Segoe UI" w:hAnsi="Segoe UI" w:cs="Segoe UI"/>
        </w:rPr>
      </w:pPr>
      <w:r>
        <w:rPr>
          <w:rFonts w:ascii="Segoe UI" w:hAnsi="Segoe UI" w:cs="Segoe UI"/>
        </w:rPr>
        <w:t>OCC</w:t>
      </w:r>
      <w:r w:rsidRPr="00FB69E8">
        <w:rPr>
          <w:rFonts w:ascii="Segoe UI" w:hAnsi="Segoe UI" w:cs="Segoe UI"/>
        </w:rPr>
        <w:t xml:space="preserve"> </w:t>
      </w:r>
      <w:r w:rsidR="00106C50" w:rsidRPr="00FB69E8">
        <w:rPr>
          <w:rFonts w:ascii="Segoe UI" w:hAnsi="Segoe UI" w:cs="Segoe UI"/>
        </w:rPr>
        <w:t>ha</w:t>
      </w:r>
      <w:r w:rsidR="00106C50">
        <w:rPr>
          <w:rFonts w:ascii="Segoe UI" w:hAnsi="Segoe UI" w:cs="Segoe UI"/>
        </w:rPr>
        <w:t>s</w:t>
      </w:r>
      <w:r w:rsidR="00106C50" w:rsidRPr="00FB69E8">
        <w:rPr>
          <w:rFonts w:ascii="Segoe UI" w:hAnsi="Segoe UI" w:cs="Segoe UI"/>
        </w:rPr>
        <w:t xml:space="preserve"> </w:t>
      </w:r>
      <w:r w:rsidRPr="00FB69E8">
        <w:rPr>
          <w:rFonts w:ascii="Segoe UI" w:hAnsi="Segoe UI" w:cs="Segoe UI"/>
        </w:rPr>
        <w:t>consistently highlighted concerns for mokopuna safety</w:t>
      </w:r>
      <w:r>
        <w:rPr>
          <w:rFonts w:ascii="Segoe UI" w:hAnsi="Segoe UI" w:cs="Segoe UI"/>
        </w:rPr>
        <w:t xml:space="preserve"> and abuse</w:t>
      </w:r>
      <w:r w:rsidRPr="00FB69E8">
        <w:rPr>
          <w:rFonts w:ascii="Segoe UI" w:hAnsi="Segoe UI" w:cs="Segoe UI"/>
        </w:rPr>
        <w:t>, including from staff, other mokopuna, and themselves</w:t>
      </w:r>
      <w:r>
        <w:rPr>
          <w:rFonts w:ascii="Segoe UI" w:hAnsi="Segoe UI" w:cs="Segoe UI"/>
        </w:rPr>
        <w:t xml:space="preserve"> as well as </w:t>
      </w:r>
      <w:r w:rsidRPr="00886C69">
        <w:rPr>
          <w:rFonts w:ascii="Segoe UI" w:hAnsi="Segoe UI" w:cs="Segoe UI"/>
          <w:lang w:val="en-GB"/>
        </w:rPr>
        <w:t xml:space="preserve">repeatedly </w:t>
      </w:r>
      <w:r>
        <w:rPr>
          <w:rFonts w:ascii="Segoe UI" w:hAnsi="Segoe UI" w:cs="Segoe UI"/>
          <w:lang w:val="en-GB"/>
        </w:rPr>
        <w:t>raising</w:t>
      </w:r>
      <w:r w:rsidRPr="00886C69">
        <w:rPr>
          <w:rFonts w:ascii="Segoe UI" w:hAnsi="Segoe UI" w:cs="Segoe UI"/>
          <w:lang w:val="en-GB"/>
        </w:rPr>
        <w:t xml:space="preserve"> serious </w:t>
      </w:r>
      <w:r w:rsidRPr="00827B7E">
        <w:rPr>
          <w:rFonts w:ascii="Segoe UI" w:hAnsi="Segoe UI" w:cs="Segoe UI"/>
        </w:rPr>
        <w:t>concerns</w:t>
      </w:r>
      <w:r w:rsidRPr="00886C69">
        <w:rPr>
          <w:rFonts w:ascii="Segoe UI" w:hAnsi="Segoe UI" w:cs="Segoe UI"/>
          <w:lang w:val="en-GB"/>
        </w:rPr>
        <w:t xml:space="preserve"> regarding the C&amp;P system to the UN </w:t>
      </w:r>
      <w:r w:rsidRPr="00886C69">
        <w:rPr>
          <w:rFonts w:ascii="Segoe UI" w:hAnsi="Segoe UI" w:cs="Segoe UI"/>
        </w:rPr>
        <w:t>Committee</w:t>
      </w:r>
      <w:r w:rsidRPr="00886C69">
        <w:rPr>
          <w:rFonts w:ascii="Segoe UI" w:hAnsi="Segoe UI" w:cs="Segoe UI"/>
          <w:lang w:val="en-GB"/>
        </w:rPr>
        <w:t xml:space="preserve"> on the Rights of the Child through previous UN reporting cycles.</w:t>
      </w:r>
      <w:r w:rsidRPr="00FB69E8">
        <w:rPr>
          <w:rStyle w:val="FootnoteReference"/>
          <w:rFonts w:ascii="Segoe UI" w:hAnsi="Segoe UI" w:cs="Segoe UI"/>
          <w:lang w:val="en-GB"/>
        </w:rPr>
        <w:footnoteReference w:id="92"/>
      </w:r>
    </w:p>
    <w:p w14:paraId="6AC45A87" w14:textId="707B7806" w:rsidR="00EF2505" w:rsidRPr="00C509A9" w:rsidRDefault="00EF2505" w:rsidP="002A762E">
      <w:pPr>
        <w:pStyle w:val="ListNumber"/>
        <w:ind w:left="567" w:hanging="567"/>
        <w:jc w:val="both"/>
        <w:rPr>
          <w:i/>
          <w:iCs/>
          <w:lang w:val="en-US"/>
        </w:rPr>
      </w:pPr>
      <w:r w:rsidRPr="00FB69E8">
        <w:rPr>
          <w:rFonts w:ascii="Segoe UI" w:hAnsi="Segoe UI" w:cs="Segoe UI"/>
          <w:lang w:val="en-GB"/>
        </w:rPr>
        <w:t xml:space="preserve">Since </w:t>
      </w:r>
      <w:r w:rsidR="005869CF">
        <w:rPr>
          <w:rFonts w:ascii="Segoe UI" w:hAnsi="Segoe UI" w:cs="Segoe UI"/>
          <w:lang w:val="en-GB"/>
        </w:rPr>
        <w:t>as early as 1994,</w:t>
      </w:r>
      <w:r w:rsidR="0029577C">
        <w:rPr>
          <w:rStyle w:val="FootnoteReference"/>
          <w:rFonts w:ascii="Segoe UI" w:hAnsi="Segoe UI" w:cs="Segoe UI"/>
          <w:lang w:val="en-GB"/>
        </w:rPr>
        <w:footnoteReference w:id="93"/>
      </w:r>
      <w:r w:rsidR="0029577C">
        <w:rPr>
          <w:rFonts w:ascii="Segoe UI" w:hAnsi="Segoe UI" w:cs="Segoe UI"/>
          <w:lang w:val="en-GB"/>
        </w:rPr>
        <w:t xml:space="preserve"> </w:t>
      </w:r>
      <w:r w:rsidR="005869CF">
        <w:rPr>
          <w:rFonts w:ascii="Segoe UI" w:hAnsi="Segoe UI" w:cs="Segoe UI"/>
          <w:lang w:val="en-GB"/>
        </w:rPr>
        <w:t>and to the present</w:t>
      </w:r>
      <w:r w:rsidRPr="00FB69E8">
        <w:rPr>
          <w:rFonts w:ascii="Segoe UI" w:hAnsi="Segoe UI" w:cs="Segoe UI"/>
          <w:lang w:val="en-GB"/>
        </w:rPr>
        <w:t xml:space="preserve">, </w:t>
      </w:r>
      <w:r w:rsidR="00A21F61">
        <w:rPr>
          <w:rFonts w:ascii="Segoe UI" w:hAnsi="Segoe UI" w:cs="Segoe UI"/>
          <w:lang w:val="en-GB"/>
        </w:rPr>
        <w:t xml:space="preserve">the </w:t>
      </w:r>
      <w:r>
        <w:rPr>
          <w:rFonts w:ascii="Segoe UI" w:hAnsi="Segoe UI" w:cs="Segoe UI"/>
          <w:lang w:val="en-GB"/>
        </w:rPr>
        <w:t>OCC</w:t>
      </w:r>
      <w:r w:rsidRPr="00FB69E8">
        <w:rPr>
          <w:rFonts w:ascii="Segoe UI" w:hAnsi="Segoe UI" w:cs="Segoe UI"/>
          <w:lang w:val="en-GB"/>
        </w:rPr>
        <w:t xml:space="preserve"> </w:t>
      </w:r>
      <w:r>
        <w:rPr>
          <w:rFonts w:ascii="Segoe UI" w:hAnsi="Segoe UI" w:cs="Segoe UI"/>
          <w:lang w:val="en-GB"/>
        </w:rPr>
        <w:t>has</w:t>
      </w:r>
      <w:r w:rsidRPr="00FB69E8">
        <w:rPr>
          <w:rFonts w:ascii="Segoe UI" w:hAnsi="Segoe UI" w:cs="Segoe UI"/>
          <w:lang w:val="en-GB"/>
        </w:rPr>
        <w:t xml:space="preserve"> advocated for</w:t>
      </w:r>
      <w:r>
        <w:rPr>
          <w:rFonts w:ascii="Segoe UI" w:hAnsi="Segoe UI" w:cs="Segoe UI"/>
          <w:lang w:val="en-GB"/>
        </w:rPr>
        <w:t xml:space="preserve"> </w:t>
      </w:r>
      <w:r w:rsidRPr="00FB69E8">
        <w:rPr>
          <w:rFonts w:ascii="Segoe UI" w:hAnsi="Segoe UI" w:cs="Segoe UI"/>
          <w:lang w:val="en-GB"/>
        </w:rPr>
        <w:t xml:space="preserve">the Government to </w:t>
      </w:r>
      <w:r>
        <w:rPr>
          <w:rFonts w:ascii="Segoe UI" w:hAnsi="Segoe UI" w:cs="Segoe UI"/>
          <w:lang w:val="en-GB"/>
        </w:rPr>
        <w:t>phase closure of</w:t>
      </w:r>
      <w:r w:rsidRPr="00FB69E8">
        <w:rPr>
          <w:rFonts w:ascii="Segoe UI" w:hAnsi="Segoe UI" w:cs="Segoe UI"/>
          <w:lang w:val="en-GB"/>
        </w:rPr>
        <w:t xml:space="preserve"> large institutional C&amp;P residences</w:t>
      </w:r>
      <w:r>
        <w:rPr>
          <w:rFonts w:ascii="Segoe UI" w:hAnsi="Segoe UI" w:cs="Segoe UI"/>
          <w:lang w:val="en-GB"/>
        </w:rPr>
        <w:t xml:space="preserve"> in favour of small, bespoke, well</w:t>
      </w:r>
      <w:r w:rsidR="003A16C2">
        <w:rPr>
          <w:rFonts w:ascii="Segoe UI" w:hAnsi="Segoe UI" w:cs="Segoe UI"/>
          <w:lang w:val="en-GB"/>
        </w:rPr>
        <w:t>-</w:t>
      </w:r>
      <w:r>
        <w:rPr>
          <w:rFonts w:ascii="Segoe UI" w:hAnsi="Segoe UI" w:cs="Segoe UI"/>
          <w:lang w:val="en-GB"/>
        </w:rPr>
        <w:t>resourced, community</w:t>
      </w:r>
      <w:r w:rsidR="003A16C2">
        <w:rPr>
          <w:rFonts w:ascii="Segoe UI" w:hAnsi="Segoe UI" w:cs="Segoe UI"/>
          <w:lang w:val="en-GB"/>
        </w:rPr>
        <w:t xml:space="preserve"> </w:t>
      </w:r>
      <w:r>
        <w:rPr>
          <w:rFonts w:ascii="Segoe UI" w:hAnsi="Segoe UI" w:cs="Segoe UI"/>
          <w:lang w:val="en-GB"/>
        </w:rPr>
        <w:t>homes that can provide the level of therapeutic care mokopuna need.</w:t>
      </w:r>
      <w:r w:rsidRPr="00DB65F1">
        <w:rPr>
          <w:rStyle w:val="FootnoteReference"/>
        </w:rPr>
        <w:footnoteReference w:id="94"/>
      </w:r>
      <w:r w:rsidRPr="00DB65F1">
        <w:rPr>
          <w:rStyle w:val="FootnoteReference"/>
        </w:rPr>
        <w:t xml:space="preserve"> </w:t>
      </w:r>
      <w:r w:rsidRPr="00DB65F1">
        <w:rPr>
          <w:rStyle w:val="FootnoteReference"/>
        </w:rPr>
        <w:footnoteReference w:id="95"/>
      </w:r>
      <w:r w:rsidRPr="00FB69E8">
        <w:rPr>
          <w:rFonts w:ascii="Segoe UI" w:hAnsi="Segoe UI" w:cs="Segoe UI"/>
        </w:rPr>
        <w:t xml:space="preserve"> </w:t>
      </w:r>
      <w:r>
        <w:rPr>
          <w:rFonts w:ascii="Segoe UI" w:hAnsi="Segoe UI" w:cs="Segoe UI"/>
        </w:rPr>
        <w:t>This view was similarly shared by the Committee on the Rights of the Child in their Concluding Observations</w:t>
      </w:r>
      <w:r w:rsidR="00226E35">
        <w:rPr>
          <w:rFonts w:ascii="Segoe UI" w:hAnsi="Segoe UI" w:cs="Segoe UI"/>
        </w:rPr>
        <w:t xml:space="preserve"> (2023)</w:t>
      </w:r>
      <w:r>
        <w:rPr>
          <w:rFonts w:ascii="Segoe UI" w:hAnsi="Segoe UI" w:cs="Segoe UI"/>
        </w:rPr>
        <w:t xml:space="preserve">, </w:t>
      </w:r>
      <w:r w:rsidR="00656A3C">
        <w:rPr>
          <w:rFonts w:ascii="Segoe UI" w:hAnsi="Segoe UI" w:cs="Segoe UI"/>
        </w:rPr>
        <w:t xml:space="preserve">which </w:t>
      </w:r>
      <w:r>
        <w:rPr>
          <w:rFonts w:ascii="Segoe UI" w:hAnsi="Segoe UI" w:cs="Segoe UI"/>
        </w:rPr>
        <w:t xml:space="preserve">recommending investing in the </w:t>
      </w:r>
      <w:r w:rsidRPr="00DA30E3">
        <w:rPr>
          <w:rFonts w:ascii="Segoe UI" w:hAnsi="Segoe UI" w:cs="Segoe UI"/>
        </w:rPr>
        <w:t>development of community-based residences</w:t>
      </w:r>
      <w:r>
        <w:rPr>
          <w:rFonts w:ascii="Segoe UI" w:hAnsi="Segoe UI" w:cs="Segoe UI"/>
        </w:rPr>
        <w:t>.</w:t>
      </w:r>
      <w:r>
        <w:rPr>
          <w:rStyle w:val="FootnoteReference"/>
          <w:rFonts w:ascii="Segoe UI" w:hAnsi="Segoe UI" w:cs="Segoe UI"/>
        </w:rPr>
        <w:footnoteReference w:id="96"/>
      </w:r>
    </w:p>
    <w:p w14:paraId="09D1ED40" w14:textId="7C32927B" w:rsidR="00EF2505" w:rsidRPr="00FF1BB5" w:rsidRDefault="00EF2505" w:rsidP="002A762E">
      <w:pPr>
        <w:pStyle w:val="ListNumber"/>
        <w:ind w:left="567" w:hanging="567"/>
        <w:jc w:val="both"/>
        <w:rPr>
          <w:i/>
          <w:iCs/>
          <w:lang w:val="en-US"/>
        </w:rPr>
      </w:pPr>
      <w:r>
        <w:t xml:space="preserve">In 2015 the Ministry of Social </w:t>
      </w:r>
      <w:r w:rsidRPr="002A762E">
        <w:rPr>
          <w:rFonts w:ascii="Segoe UI" w:hAnsi="Segoe UI" w:cs="Segoe UI"/>
        </w:rPr>
        <w:t>Development’s</w:t>
      </w:r>
      <w:r>
        <w:t xml:space="preserve"> Expert Panel Report</w:t>
      </w:r>
      <w:r>
        <w:rPr>
          <w:rStyle w:val="FootnoteReference"/>
        </w:rPr>
        <w:footnoteReference w:id="97"/>
      </w:r>
      <w:r>
        <w:t xml:space="preserve"> stated </w:t>
      </w:r>
      <w:r w:rsidRPr="00D05FB1">
        <w:rPr>
          <w:i/>
          <w:iCs/>
        </w:rPr>
        <w:t>“evidence and experience show that the propensity of large-scale institutions to cause harm to vulnerable children generally outweighs the security and safety benefits.”</w:t>
      </w:r>
      <w:r>
        <w:rPr>
          <w:i/>
          <w:iCs/>
        </w:rPr>
        <w:t xml:space="preserve"> </w:t>
      </w:r>
      <w:r>
        <w:t xml:space="preserve">Oranga Tamariki </w:t>
      </w:r>
      <w:r w:rsidR="005869CF">
        <w:t xml:space="preserve">has </w:t>
      </w:r>
      <w:r>
        <w:t>committed to replacing residences with smaller community-based options, but this is yet to be achieved.</w:t>
      </w:r>
      <w:r>
        <w:rPr>
          <w:rStyle w:val="FootnoteReference"/>
        </w:rPr>
        <w:footnoteReference w:id="98"/>
      </w:r>
    </w:p>
    <w:p w14:paraId="44D33636" w14:textId="24EE8031" w:rsidR="00EF2505" w:rsidRPr="00FF1BB5" w:rsidRDefault="00656A3C" w:rsidP="002A762E">
      <w:pPr>
        <w:pStyle w:val="ListNumber"/>
        <w:ind w:left="567" w:hanging="567"/>
        <w:jc w:val="both"/>
        <w:rPr>
          <w:i/>
          <w:iCs/>
          <w:lang w:val="en-US"/>
        </w:rPr>
      </w:pPr>
      <w:r>
        <w:t xml:space="preserve">The </w:t>
      </w:r>
      <w:r w:rsidR="00EF2505">
        <w:t xml:space="preserve">OCC </w:t>
      </w:r>
      <w:r w:rsidR="005869CF">
        <w:t>has</w:t>
      </w:r>
      <w:r>
        <w:t xml:space="preserve"> </w:t>
      </w:r>
      <w:r w:rsidR="00EF2505">
        <w:t>observed frequent long-term stays</w:t>
      </w:r>
      <w:r w:rsidR="00226E35">
        <w:t xml:space="preserve"> in C&amp;P residences</w:t>
      </w:r>
      <w:r w:rsidR="00EF2505">
        <w:t xml:space="preserve"> for mokopuna with complex needs, which was regularly raised by staff, mokopuna, and advocates alike. The main reason given for lengthy stays included difficulties finding placements in the community and being able to wrap the right community-based supports and resources around mokopuna and their whānau.</w:t>
      </w:r>
      <w:r w:rsidR="005869CF">
        <w:t xml:space="preserve"> This </w:t>
      </w:r>
      <w:r w:rsidR="003A16C2">
        <w:t>is</w:t>
      </w:r>
      <w:r w:rsidR="005869CF">
        <w:t xml:space="preserve"> in breach of the rights of mokopuna under the </w:t>
      </w:r>
      <w:r w:rsidR="003A16C2">
        <w:t xml:space="preserve">Children’s </w:t>
      </w:r>
      <w:r w:rsidR="005869CF">
        <w:t>Convention, Te Tiriti</w:t>
      </w:r>
      <w:r w:rsidR="003A16C2">
        <w:t>,</w:t>
      </w:r>
      <w:r w:rsidR="005869CF">
        <w:t xml:space="preserve"> and the principles under the Oranga Tamariki Act 1989</w:t>
      </w:r>
      <w:r w:rsidR="003A16C2">
        <w:t>.</w:t>
      </w:r>
    </w:p>
    <w:p w14:paraId="6561B3B2" w14:textId="62E5C474" w:rsidR="00EF2505" w:rsidRPr="002A762E" w:rsidRDefault="00EF2505" w:rsidP="002A762E">
      <w:pPr>
        <w:pStyle w:val="ListNumber"/>
        <w:ind w:left="567" w:hanging="567"/>
        <w:jc w:val="both"/>
        <w:rPr>
          <w:i/>
          <w:iCs/>
          <w:lang w:val="en-US"/>
        </w:rPr>
      </w:pPr>
      <w:r>
        <w:t>Some mokopuna were inappropriately placed in the first instance, and were stuck in a facility unable to thoroughly assess and address their needs or provide adequate care. Some mokopuna were not informed that they were going into residence, and in some cases misled about where they were going. For example, one mokopuna told OCC staff that when they asked where they were being taken, they were told they were going on a camp. This type of practice is not appropriate and mokopuna have the right to be fully informed about their care.</w:t>
      </w:r>
      <w:r w:rsidR="00A21F61">
        <w:rPr>
          <w:rStyle w:val="FootnoteReference"/>
        </w:rPr>
        <w:footnoteReference w:id="99"/>
      </w:r>
    </w:p>
    <w:p w14:paraId="21F3D4BB" w14:textId="2B46BD63" w:rsidR="00EF2505" w:rsidRPr="002A762E" w:rsidRDefault="00EF2505" w:rsidP="002A762E">
      <w:pPr>
        <w:pStyle w:val="ListNumber"/>
        <w:ind w:left="567" w:hanging="567"/>
        <w:jc w:val="both"/>
        <w:rPr>
          <w:rFonts w:ascii="Segoe UI" w:hAnsi="Segoe UI" w:cs="Segoe UI"/>
        </w:rPr>
      </w:pPr>
      <w:r w:rsidRPr="00FB69E8">
        <w:rPr>
          <w:rFonts w:ascii="Segoe UI" w:hAnsi="Segoe UI" w:cs="Segoe UI"/>
        </w:rPr>
        <w:t xml:space="preserve">In </w:t>
      </w:r>
      <w:r>
        <w:rPr>
          <w:rFonts w:ascii="Segoe UI" w:hAnsi="Segoe UI" w:cs="Segoe UI"/>
        </w:rPr>
        <w:t>OCC’s</w:t>
      </w:r>
      <w:r w:rsidRPr="00FB69E8">
        <w:rPr>
          <w:rFonts w:ascii="Segoe UI" w:hAnsi="Segoe UI" w:cs="Segoe UI"/>
        </w:rPr>
        <w:t xml:space="preserve"> 2019 State of Care report, </w:t>
      </w:r>
      <w:hyperlink r:id="rId25" w:history="1">
        <w:r w:rsidRPr="00FB69E8">
          <w:rPr>
            <w:rStyle w:val="Hyperlink"/>
            <w:i/>
            <w:iCs/>
          </w:rPr>
          <w:t>A Hard Place to Be Happy</w:t>
        </w:r>
      </w:hyperlink>
      <w:r w:rsidRPr="00FB69E8">
        <w:rPr>
          <w:rStyle w:val="Hyperlink"/>
          <w:i/>
          <w:iCs/>
        </w:rPr>
        <w:t xml:space="preserve"> (2019)</w:t>
      </w:r>
      <w:r w:rsidRPr="00656A3C">
        <w:rPr>
          <w:rFonts w:ascii="Segoe UI" w:hAnsi="Segoe UI" w:cs="Segoe UI"/>
        </w:rPr>
        <w:t>, m</w:t>
      </w:r>
      <w:r w:rsidRPr="006738AC">
        <w:rPr>
          <w:rFonts w:ascii="Segoe UI" w:hAnsi="Segoe UI" w:cs="Segoe UI"/>
        </w:rPr>
        <w:t>ok</w:t>
      </w:r>
      <w:r w:rsidRPr="00FB69E8">
        <w:rPr>
          <w:rFonts w:ascii="Segoe UI" w:hAnsi="Segoe UI" w:cs="Segoe UI"/>
        </w:rPr>
        <w:t xml:space="preserve">opuna </w:t>
      </w:r>
      <w:r>
        <w:rPr>
          <w:rFonts w:ascii="Segoe UI" w:hAnsi="Segoe UI" w:cs="Segoe UI"/>
        </w:rPr>
        <w:t>spoke</w:t>
      </w:r>
      <w:r w:rsidRPr="00FB69E8">
        <w:rPr>
          <w:rFonts w:ascii="Segoe UI" w:hAnsi="Segoe UI" w:cs="Segoe UI"/>
        </w:rPr>
        <w:t xml:space="preserve"> about the challenges of living in a secure residence, asking not to be locked up or taken long distances </w:t>
      </w:r>
      <w:r w:rsidRPr="002A762E">
        <w:t>away</w:t>
      </w:r>
      <w:r>
        <w:rPr>
          <w:rFonts w:ascii="Segoe UI" w:hAnsi="Segoe UI" w:cs="Segoe UI"/>
        </w:rPr>
        <w:t xml:space="preserve"> </w:t>
      </w:r>
      <w:r w:rsidRPr="00FB69E8">
        <w:rPr>
          <w:rFonts w:ascii="Segoe UI" w:hAnsi="Segoe UI" w:cs="Segoe UI"/>
        </w:rPr>
        <w:t xml:space="preserve">from their whānau and not to be excluded from information and decisions about their lives. </w:t>
      </w:r>
      <w:r>
        <w:rPr>
          <w:rFonts w:ascii="Segoe UI" w:hAnsi="Segoe UI" w:cs="Segoe UI"/>
        </w:rPr>
        <w:t>Mokopuna also spoke</w:t>
      </w:r>
      <w:r w:rsidRPr="00FB69E8">
        <w:rPr>
          <w:rFonts w:ascii="Segoe UI" w:hAnsi="Segoe UI" w:cs="Segoe UI"/>
        </w:rPr>
        <w:t xml:space="preserve"> about the importance of living in places that are like normal homes where </w:t>
      </w:r>
      <w:r>
        <w:rPr>
          <w:rFonts w:ascii="Segoe UI" w:hAnsi="Segoe UI" w:cs="Segoe UI"/>
        </w:rPr>
        <w:t>they</w:t>
      </w:r>
      <w:r w:rsidRPr="00FB69E8">
        <w:rPr>
          <w:rFonts w:ascii="Segoe UI" w:hAnsi="Segoe UI" w:cs="Segoe UI"/>
        </w:rPr>
        <w:t xml:space="preserve"> can do things for themselves.</w:t>
      </w:r>
    </w:p>
    <w:p w14:paraId="2234CE0C" w14:textId="1085361E" w:rsidR="00EF2505" w:rsidRPr="00EF53FB" w:rsidRDefault="00EF2505" w:rsidP="002A762E">
      <w:pPr>
        <w:pStyle w:val="ListNumber"/>
        <w:ind w:left="567" w:hanging="567"/>
        <w:jc w:val="both"/>
        <w:rPr>
          <w:rFonts w:ascii="Segoe UI" w:hAnsi="Segoe UI" w:cs="Segoe UI"/>
        </w:rPr>
      </w:pPr>
      <w:r>
        <w:t xml:space="preserve">The majority of C&amp;P residences have been described as unwelcoming, dated, cold, dark, and dreary. </w:t>
      </w:r>
      <w:r w:rsidR="005869CF">
        <w:t xml:space="preserve">Physically, they are like a prison for </w:t>
      </w:r>
      <w:r w:rsidR="00720FB0">
        <w:t>mokopuna</w:t>
      </w:r>
      <w:r w:rsidR="005869CF">
        <w:t xml:space="preserve">. </w:t>
      </w:r>
      <w:r>
        <w:t xml:space="preserve">Considering mokopuna can have lengthy stays in these facilities, it is unacceptable that mokopuna </w:t>
      </w:r>
      <w:r w:rsidR="00656A3C">
        <w:t>under State care</w:t>
      </w:r>
      <w:r>
        <w:t xml:space="preserve"> can have substandard living conditions.</w:t>
      </w:r>
    </w:p>
    <w:p w14:paraId="5ED15A1B" w14:textId="77777777" w:rsidR="00EF2505" w:rsidRPr="002A762E" w:rsidRDefault="00EF2505" w:rsidP="002A762E">
      <w:pPr>
        <w:pStyle w:val="Pull-OutText"/>
        <w:ind w:left="0"/>
      </w:pPr>
      <w:r w:rsidRPr="002A762E">
        <w:t>Closure of a C&amp;P residence following serious incidents</w:t>
      </w:r>
    </w:p>
    <w:p w14:paraId="207A9D0B" w14:textId="77777777" w:rsidR="00EF2505" w:rsidRDefault="00EF2505" w:rsidP="002A762E">
      <w:pPr>
        <w:pStyle w:val="ListNumber"/>
        <w:ind w:left="567" w:hanging="567"/>
        <w:jc w:val="both"/>
        <w:rPr>
          <w:rFonts w:ascii="Segoe UI" w:hAnsi="Segoe UI" w:cs="Segoe UI"/>
        </w:rPr>
      </w:pPr>
      <w:r w:rsidRPr="00EF53FB">
        <w:rPr>
          <w:rFonts w:ascii="Segoe UI" w:hAnsi="Segoe UI" w:cs="Segoe UI"/>
        </w:rPr>
        <w:t xml:space="preserve">In 2021, C&amp;P residence Te Oranga was closed following serious public allegations of staff </w:t>
      </w:r>
      <w:r w:rsidRPr="00A21F61">
        <w:t>mistreatment</w:t>
      </w:r>
      <w:r w:rsidRPr="00EF53FB">
        <w:rPr>
          <w:rFonts w:ascii="Segoe UI" w:hAnsi="Segoe UI" w:cs="Segoe UI"/>
        </w:rPr>
        <w:t xml:space="preserve"> of mokopuna.</w:t>
      </w:r>
      <w:r w:rsidRPr="00EF53FB">
        <w:rPr>
          <w:rStyle w:val="FootnoteReference"/>
          <w:rFonts w:ascii="Segoe UI" w:hAnsi="Segoe UI" w:cs="Segoe UI"/>
        </w:rPr>
        <w:footnoteReference w:id="100"/>
      </w:r>
    </w:p>
    <w:p w14:paraId="3EB2F457" w14:textId="1433340E" w:rsidR="00EF2505" w:rsidRPr="003144A3" w:rsidRDefault="002A762E" w:rsidP="002A762E">
      <w:pPr>
        <w:pStyle w:val="ListNumber"/>
        <w:ind w:left="567" w:hanging="567"/>
        <w:jc w:val="both"/>
        <w:rPr>
          <w:rFonts w:ascii="Segoe UI" w:hAnsi="Segoe UI" w:cs="Segoe UI"/>
        </w:rPr>
      </w:pPr>
      <w:r>
        <w:t xml:space="preserve">The </w:t>
      </w:r>
      <w:r w:rsidR="00EF2505">
        <w:t xml:space="preserve">OCC supported the decision to close this residence. While the facility transitioned to closure, </w:t>
      </w:r>
      <w:r w:rsidR="00991696">
        <w:t xml:space="preserve">the </w:t>
      </w:r>
      <w:r w:rsidR="00EF2505">
        <w:t xml:space="preserve">OCC </w:t>
      </w:r>
      <w:r w:rsidR="00EF2505" w:rsidRPr="002A762E">
        <w:rPr>
          <w:rFonts w:ascii="Segoe UI" w:hAnsi="Segoe UI" w:cs="Segoe UI"/>
        </w:rPr>
        <w:t>undertook</w:t>
      </w:r>
      <w:r w:rsidR="00EF2505">
        <w:t xml:space="preserve"> a monitoring visit which highlighted the importance of communication to mokopuna about what </w:t>
      </w:r>
      <w:r w:rsidR="00991696">
        <w:t>was</w:t>
      </w:r>
      <w:r w:rsidR="00EF2505">
        <w:t xml:space="preserve"> happening.</w:t>
      </w:r>
      <w:r w:rsidR="00EF2505">
        <w:rPr>
          <w:rStyle w:val="FootnoteReference"/>
        </w:rPr>
        <w:footnoteReference w:id="101"/>
      </w:r>
    </w:p>
    <w:p w14:paraId="2C6A79CA" w14:textId="5F9554FB" w:rsidR="00EF2505" w:rsidRDefault="00EF2505" w:rsidP="002A762E">
      <w:pPr>
        <w:pStyle w:val="ListNumber"/>
        <w:ind w:left="567" w:hanging="567"/>
        <w:jc w:val="both"/>
        <w:rPr>
          <w:rFonts w:ascii="Segoe UI" w:hAnsi="Segoe UI" w:cs="Segoe UI"/>
        </w:rPr>
      </w:pPr>
      <w:r>
        <w:t>Mokopuna said they were not regularly informed with what was happening</w:t>
      </w:r>
      <w:r w:rsidR="00720FB0">
        <w:t xml:space="preserve"> or</w:t>
      </w:r>
      <w:r>
        <w:t xml:space="preserve"> why, and their transition plans were not well communicated. </w:t>
      </w:r>
      <w:r w:rsidR="00991696">
        <w:t xml:space="preserve">The </w:t>
      </w:r>
      <w:r>
        <w:t xml:space="preserve">OCC hopes that lessons can be taken from the mokopuna experience and that future closures are carefully planned and well communicated </w:t>
      </w:r>
      <w:r w:rsidR="002A762E">
        <w:t>to</w:t>
      </w:r>
      <w:r>
        <w:t xml:space="preserve"> lessen any negative impact on mokopuna.</w:t>
      </w:r>
    </w:p>
    <w:p w14:paraId="0BCF1307" w14:textId="77777777" w:rsidR="00EF2505" w:rsidRDefault="00EF2505" w:rsidP="00EF2505">
      <w:pPr>
        <w:pStyle w:val="Pull-OutText"/>
        <w:ind w:left="0"/>
      </w:pPr>
      <w:r>
        <w:t>Youth Justice (YJ) Residences</w:t>
      </w:r>
    </w:p>
    <w:p w14:paraId="2219A273" w14:textId="72153888" w:rsidR="00EF2505" w:rsidRPr="00236AC7" w:rsidRDefault="00EF2505" w:rsidP="002A762E">
      <w:pPr>
        <w:pStyle w:val="ListNumber"/>
        <w:ind w:left="567" w:hanging="567"/>
        <w:jc w:val="both"/>
        <w:rPr>
          <w:rFonts w:ascii="Segoe UI" w:hAnsi="Segoe UI" w:cs="Segoe UI"/>
        </w:rPr>
      </w:pPr>
      <w:r>
        <w:t xml:space="preserve">OCC monitoring of </w:t>
      </w:r>
      <w:r w:rsidRPr="002A762E">
        <w:rPr>
          <w:rFonts w:ascii="Segoe UI" w:hAnsi="Segoe UI" w:cs="Segoe UI"/>
        </w:rPr>
        <w:t>YJ</w:t>
      </w:r>
      <w:r>
        <w:t xml:space="preserve"> residences in the last CAT reporting cycle </w:t>
      </w:r>
      <w:r w:rsidR="0013490C">
        <w:t xml:space="preserve">has </w:t>
      </w:r>
      <w:r>
        <w:t xml:space="preserve">identified some areas of positive practice, such as education and activities provision and relationships with education staff; some positive relationships between mokopuna and staff; access to external advocacy organisation Voyce Whakarongo Mai; as well as </w:t>
      </w:r>
      <w:r w:rsidRPr="00B102D5">
        <w:rPr>
          <w:rFonts w:ascii="Segoe UI" w:hAnsi="Segoe UI" w:cs="Segoe UI"/>
        </w:rPr>
        <w:t xml:space="preserve">high capability amongst kaimahi Māori </w:t>
      </w:r>
      <w:r>
        <w:rPr>
          <w:rFonts w:ascii="Segoe UI" w:hAnsi="Segoe UI" w:cs="Segoe UI"/>
        </w:rPr>
        <w:t xml:space="preserve">(Māori staff) </w:t>
      </w:r>
      <w:r w:rsidRPr="00B102D5">
        <w:rPr>
          <w:rFonts w:ascii="Segoe UI" w:hAnsi="Segoe UI" w:cs="Segoe UI"/>
        </w:rPr>
        <w:t>to integrate kaupapa Māori approaches</w:t>
      </w:r>
      <w:r w:rsidRPr="00991696">
        <w:rPr>
          <w:rFonts w:ascii="Segoe UI" w:hAnsi="Segoe UI" w:cs="Segoe UI"/>
        </w:rPr>
        <w:t>,</w:t>
      </w:r>
      <w:r w:rsidRPr="00B102D5">
        <w:rPr>
          <w:rFonts w:ascii="Segoe UI" w:hAnsi="Segoe UI" w:cs="Segoe UI"/>
        </w:rPr>
        <w:t xml:space="preserve"> speak </w:t>
      </w:r>
      <w:r>
        <w:rPr>
          <w:rFonts w:ascii="Segoe UI" w:hAnsi="Segoe UI" w:cs="Segoe UI"/>
        </w:rPr>
        <w:t>T</w:t>
      </w:r>
      <w:r w:rsidRPr="00B102D5">
        <w:rPr>
          <w:rFonts w:ascii="Segoe UI" w:hAnsi="Segoe UI" w:cs="Segoe UI"/>
        </w:rPr>
        <w:t xml:space="preserve">e </w:t>
      </w:r>
      <w:r>
        <w:rPr>
          <w:rFonts w:ascii="Segoe UI" w:hAnsi="Segoe UI" w:cs="Segoe UI"/>
        </w:rPr>
        <w:t>R</w:t>
      </w:r>
      <w:r w:rsidRPr="00B102D5">
        <w:rPr>
          <w:rFonts w:ascii="Segoe UI" w:hAnsi="Segoe UI" w:cs="Segoe UI"/>
        </w:rPr>
        <w:t>eo</w:t>
      </w:r>
      <w:r>
        <w:rPr>
          <w:rFonts w:ascii="Segoe UI" w:hAnsi="Segoe UI" w:cs="Segoe UI"/>
        </w:rPr>
        <w:t xml:space="preserve"> Māori (Māori language)</w:t>
      </w:r>
      <w:r w:rsidRPr="00B102D5">
        <w:rPr>
          <w:rFonts w:ascii="Segoe UI" w:hAnsi="Segoe UI" w:cs="Segoe UI"/>
        </w:rPr>
        <w:t>, and bring in external providers or mentors</w:t>
      </w:r>
      <w:r>
        <w:t>.</w:t>
      </w:r>
    </w:p>
    <w:p w14:paraId="7B3B2577" w14:textId="5FF34168" w:rsidR="00EF2505" w:rsidRDefault="00EF2505" w:rsidP="002A762E">
      <w:pPr>
        <w:pStyle w:val="ListNumber"/>
        <w:ind w:left="567" w:hanging="567"/>
        <w:jc w:val="both"/>
        <w:rPr>
          <w:rFonts w:ascii="Segoe UI" w:hAnsi="Segoe UI" w:cs="Segoe UI"/>
        </w:rPr>
      </w:pPr>
      <w:r>
        <w:t xml:space="preserve">However, there remain multiple ongoing and serious concerns, including the </w:t>
      </w:r>
      <w:r w:rsidRPr="00FB69E8">
        <w:rPr>
          <w:rFonts w:ascii="Segoe UI" w:hAnsi="Segoe UI" w:cs="Segoe UI"/>
        </w:rPr>
        <w:t>high use of restraint</w:t>
      </w:r>
      <w:r>
        <w:rPr>
          <w:rFonts w:ascii="Segoe UI" w:hAnsi="Segoe UI" w:cs="Segoe UI"/>
        </w:rPr>
        <w:t xml:space="preserve"> and </w:t>
      </w:r>
      <w:r w:rsidRPr="00FB69E8">
        <w:rPr>
          <w:rFonts w:ascii="Segoe UI" w:hAnsi="Segoe UI" w:cs="Segoe UI"/>
        </w:rPr>
        <w:t>seclusion</w:t>
      </w:r>
      <w:r>
        <w:rPr>
          <w:rFonts w:ascii="Segoe UI" w:hAnsi="Segoe UI" w:cs="Segoe UI"/>
        </w:rPr>
        <w:t xml:space="preserve">; </w:t>
      </w:r>
      <w:r w:rsidRPr="00FB69E8">
        <w:rPr>
          <w:rFonts w:ascii="Segoe UI" w:hAnsi="Segoe UI" w:cs="Segoe UI"/>
        </w:rPr>
        <w:t>restrictive practices and concerning staff behaviour</w:t>
      </w:r>
      <w:r>
        <w:rPr>
          <w:rFonts w:ascii="Segoe UI" w:hAnsi="Segoe UI" w:cs="Segoe UI"/>
        </w:rPr>
        <w:t>;</w:t>
      </w:r>
      <w:r>
        <w:rPr>
          <w:rStyle w:val="FootnoteReference"/>
          <w:rFonts w:ascii="Segoe UI" w:hAnsi="Segoe UI" w:cs="Segoe UI"/>
        </w:rPr>
        <w:footnoteReference w:id="102"/>
      </w:r>
      <w:r w:rsidRPr="00FB69E8">
        <w:rPr>
          <w:rFonts w:ascii="Segoe UI" w:hAnsi="Segoe UI" w:cs="Segoe UI"/>
        </w:rPr>
        <w:t xml:space="preserve"> </w:t>
      </w:r>
      <w:r>
        <w:rPr>
          <w:rFonts w:ascii="Segoe UI" w:hAnsi="Segoe UI" w:cs="Segoe UI"/>
        </w:rPr>
        <w:t>l</w:t>
      </w:r>
      <w:r w:rsidRPr="00045F17">
        <w:rPr>
          <w:rFonts w:ascii="Segoe UI" w:hAnsi="Segoe UI" w:cs="Segoe UI"/>
        </w:rPr>
        <w:t xml:space="preserve">ack of support for </w:t>
      </w:r>
      <w:r>
        <w:rPr>
          <w:rFonts w:ascii="Segoe UI" w:hAnsi="Segoe UI" w:cs="Segoe UI"/>
        </w:rPr>
        <w:t xml:space="preserve">mokopuna with </w:t>
      </w:r>
      <w:r w:rsidRPr="00045F17">
        <w:rPr>
          <w:rFonts w:ascii="Segoe UI" w:hAnsi="Segoe UI" w:cs="Segoe UI"/>
        </w:rPr>
        <w:t>mental wellbeing</w:t>
      </w:r>
      <w:r>
        <w:rPr>
          <w:rFonts w:ascii="Segoe UI" w:hAnsi="Segoe UI" w:cs="Segoe UI"/>
        </w:rPr>
        <w:t xml:space="preserve"> issues or</w:t>
      </w:r>
      <w:r w:rsidRPr="00045F17">
        <w:rPr>
          <w:rFonts w:ascii="Segoe UI" w:hAnsi="Segoe UI" w:cs="Segoe UI"/>
        </w:rPr>
        <w:t xml:space="preserve"> high and complex needs</w:t>
      </w:r>
      <w:r>
        <w:rPr>
          <w:rFonts w:ascii="Segoe UI" w:hAnsi="Segoe UI" w:cs="Segoe UI"/>
        </w:rPr>
        <w:t>; f</w:t>
      </w:r>
      <w:r w:rsidRPr="00045F17">
        <w:rPr>
          <w:rFonts w:ascii="Segoe UI" w:hAnsi="Segoe UI" w:cs="Segoe UI"/>
        </w:rPr>
        <w:t>laws with the behavioural management system</w:t>
      </w:r>
      <w:r w:rsidR="00991696">
        <w:rPr>
          <w:rFonts w:ascii="Segoe UI" w:hAnsi="Segoe UI" w:cs="Segoe UI"/>
        </w:rPr>
        <w:t xml:space="preserve"> (BMS)</w:t>
      </w:r>
      <w:r>
        <w:rPr>
          <w:rStyle w:val="FootnoteReference"/>
          <w:rFonts w:ascii="Segoe UI" w:hAnsi="Segoe UI" w:cs="Segoe UI"/>
        </w:rPr>
        <w:footnoteReference w:id="103"/>
      </w:r>
      <w:r w:rsidRPr="00045F17">
        <w:rPr>
          <w:rFonts w:ascii="Segoe UI" w:hAnsi="Segoe UI" w:cs="Segoe UI"/>
        </w:rPr>
        <w:t xml:space="preserve"> (</w:t>
      </w:r>
      <w:r w:rsidR="00991696">
        <w:rPr>
          <w:rFonts w:ascii="Segoe UI" w:hAnsi="Segoe UI" w:cs="Segoe UI"/>
        </w:rPr>
        <w:t xml:space="preserve">which are </w:t>
      </w:r>
      <w:r>
        <w:rPr>
          <w:rFonts w:ascii="Segoe UI" w:hAnsi="Segoe UI" w:cs="Segoe UI"/>
        </w:rPr>
        <w:t>in</w:t>
      </w:r>
      <w:r w:rsidRPr="00045F17">
        <w:rPr>
          <w:rFonts w:ascii="Segoe UI" w:hAnsi="Segoe UI" w:cs="Segoe UI"/>
        </w:rPr>
        <w:t xml:space="preserve">appropriate for neurodiverse mokopuna, </w:t>
      </w:r>
      <w:r>
        <w:rPr>
          <w:rFonts w:ascii="Segoe UI" w:hAnsi="Segoe UI" w:cs="Segoe UI"/>
        </w:rPr>
        <w:t xml:space="preserve">promotes </w:t>
      </w:r>
      <w:r w:rsidRPr="00045F17">
        <w:rPr>
          <w:rFonts w:ascii="Segoe UI" w:hAnsi="Segoe UI" w:cs="Segoe UI"/>
        </w:rPr>
        <w:t xml:space="preserve">favouritism, </w:t>
      </w:r>
      <w:r>
        <w:rPr>
          <w:rFonts w:ascii="Segoe UI" w:hAnsi="Segoe UI" w:cs="Segoe UI"/>
        </w:rPr>
        <w:t xml:space="preserve">and is </w:t>
      </w:r>
      <w:r w:rsidRPr="00045F17">
        <w:rPr>
          <w:rFonts w:ascii="Segoe UI" w:hAnsi="Segoe UI" w:cs="Segoe UI"/>
        </w:rPr>
        <w:t>applied inconsistently)</w:t>
      </w:r>
      <w:r>
        <w:rPr>
          <w:rFonts w:ascii="Segoe UI" w:hAnsi="Segoe UI" w:cs="Segoe UI"/>
        </w:rPr>
        <w:t>;</w:t>
      </w:r>
      <w:r w:rsidRPr="00045F17">
        <w:rPr>
          <w:rFonts w:ascii="Segoe UI" w:hAnsi="Segoe UI" w:cs="Segoe UI"/>
        </w:rPr>
        <w:t xml:space="preserve"> inadequate staff training</w:t>
      </w:r>
      <w:r>
        <w:rPr>
          <w:rFonts w:ascii="Segoe UI" w:hAnsi="Segoe UI" w:cs="Segoe UI"/>
        </w:rPr>
        <w:t xml:space="preserve"> and</w:t>
      </w:r>
      <w:r w:rsidRPr="00045F17">
        <w:rPr>
          <w:rFonts w:ascii="Segoe UI" w:hAnsi="Segoe UI" w:cs="Segoe UI"/>
        </w:rPr>
        <w:t xml:space="preserve"> supervision</w:t>
      </w:r>
      <w:r>
        <w:rPr>
          <w:rFonts w:ascii="Segoe UI" w:hAnsi="Segoe UI" w:cs="Segoe UI"/>
        </w:rPr>
        <w:t>; variable f</w:t>
      </w:r>
      <w:r w:rsidRPr="00AC70EC">
        <w:rPr>
          <w:rFonts w:ascii="Segoe UI" w:hAnsi="Segoe UI" w:cs="Segoe UI"/>
        </w:rPr>
        <w:t>acility standards</w:t>
      </w:r>
      <w:r>
        <w:rPr>
          <w:rFonts w:ascii="Segoe UI" w:hAnsi="Segoe UI" w:cs="Segoe UI"/>
        </w:rPr>
        <w:t>; and l</w:t>
      </w:r>
      <w:r w:rsidRPr="00AC70EC">
        <w:rPr>
          <w:rFonts w:ascii="Segoe UI" w:hAnsi="Segoe UI" w:cs="Segoe UI"/>
        </w:rPr>
        <w:t>eadership</w:t>
      </w:r>
      <w:r>
        <w:rPr>
          <w:rFonts w:ascii="Segoe UI" w:hAnsi="Segoe UI" w:cs="Segoe UI"/>
        </w:rPr>
        <w:t xml:space="preserve"> and staff culture issues.</w:t>
      </w:r>
      <w:r>
        <w:rPr>
          <w:rStyle w:val="FootnoteReference"/>
          <w:rFonts w:ascii="Segoe UI" w:hAnsi="Segoe UI" w:cs="Segoe UI"/>
        </w:rPr>
        <w:footnoteReference w:id="104"/>
      </w:r>
      <w:r>
        <w:rPr>
          <w:rFonts w:ascii="Segoe UI" w:hAnsi="Segoe UI" w:cs="Segoe UI"/>
        </w:rPr>
        <w:t xml:space="preserve"> </w:t>
      </w:r>
      <w:r>
        <w:rPr>
          <w:rStyle w:val="FootnoteReference"/>
          <w:rFonts w:ascii="Segoe UI" w:hAnsi="Segoe UI" w:cs="Segoe UI"/>
        </w:rPr>
        <w:footnoteReference w:id="105"/>
      </w:r>
      <w:r w:rsidR="00431293">
        <w:rPr>
          <w:rFonts w:ascii="Segoe UI" w:hAnsi="Segoe UI" w:cs="Segoe UI"/>
        </w:rPr>
        <w:t xml:space="preserve"> COVID-19 lockdowns placed significant pressure on already inadequately managed and resourced facilities. This has, not surprisingly, coincided with a cohort of mokopuna who have been out of education and pro-social activities for several years, and whose families often live in circumstances of economic depravation.</w:t>
      </w:r>
      <w:r w:rsidR="0013490C">
        <w:rPr>
          <w:rFonts w:ascii="Segoe UI" w:hAnsi="Segoe UI" w:cs="Segoe UI"/>
        </w:rPr>
        <w:t xml:space="preserve"> There </w:t>
      </w:r>
      <w:r w:rsidR="005A03F7">
        <w:rPr>
          <w:rFonts w:ascii="Segoe UI" w:hAnsi="Segoe UI" w:cs="Segoe UI"/>
        </w:rPr>
        <w:t>has also been</w:t>
      </w:r>
      <w:r w:rsidR="0013490C">
        <w:rPr>
          <w:rFonts w:ascii="Segoe UI" w:hAnsi="Segoe UI" w:cs="Segoe UI"/>
        </w:rPr>
        <w:t xml:space="preserve"> a recent </w:t>
      </w:r>
      <w:r w:rsidR="005A03F7">
        <w:rPr>
          <w:rFonts w:ascii="Segoe UI" w:hAnsi="Segoe UI" w:cs="Segoe UI"/>
        </w:rPr>
        <w:t>increase</w:t>
      </w:r>
      <w:r w:rsidR="0013490C">
        <w:rPr>
          <w:rFonts w:ascii="Segoe UI" w:hAnsi="Segoe UI" w:cs="Segoe UI"/>
        </w:rPr>
        <w:t xml:space="preserve"> of serious youth offending post COVID</w:t>
      </w:r>
      <w:r w:rsidR="005A03F7">
        <w:rPr>
          <w:rFonts w:ascii="Segoe UI" w:hAnsi="Segoe UI" w:cs="Segoe UI"/>
        </w:rPr>
        <w:t>-19</w:t>
      </w:r>
      <w:r w:rsidR="0013490C">
        <w:rPr>
          <w:rFonts w:ascii="Segoe UI" w:hAnsi="Segoe UI" w:cs="Segoe UI"/>
        </w:rPr>
        <w:t xml:space="preserve"> lockdown</w:t>
      </w:r>
      <w:r w:rsidR="005A03F7">
        <w:rPr>
          <w:rFonts w:ascii="Segoe UI" w:hAnsi="Segoe UI" w:cs="Segoe UI"/>
        </w:rPr>
        <w:t>s</w:t>
      </w:r>
      <w:r w:rsidR="0013490C">
        <w:rPr>
          <w:rFonts w:ascii="Segoe UI" w:hAnsi="Segoe UI" w:cs="Segoe UI"/>
        </w:rPr>
        <w:t>.</w:t>
      </w:r>
    </w:p>
    <w:p w14:paraId="07052C88" w14:textId="60F86A4C" w:rsidR="00431293" w:rsidRPr="00431293" w:rsidRDefault="00EF2505" w:rsidP="002A762E">
      <w:pPr>
        <w:pStyle w:val="ListNumber"/>
        <w:ind w:left="567" w:hanging="567"/>
        <w:jc w:val="both"/>
        <w:rPr>
          <w:rFonts w:ascii="Segoe UI" w:hAnsi="Segoe UI" w:cs="Segoe UI"/>
          <w:color w:val="000000"/>
          <w:lang w:val="en-AU" w:eastAsia="en-GB"/>
        </w:rPr>
      </w:pPr>
      <w:r w:rsidRPr="00E14C22">
        <w:t>Recent visits</w:t>
      </w:r>
      <w:r>
        <w:t xml:space="preserve"> have found increasing</w:t>
      </w:r>
      <w:r w:rsidRPr="00D96CC1">
        <w:t xml:space="preserve"> numbers of assaults</w:t>
      </w:r>
      <w:r>
        <w:t xml:space="preserve"> and violence</w:t>
      </w:r>
      <w:r>
        <w:rPr>
          <w:rStyle w:val="FootnoteReference"/>
        </w:rPr>
        <w:footnoteReference w:id="106"/>
      </w:r>
      <w:r w:rsidRPr="00D96CC1">
        <w:t xml:space="preserve"> </w:t>
      </w:r>
      <w:r w:rsidR="00226E35">
        <w:rPr>
          <w:rStyle w:val="FootnoteReference"/>
        </w:rPr>
        <w:footnoteReference w:id="107"/>
      </w:r>
      <w:r w:rsidR="00226E35">
        <w:t xml:space="preserve"> </w:t>
      </w:r>
      <w:r w:rsidRPr="00D96CC1">
        <w:t>on both staff and mokopuna</w:t>
      </w:r>
      <w:r>
        <w:t xml:space="preserve">, disproportionately </w:t>
      </w:r>
      <w:r w:rsidRPr="00D96CC1">
        <w:t xml:space="preserve">high use of </w:t>
      </w:r>
      <w:r w:rsidR="00991696">
        <w:t>seclusion</w:t>
      </w:r>
      <w:r>
        <w:t>, restraints, and safety concerns, and increased absconding and breakouts.</w:t>
      </w:r>
      <w:r>
        <w:rPr>
          <w:rStyle w:val="FootnoteReference"/>
        </w:rPr>
        <w:footnoteReference w:id="108"/>
      </w:r>
      <w:r>
        <w:t xml:space="preserve"> </w:t>
      </w:r>
      <w:r w:rsidR="00431293">
        <w:t>The OCC ha</w:t>
      </w:r>
      <w:r w:rsidR="00720FB0">
        <w:t>s</w:t>
      </w:r>
      <w:r w:rsidR="00431293">
        <w:t xml:space="preserve"> observed a concerning increase in contraband entering residences, makeshift</w:t>
      </w:r>
      <w:r w:rsidR="00720FB0">
        <w:t xml:space="preserve"> </w:t>
      </w:r>
      <w:r w:rsidR="00431293">
        <w:t>weapons, and an overall increasingly ‘prison-like’ environment.</w:t>
      </w:r>
    </w:p>
    <w:p w14:paraId="0B4321C1" w14:textId="41C8C882" w:rsidR="00226E35" w:rsidRPr="00140861" w:rsidRDefault="00EF2505" w:rsidP="00226E35">
      <w:pPr>
        <w:pStyle w:val="ListNumber"/>
        <w:ind w:left="567" w:hanging="567"/>
        <w:jc w:val="both"/>
        <w:rPr>
          <w:rFonts w:ascii="Segoe UI" w:hAnsi="Segoe UI" w:cs="Segoe UI"/>
        </w:rPr>
      </w:pPr>
      <w:r>
        <w:t xml:space="preserve">This has been worsened by </w:t>
      </w:r>
      <w:r w:rsidRPr="005F3818">
        <w:rPr>
          <w:rFonts w:ascii="Segoe UI" w:hAnsi="Segoe UI" w:cs="Segoe UI"/>
          <w:color w:val="000000"/>
          <w:lang w:val="en-AU" w:eastAsia="en-GB"/>
        </w:rPr>
        <w:t>significant staffing shortages (including not meeting minimum safe staffing ratios), lack of staff experience, training, and supervision, and staff burnout</w:t>
      </w:r>
      <w:r>
        <w:rPr>
          <w:rFonts w:ascii="Segoe UI" w:hAnsi="Segoe UI" w:cs="Segoe UI"/>
          <w:color w:val="000000"/>
          <w:lang w:val="en-AU" w:eastAsia="en-GB"/>
        </w:rPr>
        <w:t xml:space="preserve"> and retention issues. </w:t>
      </w:r>
      <w:r w:rsidR="00226E35">
        <w:rPr>
          <w:rFonts w:ascii="Segoe UI" w:hAnsi="Segoe UI" w:cs="Segoe UI"/>
          <w:color w:val="000000"/>
          <w:lang w:val="en-AU" w:eastAsia="en-GB"/>
        </w:rPr>
        <w:t xml:space="preserve">Age-mixing of younger mokopuna with older mokopuna has also increased tensions in YJ residences </w:t>
      </w:r>
      <w:r w:rsidR="00226E35" w:rsidRPr="007338F6">
        <w:rPr>
          <w:rFonts w:ascii="Segoe UI" w:hAnsi="Segoe UI" w:cs="Segoe UI"/>
          <w:color w:val="000000"/>
          <w:lang w:val="en-AU" w:eastAsia="en-GB"/>
        </w:rPr>
        <w:t xml:space="preserve">(refer para </w:t>
      </w:r>
      <w:r w:rsidR="00766FAF">
        <w:rPr>
          <w:rFonts w:ascii="Segoe UI" w:hAnsi="Segoe UI" w:cs="Segoe UI"/>
          <w:color w:val="000000"/>
          <w:lang w:val="en-AU" w:eastAsia="en-GB"/>
        </w:rPr>
        <w:t>141</w:t>
      </w:r>
      <w:r w:rsidR="00226E35">
        <w:rPr>
          <w:rFonts w:ascii="Segoe UI" w:hAnsi="Segoe UI" w:cs="Segoe UI"/>
          <w:color w:val="000000"/>
          <w:lang w:val="en-AU" w:eastAsia="en-GB"/>
        </w:rPr>
        <w:t>).</w:t>
      </w:r>
    </w:p>
    <w:p w14:paraId="10455B59" w14:textId="12212460" w:rsidR="00EF2505" w:rsidRDefault="00EF2505" w:rsidP="002A762E">
      <w:pPr>
        <w:pStyle w:val="ListNumber"/>
        <w:ind w:left="567" w:hanging="567"/>
        <w:jc w:val="both"/>
        <w:rPr>
          <w:rFonts w:ascii="Segoe UI" w:hAnsi="Segoe UI" w:cs="Segoe UI"/>
          <w:color w:val="000000"/>
          <w:lang w:val="en-AU" w:eastAsia="en-GB"/>
        </w:rPr>
      </w:pPr>
      <w:r>
        <w:rPr>
          <w:rFonts w:ascii="Segoe UI" w:hAnsi="Segoe UI" w:cs="Segoe UI"/>
          <w:color w:val="000000"/>
          <w:lang w:val="en-AU" w:eastAsia="en-GB"/>
        </w:rPr>
        <w:t xml:space="preserve">If </w:t>
      </w:r>
      <w:r w:rsidR="00431293">
        <w:rPr>
          <w:rFonts w:ascii="Segoe UI" w:hAnsi="Segoe UI" w:cs="Segoe UI"/>
          <w:color w:val="000000"/>
          <w:lang w:val="en-AU" w:eastAsia="en-GB"/>
        </w:rPr>
        <w:t xml:space="preserve">these issues are not </w:t>
      </w:r>
      <w:r>
        <w:rPr>
          <w:rFonts w:ascii="Segoe UI" w:hAnsi="Segoe UI" w:cs="Segoe UI"/>
          <w:color w:val="000000"/>
          <w:lang w:val="en-AU" w:eastAsia="en-GB"/>
        </w:rPr>
        <w:t>addressed urgently, the current situation in YJ residences could amount to a breach of Article 16 of the CAT.</w:t>
      </w:r>
    </w:p>
    <w:p w14:paraId="33F60834" w14:textId="7F719C9D" w:rsidR="00EF2505" w:rsidRPr="007338F6" w:rsidRDefault="00EF2505" w:rsidP="002A762E">
      <w:pPr>
        <w:pStyle w:val="ListNumber"/>
        <w:ind w:left="567" w:hanging="567"/>
        <w:jc w:val="both"/>
        <w:rPr>
          <w:rFonts w:ascii="Segoe UI" w:hAnsi="Segoe UI" w:cs="Segoe UI"/>
          <w:color w:val="000000"/>
          <w:lang w:val="en-AU" w:eastAsia="en-GB"/>
        </w:rPr>
      </w:pPr>
      <w:r>
        <w:rPr>
          <w:rFonts w:ascii="Segoe UI" w:hAnsi="Segoe UI" w:cs="Segoe UI"/>
          <w:color w:val="000000"/>
          <w:lang w:val="en-AU" w:eastAsia="en-GB"/>
        </w:rPr>
        <w:t xml:space="preserve">In some residences, </w:t>
      </w:r>
      <w:r w:rsidR="00991696">
        <w:rPr>
          <w:rFonts w:ascii="Segoe UI" w:hAnsi="Segoe UI" w:cs="Segoe UI"/>
          <w:color w:val="000000"/>
          <w:lang w:val="en-AU" w:eastAsia="en-GB"/>
        </w:rPr>
        <w:t xml:space="preserve">the OCC heard </w:t>
      </w:r>
      <w:r>
        <w:rPr>
          <w:rFonts w:ascii="Segoe UI" w:hAnsi="Segoe UI" w:cs="Segoe UI"/>
          <w:color w:val="000000"/>
          <w:lang w:val="en-AU" w:eastAsia="en-GB"/>
        </w:rPr>
        <w:t xml:space="preserve">complaints were not investigated </w:t>
      </w:r>
      <w:r w:rsidRPr="005F3818">
        <w:t>according</w:t>
      </w:r>
      <w:r>
        <w:rPr>
          <w:rFonts w:ascii="Segoe UI" w:hAnsi="Segoe UI" w:cs="Segoe UI"/>
          <w:color w:val="000000"/>
          <w:lang w:val="en-AU" w:eastAsia="en-GB"/>
        </w:rPr>
        <w:t xml:space="preserve"> to process, escalated appropriately, or kept confidential. This included complaints made by mokopuna themselves, which is a serious breach of their rights to privacy under Article 16 and </w:t>
      </w:r>
      <w:r w:rsidRPr="007338F6">
        <w:rPr>
          <w:rFonts w:ascii="Segoe UI" w:hAnsi="Segoe UI" w:cs="Segoe UI"/>
          <w:color w:val="000000"/>
          <w:lang w:val="en-AU" w:eastAsia="en-GB"/>
        </w:rPr>
        <w:t>40(2)(b)(vii) of the Children’s Convention as well as Principle 33 of Body of Principles for the Protection of All Persons under Any Form of Detention or Imprisonment</w:t>
      </w:r>
      <w:r w:rsidR="00720FB0">
        <w:rPr>
          <w:rFonts w:ascii="Segoe UI" w:hAnsi="Segoe UI" w:cs="Segoe UI"/>
          <w:color w:val="000000"/>
          <w:lang w:val="en-AU" w:eastAsia="en-GB"/>
        </w:rPr>
        <w:t>.</w:t>
      </w:r>
      <w:r w:rsidR="00720FB0">
        <w:rPr>
          <w:rStyle w:val="FootnoteReference"/>
          <w:rFonts w:ascii="Segoe UI" w:hAnsi="Segoe UI" w:cs="Segoe UI"/>
          <w:color w:val="000000"/>
          <w:lang w:val="en-AU" w:eastAsia="en-GB"/>
        </w:rPr>
        <w:footnoteReference w:id="109"/>
      </w:r>
      <w:r>
        <w:rPr>
          <w:rFonts w:ascii="Segoe UI" w:hAnsi="Segoe UI" w:cs="Segoe UI"/>
          <w:color w:val="000000"/>
          <w:lang w:val="en-AU" w:eastAsia="en-GB"/>
        </w:rPr>
        <w:t xml:space="preserve"> </w:t>
      </w:r>
      <w:r w:rsidR="007D2A4C">
        <w:rPr>
          <w:rFonts w:ascii="Segoe UI" w:hAnsi="Segoe UI" w:cs="Segoe UI"/>
          <w:color w:val="000000"/>
          <w:lang w:val="en-AU" w:eastAsia="en-GB"/>
        </w:rPr>
        <w:t xml:space="preserve">The </w:t>
      </w:r>
      <w:r>
        <w:rPr>
          <w:rFonts w:ascii="Segoe UI" w:hAnsi="Segoe UI" w:cs="Segoe UI"/>
          <w:color w:val="000000"/>
          <w:lang w:val="en-AU" w:eastAsia="en-GB"/>
        </w:rPr>
        <w:t xml:space="preserve">OCC’s concerns regarding the complaints process is further outlined at para </w:t>
      </w:r>
      <w:r w:rsidR="00766FAF">
        <w:rPr>
          <w:rFonts w:ascii="Segoe UI" w:hAnsi="Segoe UI" w:cs="Segoe UI"/>
          <w:color w:val="000000"/>
          <w:lang w:val="en-AU" w:eastAsia="en-GB"/>
        </w:rPr>
        <w:t>152</w:t>
      </w:r>
      <w:r>
        <w:rPr>
          <w:rFonts w:ascii="Segoe UI" w:hAnsi="Segoe UI" w:cs="Segoe UI"/>
          <w:color w:val="000000"/>
          <w:lang w:val="en-AU" w:eastAsia="en-GB"/>
        </w:rPr>
        <w:t>.</w:t>
      </w:r>
    </w:p>
    <w:p w14:paraId="14832122" w14:textId="76D53E29" w:rsidR="00EF2505" w:rsidRDefault="00EF2505" w:rsidP="002A762E">
      <w:pPr>
        <w:pStyle w:val="ListNumber"/>
        <w:ind w:left="567" w:hanging="567"/>
        <w:jc w:val="both"/>
        <w:rPr>
          <w:rFonts w:ascii="Segoe UI" w:hAnsi="Segoe UI" w:cs="Segoe UI"/>
        </w:rPr>
      </w:pPr>
      <w:r w:rsidRPr="002A762E">
        <w:rPr>
          <w:rFonts w:ascii="Segoe UI" w:hAnsi="Segoe UI" w:cs="Segoe UI"/>
          <w:color w:val="000000"/>
          <w:lang w:val="en-AU" w:eastAsia="en-GB"/>
        </w:rPr>
        <w:t>Whakamana</w:t>
      </w:r>
      <w:r>
        <w:rPr>
          <w:rFonts w:ascii="Segoe UI" w:hAnsi="Segoe UI" w:cs="Segoe UI"/>
        </w:rPr>
        <w:t xml:space="preserve"> Tangata,</w:t>
      </w:r>
      <w:r>
        <w:rPr>
          <w:rStyle w:val="FootnoteReference"/>
          <w:rFonts w:ascii="Segoe UI" w:hAnsi="Segoe UI" w:cs="Segoe UI"/>
        </w:rPr>
        <w:footnoteReference w:id="110"/>
      </w:r>
      <w:r>
        <w:rPr>
          <w:rFonts w:ascii="Segoe UI" w:hAnsi="Segoe UI" w:cs="Segoe UI"/>
        </w:rPr>
        <w:t xml:space="preserve"> a restorative approach in secure residences, is yet to be fully </w:t>
      </w:r>
      <w:r w:rsidRPr="00140861">
        <w:rPr>
          <w:rFonts w:ascii="Segoe UI" w:hAnsi="Segoe UI" w:cs="Segoe UI"/>
        </w:rPr>
        <w:t>embedded</w:t>
      </w:r>
      <w:r>
        <w:rPr>
          <w:rFonts w:ascii="Segoe UI" w:hAnsi="Segoe UI" w:cs="Segoe UI"/>
        </w:rPr>
        <w:t>, due to lack of staff training</w:t>
      </w:r>
      <w:r w:rsidRPr="00140861">
        <w:rPr>
          <w:rFonts w:ascii="Segoe UI" w:hAnsi="Segoe UI" w:cs="Segoe UI"/>
        </w:rPr>
        <w:t xml:space="preserve">. </w:t>
      </w:r>
      <w:r>
        <w:rPr>
          <w:rFonts w:ascii="Segoe UI" w:hAnsi="Segoe UI" w:cs="Segoe UI"/>
        </w:rPr>
        <w:t>As a result, some staff</w:t>
      </w:r>
      <w:r w:rsidRPr="00140861">
        <w:rPr>
          <w:rFonts w:ascii="Segoe UI" w:hAnsi="Segoe UI" w:cs="Segoe UI"/>
        </w:rPr>
        <w:t xml:space="preserve"> are not </w:t>
      </w:r>
      <w:r>
        <w:rPr>
          <w:rFonts w:ascii="Segoe UI" w:hAnsi="Segoe UI" w:cs="Segoe UI"/>
        </w:rPr>
        <w:t xml:space="preserve">equipped to </w:t>
      </w:r>
      <w:r w:rsidRPr="00140861">
        <w:rPr>
          <w:rFonts w:ascii="Segoe UI" w:hAnsi="Segoe UI" w:cs="Segoe UI"/>
        </w:rPr>
        <w:t>de-escalat</w:t>
      </w:r>
      <w:r>
        <w:rPr>
          <w:rFonts w:ascii="Segoe UI" w:hAnsi="Segoe UI" w:cs="Segoe UI"/>
        </w:rPr>
        <w:t>e</w:t>
      </w:r>
      <w:r w:rsidRPr="00140861">
        <w:rPr>
          <w:rFonts w:ascii="Segoe UI" w:hAnsi="Segoe UI" w:cs="Segoe UI"/>
        </w:rPr>
        <w:t xml:space="preserve"> behaviours</w:t>
      </w:r>
      <w:r>
        <w:rPr>
          <w:rFonts w:ascii="Segoe UI" w:hAnsi="Segoe UI" w:cs="Segoe UI"/>
        </w:rPr>
        <w:t>,</w:t>
      </w:r>
      <w:r w:rsidRPr="00140861">
        <w:rPr>
          <w:rFonts w:ascii="Segoe UI" w:hAnsi="Segoe UI" w:cs="Segoe UI"/>
        </w:rPr>
        <w:t xml:space="preserve"> leading to heightened units and </w:t>
      </w:r>
      <w:r>
        <w:rPr>
          <w:rFonts w:ascii="Segoe UI" w:hAnsi="Segoe UI" w:cs="Segoe UI"/>
        </w:rPr>
        <w:t xml:space="preserve">increased </w:t>
      </w:r>
      <w:r w:rsidRPr="00140861">
        <w:rPr>
          <w:rFonts w:ascii="Segoe UI" w:hAnsi="Segoe UI" w:cs="Segoe UI"/>
        </w:rPr>
        <w:t xml:space="preserve">admissions to the </w:t>
      </w:r>
      <w:r>
        <w:rPr>
          <w:rFonts w:ascii="Segoe UI" w:hAnsi="Segoe UI" w:cs="Segoe UI"/>
        </w:rPr>
        <w:t>s</w:t>
      </w:r>
      <w:r w:rsidRPr="00140861">
        <w:rPr>
          <w:rFonts w:ascii="Segoe UI" w:hAnsi="Segoe UI" w:cs="Segoe UI"/>
        </w:rPr>
        <w:t xml:space="preserve">ecure </w:t>
      </w:r>
      <w:r>
        <w:rPr>
          <w:rFonts w:ascii="Segoe UI" w:hAnsi="Segoe UI" w:cs="Segoe UI"/>
        </w:rPr>
        <w:t>c</w:t>
      </w:r>
      <w:r w:rsidRPr="00140861">
        <w:rPr>
          <w:rFonts w:ascii="Segoe UI" w:hAnsi="Segoe UI" w:cs="Segoe UI"/>
        </w:rPr>
        <w:t>are</w:t>
      </w:r>
      <w:r w:rsidR="00991696">
        <w:rPr>
          <w:rFonts w:ascii="Segoe UI" w:hAnsi="Segoe UI" w:cs="Segoe UI"/>
        </w:rPr>
        <w:t xml:space="preserve"> unit</w:t>
      </w:r>
      <w:r>
        <w:rPr>
          <w:rFonts w:ascii="Segoe UI" w:hAnsi="Segoe UI" w:cs="Segoe UI"/>
        </w:rPr>
        <w:t>.</w:t>
      </w:r>
    </w:p>
    <w:p w14:paraId="216458AB" w14:textId="4C2D6AF6" w:rsidR="00EF2505" w:rsidRDefault="00991696" w:rsidP="002A762E">
      <w:pPr>
        <w:pStyle w:val="ListNumber"/>
        <w:ind w:left="567" w:hanging="567"/>
        <w:jc w:val="both"/>
        <w:rPr>
          <w:rFonts w:ascii="Segoe UI" w:hAnsi="Segoe UI" w:cs="Segoe UI"/>
        </w:rPr>
      </w:pPr>
      <w:r>
        <w:rPr>
          <w:rFonts w:ascii="Segoe UI" w:hAnsi="Segoe UI" w:cs="Segoe UI"/>
        </w:rPr>
        <w:t xml:space="preserve">The </w:t>
      </w:r>
      <w:r w:rsidR="00EF2505" w:rsidRPr="00827B7E">
        <w:rPr>
          <w:rFonts w:ascii="Segoe UI" w:hAnsi="Segoe UI" w:cs="Segoe UI"/>
        </w:rPr>
        <w:t xml:space="preserve">OCC has </w:t>
      </w:r>
      <w:r w:rsidR="00EF2505" w:rsidRPr="002A762E">
        <w:t>found</w:t>
      </w:r>
      <w:r w:rsidR="00EF2505" w:rsidRPr="00827B7E">
        <w:rPr>
          <w:rFonts w:ascii="Segoe UI" w:hAnsi="Segoe UI" w:cs="Segoe UI"/>
        </w:rPr>
        <w:t xml:space="preserve"> high numbers of mokopuna with disabilities, neurodiversity, mental health and addictions, and other high and complex needs</w:t>
      </w:r>
      <w:r w:rsidR="00EF2505">
        <w:rPr>
          <w:rFonts w:ascii="Segoe UI" w:hAnsi="Segoe UI" w:cs="Segoe UI"/>
        </w:rPr>
        <w:t xml:space="preserve"> in YJ residences</w:t>
      </w:r>
      <w:r w:rsidR="00EF2505" w:rsidRPr="00827B7E">
        <w:rPr>
          <w:rFonts w:ascii="Segoe UI" w:hAnsi="Segoe UI" w:cs="Segoe UI"/>
        </w:rPr>
        <w:t>.</w:t>
      </w:r>
      <w:r w:rsidR="00EF2505">
        <w:rPr>
          <w:rFonts w:ascii="Segoe UI" w:hAnsi="Segoe UI" w:cs="Segoe UI"/>
        </w:rPr>
        <w:t xml:space="preserve"> </w:t>
      </w:r>
      <w:r w:rsidR="00EF2505">
        <w:t>While Oranga Tamariki do</w:t>
      </w:r>
      <w:r w:rsidR="00041FC2">
        <w:t>es</w:t>
      </w:r>
      <w:r w:rsidR="00EF2505">
        <w:t xml:space="preserve"> not collect data on the prevalence of mokopuna with FASD in the YJ system, estimates put this number </w:t>
      </w:r>
      <w:r w:rsidR="003A2DDB">
        <w:t>conservatively</w:t>
      </w:r>
      <w:r w:rsidR="00EF2505">
        <w:t xml:space="preserve"> around 50%.</w:t>
      </w:r>
      <w:r w:rsidR="00EF2505">
        <w:rPr>
          <w:rStyle w:val="FootnoteReference"/>
        </w:rPr>
        <w:footnoteReference w:id="111"/>
      </w:r>
      <w:r w:rsidR="007D2A4C">
        <w:t xml:space="preserve"> </w:t>
      </w:r>
      <w:r w:rsidR="00EF2505">
        <w:rPr>
          <w:rStyle w:val="FootnoteReference"/>
        </w:rPr>
        <w:footnoteReference w:id="112"/>
      </w:r>
      <w:r w:rsidR="00EF2505">
        <w:rPr>
          <w:rFonts w:ascii="Segoe UI" w:hAnsi="Segoe UI" w:cs="Segoe UI"/>
        </w:rPr>
        <w:t xml:space="preserve"> </w:t>
      </w:r>
    </w:p>
    <w:p w14:paraId="1F78E35B" w14:textId="77777777" w:rsidR="00EF2505" w:rsidRPr="00827B7E" w:rsidRDefault="00EF2505" w:rsidP="002A762E">
      <w:pPr>
        <w:pStyle w:val="ListNumber"/>
        <w:ind w:left="567" w:hanging="567"/>
        <w:jc w:val="both"/>
        <w:rPr>
          <w:rFonts w:ascii="Segoe UI" w:hAnsi="Segoe UI" w:cs="Segoe UI"/>
        </w:rPr>
      </w:pPr>
      <w:r w:rsidRPr="00827B7E">
        <w:rPr>
          <w:rFonts w:ascii="Segoe UI" w:hAnsi="Segoe UI" w:cs="Segoe UI"/>
        </w:rPr>
        <w:t xml:space="preserve">These mokopuna are more likely to be restrained, secluded, have difficulty transitioning back </w:t>
      </w:r>
      <w:r w:rsidRPr="002A762E">
        <w:t>into</w:t>
      </w:r>
      <w:r w:rsidRPr="00827B7E">
        <w:rPr>
          <w:rFonts w:ascii="Segoe UI" w:hAnsi="Segoe UI" w:cs="Segoe UI"/>
        </w:rPr>
        <w:t xml:space="preserve"> the community, have higher reoffending rates, and do not receive the necessary specialist support</w:t>
      </w:r>
      <w:r>
        <w:rPr>
          <w:rFonts w:ascii="Segoe UI" w:hAnsi="Segoe UI" w:cs="Segoe UI"/>
        </w:rPr>
        <w:t xml:space="preserve"> or accommodations</w:t>
      </w:r>
      <w:r w:rsidRPr="00827B7E">
        <w:rPr>
          <w:rFonts w:ascii="Segoe UI" w:hAnsi="Segoe UI" w:cs="Segoe UI"/>
        </w:rPr>
        <w:t>. Staff in these residences have repeatedly raised concerns at the lack of training or resources to support these mokopuna.</w:t>
      </w:r>
      <w:r>
        <w:rPr>
          <w:rStyle w:val="FootnoteReference"/>
          <w:rFonts w:ascii="Segoe UI" w:hAnsi="Segoe UI" w:cs="Segoe UI"/>
        </w:rPr>
        <w:footnoteReference w:id="113"/>
      </w:r>
    </w:p>
    <w:p w14:paraId="32AC67C4" w14:textId="5D7FDEC3" w:rsidR="00EF2505" w:rsidRDefault="005C2FC3" w:rsidP="002A762E">
      <w:pPr>
        <w:pStyle w:val="ListNumber"/>
        <w:ind w:left="567" w:hanging="567"/>
        <w:jc w:val="both"/>
        <w:rPr>
          <w:rFonts w:ascii="Segoe UI" w:hAnsi="Segoe UI" w:cs="Segoe UI"/>
        </w:rPr>
      </w:pPr>
      <w:r>
        <w:rPr>
          <w:rFonts w:ascii="Segoe UI" w:hAnsi="Segoe UI" w:cs="Segoe UI"/>
        </w:rPr>
        <w:t xml:space="preserve">The </w:t>
      </w:r>
      <w:r w:rsidR="00EF2505">
        <w:rPr>
          <w:rFonts w:ascii="Segoe UI" w:hAnsi="Segoe UI" w:cs="Segoe UI"/>
        </w:rPr>
        <w:t>OCC’s</w:t>
      </w:r>
      <w:r w:rsidR="00EF2505" w:rsidRPr="00011697">
        <w:rPr>
          <w:rFonts w:ascii="Segoe UI" w:hAnsi="Segoe UI" w:cs="Segoe UI"/>
        </w:rPr>
        <w:t xml:space="preserve"> </w:t>
      </w:r>
      <w:hyperlink r:id="rId26" w:history="1">
        <w:r w:rsidR="00EF2505" w:rsidRPr="00011697">
          <w:rPr>
            <w:rStyle w:val="Hyperlink"/>
          </w:rPr>
          <w:t>State of Care: Children with Offending Behaviour</w:t>
        </w:r>
      </w:hyperlink>
      <w:r w:rsidR="00EF2505" w:rsidRPr="00011697">
        <w:rPr>
          <w:rFonts w:ascii="Segoe UI" w:hAnsi="Segoe UI" w:cs="Segoe UI"/>
        </w:rPr>
        <w:t xml:space="preserve"> (2020) report outlined several key issues with the approach to child offending</w:t>
      </w:r>
      <w:r w:rsidR="00EF2505">
        <w:rPr>
          <w:rFonts w:ascii="Segoe UI" w:hAnsi="Segoe UI" w:cs="Segoe UI"/>
        </w:rPr>
        <w:t xml:space="preserve">: </w:t>
      </w:r>
      <w:r w:rsidR="00EF2505" w:rsidRPr="00011697">
        <w:rPr>
          <w:rFonts w:ascii="Segoe UI" w:hAnsi="Segoe UI" w:cs="Segoe UI"/>
        </w:rPr>
        <w:t>the system is complex and poorly understood; a lack of consistent and effective collaboration between agencies; initial early intervention is lacking; mokopuna are frequently disengaged from education and there are significant difficulties in reengaging them; culturally focussed responses are poor; and strategic leadership is needed.</w:t>
      </w:r>
    </w:p>
    <w:p w14:paraId="259CAA31" w14:textId="0AEAF80F" w:rsidR="00EF2505" w:rsidRPr="00011697" w:rsidRDefault="00EF2505" w:rsidP="002A762E">
      <w:pPr>
        <w:pStyle w:val="ListNumber"/>
        <w:ind w:left="567" w:hanging="567"/>
        <w:jc w:val="both"/>
        <w:rPr>
          <w:rFonts w:ascii="Segoe UI" w:hAnsi="Segoe UI" w:cs="Segoe UI"/>
        </w:rPr>
      </w:pPr>
      <w:r>
        <w:rPr>
          <w:rFonts w:ascii="Segoe UI" w:hAnsi="Segoe UI" w:cs="Segoe UI"/>
        </w:rPr>
        <w:t>OCC</w:t>
      </w:r>
      <w:r w:rsidRPr="00011697">
        <w:rPr>
          <w:rFonts w:ascii="Segoe UI" w:hAnsi="Segoe UI" w:cs="Segoe UI"/>
        </w:rPr>
        <w:t xml:space="preserve"> </w:t>
      </w:r>
      <w:r w:rsidR="00041FC2" w:rsidRPr="00011697">
        <w:rPr>
          <w:rFonts w:ascii="Segoe UI" w:hAnsi="Segoe UI" w:cs="Segoe UI"/>
        </w:rPr>
        <w:t>ha</w:t>
      </w:r>
      <w:r w:rsidR="00041FC2">
        <w:rPr>
          <w:rFonts w:ascii="Segoe UI" w:hAnsi="Segoe UI" w:cs="Segoe UI"/>
        </w:rPr>
        <w:t>s</w:t>
      </w:r>
      <w:r w:rsidR="00041FC2" w:rsidRPr="00011697">
        <w:rPr>
          <w:rFonts w:ascii="Segoe UI" w:hAnsi="Segoe UI" w:cs="Segoe UI"/>
        </w:rPr>
        <w:t xml:space="preserve"> </w:t>
      </w:r>
      <w:r w:rsidRPr="00011697">
        <w:rPr>
          <w:rFonts w:ascii="Segoe UI" w:hAnsi="Segoe UI" w:cs="Segoe UI"/>
          <w:lang w:val="en-GB"/>
        </w:rPr>
        <w:t>advocated for the least restrictive option in the</w:t>
      </w:r>
      <w:r>
        <w:rPr>
          <w:rFonts w:ascii="Segoe UI" w:hAnsi="Segoe UI" w:cs="Segoe UI"/>
          <w:lang w:val="en-GB"/>
        </w:rPr>
        <w:t xml:space="preserve"> YJ </w:t>
      </w:r>
      <w:r w:rsidRPr="00011697">
        <w:rPr>
          <w:rFonts w:ascii="Segoe UI" w:hAnsi="Segoe UI" w:cs="Segoe UI"/>
          <w:lang w:val="en-GB"/>
        </w:rPr>
        <w:t xml:space="preserve">system and for keeping mokopuna in </w:t>
      </w:r>
      <w:r w:rsidRPr="00894D67">
        <w:rPr>
          <w:rFonts w:ascii="Segoe UI" w:hAnsi="Segoe UI" w:cs="Segoe UI"/>
        </w:rPr>
        <w:t>their</w:t>
      </w:r>
      <w:r w:rsidRPr="00011697">
        <w:rPr>
          <w:rFonts w:ascii="Segoe UI" w:hAnsi="Segoe UI" w:cs="Segoe UI"/>
          <w:lang w:val="en-GB"/>
        </w:rPr>
        <w:t xml:space="preserve"> communities with their </w:t>
      </w:r>
      <w:r w:rsidRPr="00E14C22">
        <w:rPr>
          <w:rFonts w:ascii="Segoe UI" w:hAnsi="Segoe UI" w:cs="Segoe UI"/>
          <w:lang w:val="en-GB"/>
        </w:rPr>
        <w:t>whānau, hap</w:t>
      </w:r>
      <w:r w:rsidRPr="00E14C22">
        <w:rPr>
          <w:rFonts w:ascii="Segoe UI" w:hAnsi="Segoe UI" w:cs="Segoe UI"/>
          <w:lang w:val="mi-NZ"/>
        </w:rPr>
        <w:t>ū and iwi</w:t>
      </w:r>
      <w:r w:rsidRPr="005C2FC3">
        <w:rPr>
          <w:rFonts w:ascii="Segoe UI" w:hAnsi="Segoe UI" w:cs="Segoe UI"/>
          <w:lang w:val="en-GB"/>
        </w:rPr>
        <w:t>.</w:t>
      </w:r>
      <w:r w:rsidRPr="005C2FC3">
        <w:rPr>
          <w:rStyle w:val="FootnoteReference"/>
          <w:rFonts w:ascii="Segoe UI" w:hAnsi="Segoe UI" w:cs="Segoe UI"/>
          <w:lang w:val="en-GB"/>
        </w:rPr>
        <w:footnoteReference w:id="114"/>
      </w:r>
      <w:r>
        <w:rPr>
          <w:rFonts w:ascii="Segoe UI" w:hAnsi="Segoe UI" w:cs="Segoe UI"/>
          <w:lang w:val="en-GB"/>
        </w:rPr>
        <w:t xml:space="preserve"> </w:t>
      </w:r>
      <w:r>
        <w:t xml:space="preserve">Oranga </w:t>
      </w:r>
      <w:r w:rsidRPr="00C509A9">
        <w:rPr>
          <w:rFonts w:ascii="Segoe UI" w:hAnsi="Segoe UI" w:cs="Segoe UI"/>
        </w:rPr>
        <w:t>Tamariki</w:t>
      </w:r>
      <w:r>
        <w:t xml:space="preserve"> has committed</w:t>
      </w:r>
      <w:r>
        <w:rPr>
          <w:rStyle w:val="FootnoteReference"/>
        </w:rPr>
        <w:footnoteReference w:id="115"/>
      </w:r>
      <w:r>
        <w:t xml:space="preserve"> to moving away from institutional YJ residences towards smaller, community</w:t>
      </w:r>
      <w:r w:rsidR="005A03F7">
        <w:t>-</w:t>
      </w:r>
      <w:r>
        <w:t>based YJ and remand homes, operated by Oranga Tamariki with community partners, including iwi and non-governmental organisations.</w:t>
      </w:r>
      <w:r>
        <w:rPr>
          <w:rStyle w:val="FootnoteReference"/>
        </w:rPr>
        <w:footnoteReference w:id="116"/>
      </w:r>
      <w:r>
        <w:t xml:space="preserve"> OCC supports this approach, but it is yet to be realised.</w:t>
      </w:r>
    </w:p>
    <w:p w14:paraId="0639DA51" w14:textId="77777777" w:rsidR="00EF2505" w:rsidRPr="00C755B1" w:rsidRDefault="00EF2505" w:rsidP="002A762E">
      <w:pPr>
        <w:pStyle w:val="Pull-OutText"/>
        <w:ind w:left="0"/>
        <w:rPr>
          <w:rFonts w:ascii="Segoe UI" w:hAnsi="Segoe UI" w:cs="Segoe UI"/>
          <w:b/>
          <w:bCs/>
        </w:rPr>
      </w:pPr>
      <w:r w:rsidRPr="002A762E">
        <w:rPr>
          <w:rFonts w:ascii="Segoe UI" w:hAnsi="Segoe UI" w:cs="Segoe UI"/>
        </w:rPr>
        <w:t>Mokopuna under the Corrections Act 2004 in YJ</w:t>
      </w:r>
      <w:r w:rsidRPr="00C755B1">
        <w:rPr>
          <w:rFonts w:ascii="Segoe UI" w:hAnsi="Segoe UI" w:cs="Segoe UI"/>
          <w:b/>
          <w:bCs/>
        </w:rPr>
        <w:t xml:space="preserve"> </w:t>
      </w:r>
      <w:r w:rsidRPr="002A762E">
        <w:t>residences</w:t>
      </w:r>
    </w:p>
    <w:p w14:paraId="747917F6" w14:textId="6B698950" w:rsidR="00EF2505" w:rsidRPr="002A762E" w:rsidRDefault="00EF2505" w:rsidP="002A762E">
      <w:pPr>
        <w:pStyle w:val="ListNumber"/>
        <w:ind w:left="567" w:hanging="567"/>
        <w:jc w:val="both"/>
        <w:rPr>
          <w:rFonts w:ascii="Segoe UI" w:hAnsi="Segoe UI" w:cs="Segoe UI"/>
        </w:rPr>
      </w:pPr>
      <w:r w:rsidRPr="002A762E">
        <w:rPr>
          <w:rFonts w:ascii="Segoe UI" w:hAnsi="Segoe UI" w:cs="Segoe UI"/>
          <w:color w:val="000000"/>
          <w:lang w:eastAsia="en-GB"/>
        </w:rPr>
        <w:t xml:space="preserve">Mokopuna aged 17-20 </w:t>
      </w:r>
      <w:r w:rsidR="009F781B">
        <w:rPr>
          <w:rFonts w:ascii="Segoe UI" w:hAnsi="Segoe UI" w:cs="Segoe UI"/>
          <w:color w:val="000000"/>
          <w:lang w:eastAsia="en-GB"/>
        </w:rPr>
        <w:t xml:space="preserve">sentenced to terms of </w:t>
      </w:r>
      <w:r w:rsidR="001E0CC2">
        <w:rPr>
          <w:rFonts w:ascii="Segoe UI" w:hAnsi="Segoe UI" w:cs="Segoe UI"/>
          <w:color w:val="000000"/>
          <w:lang w:eastAsia="en-GB"/>
        </w:rPr>
        <w:t>i</w:t>
      </w:r>
      <w:r w:rsidR="009F781B">
        <w:rPr>
          <w:rFonts w:ascii="Segoe UI" w:hAnsi="Segoe UI" w:cs="Segoe UI"/>
          <w:color w:val="000000"/>
          <w:lang w:eastAsia="en-GB"/>
        </w:rPr>
        <w:t xml:space="preserve">mprisonment </w:t>
      </w:r>
      <w:r w:rsidRPr="002A762E">
        <w:rPr>
          <w:rFonts w:ascii="Segoe UI" w:hAnsi="Segoe UI" w:cs="Segoe UI"/>
          <w:color w:val="000000"/>
          <w:lang w:eastAsia="en-GB"/>
        </w:rPr>
        <w:t xml:space="preserve">in YJ residences under the </w:t>
      </w:r>
      <w:hyperlink r:id="rId27" w:history="1">
        <w:r w:rsidRPr="002A762E">
          <w:rPr>
            <w:rStyle w:val="Hyperlink"/>
            <w:rFonts w:ascii="Segoe UI" w:hAnsi="Segoe UI" w:cs="Segoe UI"/>
            <w:lang w:eastAsia="en-GB"/>
          </w:rPr>
          <w:t>Criminal Procedure Act 2011</w:t>
        </w:r>
      </w:hyperlink>
      <w:r w:rsidRPr="002A762E">
        <w:rPr>
          <w:rFonts w:ascii="Segoe UI" w:hAnsi="Segoe UI" w:cs="Segoe UI"/>
          <w:color w:val="000000"/>
          <w:lang w:eastAsia="en-GB"/>
        </w:rPr>
        <w:t xml:space="preserve"> or </w:t>
      </w:r>
      <w:r w:rsidR="00FE0205">
        <w:rPr>
          <w:rFonts w:ascii="Segoe UI" w:hAnsi="Segoe UI" w:cs="Segoe UI"/>
          <w:color w:val="000000"/>
          <w:lang w:eastAsia="en-GB"/>
        </w:rPr>
        <w:t xml:space="preserve">detained under </w:t>
      </w:r>
      <w:r w:rsidRPr="002A762E">
        <w:rPr>
          <w:rFonts w:ascii="Segoe UI" w:hAnsi="Segoe UI" w:cs="Segoe UI"/>
          <w:color w:val="000000"/>
          <w:lang w:eastAsia="en-GB"/>
        </w:rPr>
        <w:t xml:space="preserve">the </w:t>
      </w:r>
      <w:hyperlink r:id="rId28" w:history="1">
        <w:r w:rsidRPr="002A762E">
          <w:rPr>
            <w:rStyle w:val="Hyperlink"/>
            <w:rFonts w:ascii="Segoe UI" w:hAnsi="Segoe UI" w:cs="Segoe UI"/>
            <w:lang w:eastAsia="en-GB"/>
          </w:rPr>
          <w:t>Corrections Act 2004</w:t>
        </w:r>
      </w:hyperlink>
      <w:r w:rsidR="009F781B" w:rsidRPr="003A2DDB">
        <w:rPr>
          <w:color w:val="000000"/>
        </w:rPr>
        <w:t xml:space="preserve"> </w:t>
      </w:r>
      <w:r w:rsidRPr="002A762E">
        <w:rPr>
          <w:rFonts w:ascii="Segoe UI" w:hAnsi="Segoe UI" w:cs="Segoe UI"/>
          <w:color w:val="000000"/>
          <w:lang w:eastAsia="en-GB"/>
        </w:rPr>
        <w:t xml:space="preserve">have significantly less opportunity to participate </w:t>
      </w:r>
      <w:r w:rsidRPr="003A2DDB">
        <w:rPr>
          <w:rFonts w:ascii="Segoe UI" w:hAnsi="Segoe UI" w:cs="Segoe UI"/>
          <w:color w:val="000000"/>
          <w:lang w:eastAsia="en-GB"/>
        </w:rPr>
        <w:t>in</w:t>
      </w:r>
      <w:r w:rsidRPr="002A762E">
        <w:rPr>
          <w:rFonts w:ascii="Segoe UI" w:hAnsi="Segoe UI" w:cs="Segoe UI"/>
          <w:color w:val="000000"/>
          <w:lang w:eastAsia="en-GB"/>
        </w:rPr>
        <w:t xml:space="preserve"> offsite activities and their rights, particularly when held in secure care, are negatively impacted due to the different legislation justifying their detention.</w:t>
      </w:r>
      <w:r w:rsidRPr="002A762E">
        <w:rPr>
          <w:rStyle w:val="FootnoteReference"/>
          <w:rFonts w:ascii="Segoe UI" w:hAnsi="Segoe UI" w:cs="Segoe UI"/>
          <w:lang w:eastAsia="en-GB"/>
        </w:rPr>
        <w:footnoteReference w:id="117"/>
      </w:r>
    </w:p>
    <w:p w14:paraId="433819DF" w14:textId="477A4776" w:rsidR="000E6336" w:rsidRPr="00CA67E2" w:rsidRDefault="00EF2505" w:rsidP="002A762E">
      <w:pPr>
        <w:pStyle w:val="ListNumber"/>
        <w:ind w:left="567" w:hanging="567"/>
        <w:jc w:val="both"/>
        <w:rPr>
          <w:rFonts w:ascii="Segoe UI" w:hAnsi="Segoe UI" w:cs="Segoe UI"/>
          <w:color w:val="auto"/>
          <w:lang w:eastAsia="en-NZ"/>
        </w:rPr>
      </w:pPr>
      <w:r w:rsidRPr="002A762E">
        <w:rPr>
          <w:rFonts w:ascii="Segoe UI" w:hAnsi="Segoe UI" w:cs="Segoe UI"/>
        </w:rPr>
        <w:t xml:space="preserve">Mokopuna </w:t>
      </w:r>
      <w:r w:rsidR="00041FC2">
        <w:rPr>
          <w:rFonts w:ascii="Segoe UI" w:hAnsi="Segoe UI" w:cs="Segoe UI"/>
        </w:rPr>
        <w:t>detained</w:t>
      </w:r>
      <w:r w:rsidR="00041FC2" w:rsidRPr="002A762E">
        <w:rPr>
          <w:rFonts w:ascii="Segoe UI" w:hAnsi="Segoe UI" w:cs="Segoe UI"/>
        </w:rPr>
        <w:t xml:space="preserve"> </w:t>
      </w:r>
      <w:r w:rsidRPr="002A762E">
        <w:rPr>
          <w:rFonts w:ascii="Segoe UI" w:hAnsi="Segoe UI" w:cs="Segoe UI"/>
        </w:rPr>
        <w:t>under s34A of the Corrections Act are denied access to education</w:t>
      </w:r>
      <w:r w:rsidR="003A2DDB">
        <w:rPr>
          <w:rFonts w:ascii="Segoe UI" w:hAnsi="Segoe UI" w:cs="Segoe UI"/>
        </w:rPr>
        <w:t>al off-site</w:t>
      </w:r>
      <w:r w:rsidRPr="002A762E">
        <w:rPr>
          <w:rFonts w:ascii="Segoe UI" w:hAnsi="Segoe UI" w:cs="Segoe UI"/>
        </w:rPr>
        <w:t xml:space="preserve"> visits, and rehabilitation, and are subject to highly restrictive practices.</w:t>
      </w:r>
      <w:r w:rsidRPr="002A762E">
        <w:rPr>
          <w:rStyle w:val="FootnoteReference"/>
          <w:rFonts w:ascii="Segoe UI" w:hAnsi="Segoe UI" w:cs="Segoe UI"/>
        </w:rPr>
        <w:footnoteReference w:id="118"/>
      </w:r>
      <w:r w:rsidRPr="002A762E">
        <w:rPr>
          <w:rFonts w:ascii="Segoe UI" w:hAnsi="Segoe UI" w:cs="Segoe UI"/>
        </w:rPr>
        <w:t xml:space="preserve"> </w:t>
      </w:r>
      <w:r w:rsidR="00CA67E2">
        <w:rPr>
          <w:rFonts w:ascii="Segoe UI" w:hAnsi="Segoe UI" w:cs="Segoe UI"/>
        </w:rPr>
        <w:t xml:space="preserve">Currently, these mokopuna receive day-to-day care from Oranga Tamariki, yet </w:t>
      </w:r>
      <w:r w:rsidR="00CA67E2">
        <w:t>Corrections maintain responsibility for sentence management, progress reporting, escorts, psychological assessments, and making decisions regarding contact and phone calls. This is despite Corrections staff not being physically located near th</w:t>
      </w:r>
      <w:r w:rsidR="007D2A4C">
        <w:t>ese</w:t>
      </w:r>
      <w:r w:rsidR="00CA67E2">
        <w:t xml:space="preserve"> mokopuna or having an established relationship with them, unlike Oranga Tamariki staff </w:t>
      </w:r>
      <w:r w:rsidR="007D2A4C">
        <w:t>who provide</w:t>
      </w:r>
      <w:r w:rsidR="00CA67E2">
        <w:t xml:space="preserve"> their daily care.</w:t>
      </w:r>
    </w:p>
    <w:p w14:paraId="1E652589" w14:textId="4ECD7F06" w:rsidR="00CA67E2" w:rsidRPr="002A762E" w:rsidRDefault="00CA67E2" w:rsidP="00CA67E2">
      <w:pPr>
        <w:pStyle w:val="ListNumber"/>
        <w:ind w:left="567" w:hanging="567"/>
        <w:jc w:val="both"/>
        <w:rPr>
          <w:rFonts w:ascii="Segoe UI" w:hAnsi="Segoe UI" w:cs="Segoe UI"/>
          <w:color w:val="auto"/>
          <w:lang w:eastAsia="en-NZ"/>
        </w:rPr>
      </w:pPr>
      <w:r>
        <w:t>Further, the priorities and processes of Corrections staff, including Case Managers, is not informed by the best interest principles outlined in the Oranga Tamariki Act 1989,</w:t>
      </w:r>
      <w:r w:rsidR="007D2A4C">
        <w:t xml:space="preserve"> a child-centred approach,</w:t>
      </w:r>
      <w:r>
        <w:t xml:space="preserve"> nor the requirements set out in s 7AA, as Corrections’ primary focus is public safety.</w:t>
      </w:r>
    </w:p>
    <w:p w14:paraId="61113957" w14:textId="649EAA19" w:rsidR="00EF2505" w:rsidRPr="002A762E" w:rsidRDefault="00EF2505" w:rsidP="002A762E">
      <w:pPr>
        <w:pStyle w:val="ListNumber"/>
        <w:ind w:left="567" w:hanging="567"/>
        <w:jc w:val="both"/>
        <w:rPr>
          <w:rFonts w:ascii="Segoe UI" w:hAnsi="Segoe UI" w:cs="Segoe UI"/>
          <w:color w:val="auto"/>
          <w:lang w:eastAsia="en-NZ"/>
        </w:rPr>
      </w:pPr>
      <w:r w:rsidRPr="002A762E">
        <w:rPr>
          <w:rFonts w:ascii="Segoe UI" w:hAnsi="Segoe UI" w:cs="Segoe UI"/>
        </w:rPr>
        <w:t>This creates difficulties for residence staff applying two different sets of regulations and two groups of mokopuna in the same residence being treated differently.</w:t>
      </w:r>
    </w:p>
    <w:p w14:paraId="44A90759" w14:textId="15D6E079" w:rsidR="00EF2505" w:rsidRDefault="00EF2505" w:rsidP="002A762E">
      <w:pPr>
        <w:pStyle w:val="ListNumber"/>
        <w:ind w:left="567" w:hanging="567"/>
        <w:jc w:val="both"/>
        <w:rPr>
          <w:rFonts w:ascii="Segoe UI" w:hAnsi="Segoe UI" w:cs="Segoe UI"/>
          <w:color w:val="auto"/>
          <w:lang w:eastAsia="en-NZ"/>
        </w:rPr>
      </w:pPr>
      <w:r w:rsidRPr="002A762E">
        <w:rPr>
          <w:rFonts w:ascii="Segoe UI" w:hAnsi="Segoe UI" w:cs="Segoe UI"/>
        </w:rPr>
        <w:t>International rights guidance</w:t>
      </w:r>
      <w:r w:rsidRPr="002A762E">
        <w:rPr>
          <w:rStyle w:val="FootnoteReference"/>
          <w:rFonts w:ascii="Segoe UI" w:hAnsi="Segoe UI" w:cs="Segoe UI"/>
        </w:rPr>
        <w:footnoteReference w:id="119"/>
      </w:r>
      <w:r w:rsidRPr="002A762E">
        <w:rPr>
          <w:rFonts w:ascii="Segoe UI" w:hAnsi="Segoe UI" w:cs="Segoe UI"/>
        </w:rPr>
        <w:t xml:space="preserve"> is clear that all mokopuna alleged as, accused of, or recognised as having infringed criminal law should always be treated in a manner consistent with the promotion of the child’s sense of dignity and worth.</w:t>
      </w:r>
      <w:r w:rsidRPr="002A762E">
        <w:rPr>
          <w:rStyle w:val="FootnoteReference"/>
          <w:rFonts w:ascii="Segoe UI" w:hAnsi="Segoe UI" w:cs="Segoe UI"/>
        </w:rPr>
        <w:footnoteReference w:id="120"/>
      </w:r>
      <w:r w:rsidRPr="002A762E">
        <w:rPr>
          <w:rStyle w:val="FootnoteReference"/>
          <w:rFonts w:ascii="Segoe UI" w:hAnsi="Segoe UI" w:cs="Segoe UI"/>
        </w:rPr>
        <w:t xml:space="preserve"> </w:t>
      </w:r>
      <w:r w:rsidRPr="002A762E">
        <w:rPr>
          <w:rFonts w:ascii="Segoe UI" w:hAnsi="Segoe UI" w:cs="Segoe UI"/>
        </w:rPr>
        <w:t>All rights apply to all mokopuna, regardless of what jurisdictionally-based detention they are placed under.</w:t>
      </w:r>
      <w:r w:rsidRPr="002A762E">
        <w:rPr>
          <w:rFonts w:ascii="Segoe UI" w:hAnsi="Segoe UI" w:cs="Segoe UI"/>
          <w:color w:val="auto"/>
          <w:lang w:eastAsia="en-NZ"/>
        </w:rPr>
        <w:t xml:space="preserve"> </w:t>
      </w:r>
    </w:p>
    <w:p w14:paraId="40D22D17" w14:textId="733B02FB" w:rsidR="00EF2505" w:rsidRPr="002A762E" w:rsidRDefault="00EF2505" w:rsidP="002A762E">
      <w:pPr>
        <w:pStyle w:val="ListNumber"/>
        <w:ind w:left="567" w:hanging="567"/>
        <w:jc w:val="both"/>
        <w:rPr>
          <w:rFonts w:ascii="Segoe UI" w:hAnsi="Segoe UI" w:cs="Segoe UI"/>
          <w:color w:val="auto"/>
          <w:lang w:eastAsia="en-NZ"/>
        </w:rPr>
      </w:pPr>
      <w:r w:rsidRPr="002A762E">
        <w:rPr>
          <w:rFonts w:ascii="Segoe UI" w:hAnsi="Segoe UI" w:cs="Segoe UI"/>
        </w:rPr>
        <w:t>Of particular concern, decisions regarding secure care, including timeframes and release are made by Corrections and covered by the legal protections of the Corrections Act as opposed to the Oranga Tamariki Act.</w:t>
      </w:r>
    </w:p>
    <w:p w14:paraId="7E4CC36B" w14:textId="77777777" w:rsidR="00EF2505" w:rsidRPr="002A762E" w:rsidRDefault="00EF2505" w:rsidP="002A762E">
      <w:pPr>
        <w:pStyle w:val="ListNumber"/>
        <w:ind w:left="567" w:hanging="567"/>
        <w:jc w:val="both"/>
        <w:rPr>
          <w:rFonts w:ascii="Segoe UI" w:hAnsi="Segoe UI" w:cs="Segoe UI"/>
          <w:color w:val="auto"/>
          <w:lang w:eastAsia="en-NZ"/>
        </w:rPr>
      </w:pPr>
      <w:r w:rsidRPr="002A762E">
        <w:rPr>
          <w:rFonts w:ascii="Segoe UI" w:hAnsi="Segoe UI" w:cs="Segoe UI"/>
        </w:rPr>
        <w:t>Section 370 of the Oranga Tamariki Act stipulates that no child or young person shall be kept in secure care for a continuous period of more than 72 hours, or on more than three consecutive days (whether continuously or not), unless an approval has been granted through the Youth Court. This provision, and the right to challenge this decision is not available to mokopuna placed under s 34A of the Corrections Act.</w:t>
      </w:r>
    </w:p>
    <w:p w14:paraId="17F74199" w14:textId="26E55854" w:rsidR="00EF2505" w:rsidRPr="002A762E" w:rsidRDefault="00EF2505" w:rsidP="002A762E">
      <w:pPr>
        <w:pStyle w:val="ListNumber"/>
        <w:ind w:left="567" w:hanging="567"/>
        <w:jc w:val="both"/>
        <w:rPr>
          <w:rFonts w:ascii="Segoe UI" w:hAnsi="Segoe UI" w:cs="Segoe UI"/>
          <w:color w:val="auto"/>
          <w:lang w:eastAsia="en-NZ"/>
        </w:rPr>
      </w:pPr>
      <w:r w:rsidRPr="002A762E">
        <w:rPr>
          <w:rFonts w:ascii="Segoe UI" w:hAnsi="Segoe UI" w:cs="Segoe UI"/>
        </w:rPr>
        <w:t xml:space="preserve">Under s 58 of the Corrections Act, the segregation period (seclusion) may last for up to 14 days (which meets international definitions of solitary </w:t>
      </w:r>
      <w:r w:rsidR="002A762E" w:rsidRPr="002A762E">
        <w:rPr>
          <w:rFonts w:ascii="Segoe UI" w:hAnsi="Segoe UI" w:cs="Segoe UI"/>
        </w:rPr>
        <w:t>confinement) and</w:t>
      </w:r>
      <w:r w:rsidRPr="002A762E">
        <w:rPr>
          <w:rFonts w:ascii="Segoe UI" w:hAnsi="Segoe UI" w:cs="Segoe UI"/>
        </w:rPr>
        <w:t xml:space="preserve"> is revoked by the Prison Manager. This is contrary to Article 37(a) of the Children’s Convention and in the OCC’s view, meets the definition of cruel, inhuman, or degrading treatment</w:t>
      </w:r>
      <w:r w:rsidR="007F0F8F">
        <w:rPr>
          <w:rFonts w:ascii="Segoe UI" w:hAnsi="Segoe UI" w:cs="Segoe UI"/>
        </w:rPr>
        <w:t xml:space="preserve"> or punishment</w:t>
      </w:r>
      <w:r w:rsidRPr="002A762E">
        <w:rPr>
          <w:rFonts w:ascii="Segoe UI" w:hAnsi="Segoe UI" w:cs="Segoe UI"/>
        </w:rPr>
        <w:t xml:space="preserve"> under Article 16 of the </w:t>
      </w:r>
      <w:r w:rsidR="005C2FC3">
        <w:rPr>
          <w:rFonts w:ascii="Segoe UI" w:hAnsi="Segoe UI" w:cs="Segoe UI"/>
        </w:rPr>
        <w:t>CAT</w:t>
      </w:r>
      <w:r w:rsidRPr="002A762E">
        <w:rPr>
          <w:rFonts w:ascii="Segoe UI" w:hAnsi="Segoe UI" w:cs="Segoe UI"/>
        </w:rPr>
        <w:t>.</w:t>
      </w:r>
    </w:p>
    <w:p w14:paraId="602D545A" w14:textId="42746813" w:rsidR="009F781B" w:rsidRPr="001E0CC2" w:rsidRDefault="00EF2505" w:rsidP="002A762E">
      <w:pPr>
        <w:pStyle w:val="ListNumber"/>
        <w:ind w:left="567" w:hanging="567"/>
        <w:jc w:val="both"/>
        <w:rPr>
          <w:rFonts w:ascii="Segoe UI" w:hAnsi="Segoe UI" w:cs="Segoe UI"/>
          <w:color w:val="auto"/>
          <w:lang w:eastAsia="en-NZ"/>
        </w:rPr>
      </w:pPr>
      <w:r w:rsidRPr="002A762E">
        <w:rPr>
          <w:rFonts w:ascii="Segoe UI" w:hAnsi="Segoe UI" w:cs="Segoe UI"/>
        </w:rPr>
        <w:t>The current legal provisions have not been considered in the context of international rights obligations.</w:t>
      </w:r>
    </w:p>
    <w:p w14:paraId="1FC2CC0F" w14:textId="4B7005E3" w:rsidR="00EF2505" w:rsidRPr="002A762E" w:rsidRDefault="005C2FC3" w:rsidP="002A762E">
      <w:pPr>
        <w:pStyle w:val="ListNumber"/>
        <w:ind w:left="567" w:hanging="567"/>
        <w:jc w:val="both"/>
        <w:rPr>
          <w:rFonts w:ascii="Segoe UI" w:hAnsi="Segoe UI" w:cs="Segoe UI"/>
          <w:color w:val="auto"/>
          <w:lang w:eastAsia="en-NZ"/>
        </w:rPr>
      </w:pPr>
      <w:r>
        <w:rPr>
          <w:rFonts w:ascii="Segoe UI" w:hAnsi="Segoe UI" w:cs="Segoe UI"/>
        </w:rPr>
        <w:t>The OCC advocate</w:t>
      </w:r>
      <w:r w:rsidR="009F781B">
        <w:rPr>
          <w:rFonts w:ascii="Segoe UI" w:hAnsi="Segoe UI" w:cs="Segoe UI"/>
        </w:rPr>
        <w:t>s</w:t>
      </w:r>
      <w:r>
        <w:rPr>
          <w:rFonts w:ascii="Segoe UI" w:hAnsi="Segoe UI" w:cs="Segoe UI"/>
        </w:rPr>
        <w:t xml:space="preserve"> for </w:t>
      </w:r>
      <w:r w:rsidR="00FE0205">
        <w:rPr>
          <w:rFonts w:ascii="Segoe UI" w:hAnsi="Segoe UI" w:cs="Segoe UI"/>
        </w:rPr>
        <w:t xml:space="preserve">legislative changes to ensure </w:t>
      </w:r>
      <w:r>
        <w:t>Oranga Tamariki take responsibility for all aspects of care</w:t>
      </w:r>
      <w:r w:rsidR="007F0F8F">
        <w:t xml:space="preserve"> for mokopuna under s 34A of the Corrections Act</w:t>
      </w:r>
      <w:r>
        <w:t xml:space="preserve">, including plans and Parole Board proceedings, to reduce Corrections involvement </w:t>
      </w:r>
      <w:r w:rsidR="007F0F8F">
        <w:t>and</w:t>
      </w:r>
      <w:r>
        <w:t xml:space="preserve"> ensure equitable treatment.</w:t>
      </w:r>
    </w:p>
    <w:p w14:paraId="3A0C02BB" w14:textId="77777777" w:rsidR="00766FAF" w:rsidRDefault="00766FAF" w:rsidP="00EF2505">
      <w:pPr>
        <w:pStyle w:val="Pull-OutText"/>
        <w:ind w:left="0"/>
      </w:pPr>
    </w:p>
    <w:p w14:paraId="0F1B173F" w14:textId="44924273" w:rsidR="00EF2505" w:rsidRDefault="00EF2505" w:rsidP="00EF2505">
      <w:pPr>
        <w:pStyle w:val="Pull-OutText"/>
        <w:ind w:left="0"/>
      </w:pPr>
      <w:r>
        <w:t>Mental Health Facilities</w:t>
      </w:r>
    </w:p>
    <w:p w14:paraId="1D577D6B" w14:textId="77777777" w:rsidR="00EF2505" w:rsidRPr="003A23CC" w:rsidRDefault="00EF2505" w:rsidP="00EF2505">
      <w:pPr>
        <w:pStyle w:val="Pull-OutText"/>
        <w:jc w:val="both"/>
      </w:pPr>
      <w:r>
        <w:t>“Being inside here kind of feels like prison…. Like I just feel like, personally feel like trapped”</w:t>
      </w:r>
      <w:r w:rsidRPr="002A762E">
        <w:rPr>
          <w:vertAlign w:val="superscript"/>
        </w:rPr>
        <w:footnoteReference w:id="121"/>
      </w:r>
    </w:p>
    <w:p w14:paraId="407327D2" w14:textId="61E3A134" w:rsidR="00EF2505" w:rsidRDefault="00EF2505" w:rsidP="002A762E">
      <w:pPr>
        <w:pStyle w:val="ListNumber"/>
        <w:ind w:left="567" w:hanging="567"/>
        <w:jc w:val="both"/>
        <w:rPr>
          <w:rFonts w:ascii="Segoe UI" w:hAnsi="Segoe UI" w:cs="Segoe UI"/>
        </w:rPr>
      </w:pPr>
      <w:r>
        <w:rPr>
          <w:rFonts w:ascii="Segoe UI" w:hAnsi="Segoe UI" w:cs="Segoe UI"/>
        </w:rPr>
        <w:t xml:space="preserve">In 2020, </w:t>
      </w:r>
      <w:r w:rsidR="005C2FC3">
        <w:rPr>
          <w:rFonts w:ascii="Segoe UI" w:hAnsi="Segoe UI" w:cs="Segoe UI"/>
        </w:rPr>
        <w:t xml:space="preserve">the </w:t>
      </w:r>
      <w:r>
        <w:rPr>
          <w:rFonts w:ascii="Segoe UI" w:hAnsi="Segoe UI" w:cs="Segoe UI"/>
        </w:rPr>
        <w:t xml:space="preserve">OCC took on monitoring designations for mental health facilities where mokopuna are detained. </w:t>
      </w:r>
      <w:r w:rsidRPr="00D07D33">
        <w:rPr>
          <w:rFonts w:ascii="Segoe UI" w:hAnsi="Segoe UI" w:cs="Segoe UI"/>
        </w:rPr>
        <w:t>Between 2021-22, OCC monitored three inpatient youth mental health facilities and identified a number of concerns</w:t>
      </w:r>
      <w:r>
        <w:rPr>
          <w:rFonts w:ascii="Segoe UI" w:hAnsi="Segoe UI" w:cs="Segoe UI"/>
        </w:rPr>
        <w:t>: the physical environment of facilities are</w:t>
      </w:r>
      <w:r w:rsidRPr="00D07D33">
        <w:rPr>
          <w:rFonts w:ascii="Segoe UI" w:hAnsi="Segoe UI" w:cs="Segoe UI"/>
        </w:rPr>
        <w:t xml:space="preserve"> not adequately meeting the needs of mokopuna; mokopuna lacked the knowledge and general awareness on how to engage in the complaints process</w:t>
      </w:r>
      <w:r>
        <w:rPr>
          <w:rFonts w:ascii="Segoe UI" w:hAnsi="Segoe UI" w:cs="Segoe UI"/>
        </w:rPr>
        <w:t xml:space="preserve"> and had limited understanding of their rights; the use of seclusion and restraint was high in one facility;</w:t>
      </w:r>
      <w:r w:rsidR="00C45E5D">
        <w:rPr>
          <w:rStyle w:val="FootnoteReference"/>
          <w:rFonts w:ascii="Segoe UI" w:hAnsi="Segoe UI" w:cs="Segoe UI"/>
        </w:rPr>
        <w:footnoteReference w:id="122"/>
      </w:r>
      <w:r>
        <w:rPr>
          <w:rFonts w:ascii="Segoe UI" w:hAnsi="Segoe UI" w:cs="Segoe UI"/>
        </w:rPr>
        <w:t xml:space="preserve"> and opportunities for staff training were limited due to staffing shortages in the sector.</w:t>
      </w:r>
    </w:p>
    <w:p w14:paraId="029AF2EA" w14:textId="25D3C0DE" w:rsidR="00C45E5D" w:rsidRPr="002A762E" w:rsidRDefault="00C45E5D" w:rsidP="00C45E5D">
      <w:pPr>
        <w:pStyle w:val="ListNumber"/>
        <w:ind w:left="567" w:hanging="567"/>
        <w:jc w:val="both"/>
        <w:rPr>
          <w:rFonts w:ascii="Segoe UI" w:hAnsi="Segoe UI" w:cs="Segoe UI"/>
        </w:rPr>
      </w:pPr>
      <w:r>
        <w:t>The OCC observed that voluntary</w:t>
      </w:r>
      <w:r>
        <w:rPr>
          <w:rStyle w:val="FootnoteReference"/>
        </w:rPr>
        <w:footnoteReference w:id="123"/>
      </w:r>
      <w:r>
        <w:t xml:space="preserve"> mokopuna were subject to restrictive practices as a result of being on a locked unit</w:t>
      </w:r>
      <w:r w:rsidR="009F781B">
        <w:t xml:space="preserve">. </w:t>
      </w:r>
      <w:r>
        <w:t xml:space="preserve"> </w:t>
      </w:r>
      <w:r w:rsidR="009F781B">
        <w:t>The OCC has</w:t>
      </w:r>
      <w:r>
        <w:t xml:space="preserve"> advocated for robust consent processes to ensure mokopuna are aware of their right to leave.</w:t>
      </w:r>
    </w:p>
    <w:p w14:paraId="444A3B25" w14:textId="7CB3E083" w:rsidR="00EF2505" w:rsidRDefault="00EF2505" w:rsidP="002A762E">
      <w:pPr>
        <w:pStyle w:val="ListNumber"/>
        <w:ind w:left="567" w:hanging="567"/>
        <w:jc w:val="both"/>
        <w:rPr>
          <w:rFonts w:ascii="Segoe UI" w:hAnsi="Segoe UI" w:cs="Segoe UI"/>
        </w:rPr>
      </w:pPr>
      <w:r>
        <w:rPr>
          <w:rFonts w:ascii="Segoe UI" w:hAnsi="Segoe UI" w:cs="Segoe UI"/>
        </w:rPr>
        <w:t xml:space="preserve">As a positive, OCC observed strong therapeutic interventions and models of care, positive mokopuna involvement in care and transition planning, good access to whānau, as well as </w:t>
      </w:r>
      <w:r w:rsidR="005C2FC3">
        <w:rPr>
          <w:rFonts w:ascii="Segoe UI" w:hAnsi="Segoe UI" w:cs="Segoe UI"/>
        </w:rPr>
        <w:t>positive</w:t>
      </w:r>
      <w:r>
        <w:rPr>
          <w:rFonts w:ascii="Segoe UI" w:hAnsi="Segoe UI" w:cs="Segoe UI"/>
        </w:rPr>
        <w:t xml:space="preserve"> staff culture, and relationships between mokopuna and staff.</w:t>
      </w:r>
      <w:r>
        <w:rPr>
          <w:rStyle w:val="FootnoteReference"/>
          <w:rFonts w:ascii="Segoe UI" w:hAnsi="Segoe UI" w:cs="Segoe UI"/>
        </w:rPr>
        <w:footnoteReference w:id="124"/>
      </w:r>
      <w:r>
        <w:rPr>
          <w:rFonts w:ascii="Segoe UI" w:hAnsi="Segoe UI" w:cs="Segoe UI"/>
        </w:rPr>
        <w:t xml:space="preserve"> </w:t>
      </w:r>
      <w:r>
        <w:t>Mokopuna Māori were also supported to establish connections within their hāpu and iwi, learn their whakapapa and learn about their world through a te ao Māori lens.</w:t>
      </w:r>
    </w:p>
    <w:p w14:paraId="0944BD70" w14:textId="16612921" w:rsidR="002A762E" w:rsidRDefault="00EF2505" w:rsidP="002A762E">
      <w:pPr>
        <w:pStyle w:val="ListNumber"/>
        <w:ind w:left="567" w:hanging="567"/>
        <w:jc w:val="both"/>
        <w:rPr>
          <w:rFonts w:ascii="Segoe UI" w:hAnsi="Segoe UI" w:cs="Segoe UI"/>
        </w:rPr>
      </w:pPr>
      <w:r w:rsidRPr="002A17CB">
        <w:rPr>
          <w:rFonts w:ascii="Segoe UI" w:hAnsi="Segoe UI" w:cs="Segoe UI"/>
        </w:rPr>
        <w:t xml:space="preserve">The </w:t>
      </w:r>
      <w:hyperlink r:id="rId29" w:history="1">
        <w:r w:rsidRPr="00C45E5D">
          <w:rPr>
            <w:rStyle w:val="Hyperlink"/>
            <w:rFonts w:ascii="Segoe UI" w:hAnsi="Segoe UI" w:cs="Segoe UI"/>
          </w:rPr>
          <w:t>Mental Health (Compulsory Assessment and Treatment) Act 1992</w:t>
        </w:r>
      </w:hyperlink>
      <w:r w:rsidRPr="002A17CB">
        <w:rPr>
          <w:rFonts w:ascii="Segoe UI" w:hAnsi="Segoe UI" w:cs="Segoe UI"/>
        </w:rPr>
        <w:t xml:space="preserve"> (Mental Health Act) is currently under review. </w:t>
      </w:r>
      <w:r w:rsidR="00C45E5D">
        <w:rPr>
          <w:rFonts w:ascii="Segoe UI" w:hAnsi="Segoe UI" w:cs="Segoe UI"/>
        </w:rPr>
        <w:t xml:space="preserve">The </w:t>
      </w:r>
      <w:r w:rsidRPr="002A17CB">
        <w:rPr>
          <w:rFonts w:ascii="Segoe UI" w:hAnsi="Segoe UI" w:cs="Segoe UI"/>
        </w:rPr>
        <w:t>OCC supports the reform process and expect changes to be consistent with the Children’s Convention and include consultation with mokopuna, ensuring specific focus on the needs of mokopuna</w:t>
      </w:r>
      <w:r w:rsidR="00C45E5D">
        <w:rPr>
          <w:rFonts w:ascii="Segoe UI" w:hAnsi="Segoe UI" w:cs="Segoe UI"/>
        </w:rPr>
        <w:t xml:space="preserve"> receiving compulsory care</w:t>
      </w:r>
      <w:r w:rsidRPr="002A17CB">
        <w:rPr>
          <w:rFonts w:ascii="Segoe UI" w:hAnsi="Segoe UI" w:cs="Segoe UI"/>
        </w:rPr>
        <w:t>.</w:t>
      </w:r>
    </w:p>
    <w:p w14:paraId="466DFF2B" w14:textId="77777777" w:rsidR="00EF2505" w:rsidRDefault="00EF2505" w:rsidP="00EF2505">
      <w:pPr>
        <w:pStyle w:val="Pull-OutText"/>
        <w:ind w:left="0"/>
      </w:pPr>
      <w:r w:rsidRPr="00B6421D">
        <w:t>Remand Homes</w:t>
      </w:r>
    </w:p>
    <w:p w14:paraId="04E2F8BB" w14:textId="0BDD1F9E" w:rsidR="00EF2505" w:rsidRPr="00B70FF3" w:rsidRDefault="00EF2505" w:rsidP="002A762E">
      <w:pPr>
        <w:pStyle w:val="ListNumber"/>
        <w:ind w:left="567" w:hanging="567"/>
        <w:jc w:val="both"/>
        <w:rPr>
          <w:rFonts w:ascii="Segoe UI" w:hAnsi="Segoe UI" w:cs="Segoe UI"/>
        </w:rPr>
      </w:pPr>
      <w:r>
        <w:rPr>
          <w:rFonts w:ascii="Segoe UI" w:hAnsi="Segoe UI" w:cs="Segoe UI"/>
        </w:rPr>
        <w:t>Between 2021-22, OCC monitored two remand homes, which were run by non-</w:t>
      </w:r>
      <w:r w:rsidRPr="00140861">
        <w:t>governmental</w:t>
      </w:r>
      <w:r>
        <w:rPr>
          <w:rFonts w:ascii="Segoe UI" w:hAnsi="Segoe UI" w:cs="Segoe UI"/>
        </w:rPr>
        <w:t xml:space="preserve"> partners. </w:t>
      </w:r>
      <w:r w:rsidRPr="00EF58CA">
        <w:rPr>
          <w:rFonts w:ascii="Segoe UI" w:hAnsi="Segoe UI" w:cs="Segoe UI"/>
        </w:rPr>
        <w:t xml:space="preserve">No major concerns </w:t>
      </w:r>
      <w:r>
        <w:rPr>
          <w:rFonts w:ascii="Segoe UI" w:hAnsi="Segoe UI" w:cs="Segoe UI"/>
        </w:rPr>
        <w:t>were</w:t>
      </w:r>
      <w:r w:rsidRPr="00EF58CA">
        <w:rPr>
          <w:rFonts w:ascii="Segoe UI" w:hAnsi="Segoe UI" w:cs="Segoe UI"/>
        </w:rPr>
        <w:t xml:space="preserve"> identified </w:t>
      </w:r>
      <w:r>
        <w:rPr>
          <w:rFonts w:ascii="Segoe UI" w:hAnsi="Segoe UI" w:cs="Segoe UI"/>
        </w:rPr>
        <w:t xml:space="preserve">other than </w:t>
      </w:r>
      <w:r>
        <w:t xml:space="preserve">the lack of visibility from advocacy organisation Voyce Whakarongo Mai or an alternative independent advocate, knowledge around the grievance process, and general advocacy in community run remand </w:t>
      </w:r>
      <w:r w:rsidR="003A2DDB" w:rsidRPr="00B70FF3">
        <w:rPr>
          <w:rFonts w:ascii="Segoe UI" w:hAnsi="Segoe UI" w:cs="Segoe UI"/>
          <w:lang w:val="en-GB"/>
        </w:rPr>
        <w:t>homes</w:t>
      </w:r>
      <w:r w:rsidR="003A2DDB">
        <w:t>.</w:t>
      </w:r>
      <w:r w:rsidR="00A21F61">
        <w:t xml:space="preserve"> </w:t>
      </w:r>
      <w:r w:rsidR="007F0F8F">
        <w:t>The OCC advocate for and support the move towards small, bespoke, community-based homes.</w:t>
      </w:r>
    </w:p>
    <w:p w14:paraId="126CC4D3" w14:textId="49EC0572" w:rsidR="00EF2505" w:rsidRDefault="00EF2505" w:rsidP="00EF2505">
      <w:pPr>
        <w:pStyle w:val="Pull-OutText"/>
        <w:ind w:left="0"/>
      </w:pPr>
      <w:r>
        <w:t xml:space="preserve">Mothers </w:t>
      </w:r>
      <w:r w:rsidR="003A2DDB">
        <w:t>with</w:t>
      </w:r>
      <w:r>
        <w:t xml:space="preserve"> Babies Units in Corrections Prisons</w:t>
      </w:r>
    </w:p>
    <w:p w14:paraId="71C7908A" w14:textId="75805E77" w:rsidR="00EF2505" w:rsidRPr="000A296A" w:rsidRDefault="00EF2505" w:rsidP="002A762E">
      <w:pPr>
        <w:pStyle w:val="ListNumber"/>
        <w:ind w:left="567" w:hanging="567"/>
        <w:jc w:val="both"/>
        <w:rPr>
          <w:rFonts w:ascii="Segoe UI" w:hAnsi="Segoe UI" w:cs="Segoe UI"/>
        </w:rPr>
      </w:pPr>
      <w:r>
        <w:t>The Ombudsman holds the designations to monitor adult prisons</w:t>
      </w:r>
      <w:r w:rsidR="00C45E5D">
        <w:t>,</w:t>
      </w:r>
      <w:r>
        <w:t xml:space="preserve"> which includes Mothers with Babies Units (MBU) </w:t>
      </w:r>
      <w:r w:rsidR="00C45E5D">
        <w:t xml:space="preserve">located </w:t>
      </w:r>
      <w:r>
        <w:t xml:space="preserve">in the women’s </w:t>
      </w:r>
      <w:r w:rsidRPr="00B70FF3">
        <w:rPr>
          <w:rFonts w:ascii="Segoe UI" w:hAnsi="Segoe UI" w:cs="Segoe UI"/>
        </w:rPr>
        <w:t>prisons</w:t>
      </w:r>
      <w:r>
        <w:t xml:space="preserve">. </w:t>
      </w:r>
      <w:r w:rsidR="00C42163">
        <w:t xml:space="preserve">The </w:t>
      </w:r>
      <w:r>
        <w:t xml:space="preserve">OCC </w:t>
      </w:r>
      <w:r w:rsidR="00CB2EC8">
        <w:t xml:space="preserve">has </w:t>
      </w:r>
      <w:r w:rsidR="00395931">
        <w:t>accompanied</w:t>
      </w:r>
      <w:r>
        <w:t xml:space="preserve"> the Ombudsman</w:t>
      </w:r>
      <w:r w:rsidR="00395931">
        <w:t xml:space="preserve"> to prisons with MBUs</w:t>
      </w:r>
      <w:r>
        <w:t xml:space="preserve"> to focus on the treatment and conditions of babies in these facilities. Between 2022-2023</w:t>
      </w:r>
      <w:r w:rsidR="00C42163">
        <w:t>, the</w:t>
      </w:r>
      <w:r>
        <w:t xml:space="preserve"> OCC visited on</w:t>
      </w:r>
      <w:r w:rsidR="00C45E5D">
        <w:t>e</w:t>
      </w:r>
      <w:r>
        <w:t xml:space="preserve"> MBU and found COVID-19 restrictions across prisons had ongoing impacts on daily operations.</w:t>
      </w:r>
    </w:p>
    <w:p w14:paraId="115DB8AA" w14:textId="21CCE511" w:rsidR="00EF2505" w:rsidRPr="00B70FF3" w:rsidRDefault="00EF2505" w:rsidP="002A762E">
      <w:pPr>
        <w:pStyle w:val="ListNumber"/>
        <w:ind w:left="567" w:hanging="567"/>
        <w:jc w:val="both"/>
        <w:rPr>
          <w:rFonts w:ascii="Segoe UI" w:hAnsi="Segoe UI" w:cs="Segoe UI"/>
        </w:rPr>
      </w:pPr>
      <w:r>
        <w:t>Due to these restrictions mothers in the MBU could not mix or interact with other women in the low security self-care units</w:t>
      </w:r>
      <w:r w:rsidR="00C45E5D">
        <w:t>,</w:t>
      </w:r>
      <w:r>
        <w:t xml:space="preserve"> were restricted to staying within their unit</w:t>
      </w:r>
      <w:r w:rsidR="00C45E5D">
        <w:t>,</w:t>
      </w:r>
      <w:r>
        <w:t xml:space="preserve"> and </w:t>
      </w:r>
      <w:r w:rsidR="00C45E5D">
        <w:t xml:space="preserve">their </w:t>
      </w:r>
      <w:r>
        <w:t>babies were unable to see their whānau or interact with other people. Some staff in the MBU did not have specialist training (including baby development and safety and maternal mental health) and there was a lack of access to child-care support. Complaints processes were also an issue.</w:t>
      </w:r>
      <w:r w:rsidR="00B40736">
        <w:rPr>
          <w:rStyle w:val="FootnoteReference"/>
        </w:rPr>
        <w:footnoteReference w:id="125"/>
      </w:r>
    </w:p>
    <w:p w14:paraId="53820E4D" w14:textId="77777777" w:rsidR="00EF2505" w:rsidRDefault="00EF2505" w:rsidP="00EF2505">
      <w:pPr>
        <w:pStyle w:val="Pull-OutText"/>
        <w:ind w:left="0"/>
      </w:pPr>
      <w:r>
        <w:t>Age-mixing</w:t>
      </w:r>
    </w:p>
    <w:p w14:paraId="3F6B70D2" w14:textId="58B4EAA6" w:rsidR="00EF2505" w:rsidRPr="00E14C22" w:rsidRDefault="00EF2505" w:rsidP="002A762E">
      <w:pPr>
        <w:pStyle w:val="ListNumber"/>
        <w:ind w:left="567" w:hanging="567"/>
        <w:jc w:val="both"/>
        <w:rPr>
          <w:rFonts w:ascii="Segoe UI" w:hAnsi="Segoe UI" w:cs="Segoe UI"/>
        </w:rPr>
      </w:pPr>
      <w:r>
        <w:t xml:space="preserve">The 2019 amendments to the Oranga Tamariki Act 1989 mean 17-year-olds who commit </w:t>
      </w:r>
      <w:r w:rsidRPr="00FF1BB5">
        <w:rPr>
          <w:rFonts w:ascii="Segoe UI" w:hAnsi="Segoe UI" w:cs="Segoe UI"/>
        </w:rPr>
        <w:t>offences</w:t>
      </w:r>
      <w:r>
        <w:t xml:space="preserve"> are now included in the YJ system rather than the adult system.</w:t>
      </w:r>
      <w:r w:rsidR="009C39CA">
        <w:rPr>
          <w:rStyle w:val="FootnoteReference"/>
        </w:rPr>
        <w:footnoteReference w:id="126"/>
      </w:r>
    </w:p>
    <w:p w14:paraId="3B541E4F" w14:textId="212F1ADE" w:rsidR="00EF2505" w:rsidRPr="00C73F55" w:rsidRDefault="00EF2505" w:rsidP="002A762E">
      <w:pPr>
        <w:pStyle w:val="ListNumber"/>
        <w:ind w:left="567" w:hanging="567"/>
        <w:jc w:val="both"/>
        <w:rPr>
          <w:rFonts w:ascii="Segoe UI" w:hAnsi="Segoe UI" w:cs="Segoe UI"/>
        </w:rPr>
      </w:pPr>
      <w:r>
        <w:t xml:space="preserve">The </w:t>
      </w:r>
      <w:r w:rsidRPr="00E14C22">
        <w:t>OCC welcome</w:t>
      </w:r>
      <w:r>
        <w:t>d</w:t>
      </w:r>
      <w:r w:rsidRPr="00E14C22">
        <w:t xml:space="preserve"> this change, </w:t>
      </w:r>
      <w:r>
        <w:t xml:space="preserve">however, </w:t>
      </w:r>
      <w:r w:rsidRPr="00E14C22">
        <w:t>it has also resulted in</w:t>
      </w:r>
      <w:r>
        <w:t xml:space="preserve"> practical challenges for secure residences with older cohorts mixing with younger mokopuna. </w:t>
      </w:r>
      <w:r w:rsidR="00C45E5D">
        <w:t>Impacts have included</w:t>
      </w:r>
      <w:r w:rsidRPr="009A623C">
        <w:t xml:space="preserve"> mokopuna refusing to attend education, increased violence and aggression between mokopuna and towards staff and the ‘schooling’ of younger mokopuna in terms of normalising anti-social behaviours and </w:t>
      </w:r>
      <w:r>
        <w:t xml:space="preserve">some instances of older mokopuna </w:t>
      </w:r>
      <w:r w:rsidRPr="009A623C">
        <w:t xml:space="preserve">sharing knowledge on how to ‘commit crime better’. </w:t>
      </w:r>
      <w:r w:rsidR="00C42163">
        <w:t xml:space="preserve">The </w:t>
      </w:r>
      <w:r w:rsidRPr="009A623C">
        <w:t xml:space="preserve">OCC </w:t>
      </w:r>
      <w:r w:rsidR="00CB2EC8" w:rsidRPr="009A623C">
        <w:t>ha</w:t>
      </w:r>
      <w:r w:rsidR="00CB2EC8">
        <w:t>s</w:t>
      </w:r>
      <w:r w:rsidR="00CB2EC8" w:rsidRPr="009A623C">
        <w:t xml:space="preserve"> </w:t>
      </w:r>
      <w:r w:rsidRPr="009A623C">
        <w:t xml:space="preserve">observed 13-year-old mokopuna being held in the same units as 18 and sometimes 19-year-olds. Risk levels across </w:t>
      </w:r>
      <w:r w:rsidR="00395931">
        <w:t xml:space="preserve">all </w:t>
      </w:r>
      <w:r w:rsidRPr="009A623C">
        <w:t>YJ residences are currently high – contributing to a</w:t>
      </w:r>
      <w:r w:rsidR="00395931">
        <w:t>n extremely</w:t>
      </w:r>
      <w:r w:rsidRPr="009A623C">
        <w:t xml:space="preserve"> volatile </w:t>
      </w:r>
      <w:r w:rsidR="00395931" w:rsidRPr="009A623C">
        <w:t>environment</w:t>
      </w:r>
      <w:r w:rsidRPr="009A623C">
        <w:t xml:space="preserve">. </w:t>
      </w:r>
      <w:r w:rsidRPr="00C73F55">
        <w:rPr>
          <w:rFonts w:ascii="Segoe UI" w:hAnsi="Segoe UI" w:cs="Times New Roman"/>
          <w:color w:val="000000"/>
          <w:lang w:eastAsia="en-GB"/>
        </w:rPr>
        <w:t>The age</w:t>
      </w:r>
      <w:r>
        <w:rPr>
          <w:rFonts w:ascii="Segoe UI" w:hAnsi="Segoe UI" w:cs="Times New Roman"/>
          <w:color w:val="000000"/>
          <w:lang w:eastAsia="en-GB"/>
        </w:rPr>
        <w:t>-</w:t>
      </w:r>
      <w:r w:rsidRPr="00C73F55">
        <w:rPr>
          <w:rFonts w:ascii="Segoe UI" w:hAnsi="Segoe UI" w:cs="Times New Roman"/>
          <w:color w:val="000000"/>
          <w:lang w:eastAsia="en-GB"/>
        </w:rPr>
        <w:t>mixing of mokopuna is amplifying negative dynamics within the units</w:t>
      </w:r>
      <w:r w:rsidR="00395931">
        <w:rPr>
          <w:rFonts w:ascii="Segoe UI" w:hAnsi="Segoe UI" w:cs="Times New Roman"/>
          <w:color w:val="000000"/>
          <w:lang w:eastAsia="en-GB"/>
        </w:rPr>
        <w:t xml:space="preserve"> </w:t>
      </w:r>
      <w:r w:rsidR="0053489B">
        <w:rPr>
          <w:rFonts w:ascii="Segoe UI" w:hAnsi="Segoe UI" w:cs="Times New Roman"/>
          <w:color w:val="000000"/>
          <w:lang w:eastAsia="en-GB"/>
        </w:rPr>
        <w:t>and staff report being ill-equipped to safely de-escalate mokopuna behaviours</w:t>
      </w:r>
      <w:r w:rsidR="0053489B" w:rsidRPr="00C73F55">
        <w:rPr>
          <w:rFonts w:ascii="Segoe UI" w:hAnsi="Segoe UI" w:cs="Times New Roman"/>
          <w:color w:val="000000"/>
          <w:lang w:eastAsia="en-GB"/>
        </w:rPr>
        <w:t>.</w:t>
      </w:r>
    </w:p>
    <w:p w14:paraId="4CBA81A1" w14:textId="27268B18" w:rsidR="00944EAF" w:rsidRDefault="00EF2505" w:rsidP="002A762E">
      <w:pPr>
        <w:pStyle w:val="ListNumber"/>
        <w:ind w:left="567" w:hanging="567"/>
        <w:jc w:val="both"/>
      </w:pPr>
      <w:r w:rsidRPr="00E14C22">
        <w:t>The Government is yet to remove its reservation to Article 37(c)</w:t>
      </w:r>
      <w:r>
        <w:t xml:space="preserve"> of the Children’s Convention</w:t>
      </w:r>
      <w:r w:rsidRPr="00E14C22">
        <w:t>.</w:t>
      </w:r>
      <w:r>
        <w:rPr>
          <w:rStyle w:val="FootnoteReference"/>
        </w:rPr>
        <w:footnoteReference w:id="127"/>
      </w:r>
      <w:r w:rsidRPr="00E14C22">
        <w:t xml:space="preserve"> While efforts are made to ensure mokopuna are separated from adults, the Government has noted that age-mixing is not always possible due to limitations of existing facilities or because it is necessary to avoid isolation.</w:t>
      </w:r>
      <w:r w:rsidRPr="00E14C22">
        <w:rPr>
          <w:rStyle w:val="FootnoteReference"/>
        </w:rPr>
        <w:footnoteReference w:id="128"/>
      </w:r>
    </w:p>
    <w:p w14:paraId="2BB07D3B" w14:textId="0B5CC3CC" w:rsidR="00EF2505" w:rsidRDefault="00EF2505" w:rsidP="002A762E">
      <w:pPr>
        <w:pStyle w:val="ListNumber"/>
        <w:ind w:left="567" w:hanging="567"/>
        <w:jc w:val="both"/>
      </w:pPr>
      <w:r w:rsidRPr="00E14C22">
        <w:t>Between 1 May 2015 and 1 April 2021, on average (per</w:t>
      </w:r>
      <w:r>
        <w:t xml:space="preserve"> year) 228 mokopuna were admitted into an adult acute mental health inpatient service, adult forensic mental health service, or adult forensic intellectual disability service either voluntarily or under the Mental Health Act.</w:t>
      </w:r>
      <w:r>
        <w:rPr>
          <w:rStyle w:val="FootnoteReference"/>
        </w:rPr>
        <w:footnoteReference w:id="129"/>
      </w:r>
      <w:r w:rsidR="009C39CA">
        <w:t xml:space="preserve"> A recent report from Te Hiringa Mahara (Mental Health and Wellbeing Commission) found that one in four young people admitted to inpatient care is admitted to an adult service.</w:t>
      </w:r>
      <w:r w:rsidR="009C39CA">
        <w:rPr>
          <w:rStyle w:val="FootnoteReference"/>
        </w:rPr>
        <w:footnoteReference w:id="130"/>
      </w:r>
    </w:p>
    <w:p w14:paraId="07A0DB07" w14:textId="77777777" w:rsidR="00EF2505" w:rsidRDefault="00EF2505" w:rsidP="002A762E">
      <w:pPr>
        <w:pStyle w:val="ListNumber"/>
        <w:ind w:left="567" w:hanging="567"/>
        <w:jc w:val="both"/>
      </w:pPr>
      <w:r>
        <w:t>Between 1 April 2015 and 30 April 2019, on average (per quarter) 42 mokopuna (38 males and 4 females) were held in adult prisons. The highest number of males and females in adult prisons during this period was 50 and 7 respectively.</w:t>
      </w:r>
      <w:r>
        <w:rPr>
          <w:rStyle w:val="FootnoteReference"/>
        </w:rPr>
        <w:footnoteReference w:id="131"/>
      </w:r>
    </w:p>
    <w:p w14:paraId="1D2E2880" w14:textId="5EA8D5F4" w:rsidR="00EF2505" w:rsidRDefault="00EF2505" w:rsidP="002A762E">
      <w:pPr>
        <w:pStyle w:val="ListNumber"/>
        <w:ind w:left="567" w:hanging="567"/>
        <w:jc w:val="both"/>
      </w:pPr>
      <w:r>
        <w:t>Following changes to the Oranga Tamariki Act 1989,</w:t>
      </w:r>
      <w:r>
        <w:rPr>
          <w:rStyle w:val="FootnoteReference"/>
        </w:rPr>
        <w:footnoteReference w:id="132"/>
      </w:r>
      <w:r>
        <w:t xml:space="preserve"> these numbers reduced to an average of 8 mokopuna and no mokopuna between 1 May 2019 and 1 May 2021. </w:t>
      </w:r>
      <w:r w:rsidR="00C42163">
        <w:t xml:space="preserve">The </w:t>
      </w:r>
      <w:r>
        <w:t xml:space="preserve">OCC are pleased to see this reduction, as no mokopuna should ever be placed in adult </w:t>
      </w:r>
      <w:r w:rsidR="00A21F61">
        <w:t>facilities</w:t>
      </w:r>
      <w:r>
        <w:t>.</w:t>
      </w:r>
    </w:p>
    <w:p w14:paraId="0ED47631" w14:textId="53F76201" w:rsidR="00EF2505" w:rsidRDefault="00A72151" w:rsidP="00EF2505">
      <w:pPr>
        <w:pStyle w:val="Pull-OutText"/>
        <w:ind w:left="0"/>
      </w:pPr>
      <w:r>
        <w:t>Scope of places of deprivation of liberty</w:t>
      </w:r>
    </w:p>
    <w:p w14:paraId="07C6F86A" w14:textId="73C6F32C" w:rsidR="00EF2505" w:rsidRPr="00A1062E" w:rsidRDefault="00EF2505" w:rsidP="00F6035E">
      <w:pPr>
        <w:pStyle w:val="ListNumber"/>
        <w:ind w:left="567" w:hanging="567"/>
        <w:jc w:val="both"/>
        <w:rPr>
          <w:rFonts w:ascii="Times New Roman" w:hAnsi="Times New Roman" w:cs="Times New Roman"/>
          <w:color w:val="auto"/>
          <w:lang w:eastAsia="en-NZ"/>
        </w:rPr>
      </w:pPr>
      <w:r>
        <w:t xml:space="preserve">A </w:t>
      </w:r>
      <w:r w:rsidRPr="00A1062E">
        <w:rPr>
          <w:rFonts w:ascii="Segoe UI" w:hAnsi="Segoe UI" w:cs="Segoe UI"/>
        </w:rPr>
        <w:t>recent</w:t>
      </w:r>
      <w:r>
        <w:t xml:space="preserve"> </w:t>
      </w:r>
      <w:r w:rsidR="008C7453">
        <w:t xml:space="preserve">IHC </w:t>
      </w:r>
      <w:r>
        <w:t>report</w:t>
      </w:r>
      <w:r>
        <w:rPr>
          <w:rStyle w:val="FootnoteReference"/>
        </w:rPr>
        <w:footnoteReference w:id="133"/>
      </w:r>
      <w:r>
        <w:t xml:space="preserve"> found students attending New Zealand’s residential specialist schools (RSS) in the years 2017-2021 were, on average, between 3,000-6,000 times more likely to be restrained by teachers and support staff compared to a mainstream school. Historically, segregated settings for disabled people have led to higher levels of abuse for disabled </w:t>
      </w:r>
      <w:r w:rsidRPr="00800F95">
        <w:t>people.</w:t>
      </w:r>
      <w:r w:rsidRPr="00800F95">
        <w:rPr>
          <w:rStyle w:val="FootnoteReference"/>
        </w:rPr>
        <w:footnoteReference w:id="134"/>
      </w:r>
      <w:r w:rsidRPr="00800F95">
        <w:t xml:space="preserve"> To date, the Royal Commission have found over half of those abused in state care were disabled, and Māori were disproportionately represented in those who were sent to these schools.</w:t>
      </w:r>
      <w:r w:rsidRPr="00800F95">
        <w:rPr>
          <w:rStyle w:val="FootnoteReference"/>
        </w:rPr>
        <w:footnoteReference w:id="135"/>
      </w:r>
      <w:r w:rsidRPr="00800F95">
        <w:t xml:space="preserve"> Māori continue to be overrepresented in current RSS rolls.</w:t>
      </w:r>
      <w:r w:rsidRPr="00800F95">
        <w:rPr>
          <w:rStyle w:val="FootnoteReference"/>
        </w:rPr>
        <w:footnoteReference w:id="136"/>
      </w:r>
    </w:p>
    <w:p w14:paraId="3DC3AE89" w14:textId="77777777" w:rsidR="00EF2505" w:rsidRPr="00D671A1" w:rsidRDefault="00EF2505" w:rsidP="00F6035E">
      <w:pPr>
        <w:pStyle w:val="ListNumber"/>
        <w:ind w:left="567" w:hanging="567"/>
        <w:jc w:val="both"/>
        <w:rPr>
          <w:rFonts w:ascii="Times New Roman" w:hAnsi="Times New Roman" w:cs="Times New Roman"/>
          <w:color w:val="auto"/>
          <w:lang w:eastAsia="en-NZ"/>
        </w:rPr>
      </w:pPr>
      <w:r>
        <w:t xml:space="preserve">Despite this, the Ministry of Education is currently considering whether to make it easier for students to be enrolled in RSS. </w:t>
      </w:r>
    </w:p>
    <w:p w14:paraId="30E12312" w14:textId="1275873F" w:rsidR="00EF2505" w:rsidRPr="00140861" w:rsidRDefault="00EF2505" w:rsidP="00F6035E">
      <w:pPr>
        <w:pStyle w:val="ListNumber"/>
        <w:ind w:left="567" w:hanging="567"/>
        <w:jc w:val="both"/>
      </w:pPr>
      <w:r>
        <w:t>In September 2022, the United Nations Committee on the Rights of Persons with Disabilities recommended the New Zealand Government withdraw the proposal to change the entry requirements for RSS. The Committee strongly emphasised that New Zealand invest more in inclusive education and eliminate the use of physical restraint in places of detention, which the OCC strongly support</w:t>
      </w:r>
      <w:r w:rsidRPr="00140861">
        <w:t>.</w:t>
      </w:r>
    </w:p>
    <w:p w14:paraId="73586F94" w14:textId="2AB912FA" w:rsidR="00EF2505" w:rsidRPr="00400CFF" w:rsidRDefault="00EF2505" w:rsidP="00F6035E">
      <w:pPr>
        <w:pStyle w:val="ListNumber"/>
        <w:ind w:left="567" w:hanging="567"/>
        <w:jc w:val="both"/>
        <w:rPr>
          <w:rFonts w:ascii="Times New Roman" w:hAnsi="Times New Roman" w:cs="Times New Roman"/>
          <w:color w:val="auto"/>
          <w:lang w:eastAsia="en-NZ"/>
        </w:rPr>
      </w:pPr>
      <w:r>
        <w:t xml:space="preserve">The IHC report further noted </w:t>
      </w:r>
      <w:r w:rsidRPr="00D671A1">
        <w:rPr>
          <w:i/>
          <w:iCs/>
        </w:rPr>
        <w:t>‘the reality for the disabled children and young people in RSS is that they are essentially in residential home care with no standards or monitoring in place.’</w:t>
      </w:r>
      <w:r>
        <w:rPr>
          <w:i/>
          <w:iCs/>
        </w:rPr>
        <w:t xml:space="preserve"> </w:t>
      </w:r>
      <w:r>
        <w:t xml:space="preserve">At present, the only legislation covering the boarding part of a RSS is the </w:t>
      </w:r>
      <w:hyperlink r:id="rId30" w:history="1">
        <w:r w:rsidRPr="00A1062E">
          <w:rPr>
            <w:rStyle w:val="Hyperlink"/>
          </w:rPr>
          <w:t>Education (Hostels) Regulations 2005</w:t>
        </w:r>
      </w:hyperlink>
      <w:r>
        <w:t>. These Regulations are perfunctory and do not discuss the wellbeing of the students or ensure that they have a voice in their education or maintaining connections to their whānau.</w:t>
      </w:r>
    </w:p>
    <w:p w14:paraId="5B59F838" w14:textId="77777777" w:rsidR="00EF2505" w:rsidRDefault="00EF2505" w:rsidP="00F6035E">
      <w:pPr>
        <w:pStyle w:val="ListNumber"/>
        <w:ind w:left="567" w:hanging="567"/>
        <w:jc w:val="both"/>
        <w:rPr>
          <w:rFonts w:ascii="Segoe UI" w:hAnsi="Segoe UI" w:cs="Segoe UI"/>
          <w:color w:val="auto"/>
          <w:lang w:eastAsia="en-NZ"/>
        </w:rPr>
      </w:pPr>
      <w:r w:rsidRPr="008A68FF">
        <w:rPr>
          <w:rFonts w:ascii="Segoe UI" w:hAnsi="Segoe UI" w:cs="Segoe UI"/>
          <w:color w:val="auto"/>
          <w:lang w:eastAsia="en-NZ"/>
        </w:rPr>
        <w:t xml:space="preserve">Additionally, </w:t>
      </w:r>
      <w:r w:rsidRPr="00F6035E">
        <w:t>specialist</w:t>
      </w:r>
      <w:r w:rsidRPr="008A68FF">
        <w:rPr>
          <w:rFonts w:ascii="Segoe UI" w:hAnsi="Segoe UI" w:cs="Segoe UI"/>
          <w:color w:val="auto"/>
          <w:lang w:eastAsia="en-NZ"/>
        </w:rPr>
        <w:t xml:space="preserve"> disability residential homes and out of home care group homes for </w:t>
      </w:r>
      <w:r>
        <w:rPr>
          <w:rFonts w:ascii="Segoe UI" w:hAnsi="Segoe UI" w:cs="Segoe UI"/>
          <w:color w:val="auto"/>
          <w:lang w:eastAsia="en-NZ"/>
        </w:rPr>
        <w:t>mokopuna</w:t>
      </w:r>
      <w:r w:rsidRPr="008A68FF">
        <w:rPr>
          <w:rFonts w:ascii="Segoe UI" w:hAnsi="Segoe UI" w:cs="Segoe UI"/>
          <w:color w:val="auto"/>
          <w:lang w:eastAsia="en-NZ"/>
        </w:rPr>
        <w:t xml:space="preserve"> under Oranga Tamariki care</w:t>
      </w:r>
      <w:r w:rsidRPr="008A68FF">
        <w:rPr>
          <w:rStyle w:val="FootnoteReference"/>
          <w:rFonts w:ascii="Segoe UI" w:hAnsi="Segoe UI" w:cs="Segoe UI"/>
          <w:lang w:eastAsia="en-NZ"/>
        </w:rPr>
        <w:footnoteReference w:id="137"/>
      </w:r>
      <w:r w:rsidRPr="008A68FF">
        <w:rPr>
          <w:rFonts w:ascii="Segoe UI" w:hAnsi="Segoe UI" w:cs="Segoe UI"/>
          <w:color w:val="auto"/>
          <w:lang w:eastAsia="en-NZ"/>
        </w:rPr>
        <w:t xml:space="preserve"> lack </w:t>
      </w:r>
      <w:r>
        <w:rPr>
          <w:rFonts w:ascii="Segoe UI" w:hAnsi="Segoe UI" w:cs="Segoe UI"/>
          <w:color w:val="auto"/>
          <w:lang w:eastAsia="en-NZ"/>
        </w:rPr>
        <w:t xml:space="preserve">independent </w:t>
      </w:r>
      <w:r w:rsidRPr="008A68FF">
        <w:rPr>
          <w:rFonts w:ascii="Segoe UI" w:hAnsi="Segoe UI" w:cs="Segoe UI"/>
          <w:color w:val="auto"/>
          <w:lang w:eastAsia="en-NZ"/>
        </w:rPr>
        <w:t>oversight and currently do not fall within OCC’s OPCAT mandate.</w:t>
      </w:r>
    </w:p>
    <w:p w14:paraId="47A9B003" w14:textId="1F21B0E1" w:rsidR="00EF2505" w:rsidRPr="005D6D02" w:rsidRDefault="00EF2505" w:rsidP="00395931">
      <w:pPr>
        <w:pStyle w:val="ListNumber"/>
        <w:ind w:left="567" w:hanging="567"/>
        <w:jc w:val="both"/>
        <w:rPr>
          <w:rFonts w:ascii="Segoe UI" w:hAnsi="Segoe UI" w:cs="Segoe UI"/>
          <w:color w:val="auto"/>
          <w:lang w:eastAsia="en-NZ"/>
        </w:rPr>
      </w:pPr>
      <w:r w:rsidRPr="005D6D02">
        <w:rPr>
          <w:rFonts w:ascii="Segoe UI" w:hAnsi="Segoe UI" w:cs="Segoe UI"/>
          <w:color w:val="auto"/>
          <w:lang w:eastAsia="en-NZ"/>
        </w:rPr>
        <w:t xml:space="preserve">The SPT’s draft </w:t>
      </w:r>
      <w:r w:rsidRPr="005D6D02">
        <w:t>General</w:t>
      </w:r>
      <w:r w:rsidRPr="005D6D02">
        <w:rPr>
          <w:rFonts w:ascii="Segoe UI" w:hAnsi="Segoe UI" w:cs="Segoe UI"/>
          <w:color w:val="auto"/>
          <w:lang w:eastAsia="en-NZ"/>
        </w:rPr>
        <w:t xml:space="preserve"> Comment on Article 4 of the Convention notes that defining places of deprivation of liberty must take a broad approach, and that special boarding houses or schools, as well as social care homes may constitute places of detention.</w:t>
      </w:r>
      <w:r w:rsidRPr="005D6D02">
        <w:rPr>
          <w:rStyle w:val="FootnoteReference"/>
          <w:rFonts w:ascii="Segoe UI" w:hAnsi="Segoe UI" w:cs="Segoe UI"/>
          <w:lang w:eastAsia="en-NZ"/>
        </w:rPr>
        <w:footnoteReference w:id="138"/>
      </w:r>
      <w:r w:rsidR="008C7453" w:rsidRPr="005D6D02">
        <w:rPr>
          <w:rFonts w:ascii="Segoe UI" w:hAnsi="Segoe UI" w:cs="Segoe UI"/>
          <w:color w:val="auto"/>
          <w:lang w:eastAsia="en-NZ"/>
        </w:rPr>
        <w:t xml:space="preserve"> </w:t>
      </w:r>
      <w:r w:rsidR="0053489B" w:rsidRPr="005D6D02">
        <w:rPr>
          <w:rFonts w:ascii="Segoe UI" w:hAnsi="Segoe UI" w:cs="Segoe UI"/>
          <w:color w:val="auto"/>
          <w:lang w:eastAsia="en-NZ"/>
        </w:rPr>
        <w:t xml:space="preserve">The OCC advocate for oversight of these facilities under OPCAT to ensure mokopuna in </w:t>
      </w:r>
      <w:r w:rsidR="0053489B">
        <w:rPr>
          <w:rFonts w:ascii="Segoe UI" w:hAnsi="Segoe UI" w:cs="Segoe UI"/>
          <w:color w:val="auto"/>
          <w:lang w:eastAsia="en-NZ"/>
        </w:rPr>
        <w:t>specialist schools</w:t>
      </w:r>
      <w:r w:rsidR="0053489B" w:rsidRPr="005D6D02">
        <w:rPr>
          <w:rFonts w:ascii="Segoe UI" w:hAnsi="Segoe UI" w:cs="Segoe UI"/>
          <w:color w:val="auto"/>
          <w:lang w:eastAsia="en-NZ"/>
        </w:rPr>
        <w:t xml:space="preserve"> and social care homes are not subject to torture or </w:t>
      </w:r>
      <w:r w:rsidR="007F0F8F" w:rsidRPr="002A762E">
        <w:rPr>
          <w:rFonts w:ascii="Segoe UI" w:hAnsi="Segoe UI" w:cs="Segoe UI"/>
        </w:rPr>
        <w:t xml:space="preserve">cruel, inhuman, or degrading </w:t>
      </w:r>
      <w:r w:rsidR="0053489B" w:rsidRPr="005D6D02">
        <w:rPr>
          <w:rFonts w:ascii="Segoe UI" w:hAnsi="Segoe UI" w:cs="Segoe UI"/>
          <w:color w:val="auto"/>
          <w:lang w:eastAsia="en-NZ"/>
        </w:rPr>
        <w:t>treatment</w:t>
      </w:r>
      <w:r w:rsidR="007F0F8F">
        <w:rPr>
          <w:rFonts w:ascii="Segoe UI" w:hAnsi="Segoe UI" w:cs="Segoe UI"/>
          <w:color w:val="auto"/>
          <w:lang w:eastAsia="en-NZ"/>
        </w:rPr>
        <w:t xml:space="preserve"> or punishment</w:t>
      </w:r>
      <w:r w:rsidR="0053489B" w:rsidRPr="005D6D02">
        <w:rPr>
          <w:rFonts w:ascii="Segoe UI" w:hAnsi="Segoe UI" w:cs="Segoe UI"/>
          <w:color w:val="auto"/>
          <w:lang w:eastAsia="en-NZ"/>
        </w:rPr>
        <w:t>.</w:t>
      </w:r>
    </w:p>
    <w:p w14:paraId="53D23FB3" w14:textId="77777777" w:rsidR="00EF2505" w:rsidRPr="00400CFF" w:rsidRDefault="00EF2505" w:rsidP="00EF2505">
      <w:pPr>
        <w:pStyle w:val="Heading4"/>
        <w:rPr>
          <w:lang w:val="en-AU"/>
        </w:rPr>
      </w:pPr>
      <w:r>
        <w:rPr>
          <w:lang w:val="en-AU"/>
        </w:rPr>
        <w:t>List of Issues Para 25 – Complaints</w:t>
      </w:r>
    </w:p>
    <w:p w14:paraId="43E2A359" w14:textId="214A64A9" w:rsidR="00EF2505" w:rsidRPr="006D412B" w:rsidRDefault="00DD2348" w:rsidP="00F6035E">
      <w:pPr>
        <w:pStyle w:val="ListNumber"/>
        <w:ind w:left="567" w:hanging="567"/>
        <w:jc w:val="both"/>
      </w:pPr>
      <w:r>
        <w:t xml:space="preserve">The </w:t>
      </w:r>
      <w:r w:rsidR="00EF2505" w:rsidRPr="006D412B">
        <w:t xml:space="preserve">OCC </w:t>
      </w:r>
      <w:r w:rsidR="00CB2EC8" w:rsidRPr="006D412B">
        <w:t>ha</w:t>
      </w:r>
      <w:r w:rsidR="00CB2EC8">
        <w:t>s</w:t>
      </w:r>
      <w:r w:rsidR="00CB2EC8" w:rsidRPr="006D412B">
        <w:t xml:space="preserve"> </w:t>
      </w:r>
      <w:r w:rsidR="00EF2505" w:rsidRPr="006D412B">
        <w:t xml:space="preserve">repeatedly heard </w:t>
      </w:r>
      <w:r w:rsidR="00EF2505" w:rsidRPr="00F6035E">
        <w:rPr>
          <w:rFonts w:ascii="Segoe UI" w:hAnsi="Segoe UI" w:cs="Segoe UI"/>
          <w:color w:val="auto"/>
          <w:lang w:eastAsia="en-NZ"/>
        </w:rPr>
        <w:t>concerns</w:t>
      </w:r>
      <w:r w:rsidR="00EF2505" w:rsidRPr="006D412B">
        <w:t xml:space="preserve"> from mokopuna in secure residences about the Oranga Tamariki Whaia Te Maramatanga (Grievance) Process. Whilst mokopuna know about the process, and it is </w:t>
      </w:r>
      <w:r w:rsidR="000A0450">
        <w:t xml:space="preserve">generally </w:t>
      </w:r>
      <w:r w:rsidR="00EF2505" w:rsidRPr="006D412B">
        <w:t>well advertised throughout the units, some mokopuna are reluctant to use it.</w:t>
      </w:r>
    </w:p>
    <w:p w14:paraId="1313F3C1" w14:textId="78A26593" w:rsidR="00EF2505" w:rsidRPr="006D412B" w:rsidRDefault="00EF2505" w:rsidP="00F6035E">
      <w:pPr>
        <w:pStyle w:val="ListNumber"/>
        <w:ind w:left="567" w:hanging="567"/>
        <w:jc w:val="both"/>
        <w:rPr>
          <w:rFonts w:ascii="Segoe UI" w:hAnsi="Segoe UI" w:cs="Segoe UI"/>
          <w:color w:val="auto"/>
        </w:rPr>
      </w:pPr>
      <w:r w:rsidRPr="00F6035E">
        <w:rPr>
          <w:rFonts w:ascii="Segoe UI" w:hAnsi="Segoe UI" w:cs="Segoe UI"/>
          <w:color w:val="auto"/>
          <w:lang w:eastAsia="en-NZ"/>
        </w:rPr>
        <w:t>Making</w:t>
      </w:r>
      <w:r w:rsidRPr="006D412B">
        <w:t xml:space="preserve"> suggestions or complaints is still seen as ‘snitching’ by some and are referred to as ‘snitch forms’. The current process is not independent of staff as mokopuna often have to </w:t>
      </w:r>
      <w:r w:rsidRPr="006D412B">
        <w:rPr>
          <w:rFonts w:ascii="Segoe UI" w:hAnsi="Segoe UI" w:cs="Segoe UI"/>
          <w:color w:val="auto"/>
        </w:rPr>
        <w:t>make their complaint to the people who provide care and have oversight over both their care and the complaint.</w:t>
      </w:r>
      <w:r w:rsidR="00DD2348" w:rsidRPr="00DD2348">
        <w:rPr>
          <w:rStyle w:val="FootnoteReference"/>
        </w:rPr>
        <w:footnoteReference w:id="139"/>
      </w:r>
    </w:p>
    <w:p w14:paraId="2A48D0E1" w14:textId="77777777" w:rsidR="00EF2505" w:rsidRPr="0013300C" w:rsidRDefault="00EF2505" w:rsidP="00F6035E">
      <w:pPr>
        <w:pStyle w:val="ListNumber"/>
        <w:ind w:left="567" w:hanging="567"/>
        <w:jc w:val="both"/>
        <w:rPr>
          <w:rFonts w:ascii="Segoe UI" w:hAnsi="Segoe UI" w:cs="Segoe UI"/>
          <w:color w:val="auto"/>
          <w:lang w:eastAsia="en-NZ"/>
        </w:rPr>
      </w:pPr>
      <w:r w:rsidRPr="006D412B">
        <w:t xml:space="preserve">The current process may decrease the likelihood of mokopuna making complaints due to the lack of accessibility, independence, and impartiality. They may also perceive a risk of punishment, </w:t>
      </w:r>
      <w:r w:rsidRPr="00F6035E">
        <w:rPr>
          <w:rFonts w:ascii="Segoe UI" w:hAnsi="Segoe UI" w:cs="Segoe UI"/>
          <w:color w:val="auto"/>
          <w:lang w:eastAsia="en-NZ"/>
        </w:rPr>
        <w:t>retribution, or sanction due to lack of anonymity.</w:t>
      </w:r>
    </w:p>
    <w:p w14:paraId="7CFC7C62" w14:textId="08BD00C9" w:rsidR="00DD2348" w:rsidRDefault="00DD2348" w:rsidP="00F6035E">
      <w:pPr>
        <w:pStyle w:val="ListNumber"/>
        <w:ind w:left="567" w:hanging="567"/>
        <w:jc w:val="both"/>
        <w:rPr>
          <w:rFonts w:ascii="Segoe UI" w:hAnsi="Segoe UI" w:cs="Segoe UI"/>
          <w:color w:val="auto"/>
          <w:lang w:eastAsia="en-NZ"/>
        </w:rPr>
      </w:pPr>
      <w:r>
        <w:rPr>
          <w:rFonts w:ascii="Segoe UI" w:hAnsi="Segoe UI" w:cs="Segoe UI"/>
          <w:color w:val="auto"/>
          <w:lang w:eastAsia="en-NZ"/>
        </w:rPr>
        <w:t xml:space="preserve">Some residences </w:t>
      </w:r>
      <w:r w:rsidR="00ED1216">
        <w:rPr>
          <w:rFonts w:ascii="Segoe UI" w:hAnsi="Segoe UI" w:cs="Segoe UI"/>
          <w:color w:val="auto"/>
          <w:lang w:eastAsia="en-NZ"/>
        </w:rPr>
        <w:t>have been</w:t>
      </w:r>
      <w:r>
        <w:rPr>
          <w:rFonts w:ascii="Segoe UI" w:hAnsi="Segoe UI" w:cs="Segoe UI"/>
          <w:color w:val="auto"/>
          <w:lang w:eastAsia="en-NZ"/>
        </w:rPr>
        <w:t xml:space="preserve"> looking to develop alternative options for raising complaints, including through Swift Resolution Processes (for low level issues) or electronic forms (which would allow anonymity).</w:t>
      </w:r>
      <w:r>
        <w:rPr>
          <w:rStyle w:val="FootnoteReference"/>
          <w:rFonts w:ascii="Segoe UI" w:hAnsi="Segoe UI" w:cs="Segoe UI"/>
          <w:color w:val="auto"/>
          <w:lang w:eastAsia="en-NZ"/>
        </w:rPr>
        <w:footnoteReference w:id="140"/>
      </w:r>
      <w:r>
        <w:rPr>
          <w:rFonts w:ascii="Segoe UI" w:hAnsi="Segoe UI" w:cs="Segoe UI"/>
          <w:color w:val="auto"/>
          <w:lang w:eastAsia="en-NZ"/>
        </w:rPr>
        <w:t xml:space="preserve"> The OCC support these initiatives </w:t>
      </w:r>
      <w:r w:rsidR="007D5406">
        <w:rPr>
          <w:rFonts w:ascii="Segoe UI" w:hAnsi="Segoe UI" w:cs="Segoe UI"/>
          <w:color w:val="auto"/>
          <w:lang w:eastAsia="en-NZ"/>
        </w:rPr>
        <w:t>and expect such developments to be implemented across all residences.</w:t>
      </w:r>
    </w:p>
    <w:p w14:paraId="09437CF5" w14:textId="5793E154" w:rsidR="00EF2505" w:rsidRPr="00DD2348" w:rsidRDefault="00EF2505" w:rsidP="00F6035E">
      <w:pPr>
        <w:pStyle w:val="ListNumber"/>
        <w:ind w:left="567" w:hanging="567"/>
        <w:jc w:val="both"/>
        <w:rPr>
          <w:rFonts w:ascii="Segoe UI" w:hAnsi="Segoe UI" w:cs="Segoe UI"/>
          <w:color w:val="auto"/>
          <w:lang w:eastAsia="en-NZ"/>
        </w:rPr>
      </w:pPr>
      <w:r w:rsidRPr="00DD2348">
        <w:rPr>
          <w:rFonts w:ascii="Segoe UI" w:hAnsi="Segoe UI" w:cs="Segoe UI"/>
          <w:color w:val="auto"/>
          <w:lang w:eastAsia="en-NZ"/>
        </w:rPr>
        <w:t xml:space="preserve">Mokopuna </w:t>
      </w:r>
      <w:r w:rsidR="00DD2348" w:rsidRPr="00DD2348">
        <w:rPr>
          <w:rFonts w:ascii="Segoe UI" w:hAnsi="Segoe UI" w:cs="Segoe UI"/>
          <w:color w:val="auto"/>
          <w:lang w:eastAsia="en-NZ"/>
        </w:rPr>
        <w:t>have</w:t>
      </w:r>
      <w:r w:rsidRPr="00DD2348">
        <w:rPr>
          <w:rFonts w:ascii="Segoe UI" w:hAnsi="Segoe UI" w:cs="Segoe UI"/>
          <w:color w:val="auto"/>
          <w:lang w:eastAsia="en-NZ"/>
        </w:rPr>
        <w:t xml:space="preserve"> access to independent advocates</w:t>
      </w:r>
      <w:r w:rsidR="00ED1216">
        <w:rPr>
          <w:rFonts w:ascii="Segoe UI" w:hAnsi="Segoe UI" w:cs="Segoe UI"/>
          <w:color w:val="auto"/>
          <w:lang w:eastAsia="en-NZ"/>
        </w:rPr>
        <w:t xml:space="preserve"> (Voyce Whakarongo Mai)</w:t>
      </w:r>
      <w:r w:rsidRPr="00DD2348">
        <w:rPr>
          <w:rFonts w:ascii="Segoe UI" w:hAnsi="Segoe UI" w:cs="Segoe UI"/>
          <w:color w:val="auto"/>
          <w:lang w:eastAsia="en-NZ"/>
        </w:rPr>
        <w:t xml:space="preserve"> and </w:t>
      </w:r>
      <w:r w:rsidR="00DD2348" w:rsidRPr="00DD2348">
        <w:rPr>
          <w:rFonts w:ascii="Segoe UI" w:hAnsi="Segoe UI" w:cs="Segoe UI"/>
          <w:color w:val="auto"/>
          <w:lang w:eastAsia="en-NZ"/>
        </w:rPr>
        <w:t>can</w:t>
      </w:r>
      <w:r w:rsidRPr="00DD2348">
        <w:rPr>
          <w:rFonts w:ascii="Segoe UI" w:hAnsi="Segoe UI" w:cs="Segoe UI"/>
          <w:color w:val="auto"/>
          <w:lang w:eastAsia="en-NZ"/>
        </w:rPr>
        <w:t xml:space="preserve"> escalate complaints to a Grievance Panel if they </w:t>
      </w:r>
      <w:r w:rsidR="00DD2348" w:rsidRPr="00DD2348">
        <w:rPr>
          <w:rFonts w:ascii="Segoe UI" w:hAnsi="Segoe UI" w:cs="Segoe UI"/>
          <w:color w:val="auto"/>
          <w:lang w:eastAsia="en-NZ"/>
        </w:rPr>
        <w:t>are</w:t>
      </w:r>
      <w:r w:rsidRPr="00DD2348">
        <w:rPr>
          <w:rFonts w:ascii="Segoe UI" w:hAnsi="Segoe UI" w:cs="Segoe UI"/>
          <w:color w:val="auto"/>
          <w:lang w:eastAsia="en-NZ"/>
        </w:rPr>
        <w:t xml:space="preserve"> not satisfied with the outcome from the internal process.</w:t>
      </w:r>
      <w:r w:rsidR="00DD2348">
        <w:rPr>
          <w:rFonts w:ascii="Segoe UI" w:hAnsi="Segoe UI" w:cs="Segoe UI"/>
          <w:color w:val="auto"/>
          <w:lang w:eastAsia="en-NZ"/>
        </w:rPr>
        <w:t xml:space="preserve"> The OCC’s interviews with </w:t>
      </w:r>
      <w:r w:rsidRPr="00DD2348">
        <w:rPr>
          <w:rFonts w:ascii="Segoe UI" w:hAnsi="Segoe UI" w:cs="Segoe UI"/>
          <w:color w:val="auto"/>
          <w:lang w:eastAsia="en-NZ"/>
        </w:rPr>
        <w:t>mokopuna</w:t>
      </w:r>
      <w:r w:rsidR="007D5406">
        <w:rPr>
          <w:rFonts w:ascii="Segoe UI" w:hAnsi="Segoe UI" w:cs="Segoe UI"/>
          <w:color w:val="auto"/>
          <w:lang w:eastAsia="en-NZ"/>
        </w:rPr>
        <w:t xml:space="preserve"> and staff, review of </w:t>
      </w:r>
      <w:r w:rsidRPr="00DD2348">
        <w:rPr>
          <w:rFonts w:ascii="Segoe UI" w:hAnsi="Segoe UI" w:cs="Segoe UI"/>
          <w:color w:val="auto"/>
          <w:lang w:eastAsia="en-NZ"/>
        </w:rPr>
        <w:t xml:space="preserve">quarterly grievance reports, </w:t>
      </w:r>
      <w:r w:rsidR="007D5406">
        <w:rPr>
          <w:rFonts w:ascii="Segoe UI" w:hAnsi="Segoe UI" w:cs="Segoe UI"/>
          <w:color w:val="auto"/>
          <w:lang w:eastAsia="en-NZ"/>
        </w:rPr>
        <w:t>and receipt of multiple escalated grievances indicate that the G</w:t>
      </w:r>
      <w:r w:rsidRPr="00DD2348">
        <w:rPr>
          <w:rFonts w:ascii="Segoe UI" w:hAnsi="Segoe UI" w:cs="Segoe UI"/>
          <w:color w:val="auto"/>
          <w:lang w:eastAsia="en-NZ"/>
        </w:rPr>
        <w:t xml:space="preserve">rievance process </w:t>
      </w:r>
      <w:r w:rsidR="007D5406">
        <w:rPr>
          <w:rFonts w:ascii="Segoe UI" w:hAnsi="Segoe UI" w:cs="Segoe UI"/>
          <w:color w:val="auto"/>
          <w:lang w:eastAsia="en-NZ"/>
        </w:rPr>
        <w:t>remains</w:t>
      </w:r>
      <w:r w:rsidRPr="00DD2348">
        <w:rPr>
          <w:rFonts w:ascii="Segoe UI" w:hAnsi="Segoe UI" w:cs="Segoe UI"/>
          <w:color w:val="auto"/>
          <w:lang w:eastAsia="en-NZ"/>
        </w:rPr>
        <w:t xml:space="preserve"> unsatisfactory.</w:t>
      </w:r>
    </w:p>
    <w:p w14:paraId="70BE42AD" w14:textId="749116E2" w:rsidR="00EF2505" w:rsidRPr="006D412B" w:rsidRDefault="00EF2505" w:rsidP="00F6035E">
      <w:pPr>
        <w:pStyle w:val="ListNumber"/>
        <w:ind w:left="567" w:hanging="567"/>
        <w:jc w:val="both"/>
        <w:rPr>
          <w:rFonts w:ascii="Segoe UI" w:hAnsi="Segoe UI" w:cs="Segoe UI"/>
          <w:color w:val="auto"/>
        </w:rPr>
      </w:pPr>
      <w:r>
        <w:rPr>
          <w:rFonts w:ascii="Segoe UI" w:hAnsi="Segoe UI" w:cs="Segoe UI"/>
          <w:color w:val="auto"/>
          <w:lang w:eastAsia="en-NZ"/>
        </w:rPr>
        <w:t>The new Oversight System removes OCC’s powers to respond to escalated grievances, which are now transferred</w:t>
      </w:r>
      <w:r>
        <w:rPr>
          <w:rFonts w:ascii="Segoe UI" w:hAnsi="Segoe UI" w:cs="Segoe UI"/>
          <w:color w:val="auto"/>
        </w:rPr>
        <w:t xml:space="preserve"> to the Ombudsman (refer para </w:t>
      </w:r>
      <w:r w:rsidR="00766FAF">
        <w:rPr>
          <w:rFonts w:ascii="Segoe UI" w:hAnsi="Segoe UI" w:cs="Segoe UI"/>
          <w:color w:val="auto"/>
        </w:rPr>
        <w:t>28</w:t>
      </w:r>
      <w:r>
        <w:rPr>
          <w:rFonts w:ascii="Segoe UI" w:hAnsi="Segoe UI" w:cs="Segoe UI"/>
          <w:color w:val="auto"/>
        </w:rPr>
        <w:t xml:space="preserve">). </w:t>
      </w:r>
      <w:r w:rsidR="007D5406">
        <w:rPr>
          <w:rFonts w:ascii="Segoe UI" w:hAnsi="Segoe UI" w:cs="Segoe UI"/>
          <w:color w:val="auto"/>
        </w:rPr>
        <w:t xml:space="preserve">The </w:t>
      </w:r>
      <w:r>
        <w:rPr>
          <w:rFonts w:ascii="Segoe UI" w:hAnsi="Segoe UI" w:cs="Segoe UI"/>
          <w:color w:val="auto"/>
        </w:rPr>
        <w:t>OCC intends to work closely with the Oversight Agencies to ensure children’s rights are upheld in the resolution of issues or grievan</w:t>
      </w:r>
      <w:r w:rsidR="00DD2348">
        <w:rPr>
          <w:rFonts w:ascii="Segoe UI" w:hAnsi="Segoe UI" w:cs="Segoe UI"/>
          <w:color w:val="auto"/>
        </w:rPr>
        <w:t>c</w:t>
      </w:r>
      <w:r>
        <w:rPr>
          <w:rFonts w:ascii="Segoe UI" w:hAnsi="Segoe UI" w:cs="Segoe UI"/>
          <w:color w:val="auto"/>
        </w:rPr>
        <w:t>es.</w:t>
      </w:r>
    </w:p>
    <w:p w14:paraId="3366E5E4" w14:textId="00A6D527" w:rsidR="00EF2505" w:rsidRDefault="00EF2505" w:rsidP="00EF2505">
      <w:pPr>
        <w:keepNext/>
        <w:keepLines/>
        <w:widowControl/>
        <w:autoSpaceDE/>
        <w:autoSpaceDN/>
        <w:spacing w:before="120" w:after="120" w:line="120" w:lineRule="atLeast"/>
        <w:outlineLvl w:val="0"/>
        <w:rPr>
          <w:rFonts w:eastAsia="MS Gothic"/>
          <w:b/>
          <w:bCs/>
          <w:color w:val="C32026"/>
          <w:sz w:val="48"/>
          <w:szCs w:val="28"/>
          <w:lang w:val="en-AU"/>
        </w:rPr>
      </w:pPr>
      <w:r>
        <w:rPr>
          <w:rFonts w:eastAsia="MS Gothic"/>
          <w:b/>
          <w:bCs/>
          <w:color w:val="C32026"/>
          <w:sz w:val="48"/>
          <w:szCs w:val="28"/>
          <w:lang w:val="en-AU"/>
        </w:rPr>
        <w:t>Article 15</w:t>
      </w:r>
    </w:p>
    <w:p w14:paraId="4AF8E528" w14:textId="58C1E3AC" w:rsidR="00EF2505" w:rsidRPr="00B51004" w:rsidRDefault="00EF2505" w:rsidP="00EF2505">
      <w:pPr>
        <w:pStyle w:val="Heading4"/>
        <w:rPr>
          <w:lang w:val="en-AU"/>
        </w:rPr>
      </w:pPr>
      <w:r>
        <w:rPr>
          <w:lang w:val="en-AU"/>
        </w:rPr>
        <w:t xml:space="preserve">List of Issues Para 32 – Intersex </w:t>
      </w:r>
      <w:r w:rsidR="007C7947">
        <w:rPr>
          <w:lang w:val="en-AU"/>
        </w:rPr>
        <w:t>mokopuna</w:t>
      </w:r>
    </w:p>
    <w:p w14:paraId="37EBF2CA" w14:textId="4648982E" w:rsidR="00EF2505" w:rsidRPr="00DD2348" w:rsidRDefault="00EF2505" w:rsidP="00F6035E">
      <w:pPr>
        <w:pStyle w:val="ListNumber"/>
        <w:ind w:left="567" w:hanging="567"/>
        <w:jc w:val="both"/>
        <w:rPr>
          <w:lang w:val="en-AU"/>
        </w:rPr>
      </w:pPr>
      <w:r>
        <w:rPr>
          <w:lang w:val="en-AU"/>
        </w:rPr>
        <w:t xml:space="preserve">The </w:t>
      </w:r>
      <w:r>
        <w:t>United Nations Committee on the Rights of the Child in its Concluding Observations (2023)</w:t>
      </w:r>
      <w:r>
        <w:rPr>
          <w:rStyle w:val="FootnoteReference"/>
        </w:rPr>
        <w:footnoteReference w:id="141"/>
      </w:r>
      <w:r>
        <w:t xml:space="preserve"> </w:t>
      </w:r>
      <w:r w:rsidRPr="00F6035E">
        <w:rPr>
          <w:rFonts w:ascii="Segoe UI" w:hAnsi="Segoe UI" w:cs="Segoe UI"/>
          <w:color w:val="auto"/>
        </w:rPr>
        <w:t>made</w:t>
      </w:r>
      <w:r>
        <w:t xml:space="preserve"> specific recommendations relating to the rights of </w:t>
      </w:r>
      <w:r w:rsidR="00D0183E" w:rsidRPr="00DD2348">
        <w:t>ira tāngata (</w:t>
      </w:r>
      <w:r w:rsidRPr="00DD2348">
        <w:t>intersex</w:t>
      </w:r>
      <w:r w:rsidR="00D0183E" w:rsidRPr="00DD2348">
        <w:t>)</w:t>
      </w:r>
      <w:r w:rsidRPr="00DD2348">
        <w:t xml:space="preserve"> mokopuna, which the OCC supports.</w:t>
      </w:r>
    </w:p>
    <w:p w14:paraId="71CDEEB2" w14:textId="7A796D6D" w:rsidR="00EF2505" w:rsidRPr="00DD2348" w:rsidRDefault="00DD2348" w:rsidP="00F6035E">
      <w:pPr>
        <w:pStyle w:val="ListNumber"/>
        <w:ind w:left="567" w:hanging="567"/>
        <w:jc w:val="both"/>
        <w:rPr>
          <w:lang w:val="en-AU"/>
        </w:rPr>
      </w:pPr>
      <w:r w:rsidRPr="00DD2348">
        <w:t xml:space="preserve">Specific recommendations included: prohibiting non-urgent and non-essential  medical or surgical treatment of intersex mokopuna before they are of sufficient age or maturity to make their own decisions and provide free, prior and informed consent; ensuring independent oversight of decision-making to ensure medical treatments for </w:t>
      </w:r>
      <w:r>
        <w:t>mokopuna</w:t>
      </w:r>
      <w:r w:rsidRPr="00DD2348">
        <w:t xml:space="preserve"> with intersex traits who are unable to consent are necessary, urgent and the least invasive option; providing redress to victims of non-urgent and non-essential treatment, including appropriate compensation; and ensure that all intersex mokopuna</w:t>
      </w:r>
      <w:r>
        <w:t xml:space="preserve"> and their whānau </w:t>
      </w:r>
      <w:r w:rsidRPr="00DD2348">
        <w:t>have access to community-based psychosocial and peer support.</w:t>
      </w:r>
    </w:p>
    <w:p w14:paraId="0D8E1CDF" w14:textId="54ADABEE" w:rsidR="00EF2505" w:rsidRPr="00B30456" w:rsidRDefault="00EF2505" w:rsidP="00EF2505">
      <w:pPr>
        <w:keepNext/>
        <w:keepLines/>
        <w:widowControl/>
        <w:autoSpaceDE/>
        <w:autoSpaceDN/>
        <w:spacing w:before="120" w:after="120" w:line="120" w:lineRule="atLeast"/>
        <w:outlineLvl w:val="0"/>
        <w:rPr>
          <w:rFonts w:eastAsia="MS Gothic"/>
          <w:b/>
          <w:bCs/>
          <w:color w:val="C32026"/>
          <w:sz w:val="48"/>
          <w:szCs w:val="28"/>
          <w:lang w:val="en-AU"/>
        </w:rPr>
      </w:pPr>
      <w:r>
        <w:rPr>
          <w:rFonts w:eastAsia="MS Gothic"/>
          <w:b/>
          <w:bCs/>
          <w:color w:val="C32026"/>
          <w:sz w:val="48"/>
          <w:szCs w:val="28"/>
          <w:lang w:val="en-AU"/>
        </w:rPr>
        <w:t>Conclusion</w:t>
      </w:r>
    </w:p>
    <w:p w14:paraId="148733B5" w14:textId="742D8C63" w:rsidR="00EF2505" w:rsidRDefault="00EF2505" w:rsidP="00F6035E">
      <w:pPr>
        <w:pStyle w:val="ListNumber"/>
        <w:ind w:left="567" w:hanging="567"/>
        <w:jc w:val="both"/>
      </w:pPr>
      <w:r w:rsidRPr="00F50079">
        <w:t xml:space="preserve">The </w:t>
      </w:r>
      <w:r w:rsidR="00ED1216">
        <w:rPr>
          <w:lang w:val="en-AU"/>
        </w:rPr>
        <w:t xml:space="preserve">OCC </w:t>
      </w:r>
      <w:r w:rsidRPr="00F50079">
        <w:t>is available to assist the Committee with any requests for further information arising from this report and look forward to engaging with the Committee throughout this reporting cycle</w:t>
      </w:r>
      <w:r>
        <w:t>.</w:t>
      </w:r>
    </w:p>
    <w:p w14:paraId="0A953DB3" w14:textId="77777777" w:rsidR="00ED1216" w:rsidRDefault="00ED1216" w:rsidP="00EF2505">
      <w:pPr>
        <w:rPr>
          <w:i/>
          <w:iCs/>
          <w:sz w:val="24"/>
          <w:szCs w:val="24"/>
        </w:rPr>
      </w:pPr>
    </w:p>
    <w:p w14:paraId="460F2EA6" w14:textId="77777777" w:rsidR="00ED1216" w:rsidRDefault="00ED1216" w:rsidP="00EF2505">
      <w:pPr>
        <w:rPr>
          <w:i/>
          <w:iCs/>
          <w:sz w:val="24"/>
          <w:szCs w:val="24"/>
        </w:rPr>
      </w:pPr>
    </w:p>
    <w:p w14:paraId="4B13D938" w14:textId="0E3944C0" w:rsidR="00EF2505" w:rsidRPr="00CB6202" w:rsidRDefault="00EF2505" w:rsidP="00EF2505">
      <w:pPr>
        <w:rPr>
          <w:i/>
          <w:iCs/>
          <w:sz w:val="24"/>
          <w:szCs w:val="24"/>
        </w:rPr>
      </w:pPr>
      <w:r w:rsidRPr="00CB6202">
        <w:rPr>
          <w:i/>
          <w:iCs/>
          <w:sz w:val="24"/>
          <w:szCs w:val="24"/>
        </w:rPr>
        <w:t xml:space="preserve">Nāku noa, nā </w:t>
      </w:r>
    </w:p>
    <w:p w14:paraId="53811D13" w14:textId="266BA4E7" w:rsidR="00EF2505" w:rsidRDefault="00EF2505" w:rsidP="00EF2505">
      <w:pPr>
        <w:rPr>
          <w:i/>
          <w:iCs/>
          <w:sz w:val="24"/>
          <w:szCs w:val="24"/>
        </w:rPr>
      </w:pPr>
      <w:r w:rsidRPr="00CB6202">
        <w:rPr>
          <w:i/>
          <w:iCs/>
          <w:sz w:val="24"/>
          <w:szCs w:val="24"/>
        </w:rPr>
        <w:t xml:space="preserve">Judge Frances Eivers </w:t>
      </w:r>
    </w:p>
    <w:p w14:paraId="0AA1F2A9" w14:textId="4359C381" w:rsidR="00CB2EC8" w:rsidRPr="00CB6202" w:rsidRDefault="00CB2EC8" w:rsidP="00EF2505">
      <w:pPr>
        <w:rPr>
          <w:i/>
          <w:iCs/>
          <w:sz w:val="24"/>
          <w:szCs w:val="24"/>
        </w:rPr>
      </w:pPr>
      <w:r>
        <w:rPr>
          <w:i/>
          <w:iCs/>
          <w:sz w:val="24"/>
          <w:szCs w:val="24"/>
        </w:rPr>
        <w:t>Ngāti Mania</w:t>
      </w:r>
      <w:r w:rsidR="001E0CC2">
        <w:rPr>
          <w:i/>
          <w:iCs/>
          <w:sz w:val="24"/>
          <w:szCs w:val="24"/>
        </w:rPr>
        <w:t>p</w:t>
      </w:r>
      <w:r>
        <w:rPr>
          <w:i/>
          <w:iCs/>
          <w:sz w:val="24"/>
          <w:szCs w:val="24"/>
        </w:rPr>
        <w:t>oto, Waikato</w:t>
      </w:r>
    </w:p>
    <w:p w14:paraId="4436AAB8" w14:textId="7279BD22" w:rsidR="00EF2505" w:rsidRPr="00CB6202" w:rsidRDefault="00EF2505" w:rsidP="00EF2505">
      <w:pPr>
        <w:rPr>
          <w:i/>
          <w:iCs/>
          <w:sz w:val="24"/>
          <w:szCs w:val="24"/>
        </w:rPr>
      </w:pPr>
      <w:r w:rsidRPr="00CB6202">
        <w:rPr>
          <w:i/>
          <w:iCs/>
          <w:sz w:val="24"/>
          <w:szCs w:val="24"/>
        </w:rPr>
        <w:t xml:space="preserve">Te Kaikōmihana mō ngā Tamariki o Aotearoa | Children’s Commissioner </w:t>
      </w:r>
    </w:p>
    <w:p w14:paraId="6B39D2CE" w14:textId="77777777" w:rsidR="006118D7" w:rsidRDefault="006118D7">
      <w:pPr>
        <w:rPr>
          <w:rFonts w:eastAsia="MS Gothic"/>
          <w:b/>
          <w:bCs/>
          <w:color w:val="C32026"/>
          <w:sz w:val="52"/>
          <w:szCs w:val="32"/>
          <w:lang w:val="en-NZ" w:eastAsia="en-GB"/>
        </w:rPr>
      </w:pPr>
      <w:r>
        <w:rPr>
          <w:lang w:val="en-NZ"/>
        </w:rPr>
        <w:br w:type="page"/>
      </w:r>
    </w:p>
    <w:p w14:paraId="07078A51" w14:textId="77777777" w:rsidR="006118D7" w:rsidRDefault="006118D7" w:rsidP="006118D7">
      <w:pPr>
        <w:rPr>
          <w:lang w:val="en-NZ"/>
        </w:rPr>
      </w:pPr>
    </w:p>
    <w:p w14:paraId="06810428" w14:textId="24590AFE" w:rsidR="00EF2505" w:rsidRPr="00B40736" w:rsidRDefault="00EF2505" w:rsidP="00B40736">
      <w:pPr>
        <w:pStyle w:val="Style2"/>
        <w:spacing w:before="0"/>
        <w:jc w:val="both"/>
        <w:rPr>
          <w:rFonts w:cs="Segoe UI"/>
          <w:lang w:val="en-NZ"/>
        </w:rPr>
      </w:pPr>
      <w:r w:rsidRPr="00B40736">
        <w:rPr>
          <w:rFonts w:cs="Segoe UI"/>
          <w:lang w:val="en-NZ"/>
        </w:rPr>
        <w:t xml:space="preserve">Recommended </w:t>
      </w:r>
      <w:r w:rsidR="00B40736">
        <w:rPr>
          <w:rFonts w:cs="Segoe UI"/>
          <w:lang w:val="en-NZ"/>
        </w:rPr>
        <w:t>A</w:t>
      </w:r>
      <w:r w:rsidRPr="00B40736">
        <w:rPr>
          <w:rFonts w:cs="Segoe UI"/>
          <w:lang w:val="en-NZ"/>
        </w:rPr>
        <w:t xml:space="preserve">ctions </w:t>
      </w:r>
    </w:p>
    <w:p w14:paraId="31EF1124" w14:textId="77777777" w:rsidR="00EF2505" w:rsidRPr="00B40736" w:rsidRDefault="00EF2505" w:rsidP="00B40736">
      <w:pPr>
        <w:pStyle w:val="Heading4"/>
        <w:rPr>
          <w:lang w:val="en-AU"/>
        </w:rPr>
      </w:pPr>
      <w:r w:rsidRPr="00B40736">
        <w:rPr>
          <w:lang w:val="en-AU"/>
        </w:rPr>
        <w:t>The Committee may wish to recommend the Government:</w:t>
      </w:r>
    </w:p>
    <w:p w14:paraId="3B714F4C" w14:textId="77777777" w:rsidR="00EF2505" w:rsidRPr="00B40736" w:rsidRDefault="00EF2505" w:rsidP="00B40736">
      <w:pPr>
        <w:pStyle w:val="Pull-OutText"/>
        <w:ind w:left="0"/>
        <w:rPr>
          <w:b/>
          <w:bCs/>
        </w:rPr>
      </w:pPr>
      <w:r w:rsidRPr="00B40736">
        <w:rPr>
          <w:b/>
          <w:bCs/>
        </w:rPr>
        <w:t>Te Tiriti</w:t>
      </w:r>
    </w:p>
    <w:p w14:paraId="04FBD973" w14:textId="77777777" w:rsidR="00EF2505" w:rsidRPr="00B40736" w:rsidRDefault="00EF2505" w:rsidP="00B40736">
      <w:pPr>
        <w:pStyle w:val="ListNumber"/>
        <w:numPr>
          <w:ilvl w:val="0"/>
          <w:numId w:val="17"/>
        </w:numPr>
        <w:jc w:val="both"/>
      </w:pPr>
      <w:r w:rsidRPr="00B40736">
        <w:rPr>
          <w:color w:val="auto"/>
        </w:rPr>
        <w:t>Ensure Te Tiriti o Waitangi and partnership with Māori is the foundation of all legislation, processes</w:t>
      </w:r>
      <w:r w:rsidRPr="00B40736">
        <w:t>, and policies, with specific focus on all agencies currently undergoing legislative reforms.</w:t>
      </w:r>
    </w:p>
    <w:p w14:paraId="4CD1C527" w14:textId="77777777" w:rsidR="00EF2505" w:rsidRPr="00B40736" w:rsidRDefault="00EF2505" w:rsidP="00B40736">
      <w:pPr>
        <w:pStyle w:val="ListNumber"/>
        <w:numPr>
          <w:ilvl w:val="0"/>
          <w:numId w:val="17"/>
        </w:numPr>
        <w:jc w:val="both"/>
      </w:pPr>
      <w:r w:rsidRPr="00B40736">
        <w:t>Amend the Crimes of Torture Act 1989 to include specific obligations on the State and NPMs to operate in accordance with Te Tiriti o Waitangi.</w:t>
      </w:r>
    </w:p>
    <w:p w14:paraId="268541BC" w14:textId="0CC6B943" w:rsidR="00EF2505" w:rsidRPr="00FE0205" w:rsidRDefault="00EE51EB" w:rsidP="00B40736">
      <w:pPr>
        <w:pStyle w:val="ListNumber"/>
        <w:numPr>
          <w:ilvl w:val="0"/>
          <w:numId w:val="17"/>
        </w:numPr>
        <w:jc w:val="both"/>
        <w:rPr>
          <w:color w:val="auto"/>
          <w:lang w:eastAsia="en-GB"/>
        </w:rPr>
      </w:pPr>
      <w:r w:rsidRPr="00FE0205">
        <w:t xml:space="preserve">In conjunction with amendments to the Crimes of Torture Act 1989, </w:t>
      </w:r>
      <w:r w:rsidR="003547F9">
        <w:t xml:space="preserve">the State </w:t>
      </w:r>
      <w:r w:rsidRPr="00FE0205">
        <w:t>develop an action plan to ensure all places of detention are compliant with Te Tiriti o Waitangi.</w:t>
      </w:r>
    </w:p>
    <w:p w14:paraId="61379798" w14:textId="77777777" w:rsidR="00EF2505" w:rsidRPr="00B40736" w:rsidRDefault="00EF2505" w:rsidP="00B40736">
      <w:pPr>
        <w:pStyle w:val="Pull-OutText"/>
        <w:ind w:left="0"/>
        <w:rPr>
          <w:b/>
          <w:bCs/>
        </w:rPr>
      </w:pPr>
      <w:r w:rsidRPr="00B40736">
        <w:rPr>
          <w:b/>
          <w:bCs/>
        </w:rPr>
        <w:t>New Oversight System</w:t>
      </w:r>
    </w:p>
    <w:p w14:paraId="2CBF9B4E" w14:textId="3590063B" w:rsidR="00EF2505" w:rsidRPr="00ED1216" w:rsidRDefault="00EF2505" w:rsidP="00EE51EB">
      <w:pPr>
        <w:pStyle w:val="ListNumber"/>
        <w:numPr>
          <w:ilvl w:val="0"/>
          <w:numId w:val="17"/>
        </w:numPr>
        <w:jc w:val="both"/>
      </w:pPr>
      <w:r w:rsidRPr="00ED1216">
        <w:t xml:space="preserve">Review </w:t>
      </w:r>
      <w:r w:rsidR="00673C6E" w:rsidRPr="00ED1216">
        <w:t xml:space="preserve">the Oranga Tamariki Oversight System </w:t>
      </w:r>
      <w:r w:rsidR="003547F9">
        <w:t>following</w:t>
      </w:r>
      <w:r w:rsidR="00EE51EB" w:rsidRPr="00ED1216">
        <w:t xml:space="preserve"> release of the final report from </w:t>
      </w:r>
      <w:r w:rsidR="003547F9">
        <w:t xml:space="preserve">the </w:t>
      </w:r>
      <w:r w:rsidR="00EE51EB" w:rsidRPr="00ED1216">
        <w:t xml:space="preserve">Royal Commission </w:t>
      </w:r>
      <w:r w:rsidR="00CD624C" w:rsidRPr="00ED1216">
        <w:rPr>
          <w:rFonts w:ascii="Segoe UI" w:hAnsi="Segoe UI" w:cs="Segoe UI"/>
          <w:lang w:val="en-AU"/>
        </w:rPr>
        <w:t xml:space="preserve">to ensure monitoring and oversight arrangements for mokopuna in the </w:t>
      </w:r>
      <w:r w:rsidR="00ED1216" w:rsidRPr="00ED1216">
        <w:rPr>
          <w:rFonts w:ascii="Segoe UI" w:hAnsi="Segoe UI" w:cs="Segoe UI"/>
          <w:lang w:val="en-AU"/>
        </w:rPr>
        <w:t>C&amp;P</w:t>
      </w:r>
      <w:r w:rsidR="00CD624C" w:rsidRPr="00ED1216">
        <w:rPr>
          <w:rFonts w:ascii="Segoe UI" w:hAnsi="Segoe UI" w:cs="Segoe UI"/>
          <w:lang w:val="en-AU"/>
        </w:rPr>
        <w:t xml:space="preserve"> system address the findings and recommendations.</w:t>
      </w:r>
    </w:p>
    <w:p w14:paraId="4DB5C731" w14:textId="4972EA7A" w:rsidR="00EF2505" w:rsidRPr="00ED1216" w:rsidRDefault="00EF2505" w:rsidP="00B40736">
      <w:pPr>
        <w:pStyle w:val="Pull-OutText"/>
        <w:ind w:left="0"/>
        <w:rPr>
          <w:b/>
          <w:bCs/>
        </w:rPr>
      </w:pPr>
      <w:r w:rsidRPr="00ED1216">
        <w:rPr>
          <w:b/>
          <w:bCs/>
        </w:rPr>
        <w:t>COVID-19</w:t>
      </w:r>
    </w:p>
    <w:p w14:paraId="589A1AF1" w14:textId="2B86AF10" w:rsidR="00EE51EB" w:rsidRPr="004F1076" w:rsidRDefault="00ED1216" w:rsidP="00EE51EB">
      <w:pPr>
        <w:pStyle w:val="ListNumber"/>
        <w:numPr>
          <w:ilvl w:val="0"/>
          <w:numId w:val="17"/>
        </w:numPr>
        <w:jc w:val="both"/>
        <w:rPr>
          <w:lang w:val="en-GB"/>
        </w:rPr>
      </w:pPr>
      <w:r w:rsidRPr="00ED1216">
        <w:t xml:space="preserve">Evaluate how </w:t>
      </w:r>
      <w:r w:rsidR="005D6D02">
        <w:t>places of detention</w:t>
      </w:r>
      <w:r w:rsidRPr="00ED1216">
        <w:t xml:space="preserve"> cared for mokopuna in secure residences during COVID-19</w:t>
      </w:r>
      <w:r w:rsidR="004F1076">
        <w:t xml:space="preserve"> </w:t>
      </w:r>
      <w:r w:rsidRPr="004F1076">
        <w:t>and apply lessons learned to improve policies and practice.</w:t>
      </w:r>
    </w:p>
    <w:p w14:paraId="51A7840F" w14:textId="1E083C32" w:rsidR="00EF2505" w:rsidRDefault="00EF2505" w:rsidP="00B40736">
      <w:pPr>
        <w:pStyle w:val="Pull-OutText"/>
        <w:ind w:left="0"/>
        <w:rPr>
          <w:b/>
          <w:bCs/>
        </w:rPr>
      </w:pPr>
      <w:r w:rsidRPr="00B40736">
        <w:rPr>
          <w:b/>
          <w:bCs/>
        </w:rPr>
        <w:t>Rights of people in custody</w:t>
      </w:r>
    </w:p>
    <w:p w14:paraId="3CFA1B50" w14:textId="5791A08A" w:rsidR="00EE51EB" w:rsidRPr="00EE51EB" w:rsidRDefault="00EE51EB" w:rsidP="00EE51EB">
      <w:pPr>
        <w:pStyle w:val="ListNumber"/>
        <w:numPr>
          <w:ilvl w:val="0"/>
          <w:numId w:val="17"/>
        </w:numPr>
        <w:jc w:val="both"/>
        <w:rPr>
          <w:lang w:val="en-GB"/>
        </w:rPr>
      </w:pPr>
      <w:r>
        <w:rPr>
          <w:lang w:val="en-GB"/>
        </w:rPr>
        <w:t xml:space="preserve">Ensure all </w:t>
      </w:r>
      <w:r w:rsidRPr="00EE51EB">
        <w:t>mokopuna</w:t>
      </w:r>
      <w:r>
        <w:rPr>
          <w:lang w:val="en-GB"/>
        </w:rPr>
        <w:t xml:space="preserve"> in places of detention are informed of their rights, in a format that is child-friendly and accessible</w:t>
      </w:r>
      <w:r w:rsidR="00ED1216">
        <w:rPr>
          <w:lang w:val="en-GB"/>
        </w:rPr>
        <w:t xml:space="preserve"> to them</w:t>
      </w:r>
      <w:r>
        <w:rPr>
          <w:lang w:val="en-GB"/>
        </w:rPr>
        <w:t>.</w:t>
      </w:r>
    </w:p>
    <w:p w14:paraId="22820473" w14:textId="77777777" w:rsidR="00EF2505" w:rsidRPr="00B40736" w:rsidRDefault="00EF2505" w:rsidP="00B40736">
      <w:pPr>
        <w:pStyle w:val="Pull-OutText"/>
        <w:ind w:left="0"/>
        <w:rPr>
          <w:b/>
          <w:bCs/>
        </w:rPr>
      </w:pPr>
      <w:r w:rsidRPr="00B40736">
        <w:rPr>
          <w:b/>
          <w:bCs/>
        </w:rPr>
        <w:t>National Preventive Mechanism</w:t>
      </w:r>
    </w:p>
    <w:p w14:paraId="70F170D0" w14:textId="6B3F1738" w:rsidR="00EF2505" w:rsidRPr="00800F95" w:rsidRDefault="00331772" w:rsidP="00EE51EB">
      <w:pPr>
        <w:pStyle w:val="ListNumber"/>
        <w:numPr>
          <w:ilvl w:val="0"/>
          <w:numId w:val="17"/>
        </w:numPr>
        <w:jc w:val="both"/>
        <w:rPr>
          <w:color w:val="auto"/>
          <w:lang w:val="en-GB" w:eastAsia="en-GB"/>
        </w:rPr>
      </w:pPr>
      <w:r>
        <w:rPr>
          <w:color w:val="auto"/>
        </w:rPr>
        <w:t>Ensure the OCC are</w:t>
      </w:r>
      <w:r w:rsidR="00EF2505" w:rsidRPr="00800F95">
        <w:rPr>
          <w:color w:val="auto"/>
        </w:rPr>
        <w:t xml:space="preserve"> allocated</w:t>
      </w:r>
      <w:r>
        <w:rPr>
          <w:color w:val="auto"/>
        </w:rPr>
        <w:t xml:space="preserve"> ongoing</w:t>
      </w:r>
      <w:r w:rsidR="00EF2505" w:rsidRPr="00800F95">
        <w:rPr>
          <w:color w:val="auto"/>
        </w:rPr>
        <w:t xml:space="preserve"> </w:t>
      </w:r>
      <w:r w:rsidR="004F55E2">
        <w:rPr>
          <w:color w:val="auto"/>
        </w:rPr>
        <w:t>resourcing</w:t>
      </w:r>
      <w:r w:rsidR="00EF2505" w:rsidRPr="00800F95">
        <w:rPr>
          <w:color w:val="auto"/>
        </w:rPr>
        <w:t xml:space="preserve"> to effectively carry out its OPCAT </w:t>
      </w:r>
      <w:r w:rsidR="00EF2505" w:rsidRPr="004F55E2">
        <w:rPr>
          <w:lang w:val="en-GB"/>
        </w:rPr>
        <w:t>mandate</w:t>
      </w:r>
      <w:r w:rsidR="00EF2505" w:rsidRPr="00800F95">
        <w:rPr>
          <w:color w:val="auto"/>
        </w:rPr>
        <w:t>.</w:t>
      </w:r>
    </w:p>
    <w:p w14:paraId="7981CEE0" w14:textId="77777777" w:rsidR="00EF2505" w:rsidRPr="00B40736" w:rsidRDefault="00EF2505" w:rsidP="00B40736">
      <w:pPr>
        <w:pStyle w:val="Pull-OutText"/>
        <w:ind w:left="0"/>
        <w:rPr>
          <w:b/>
          <w:bCs/>
        </w:rPr>
      </w:pPr>
      <w:r w:rsidRPr="00B40736">
        <w:rPr>
          <w:b/>
          <w:bCs/>
        </w:rPr>
        <w:t>Violence against children</w:t>
      </w:r>
    </w:p>
    <w:p w14:paraId="03EA5633" w14:textId="66000488" w:rsidR="00EF2505" w:rsidRPr="00EE51EB" w:rsidRDefault="00EE51EB" w:rsidP="00EE51EB">
      <w:pPr>
        <w:pStyle w:val="ListNumber"/>
        <w:numPr>
          <w:ilvl w:val="0"/>
          <w:numId w:val="17"/>
        </w:numPr>
        <w:jc w:val="both"/>
        <w:rPr>
          <w:color w:val="auto"/>
        </w:rPr>
      </w:pPr>
      <w:r w:rsidRPr="00EE51EB">
        <w:rPr>
          <w:color w:val="auto"/>
        </w:rPr>
        <w:t>Reiterate the Committee on the Rights of the Child’s recommendation</w:t>
      </w:r>
      <w:r>
        <w:rPr>
          <w:rStyle w:val="FootnoteReference"/>
          <w:color w:val="auto"/>
        </w:rPr>
        <w:footnoteReference w:id="142"/>
      </w:r>
      <w:r w:rsidRPr="00EE51EB">
        <w:rPr>
          <w:color w:val="auto"/>
        </w:rPr>
        <w:t xml:space="preserve"> that the State </w:t>
      </w:r>
      <w:r>
        <w:rPr>
          <w:color w:val="auto"/>
        </w:rPr>
        <w:t xml:space="preserve">Party </w:t>
      </w:r>
      <w:r w:rsidRPr="00EE51EB">
        <w:rPr>
          <w:color w:val="auto"/>
        </w:rPr>
        <w:t xml:space="preserve">invest in culturally-specific, community-based initiatives to equip families and communities to prevent and respond to cases of child abuse, neglect and violence, in coordination with civil society organisations. Consultation with mokopuna should be undertaken in developing these initiatives. </w:t>
      </w:r>
    </w:p>
    <w:p w14:paraId="4FF98884" w14:textId="0378AC08" w:rsidR="00EF2505" w:rsidRDefault="00EF2505" w:rsidP="00B40736">
      <w:pPr>
        <w:pStyle w:val="Pull-OutText"/>
        <w:ind w:left="0"/>
        <w:rPr>
          <w:b/>
          <w:bCs/>
        </w:rPr>
      </w:pPr>
      <w:r w:rsidRPr="00B40736">
        <w:rPr>
          <w:b/>
          <w:bCs/>
        </w:rPr>
        <w:t>Child trafficking</w:t>
      </w:r>
    </w:p>
    <w:p w14:paraId="476C545F" w14:textId="65B2E86A" w:rsidR="004F55E2" w:rsidRPr="004F55E2" w:rsidRDefault="004F55E2" w:rsidP="004F55E2">
      <w:pPr>
        <w:pStyle w:val="ListNumber"/>
        <w:numPr>
          <w:ilvl w:val="0"/>
          <w:numId w:val="17"/>
        </w:numPr>
        <w:jc w:val="both"/>
        <w:rPr>
          <w:lang w:val="en-GB"/>
        </w:rPr>
      </w:pPr>
      <w:r>
        <w:rPr>
          <w:lang w:val="en-GB"/>
        </w:rPr>
        <w:t xml:space="preserve">Reiterate the </w:t>
      </w:r>
      <w:r w:rsidRPr="00EE51EB">
        <w:rPr>
          <w:color w:val="auto"/>
        </w:rPr>
        <w:t>Committee on the Rights of the Child’s recommendation</w:t>
      </w:r>
      <w:r>
        <w:rPr>
          <w:rStyle w:val="FootnoteReference"/>
          <w:color w:val="auto"/>
        </w:rPr>
        <w:footnoteReference w:id="143"/>
      </w:r>
      <w:r w:rsidRPr="00EE51EB">
        <w:rPr>
          <w:color w:val="auto"/>
        </w:rPr>
        <w:t xml:space="preserve"> that the State </w:t>
      </w:r>
      <w:r>
        <w:rPr>
          <w:color w:val="auto"/>
        </w:rPr>
        <w:t>Party</w:t>
      </w:r>
      <w:r w:rsidR="00A26087">
        <w:rPr>
          <w:color w:val="auto"/>
        </w:rPr>
        <w:t xml:space="preserve"> </w:t>
      </w:r>
      <w:r w:rsidR="00D0183E">
        <w:rPr>
          <w:color w:val="auto"/>
        </w:rPr>
        <w:t xml:space="preserve">establish a comprehensive data collection system covering all areas of the </w:t>
      </w:r>
      <w:r w:rsidR="00331772">
        <w:rPr>
          <w:color w:val="auto"/>
        </w:rPr>
        <w:t>OPSC</w:t>
      </w:r>
      <w:r w:rsidR="00D0183E">
        <w:t>; adopt a national action plan, which also addresses  the root causes of child exploitation; and strengthen coordination between child protection stakeholders</w:t>
      </w:r>
      <w:r w:rsidR="00A26087">
        <w:rPr>
          <w:color w:val="auto"/>
        </w:rPr>
        <w:t>.</w:t>
      </w:r>
    </w:p>
    <w:p w14:paraId="7F5B84C4" w14:textId="77777777" w:rsidR="00EF2505" w:rsidRDefault="00EF2505" w:rsidP="00B40736">
      <w:pPr>
        <w:pStyle w:val="Pull-OutText"/>
        <w:ind w:left="0"/>
        <w:rPr>
          <w:lang w:val="en-US"/>
        </w:rPr>
      </w:pPr>
      <w:r w:rsidRPr="00B40736">
        <w:rPr>
          <w:b/>
          <w:bCs/>
        </w:rPr>
        <w:t>Training of enforcement personnel</w:t>
      </w:r>
    </w:p>
    <w:p w14:paraId="05FE8F08" w14:textId="3A9FFDAE" w:rsidR="00ED1216" w:rsidRDefault="00ED1216" w:rsidP="00ED1216">
      <w:pPr>
        <w:pStyle w:val="ListNumber"/>
        <w:numPr>
          <w:ilvl w:val="0"/>
          <w:numId w:val="17"/>
        </w:numPr>
        <w:jc w:val="both"/>
        <w:rPr>
          <w:color w:val="auto"/>
          <w:lang w:val="en-GB" w:eastAsia="en-GB"/>
        </w:rPr>
      </w:pPr>
      <w:r>
        <w:rPr>
          <w:color w:val="auto"/>
          <w:lang w:val="en-GB" w:eastAsia="en-GB"/>
        </w:rPr>
        <w:t xml:space="preserve">Ensure full completion of the </w:t>
      </w:r>
      <w:r w:rsidR="00A26087">
        <w:rPr>
          <w:color w:val="auto"/>
          <w:lang w:val="en-GB" w:eastAsia="en-GB"/>
        </w:rPr>
        <w:t xml:space="preserve">Oranga Tamariki </w:t>
      </w:r>
      <w:r w:rsidR="00EF2505" w:rsidRPr="00291C28">
        <w:rPr>
          <w:color w:val="auto"/>
          <w:lang w:val="en-GB" w:eastAsia="en-GB"/>
        </w:rPr>
        <w:t xml:space="preserve">Te Waharoa </w:t>
      </w:r>
      <w:r w:rsidR="00A26087">
        <w:rPr>
          <w:color w:val="auto"/>
          <w:lang w:val="en-GB" w:eastAsia="en-GB"/>
        </w:rPr>
        <w:t xml:space="preserve">training </w:t>
      </w:r>
      <w:r>
        <w:rPr>
          <w:color w:val="auto"/>
          <w:lang w:val="en-GB" w:eastAsia="en-GB"/>
        </w:rPr>
        <w:t xml:space="preserve">for all staff prior to working with mokopuna. </w:t>
      </w:r>
      <w:r w:rsidR="00E053B3">
        <w:rPr>
          <w:color w:val="auto"/>
          <w:lang w:val="en-GB" w:eastAsia="en-GB"/>
        </w:rPr>
        <w:t>Urgently a</w:t>
      </w:r>
      <w:r>
        <w:rPr>
          <w:color w:val="auto"/>
          <w:lang w:val="en-GB" w:eastAsia="en-GB"/>
        </w:rPr>
        <w:t>ddress the factors that prevent this from occurring, such as short staffing or operational pressures.</w:t>
      </w:r>
    </w:p>
    <w:p w14:paraId="7501628A" w14:textId="7E8FE0C3" w:rsidR="00EF2505" w:rsidRPr="00ED1216" w:rsidRDefault="00ED1216" w:rsidP="00ED1216">
      <w:pPr>
        <w:pStyle w:val="ListNumber"/>
        <w:numPr>
          <w:ilvl w:val="0"/>
          <w:numId w:val="17"/>
        </w:numPr>
        <w:jc w:val="both"/>
        <w:rPr>
          <w:color w:val="auto"/>
          <w:lang w:val="en-GB" w:eastAsia="en-GB"/>
        </w:rPr>
      </w:pPr>
      <w:r>
        <w:rPr>
          <w:color w:val="auto"/>
          <w:lang w:val="en-GB" w:eastAsia="en-GB"/>
        </w:rPr>
        <w:t xml:space="preserve">Ensure all places of detention where mokopuna are detained receive training that </w:t>
      </w:r>
      <w:r w:rsidR="00A26087" w:rsidRPr="00ED1216">
        <w:rPr>
          <w:color w:val="auto"/>
          <w:lang w:val="en-GB" w:eastAsia="en-GB"/>
        </w:rPr>
        <w:t xml:space="preserve"> cover</w:t>
      </w:r>
      <w:r>
        <w:rPr>
          <w:color w:val="auto"/>
          <w:lang w:val="en-GB" w:eastAsia="en-GB"/>
        </w:rPr>
        <w:t>s</w:t>
      </w:r>
      <w:r w:rsidR="00A26087" w:rsidRPr="00ED1216">
        <w:rPr>
          <w:color w:val="auto"/>
          <w:lang w:val="en-GB" w:eastAsia="en-GB"/>
        </w:rPr>
        <w:t xml:space="preserve"> the OPCAT mandate, torture and ill treatment, and the </w:t>
      </w:r>
      <w:r w:rsidR="00331772" w:rsidRPr="00ED1216">
        <w:rPr>
          <w:color w:val="auto"/>
          <w:lang w:val="en-GB" w:eastAsia="en-GB"/>
        </w:rPr>
        <w:t>OCC</w:t>
      </w:r>
      <w:r w:rsidR="00331772">
        <w:rPr>
          <w:color w:val="auto"/>
          <w:lang w:val="en-GB" w:eastAsia="en-GB"/>
        </w:rPr>
        <w:t>’s</w:t>
      </w:r>
      <w:r w:rsidR="00331772" w:rsidRPr="00ED1216">
        <w:rPr>
          <w:color w:val="auto"/>
          <w:lang w:val="en-GB" w:eastAsia="en-GB"/>
        </w:rPr>
        <w:t xml:space="preserve"> </w:t>
      </w:r>
      <w:r w:rsidR="00A26087" w:rsidRPr="00ED1216">
        <w:rPr>
          <w:color w:val="auto"/>
          <w:lang w:val="en-GB" w:eastAsia="en-GB"/>
        </w:rPr>
        <w:t>role as a</w:t>
      </w:r>
      <w:r w:rsidR="00331772">
        <w:rPr>
          <w:color w:val="auto"/>
          <w:lang w:val="en-GB" w:eastAsia="en-GB"/>
        </w:rPr>
        <w:t>n</w:t>
      </w:r>
      <w:r w:rsidR="00A26087" w:rsidRPr="00ED1216">
        <w:rPr>
          <w:color w:val="auto"/>
          <w:lang w:val="en-GB" w:eastAsia="en-GB"/>
        </w:rPr>
        <w:t xml:space="preserve"> NPM.</w:t>
      </w:r>
    </w:p>
    <w:p w14:paraId="512E3467" w14:textId="77777777" w:rsidR="00EF2505" w:rsidRDefault="00EF2505" w:rsidP="00B40736">
      <w:pPr>
        <w:pStyle w:val="Pull-OutText"/>
        <w:ind w:left="0"/>
        <w:rPr>
          <w:lang w:val="en-US"/>
        </w:rPr>
      </w:pPr>
      <w:r w:rsidRPr="00B40736">
        <w:rPr>
          <w:b/>
          <w:bCs/>
        </w:rPr>
        <w:t>Less than lethal devices</w:t>
      </w:r>
    </w:p>
    <w:p w14:paraId="749D3F63" w14:textId="339461A8" w:rsidR="00EF2505" w:rsidRPr="00A26087" w:rsidRDefault="00A26087" w:rsidP="00A26087">
      <w:pPr>
        <w:pStyle w:val="ListNumber"/>
        <w:numPr>
          <w:ilvl w:val="0"/>
          <w:numId w:val="17"/>
        </w:numPr>
        <w:jc w:val="both"/>
        <w:rPr>
          <w:color w:val="auto"/>
          <w:lang w:val="en-GB" w:eastAsia="en-GB"/>
        </w:rPr>
      </w:pPr>
      <w:r>
        <w:rPr>
          <w:color w:val="auto"/>
          <w:lang w:val="en-GB" w:eastAsia="en-GB"/>
        </w:rPr>
        <w:t>Immediately remove the powers to use</w:t>
      </w:r>
      <w:r w:rsidR="00EF2505" w:rsidRPr="00A26087">
        <w:rPr>
          <w:color w:val="auto"/>
          <w:lang w:val="en-GB" w:eastAsia="en-GB"/>
        </w:rPr>
        <w:t xml:space="preserve"> spit hoods, pepper spray, and restraint chairs on mokopuna</w:t>
      </w:r>
      <w:bookmarkStart w:id="8" w:name="_Hlk135223191"/>
      <w:r>
        <w:rPr>
          <w:color w:val="auto"/>
          <w:lang w:val="en-GB" w:eastAsia="en-GB"/>
        </w:rPr>
        <w:t xml:space="preserve"> in all settings.</w:t>
      </w:r>
    </w:p>
    <w:bookmarkEnd w:id="8"/>
    <w:p w14:paraId="6C247EF5" w14:textId="77777777" w:rsidR="00EF2505" w:rsidRPr="00B40736" w:rsidRDefault="00EF2505" w:rsidP="00B40736">
      <w:pPr>
        <w:pStyle w:val="Pull-OutText"/>
        <w:ind w:left="0"/>
        <w:rPr>
          <w:b/>
          <w:bCs/>
        </w:rPr>
      </w:pPr>
      <w:r w:rsidRPr="00B40736">
        <w:rPr>
          <w:b/>
          <w:bCs/>
        </w:rPr>
        <w:t>Pre-trial detention</w:t>
      </w:r>
    </w:p>
    <w:p w14:paraId="4F2766E1" w14:textId="44146D19" w:rsidR="00EF2505" w:rsidRPr="00ED1216" w:rsidRDefault="00EF2505" w:rsidP="00A26087">
      <w:pPr>
        <w:pStyle w:val="ListNumber"/>
        <w:numPr>
          <w:ilvl w:val="0"/>
          <w:numId w:val="17"/>
        </w:numPr>
        <w:jc w:val="both"/>
        <w:rPr>
          <w:color w:val="auto"/>
          <w:lang w:val="en-GB" w:eastAsia="en-GB"/>
        </w:rPr>
      </w:pPr>
      <w:bookmarkStart w:id="9" w:name="_Hlk135223154"/>
      <w:r w:rsidRPr="00291C28">
        <w:rPr>
          <w:color w:val="auto"/>
        </w:rPr>
        <w:t xml:space="preserve">Review the use of pretrial detention on mokopuna who are arrested and deprived of their </w:t>
      </w:r>
      <w:r w:rsidRPr="00A26087">
        <w:rPr>
          <w:color w:val="auto"/>
          <w:lang w:val="en-GB" w:eastAsia="en-GB"/>
        </w:rPr>
        <w:t>liberty</w:t>
      </w:r>
      <w:r w:rsidR="00331772">
        <w:rPr>
          <w:color w:val="auto"/>
        </w:rPr>
        <w:t xml:space="preserve"> and</w:t>
      </w:r>
      <w:r w:rsidRPr="00291C28">
        <w:rPr>
          <w:color w:val="auto"/>
        </w:rPr>
        <w:t xml:space="preserve"> remove the option to use police cells to hold young people on remand after first Youth Court appearance, and repeal s 238(1)(e) of the Oranga Tamariki Act 1989.</w:t>
      </w:r>
    </w:p>
    <w:p w14:paraId="04DB8B70" w14:textId="4F81076F" w:rsidR="00ED1216" w:rsidRPr="00ED1216" w:rsidRDefault="00ED1216" w:rsidP="00ED1216">
      <w:pPr>
        <w:pStyle w:val="ListNumber"/>
        <w:numPr>
          <w:ilvl w:val="0"/>
          <w:numId w:val="17"/>
        </w:numPr>
        <w:jc w:val="both"/>
        <w:rPr>
          <w:color w:val="auto"/>
          <w:lang w:eastAsia="en-GB"/>
        </w:rPr>
      </w:pPr>
      <w:r w:rsidRPr="00ED1216">
        <w:rPr>
          <w:color w:val="auto"/>
          <w:lang w:val="en-GB" w:eastAsia="en-GB"/>
        </w:rPr>
        <w:t>Immediately remove the</w:t>
      </w:r>
      <w:r w:rsidRPr="00ED1216">
        <w:rPr>
          <w:color w:val="auto"/>
        </w:rPr>
        <w:t xml:space="preserve"> powers to conduct strip searches of mokopuna in all settings.</w:t>
      </w:r>
    </w:p>
    <w:bookmarkEnd w:id="9"/>
    <w:p w14:paraId="35A2928A" w14:textId="77777777" w:rsidR="00EF2505" w:rsidRPr="00B40736" w:rsidRDefault="00EF2505" w:rsidP="00B40736">
      <w:pPr>
        <w:pStyle w:val="Pull-OutText"/>
        <w:ind w:left="0"/>
        <w:rPr>
          <w:b/>
          <w:bCs/>
        </w:rPr>
      </w:pPr>
      <w:r w:rsidRPr="00B40736">
        <w:rPr>
          <w:b/>
          <w:bCs/>
        </w:rPr>
        <w:t>Solitary confinement</w:t>
      </w:r>
    </w:p>
    <w:p w14:paraId="38DC98F1" w14:textId="77777777" w:rsidR="00EF2505" w:rsidRPr="00291C28" w:rsidRDefault="00EF2505" w:rsidP="00A26087">
      <w:pPr>
        <w:pStyle w:val="ListNumber"/>
        <w:numPr>
          <w:ilvl w:val="0"/>
          <w:numId w:val="17"/>
        </w:numPr>
        <w:jc w:val="both"/>
        <w:rPr>
          <w:color w:val="auto"/>
          <w:lang w:eastAsia="en-GB"/>
        </w:rPr>
      </w:pPr>
      <w:bookmarkStart w:id="10" w:name="_Hlk135223147"/>
      <w:r w:rsidRPr="00A26087">
        <w:rPr>
          <w:color w:val="auto"/>
          <w:lang w:val="en-GB" w:eastAsia="en-GB"/>
        </w:rPr>
        <w:t>Eliminate</w:t>
      </w:r>
      <w:r w:rsidRPr="00291C28">
        <w:rPr>
          <w:color w:val="auto"/>
        </w:rPr>
        <w:t xml:space="preserve"> the use of all types of seclusion and restraint of mokopuna, in all settings</w:t>
      </w:r>
      <w:bookmarkEnd w:id="10"/>
      <w:r w:rsidRPr="00291C28">
        <w:rPr>
          <w:color w:val="auto"/>
        </w:rPr>
        <w:t>.</w:t>
      </w:r>
    </w:p>
    <w:p w14:paraId="01E4231B" w14:textId="77777777" w:rsidR="00EF2505" w:rsidRPr="00B40736" w:rsidRDefault="00EF2505" w:rsidP="00B40736">
      <w:pPr>
        <w:pStyle w:val="Pull-OutText"/>
        <w:ind w:left="0"/>
        <w:rPr>
          <w:b/>
          <w:bCs/>
        </w:rPr>
      </w:pPr>
      <w:r w:rsidRPr="00B40736">
        <w:rPr>
          <w:b/>
          <w:bCs/>
        </w:rPr>
        <w:t>Children in places of detention</w:t>
      </w:r>
    </w:p>
    <w:p w14:paraId="0B04C5E8" w14:textId="77777777" w:rsidR="00CE60C6" w:rsidRPr="00D0183E" w:rsidRDefault="00CE60C6" w:rsidP="00CE60C6">
      <w:pPr>
        <w:pStyle w:val="ListNumber"/>
        <w:numPr>
          <w:ilvl w:val="0"/>
          <w:numId w:val="17"/>
        </w:numPr>
        <w:jc w:val="both"/>
        <w:rPr>
          <w:color w:val="auto"/>
          <w:lang w:val="en-GB" w:eastAsia="en-GB"/>
        </w:rPr>
      </w:pPr>
      <w:r w:rsidRPr="00D0183E">
        <w:rPr>
          <w:color w:val="auto"/>
          <w:lang w:val="en-GB" w:eastAsia="en-GB"/>
        </w:rPr>
        <w:t xml:space="preserve">Urgently address the inequities experienced by mokopuna Māori in the </w:t>
      </w:r>
      <w:r>
        <w:rPr>
          <w:color w:val="auto"/>
          <w:lang w:val="en-GB" w:eastAsia="en-GB"/>
        </w:rPr>
        <w:t xml:space="preserve">C&amp;P and YJ </w:t>
      </w:r>
      <w:r w:rsidRPr="00D0183E">
        <w:rPr>
          <w:color w:val="auto"/>
          <w:lang w:val="en-GB" w:eastAsia="en-GB"/>
        </w:rPr>
        <w:t xml:space="preserve">system by resourcing by Māori, for Māori approaches to protecting the wellbeing of mokopuna before they enter the </w:t>
      </w:r>
      <w:r>
        <w:rPr>
          <w:color w:val="auto"/>
          <w:lang w:val="en-GB" w:eastAsia="en-GB"/>
        </w:rPr>
        <w:t>C&amp;P and YJ</w:t>
      </w:r>
      <w:r w:rsidRPr="00D0183E">
        <w:rPr>
          <w:color w:val="auto"/>
          <w:lang w:val="en-GB" w:eastAsia="en-GB"/>
        </w:rPr>
        <w:t xml:space="preserve"> system, and during.</w:t>
      </w:r>
    </w:p>
    <w:p w14:paraId="51291904" w14:textId="72E6EDF2" w:rsidR="00CE60C6" w:rsidRDefault="00CE60C6" w:rsidP="00CE60C6">
      <w:pPr>
        <w:pStyle w:val="ListNumber"/>
        <w:numPr>
          <w:ilvl w:val="0"/>
          <w:numId w:val="17"/>
        </w:numPr>
        <w:jc w:val="both"/>
        <w:rPr>
          <w:color w:val="auto"/>
          <w:lang w:val="en-GB" w:eastAsia="en-GB"/>
        </w:rPr>
      </w:pPr>
      <w:r>
        <w:t xml:space="preserve">Prioritise </w:t>
      </w:r>
      <w:r w:rsidR="00E053B3">
        <w:t>(</w:t>
      </w:r>
      <w:r>
        <w:t>as a matter of urgency</w:t>
      </w:r>
      <w:r w:rsidR="00E053B3">
        <w:t>)</w:t>
      </w:r>
      <w:r>
        <w:t xml:space="preserve"> the phased closure of all secure C&amp;P residences, keeping mokopuna with </w:t>
      </w:r>
      <w:r w:rsidRPr="00D0183E">
        <w:rPr>
          <w:color w:val="auto"/>
          <w:lang w:val="en-GB" w:eastAsia="en-GB"/>
        </w:rPr>
        <w:t>whānau where possible and replacing large residences with smaller community-based options, to be used when necessary.</w:t>
      </w:r>
      <w:r>
        <w:rPr>
          <w:color w:val="auto"/>
          <w:lang w:val="en-GB" w:eastAsia="en-GB"/>
        </w:rPr>
        <w:t xml:space="preserve"> Ensure mokopuna are kept fully informed throughout this process.</w:t>
      </w:r>
    </w:p>
    <w:p w14:paraId="76C625EE" w14:textId="77777777" w:rsidR="00CE60C6" w:rsidRPr="00D0183E" w:rsidRDefault="00CE60C6" w:rsidP="00CE60C6">
      <w:pPr>
        <w:pStyle w:val="ListNumber"/>
        <w:numPr>
          <w:ilvl w:val="0"/>
          <w:numId w:val="17"/>
        </w:numPr>
        <w:jc w:val="both"/>
        <w:rPr>
          <w:color w:val="auto"/>
          <w:lang w:val="en-GB" w:eastAsia="en-GB"/>
        </w:rPr>
      </w:pPr>
      <w:r w:rsidRPr="00D0183E">
        <w:rPr>
          <w:color w:val="auto"/>
          <w:lang w:val="en-GB" w:eastAsia="en-GB"/>
        </w:rPr>
        <w:t>Prioritise the</w:t>
      </w:r>
      <w:r>
        <w:rPr>
          <w:color w:val="auto"/>
          <w:lang w:val="en-GB" w:eastAsia="en-GB"/>
        </w:rPr>
        <w:t xml:space="preserve"> </w:t>
      </w:r>
      <w:r>
        <w:t>phased</w:t>
      </w:r>
      <w:r w:rsidRPr="00D0183E">
        <w:rPr>
          <w:color w:val="auto"/>
          <w:lang w:val="en-GB" w:eastAsia="en-GB"/>
        </w:rPr>
        <w:t xml:space="preserve"> closure of all YJ residences and replace with smaller community</w:t>
      </w:r>
      <w:r>
        <w:rPr>
          <w:color w:val="auto"/>
          <w:lang w:val="en-GB" w:eastAsia="en-GB"/>
        </w:rPr>
        <w:t>-</w:t>
      </w:r>
      <w:r w:rsidRPr="00D0183E">
        <w:rPr>
          <w:color w:val="auto"/>
          <w:lang w:val="en-GB" w:eastAsia="en-GB"/>
        </w:rPr>
        <w:t>based options, devolving power and resources to iwi and community organisations, to develop tailored models.</w:t>
      </w:r>
    </w:p>
    <w:p w14:paraId="2EA38D54" w14:textId="7497095C" w:rsidR="007C7947" w:rsidRPr="00B51004" w:rsidRDefault="007C7947" w:rsidP="007C7947">
      <w:pPr>
        <w:pStyle w:val="ListNumber"/>
        <w:numPr>
          <w:ilvl w:val="0"/>
          <w:numId w:val="17"/>
        </w:numPr>
        <w:jc w:val="both"/>
        <w:rPr>
          <w:color w:val="4F81BD" w:themeColor="accent1"/>
          <w:lang w:val="en-GB" w:eastAsia="en-GB"/>
        </w:rPr>
      </w:pPr>
      <w:r w:rsidRPr="00D0183E">
        <w:rPr>
          <w:color w:val="auto"/>
          <w:lang w:val="en-GB" w:eastAsia="en-GB"/>
        </w:rPr>
        <w:t>In line with s</w:t>
      </w:r>
      <w:r>
        <w:rPr>
          <w:color w:val="auto"/>
          <w:lang w:val="en-GB" w:eastAsia="en-GB"/>
        </w:rPr>
        <w:t xml:space="preserve"> </w:t>
      </w:r>
      <w:r w:rsidRPr="00D0183E">
        <w:rPr>
          <w:color w:val="auto"/>
          <w:lang w:val="en-GB" w:eastAsia="en-GB"/>
        </w:rPr>
        <w:t>7AA obligations, develop</w:t>
      </w:r>
      <w:r w:rsidR="00CE60C6">
        <w:rPr>
          <w:color w:val="auto"/>
          <w:lang w:val="en-GB" w:eastAsia="en-GB"/>
        </w:rPr>
        <w:t xml:space="preserve"> </w:t>
      </w:r>
      <w:r w:rsidR="00E053B3">
        <w:rPr>
          <w:color w:val="auto"/>
          <w:lang w:val="en-GB" w:eastAsia="en-GB"/>
        </w:rPr>
        <w:t>(as</w:t>
      </w:r>
      <w:r w:rsidR="00CE60C6">
        <w:rPr>
          <w:color w:val="auto"/>
          <w:lang w:val="en-GB" w:eastAsia="en-GB"/>
        </w:rPr>
        <w:t xml:space="preserve"> a matter of urgency</w:t>
      </w:r>
      <w:r w:rsidR="00E053B3">
        <w:rPr>
          <w:color w:val="auto"/>
          <w:lang w:val="en-GB" w:eastAsia="en-GB"/>
        </w:rPr>
        <w:t>)</w:t>
      </w:r>
      <w:r w:rsidRPr="00D0183E">
        <w:rPr>
          <w:color w:val="auto"/>
          <w:lang w:val="en-GB" w:eastAsia="en-GB"/>
        </w:rPr>
        <w:t xml:space="preserve"> strategic partnerships with iwi and Māori organisations to improve outcomes</w:t>
      </w:r>
      <w:r>
        <w:t xml:space="preserve"> for mokopuna Māori who come to the attention of Oranga </w:t>
      </w:r>
      <w:r w:rsidRPr="00D0183E">
        <w:rPr>
          <w:color w:val="auto"/>
          <w:lang w:val="en-GB" w:eastAsia="en-GB"/>
        </w:rPr>
        <w:t>Tamariki</w:t>
      </w:r>
      <w:r>
        <w:t>.</w:t>
      </w:r>
    </w:p>
    <w:p w14:paraId="2DBD6948" w14:textId="33426A2E" w:rsidR="007C7947" w:rsidRPr="00D0183E" w:rsidRDefault="00CE60C6" w:rsidP="00E053B3">
      <w:pPr>
        <w:pStyle w:val="ListNumber"/>
        <w:numPr>
          <w:ilvl w:val="0"/>
          <w:numId w:val="17"/>
        </w:numPr>
        <w:jc w:val="both"/>
        <w:rPr>
          <w:color w:val="auto"/>
          <w:lang w:val="en-GB" w:eastAsia="en-GB"/>
        </w:rPr>
      </w:pPr>
      <w:r>
        <w:rPr>
          <w:color w:val="auto"/>
          <w:lang w:val="en-GB" w:eastAsia="en-GB"/>
        </w:rPr>
        <w:t>Develop and resource strategies to u</w:t>
      </w:r>
      <w:r w:rsidRPr="00D0183E">
        <w:rPr>
          <w:color w:val="auto"/>
          <w:lang w:val="en-GB" w:eastAsia="en-GB"/>
        </w:rPr>
        <w:t xml:space="preserve">rgently </w:t>
      </w:r>
      <w:r w:rsidR="007C7947" w:rsidRPr="00D0183E">
        <w:rPr>
          <w:color w:val="auto"/>
          <w:lang w:val="en-GB" w:eastAsia="en-GB"/>
        </w:rPr>
        <w:t xml:space="preserve">address the overrepresentation of mokopuna Māori, as well as Pacific mokopuna and disabled mokopuna, particularly those with FASD and neurodiversity, </w:t>
      </w:r>
      <w:r w:rsidR="007C7947">
        <w:rPr>
          <w:color w:val="auto"/>
          <w:lang w:val="en-GB" w:eastAsia="en-GB"/>
        </w:rPr>
        <w:t>who come to the attention of Oranga Tamariki</w:t>
      </w:r>
      <w:r w:rsidR="007C7947" w:rsidRPr="00D0183E">
        <w:rPr>
          <w:color w:val="auto"/>
          <w:lang w:val="en-GB" w:eastAsia="en-GB"/>
        </w:rPr>
        <w:t>.</w:t>
      </w:r>
    </w:p>
    <w:p w14:paraId="1A1067D3" w14:textId="68D09D02" w:rsidR="00EF2505" w:rsidRDefault="00EF2505" w:rsidP="00D0183E">
      <w:pPr>
        <w:pStyle w:val="ListNumber"/>
        <w:numPr>
          <w:ilvl w:val="0"/>
          <w:numId w:val="17"/>
        </w:numPr>
        <w:jc w:val="both"/>
      </w:pPr>
      <w:r>
        <w:t xml:space="preserve">Develop a strategy to approach and understand child offending behaviour in an Aotearoa </w:t>
      </w:r>
      <w:r w:rsidR="00E053B3">
        <w:t xml:space="preserve">New Zealand </w:t>
      </w:r>
      <w:r>
        <w:t>context</w:t>
      </w:r>
      <w:r w:rsidR="00D0183E">
        <w:t>.</w:t>
      </w:r>
    </w:p>
    <w:p w14:paraId="0052CF4F" w14:textId="1686AE61" w:rsidR="007C7947" w:rsidRPr="00D0183E" w:rsidRDefault="007C7947" w:rsidP="00D0183E">
      <w:pPr>
        <w:pStyle w:val="ListNumber"/>
        <w:numPr>
          <w:ilvl w:val="0"/>
          <w:numId w:val="17"/>
        </w:numPr>
        <w:jc w:val="both"/>
      </w:pPr>
      <w:r>
        <w:rPr>
          <w:rFonts w:ascii="Segoe UI" w:hAnsi="Segoe UI" w:cs="Segoe UI"/>
        </w:rPr>
        <w:t xml:space="preserve">Made legislative amendments to ensure </w:t>
      </w:r>
      <w:r>
        <w:t xml:space="preserve">Oranga Tamariki </w:t>
      </w:r>
      <w:r w:rsidR="00331772">
        <w:t>are</w:t>
      </w:r>
      <w:r>
        <w:t xml:space="preserve"> responsib</w:t>
      </w:r>
      <w:r w:rsidR="00331772">
        <w:t>le</w:t>
      </w:r>
      <w:r>
        <w:t xml:space="preserve"> for all aspects of mokopuna care for those under s 34A of the Corrections Act, including plans and Parole Board proceedings, to reduce Corrections involvement with mokopuna as much as possible, </w:t>
      </w:r>
      <w:r w:rsidR="00331772">
        <w:t>ensuring</w:t>
      </w:r>
      <w:r>
        <w:t xml:space="preserve"> equitable treatment.</w:t>
      </w:r>
    </w:p>
    <w:p w14:paraId="026BBBB5" w14:textId="77777777" w:rsidR="00EF2505" w:rsidRPr="00D0183E" w:rsidRDefault="00EF2505" w:rsidP="00D0183E">
      <w:pPr>
        <w:pStyle w:val="ListNumber"/>
        <w:numPr>
          <w:ilvl w:val="0"/>
          <w:numId w:val="17"/>
        </w:numPr>
        <w:jc w:val="both"/>
      </w:pPr>
      <w:r>
        <w:t>Strengthen mental health services and programmes for mokopuna by allocating sufficient resources for early intervention support, developing therapeutic community-based mental health services, and increasing the number of qualified professionals to meet mokopuna mental health needs.</w:t>
      </w:r>
    </w:p>
    <w:p w14:paraId="7A0CCF1D" w14:textId="2A322BA9" w:rsidR="00EF2505" w:rsidRPr="007C7947" w:rsidRDefault="005D6D02" w:rsidP="00D0183E">
      <w:pPr>
        <w:pStyle w:val="ListNumber"/>
        <w:numPr>
          <w:ilvl w:val="0"/>
          <w:numId w:val="17"/>
        </w:numPr>
        <w:jc w:val="both"/>
      </w:pPr>
      <w:r>
        <w:t>Separate</w:t>
      </w:r>
      <w:r w:rsidR="00A72151" w:rsidRPr="007C7947">
        <w:t xml:space="preserve"> younger mokopuna from older mokopuna where they are residing in the same</w:t>
      </w:r>
      <w:r w:rsidR="007C7947" w:rsidRPr="007C7947">
        <w:t xml:space="preserve"> YJ</w:t>
      </w:r>
      <w:r w:rsidR="00A72151" w:rsidRPr="007C7947">
        <w:t xml:space="preserve"> residences.</w:t>
      </w:r>
    </w:p>
    <w:p w14:paraId="58728CDD" w14:textId="2E40C301" w:rsidR="00EF2505" w:rsidRDefault="00E053B3" w:rsidP="00D0183E">
      <w:pPr>
        <w:pStyle w:val="ListNumber"/>
        <w:numPr>
          <w:ilvl w:val="0"/>
          <w:numId w:val="17"/>
        </w:numPr>
        <w:jc w:val="both"/>
      </w:pPr>
      <w:r>
        <w:t>Amend the OCC’s OPCAT designations to</w:t>
      </w:r>
      <w:r w:rsidR="007D5406">
        <w:t xml:space="preserve"> include</w:t>
      </w:r>
      <w:r w:rsidR="00EF2505" w:rsidRPr="00D0183E">
        <w:t xml:space="preserve"> residential specialist schools and specialist care homes for young people under s 364 of the Oranga Tamariki Act </w:t>
      </w:r>
      <w:r>
        <w:t>1989</w:t>
      </w:r>
      <w:r w:rsidR="00EF2505" w:rsidRPr="00D0183E">
        <w:t>.</w:t>
      </w:r>
    </w:p>
    <w:p w14:paraId="458759CC" w14:textId="4017DEE6" w:rsidR="00EF2505" w:rsidRPr="00D0183E" w:rsidRDefault="00EF2505" w:rsidP="00D0183E">
      <w:pPr>
        <w:pStyle w:val="ListNumber"/>
        <w:numPr>
          <w:ilvl w:val="0"/>
          <w:numId w:val="17"/>
        </w:numPr>
        <w:jc w:val="both"/>
      </w:pPr>
      <w:r>
        <w:t>Ensure that reforms to the Mental Health Act involve and consider the needs of mokopuna.</w:t>
      </w:r>
    </w:p>
    <w:p w14:paraId="748CB7A8" w14:textId="77777777" w:rsidR="00EF2505" w:rsidRPr="00B40736" w:rsidRDefault="00EF2505" w:rsidP="00B40736">
      <w:pPr>
        <w:pStyle w:val="Pull-OutText"/>
        <w:ind w:left="0"/>
        <w:rPr>
          <w:b/>
          <w:bCs/>
        </w:rPr>
      </w:pPr>
      <w:r w:rsidRPr="00B40736">
        <w:rPr>
          <w:b/>
          <w:bCs/>
        </w:rPr>
        <w:t>Complaints</w:t>
      </w:r>
    </w:p>
    <w:p w14:paraId="2B6A6443" w14:textId="60DE4E3D" w:rsidR="007C7947" w:rsidRPr="007C7947" w:rsidRDefault="00A72151" w:rsidP="00D0183E">
      <w:pPr>
        <w:pStyle w:val="ListNumber"/>
        <w:numPr>
          <w:ilvl w:val="0"/>
          <w:numId w:val="17"/>
        </w:numPr>
        <w:jc w:val="both"/>
        <w:rPr>
          <w:lang w:val="en-US"/>
        </w:rPr>
      </w:pPr>
      <w:r w:rsidRPr="00A72151">
        <w:t>Review the</w:t>
      </w:r>
      <w:r w:rsidR="00E053B3">
        <w:t xml:space="preserve"> Oranga Tamariki</w:t>
      </w:r>
      <w:r w:rsidRPr="00A72151">
        <w:t xml:space="preserve"> Whaia Te Maramatanga Grievance process to be independent</w:t>
      </w:r>
      <w:r w:rsidR="003547F9">
        <w:t>, confidential,</w:t>
      </w:r>
      <w:r w:rsidRPr="00A72151">
        <w:t xml:space="preserve"> and impartial and provide a clear, child-friendly, and timely mechanism for keeping mokopuna informed of progress. </w:t>
      </w:r>
    </w:p>
    <w:p w14:paraId="556E8BFC" w14:textId="61C1CB7C" w:rsidR="00EF2505" w:rsidRPr="00331772" w:rsidRDefault="00A72151" w:rsidP="00D0183E">
      <w:pPr>
        <w:pStyle w:val="ListNumber"/>
        <w:numPr>
          <w:ilvl w:val="0"/>
          <w:numId w:val="17"/>
        </w:numPr>
        <w:jc w:val="both"/>
        <w:rPr>
          <w:lang w:val="en-US"/>
        </w:rPr>
      </w:pPr>
      <w:r w:rsidRPr="00331772">
        <w:t>Ensure mokopuna are informed of their ability to make a complaint to the Oversight Agencies.</w:t>
      </w:r>
    </w:p>
    <w:p w14:paraId="0CFD2861" w14:textId="300852D1" w:rsidR="00EF2505" w:rsidRPr="00B40736" w:rsidRDefault="00EF2505" w:rsidP="00B40736">
      <w:pPr>
        <w:pStyle w:val="Pull-OutText"/>
        <w:ind w:left="0"/>
        <w:rPr>
          <w:b/>
          <w:bCs/>
        </w:rPr>
      </w:pPr>
      <w:r w:rsidRPr="00B40736">
        <w:rPr>
          <w:b/>
          <w:bCs/>
        </w:rPr>
        <w:t xml:space="preserve">Intersex </w:t>
      </w:r>
      <w:r w:rsidR="007C7947">
        <w:rPr>
          <w:b/>
          <w:bCs/>
        </w:rPr>
        <w:t>mokopuna</w:t>
      </w:r>
    </w:p>
    <w:p w14:paraId="0E616DF4" w14:textId="68A09256" w:rsidR="00EF2505" w:rsidRDefault="00D0183E" w:rsidP="00D0183E">
      <w:pPr>
        <w:pStyle w:val="ListNumber"/>
        <w:numPr>
          <w:ilvl w:val="0"/>
          <w:numId w:val="17"/>
        </w:numPr>
        <w:jc w:val="both"/>
        <w:rPr>
          <w:lang w:val="en-AU"/>
        </w:rPr>
      </w:pPr>
      <w:r w:rsidRPr="00D0183E">
        <w:t>Reiterate</w:t>
      </w:r>
      <w:r w:rsidRPr="00EE51EB">
        <w:rPr>
          <w:color w:val="auto"/>
        </w:rPr>
        <w:t xml:space="preserve"> the Committee on the Rights of the Child’s recommendation</w:t>
      </w:r>
      <w:r>
        <w:rPr>
          <w:rStyle w:val="FootnoteReference"/>
          <w:color w:val="auto"/>
        </w:rPr>
        <w:footnoteReference w:id="144"/>
      </w:r>
      <w:r w:rsidRPr="00EE51EB">
        <w:rPr>
          <w:color w:val="auto"/>
        </w:rPr>
        <w:t xml:space="preserve"> </w:t>
      </w:r>
      <w:r w:rsidR="007C7947">
        <w:rPr>
          <w:color w:val="auto"/>
        </w:rPr>
        <w:t>relating to the treatment of intersex mokopuna</w:t>
      </w:r>
      <w:r>
        <w:rPr>
          <w:color w:val="auto"/>
        </w:rPr>
        <w:t>.</w:t>
      </w:r>
    </w:p>
    <w:p w14:paraId="202DBCEC" w14:textId="77777777" w:rsidR="00EF2505" w:rsidRDefault="00EF2505" w:rsidP="00673C6E">
      <w:pPr>
        <w:rPr>
          <w:lang w:val="en-AU"/>
        </w:rPr>
      </w:pPr>
    </w:p>
    <w:p w14:paraId="7B4FEF8A" w14:textId="77777777" w:rsidR="00E053B3" w:rsidRDefault="00E053B3">
      <w:pPr>
        <w:rPr>
          <w:rFonts w:eastAsia="MS Gothic"/>
          <w:b/>
          <w:bCs/>
          <w:color w:val="C32026"/>
          <w:sz w:val="52"/>
          <w:szCs w:val="32"/>
          <w:lang w:val="en-NZ" w:eastAsia="en-GB"/>
        </w:rPr>
      </w:pPr>
      <w:r>
        <w:rPr>
          <w:lang w:val="en-NZ"/>
        </w:rPr>
        <w:br w:type="page"/>
      </w:r>
    </w:p>
    <w:p w14:paraId="1E427C44" w14:textId="77777777" w:rsidR="00E053B3" w:rsidRDefault="00E053B3" w:rsidP="00E053B3">
      <w:pPr>
        <w:rPr>
          <w:lang w:val="en-NZ"/>
        </w:rPr>
      </w:pPr>
    </w:p>
    <w:p w14:paraId="76B4209C" w14:textId="44A58DEC" w:rsidR="00EF2505" w:rsidRPr="00B40736" w:rsidRDefault="00EF2505" w:rsidP="00B40736">
      <w:pPr>
        <w:pStyle w:val="Style2"/>
        <w:spacing w:before="0"/>
        <w:jc w:val="both"/>
        <w:rPr>
          <w:rFonts w:cs="Segoe UI"/>
          <w:lang w:val="en-NZ"/>
        </w:rPr>
      </w:pPr>
      <w:r w:rsidRPr="00B40736">
        <w:rPr>
          <w:rFonts w:cs="Segoe UI"/>
          <w:lang w:val="en-NZ"/>
        </w:rPr>
        <w:t>Glossary</w:t>
      </w:r>
    </w:p>
    <w:tbl>
      <w:tblPr>
        <w:tblW w:w="0" w:type="auto"/>
        <w:tblLook w:val="04A0" w:firstRow="1" w:lastRow="0" w:firstColumn="1" w:lastColumn="0" w:noHBand="0" w:noVBand="1"/>
      </w:tblPr>
      <w:tblGrid>
        <w:gridCol w:w="2268"/>
        <w:gridCol w:w="6796"/>
      </w:tblGrid>
      <w:tr w:rsidR="00EF2505" w:rsidRPr="00EF2505" w14:paraId="6D80AD19" w14:textId="77777777" w:rsidTr="00ED4A9D">
        <w:tc>
          <w:tcPr>
            <w:tcW w:w="2268" w:type="dxa"/>
          </w:tcPr>
          <w:p w14:paraId="5E9F54F4"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Hapū</w:t>
            </w:r>
          </w:p>
        </w:tc>
        <w:tc>
          <w:tcPr>
            <w:tcW w:w="6796" w:type="dxa"/>
          </w:tcPr>
          <w:p w14:paraId="218B0662" w14:textId="5C6F1B9F" w:rsidR="00EF2505" w:rsidRPr="00EF2505" w:rsidRDefault="00624407" w:rsidP="00EF2505">
            <w:pPr>
              <w:widowControl/>
              <w:autoSpaceDE/>
              <w:autoSpaceDN/>
              <w:spacing w:before="120" w:after="120" w:line="120" w:lineRule="atLeast"/>
              <w:rPr>
                <w:rFonts w:eastAsia="Calibri"/>
                <w:color w:val="000000"/>
                <w:lang w:val="en-AU"/>
              </w:rPr>
            </w:pPr>
            <w:r>
              <w:rPr>
                <w:rFonts w:eastAsia="Calibri"/>
                <w:color w:val="000000"/>
                <w:lang w:val="en-NZ"/>
              </w:rPr>
              <w:t>T</w:t>
            </w:r>
            <w:r w:rsidR="00EF2505" w:rsidRPr="00EF2505">
              <w:rPr>
                <w:rFonts w:eastAsia="Calibri"/>
                <w:color w:val="000000"/>
                <w:lang w:val="en-NZ"/>
              </w:rPr>
              <w:t>o be pregnant, conceived in the womb, the kinship clan, clan, sub-tribe</w:t>
            </w:r>
          </w:p>
        </w:tc>
      </w:tr>
      <w:tr w:rsidR="004F1076" w:rsidRPr="00EF2505" w14:paraId="330BED31" w14:textId="77777777" w:rsidTr="00ED4A9D">
        <w:tc>
          <w:tcPr>
            <w:tcW w:w="2268" w:type="dxa"/>
          </w:tcPr>
          <w:p w14:paraId="697786C0" w14:textId="671B3FF2" w:rsidR="004F1076" w:rsidRPr="00EF2505" w:rsidRDefault="004F1076" w:rsidP="00EF2505">
            <w:pPr>
              <w:widowControl/>
              <w:autoSpaceDE/>
              <w:autoSpaceDN/>
              <w:spacing w:before="120" w:after="120" w:line="120" w:lineRule="atLeast"/>
              <w:rPr>
                <w:rFonts w:eastAsia="Calibri"/>
                <w:color w:val="000000"/>
                <w:lang w:val="en-AU"/>
              </w:rPr>
            </w:pPr>
            <w:r>
              <w:rPr>
                <w:rFonts w:eastAsia="Calibri"/>
                <w:color w:val="000000"/>
                <w:lang w:val="en-AU"/>
              </w:rPr>
              <w:t>Ira tangata</w:t>
            </w:r>
          </w:p>
        </w:tc>
        <w:tc>
          <w:tcPr>
            <w:tcW w:w="6796" w:type="dxa"/>
          </w:tcPr>
          <w:p w14:paraId="297971B5" w14:textId="40E2E876" w:rsidR="004F1076" w:rsidRPr="00EF2505" w:rsidRDefault="004F1076" w:rsidP="00EF2505">
            <w:pPr>
              <w:widowControl/>
              <w:autoSpaceDE/>
              <w:autoSpaceDN/>
              <w:spacing w:before="120" w:after="120" w:line="120" w:lineRule="atLeast"/>
              <w:rPr>
                <w:rFonts w:eastAsia="Calibri"/>
                <w:color w:val="000000"/>
                <w:lang w:val="en-NZ"/>
              </w:rPr>
            </w:pPr>
            <w:r>
              <w:rPr>
                <w:rFonts w:eastAsia="Calibri"/>
                <w:color w:val="000000"/>
                <w:lang w:val="en-NZ"/>
              </w:rPr>
              <w:t>Intersex person</w:t>
            </w:r>
          </w:p>
        </w:tc>
      </w:tr>
      <w:tr w:rsidR="00EF2505" w:rsidRPr="00EF2505" w14:paraId="4000DCE7" w14:textId="77777777" w:rsidTr="00ED4A9D">
        <w:tc>
          <w:tcPr>
            <w:tcW w:w="2268" w:type="dxa"/>
          </w:tcPr>
          <w:p w14:paraId="7C7D8D91"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Iwi</w:t>
            </w:r>
          </w:p>
        </w:tc>
        <w:tc>
          <w:tcPr>
            <w:tcW w:w="6796" w:type="dxa"/>
          </w:tcPr>
          <w:p w14:paraId="77ACECAF" w14:textId="29E81F41" w:rsidR="00EF2505" w:rsidRPr="00EF2505" w:rsidRDefault="00624407" w:rsidP="00EF2505">
            <w:pPr>
              <w:widowControl/>
              <w:autoSpaceDE/>
              <w:autoSpaceDN/>
              <w:spacing w:before="120" w:after="120" w:line="120" w:lineRule="atLeast"/>
              <w:rPr>
                <w:rFonts w:eastAsia="Calibri"/>
                <w:color w:val="000000"/>
                <w:lang w:val="en-AU"/>
              </w:rPr>
            </w:pPr>
            <w:r>
              <w:rPr>
                <w:rFonts w:eastAsia="Calibri"/>
                <w:color w:val="000000"/>
                <w:lang w:val="en-NZ"/>
              </w:rPr>
              <w:t>S</w:t>
            </w:r>
            <w:r w:rsidR="00EF2505" w:rsidRPr="00EF2505">
              <w:rPr>
                <w:rFonts w:eastAsia="Calibri"/>
                <w:color w:val="000000"/>
                <w:lang w:val="en-NZ"/>
              </w:rPr>
              <w:t>trength, bone and the extended kinship group, the tribe</w:t>
            </w:r>
          </w:p>
        </w:tc>
      </w:tr>
      <w:tr w:rsidR="00EF2505" w:rsidRPr="00EF2505" w14:paraId="6488E735" w14:textId="77777777" w:rsidTr="00ED4A9D">
        <w:tc>
          <w:tcPr>
            <w:tcW w:w="2268" w:type="dxa"/>
          </w:tcPr>
          <w:p w14:paraId="7C274FF9"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Kāinga</w:t>
            </w:r>
          </w:p>
        </w:tc>
        <w:tc>
          <w:tcPr>
            <w:tcW w:w="6796" w:type="dxa"/>
          </w:tcPr>
          <w:p w14:paraId="0B33FD4B"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Home, village, settlement</w:t>
            </w:r>
          </w:p>
        </w:tc>
      </w:tr>
      <w:tr w:rsidR="00991696" w:rsidRPr="00EF2505" w14:paraId="3AA4F355" w14:textId="77777777" w:rsidTr="00ED4A9D">
        <w:tc>
          <w:tcPr>
            <w:tcW w:w="2268" w:type="dxa"/>
          </w:tcPr>
          <w:p w14:paraId="0DD62DEE" w14:textId="73072998" w:rsidR="00991696" w:rsidRPr="00EF2505" w:rsidRDefault="00991696" w:rsidP="00EF2505">
            <w:pPr>
              <w:widowControl/>
              <w:autoSpaceDE/>
              <w:autoSpaceDN/>
              <w:spacing w:before="120" w:after="120" w:line="120" w:lineRule="atLeast"/>
              <w:rPr>
                <w:rFonts w:eastAsia="Calibri"/>
                <w:color w:val="000000"/>
                <w:lang w:val="en-AU"/>
              </w:rPr>
            </w:pPr>
            <w:r>
              <w:rPr>
                <w:rFonts w:eastAsia="Calibri"/>
                <w:color w:val="000000"/>
                <w:lang w:val="en-AU"/>
              </w:rPr>
              <w:t>Kaimahi Māori</w:t>
            </w:r>
          </w:p>
        </w:tc>
        <w:tc>
          <w:tcPr>
            <w:tcW w:w="6796" w:type="dxa"/>
          </w:tcPr>
          <w:p w14:paraId="6CACC240" w14:textId="7DD10F1C" w:rsidR="00991696" w:rsidRPr="00EF2505" w:rsidRDefault="00991696" w:rsidP="00EF2505">
            <w:pPr>
              <w:widowControl/>
              <w:autoSpaceDE/>
              <w:autoSpaceDN/>
              <w:spacing w:before="120" w:after="120" w:line="120" w:lineRule="atLeast"/>
              <w:rPr>
                <w:rFonts w:eastAsia="Calibri"/>
                <w:color w:val="000000"/>
                <w:lang w:val="en-AU"/>
              </w:rPr>
            </w:pPr>
            <w:r>
              <w:rPr>
                <w:rFonts w:eastAsia="Calibri"/>
                <w:color w:val="000000"/>
                <w:lang w:val="en-AU"/>
              </w:rPr>
              <w:t>Māori staff</w:t>
            </w:r>
          </w:p>
        </w:tc>
      </w:tr>
      <w:tr w:rsidR="00EF2505" w:rsidRPr="00EF2505" w14:paraId="281568CA" w14:textId="77777777" w:rsidTr="00ED4A9D">
        <w:tc>
          <w:tcPr>
            <w:tcW w:w="2268" w:type="dxa"/>
          </w:tcPr>
          <w:p w14:paraId="731AC899"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Kāwanatanga</w:t>
            </w:r>
          </w:p>
        </w:tc>
        <w:tc>
          <w:tcPr>
            <w:tcW w:w="6796" w:type="dxa"/>
          </w:tcPr>
          <w:p w14:paraId="658E8872"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NZ"/>
              </w:rPr>
              <w:t>Government, rule, authority, governorship</w:t>
            </w:r>
          </w:p>
        </w:tc>
      </w:tr>
      <w:tr w:rsidR="00EF2505" w:rsidRPr="00EF2505" w14:paraId="45170751" w14:textId="77777777" w:rsidTr="00ED4A9D">
        <w:tc>
          <w:tcPr>
            <w:tcW w:w="2268" w:type="dxa"/>
          </w:tcPr>
          <w:p w14:paraId="5861CC06" w14:textId="77777777" w:rsidR="00EF2505" w:rsidRPr="00EF2505" w:rsidRDefault="00EF2505" w:rsidP="00EF2505">
            <w:pPr>
              <w:widowControl/>
              <w:autoSpaceDE/>
              <w:autoSpaceDN/>
              <w:spacing w:before="120" w:after="120" w:line="120" w:lineRule="atLeast"/>
              <w:rPr>
                <w:rFonts w:eastAsia="Calibri"/>
                <w:color w:val="000000"/>
                <w:lang w:val="en-AU"/>
              </w:rPr>
            </w:pPr>
            <w:r w:rsidRPr="00991696">
              <w:rPr>
                <w:rFonts w:eastAsia="Calibri"/>
                <w:color w:val="000000"/>
                <w:lang w:val="en-AU"/>
              </w:rPr>
              <w:t>Kaupapa Māori</w:t>
            </w:r>
          </w:p>
        </w:tc>
        <w:tc>
          <w:tcPr>
            <w:tcW w:w="6796" w:type="dxa"/>
          </w:tcPr>
          <w:p w14:paraId="3ADCD653" w14:textId="460FA5AC" w:rsidR="00EF2505" w:rsidRPr="00EF2505" w:rsidRDefault="00991696" w:rsidP="00EF2505">
            <w:pPr>
              <w:widowControl/>
              <w:autoSpaceDE/>
              <w:autoSpaceDN/>
              <w:spacing w:before="120" w:after="120" w:line="120" w:lineRule="atLeast"/>
              <w:rPr>
                <w:rFonts w:eastAsia="Calibri"/>
                <w:color w:val="000000"/>
                <w:lang w:val="en-NZ"/>
              </w:rPr>
            </w:pPr>
            <w:r w:rsidRPr="00991696">
              <w:rPr>
                <w:rFonts w:eastAsia="Calibri"/>
                <w:color w:val="000000"/>
                <w:lang w:val="en-NZ"/>
              </w:rPr>
              <w:t>Māori approach, topic, customary practice, institution, agenda, principles, ideology - a philosophical doctrine, incorporating the knowledge, skills, attitudes and values of Māori society</w:t>
            </w:r>
          </w:p>
        </w:tc>
      </w:tr>
      <w:tr w:rsidR="00D82054" w:rsidRPr="00EF2505" w14:paraId="37EF0477" w14:textId="77777777" w:rsidTr="00ED4A9D">
        <w:tc>
          <w:tcPr>
            <w:tcW w:w="2268" w:type="dxa"/>
          </w:tcPr>
          <w:p w14:paraId="266D18D4" w14:textId="6C5BAFD8" w:rsidR="00D82054" w:rsidRPr="00EF2505" w:rsidRDefault="00D82054" w:rsidP="00EF2505">
            <w:pPr>
              <w:widowControl/>
              <w:autoSpaceDE/>
              <w:autoSpaceDN/>
              <w:spacing w:before="120" w:after="120" w:line="120" w:lineRule="atLeast"/>
              <w:rPr>
                <w:rFonts w:eastAsia="Calibri"/>
                <w:color w:val="000000"/>
                <w:lang w:val="en-AU"/>
              </w:rPr>
            </w:pPr>
            <w:r>
              <w:rPr>
                <w:rFonts w:eastAsia="Calibri"/>
                <w:color w:val="000000"/>
                <w:lang w:val="en-AU"/>
              </w:rPr>
              <w:t>Marae</w:t>
            </w:r>
          </w:p>
        </w:tc>
        <w:tc>
          <w:tcPr>
            <w:tcW w:w="6796" w:type="dxa"/>
          </w:tcPr>
          <w:p w14:paraId="425E54FB" w14:textId="5B49A62D" w:rsidR="00D82054" w:rsidRPr="00EF2505" w:rsidRDefault="00D82054" w:rsidP="00EF2505">
            <w:pPr>
              <w:widowControl/>
              <w:autoSpaceDE/>
              <w:autoSpaceDN/>
              <w:spacing w:before="120" w:after="120" w:line="120" w:lineRule="atLeast"/>
              <w:rPr>
                <w:rFonts w:eastAsia="Calibri"/>
                <w:color w:val="000000"/>
                <w:lang w:val="en-AU"/>
              </w:rPr>
            </w:pPr>
            <w:r>
              <w:rPr>
                <w:rFonts w:eastAsia="Calibri"/>
                <w:color w:val="000000"/>
                <w:lang w:val="en-AU"/>
              </w:rPr>
              <w:t>The open area in front of the wharenui, traditional meeting places of Māori</w:t>
            </w:r>
          </w:p>
        </w:tc>
      </w:tr>
      <w:tr w:rsidR="00EF2505" w:rsidRPr="00EF2505" w14:paraId="0E8A01BD" w14:textId="77777777" w:rsidTr="00ED4A9D">
        <w:tc>
          <w:tcPr>
            <w:tcW w:w="2268" w:type="dxa"/>
          </w:tcPr>
          <w:p w14:paraId="1F808E1D"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Mokopuna</w:t>
            </w:r>
          </w:p>
        </w:tc>
        <w:tc>
          <w:tcPr>
            <w:tcW w:w="6796" w:type="dxa"/>
          </w:tcPr>
          <w:p w14:paraId="21D8A04A"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Children and young people under the age of 18 years</w:t>
            </w:r>
          </w:p>
        </w:tc>
      </w:tr>
      <w:tr w:rsidR="00DD006B" w:rsidRPr="00EF2505" w14:paraId="699F1A7A" w14:textId="77777777" w:rsidTr="00ED4A9D">
        <w:tc>
          <w:tcPr>
            <w:tcW w:w="2268" w:type="dxa"/>
          </w:tcPr>
          <w:p w14:paraId="41BF470C" w14:textId="0D0F9827" w:rsidR="00DD006B" w:rsidRPr="00EF2505" w:rsidRDefault="00DD006B" w:rsidP="00EF2505">
            <w:pPr>
              <w:widowControl/>
              <w:autoSpaceDE/>
              <w:autoSpaceDN/>
              <w:spacing w:before="120" w:after="120" w:line="120" w:lineRule="atLeast"/>
              <w:rPr>
                <w:rFonts w:eastAsia="Calibri"/>
                <w:color w:val="000000"/>
                <w:lang w:val="en-AU"/>
              </w:rPr>
            </w:pPr>
            <w:r>
              <w:rPr>
                <w:rFonts w:eastAsia="Calibri"/>
                <w:color w:val="000000"/>
                <w:lang w:val="en-AU"/>
              </w:rPr>
              <w:t>Rangatira</w:t>
            </w:r>
          </w:p>
        </w:tc>
        <w:tc>
          <w:tcPr>
            <w:tcW w:w="6796" w:type="dxa"/>
          </w:tcPr>
          <w:p w14:paraId="621563B6" w14:textId="21CF1CE9" w:rsidR="00DD006B" w:rsidRPr="00EF2505" w:rsidRDefault="00DD006B" w:rsidP="00EF2505">
            <w:pPr>
              <w:widowControl/>
              <w:autoSpaceDE/>
              <w:autoSpaceDN/>
              <w:spacing w:before="120" w:after="120" w:line="120" w:lineRule="atLeast"/>
              <w:rPr>
                <w:rFonts w:eastAsia="Calibri"/>
                <w:color w:val="000000"/>
                <w:lang w:val="en-AU"/>
              </w:rPr>
            </w:pPr>
            <w:r>
              <w:rPr>
                <w:rFonts w:eastAsia="Calibri"/>
                <w:color w:val="000000"/>
                <w:lang w:val="en-AU"/>
              </w:rPr>
              <w:t>Chief</w:t>
            </w:r>
          </w:p>
        </w:tc>
      </w:tr>
      <w:tr w:rsidR="00EF2505" w:rsidRPr="00EF2505" w14:paraId="38CBDB6C" w14:textId="77777777" w:rsidTr="00ED4A9D">
        <w:tc>
          <w:tcPr>
            <w:tcW w:w="2268" w:type="dxa"/>
          </w:tcPr>
          <w:p w14:paraId="29BE22EF" w14:textId="77777777" w:rsidR="00EF2505" w:rsidRPr="00EF2505" w:rsidRDefault="00EF2505" w:rsidP="00EF2505">
            <w:pPr>
              <w:widowControl/>
              <w:autoSpaceDE/>
              <w:autoSpaceDN/>
              <w:spacing w:before="120" w:after="120" w:line="120" w:lineRule="atLeast"/>
              <w:rPr>
                <w:rFonts w:eastAsia="Calibri"/>
                <w:color w:val="000000"/>
                <w:lang w:val="en-NZ"/>
              </w:rPr>
            </w:pPr>
            <w:r w:rsidRPr="00EF2505">
              <w:rPr>
                <w:rFonts w:eastAsia="Calibri"/>
                <w:color w:val="000000"/>
                <w:lang w:val="en-AU"/>
              </w:rPr>
              <w:t>Taonga</w:t>
            </w:r>
          </w:p>
        </w:tc>
        <w:tc>
          <w:tcPr>
            <w:tcW w:w="6796" w:type="dxa"/>
          </w:tcPr>
          <w:p w14:paraId="7E4F06FC" w14:textId="32597767" w:rsidR="00EF2505" w:rsidRPr="00EF2505" w:rsidRDefault="00624407" w:rsidP="00EF2505">
            <w:pPr>
              <w:widowControl/>
              <w:autoSpaceDE/>
              <w:autoSpaceDN/>
              <w:spacing w:before="120" w:after="120" w:line="120" w:lineRule="atLeast"/>
              <w:rPr>
                <w:rFonts w:eastAsia="Calibri"/>
                <w:color w:val="000000"/>
                <w:lang w:val="en-NZ"/>
              </w:rPr>
            </w:pPr>
            <w:r>
              <w:rPr>
                <w:rFonts w:eastAsia="Calibri"/>
                <w:color w:val="000000"/>
                <w:lang w:val="en-NZ"/>
              </w:rPr>
              <w:t>T</w:t>
            </w:r>
            <w:r w:rsidR="00EF2505" w:rsidRPr="00EF2505">
              <w:rPr>
                <w:rFonts w:eastAsia="Calibri"/>
                <w:color w:val="000000"/>
                <w:lang w:val="en-NZ"/>
              </w:rPr>
              <w:t>reasured things</w:t>
            </w:r>
          </w:p>
        </w:tc>
      </w:tr>
      <w:tr w:rsidR="00DD006B" w:rsidRPr="00EF2505" w14:paraId="5E69BBB1" w14:textId="77777777" w:rsidTr="00ED4A9D">
        <w:tc>
          <w:tcPr>
            <w:tcW w:w="2268" w:type="dxa"/>
          </w:tcPr>
          <w:p w14:paraId="7890B020" w14:textId="3F7DE5D3" w:rsidR="00DD006B" w:rsidRPr="00EF2505" w:rsidRDefault="00DD006B" w:rsidP="00EF2505">
            <w:pPr>
              <w:widowControl/>
              <w:autoSpaceDE/>
              <w:autoSpaceDN/>
              <w:spacing w:before="120" w:after="120" w:line="120" w:lineRule="atLeast"/>
              <w:rPr>
                <w:rFonts w:eastAsia="Calibri"/>
                <w:color w:val="000000"/>
                <w:lang w:val="en-AU"/>
              </w:rPr>
            </w:pPr>
            <w:r>
              <w:rPr>
                <w:rFonts w:eastAsia="Calibri"/>
                <w:color w:val="000000"/>
                <w:lang w:val="en-AU"/>
              </w:rPr>
              <w:t>Tangata whenua</w:t>
            </w:r>
          </w:p>
        </w:tc>
        <w:tc>
          <w:tcPr>
            <w:tcW w:w="6796" w:type="dxa"/>
          </w:tcPr>
          <w:p w14:paraId="61C1AF2A" w14:textId="2D4674D3" w:rsidR="00DD006B" w:rsidRPr="00EF2505" w:rsidRDefault="00DD006B" w:rsidP="00EF2505">
            <w:pPr>
              <w:widowControl/>
              <w:autoSpaceDE/>
              <w:autoSpaceDN/>
              <w:spacing w:before="120" w:after="120" w:line="120" w:lineRule="atLeast"/>
              <w:rPr>
                <w:rFonts w:eastAsia="Calibri"/>
                <w:color w:val="000000"/>
                <w:lang w:val="en-NZ"/>
              </w:rPr>
            </w:pPr>
            <w:r>
              <w:rPr>
                <w:rFonts w:eastAsia="Calibri"/>
                <w:color w:val="000000"/>
                <w:lang w:val="en-NZ"/>
              </w:rPr>
              <w:t xml:space="preserve">Indigenous peoples, </w:t>
            </w:r>
            <w:r w:rsidR="00991696" w:rsidRPr="00991696">
              <w:rPr>
                <w:rFonts w:eastAsia="Calibri"/>
                <w:color w:val="000000"/>
                <w:lang w:val="en-NZ"/>
              </w:rPr>
              <w:t>people born of the whenua, i.e. of the placenta and of the land where the people's ancestors have lived and where their placenta are buried</w:t>
            </w:r>
          </w:p>
        </w:tc>
      </w:tr>
      <w:tr w:rsidR="00EF2505" w:rsidRPr="00EF2505" w14:paraId="1FB801D2" w14:textId="77777777" w:rsidTr="00ED4A9D">
        <w:tc>
          <w:tcPr>
            <w:tcW w:w="2268" w:type="dxa"/>
          </w:tcPr>
          <w:p w14:paraId="7FAD8B08"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NZ"/>
              </w:rPr>
              <w:t xml:space="preserve">Te Ao Māori </w:t>
            </w:r>
          </w:p>
        </w:tc>
        <w:tc>
          <w:tcPr>
            <w:tcW w:w="6796" w:type="dxa"/>
          </w:tcPr>
          <w:p w14:paraId="3FBBB914"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NZ"/>
              </w:rPr>
              <w:t>A Māori worldview</w:t>
            </w:r>
          </w:p>
        </w:tc>
      </w:tr>
      <w:tr w:rsidR="00EF2505" w:rsidRPr="00EF2505" w14:paraId="072838F4" w14:textId="77777777" w:rsidTr="00ED4A9D">
        <w:tc>
          <w:tcPr>
            <w:tcW w:w="2268" w:type="dxa"/>
          </w:tcPr>
          <w:p w14:paraId="712A88B0"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Tino rangatiratanga</w:t>
            </w:r>
          </w:p>
        </w:tc>
        <w:tc>
          <w:tcPr>
            <w:tcW w:w="6796" w:type="dxa"/>
          </w:tcPr>
          <w:p w14:paraId="07CAB902"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NZ"/>
              </w:rPr>
              <w:t>self-determination, sovereignty, autonomy, selfgovernment, domination, rule, control, power</w:t>
            </w:r>
          </w:p>
        </w:tc>
      </w:tr>
      <w:tr w:rsidR="00EF2505" w:rsidRPr="00EF2505" w14:paraId="524A8FC1" w14:textId="77777777" w:rsidTr="00ED4A9D">
        <w:tc>
          <w:tcPr>
            <w:tcW w:w="2268" w:type="dxa"/>
          </w:tcPr>
          <w:p w14:paraId="2D1D9719"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Tikanga Māori</w:t>
            </w:r>
          </w:p>
        </w:tc>
        <w:tc>
          <w:tcPr>
            <w:tcW w:w="6796" w:type="dxa"/>
          </w:tcPr>
          <w:p w14:paraId="633A653C"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NZ"/>
              </w:rPr>
              <w:t>Māori methodology or rules, the first law of Aotearoa</w:t>
            </w:r>
          </w:p>
        </w:tc>
      </w:tr>
      <w:tr w:rsidR="00EF2505" w:rsidRPr="00EF2505" w14:paraId="280C020C" w14:textId="77777777" w:rsidTr="00ED4A9D">
        <w:tc>
          <w:tcPr>
            <w:tcW w:w="2268" w:type="dxa"/>
          </w:tcPr>
          <w:p w14:paraId="1179BA9B"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Te Tiriti o Waitangi</w:t>
            </w:r>
          </w:p>
        </w:tc>
        <w:tc>
          <w:tcPr>
            <w:tcW w:w="6796" w:type="dxa"/>
          </w:tcPr>
          <w:p w14:paraId="05F87779"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NZ"/>
              </w:rPr>
              <w:t>The founding legal document of Aotearoa New Zealand, signed in 1840</w:t>
            </w:r>
          </w:p>
        </w:tc>
      </w:tr>
      <w:tr w:rsidR="00E053B3" w:rsidRPr="00EF2505" w14:paraId="1B2FA7C4" w14:textId="77777777" w:rsidTr="00ED4A9D">
        <w:tc>
          <w:tcPr>
            <w:tcW w:w="2268" w:type="dxa"/>
          </w:tcPr>
          <w:p w14:paraId="7D744677" w14:textId="09F31C80" w:rsidR="00E053B3" w:rsidRDefault="00E053B3" w:rsidP="00EF2505">
            <w:pPr>
              <w:widowControl/>
              <w:autoSpaceDE/>
              <w:autoSpaceDN/>
              <w:spacing w:before="120" w:after="120" w:line="120" w:lineRule="atLeast"/>
              <w:rPr>
                <w:rFonts w:eastAsia="Calibri"/>
                <w:color w:val="000000"/>
                <w:lang w:val="en-AU"/>
              </w:rPr>
            </w:pPr>
            <w:r>
              <w:rPr>
                <w:rFonts w:eastAsia="Calibri"/>
                <w:color w:val="000000"/>
                <w:lang w:val="en-AU"/>
              </w:rPr>
              <w:t>Wāhine</w:t>
            </w:r>
          </w:p>
        </w:tc>
        <w:tc>
          <w:tcPr>
            <w:tcW w:w="6796" w:type="dxa"/>
          </w:tcPr>
          <w:p w14:paraId="70C0454E" w14:textId="5E8AAA73" w:rsidR="00E053B3" w:rsidRDefault="00E053B3" w:rsidP="00EF2505">
            <w:pPr>
              <w:widowControl/>
              <w:autoSpaceDE/>
              <w:autoSpaceDN/>
              <w:spacing w:before="120" w:after="120" w:line="120" w:lineRule="atLeast"/>
              <w:rPr>
                <w:rFonts w:eastAsia="Calibri"/>
                <w:color w:val="000000"/>
                <w:lang w:val="en-NZ"/>
              </w:rPr>
            </w:pPr>
            <w:r>
              <w:rPr>
                <w:rFonts w:eastAsia="Calibri"/>
                <w:color w:val="000000"/>
                <w:lang w:val="en-NZ"/>
              </w:rPr>
              <w:t>Wom</w:t>
            </w:r>
            <w:r w:rsidR="00624407">
              <w:rPr>
                <w:rFonts w:eastAsia="Calibri"/>
                <w:color w:val="000000"/>
                <w:lang w:val="en-NZ"/>
              </w:rPr>
              <w:t>e</w:t>
            </w:r>
            <w:r>
              <w:rPr>
                <w:rFonts w:eastAsia="Calibri"/>
                <w:color w:val="000000"/>
                <w:lang w:val="en-NZ"/>
              </w:rPr>
              <w:t>n</w:t>
            </w:r>
            <w:r w:rsidR="00624407">
              <w:rPr>
                <w:rFonts w:eastAsia="Calibri"/>
                <w:color w:val="000000"/>
                <w:lang w:val="en-NZ"/>
              </w:rPr>
              <w:t>, female, feminine</w:t>
            </w:r>
          </w:p>
        </w:tc>
      </w:tr>
      <w:tr w:rsidR="00AB1A2F" w:rsidRPr="00EF2505" w14:paraId="05CD48A2" w14:textId="77777777" w:rsidTr="00ED4A9D">
        <w:tc>
          <w:tcPr>
            <w:tcW w:w="2268" w:type="dxa"/>
          </w:tcPr>
          <w:p w14:paraId="4FCEA953" w14:textId="47C2BC22" w:rsidR="00AB1A2F" w:rsidRPr="00EF2505" w:rsidRDefault="00AB1A2F" w:rsidP="00EF2505">
            <w:pPr>
              <w:widowControl/>
              <w:autoSpaceDE/>
              <w:autoSpaceDN/>
              <w:spacing w:before="120" w:after="120" w:line="120" w:lineRule="atLeast"/>
              <w:rPr>
                <w:rFonts w:eastAsia="Calibri"/>
                <w:color w:val="000000"/>
                <w:lang w:val="en-AU"/>
              </w:rPr>
            </w:pPr>
            <w:r>
              <w:rPr>
                <w:rFonts w:eastAsia="Calibri"/>
                <w:color w:val="000000"/>
                <w:lang w:val="en-AU"/>
              </w:rPr>
              <w:t>Whakapapa</w:t>
            </w:r>
          </w:p>
        </w:tc>
        <w:tc>
          <w:tcPr>
            <w:tcW w:w="6796" w:type="dxa"/>
          </w:tcPr>
          <w:p w14:paraId="4642A553" w14:textId="071D2B73" w:rsidR="00AB1A2F" w:rsidRPr="00EF2505" w:rsidRDefault="00AB1A2F" w:rsidP="00EF2505">
            <w:pPr>
              <w:widowControl/>
              <w:autoSpaceDE/>
              <w:autoSpaceDN/>
              <w:spacing w:before="120" w:after="120" w:line="120" w:lineRule="atLeast"/>
              <w:rPr>
                <w:rFonts w:eastAsia="Calibri"/>
                <w:color w:val="000000"/>
                <w:lang w:val="en-NZ"/>
              </w:rPr>
            </w:pPr>
            <w:r>
              <w:rPr>
                <w:rFonts w:eastAsia="Calibri"/>
                <w:color w:val="000000"/>
                <w:lang w:val="en-NZ"/>
              </w:rPr>
              <w:t>Genealogy, the family lines of whānau that connect to ancestors and the natural world</w:t>
            </w:r>
          </w:p>
        </w:tc>
      </w:tr>
      <w:tr w:rsidR="00EF2505" w:rsidRPr="00EF2505" w14:paraId="51811EE9" w14:textId="77777777" w:rsidTr="00ED4A9D">
        <w:tc>
          <w:tcPr>
            <w:tcW w:w="2268" w:type="dxa"/>
          </w:tcPr>
          <w:p w14:paraId="6FB75CD3"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Whenua</w:t>
            </w:r>
          </w:p>
        </w:tc>
        <w:tc>
          <w:tcPr>
            <w:tcW w:w="6796" w:type="dxa"/>
          </w:tcPr>
          <w:p w14:paraId="6870FC04" w14:textId="2C6BE938" w:rsidR="00EF2505" w:rsidRPr="00EF2505" w:rsidRDefault="00624407" w:rsidP="00EF2505">
            <w:pPr>
              <w:widowControl/>
              <w:autoSpaceDE/>
              <w:autoSpaceDN/>
              <w:spacing w:before="120" w:after="120" w:line="120" w:lineRule="atLeast"/>
              <w:rPr>
                <w:rFonts w:eastAsia="Calibri"/>
                <w:color w:val="000000"/>
                <w:lang w:val="en-AU"/>
              </w:rPr>
            </w:pPr>
            <w:r>
              <w:rPr>
                <w:rFonts w:eastAsia="Calibri"/>
                <w:color w:val="000000"/>
                <w:lang w:val="en-NZ"/>
              </w:rPr>
              <w:t>H</w:t>
            </w:r>
            <w:r w:rsidR="00EF2505" w:rsidRPr="00EF2505">
              <w:rPr>
                <w:rFonts w:eastAsia="Calibri"/>
                <w:color w:val="000000"/>
                <w:lang w:val="en-NZ"/>
              </w:rPr>
              <w:t>omeland</w:t>
            </w:r>
          </w:p>
        </w:tc>
      </w:tr>
      <w:tr w:rsidR="00EF2505" w:rsidRPr="00EF2505" w14:paraId="13C205A3" w14:textId="77777777" w:rsidTr="00ED4A9D">
        <w:tc>
          <w:tcPr>
            <w:tcW w:w="2268" w:type="dxa"/>
          </w:tcPr>
          <w:p w14:paraId="618BBB57" w14:textId="77777777" w:rsidR="00EF2505" w:rsidRPr="00EF2505" w:rsidRDefault="00EF2505" w:rsidP="00EF2505">
            <w:pPr>
              <w:widowControl/>
              <w:autoSpaceDE/>
              <w:autoSpaceDN/>
              <w:spacing w:before="120" w:after="120" w:line="120" w:lineRule="atLeast"/>
              <w:rPr>
                <w:rFonts w:eastAsia="Calibri"/>
                <w:color w:val="000000"/>
                <w:lang w:val="en-AU"/>
              </w:rPr>
            </w:pPr>
            <w:r w:rsidRPr="00EF2505">
              <w:rPr>
                <w:rFonts w:eastAsia="Calibri"/>
                <w:color w:val="000000"/>
                <w:lang w:val="en-AU"/>
              </w:rPr>
              <w:t>Whānau</w:t>
            </w:r>
          </w:p>
        </w:tc>
        <w:tc>
          <w:tcPr>
            <w:tcW w:w="6796" w:type="dxa"/>
          </w:tcPr>
          <w:p w14:paraId="489EEB9F" w14:textId="38A54134" w:rsidR="00EF2505" w:rsidRPr="00EF2505" w:rsidRDefault="00624407" w:rsidP="00EF2505">
            <w:pPr>
              <w:widowControl/>
              <w:autoSpaceDE/>
              <w:autoSpaceDN/>
              <w:spacing w:before="120" w:after="120" w:line="120" w:lineRule="atLeast"/>
              <w:rPr>
                <w:rFonts w:eastAsia="Calibri"/>
                <w:color w:val="000000"/>
                <w:lang w:val="en-AU"/>
              </w:rPr>
            </w:pPr>
            <w:r>
              <w:rPr>
                <w:rFonts w:eastAsia="Calibri"/>
                <w:color w:val="000000"/>
                <w:lang w:val="en-NZ"/>
              </w:rPr>
              <w:t>M</w:t>
            </w:r>
            <w:r w:rsidR="00EF2505" w:rsidRPr="00EF2505">
              <w:rPr>
                <w:rFonts w:eastAsia="Calibri"/>
                <w:color w:val="000000"/>
                <w:lang w:val="en-NZ"/>
              </w:rPr>
              <w:t>eans both to birth, and the extended family unit (in an inter-generational sense), that a pēpi</w:t>
            </w:r>
            <w:r>
              <w:rPr>
                <w:rFonts w:eastAsia="Calibri"/>
                <w:color w:val="000000"/>
                <w:lang w:val="en-NZ"/>
              </w:rPr>
              <w:t xml:space="preserve"> (baby)</w:t>
            </w:r>
            <w:r w:rsidR="00EF2505" w:rsidRPr="00EF2505">
              <w:rPr>
                <w:rFonts w:eastAsia="Calibri"/>
                <w:color w:val="000000"/>
                <w:lang w:val="en-NZ"/>
              </w:rPr>
              <w:t xml:space="preserve"> is born into and through which their whakapapa, family lines, connects them with their ancestors</w:t>
            </w:r>
          </w:p>
        </w:tc>
      </w:tr>
    </w:tbl>
    <w:p w14:paraId="415D7357" w14:textId="44D78892" w:rsidR="00F10EB3" w:rsidRDefault="00F10EB3" w:rsidP="006D6A1F">
      <w:pPr>
        <w:widowControl/>
        <w:autoSpaceDE/>
        <w:autoSpaceDN/>
        <w:spacing w:before="120" w:after="120" w:line="120" w:lineRule="atLeast"/>
        <w:rPr>
          <w:sz w:val="20"/>
        </w:rPr>
      </w:pPr>
    </w:p>
    <w:p w14:paraId="1B9F1B3D" w14:textId="77777777" w:rsidR="00E053B3" w:rsidRDefault="00E053B3" w:rsidP="006D6A1F">
      <w:pPr>
        <w:widowControl/>
        <w:autoSpaceDE/>
        <w:autoSpaceDN/>
        <w:spacing w:before="120" w:after="120" w:line="120" w:lineRule="atLeast"/>
        <w:rPr>
          <w:sz w:val="20"/>
        </w:rPr>
      </w:pPr>
    </w:p>
    <w:p w14:paraId="183D44B6" w14:textId="02AAC003" w:rsidR="007F0F8F" w:rsidRPr="00B40736" w:rsidRDefault="007F0F8F" w:rsidP="007F0F8F">
      <w:pPr>
        <w:pStyle w:val="Style2"/>
        <w:spacing w:before="0"/>
        <w:jc w:val="both"/>
        <w:rPr>
          <w:rFonts w:cs="Segoe UI"/>
          <w:lang w:val="en-NZ"/>
        </w:rPr>
      </w:pPr>
      <w:r>
        <w:rPr>
          <w:rFonts w:cs="Segoe UI"/>
          <w:lang w:val="en-NZ"/>
        </w:rPr>
        <w:t>Key Terms</w:t>
      </w:r>
    </w:p>
    <w:tbl>
      <w:tblPr>
        <w:tblW w:w="0" w:type="auto"/>
        <w:tblLook w:val="04A0" w:firstRow="1" w:lastRow="0" w:firstColumn="1" w:lastColumn="0" w:noHBand="0" w:noVBand="1"/>
      </w:tblPr>
      <w:tblGrid>
        <w:gridCol w:w="2268"/>
        <w:gridCol w:w="6796"/>
      </w:tblGrid>
      <w:tr w:rsidR="007F0F8F" w:rsidRPr="00EF2505" w14:paraId="20789132" w14:textId="77777777" w:rsidTr="00493E30">
        <w:tc>
          <w:tcPr>
            <w:tcW w:w="2268" w:type="dxa"/>
          </w:tcPr>
          <w:p w14:paraId="0181B5D7" w14:textId="77777777" w:rsidR="007F0F8F" w:rsidRPr="00EF2505" w:rsidRDefault="007F0F8F" w:rsidP="00493E30">
            <w:pPr>
              <w:widowControl/>
              <w:autoSpaceDE/>
              <w:autoSpaceDN/>
              <w:spacing w:before="120" w:after="120" w:line="120" w:lineRule="atLeast"/>
              <w:rPr>
                <w:rFonts w:eastAsia="Calibri"/>
                <w:color w:val="000000"/>
                <w:lang w:val="en-AU"/>
              </w:rPr>
            </w:pPr>
            <w:r w:rsidRPr="00EF2505">
              <w:rPr>
                <w:rFonts w:eastAsia="Calibri"/>
                <w:color w:val="000000"/>
                <w:lang w:val="en-AU"/>
              </w:rPr>
              <w:t>Aroturuki Tamariki</w:t>
            </w:r>
          </w:p>
        </w:tc>
        <w:tc>
          <w:tcPr>
            <w:tcW w:w="6796" w:type="dxa"/>
          </w:tcPr>
          <w:p w14:paraId="6829A3AA" w14:textId="77777777" w:rsidR="007F0F8F" w:rsidRPr="00EF2505" w:rsidRDefault="007F0F8F" w:rsidP="00493E30">
            <w:pPr>
              <w:widowControl/>
              <w:autoSpaceDE/>
              <w:autoSpaceDN/>
              <w:spacing w:before="120" w:after="120" w:line="120" w:lineRule="atLeast"/>
              <w:rPr>
                <w:rFonts w:eastAsia="Calibri"/>
                <w:color w:val="000000"/>
                <w:lang w:val="en-AU"/>
              </w:rPr>
            </w:pPr>
            <w:r w:rsidRPr="00EF2505">
              <w:rPr>
                <w:rFonts w:eastAsia="Calibri"/>
                <w:color w:val="000000"/>
                <w:lang w:val="en-AU"/>
              </w:rPr>
              <w:t>Independent Children’s Monitor</w:t>
            </w:r>
          </w:p>
        </w:tc>
      </w:tr>
      <w:tr w:rsidR="00754536" w:rsidRPr="00EF2505" w14:paraId="089AF64B" w14:textId="77777777" w:rsidTr="00493E30">
        <w:tc>
          <w:tcPr>
            <w:tcW w:w="2268" w:type="dxa"/>
          </w:tcPr>
          <w:p w14:paraId="659CF658" w14:textId="089BDB0D" w:rsidR="00754536" w:rsidRDefault="00754536" w:rsidP="00493E30">
            <w:pPr>
              <w:widowControl/>
              <w:autoSpaceDE/>
              <w:autoSpaceDN/>
              <w:spacing w:before="120" w:after="120" w:line="120" w:lineRule="atLeast"/>
              <w:rPr>
                <w:rFonts w:eastAsia="Calibri"/>
                <w:color w:val="000000"/>
                <w:lang w:val="en-AU"/>
              </w:rPr>
            </w:pPr>
            <w:r>
              <w:rPr>
                <w:rFonts w:eastAsia="Calibri"/>
                <w:color w:val="000000"/>
                <w:lang w:val="en-AU"/>
              </w:rPr>
              <w:t>CCA</w:t>
            </w:r>
          </w:p>
        </w:tc>
        <w:tc>
          <w:tcPr>
            <w:tcW w:w="6796" w:type="dxa"/>
          </w:tcPr>
          <w:p w14:paraId="51A3810F" w14:textId="571C05C7" w:rsidR="00754536" w:rsidRDefault="00754536" w:rsidP="00493E30">
            <w:pPr>
              <w:widowControl/>
              <w:autoSpaceDE/>
              <w:autoSpaceDN/>
              <w:spacing w:before="120" w:after="120" w:line="120" w:lineRule="atLeast"/>
              <w:rPr>
                <w:rFonts w:eastAsia="Calibri"/>
                <w:color w:val="000000"/>
                <w:lang w:val="en-AU"/>
              </w:rPr>
            </w:pPr>
            <w:r>
              <w:rPr>
                <w:rFonts w:eastAsia="Calibri"/>
                <w:color w:val="000000"/>
                <w:lang w:val="en-AU"/>
              </w:rPr>
              <w:t>Children’s Commissioner Act 2003</w:t>
            </w:r>
          </w:p>
        </w:tc>
      </w:tr>
      <w:tr w:rsidR="004F1076" w:rsidRPr="00EF2505" w14:paraId="069E3A3A" w14:textId="77777777" w:rsidTr="00493E30">
        <w:tc>
          <w:tcPr>
            <w:tcW w:w="2268" w:type="dxa"/>
          </w:tcPr>
          <w:p w14:paraId="6B7FA799" w14:textId="3932329C" w:rsidR="004F1076" w:rsidRPr="00EF2505" w:rsidRDefault="004F1076" w:rsidP="00493E30">
            <w:pPr>
              <w:widowControl/>
              <w:autoSpaceDE/>
              <w:autoSpaceDN/>
              <w:spacing w:before="120" w:after="120" w:line="120" w:lineRule="atLeast"/>
              <w:rPr>
                <w:rFonts w:eastAsia="Calibri"/>
                <w:color w:val="000000"/>
                <w:lang w:val="en-AU"/>
              </w:rPr>
            </w:pPr>
            <w:r>
              <w:rPr>
                <w:rFonts w:eastAsia="Calibri"/>
                <w:color w:val="000000"/>
                <w:lang w:val="en-AU"/>
              </w:rPr>
              <w:t>CYPCA</w:t>
            </w:r>
          </w:p>
        </w:tc>
        <w:tc>
          <w:tcPr>
            <w:tcW w:w="6796" w:type="dxa"/>
          </w:tcPr>
          <w:p w14:paraId="1B4D7C17" w14:textId="25E755F7" w:rsidR="004F1076" w:rsidRPr="00EF2505" w:rsidRDefault="004F1076" w:rsidP="00493E30">
            <w:pPr>
              <w:widowControl/>
              <w:autoSpaceDE/>
              <w:autoSpaceDN/>
              <w:spacing w:before="120" w:after="120" w:line="120" w:lineRule="atLeast"/>
              <w:rPr>
                <w:rFonts w:eastAsia="Calibri"/>
                <w:color w:val="000000"/>
                <w:lang w:val="en-AU"/>
              </w:rPr>
            </w:pPr>
            <w:r>
              <w:rPr>
                <w:rFonts w:eastAsia="Calibri"/>
                <w:color w:val="000000"/>
                <w:lang w:val="en-AU"/>
              </w:rPr>
              <w:t>Children and Young Person’s Commission Act 2022</w:t>
            </w:r>
          </w:p>
        </w:tc>
      </w:tr>
      <w:tr w:rsidR="007F0F8F" w:rsidRPr="00EF2505" w14:paraId="2FD55996" w14:textId="77777777" w:rsidTr="00493E30">
        <w:tc>
          <w:tcPr>
            <w:tcW w:w="2268" w:type="dxa"/>
          </w:tcPr>
          <w:p w14:paraId="7586B2A9" w14:textId="77777777" w:rsidR="007F0F8F" w:rsidRPr="00EF2505" w:rsidRDefault="007F0F8F" w:rsidP="00493E30">
            <w:pPr>
              <w:widowControl/>
              <w:autoSpaceDE/>
              <w:autoSpaceDN/>
              <w:spacing w:before="120" w:after="120" w:line="120" w:lineRule="atLeast"/>
              <w:rPr>
                <w:rFonts w:eastAsia="Calibri"/>
                <w:color w:val="000000"/>
                <w:lang w:val="en-AU"/>
              </w:rPr>
            </w:pPr>
            <w:r w:rsidRPr="00EF2505">
              <w:rPr>
                <w:rFonts w:eastAsia="Calibri"/>
                <w:color w:val="000000"/>
                <w:lang w:val="en-AU"/>
              </w:rPr>
              <w:t>Oranga Tamariki</w:t>
            </w:r>
          </w:p>
        </w:tc>
        <w:tc>
          <w:tcPr>
            <w:tcW w:w="6796" w:type="dxa"/>
          </w:tcPr>
          <w:p w14:paraId="4B810623" w14:textId="77777777" w:rsidR="007F0F8F" w:rsidRPr="00EF2505" w:rsidRDefault="007F0F8F" w:rsidP="00493E30">
            <w:pPr>
              <w:widowControl/>
              <w:autoSpaceDE/>
              <w:autoSpaceDN/>
              <w:spacing w:before="120" w:after="120" w:line="120" w:lineRule="atLeast"/>
              <w:rPr>
                <w:rFonts w:eastAsia="Calibri"/>
                <w:color w:val="000000"/>
                <w:lang w:val="en-AU"/>
              </w:rPr>
            </w:pPr>
            <w:r w:rsidRPr="00EF2505">
              <w:rPr>
                <w:rFonts w:eastAsia="Calibri"/>
                <w:color w:val="000000"/>
                <w:lang w:val="en-AU"/>
              </w:rPr>
              <w:t>Ministry for Children</w:t>
            </w:r>
          </w:p>
        </w:tc>
      </w:tr>
      <w:tr w:rsidR="00331772" w:rsidRPr="00EF2505" w14:paraId="19AA3704" w14:textId="77777777" w:rsidTr="00493E30">
        <w:tc>
          <w:tcPr>
            <w:tcW w:w="2268" w:type="dxa"/>
          </w:tcPr>
          <w:p w14:paraId="13607AD6" w14:textId="7FBD107E" w:rsidR="00331772" w:rsidRPr="00EF2505" w:rsidRDefault="00331772" w:rsidP="00493E30">
            <w:pPr>
              <w:widowControl/>
              <w:autoSpaceDE/>
              <w:autoSpaceDN/>
              <w:spacing w:before="120" w:after="120" w:line="120" w:lineRule="atLeast"/>
              <w:rPr>
                <w:rFonts w:eastAsia="Calibri"/>
                <w:color w:val="000000"/>
                <w:lang w:val="en-AU"/>
              </w:rPr>
            </w:pPr>
            <w:r>
              <w:rPr>
                <w:rFonts w:eastAsia="Calibri"/>
                <w:color w:val="000000"/>
                <w:lang w:val="en-AU"/>
              </w:rPr>
              <w:t>OCC</w:t>
            </w:r>
          </w:p>
        </w:tc>
        <w:tc>
          <w:tcPr>
            <w:tcW w:w="6796" w:type="dxa"/>
          </w:tcPr>
          <w:p w14:paraId="77552CF2" w14:textId="40AC70A6" w:rsidR="00331772" w:rsidRPr="00EF2505" w:rsidRDefault="00331772" w:rsidP="00493E30">
            <w:pPr>
              <w:widowControl/>
              <w:autoSpaceDE/>
              <w:autoSpaceDN/>
              <w:spacing w:before="120" w:after="120" w:line="120" w:lineRule="atLeast"/>
              <w:rPr>
                <w:rFonts w:eastAsia="Calibri"/>
                <w:color w:val="000000"/>
                <w:lang w:val="en-AU"/>
              </w:rPr>
            </w:pPr>
            <w:r>
              <w:rPr>
                <w:rFonts w:eastAsia="Calibri"/>
                <w:color w:val="000000"/>
                <w:lang w:val="en-AU"/>
              </w:rPr>
              <w:t>Office of the Children’s Commissioner</w:t>
            </w:r>
          </w:p>
        </w:tc>
      </w:tr>
      <w:tr w:rsidR="004F1076" w:rsidRPr="00EF2505" w14:paraId="05D5BA96" w14:textId="77777777" w:rsidTr="00493E30">
        <w:tc>
          <w:tcPr>
            <w:tcW w:w="2268" w:type="dxa"/>
          </w:tcPr>
          <w:p w14:paraId="5468FE11" w14:textId="04421D9D" w:rsidR="004F1076" w:rsidRPr="00EF2505" w:rsidRDefault="004F1076" w:rsidP="00493E30">
            <w:pPr>
              <w:widowControl/>
              <w:autoSpaceDE/>
              <w:autoSpaceDN/>
              <w:spacing w:before="120" w:after="120" w:line="120" w:lineRule="atLeast"/>
              <w:rPr>
                <w:rFonts w:eastAsia="Calibri"/>
                <w:color w:val="000000"/>
                <w:lang w:val="en-AU"/>
              </w:rPr>
            </w:pPr>
            <w:r>
              <w:rPr>
                <w:rFonts w:eastAsia="Calibri"/>
                <w:color w:val="000000"/>
                <w:lang w:val="en-AU"/>
              </w:rPr>
              <w:t>Te Hiringa Mahara</w:t>
            </w:r>
          </w:p>
        </w:tc>
        <w:tc>
          <w:tcPr>
            <w:tcW w:w="6796" w:type="dxa"/>
          </w:tcPr>
          <w:p w14:paraId="5AE7B348" w14:textId="2D4D6F8C" w:rsidR="004F1076" w:rsidRPr="00EF2505" w:rsidRDefault="004F1076" w:rsidP="00493E30">
            <w:pPr>
              <w:widowControl/>
              <w:autoSpaceDE/>
              <w:autoSpaceDN/>
              <w:spacing w:before="120" w:after="120" w:line="120" w:lineRule="atLeast"/>
              <w:rPr>
                <w:rFonts w:eastAsia="Calibri"/>
                <w:color w:val="000000"/>
                <w:lang w:val="en-AU"/>
              </w:rPr>
            </w:pPr>
            <w:r>
              <w:rPr>
                <w:rFonts w:eastAsia="Calibri"/>
                <w:color w:val="000000"/>
                <w:lang w:val="en-AU"/>
              </w:rPr>
              <w:t>Mental Health and Wellbeing Commission</w:t>
            </w:r>
          </w:p>
        </w:tc>
      </w:tr>
      <w:tr w:rsidR="008F0EEA" w:rsidRPr="00EF2505" w14:paraId="043EB706" w14:textId="77777777" w:rsidTr="00493E30">
        <w:tc>
          <w:tcPr>
            <w:tcW w:w="2268" w:type="dxa"/>
          </w:tcPr>
          <w:p w14:paraId="3C02A822" w14:textId="7601C510" w:rsidR="008F0EEA" w:rsidRDefault="008F0EEA" w:rsidP="00493E30">
            <w:pPr>
              <w:widowControl/>
              <w:autoSpaceDE/>
              <w:autoSpaceDN/>
              <w:spacing w:before="120" w:after="120" w:line="120" w:lineRule="atLeast"/>
              <w:rPr>
                <w:rFonts w:eastAsia="Calibri"/>
                <w:color w:val="000000"/>
                <w:lang w:val="en-AU"/>
              </w:rPr>
            </w:pPr>
            <w:r w:rsidRPr="007D19C3">
              <w:t>Te Kāhui Tika Tangata</w:t>
            </w:r>
          </w:p>
        </w:tc>
        <w:tc>
          <w:tcPr>
            <w:tcW w:w="6796" w:type="dxa"/>
          </w:tcPr>
          <w:p w14:paraId="4CF8EA3B" w14:textId="118AB61E" w:rsidR="008F0EEA" w:rsidRDefault="008F0EEA" w:rsidP="00493E30">
            <w:pPr>
              <w:widowControl/>
              <w:autoSpaceDE/>
              <w:autoSpaceDN/>
              <w:spacing w:before="120" w:after="120" w:line="120" w:lineRule="atLeast"/>
              <w:rPr>
                <w:rFonts w:eastAsia="Calibri"/>
                <w:color w:val="000000"/>
                <w:lang w:val="en-AU"/>
              </w:rPr>
            </w:pPr>
            <w:r>
              <w:t>New Zealand</w:t>
            </w:r>
            <w:r w:rsidRPr="007D19C3">
              <w:t xml:space="preserve"> Human Rights Commission</w:t>
            </w:r>
          </w:p>
        </w:tc>
      </w:tr>
    </w:tbl>
    <w:p w14:paraId="5B3F097F" w14:textId="77777777" w:rsidR="00D10F90" w:rsidRDefault="00D10F90">
      <w:pPr>
        <w:rPr>
          <w:sz w:val="20"/>
        </w:rPr>
      </w:pPr>
    </w:p>
    <w:p w14:paraId="1C5C337E" w14:textId="77777777" w:rsidR="00D10F90" w:rsidRDefault="00D10F90">
      <w:pPr>
        <w:rPr>
          <w:sz w:val="20"/>
        </w:rPr>
      </w:pPr>
    </w:p>
    <w:p w14:paraId="12E95088" w14:textId="77777777" w:rsidR="00D10F90" w:rsidRDefault="00D10F90">
      <w:pPr>
        <w:rPr>
          <w:sz w:val="20"/>
        </w:rPr>
        <w:sectPr w:rsidR="00D10F90" w:rsidSect="009644E5">
          <w:headerReference w:type="default" r:id="rId31"/>
          <w:footerReference w:type="default" r:id="rId32"/>
          <w:pgSz w:w="11910" w:h="16840"/>
          <w:pgMar w:top="2552" w:right="1440" w:bottom="993" w:left="1320" w:header="2284" w:footer="472" w:gutter="0"/>
          <w:cols w:space="720"/>
        </w:sectPr>
      </w:pPr>
    </w:p>
    <w:p w14:paraId="1BC33405" w14:textId="77777777" w:rsidR="00F10EB3" w:rsidRDefault="00246DF4">
      <w:pPr>
        <w:pStyle w:val="BodyText"/>
        <w:rPr>
          <w:sz w:val="15"/>
        </w:rPr>
      </w:pPr>
      <w:r>
        <w:rPr>
          <w:noProof/>
          <w:lang w:val="en-GB" w:eastAsia="en-GB"/>
        </w:rPr>
        <mc:AlternateContent>
          <mc:Choice Requires="wps">
            <w:drawing>
              <wp:anchor distT="0" distB="0" distL="114300" distR="114300" simplePos="0" relativeHeight="485840896" behindDoc="1" locked="0" layoutInCell="1" allowOverlap="1" wp14:anchorId="0CBE258C" wp14:editId="75B33656">
                <wp:simplePos x="0" y="0"/>
                <wp:positionH relativeFrom="page">
                  <wp:posOffset>0</wp:posOffset>
                </wp:positionH>
                <wp:positionV relativeFrom="page">
                  <wp:posOffset>0</wp:posOffset>
                </wp:positionV>
                <wp:extent cx="7776210" cy="10908030"/>
                <wp:effectExtent l="0" t="0" r="0" b="0"/>
                <wp:wrapNone/>
                <wp:docPr id="61" name="docshape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6210" cy="10908030"/>
                        </a:xfrm>
                        <a:prstGeom prst="rect">
                          <a:avLst/>
                        </a:prstGeom>
                        <a:solidFill>
                          <a:srgbClr val="C421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17D00B2" id="docshape158" o:spid="_x0000_s1026" style="position:absolute;margin-left:0;margin-top:0;width:612.3pt;height:858.9pt;z-index:-1747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" fillcolor="#c42126" stroked="f">
                <w10:wrap anchorx="page" anchory="page"/>
              </v:rect>
            </w:pict>
          </mc:Fallback>
        </mc:AlternateContent>
      </w:r>
      <w:r>
        <w:rPr>
          <w:noProof/>
          <w:lang w:val="en-GB" w:eastAsia="en-GB"/>
        </w:rPr>
        <mc:AlternateContent>
          <mc:Choice Requires="wps">
            <w:drawing>
              <wp:anchor distT="0" distB="0" distL="114300" distR="114300" simplePos="0" relativeHeight="15768064" behindDoc="0" locked="0" layoutInCell="1" allowOverlap="1" wp14:anchorId="77387035" wp14:editId="4B35A1E8">
                <wp:simplePos x="0" y="0"/>
                <wp:positionH relativeFrom="page">
                  <wp:posOffset>2622550</wp:posOffset>
                </wp:positionH>
                <wp:positionV relativeFrom="page">
                  <wp:posOffset>9211945</wp:posOffset>
                </wp:positionV>
                <wp:extent cx="742950" cy="748030"/>
                <wp:effectExtent l="0" t="0" r="0" b="0"/>
                <wp:wrapNone/>
                <wp:docPr id="60" name="docshape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2950" cy="748030"/>
                        </a:xfrm>
                        <a:custGeom>
                          <a:avLst/>
                          <a:gdLst>
                            <a:gd name="T0" fmla="+- 0 4854 4130"/>
                            <a:gd name="T1" fmla="*/ T0 w 1170"/>
                            <a:gd name="T2" fmla="+- 0 15629 14507"/>
                            <a:gd name="T3" fmla="*/ 15629 h 1178"/>
                            <a:gd name="T4" fmla="+- 0 4623 4130"/>
                            <a:gd name="T5" fmla="*/ T4 w 1170"/>
                            <a:gd name="T6" fmla="+- 0 15681 14507"/>
                            <a:gd name="T7" fmla="*/ 15681 h 1178"/>
                            <a:gd name="T8" fmla="+- 0 4849 4130"/>
                            <a:gd name="T9" fmla="*/ T8 w 1170"/>
                            <a:gd name="T10" fmla="+- 0 15669 14507"/>
                            <a:gd name="T11" fmla="*/ 15669 h 1178"/>
                            <a:gd name="T12" fmla="+- 0 5149 4130"/>
                            <a:gd name="T13" fmla="*/ T12 w 1170"/>
                            <a:gd name="T14" fmla="+- 0 15501 14507"/>
                            <a:gd name="T15" fmla="*/ 15501 h 1178"/>
                            <a:gd name="T16" fmla="+- 0 4465 4130"/>
                            <a:gd name="T17" fmla="*/ T16 w 1170"/>
                            <a:gd name="T18" fmla="+- 0 14553 14507"/>
                            <a:gd name="T19" fmla="*/ 14553 h 1178"/>
                            <a:gd name="T20" fmla="+- 0 4200 4130"/>
                            <a:gd name="T21" fmla="*/ T20 w 1170"/>
                            <a:gd name="T22" fmla="+- 0 14791 14507"/>
                            <a:gd name="T23" fmla="*/ 14791 h 1178"/>
                            <a:gd name="T24" fmla="+- 0 4136 4130"/>
                            <a:gd name="T25" fmla="*/ T24 w 1170"/>
                            <a:gd name="T26" fmla="+- 0 15151 14507"/>
                            <a:gd name="T27" fmla="*/ 15151 h 1178"/>
                            <a:gd name="T28" fmla="+- 0 4308 4130"/>
                            <a:gd name="T29" fmla="*/ T28 w 1170"/>
                            <a:gd name="T30" fmla="+- 0 15435 14507"/>
                            <a:gd name="T31" fmla="*/ 15435 h 1178"/>
                            <a:gd name="T32" fmla="+- 0 4600 4130"/>
                            <a:gd name="T33" fmla="*/ T32 w 1170"/>
                            <a:gd name="T34" fmla="+- 0 15525 14507"/>
                            <a:gd name="T35" fmla="*/ 15525 h 1178"/>
                            <a:gd name="T36" fmla="+- 0 4830 4130"/>
                            <a:gd name="T37" fmla="*/ T36 w 1170"/>
                            <a:gd name="T38" fmla="+- 0 15449 14507"/>
                            <a:gd name="T39" fmla="*/ 15449 h 1178"/>
                            <a:gd name="T40" fmla="+- 0 4331 4130"/>
                            <a:gd name="T41" fmla="*/ T40 w 1170"/>
                            <a:gd name="T42" fmla="+- 0 15355 14507"/>
                            <a:gd name="T43" fmla="*/ 15355 h 1178"/>
                            <a:gd name="T44" fmla="+- 0 4212 4130"/>
                            <a:gd name="T45" fmla="*/ T44 w 1170"/>
                            <a:gd name="T46" fmla="+- 0 14993 14507"/>
                            <a:gd name="T47" fmla="*/ 14993 h 1178"/>
                            <a:gd name="T48" fmla="+- 0 4398 4130"/>
                            <a:gd name="T49" fmla="*/ T48 w 1170"/>
                            <a:gd name="T50" fmla="+- 0 14677 14507"/>
                            <a:gd name="T51" fmla="*/ 14677 h 1178"/>
                            <a:gd name="T52" fmla="+- 0 5003 4130"/>
                            <a:gd name="T53" fmla="*/ T52 w 1170"/>
                            <a:gd name="T54" fmla="+- 0 14583 14507"/>
                            <a:gd name="T55" fmla="*/ 14583 h 1178"/>
                            <a:gd name="T56" fmla="+- 0 4706 4130"/>
                            <a:gd name="T57" fmla="*/ T56 w 1170"/>
                            <a:gd name="T58" fmla="+- 0 14507 14507"/>
                            <a:gd name="T59" fmla="*/ 14507 h 1178"/>
                            <a:gd name="T60" fmla="+- 0 4947 4130"/>
                            <a:gd name="T61" fmla="*/ T60 w 1170"/>
                            <a:gd name="T62" fmla="+- 0 15421 14507"/>
                            <a:gd name="T63" fmla="*/ 15421 h 1178"/>
                            <a:gd name="T64" fmla="+- 0 5026 4130"/>
                            <a:gd name="T65" fmla="*/ T64 w 1170"/>
                            <a:gd name="T66" fmla="+- 0 15499 14507"/>
                            <a:gd name="T67" fmla="*/ 15499 h 1178"/>
                            <a:gd name="T68" fmla="+- 0 5097 4130"/>
                            <a:gd name="T69" fmla="*/ T68 w 1170"/>
                            <a:gd name="T70" fmla="+- 0 15403 14507"/>
                            <a:gd name="T71" fmla="*/ 15403 h 1178"/>
                            <a:gd name="T72" fmla="+- 0 4696 4130"/>
                            <a:gd name="T73" fmla="*/ T72 w 1170"/>
                            <a:gd name="T74" fmla="+- 0 14649 14507"/>
                            <a:gd name="T75" fmla="*/ 14649 h 1178"/>
                            <a:gd name="T76" fmla="+- 0 4390 4130"/>
                            <a:gd name="T77" fmla="*/ T76 w 1170"/>
                            <a:gd name="T78" fmla="+- 0 14755 14507"/>
                            <a:gd name="T79" fmla="*/ 14755 h 1178"/>
                            <a:gd name="T80" fmla="+- 0 4246 4130"/>
                            <a:gd name="T81" fmla="*/ T80 w 1170"/>
                            <a:gd name="T82" fmla="+- 0 15085 14507"/>
                            <a:gd name="T83" fmla="*/ 15085 h 1178"/>
                            <a:gd name="T84" fmla="+- 0 4433 4130"/>
                            <a:gd name="T85" fmla="*/ T84 w 1170"/>
                            <a:gd name="T86" fmla="+- 0 15405 14507"/>
                            <a:gd name="T87" fmla="*/ 15405 h 1178"/>
                            <a:gd name="T88" fmla="+- 0 4895 4130"/>
                            <a:gd name="T89" fmla="*/ T88 w 1170"/>
                            <a:gd name="T90" fmla="+- 0 15377 14507"/>
                            <a:gd name="T91" fmla="*/ 15377 h 1178"/>
                            <a:gd name="T92" fmla="+- 0 4357 4130"/>
                            <a:gd name="T93" fmla="*/ T92 w 1170"/>
                            <a:gd name="T94" fmla="+- 0 15235 14507"/>
                            <a:gd name="T95" fmla="*/ 15235 h 1178"/>
                            <a:gd name="T96" fmla="+- 0 4405 4130"/>
                            <a:gd name="T97" fmla="*/ T96 w 1170"/>
                            <a:gd name="T98" fmla="+- 0 15143 14507"/>
                            <a:gd name="T99" fmla="*/ 15143 h 1178"/>
                            <a:gd name="T100" fmla="+- 0 4322 4130"/>
                            <a:gd name="T101" fmla="*/ T100 w 1170"/>
                            <a:gd name="T102" fmla="+- 0 15099 14507"/>
                            <a:gd name="T103" fmla="*/ 15099 h 1178"/>
                            <a:gd name="T104" fmla="+- 0 4334 4130"/>
                            <a:gd name="T105" fmla="*/ T104 w 1170"/>
                            <a:gd name="T106" fmla="+- 0 14983 14507"/>
                            <a:gd name="T107" fmla="*/ 14983 h 1178"/>
                            <a:gd name="T108" fmla="+- 0 4471 4130"/>
                            <a:gd name="T109" fmla="*/ T108 w 1170"/>
                            <a:gd name="T110" fmla="+- 0 14887 14507"/>
                            <a:gd name="T111" fmla="*/ 14887 h 1178"/>
                            <a:gd name="T112" fmla="+- 0 4466 4130"/>
                            <a:gd name="T113" fmla="*/ T112 w 1170"/>
                            <a:gd name="T114" fmla="+- 0 14791 14507"/>
                            <a:gd name="T115" fmla="*/ 14791 h 1178"/>
                            <a:gd name="T116" fmla="+- 0 4982 4130"/>
                            <a:gd name="T117" fmla="*/ T116 w 1170"/>
                            <a:gd name="T118" fmla="+- 0 14729 14507"/>
                            <a:gd name="T119" fmla="*/ 14729 h 1178"/>
                            <a:gd name="T120" fmla="+- 0 4696 4130"/>
                            <a:gd name="T121" fmla="*/ T120 w 1170"/>
                            <a:gd name="T122" fmla="+- 0 14649 14507"/>
                            <a:gd name="T123" fmla="*/ 14649 h 1178"/>
                            <a:gd name="T124" fmla="+- 0 5115 4130"/>
                            <a:gd name="T125" fmla="*/ T124 w 1170"/>
                            <a:gd name="T126" fmla="+- 0 15365 14507"/>
                            <a:gd name="T127" fmla="*/ 15365 h 1178"/>
                            <a:gd name="T128" fmla="+- 0 5282 4130"/>
                            <a:gd name="T129" fmla="*/ T128 w 1170"/>
                            <a:gd name="T130" fmla="+- 0 15249 14507"/>
                            <a:gd name="T131" fmla="*/ 15249 h 1178"/>
                            <a:gd name="T132" fmla="+- 0 4489 4130"/>
                            <a:gd name="T133" fmla="*/ T132 w 1170"/>
                            <a:gd name="T134" fmla="+- 0 15117 14507"/>
                            <a:gd name="T135" fmla="*/ 15117 h 1178"/>
                            <a:gd name="T136" fmla="+- 0 4452 4130"/>
                            <a:gd name="T137" fmla="*/ T136 w 1170"/>
                            <a:gd name="T138" fmla="+- 0 15327 14507"/>
                            <a:gd name="T139" fmla="*/ 15327 h 1178"/>
                            <a:gd name="T140" fmla="+- 0 4913 4130"/>
                            <a:gd name="T141" fmla="*/ T140 w 1170"/>
                            <a:gd name="T142" fmla="+- 0 15183 14507"/>
                            <a:gd name="T143" fmla="*/ 15183 h 1178"/>
                            <a:gd name="T144" fmla="+- 0 5107 4130"/>
                            <a:gd name="T145" fmla="*/ T144 w 1170"/>
                            <a:gd name="T146" fmla="+- 0 15085 14507"/>
                            <a:gd name="T147" fmla="*/ 15085 h 1178"/>
                            <a:gd name="T148" fmla="+- 0 5000 4130"/>
                            <a:gd name="T149" fmla="*/ T148 w 1170"/>
                            <a:gd name="T150" fmla="+- 0 15175 14507"/>
                            <a:gd name="T151" fmla="*/ 15175 h 1178"/>
                            <a:gd name="T152" fmla="+- 0 5106 4130"/>
                            <a:gd name="T153" fmla="*/ T152 w 1170"/>
                            <a:gd name="T154" fmla="+- 0 15265 14507"/>
                            <a:gd name="T155" fmla="*/ 15265 h 1178"/>
                            <a:gd name="T156" fmla="+- 0 5295 4130"/>
                            <a:gd name="T157" fmla="*/ T156 w 1170"/>
                            <a:gd name="T158" fmla="+- 0 15173 14507"/>
                            <a:gd name="T159" fmla="*/ 15173 h 1178"/>
                            <a:gd name="T160" fmla="+- 0 5107 4130"/>
                            <a:gd name="T161" fmla="*/ T160 w 1170"/>
                            <a:gd name="T162" fmla="+- 0 15085 14507"/>
                            <a:gd name="T163" fmla="*/ 15085 h 1178"/>
                            <a:gd name="T164" fmla="+- 0 4359 4130"/>
                            <a:gd name="T165" fmla="*/ T164 w 1170"/>
                            <a:gd name="T166" fmla="+- 0 15187 14507"/>
                            <a:gd name="T167" fmla="*/ 15187 h 1178"/>
                            <a:gd name="T168" fmla="+- 0 4339 4130"/>
                            <a:gd name="T169" fmla="*/ T168 w 1170"/>
                            <a:gd name="T170" fmla="+- 0 15103 14507"/>
                            <a:gd name="T171" fmla="*/ 15103 h 1178"/>
                            <a:gd name="T172" fmla="+- 0 4377 4130"/>
                            <a:gd name="T173" fmla="*/ T172 w 1170"/>
                            <a:gd name="T174" fmla="+- 0 15101 14507"/>
                            <a:gd name="T175" fmla="*/ 15101 h 1178"/>
                            <a:gd name="T176" fmla="+- 0 5124 4130"/>
                            <a:gd name="T177" fmla="*/ T176 w 1170"/>
                            <a:gd name="T178" fmla="+- 0 15009 14507"/>
                            <a:gd name="T179" fmla="*/ 15009 h 1178"/>
                            <a:gd name="T180" fmla="+- 0 5224 4130"/>
                            <a:gd name="T181" fmla="*/ T180 w 1170"/>
                            <a:gd name="T182" fmla="+- 0 15095 14507"/>
                            <a:gd name="T183" fmla="*/ 15095 h 1178"/>
                            <a:gd name="T184" fmla="+- 0 4707 4130"/>
                            <a:gd name="T185" fmla="*/ T184 w 1170"/>
                            <a:gd name="T186" fmla="+- 0 14583 14507"/>
                            <a:gd name="T187" fmla="*/ 14583 h 1178"/>
                            <a:gd name="T188" fmla="+- 0 5062 4130"/>
                            <a:gd name="T189" fmla="*/ T188 w 1170"/>
                            <a:gd name="T190" fmla="+- 0 14715 14507"/>
                            <a:gd name="T191" fmla="*/ 14715 h 1178"/>
                            <a:gd name="T192" fmla="+- 0 5224 4130"/>
                            <a:gd name="T193" fmla="*/ T192 w 1170"/>
                            <a:gd name="T194" fmla="+- 0 15091 14507"/>
                            <a:gd name="T195" fmla="*/ 15091 h 1178"/>
                            <a:gd name="T196" fmla="+- 0 5280 4130"/>
                            <a:gd name="T197" fmla="*/ T196 w 1170"/>
                            <a:gd name="T198" fmla="+- 0 14929 14507"/>
                            <a:gd name="T199" fmla="*/ 14929 h 1178"/>
                            <a:gd name="T200" fmla="+- 0 5086 4130"/>
                            <a:gd name="T201" fmla="*/ T200 w 1170"/>
                            <a:gd name="T202" fmla="+- 0 14637 14507"/>
                            <a:gd name="T203" fmla="*/ 14637 h 1178"/>
                            <a:gd name="T204" fmla="+- 0 4347 4130"/>
                            <a:gd name="T205" fmla="*/ T204 w 1170"/>
                            <a:gd name="T206" fmla="+- 0 15003 14507"/>
                            <a:gd name="T207" fmla="*/ 15003 h 1178"/>
                            <a:gd name="T208" fmla="+- 0 4471 4130"/>
                            <a:gd name="T209" fmla="*/ T208 w 1170"/>
                            <a:gd name="T210" fmla="+- 0 15007 14507"/>
                            <a:gd name="T211" fmla="*/ 15007 h 1178"/>
                            <a:gd name="T212" fmla="+- 0 4856 4130"/>
                            <a:gd name="T213" fmla="*/ T212 w 1170"/>
                            <a:gd name="T214" fmla="+- 0 14753 14507"/>
                            <a:gd name="T215" fmla="*/ 14753 h 1178"/>
                            <a:gd name="T216" fmla="+- 0 4857 4130"/>
                            <a:gd name="T217" fmla="*/ T216 w 1170"/>
                            <a:gd name="T218" fmla="+- 0 14869 14507"/>
                            <a:gd name="T219" fmla="*/ 14869 h 1178"/>
                            <a:gd name="T220" fmla="+- 0 4966 4130"/>
                            <a:gd name="T221" fmla="*/ T220 w 1170"/>
                            <a:gd name="T222" fmla="+- 0 15027 14507"/>
                            <a:gd name="T223" fmla="*/ 15027 h 1178"/>
                            <a:gd name="T224" fmla="+- 0 5170 4130"/>
                            <a:gd name="T225" fmla="*/ T224 w 1170"/>
                            <a:gd name="T226" fmla="+- 0 14925 14507"/>
                            <a:gd name="T227" fmla="*/ 14925 h 1178"/>
                            <a:gd name="T228" fmla="+- 0 4770 4130"/>
                            <a:gd name="T229" fmla="*/ T228 w 1170"/>
                            <a:gd name="T230" fmla="+- 0 14747 14507"/>
                            <a:gd name="T231" fmla="*/ 14747 h 1178"/>
                            <a:gd name="T232" fmla="+- 0 4541 4130"/>
                            <a:gd name="T233" fmla="*/ T232 w 1170"/>
                            <a:gd name="T234" fmla="+- 0 14807 14507"/>
                            <a:gd name="T235" fmla="*/ 14807 h 1178"/>
                            <a:gd name="T236" fmla="+- 0 4712 4130"/>
                            <a:gd name="T237" fmla="*/ T236 w 1170"/>
                            <a:gd name="T238" fmla="+- 0 14919 14507"/>
                            <a:gd name="T239" fmla="*/ 14919 h 1178"/>
                            <a:gd name="T240" fmla="+- 0 4780 4130"/>
                            <a:gd name="T241" fmla="*/ T240 w 1170"/>
                            <a:gd name="T242" fmla="+- 0 14765 14507"/>
                            <a:gd name="T243" fmla="*/ 14765 h 1178"/>
                            <a:gd name="T244" fmla="+- 0 4422 4130"/>
                            <a:gd name="T245" fmla="*/ T244 w 1170"/>
                            <a:gd name="T246" fmla="+- 0 14863 14507"/>
                            <a:gd name="T247" fmla="*/ 14863 h 11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170" h="1178">
                              <a:moveTo>
                                <a:pt x="1022" y="990"/>
                              </a:moveTo>
                              <a:lnTo>
                                <a:pt x="901" y="990"/>
                              </a:lnTo>
                              <a:lnTo>
                                <a:pt x="849" y="1042"/>
                              </a:lnTo>
                              <a:lnTo>
                                <a:pt x="790" y="1086"/>
                              </a:lnTo>
                              <a:lnTo>
                                <a:pt x="724" y="1122"/>
                              </a:lnTo>
                              <a:lnTo>
                                <a:pt x="653" y="1148"/>
                              </a:lnTo>
                              <a:lnTo>
                                <a:pt x="577" y="1166"/>
                              </a:lnTo>
                              <a:lnTo>
                                <a:pt x="497" y="1170"/>
                              </a:lnTo>
                              <a:lnTo>
                                <a:pt x="494" y="1170"/>
                              </a:lnTo>
                              <a:lnTo>
                                <a:pt x="493" y="1174"/>
                              </a:lnTo>
                              <a:lnTo>
                                <a:pt x="496" y="1174"/>
                              </a:lnTo>
                              <a:lnTo>
                                <a:pt x="532" y="1178"/>
                              </a:lnTo>
                              <a:lnTo>
                                <a:pt x="572" y="1178"/>
                              </a:lnTo>
                              <a:lnTo>
                                <a:pt x="647" y="1174"/>
                              </a:lnTo>
                              <a:lnTo>
                                <a:pt x="719" y="1162"/>
                              </a:lnTo>
                              <a:lnTo>
                                <a:pt x="788" y="1144"/>
                              </a:lnTo>
                              <a:lnTo>
                                <a:pt x="853" y="1116"/>
                              </a:lnTo>
                              <a:lnTo>
                                <a:pt x="913" y="1082"/>
                              </a:lnTo>
                              <a:lnTo>
                                <a:pt x="969" y="1042"/>
                              </a:lnTo>
                              <a:lnTo>
                                <a:pt x="1019" y="994"/>
                              </a:lnTo>
                              <a:lnTo>
                                <a:pt x="1022" y="990"/>
                              </a:lnTo>
                              <a:close/>
                              <a:moveTo>
                                <a:pt x="576" y="0"/>
                              </a:moveTo>
                              <a:lnTo>
                                <a:pt x="490" y="6"/>
                              </a:lnTo>
                              <a:lnTo>
                                <a:pt x="409" y="22"/>
                              </a:lnTo>
                              <a:lnTo>
                                <a:pt x="335" y="46"/>
                              </a:lnTo>
                              <a:lnTo>
                                <a:pt x="268" y="80"/>
                              </a:lnTo>
                              <a:lnTo>
                                <a:pt x="207" y="122"/>
                              </a:lnTo>
                              <a:lnTo>
                                <a:pt x="154" y="170"/>
                              </a:lnTo>
                              <a:lnTo>
                                <a:pt x="108" y="224"/>
                              </a:lnTo>
                              <a:lnTo>
                                <a:pt x="70" y="284"/>
                              </a:lnTo>
                              <a:lnTo>
                                <a:pt x="40" y="348"/>
                              </a:lnTo>
                              <a:lnTo>
                                <a:pt x="18" y="418"/>
                              </a:lnTo>
                              <a:lnTo>
                                <a:pt x="5" y="488"/>
                              </a:lnTo>
                              <a:lnTo>
                                <a:pt x="0" y="562"/>
                              </a:lnTo>
                              <a:lnTo>
                                <a:pt x="6" y="644"/>
                              </a:lnTo>
                              <a:lnTo>
                                <a:pt x="23" y="716"/>
                              </a:lnTo>
                              <a:lnTo>
                                <a:pt x="51" y="780"/>
                              </a:lnTo>
                              <a:lnTo>
                                <a:pt x="86" y="838"/>
                              </a:lnTo>
                              <a:lnTo>
                                <a:pt x="129" y="886"/>
                              </a:lnTo>
                              <a:lnTo>
                                <a:pt x="178" y="928"/>
                              </a:lnTo>
                              <a:lnTo>
                                <a:pt x="232" y="960"/>
                              </a:lnTo>
                              <a:lnTo>
                                <a:pt x="290" y="986"/>
                              </a:lnTo>
                              <a:lnTo>
                                <a:pt x="349" y="1004"/>
                              </a:lnTo>
                              <a:lnTo>
                                <a:pt x="410" y="1016"/>
                              </a:lnTo>
                              <a:lnTo>
                                <a:pt x="470" y="1018"/>
                              </a:lnTo>
                              <a:lnTo>
                                <a:pt x="529" y="1014"/>
                              </a:lnTo>
                              <a:lnTo>
                                <a:pt x="585" y="1002"/>
                              </a:lnTo>
                              <a:lnTo>
                                <a:pt x="636" y="982"/>
                              </a:lnTo>
                              <a:lnTo>
                                <a:pt x="683" y="956"/>
                              </a:lnTo>
                              <a:lnTo>
                                <a:pt x="700" y="942"/>
                              </a:lnTo>
                              <a:lnTo>
                                <a:pt x="418" y="942"/>
                              </a:lnTo>
                              <a:lnTo>
                                <a:pt x="359" y="930"/>
                              </a:lnTo>
                              <a:lnTo>
                                <a:pt x="302" y="910"/>
                              </a:lnTo>
                              <a:lnTo>
                                <a:pt x="248" y="884"/>
                              </a:lnTo>
                              <a:lnTo>
                                <a:pt x="201" y="848"/>
                              </a:lnTo>
                              <a:lnTo>
                                <a:pt x="147" y="792"/>
                              </a:lnTo>
                              <a:lnTo>
                                <a:pt x="108" y="724"/>
                              </a:lnTo>
                              <a:lnTo>
                                <a:pt x="84" y="648"/>
                              </a:lnTo>
                              <a:lnTo>
                                <a:pt x="76" y="562"/>
                              </a:lnTo>
                              <a:lnTo>
                                <a:pt x="82" y="486"/>
                              </a:lnTo>
                              <a:lnTo>
                                <a:pt x="98" y="412"/>
                              </a:lnTo>
                              <a:lnTo>
                                <a:pt x="125" y="342"/>
                              </a:lnTo>
                              <a:lnTo>
                                <a:pt x="162" y="280"/>
                              </a:lnTo>
                              <a:lnTo>
                                <a:pt x="209" y="222"/>
                              </a:lnTo>
                              <a:lnTo>
                                <a:pt x="268" y="170"/>
                              </a:lnTo>
                              <a:lnTo>
                                <a:pt x="335" y="130"/>
                              </a:lnTo>
                              <a:lnTo>
                                <a:pt x="409" y="100"/>
                              </a:lnTo>
                              <a:lnTo>
                                <a:pt x="490" y="82"/>
                              </a:lnTo>
                              <a:lnTo>
                                <a:pt x="576" y="76"/>
                              </a:lnTo>
                              <a:lnTo>
                                <a:pt x="873" y="76"/>
                              </a:lnTo>
                              <a:lnTo>
                                <a:pt x="839" y="58"/>
                              </a:lnTo>
                              <a:lnTo>
                                <a:pt x="776" y="34"/>
                              </a:lnTo>
                              <a:lnTo>
                                <a:pt x="711" y="16"/>
                              </a:lnTo>
                              <a:lnTo>
                                <a:pt x="644" y="4"/>
                              </a:lnTo>
                              <a:lnTo>
                                <a:pt x="576" y="0"/>
                              </a:lnTo>
                              <a:close/>
                              <a:moveTo>
                                <a:pt x="893" y="838"/>
                              </a:moveTo>
                              <a:lnTo>
                                <a:pt x="864" y="844"/>
                              </a:lnTo>
                              <a:lnTo>
                                <a:pt x="839" y="860"/>
                              </a:lnTo>
                              <a:lnTo>
                                <a:pt x="823" y="884"/>
                              </a:lnTo>
                              <a:lnTo>
                                <a:pt x="817" y="914"/>
                              </a:lnTo>
                              <a:lnTo>
                                <a:pt x="823" y="944"/>
                              </a:lnTo>
                              <a:lnTo>
                                <a:pt x="839" y="968"/>
                              </a:lnTo>
                              <a:lnTo>
                                <a:pt x="863" y="984"/>
                              </a:lnTo>
                              <a:lnTo>
                                <a:pt x="893" y="992"/>
                              </a:lnTo>
                              <a:lnTo>
                                <a:pt x="896" y="992"/>
                              </a:lnTo>
                              <a:lnTo>
                                <a:pt x="899" y="990"/>
                              </a:lnTo>
                              <a:lnTo>
                                <a:pt x="1022" y="990"/>
                              </a:lnTo>
                              <a:lnTo>
                                <a:pt x="1062" y="940"/>
                              </a:lnTo>
                              <a:lnTo>
                                <a:pt x="1090" y="896"/>
                              </a:lnTo>
                              <a:lnTo>
                                <a:pt x="967" y="896"/>
                              </a:lnTo>
                              <a:lnTo>
                                <a:pt x="957" y="872"/>
                              </a:lnTo>
                              <a:lnTo>
                                <a:pt x="940" y="854"/>
                              </a:lnTo>
                              <a:lnTo>
                                <a:pt x="919" y="842"/>
                              </a:lnTo>
                              <a:lnTo>
                                <a:pt x="893" y="838"/>
                              </a:lnTo>
                              <a:close/>
                              <a:moveTo>
                                <a:pt x="566" y="142"/>
                              </a:moveTo>
                              <a:lnTo>
                                <a:pt x="501" y="146"/>
                              </a:lnTo>
                              <a:lnTo>
                                <a:pt x="436" y="158"/>
                              </a:lnTo>
                              <a:lnTo>
                                <a:pt x="373" y="180"/>
                              </a:lnTo>
                              <a:lnTo>
                                <a:pt x="314" y="210"/>
                              </a:lnTo>
                              <a:lnTo>
                                <a:pt x="260" y="248"/>
                              </a:lnTo>
                              <a:lnTo>
                                <a:pt x="213" y="296"/>
                              </a:lnTo>
                              <a:lnTo>
                                <a:pt x="173" y="352"/>
                              </a:lnTo>
                              <a:lnTo>
                                <a:pt x="142" y="418"/>
                              </a:lnTo>
                              <a:lnTo>
                                <a:pt x="123" y="494"/>
                              </a:lnTo>
                              <a:lnTo>
                                <a:pt x="116" y="578"/>
                              </a:lnTo>
                              <a:lnTo>
                                <a:pt x="126" y="676"/>
                              </a:lnTo>
                              <a:lnTo>
                                <a:pt x="153" y="754"/>
                              </a:lnTo>
                              <a:lnTo>
                                <a:pt x="194" y="816"/>
                              </a:lnTo>
                              <a:lnTo>
                                <a:pt x="246" y="862"/>
                              </a:lnTo>
                              <a:lnTo>
                                <a:pt x="303" y="898"/>
                              </a:lnTo>
                              <a:lnTo>
                                <a:pt x="362" y="924"/>
                              </a:lnTo>
                              <a:lnTo>
                                <a:pt x="418" y="942"/>
                              </a:lnTo>
                              <a:lnTo>
                                <a:pt x="700" y="942"/>
                              </a:lnTo>
                              <a:lnTo>
                                <a:pt x="729" y="918"/>
                              </a:lnTo>
                              <a:lnTo>
                                <a:pt x="765" y="870"/>
                              </a:lnTo>
                              <a:lnTo>
                                <a:pt x="777" y="840"/>
                              </a:lnTo>
                              <a:lnTo>
                                <a:pt x="329" y="840"/>
                              </a:lnTo>
                              <a:lnTo>
                                <a:pt x="289" y="814"/>
                              </a:lnTo>
                              <a:lnTo>
                                <a:pt x="255" y="774"/>
                              </a:lnTo>
                              <a:lnTo>
                                <a:pt x="227" y="728"/>
                              </a:lnTo>
                              <a:lnTo>
                                <a:pt x="207" y="674"/>
                              </a:lnTo>
                              <a:lnTo>
                                <a:pt x="253" y="674"/>
                              </a:lnTo>
                              <a:lnTo>
                                <a:pt x="261" y="668"/>
                              </a:lnTo>
                              <a:lnTo>
                                <a:pt x="271" y="654"/>
                              </a:lnTo>
                              <a:lnTo>
                                <a:pt x="275" y="636"/>
                              </a:lnTo>
                              <a:lnTo>
                                <a:pt x="271" y="618"/>
                              </a:lnTo>
                              <a:lnTo>
                                <a:pt x="264" y="608"/>
                              </a:lnTo>
                              <a:lnTo>
                                <a:pt x="193" y="608"/>
                              </a:lnTo>
                              <a:lnTo>
                                <a:pt x="192" y="598"/>
                              </a:lnTo>
                              <a:lnTo>
                                <a:pt x="192" y="592"/>
                              </a:lnTo>
                              <a:lnTo>
                                <a:pt x="192" y="578"/>
                              </a:lnTo>
                              <a:lnTo>
                                <a:pt x="193" y="552"/>
                              </a:lnTo>
                              <a:lnTo>
                                <a:pt x="195" y="526"/>
                              </a:lnTo>
                              <a:lnTo>
                                <a:pt x="199" y="500"/>
                              </a:lnTo>
                              <a:lnTo>
                                <a:pt x="204" y="476"/>
                              </a:lnTo>
                              <a:lnTo>
                                <a:pt x="356" y="476"/>
                              </a:lnTo>
                              <a:lnTo>
                                <a:pt x="359" y="472"/>
                              </a:lnTo>
                              <a:lnTo>
                                <a:pt x="366" y="440"/>
                              </a:lnTo>
                              <a:lnTo>
                                <a:pt x="359" y="406"/>
                              </a:lnTo>
                              <a:lnTo>
                                <a:pt x="341" y="380"/>
                              </a:lnTo>
                              <a:lnTo>
                                <a:pt x="314" y="360"/>
                              </a:lnTo>
                              <a:lnTo>
                                <a:pt x="292" y="356"/>
                              </a:lnTo>
                              <a:lnTo>
                                <a:pt x="261" y="356"/>
                              </a:lnTo>
                              <a:lnTo>
                                <a:pt x="296" y="318"/>
                              </a:lnTo>
                              <a:lnTo>
                                <a:pt x="336" y="284"/>
                              </a:lnTo>
                              <a:lnTo>
                                <a:pt x="380" y="258"/>
                              </a:lnTo>
                              <a:lnTo>
                                <a:pt x="429" y="240"/>
                              </a:lnTo>
                              <a:lnTo>
                                <a:pt x="640" y="240"/>
                              </a:lnTo>
                              <a:lnTo>
                                <a:pt x="627" y="222"/>
                              </a:lnTo>
                              <a:lnTo>
                                <a:pt x="852" y="222"/>
                              </a:lnTo>
                              <a:lnTo>
                                <a:pt x="843" y="216"/>
                              </a:lnTo>
                              <a:lnTo>
                                <a:pt x="777" y="184"/>
                              </a:lnTo>
                              <a:lnTo>
                                <a:pt x="708" y="160"/>
                              </a:lnTo>
                              <a:lnTo>
                                <a:pt x="637" y="146"/>
                              </a:lnTo>
                              <a:lnTo>
                                <a:pt x="566" y="142"/>
                              </a:lnTo>
                              <a:close/>
                              <a:moveTo>
                                <a:pt x="1152" y="738"/>
                              </a:moveTo>
                              <a:lnTo>
                                <a:pt x="1018" y="738"/>
                              </a:lnTo>
                              <a:lnTo>
                                <a:pt x="1010" y="780"/>
                              </a:lnTo>
                              <a:lnTo>
                                <a:pt x="999" y="820"/>
                              </a:lnTo>
                              <a:lnTo>
                                <a:pt x="985" y="858"/>
                              </a:lnTo>
                              <a:lnTo>
                                <a:pt x="967" y="896"/>
                              </a:lnTo>
                              <a:lnTo>
                                <a:pt x="1090" y="896"/>
                              </a:lnTo>
                              <a:lnTo>
                                <a:pt x="1100" y="880"/>
                              </a:lnTo>
                              <a:lnTo>
                                <a:pt x="1130" y="814"/>
                              </a:lnTo>
                              <a:lnTo>
                                <a:pt x="1152" y="742"/>
                              </a:lnTo>
                              <a:lnTo>
                                <a:pt x="1152" y="738"/>
                              </a:lnTo>
                              <a:close/>
                              <a:moveTo>
                                <a:pt x="554" y="510"/>
                              </a:moveTo>
                              <a:lnTo>
                                <a:pt x="478" y="522"/>
                              </a:lnTo>
                              <a:lnTo>
                                <a:pt x="411" y="556"/>
                              </a:lnTo>
                              <a:lnTo>
                                <a:pt x="359" y="610"/>
                              </a:lnTo>
                              <a:lnTo>
                                <a:pt x="325" y="676"/>
                              </a:lnTo>
                              <a:lnTo>
                                <a:pt x="312" y="752"/>
                              </a:lnTo>
                              <a:lnTo>
                                <a:pt x="313" y="776"/>
                              </a:lnTo>
                              <a:lnTo>
                                <a:pt x="317" y="798"/>
                              </a:lnTo>
                              <a:lnTo>
                                <a:pt x="322" y="820"/>
                              </a:lnTo>
                              <a:lnTo>
                                <a:pt x="329" y="840"/>
                              </a:lnTo>
                              <a:lnTo>
                                <a:pt x="777" y="840"/>
                              </a:lnTo>
                              <a:lnTo>
                                <a:pt x="787" y="814"/>
                              </a:lnTo>
                              <a:lnTo>
                                <a:pt x="795" y="752"/>
                              </a:lnTo>
                              <a:lnTo>
                                <a:pt x="783" y="676"/>
                              </a:lnTo>
                              <a:lnTo>
                                <a:pt x="749" y="610"/>
                              </a:lnTo>
                              <a:lnTo>
                                <a:pt x="697" y="556"/>
                              </a:lnTo>
                              <a:lnTo>
                                <a:pt x="630" y="522"/>
                              </a:lnTo>
                              <a:lnTo>
                                <a:pt x="554" y="510"/>
                              </a:lnTo>
                              <a:close/>
                              <a:moveTo>
                                <a:pt x="977" y="578"/>
                              </a:moveTo>
                              <a:lnTo>
                                <a:pt x="961" y="578"/>
                              </a:lnTo>
                              <a:lnTo>
                                <a:pt x="925" y="584"/>
                              </a:lnTo>
                              <a:lnTo>
                                <a:pt x="896" y="604"/>
                              </a:lnTo>
                              <a:lnTo>
                                <a:pt x="877" y="632"/>
                              </a:lnTo>
                              <a:lnTo>
                                <a:pt x="870" y="668"/>
                              </a:lnTo>
                              <a:lnTo>
                                <a:pt x="877" y="704"/>
                              </a:lnTo>
                              <a:lnTo>
                                <a:pt x="896" y="732"/>
                              </a:lnTo>
                              <a:lnTo>
                                <a:pt x="925" y="752"/>
                              </a:lnTo>
                              <a:lnTo>
                                <a:pt x="960" y="758"/>
                              </a:lnTo>
                              <a:lnTo>
                                <a:pt x="976" y="758"/>
                              </a:lnTo>
                              <a:lnTo>
                                <a:pt x="991" y="754"/>
                              </a:lnTo>
                              <a:lnTo>
                                <a:pt x="1005" y="746"/>
                              </a:lnTo>
                              <a:lnTo>
                                <a:pt x="1018" y="738"/>
                              </a:lnTo>
                              <a:lnTo>
                                <a:pt x="1152" y="738"/>
                              </a:lnTo>
                              <a:lnTo>
                                <a:pt x="1165" y="666"/>
                              </a:lnTo>
                              <a:lnTo>
                                <a:pt x="1169" y="598"/>
                              </a:lnTo>
                              <a:lnTo>
                                <a:pt x="1018" y="598"/>
                              </a:lnTo>
                              <a:lnTo>
                                <a:pt x="1006" y="590"/>
                              </a:lnTo>
                              <a:lnTo>
                                <a:pt x="992" y="584"/>
                              </a:lnTo>
                              <a:lnTo>
                                <a:pt x="977" y="578"/>
                              </a:lnTo>
                              <a:close/>
                              <a:moveTo>
                                <a:pt x="253" y="674"/>
                              </a:moveTo>
                              <a:lnTo>
                                <a:pt x="207" y="674"/>
                              </a:lnTo>
                              <a:lnTo>
                                <a:pt x="213" y="678"/>
                              </a:lnTo>
                              <a:lnTo>
                                <a:pt x="221" y="680"/>
                              </a:lnTo>
                              <a:lnTo>
                                <a:pt x="229" y="680"/>
                              </a:lnTo>
                              <a:lnTo>
                                <a:pt x="247" y="678"/>
                              </a:lnTo>
                              <a:lnTo>
                                <a:pt x="253" y="674"/>
                              </a:lnTo>
                              <a:close/>
                              <a:moveTo>
                                <a:pt x="230" y="590"/>
                              </a:moveTo>
                              <a:lnTo>
                                <a:pt x="219" y="592"/>
                              </a:lnTo>
                              <a:lnTo>
                                <a:pt x="209" y="596"/>
                              </a:lnTo>
                              <a:lnTo>
                                <a:pt x="200" y="602"/>
                              </a:lnTo>
                              <a:lnTo>
                                <a:pt x="193" y="608"/>
                              </a:lnTo>
                              <a:lnTo>
                                <a:pt x="264" y="608"/>
                              </a:lnTo>
                              <a:lnTo>
                                <a:pt x="262" y="604"/>
                              </a:lnTo>
                              <a:lnTo>
                                <a:pt x="247" y="594"/>
                              </a:lnTo>
                              <a:lnTo>
                                <a:pt x="230" y="590"/>
                              </a:lnTo>
                              <a:close/>
                              <a:moveTo>
                                <a:pt x="1040" y="418"/>
                              </a:moveTo>
                              <a:lnTo>
                                <a:pt x="952" y="418"/>
                              </a:lnTo>
                              <a:lnTo>
                                <a:pt x="975" y="458"/>
                              </a:lnTo>
                              <a:lnTo>
                                <a:pt x="994" y="502"/>
                              </a:lnTo>
                              <a:lnTo>
                                <a:pt x="1009" y="548"/>
                              </a:lnTo>
                              <a:lnTo>
                                <a:pt x="1018" y="598"/>
                              </a:lnTo>
                              <a:lnTo>
                                <a:pt x="1169" y="598"/>
                              </a:lnTo>
                              <a:lnTo>
                                <a:pt x="1170" y="588"/>
                              </a:lnTo>
                              <a:lnTo>
                                <a:pt x="1094" y="588"/>
                              </a:lnTo>
                              <a:lnTo>
                                <a:pt x="1076" y="506"/>
                              </a:lnTo>
                              <a:lnTo>
                                <a:pt x="1047" y="430"/>
                              </a:lnTo>
                              <a:lnTo>
                                <a:pt x="1040" y="418"/>
                              </a:lnTo>
                              <a:close/>
                              <a:moveTo>
                                <a:pt x="873" y="76"/>
                              </a:moveTo>
                              <a:lnTo>
                                <a:pt x="577" y="76"/>
                              </a:lnTo>
                              <a:lnTo>
                                <a:pt x="655" y="82"/>
                              </a:lnTo>
                              <a:lnTo>
                                <a:pt x="731" y="98"/>
                              </a:lnTo>
                              <a:lnTo>
                                <a:pt x="804" y="126"/>
                              </a:lnTo>
                              <a:lnTo>
                                <a:pt x="872" y="162"/>
                              </a:lnTo>
                              <a:lnTo>
                                <a:pt x="932" y="208"/>
                              </a:lnTo>
                              <a:lnTo>
                                <a:pt x="977" y="254"/>
                              </a:lnTo>
                              <a:lnTo>
                                <a:pt x="1021" y="314"/>
                              </a:lnTo>
                              <a:lnTo>
                                <a:pt x="1058" y="388"/>
                              </a:lnTo>
                              <a:lnTo>
                                <a:pt x="1084" y="476"/>
                              </a:lnTo>
                              <a:lnTo>
                                <a:pt x="1094" y="584"/>
                              </a:lnTo>
                              <a:lnTo>
                                <a:pt x="1094" y="588"/>
                              </a:lnTo>
                              <a:lnTo>
                                <a:pt x="1170" y="588"/>
                              </a:lnTo>
                              <a:lnTo>
                                <a:pt x="1170" y="584"/>
                              </a:lnTo>
                              <a:lnTo>
                                <a:pt x="1165" y="500"/>
                              </a:lnTo>
                              <a:lnTo>
                                <a:pt x="1150" y="422"/>
                              </a:lnTo>
                              <a:lnTo>
                                <a:pt x="1125" y="350"/>
                              </a:lnTo>
                              <a:lnTo>
                                <a:pt x="1093" y="286"/>
                              </a:lnTo>
                              <a:lnTo>
                                <a:pt x="1054" y="228"/>
                              </a:lnTo>
                              <a:lnTo>
                                <a:pt x="1008" y="174"/>
                              </a:lnTo>
                              <a:lnTo>
                                <a:pt x="956" y="130"/>
                              </a:lnTo>
                              <a:lnTo>
                                <a:pt x="900" y="90"/>
                              </a:lnTo>
                              <a:lnTo>
                                <a:pt x="873" y="76"/>
                              </a:lnTo>
                              <a:close/>
                              <a:moveTo>
                                <a:pt x="356" y="476"/>
                              </a:moveTo>
                              <a:lnTo>
                                <a:pt x="204" y="476"/>
                              </a:lnTo>
                              <a:lnTo>
                                <a:pt x="217" y="496"/>
                              </a:lnTo>
                              <a:lnTo>
                                <a:pt x="235" y="512"/>
                              </a:lnTo>
                              <a:lnTo>
                                <a:pt x="256" y="520"/>
                              </a:lnTo>
                              <a:lnTo>
                                <a:pt x="280" y="524"/>
                              </a:lnTo>
                              <a:lnTo>
                                <a:pt x="313" y="518"/>
                              </a:lnTo>
                              <a:lnTo>
                                <a:pt x="341" y="500"/>
                              </a:lnTo>
                              <a:lnTo>
                                <a:pt x="356" y="476"/>
                              </a:lnTo>
                              <a:close/>
                              <a:moveTo>
                                <a:pt x="852" y="222"/>
                              </a:moveTo>
                              <a:lnTo>
                                <a:pt x="627" y="222"/>
                              </a:lnTo>
                              <a:lnTo>
                                <a:pt x="677" y="230"/>
                              </a:lnTo>
                              <a:lnTo>
                                <a:pt x="726" y="246"/>
                              </a:lnTo>
                              <a:lnTo>
                                <a:pt x="773" y="264"/>
                              </a:lnTo>
                              <a:lnTo>
                                <a:pt x="818" y="290"/>
                              </a:lnTo>
                              <a:lnTo>
                                <a:pt x="779" y="302"/>
                              </a:lnTo>
                              <a:lnTo>
                                <a:pt x="748" y="328"/>
                              </a:lnTo>
                              <a:lnTo>
                                <a:pt x="727" y="362"/>
                              </a:lnTo>
                              <a:lnTo>
                                <a:pt x="720" y="404"/>
                              </a:lnTo>
                              <a:lnTo>
                                <a:pt x="729" y="450"/>
                              </a:lnTo>
                              <a:lnTo>
                                <a:pt x="754" y="486"/>
                              </a:lnTo>
                              <a:lnTo>
                                <a:pt x="791" y="512"/>
                              </a:lnTo>
                              <a:lnTo>
                                <a:pt x="836" y="520"/>
                              </a:lnTo>
                              <a:lnTo>
                                <a:pt x="878" y="514"/>
                              </a:lnTo>
                              <a:lnTo>
                                <a:pt x="914" y="492"/>
                              </a:lnTo>
                              <a:lnTo>
                                <a:pt x="940" y="460"/>
                              </a:lnTo>
                              <a:lnTo>
                                <a:pt x="952" y="418"/>
                              </a:lnTo>
                              <a:lnTo>
                                <a:pt x="1040" y="418"/>
                              </a:lnTo>
                              <a:lnTo>
                                <a:pt x="1007" y="364"/>
                              </a:lnTo>
                              <a:lnTo>
                                <a:pt x="959" y="306"/>
                              </a:lnTo>
                              <a:lnTo>
                                <a:pt x="904" y="256"/>
                              </a:lnTo>
                              <a:lnTo>
                                <a:pt x="852" y="222"/>
                              </a:lnTo>
                              <a:close/>
                              <a:moveTo>
                                <a:pt x="640" y="240"/>
                              </a:moveTo>
                              <a:lnTo>
                                <a:pt x="429" y="240"/>
                              </a:lnTo>
                              <a:lnTo>
                                <a:pt x="421" y="254"/>
                              </a:lnTo>
                              <a:lnTo>
                                <a:pt x="416" y="268"/>
                              </a:lnTo>
                              <a:lnTo>
                                <a:pt x="412" y="284"/>
                              </a:lnTo>
                              <a:lnTo>
                                <a:pt x="411" y="300"/>
                              </a:lnTo>
                              <a:lnTo>
                                <a:pt x="421" y="348"/>
                              </a:lnTo>
                              <a:lnTo>
                                <a:pt x="447" y="386"/>
                              </a:lnTo>
                              <a:lnTo>
                                <a:pt x="486" y="412"/>
                              </a:lnTo>
                              <a:lnTo>
                                <a:pt x="534" y="422"/>
                              </a:lnTo>
                              <a:lnTo>
                                <a:pt x="582" y="412"/>
                              </a:lnTo>
                              <a:lnTo>
                                <a:pt x="621" y="386"/>
                              </a:lnTo>
                              <a:lnTo>
                                <a:pt x="648" y="348"/>
                              </a:lnTo>
                              <a:lnTo>
                                <a:pt x="658" y="302"/>
                              </a:lnTo>
                              <a:lnTo>
                                <a:pt x="656" y="280"/>
                              </a:lnTo>
                              <a:lnTo>
                                <a:pt x="650" y="258"/>
                              </a:lnTo>
                              <a:lnTo>
                                <a:pt x="640" y="240"/>
                              </a:lnTo>
                              <a:close/>
                              <a:moveTo>
                                <a:pt x="281" y="354"/>
                              </a:moveTo>
                              <a:lnTo>
                                <a:pt x="267" y="354"/>
                              </a:lnTo>
                              <a:lnTo>
                                <a:pt x="261" y="356"/>
                              </a:lnTo>
                              <a:lnTo>
                                <a:pt x="292" y="356"/>
                              </a:lnTo>
                              <a:lnTo>
                                <a:pt x="281" y="3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D0F2F9" id="docshape159" o:spid="_x0000_s1026" style="position:absolute;margin-left:206.5pt;margin-top:725.35pt;width:58.5pt;height:58.9pt;z-index:1576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70,1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" path="m1022,990r-121,l849,1042r-59,44l724,1122r-71,26l577,1166r-80,4l494,1170r-1,4l496,1174r36,4l572,1178r75,-4l719,1162r69,-18l853,1116r60,-34l969,1042r50,-48l1022,990xm576,l490,6,409,22,335,46,268,80r-61,42l154,170r-46,54l70,284,40,348,18,418,5,488,,562r6,82l23,716r28,64l86,838r43,48l178,928r54,32l290,986r59,18l410,1016r60,2l529,1014r56,-12l636,982r47,-26l700,942r-282,l359,930,302,910,248,884,201,848,147,792,108,724,84,648,76,562r6,-76l98,412r27,-70l162,280r47,-58l268,170r67,-40l409,100,490,82r86,-6l873,76,839,58,776,34,711,16,644,4,576,xm893,838r-29,6l839,860r-16,24l817,914r6,30l839,968r24,16l893,992r3,l899,990r123,l1062,940r28,-44l967,896,957,872,940,854,919,842r-26,-4xm566,142r-65,4l436,158r-63,22l314,210r-54,38l213,296r-40,56l142,418r-19,76l116,578r10,98l153,754r41,62l246,862r57,36l362,924r56,18l700,942r29,-24l765,870r12,-30l329,840,289,814,255,774,227,728,207,674r46,l261,668r10,-14l275,636r-4,-18l264,608r-71,l192,598r,-6l192,578r1,-26l195,526r4,-26l204,476r152,l359,472r7,-32l359,406,341,380,314,360r-22,-4l261,356r35,-38l336,284r44,-26l429,240r211,l627,222r225,l843,216,777,184,708,160,637,146r-71,-4xm1152,738r-134,l1010,780r-11,40l985,858r-18,38l1090,896r10,-16l1130,814r22,-72l1152,738xm554,510r-76,12l411,556r-52,54l325,676r-13,76l313,776r4,22l322,820r7,20l777,840r10,-26l795,752,783,676,749,610,697,556,630,522,554,510xm977,578r-16,l925,584r-29,20l877,632r-7,36l877,704r19,28l925,752r35,6l976,758r15,-4l1005,746r13,-8l1152,738r13,-72l1169,598r-151,l1006,590r-14,-6l977,578xm253,674r-46,l213,678r8,2l229,680r18,-2l253,674xm230,590r-11,2l209,596r-9,6l193,608r71,l262,604,247,594r-17,-4xm1040,418r-88,l975,458r19,44l1009,548r9,50l1169,598r1,-10l1094,588r-18,-82l1047,430r-7,-12xm873,76r-296,l655,82r76,16l804,126r68,36l932,208r45,46l1021,314r37,74l1084,476r10,108l1094,588r76,l1170,584r-5,-84l1150,422r-25,-72l1093,286r-39,-58l1008,174,956,130,900,90,873,76xm356,476r-152,l217,496r18,16l256,520r24,4l313,518r28,-18l356,476xm852,222r-225,l677,230r49,16l773,264r45,26l779,302r-31,26l727,362r-7,42l729,450r25,36l791,512r45,8l878,514r36,-22l940,460r12,-42l1040,418r-33,-54l959,306,904,256,852,222xm640,240r-211,l421,254r-5,14l412,284r-1,16l421,348r26,38l486,412r48,10l582,412r39,-26l648,348r10,-46l656,280r-6,-22l640,240xm281,354r-14,l261,356r31,l281,354xe" stroked="f">
                <v:path arrowok="t" o:connecttype="custom" o:connectlocs="459740,9924415;313055,9957435;456565,9949815;647065,9843135;212725,9241155;44450,9392285;3810,9620885;113030,9801225;298450,9858375;444500,9810115;127635,9750425;52070,9520555;170180,9319895;554355,9260205;365760,9211945;518795,9792335;568960,9841865;614045,9780905;359410,9302115;165100,9369425;73660,9578975;192405,9782175;485775,9764395;144145,9674225;174625,9615805;121920,9587865;129540,9514205;216535,9453245;213360,9392285;541020,9352915;359410,9302115;625475,9756775;731520,9683115;227965,9599295;204470,9732645;497205,9641205;620395,9578975;552450,9636125;619760,9693275;739775,9634855;620395,9578975;145415,9643745;132715,9590405;156845,9589135;631190,9530715;694690,9585325;366395,9260205;591820,9344025;694690,9582785;730250,9479915;607060,9294495;137795,9526905;216535,9529445;461010,9368155;461645,9441815;530860,9542145;660400,9477375;406400,9364345;260985,9402445;369570,9473565;412750,9375775;185420,9438005" o:connectangles="0,0,0,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15768576" behindDoc="0" locked="0" layoutInCell="1" allowOverlap="1" wp14:anchorId="63911679" wp14:editId="50180DF3">
                <wp:simplePos x="0" y="0"/>
                <wp:positionH relativeFrom="page">
                  <wp:posOffset>3471545</wp:posOffset>
                </wp:positionH>
                <wp:positionV relativeFrom="page">
                  <wp:posOffset>9286875</wp:posOffset>
                </wp:positionV>
                <wp:extent cx="1641475" cy="64135"/>
                <wp:effectExtent l="0" t="0" r="0" b="0"/>
                <wp:wrapNone/>
                <wp:docPr id="57" name="docshapegroup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1475" cy="64135"/>
                          <a:chOff x="5467" y="14625"/>
                          <a:chExt cx="2585" cy="101"/>
                        </a:xfrm>
                      </wpg:grpSpPr>
                      <pic:pic xmlns:pic="http://schemas.openxmlformats.org/drawingml/2006/picture">
                        <pic:nvPicPr>
                          <pic:cNvPr id="58" name="docshape1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466" y="14624"/>
                            <a:ext cx="2517"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 name="docshape162"/>
                        <wps:cNvSpPr>
                          <a:spLocks/>
                        </wps:cNvSpPr>
                        <wps:spPr bwMode="auto">
                          <a:xfrm>
                            <a:off x="6580" y="14624"/>
                            <a:ext cx="1471" cy="99"/>
                          </a:xfrm>
                          <a:custGeom>
                            <a:avLst/>
                            <a:gdLst>
                              <a:gd name="T0" fmla="+- 0 6612 6581"/>
                              <a:gd name="T1" fmla="*/ T0 w 1471"/>
                              <a:gd name="T2" fmla="+- 0 14625 14625"/>
                              <a:gd name="T3" fmla="*/ 14625 h 99"/>
                              <a:gd name="T4" fmla="+- 0 6581 6581"/>
                              <a:gd name="T5" fmla="*/ T4 w 1471"/>
                              <a:gd name="T6" fmla="+- 0 14625 14625"/>
                              <a:gd name="T7" fmla="*/ 14625 h 99"/>
                              <a:gd name="T8" fmla="+- 0 6581 6581"/>
                              <a:gd name="T9" fmla="*/ T8 w 1471"/>
                              <a:gd name="T10" fmla="+- 0 14638 14625"/>
                              <a:gd name="T11" fmla="*/ 14638 h 99"/>
                              <a:gd name="T12" fmla="+- 0 6612 6581"/>
                              <a:gd name="T13" fmla="*/ T12 w 1471"/>
                              <a:gd name="T14" fmla="+- 0 14638 14625"/>
                              <a:gd name="T15" fmla="*/ 14638 h 99"/>
                              <a:gd name="T16" fmla="+- 0 6612 6581"/>
                              <a:gd name="T17" fmla="*/ T16 w 1471"/>
                              <a:gd name="T18" fmla="+- 0 14625 14625"/>
                              <a:gd name="T19" fmla="*/ 14625 h 99"/>
                              <a:gd name="T20" fmla="+- 0 8052 6581"/>
                              <a:gd name="T21" fmla="*/ T20 w 1471"/>
                              <a:gd name="T22" fmla="+- 0 14649 14625"/>
                              <a:gd name="T23" fmla="*/ 14649 h 99"/>
                              <a:gd name="T24" fmla="+- 0 8008 6581"/>
                              <a:gd name="T25" fmla="*/ T24 w 1471"/>
                              <a:gd name="T26" fmla="+- 0 14649 14625"/>
                              <a:gd name="T27" fmla="*/ 14649 h 99"/>
                              <a:gd name="T28" fmla="+- 0 8008 6581"/>
                              <a:gd name="T29" fmla="*/ T28 w 1471"/>
                              <a:gd name="T30" fmla="+- 0 14660 14625"/>
                              <a:gd name="T31" fmla="*/ 14660 h 99"/>
                              <a:gd name="T32" fmla="+- 0 8012 6581"/>
                              <a:gd name="T33" fmla="*/ T32 w 1471"/>
                              <a:gd name="T34" fmla="+- 0 14661 14625"/>
                              <a:gd name="T35" fmla="*/ 14661 h 99"/>
                              <a:gd name="T36" fmla="+- 0 8017 6581"/>
                              <a:gd name="T37" fmla="*/ T36 w 1471"/>
                              <a:gd name="T38" fmla="+- 0 14662 14625"/>
                              <a:gd name="T39" fmla="*/ 14662 h 99"/>
                              <a:gd name="T40" fmla="+- 0 8021 6581"/>
                              <a:gd name="T41" fmla="*/ T40 w 1471"/>
                              <a:gd name="T42" fmla="+- 0 14662 14625"/>
                              <a:gd name="T43" fmla="*/ 14662 h 99"/>
                              <a:gd name="T44" fmla="+- 0 8021 6581"/>
                              <a:gd name="T45" fmla="*/ T44 w 1471"/>
                              <a:gd name="T46" fmla="+- 0 14711 14625"/>
                              <a:gd name="T47" fmla="*/ 14711 h 99"/>
                              <a:gd name="T48" fmla="+- 0 8017 6581"/>
                              <a:gd name="T49" fmla="*/ T48 w 1471"/>
                              <a:gd name="T50" fmla="+- 0 14711 14625"/>
                              <a:gd name="T51" fmla="*/ 14711 h 99"/>
                              <a:gd name="T52" fmla="+- 0 8012 6581"/>
                              <a:gd name="T53" fmla="*/ T52 w 1471"/>
                              <a:gd name="T54" fmla="+- 0 14712 14625"/>
                              <a:gd name="T55" fmla="*/ 14712 h 99"/>
                              <a:gd name="T56" fmla="+- 0 8008 6581"/>
                              <a:gd name="T57" fmla="*/ T56 w 1471"/>
                              <a:gd name="T58" fmla="+- 0 14713 14625"/>
                              <a:gd name="T59" fmla="*/ 14713 h 99"/>
                              <a:gd name="T60" fmla="+- 0 8008 6581"/>
                              <a:gd name="T61" fmla="*/ T60 w 1471"/>
                              <a:gd name="T62" fmla="+- 0 14724 14625"/>
                              <a:gd name="T63" fmla="*/ 14724 h 99"/>
                              <a:gd name="T64" fmla="+- 0 8052 6581"/>
                              <a:gd name="T65" fmla="*/ T64 w 1471"/>
                              <a:gd name="T66" fmla="+- 0 14724 14625"/>
                              <a:gd name="T67" fmla="*/ 14724 h 99"/>
                              <a:gd name="T68" fmla="+- 0 8052 6581"/>
                              <a:gd name="T69" fmla="*/ T68 w 1471"/>
                              <a:gd name="T70" fmla="+- 0 14713 14625"/>
                              <a:gd name="T71" fmla="*/ 14713 h 99"/>
                              <a:gd name="T72" fmla="+- 0 8048 6581"/>
                              <a:gd name="T73" fmla="*/ T72 w 1471"/>
                              <a:gd name="T74" fmla="+- 0 14712 14625"/>
                              <a:gd name="T75" fmla="*/ 14712 h 99"/>
                              <a:gd name="T76" fmla="+- 0 8043 6581"/>
                              <a:gd name="T77" fmla="*/ T76 w 1471"/>
                              <a:gd name="T78" fmla="+- 0 14711 14625"/>
                              <a:gd name="T79" fmla="*/ 14711 h 99"/>
                              <a:gd name="T80" fmla="+- 0 8039 6581"/>
                              <a:gd name="T81" fmla="*/ T80 w 1471"/>
                              <a:gd name="T82" fmla="+- 0 14711 14625"/>
                              <a:gd name="T83" fmla="*/ 14711 h 99"/>
                              <a:gd name="T84" fmla="+- 0 8039 6581"/>
                              <a:gd name="T85" fmla="*/ T84 w 1471"/>
                              <a:gd name="T86" fmla="+- 0 14662 14625"/>
                              <a:gd name="T87" fmla="*/ 14662 h 99"/>
                              <a:gd name="T88" fmla="+- 0 8043 6581"/>
                              <a:gd name="T89" fmla="*/ T88 w 1471"/>
                              <a:gd name="T90" fmla="+- 0 14662 14625"/>
                              <a:gd name="T91" fmla="*/ 14662 h 99"/>
                              <a:gd name="T92" fmla="+- 0 8048 6581"/>
                              <a:gd name="T93" fmla="*/ T92 w 1471"/>
                              <a:gd name="T94" fmla="+- 0 14661 14625"/>
                              <a:gd name="T95" fmla="*/ 14661 h 99"/>
                              <a:gd name="T96" fmla="+- 0 8052 6581"/>
                              <a:gd name="T97" fmla="*/ T96 w 1471"/>
                              <a:gd name="T98" fmla="+- 0 14660 14625"/>
                              <a:gd name="T99" fmla="*/ 14660 h 99"/>
                              <a:gd name="T100" fmla="+- 0 8052 6581"/>
                              <a:gd name="T101" fmla="*/ T100 w 1471"/>
                              <a:gd name="T102" fmla="+- 0 14649 14625"/>
                              <a:gd name="T103" fmla="*/ 14649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471" h="99">
                                <a:moveTo>
                                  <a:pt x="31" y="0"/>
                                </a:moveTo>
                                <a:lnTo>
                                  <a:pt x="0" y="0"/>
                                </a:lnTo>
                                <a:lnTo>
                                  <a:pt x="0" y="13"/>
                                </a:lnTo>
                                <a:lnTo>
                                  <a:pt x="31" y="13"/>
                                </a:lnTo>
                                <a:lnTo>
                                  <a:pt x="31" y="0"/>
                                </a:lnTo>
                                <a:close/>
                                <a:moveTo>
                                  <a:pt x="1471" y="24"/>
                                </a:moveTo>
                                <a:lnTo>
                                  <a:pt x="1427" y="24"/>
                                </a:lnTo>
                                <a:lnTo>
                                  <a:pt x="1427" y="35"/>
                                </a:lnTo>
                                <a:lnTo>
                                  <a:pt x="1431" y="36"/>
                                </a:lnTo>
                                <a:lnTo>
                                  <a:pt x="1436" y="37"/>
                                </a:lnTo>
                                <a:lnTo>
                                  <a:pt x="1440" y="37"/>
                                </a:lnTo>
                                <a:lnTo>
                                  <a:pt x="1440" y="86"/>
                                </a:lnTo>
                                <a:lnTo>
                                  <a:pt x="1436" y="86"/>
                                </a:lnTo>
                                <a:lnTo>
                                  <a:pt x="1431" y="87"/>
                                </a:lnTo>
                                <a:lnTo>
                                  <a:pt x="1427" y="88"/>
                                </a:lnTo>
                                <a:lnTo>
                                  <a:pt x="1427" y="99"/>
                                </a:lnTo>
                                <a:lnTo>
                                  <a:pt x="1471" y="99"/>
                                </a:lnTo>
                                <a:lnTo>
                                  <a:pt x="1471" y="88"/>
                                </a:lnTo>
                                <a:lnTo>
                                  <a:pt x="1467" y="87"/>
                                </a:lnTo>
                                <a:lnTo>
                                  <a:pt x="1462" y="86"/>
                                </a:lnTo>
                                <a:lnTo>
                                  <a:pt x="1458" y="86"/>
                                </a:lnTo>
                                <a:lnTo>
                                  <a:pt x="1458" y="37"/>
                                </a:lnTo>
                                <a:lnTo>
                                  <a:pt x="1462" y="37"/>
                                </a:lnTo>
                                <a:lnTo>
                                  <a:pt x="1467" y="36"/>
                                </a:lnTo>
                                <a:lnTo>
                                  <a:pt x="1471" y="35"/>
                                </a:lnTo>
                                <a:lnTo>
                                  <a:pt x="1471" y="2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A941A9C" id="docshapegroup160" o:spid="_x0000_s1026" style="position:absolute;margin-left:273.35pt;margin-top:731.25pt;width:129.25pt;height:5.05pt;z-index:15768576;mso-position-horizontal-relative:page;mso-position-vertical-relative:page" coordorigin="5467,14625" coordsize="2585,1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">
                <v:shape id="docshape161" o:spid="_x0000_s1027" type="#_x0000_t75" style="position:absolute;left:5466;top:14624;width:2517;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">
                  <v:imagedata r:id="rId14" o:title=""/>
                </v:shape>
                <v:shape id="docshape162" o:spid="_x0000_s1028" style="position:absolute;left:6580;top:14624;width:1471;height:99;visibility:visible;mso-wrap-style:square;v-text-anchor:top" coordsize="147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" path="m31,l,,,13r31,l31,xm1471,24r-44,l1427,35r4,1l1436,37r4,l1440,86r-4,l1431,87r-4,1l1427,99r44,l1471,88r-4,-1l1462,86r-4,l1458,37r4,l1467,36r4,-1l1471,24xe" stroked="f">
                  <v:path arrowok="t" o:connecttype="custom" o:connectlocs="31,14625;0,14625;0,14638;31,14638;31,14625;1471,14649;1427,14649;1427,14660;1431,14661;1436,14662;1440,14662;1440,14711;1436,14711;1431,14712;1427,14713;1427,14724;1471,14724;1471,14713;1467,14712;1462,14711;1458,14711;1458,14662;1462,14662;1467,14661;1471,14660;1471,14649" o:connectangles="0,0,0,0,0,0,0,0,0,0,0,0,0,0,0,0,0,0,0,0,0,0,0,0,0,0"/>
                </v:shape>
                <w10:wrap anchorx="page" anchory="page"/>
              </v:group>
            </w:pict>
          </mc:Fallback>
        </mc:AlternateContent>
      </w:r>
      <w:r>
        <w:rPr>
          <w:noProof/>
          <w:lang w:val="en-GB" w:eastAsia="en-GB"/>
        </w:rPr>
        <w:drawing>
          <wp:anchor distT="0" distB="0" distL="0" distR="0" simplePos="0" relativeHeight="15769088" behindDoc="0" locked="0" layoutInCell="1" allowOverlap="1" wp14:anchorId="45DC15FE" wp14:editId="27448EA3">
            <wp:simplePos x="0" y="0"/>
            <wp:positionH relativeFrom="page">
              <wp:posOffset>3471830</wp:posOffset>
            </wp:positionH>
            <wp:positionV relativeFrom="page">
              <wp:posOffset>9427598</wp:posOffset>
            </wp:positionV>
            <wp:extent cx="1645159" cy="433387"/>
            <wp:effectExtent l="0" t="0" r="0" b="0"/>
            <wp:wrapNone/>
            <wp:docPr id="29"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png"/>
                    <pic:cNvPicPr/>
                  </pic:nvPicPr>
                  <pic:blipFill>
                    <a:blip r:embed="rId8" cstate="print"/>
                    <a:stretch>
                      <a:fillRect/>
                    </a:stretch>
                  </pic:blipFill>
                  <pic:spPr>
                    <a:xfrm>
                      <a:off x="0" y="0"/>
                      <a:ext cx="1645159" cy="433387"/>
                    </a:xfrm>
                    <a:prstGeom prst="rect">
                      <a:avLst/>
                    </a:prstGeom>
                  </pic:spPr>
                </pic:pic>
              </a:graphicData>
            </a:graphic>
          </wp:anchor>
        </w:drawing>
      </w:r>
    </w:p>
    <w:sectPr w:rsidR="00F10EB3">
      <w:headerReference w:type="default" r:id="rId33"/>
      <w:footerReference w:type="default" r:id="rId34"/>
      <w:pgSz w:w="12250" w:h="17180"/>
      <w:pgMar w:top="1960" w:right="1720" w:bottom="280" w:left="1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4A62F" w14:textId="77777777" w:rsidR="00F33A06" w:rsidRDefault="00F33A06">
      <w:r>
        <w:separator/>
      </w:r>
    </w:p>
  </w:endnote>
  <w:endnote w:type="continuationSeparator" w:id="0">
    <w:p w14:paraId="294E469F" w14:textId="77777777" w:rsidR="00F33A06" w:rsidRDefault="00F33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heSansB W6">
    <w:altName w:val="Cambria"/>
    <w:charset w:val="00"/>
    <w:family w:val="roman"/>
    <w:pitch w:val="variable"/>
  </w:font>
  <w:font w:name="Segoe">
    <w:altName w:val="Segoe UI"/>
    <w:charset w:val="00"/>
    <w:family w:val="auto"/>
    <w:pitch w:val="variable"/>
    <w:sig w:usb0="00000001" w:usb1="00000000" w:usb2="00000000" w:usb3="00000000" w:csb0="0000009B" w:csb1="00000000"/>
  </w:font>
  <w:font w:name="Segoe UI Semibold">
    <w:panose1 w:val="020B0702040204020203"/>
    <w:charset w:val="00"/>
    <w:family w:val="swiss"/>
    <w:pitch w:val="variable"/>
    <w:sig w:usb0="E4002EFF" w:usb1="C000E47F" w:usb2="00000009" w:usb3="00000000" w:csb0="000001FF" w:csb1="00000000"/>
  </w:font>
  <w:font w:name="TheSerifLight-Plain">
    <w:altName w:val="Calibri"/>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heSansB W6 SemiBold">
    <w:altName w:val="Calibri"/>
    <w:panose1 w:val="00000000000000000000"/>
    <w:charset w:val="00"/>
    <w:family w:val="swiss"/>
    <w:notTrueType/>
    <w:pitch w:val="variable"/>
    <w:sig w:usb0="A000006F" w:usb1="5000200A"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BF374" w14:textId="77777777" w:rsidR="00206A1F" w:rsidRDefault="00362886">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12F5C224" wp14:editId="7925959F">
              <wp:simplePos x="0" y="0"/>
              <wp:positionH relativeFrom="page">
                <wp:posOffset>1714500</wp:posOffset>
              </wp:positionH>
              <wp:positionV relativeFrom="page">
                <wp:posOffset>10248900</wp:posOffset>
              </wp:positionV>
              <wp:extent cx="5695950" cy="200025"/>
              <wp:effectExtent l="0" t="0" r="0" b="9525"/>
              <wp:wrapNone/>
              <wp:docPr id="2" name="docshape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ADC090" w14:textId="40058E3C" w:rsidR="00206A1F" w:rsidRDefault="00362886" w:rsidP="00EF2505">
                          <w:pPr>
                            <w:spacing w:before="18"/>
                            <w:ind w:left="20"/>
                            <w:jc w:val="right"/>
                            <w:rPr>
                              <w:sz w:val="16"/>
                            </w:rPr>
                          </w:pPr>
                          <w:r>
                            <w:rPr>
                              <w:color w:val="5B4F42"/>
                              <w:sz w:val="16"/>
                            </w:rPr>
                            <w:t xml:space="preserve">| </w:t>
                          </w:r>
                          <w:r w:rsidR="00EF2505">
                            <w:rPr>
                              <w:color w:val="5B4F42"/>
                              <w:sz w:val="16"/>
                            </w:rPr>
                            <w:t>JUNE</w:t>
                          </w:r>
                          <w:r>
                            <w:rPr>
                              <w:color w:val="5B4F42"/>
                              <w:sz w:val="16"/>
                            </w:rPr>
                            <w:t xml:space="preserve"> 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2F5C224" id="_x0000_t202" coordsize="21600,21600" o:spt="202" path="m,l,21600r21600,l21600,xe">
              <v:stroke joinstyle="miter"/>
              <v:path gradientshapeok="t" o:connecttype="rect"/>
            </v:shapetype>
            <v:shape id="docshape155" o:spid="_x0000_s1026" type="#_x0000_t202" style="position:absolute;margin-left:135pt;margin-top:807pt;width:448.5pt;height:15.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" filled="f" stroked="f">
              <v:textbox inset="0,0,0,0">
                <w:txbxContent>
                  <w:p w14:paraId="08ADC090" w14:textId="40058E3C" w:rsidR="00206A1F" w:rsidRDefault="00362886" w:rsidP="00EF2505">
                    <w:pPr>
                      <w:spacing w:before="18"/>
                      <w:ind w:left="20"/>
                      <w:jc w:val="right"/>
                      <w:rPr>
                        <w:sz w:val="16"/>
                      </w:rPr>
                    </w:pPr>
                    <w:r>
                      <w:rPr>
                        <w:color w:val="5B4F42"/>
                        <w:sz w:val="16"/>
                      </w:rPr>
                      <w:t xml:space="preserve">| </w:t>
                    </w:r>
                    <w:r w:rsidR="00EF2505">
                      <w:rPr>
                        <w:color w:val="5B4F42"/>
                        <w:sz w:val="16"/>
                      </w:rPr>
                      <w:t>JUNE</w:t>
                    </w:r>
                    <w:r>
                      <w:rPr>
                        <w:color w:val="5B4F42"/>
                        <w:sz w:val="16"/>
                      </w:rPr>
                      <w:t xml:space="preserve"> 2023</w:t>
                    </w:r>
                  </w:p>
                </w:txbxContent>
              </v:textbox>
              <w10:wrap anchorx="page" anchory="page"/>
            </v:shape>
          </w:pict>
        </mc:Fallback>
      </mc:AlternateContent>
    </w:r>
    <w:r w:rsidR="00206A1F">
      <w:rPr>
        <w:noProof/>
        <w:lang w:val="en-GB" w:eastAsia="en-GB"/>
      </w:rPr>
      <mc:AlternateContent>
        <mc:Choice Requires="wps">
          <w:drawing>
            <wp:anchor distT="0" distB="0" distL="114300" distR="114300" simplePos="0" relativeHeight="251656704" behindDoc="1" locked="0" layoutInCell="1" allowOverlap="1" wp14:anchorId="31E9FDF5" wp14:editId="78C069F4">
              <wp:simplePos x="0" y="0"/>
              <wp:positionH relativeFrom="page">
                <wp:posOffset>892810</wp:posOffset>
              </wp:positionH>
              <wp:positionV relativeFrom="page">
                <wp:posOffset>10252075</wp:posOffset>
              </wp:positionV>
              <wp:extent cx="477520" cy="159385"/>
              <wp:effectExtent l="0" t="0" r="0" b="0"/>
              <wp:wrapNone/>
              <wp:docPr id="4" name="docshape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BB192" w14:textId="56A2F53C" w:rsidR="00206A1F" w:rsidRDefault="00206A1F">
                          <w:pPr>
                            <w:spacing w:before="18"/>
                            <w:ind w:left="20"/>
                            <w:rPr>
                              <w:sz w:val="16"/>
                            </w:rPr>
                          </w:pPr>
                          <w:r>
                            <w:rPr>
                              <w:color w:val="5B4F42"/>
                              <w:sz w:val="16"/>
                            </w:rPr>
                            <w:t>Page</w:t>
                          </w:r>
                          <w:r>
                            <w:rPr>
                              <w:color w:val="5B4F42"/>
                              <w:spacing w:val="-4"/>
                              <w:sz w:val="16"/>
                            </w:rPr>
                            <w:t xml:space="preserve"> </w:t>
                          </w:r>
                          <w:r>
                            <w:rPr>
                              <w:color w:val="5B4F42"/>
                              <w:spacing w:val="-5"/>
                              <w:sz w:val="16"/>
                            </w:rPr>
                            <w:fldChar w:fldCharType="begin"/>
                          </w:r>
                          <w:r>
                            <w:rPr>
                              <w:color w:val="5B4F42"/>
                              <w:spacing w:val="-5"/>
                              <w:sz w:val="16"/>
                            </w:rPr>
                            <w:instrText xml:space="preserve"> PAGE </w:instrText>
                          </w:r>
                          <w:r>
                            <w:rPr>
                              <w:color w:val="5B4F42"/>
                              <w:spacing w:val="-5"/>
                              <w:sz w:val="16"/>
                            </w:rPr>
                            <w:fldChar w:fldCharType="separate"/>
                          </w:r>
                          <w:r w:rsidR="00AF2F53">
                            <w:rPr>
                              <w:noProof/>
                              <w:color w:val="5B4F42"/>
                              <w:spacing w:val="-5"/>
                              <w:sz w:val="16"/>
                            </w:rPr>
                            <w:t>2</w:t>
                          </w:r>
                          <w:r>
                            <w:rPr>
                              <w:color w:val="5B4F42"/>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9FDF5" id="_x0000_t202" coordsize="21600,21600" o:spt="202" path="m,l,21600r21600,l21600,xe">
              <v:stroke joinstyle="miter"/>
              <v:path gradientshapeok="t" o:connecttype="rect"/>
            </v:shapetype>
            <v:shape id="docshape154" o:spid="_x0000_s1027" type="#_x0000_t202" style="position:absolute;margin-left:70.3pt;margin-top:807.25pt;width:37.6pt;height:12.5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" filled="f" stroked="f">
              <v:textbox inset="0,0,0,0">
                <w:txbxContent>
                  <w:p w14:paraId="62FBB192" w14:textId="56A2F53C" w:rsidR="00206A1F" w:rsidRDefault="00206A1F">
                    <w:pPr>
                      <w:spacing w:before="18"/>
                      <w:ind w:left="20"/>
                      <w:rPr>
                        <w:sz w:val="16"/>
                      </w:rPr>
                    </w:pPr>
                    <w:r>
                      <w:rPr>
                        <w:color w:val="5B4F42"/>
                        <w:sz w:val="16"/>
                      </w:rPr>
                      <w:t>Page</w:t>
                    </w:r>
                    <w:r>
                      <w:rPr>
                        <w:color w:val="5B4F42"/>
                        <w:spacing w:val="-4"/>
                        <w:sz w:val="16"/>
                      </w:rPr>
                      <w:t xml:space="preserve"> </w:t>
                    </w:r>
                    <w:r>
                      <w:rPr>
                        <w:color w:val="5B4F42"/>
                        <w:spacing w:val="-5"/>
                        <w:sz w:val="16"/>
                      </w:rPr>
                      <w:fldChar w:fldCharType="begin"/>
                    </w:r>
                    <w:r>
                      <w:rPr>
                        <w:color w:val="5B4F42"/>
                        <w:spacing w:val="-5"/>
                        <w:sz w:val="16"/>
                      </w:rPr>
                      <w:instrText xml:space="preserve"> PAGE </w:instrText>
                    </w:r>
                    <w:r>
                      <w:rPr>
                        <w:color w:val="5B4F42"/>
                        <w:spacing w:val="-5"/>
                        <w:sz w:val="16"/>
                      </w:rPr>
                      <w:fldChar w:fldCharType="separate"/>
                    </w:r>
                    <w:r w:rsidR="00AF2F53">
                      <w:rPr>
                        <w:noProof/>
                        <w:color w:val="5B4F42"/>
                        <w:spacing w:val="-5"/>
                        <w:sz w:val="16"/>
                      </w:rPr>
                      <w:t>2</w:t>
                    </w:r>
                    <w:r>
                      <w:rPr>
                        <w:color w:val="5B4F42"/>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361B5" w14:textId="77777777" w:rsidR="00206A1F" w:rsidRDefault="00206A1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DC688" w14:textId="77777777" w:rsidR="00F33A06" w:rsidRDefault="00F33A06">
      <w:r>
        <w:separator/>
      </w:r>
    </w:p>
  </w:footnote>
  <w:footnote w:type="continuationSeparator" w:id="0">
    <w:p w14:paraId="2005E204" w14:textId="77777777" w:rsidR="00F33A06" w:rsidRDefault="00F33A06">
      <w:r>
        <w:continuationSeparator/>
      </w:r>
    </w:p>
  </w:footnote>
  <w:footnote w:id="1">
    <w:p w14:paraId="78F9857F" w14:textId="1C58DE57" w:rsidR="00EF2505" w:rsidRPr="004C342B" w:rsidRDefault="00EF2505" w:rsidP="00EF2505">
      <w:pPr>
        <w:pStyle w:val="FootnoteText"/>
        <w:rPr>
          <w:sz w:val="18"/>
          <w:szCs w:val="18"/>
          <w:lang w:val="mi-NZ"/>
        </w:rPr>
      </w:pPr>
      <w:r w:rsidRPr="004C342B">
        <w:rPr>
          <w:rStyle w:val="FootnoteReference"/>
          <w:sz w:val="18"/>
          <w:szCs w:val="18"/>
        </w:rPr>
        <w:footnoteRef/>
      </w:r>
      <w:r w:rsidRPr="004C342B">
        <w:rPr>
          <w:sz w:val="18"/>
          <w:szCs w:val="18"/>
        </w:rPr>
        <w:t xml:space="preserve"> </w:t>
      </w:r>
      <w:hyperlink r:id="rId1" w:history="1">
        <w:r w:rsidRPr="004C342B">
          <w:rPr>
            <w:rStyle w:val="Hyperlink"/>
            <w:rFonts w:cstheme="minorBidi"/>
            <w:sz w:val="18"/>
            <w:szCs w:val="18"/>
            <w:lang w:val="mi-NZ"/>
          </w:rPr>
          <w:t>Crown Entities Act 2004</w:t>
        </w:r>
      </w:hyperlink>
      <w:r w:rsidR="004C342B" w:rsidRPr="004C342B">
        <w:rPr>
          <w:sz w:val="18"/>
          <w:szCs w:val="18"/>
          <w:lang w:val="mi-NZ"/>
        </w:rPr>
        <w:t>.</w:t>
      </w:r>
    </w:p>
  </w:footnote>
  <w:footnote w:id="2">
    <w:p w14:paraId="2DB4194B" w14:textId="7E6ABF49" w:rsidR="00B17DCE" w:rsidRPr="004C342B" w:rsidRDefault="00B17DCE">
      <w:pPr>
        <w:pStyle w:val="FootnoteText"/>
        <w:rPr>
          <w:sz w:val="18"/>
          <w:szCs w:val="18"/>
        </w:rPr>
      </w:pPr>
      <w:r w:rsidRPr="004C342B">
        <w:rPr>
          <w:rStyle w:val="FootnoteReference"/>
          <w:sz w:val="18"/>
          <w:szCs w:val="18"/>
        </w:rPr>
        <w:footnoteRef/>
      </w:r>
      <w:r w:rsidRPr="004C342B">
        <w:rPr>
          <w:sz w:val="18"/>
          <w:szCs w:val="18"/>
        </w:rPr>
        <w:t xml:space="preserve"> Refer to para </w:t>
      </w:r>
      <w:r w:rsidR="00766FAF">
        <w:rPr>
          <w:sz w:val="18"/>
          <w:szCs w:val="18"/>
        </w:rPr>
        <w:t>20</w:t>
      </w:r>
      <w:r w:rsidRPr="004C342B">
        <w:rPr>
          <w:sz w:val="18"/>
          <w:szCs w:val="18"/>
        </w:rPr>
        <w:t xml:space="preserve"> of this report.</w:t>
      </w:r>
    </w:p>
  </w:footnote>
  <w:footnote w:id="3">
    <w:p w14:paraId="17835466" w14:textId="77777777" w:rsidR="00EF2505" w:rsidRPr="004C342B" w:rsidRDefault="00EF2505" w:rsidP="00EF2505">
      <w:pPr>
        <w:pStyle w:val="FootnoteText"/>
        <w:rPr>
          <w:sz w:val="18"/>
          <w:szCs w:val="18"/>
          <w:lang w:val="mi-NZ"/>
        </w:rPr>
      </w:pPr>
      <w:r w:rsidRPr="004C342B">
        <w:rPr>
          <w:rStyle w:val="FootnoteReference"/>
          <w:sz w:val="18"/>
          <w:szCs w:val="18"/>
        </w:rPr>
        <w:footnoteRef/>
      </w:r>
      <w:r w:rsidRPr="004C342B">
        <w:rPr>
          <w:sz w:val="18"/>
          <w:szCs w:val="18"/>
        </w:rPr>
        <w:t xml:space="preserve"> CAT/C/NZL/7.</w:t>
      </w:r>
    </w:p>
  </w:footnote>
  <w:footnote w:id="4">
    <w:p w14:paraId="244978E4" w14:textId="77777777" w:rsidR="00EF2505" w:rsidRPr="004C342B" w:rsidRDefault="00EF2505" w:rsidP="00EF2505">
      <w:pPr>
        <w:pStyle w:val="FootnoteText"/>
        <w:rPr>
          <w:sz w:val="18"/>
          <w:szCs w:val="18"/>
          <w:lang w:val="mi-NZ"/>
        </w:rPr>
      </w:pPr>
      <w:r w:rsidRPr="004C342B">
        <w:rPr>
          <w:rStyle w:val="FootnoteReference"/>
          <w:sz w:val="18"/>
          <w:szCs w:val="18"/>
        </w:rPr>
        <w:footnoteRef/>
      </w:r>
      <w:r w:rsidRPr="004C342B">
        <w:rPr>
          <w:sz w:val="18"/>
          <w:szCs w:val="18"/>
        </w:rPr>
        <w:t xml:space="preserve"> CAT/C/NZL/QPR/7.</w:t>
      </w:r>
    </w:p>
  </w:footnote>
  <w:footnote w:id="5">
    <w:p w14:paraId="31AF8045" w14:textId="4D8EEC15" w:rsidR="00EF2505" w:rsidRPr="00C81EE5" w:rsidRDefault="00EF2505" w:rsidP="00EF2505">
      <w:pPr>
        <w:pStyle w:val="FootnoteText"/>
        <w:rPr>
          <w:lang w:val="mi-NZ"/>
        </w:rPr>
      </w:pPr>
      <w:r w:rsidRPr="004C342B">
        <w:rPr>
          <w:rStyle w:val="FootnoteReference"/>
          <w:sz w:val="18"/>
          <w:szCs w:val="18"/>
        </w:rPr>
        <w:footnoteRef/>
      </w:r>
      <w:r w:rsidRPr="004C342B">
        <w:rPr>
          <w:sz w:val="18"/>
          <w:szCs w:val="18"/>
        </w:rPr>
        <w:t xml:space="preserve"> CAT/C/NZL/7, para 5.</w:t>
      </w:r>
    </w:p>
  </w:footnote>
  <w:footnote w:id="6">
    <w:p w14:paraId="3FEBB3FF" w14:textId="76874439" w:rsidR="00EF2505" w:rsidRPr="008A46DC" w:rsidRDefault="00EF2505" w:rsidP="00EF2505">
      <w:pPr>
        <w:pStyle w:val="FootnoteText"/>
        <w:rPr>
          <w:sz w:val="18"/>
          <w:szCs w:val="18"/>
          <w:lang w:val="mi-NZ"/>
        </w:rPr>
      </w:pPr>
      <w:r w:rsidRPr="008A46DC">
        <w:rPr>
          <w:rStyle w:val="FootnoteReference"/>
          <w:sz w:val="18"/>
          <w:szCs w:val="18"/>
        </w:rPr>
        <w:footnoteRef/>
      </w:r>
      <w:r w:rsidRPr="008A46DC">
        <w:rPr>
          <w:sz w:val="18"/>
          <w:szCs w:val="18"/>
        </w:rPr>
        <w:t xml:space="preserve"> </w:t>
      </w:r>
      <w:r w:rsidRPr="008A46DC">
        <w:rPr>
          <w:sz w:val="18"/>
          <w:szCs w:val="18"/>
          <w:lang w:val="mi-NZ"/>
        </w:rPr>
        <w:t xml:space="preserve">For more details see </w:t>
      </w:r>
      <w:hyperlink r:id="rId2" w:history="1">
        <w:r w:rsidRPr="008A46DC">
          <w:rPr>
            <w:rStyle w:val="Hyperlink"/>
            <w:sz w:val="18"/>
            <w:szCs w:val="18"/>
          </w:rPr>
          <w:t>Meaning of the Treaty | Waitangi Tribunal</w:t>
        </w:r>
      </w:hyperlink>
      <w:r w:rsidRPr="008A46DC">
        <w:rPr>
          <w:rStyle w:val="Hyperlink"/>
          <w:sz w:val="18"/>
          <w:szCs w:val="18"/>
        </w:rPr>
        <w:t>.</w:t>
      </w:r>
    </w:p>
  </w:footnote>
  <w:footnote w:id="7">
    <w:p w14:paraId="50650FD5" w14:textId="3E512AD4" w:rsidR="00EF2505" w:rsidRPr="008A46DC" w:rsidRDefault="00EF2505" w:rsidP="00EF2505">
      <w:pPr>
        <w:pStyle w:val="FootnoteText"/>
        <w:rPr>
          <w:sz w:val="18"/>
          <w:szCs w:val="18"/>
          <w:lang w:val="mi-NZ"/>
        </w:rPr>
      </w:pPr>
      <w:r w:rsidRPr="008A46DC">
        <w:rPr>
          <w:rStyle w:val="FootnoteReference"/>
          <w:sz w:val="18"/>
          <w:szCs w:val="18"/>
        </w:rPr>
        <w:footnoteRef/>
      </w:r>
      <w:r w:rsidRPr="008A46DC">
        <w:rPr>
          <w:sz w:val="18"/>
          <w:szCs w:val="18"/>
        </w:rPr>
        <w:t xml:space="preserve"> Tino rangatiratanga is interpreted as </w:t>
      </w:r>
      <w:r w:rsidRPr="008A46DC">
        <w:rPr>
          <w:i/>
          <w:iCs/>
          <w:sz w:val="18"/>
          <w:szCs w:val="18"/>
        </w:rPr>
        <w:t>“absolute authority, including freedom to be distinct peoples, right to territorial authority, and the right to exercise autonomy and self-government.”</w:t>
      </w:r>
      <w:r w:rsidRPr="008A46DC">
        <w:rPr>
          <w:sz w:val="18"/>
          <w:szCs w:val="18"/>
        </w:rPr>
        <w:t xml:space="preserve"> 2014. </w:t>
      </w:r>
      <w:r w:rsidRPr="008A46DC">
        <w:rPr>
          <w:i/>
          <w:iCs/>
          <w:sz w:val="18"/>
          <w:szCs w:val="18"/>
        </w:rPr>
        <w:t>Whaia te Mana Motuhake Report</w:t>
      </w:r>
      <w:r w:rsidRPr="008A46DC">
        <w:rPr>
          <w:sz w:val="18"/>
          <w:szCs w:val="18"/>
        </w:rPr>
        <w:t xml:space="preserve"> on the Māori Community Development Act Claim, Waitangi Tribunal, page 2.</w:t>
      </w:r>
    </w:p>
  </w:footnote>
  <w:footnote w:id="8">
    <w:p w14:paraId="501D422F" w14:textId="77777777" w:rsidR="00EF2505" w:rsidRPr="008A46DC" w:rsidRDefault="00EF2505" w:rsidP="00EF2505">
      <w:pPr>
        <w:pStyle w:val="FootnoteText"/>
        <w:rPr>
          <w:sz w:val="18"/>
          <w:szCs w:val="18"/>
          <w:lang w:val="mi-NZ"/>
        </w:rPr>
      </w:pPr>
      <w:r w:rsidRPr="008A46DC">
        <w:rPr>
          <w:rStyle w:val="FootnoteReference"/>
          <w:sz w:val="18"/>
          <w:szCs w:val="18"/>
        </w:rPr>
        <w:footnoteRef/>
      </w:r>
      <w:r w:rsidRPr="008A46DC">
        <w:rPr>
          <w:sz w:val="18"/>
          <w:szCs w:val="18"/>
        </w:rPr>
        <w:t xml:space="preserve"> </w:t>
      </w:r>
      <w:r w:rsidRPr="008A46DC">
        <w:rPr>
          <w:sz w:val="18"/>
          <w:szCs w:val="18"/>
          <w:lang w:val="mi-NZ"/>
        </w:rPr>
        <w:t xml:space="preserve">2021. </w:t>
      </w:r>
      <w:r w:rsidRPr="008A46DC">
        <w:rPr>
          <w:i/>
          <w:iCs/>
          <w:sz w:val="18"/>
          <w:szCs w:val="18"/>
        </w:rPr>
        <w:t>He Pāharakeke, he Rito Whakakīkīnga Whāruarua Oranga Tamariki Urgent Inquiry</w:t>
      </w:r>
      <w:r w:rsidRPr="008A46DC">
        <w:rPr>
          <w:sz w:val="18"/>
          <w:szCs w:val="18"/>
        </w:rPr>
        <w:t xml:space="preserve"> (WAI 2915), page 26.</w:t>
      </w:r>
    </w:p>
  </w:footnote>
  <w:footnote w:id="9">
    <w:p w14:paraId="0D80DCD2" w14:textId="4AE4E50D" w:rsidR="00EF2505" w:rsidRPr="008A46DC" w:rsidRDefault="00EF2505" w:rsidP="00EF2505">
      <w:pPr>
        <w:pStyle w:val="FootnoteText"/>
        <w:rPr>
          <w:sz w:val="18"/>
          <w:szCs w:val="18"/>
          <w:lang w:val="mi-NZ"/>
        </w:rPr>
      </w:pPr>
      <w:r w:rsidRPr="008A46DC">
        <w:rPr>
          <w:rStyle w:val="FootnoteReference"/>
          <w:sz w:val="18"/>
          <w:szCs w:val="18"/>
        </w:rPr>
        <w:footnoteRef/>
      </w:r>
      <w:r w:rsidRPr="008A46DC">
        <w:rPr>
          <w:sz w:val="18"/>
          <w:szCs w:val="18"/>
        </w:rPr>
        <w:t xml:space="preserve"> Ibid, pages 35-36. Kāwanatanga describes the Crown’s right to govern the country which is neither absolute, nor exclusive, but includes “power to make law for peace and good order” and to “pursue the policy agenda upon which they were elected to office”.</w:t>
      </w:r>
    </w:p>
  </w:footnote>
  <w:footnote w:id="10">
    <w:p w14:paraId="23A40C4E" w14:textId="4A33FBFD" w:rsidR="00EF2505" w:rsidRPr="008A46DC" w:rsidRDefault="00EF2505" w:rsidP="00EF2505">
      <w:pPr>
        <w:pStyle w:val="FootnoteText"/>
        <w:rPr>
          <w:sz w:val="18"/>
          <w:szCs w:val="18"/>
          <w:lang w:val="mi-NZ"/>
        </w:rPr>
      </w:pPr>
      <w:r w:rsidRPr="008A46DC">
        <w:rPr>
          <w:rStyle w:val="FootnoteReference"/>
          <w:sz w:val="18"/>
          <w:szCs w:val="18"/>
        </w:rPr>
        <w:footnoteRef/>
      </w:r>
      <w:r w:rsidRPr="008A46DC">
        <w:rPr>
          <w:sz w:val="18"/>
          <w:szCs w:val="18"/>
        </w:rPr>
        <w:t xml:space="preserve"> 2014. </w:t>
      </w:r>
      <w:r w:rsidRPr="008A46DC">
        <w:rPr>
          <w:i/>
          <w:iCs/>
          <w:sz w:val="18"/>
          <w:szCs w:val="18"/>
        </w:rPr>
        <w:t>Waitangi Tribunal He Whakaputanga me te Tiriti: Report on stage 1 of the Te Paparahi o te Raki Inquiry</w:t>
      </w:r>
      <w:r w:rsidRPr="008A46DC">
        <w:rPr>
          <w:sz w:val="18"/>
          <w:szCs w:val="18"/>
        </w:rPr>
        <w:t xml:space="preserve"> (Wai 1040), page 529.</w:t>
      </w:r>
    </w:p>
  </w:footnote>
  <w:footnote w:id="11">
    <w:p w14:paraId="6778BFA9" w14:textId="4756F1B3" w:rsidR="00EF2505" w:rsidRPr="00851D70" w:rsidRDefault="00EF2505" w:rsidP="00EF2505">
      <w:pPr>
        <w:pStyle w:val="FootnoteText"/>
        <w:rPr>
          <w:lang w:val="mi-NZ"/>
        </w:rPr>
      </w:pPr>
      <w:r w:rsidRPr="008A46DC">
        <w:rPr>
          <w:rStyle w:val="FootnoteReference"/>
          <w:sz w:val="18"/>
          <w:szCs w:val="18"/>
        </w:rPr>
        <w:footnoteRef/>
      </w:r>
      <w:r w:rsidRPr="008A46DC">
        <w:rPr>
          <w:sz w:val="18"/>
          <w:szCs w:val="18"/>
        </w:rPr>
        <w:t xml:space="preserve"> </w:t>
      </w:r>
      <w:r w:rsidRPr="008A46DC">
        <w:rPr>
          <w:sz w:val="18"/>
          <w:szCs w:val="18"/>
          <w:lang w:val="mi-NZ"/>
        </w:rPr>
        <w:t>Article 3 of Te Tiriti o Waitangi.</w:t>
      </w:r>
    </w:p>
  </w:footnote>
  <w:footnote w:id="12">
    <w:p w14:paraId="0383B39D" w14:textId="10CA568F" w:rsidR="008E133B" w:rsidRPr="009C46B4" w:rsidRDefault="008E133B">
      <w:pPr>
        <w:pStyle w:val="FootnoteText"/>
        <w:rPr>
          <w:sz w:val="18"/>
          <w:szCs w:val="18"/>
          <w:lang w:val="mi-NZ"/>
        </w:rPr>
      </w:pPr>
      <w:r w:rsidRPr="009C46B4">
        <w:rPr>
          <w:rStyle w:val="FootnoteReference"/>
          <w:sz w:val="18"/>
          <w:szCs w:val="18"/>
        </w:rPr>
        <w:footnoteRef/>
      </w:r>
      <w:r w:rsidRPr="009C46B4">
        <w:rPr>
          <w:sz w:val="18"/>
          <w:szCs w:val="18"/>
        </w:rPr>
        <w:t xml:space="preserve"> Refer s 4 of the </w:t>
      </w:r>
      <w:hyperlink r:id="rId3" w:history="1">
        <w:r w:rsidRPr="009C46B4">
          <w:rPr>
            <w:rStyle w:val="Hyperlink"/>
            <w:sz w:val="18"/>
            <w:szCs w:val="18"/>
          </w:rPr>
          <w:t>CYPCA</w:t>
        </w:r>
      </w:hyperlink>
      <w:r w:rsidRPr="009C46B4">
        <w:rPr>
          <w:sz w:val="18"/>
          <w:szCs w:val="18"/>
        </w:rPr>
        <w:t>.</w:t>
      </w:r>
    </w:p>
  </w:footnote>
  <w:footnote w:id="13">
    <w:p w14:paraId="1E5DA07F" w14:textId="603888E6" w:rsidR="00EF2505" w:rsidRPr="007D19C3" w:rsidRDefault="00EF2505" w:rsidP="00EF2505">
      <w:pPr>
        <w:pStyle w:val="FootnoteText"/>
        <w:rPr>
          <w:sz w:val="18"/>
          <w:szCs w:val="18"/>
          <w:lang w:val="mi-NZ"/>
        </w:rPr>
      </w:pPr>
      <w:r w:rsidRPr="009C46B4">
        <w:rPr>
          <w:rStyle w:val="FootnoteReference"/>
          <w:sz w:val="18"/>
          <w:szCs w:val="18"/>
        </w:rPr>
        <w:footnoteRef/>
      </w:r>
      <w:r w:rsidRPr="009C46B4">
        <w:rPr>
          <w:sz w:val="18"/>
          <w:szCs w:val="18"/>
        </w:rPr>
        <w:t xml:space="preserve"> </w:t>
      </w:r>
      <w:r w:rsidRPr="009C46B4">
        <w:rPr>
          <w:sz w:val="18"/>
          <w:szCs w:val="18"/>
          <w:lang w:val="mi-NZ"/>
        </w:rPr>
        <w:t>Refer s</w:t>
      </w:r>
      <w:r w:rsidR="00B17DCE" w:rsidRPr="009C46B4">
        <w:rPr>
          <w:sz w:val="18"/>
          <w:szCs w:val="18"/>
          <w:lang w:val="mi-NZ"/>
        </w:rPr>
        <w:t xml:space="preserve"> </w:t>
      </w:r>
      <w:r w:rsidRPr="009C46B4">
        <w:rPr>
          <w:sz w:val="18"/>
          <w:szCs w:val="18"/>
          <w:lang w:val="mi-NZ"/>
        </w:rPr>
        <w:t xml:space="preserve">6 of the </w:t>
      </w:r>
      <w:hyperlink r:id="rId4" w:history="1">
        <w:r w:rsidR="00065D51" w:rsidRPr="009C46B4">
          <w:rPr>
            <w:rStyle w:val="Hyperlink"/>
            <w:sz w:val="18"/>
            <w:szCs w:val="18"/>
          </w:rPr>
          <w:t>CYPCA</w:t>
        </w:r>
      </w:hyperlink>
      <w:r w:rsidRPr="009C46B4">
        <w:rPr>
          <w:rStyle w:val="Hyperlink"/>
          <w:sz w:val="18"/>
          <w:szCs w:val="18"/>
        </w:rPr>
        <w:t>.</w:t>
      </w:r>
    </w:p>
  </w:footnote>
  <w:footnote w:id="14">
    <w:p w14:paraId="03D3E8C7" w14:textId="33B75085" w:rsidR="00EF2505" w:rsidRPr="00CD0ED0" w:rsidRDefault="00EF2505" w:rsidP="00EF2505">
      <w:pPr>
        <w:pStyle w:val="FootnoteText"/>
        <w:rPr>
          <w:lang w:val="mi-NZ"/>
        </w:rPr>
      </w:pPr>
      <w:r w:rsidRPr="007D19C3">
        <w:rPr>
          <w:rStyle w:val="FootnoteReference"/>
          <w:sz w:val="18"/>
          <w:szCs w:val="18"/>
        </w:rPr>
        <w:footnoteRef/>
      </w:r>
      <w:r w:rsidRPr="007D19C3">
        <w:rPr>
          <w:sz w:val="18"/>
          <w:szCs w:val="18"/>
        </w:rPr>
        <w:t xml:space="preserve"> </w:t>
      </w:r>
      <w:r w:rsidR="00882B45">
        <w:rPr>
          <w:sz w:val="18"/>
          <w:szCs w:val="18"/>
        </w:rPr>
        <w:t xml:space="preserve">Contrary to </w:t>
      </w:r>
      <w:r w:rsidRPr="007D19C3">
        <w:rPr>
          <w:sz w:val="18"/>
          <w:szCs w:val="18"/>
        </w:rPr>
        <w:t>UN Committee on the Rights of the Child (CRC), General Comment No. 2 (2002): The Role of Independent National Human Rights Institutions in the Promotion and Protection of the Rights of the Child, 15 November 2002, CRC/GC/2002/2.</w:t>
      </w:r>
    </w:p>
  </w:footnote>
  <w:footnote w:id="15">
    <w:p w14:paraId="3C515A27" w14:textId="77777777" w:rsidR="004C342B" w:rsidRPr="002F0C44" w:rsidRDefault="004C342B" w:rsidP="004C342B">
      <w:pPr>
        <w:pStyle w:val="FootnoteText"/>
        <w:rPr>
          <w:sz w:val="18"/>
          <w:szCs w:val="18"/>
          <w:lang w:val="mi-NZ"/>
        </w:rPr>
      </w:pPr>
      <w:r w:rsidRPr="002F0C44">
        <w:rPr>
          <w:rStyle w:val="FootnoteReference"/>
          <w:sz w:val="18"/>
          <w:szCs w:val="18"/>
        </w:rPr>
        <w:footnoteRef/>
      </w:r>
      <w:r w:rsidRPr="002F0C44">
        <w:rPr>
          <w:sz w:val="18"/>
          <w:szCs w:val="18"/>
        </w:rPr>
        <w:t xml:space="preserve"> </w:t>
      </w:r>
      <w:hyperlink r:id="rId5" w:history="1">
        <w:r w:rsidRPr="002F0C44">
          <w:rPr>
            <w:rStyle w:val="Hyperlink"/>
            <w:sz w:val="18"/>
            <w:szCs w:val="18"/>
          </w:rPr>
          <w:t>Oranga Tamariki (National Care Standards and Related Matters) Regulations 2018 (LI 2018/111) (as at 01 May 2023) Contents – New Zealand Legislation</w:t>
        </w:r>
      </w:hyperlink>
      <w:r w:rsidRPr="002F0C44">
        <w:rPr>
          <w:rStyle w:val="Hyperlink"/>
          <w:sz w:val="18"/>
          <w:szCs w:val="18"/>
        </w:rPr>
        <w:t>.</w:t>
      </w:r>
    </w:p>
  </w:footnote>
  <w:footnote w:id="16">
    <w:p w14:paraId="5A710ED4" w14:textId="424BDC34" w:rsidR="00D52DFC" w:rsidRPr="00CA6CF3" w:rsidRDefault="00D52DFC" w:rsidP="00D52DFC">
      <w:pPr>
        <w:pStyle w:val="FootnoteText"/>
        <w:rPr>
          <w:lang w:val="mi-NZ"/>
        </w:rPr>
      </w:pPr>
      <w:r w:rsidRPr="00D52DFC">
        <w:rPr>
          <w:rStyle w:val="FootnoteReference"/>
          <w:sz w:val="18"/>
          <w:szCs w:val="18"/>
        </w:rPr>
        <w:footnoteRef/>
      </w:r>
      <w:r w:rsidRPr="00D52DFC">
        <w:rPr>
          <w:sz w:val="18"/>
          <w:szCs w:val="18"/>
        </w:rPr>
        <w:t xml:space="preserve"> The Oranga Tamariki system is the system that is responsible for providing services or support to children, young people, and their families and whānau under, or in connection with, the Oranga Tamariki Act 1989. Refer s9(1) of the </w:t>
      </w:r>
      <w:hyperlink r:id="rId6" w:history="1">
        <w:r w:rsidRPr="00D52DFC">
          <w:rPr>
            <w:rStyle w:val="Hyperlink"/>
            <w:sz w:val="18"/>
            <w:szCs w:val="18"/>
          </w:rPr>
          <w:t>Oversight of Oranga Tamariki System Act 2022</w:t>
        </w:r>
      </w:hyperlink>
      <w:r w:rsidRPr="00D52DFC">
        <w:rPr>
          <w:rStyle w:val="Hyperlink"/>
          <w:sz w:val="18"/>
          <w:szCs w:val="18"/>
        </w:rPr>
        <w:t>.</w:t>
      </w:r>
    </w:p>
  </w:footnote>
  <w:footnote w:id="17">
    <w:p w14:paraId="7395C2C1" w14:textId="77777777" w:rsidR="00EF2505" w:rsidRPr="007D19C3" w:rsidRDefault="00EF2505" w:rsidP="00EF2505">
      <w:pPr>
        <w:pStyle w:val="FootnoteText"/>
        <w:rPr>
          <w:sz w:val="18"/>
          <w:szCs w:val="18"/>
          <w:lang w:val="mi-NZ"/>
        </w:rPr>
      </w:pPr>
      <w:r w:rsidRPr="007D19C3">
        <w:rPr>
          <w:rStyle w:val="FootnoteReference"/>
          <w:sz w:val="18"/>
          <w:szCs w:val="18"/>
        </w:rPr>
        <w:footnoteRef/>
      </w:r>
      <w:r w:rsidRPr="007D19C3">
        <w:rPr>
          <w:sz w:val="18"/>
          <w:szCs w:val="18"/>
        </w:rPr>
        <w:t xml:space="preserve"> CRC/C/NZL/CO/6, para 12(a); CRC/C/NZL/CO/5, para 11(a); CAT/C/NZL/CO/6, para 9; CAT/OP/NZL/1, para 14.</w:t>
      </w:r>
    </w:p>
  </w:footnote>
  <w:footnote w:id="18">
    <w:p w14:paraId="3F5BDC0F" w14:textId="77777777" w:rsidR="00EF2505" w:rsidRPr="007D19C3" w:rsidRDefault="00EF2505" w:rsidP="00EF2505">
      <w:pPr>
        <w:pStyle w:val="FootnoteText"/>
        <w:rPr>
          <w:sz w:val="18"/>
          <w:szCs w:val="18"/>
          <w:lang w:val="mi-NZ"/>
        </w:rPr>
      </w:pPr>
      <w:r w:rsidRPr="007D19C3">
        <w:rPr>
          <w:rStyle w:val="FootnoteReference"/>
          <w:sz w:val="18"/>
          <w:szCs w:val="18"/>
        </w:rPr>
        <w:footnoteRef/>
      </w:r>
      <w:r w:rsidRPr="007D19C3">
        <w:rPr>
          <w:sz w:val="18"/>
          <w:szCs w:val="18"/>
        </w:rPr>
        <w:t xml:space="preserve"> CAT/C/NZL/7, para 296.</w:t>
      </w:r>
    </w:p>
  </w:footnote>
  <w:footnote w:id="19">
    <w:p w14:paraId="5E155A0E" w14:textId="3360915E" w:rsidR="005779C1" w:rsidRDefault="005779C1">
      <w:pPr>
        <w:pStyle w:val="FootnoteText"/>
      </w:pPr>
      <w:r w:rsidRPr="005779C1">
        <w:rPr>
          <w:rStyle w:val="FootnoteReference"/>
          <w:sz w:val="18"/>
          <w:szCs w:val="18"/>
        </w:rPr>
        <w:footnoteRef/>
      </w:r>
      <w:r w:rsidRPr="005779C1">
        <w:rPr>
          <w:sz w:val="18"/>
          <w:szCs w:val="18"/>
        </w:rPr>
        <w:t xml:space="preserve"> </w:t>
      </w:r>
      <w:r>
        <w:rPr>
          <w:sz w:val="18"/>
          <w:szCs w:val="18"/>
        </w:rPr>
        <w:t>Aroturuki Tamariki</w:t>
      </w:r>
      <w:r w:rsidRPr="005779C1">
        <w:rPr>
          <w:sz w:val="18"/>
          <w:szCs w:val="18"/>
        </w:rPr>
        <w:t xml:space="preserve"> was formally established on 1 July 2019 to monitor agency compliance with the Oranga Tamariki (National Care Standards and Related Matters) Regulations 2018.</w:t>
      </w:r>
      <w:r>
        <w:rPr>
          <w:sz w:val="18"/>
          <w:szCs w:val="18"/>
        </w:rPr>
        <w:t xml:space="preserve"> See:</w:t>
      </w:r>
      <w:r w:rsidRPr="005779C1">
        <w:rPr>
          <w:sz w:val="18"/>
          <w:szCs w:val="18"/>
        </w:rPr>
        <w:t xml:space="preserve"> </w:t>
      </w:r>
      <w:hyperlink r:id="rId7" w:history="1">
        <w:r w:rsidRPr="005779C1">
          <w:rPr>
            <w:rStyle w:val="Hyperlink"/>
            <w:sz w:val="18"/>
            <w:szCs w:val="18"/>
          </w:rPr>
          <w:t>Who we are | Aroturuki Tamariki | Independent Children’s Monitor</w:t>
        </w:r>
      </w:hyperlink>
    </w:p>
  </w:footnote>
  <w:footnote w:id="20">
    <w:p w14:paraId="4215F5A1" w14:textId="55CDE24F" w:rsidR="00EF2505" w:rsidRPr="007D19C3" w:rsidRDefault="00EF2505" w:rsidP="00EF2505">
      <w:pPr>
        <w:pStyle w:val="FootnoteText"/>
        <w:rPr>
          <w:sz w:val="18"/>
          <w:szCs w:val="18"/>
          <w:lang w:val="mi-NZ"/>
        </w:rPr>
      </w:pPr>
      <w:r w:rsidRPr="00E0158D">
        <w:rPr>
          <w:rStyle w:val="FootnoteReference"/>
          <w:sz w:val="18"/>
          <w:szCs w:val="18"/>
        </w:rPr>
        <w:footnoteRef/>
      </w:r>
      <w:r w:rsidRPr="00E0158D">
        <w:rPr>
          <w:sz w:val="18"/>
          <w:szCs w:val="18"/>
        </w:rPr>
        <w:t xml:space="preserve"> </w:t>
      </w:r>
      <w:r w:rsidRPr="00E0158D">
        <w:rPr>
          <w:sz w:val="18"/>
          <w:szCs w:val="18"/>
          <w:lang w:val="mi-NZ"/>
        </w:rPr>
        <w:t xml:space="preserve">Contrary to </w:t>
      </w:r>
      <w:r w:rsidRPr="00E0158D">
        <w:rPr>
          <w:sz w:val="18"/>
          <w:szCs w:val="18"/>
        </w:rPr>
        <w:t>General Comment No. 2, the Paris Principles, expressed Cabinet intent, and findings of an independent review</w:t>
      </w:r>
      <w:r w:rsidR="00B17DCE" w:rsidRPr="00E0158D">
        <w:rPr>
          <w:sz w:val="18"/>
          <w:szCs w:val="18"/>
        </w:rPr>
        <w:t xml:space="preserve"> (</w:t>
      </w:r>
      <w:r w:rsidRPr="00E0158D">
        <w:rPr>
          <w:sz w:val="18"/>
          <w:szCs w:val="18"/>
        </w:rPr>
        <w:t xml:space="preserve">2018. Beatie, S. </w:t>
      </w:r>
      <w:r w:rsidRPr="00E0158D">
        <w:rPr>
          <w:i/>
          <w:iCs/>
          <w:sz w:val="18"/>
          <w:szCs w:val="18"/>
        </w:rPr>
        <w:t>Strengthening independent oversight of the Oranga Tamariki system and of children’s issues in New Zealand.</w:t>
      </w:r>
      <w:r w:rsidRPr="00E0158D">
        <w:rPr>
          <w:sz w:val="18"/>
          <w:szCs w:val="18"/>
        </w:rPr>
        <w:t xml:space="preserve"> Ministry of Social Development</w:t>
      </w:r>
      <w:r w:rsidR="00B17DCE" w:rsidRPr="00E0158D">
        <w:rPr>
          <w:sz w:val="18"/>
          <w:szCs w:val="18"/>
        </w:rPr>
        <w:t>).</w:t>
      </w:r>
    </w:p>
  </w:footnote>
  <w:footnote w:id="21">
    <w:p w14:paraId="5AEDD751" w14:textId="1BB85A11" w:rsidR="00065D51" w:rsidRPr="00065D51" w:rsidRDefault="00065D51">
      <w:pPr>
        <w:pStyle w:val="FootnoteText"/>
        <w:rPr>
          <w:sz w:val="18"/>
          <w:szCs w:val="18"/>
          <w:lang w:val="mi-NZ"/>
        </w:rPr>
      </w:pPr>
      <w:r w:rsidRPr="00065D51">
        <w:rPr>
          <w:rStyle w:val="FootnoteReference"/>
          <w:sz w:val="18"/>
          <w:szCs w:val="18"/>
        </w:rPr>
        <w:footnoteRef/>
      </w:r>
      <w:r w:rsidRPr="00065D51">
        <w:rPr>
          <w:sz w:val="18"/>
          <w:szCs w:val="18"/>
        </w:rPr>
        <w:t xml:space="preserve"> </w:t>
      </w:r>
      <w:r w:rsidRPr="00065D51">
        <w:rPr>
          <w:sz w:val="18"/>
          <w:szCs w:val="18"/>
          <w:lang w:val="mi-NZ"/>
        </w:rPr>
        <w:t>Refer s 20(c) of the CYPCA.</w:t>
      </w:r>
    </w:p>
  </w:footnote>
  <w:footnote w:id="22">
    <w:p w14:paraId="10ABD708" w14:textId="77777777" w:rsidR="00021AEB" w:rsidRPr="00065D51" w:rsidRDefault="00021AEB" w:rsidP="00021AEB">
      <w:pPr>
        <w:pStyle w:val="FootnoteText"/>
        <w:rPr>
          <w:sz w:val="18"/>
          <w:szCs w:val="18"/>
          <w:lang w:val="mi-NZ"/>
        </w:rPr>
      </w:pPr>
      <w:r w:rsidRPr="00065D51">
        <w:rPr>
          <w:rStyle w:val="FootnoteReference"/>
          <w:sz w:val="18"/>
          <w:szCs w:val="18"/>
        </w:rPr>
        <w:footnoteRef/>
      </w:r>
      <w:r w:rsidRPr="00065D51">
        <w:rPr>
          <w:sz w:val="18"/>
          <w:szCs w:val="18"/>
        </w:rPr>
        <w:t xml:space="preserve"> </w:t>
      </w:r>
      <w:r w:rsidRPr="00065D51">
        <w:rPr>
          <w:sz w:val="18"/>
          <w:szCs w:val="18"/>
          <w:lang w:val="mi-NZ"/>
        </w:rPr>
        <w:t xml:space="preserve">Refer to s7 of the </w:t>
      </w:r>
      <w:hyperlink r:id="rId8" w:history="1">
        <w:r w:rsidRPr="00065D51">
          <w:rPr>
            <w:rStyle w:val="Hyperlink"/>
            <w:rFonts w:cstheme="minorBidi"/>
            <w:sz w:val="18"/>
            <w:szCs w:val="18"/>
          </w:rPr>
          <w:t>Oversight of Oranga Tamariki System Act 2022</w:t>
        </w:r>
      </w:hyperlink>
      <w:r w:rsidRPr="00065D51">
        <w:rPr>
          <w:rStyle w:val="Hyperlink"/>
          <w:rFonts w:cstheme="minorBidi"/>
          <w:sz w:val="18"/>
          <w:szCs w:val="18"/>
        </w:rPr>
        <w:t>.</w:t>
      </w:r>
    </w:p>
  </w:footnote>
  <w:footnote w:id="23">
    <w:p w14:paraId="7A3DEEF1" w14:textId="77777777" w:rsidR="00021AEB" w:rsidRPr="00065D51" w:rsidRDefault="00021AEB" w:rsidP="00021AEB">
      <w:pPr>
        <w:pStyle w:val="FootnoteText"/>
        <w:rPr>
          <w:sz w:val="18"/>
          <w:szCs w:val="18"/>
          <w:lang w:val="mi-NZ"/>
        </w:rPr>
      </w:pPr>
      <w:r w:rsidRPr="00065D51">
        <w:rPr>
          <w:rStyle w:val="FootnoteReference"/>
          <w:sz w:val="18"/>
          <w:szCs w:val="18"/>
        </w:rPr>
        <w:footnoteRef/>
      </w:r>
      <w:r w:rsidRPr="00065D51">
        <w:rPr>
          <w:sz w:val="18"/>
          <w:szCs w:val="18"/>
        </w:rPr>
        <w:t xml:space="preserve"> </w:t>
      </w:r>
      <w:hyperlink r:id="rId9" w:history="1">
        <w:r w:rsidRPr="00065D51">
          <w:rPr>
            <w:rStyle w:val="Hyperlink"/>
            <w:sz w:val="18"/>
            <w:szCs w:val="18"/>
          </w:rPr>
          <w:t>What the Royal Commission is about | Abuse in Care - Royal Commission of Inquiry</w:t>
        </w:r>
      </w:hyperlink>
      <w:r w:rsidRPr="00065D51">
        <w:rPr>
          <w:rStyle w:val="Hyperlink"/>
          <w:sz w:val="18"/>
          <w:szCs w:val="18"/>
        </w:rPr>
        <w:t>.</w:t>
      </w:r>
    </w:p>
  </w:footnote>
  <w:footnote w:id="24">
    <w:p w14:paraId="776DABAA" w14:textId="77777777" w:rsidR="00EF2505" w:rsidRPr="004F781D" w:rsidRDefault="00EF2505" w:rsidP="00EF2505">
      <w:pPr>
        <w:pStyle w:val="FootnoteText"/>
        <w:rPr>
          <w:lang w:val="mi-NZ"/>
        </w:rPr>
      </w:pPr>
      <w:r w:rsidRPr="00065D51">
        <w:rPr>
          <w:rStyle w:val="FootnoteReference"/>
          <w:sz w:val="18"/>
          <w:szCs w:val="18"/>
        </w:rPr>
        <w:footnoteRef/>
      </w:r>
      <w:r w:rsidRPr="00065D51">
        <w:rPr>
          <w:sz w:val="18"/>
          <w:szCs w:val="18"/>
        </w:rPr>
        <w:t xml:space="preserve"> CRC/C/NZL/CO/6.</w:t>
      </w:r>
    </w:p>
  </w:footnote>
  <w:footnote w:id="25">
    <w:p w14:paraId="455F91FE" w14:textId="77777777" w:rsidR="00EF2505" w:rsidRPr="0047540F" w:rsidRDefault="00EF2505" w:rsidP="00EF2505">
      <w:pPr>
        <w:pStyle w:val="FootnoteText"/>
        <w:rPr>
          <w:sz w:val="18"/>
          <w:szCs w:val="18"/>
          <w:lang w:val="mi-NZ"/>
        </w:rPr>
      </w:pPr>
      <w:r w:rsidRPr="0047540F">
        <w:rPr>
          <w:rStyle w:val="FootnoteReference"/>
          <w:sz w:val="18"/>
          <w:szCs w:val="18"/>
        </w:rPr>
        <w:footnoteRef/>
      </w:r>
      <w:r w:rsidRPr="0047540F">
        <w:rPr>
          <w:sz w:val="18"/>
          <w:szCs w:val="18"/>
        </w:rPr>
        <w:t xml:space="preserve"> </w:t>
      </w:r>
      <w:hyperlink r:id="rId10" w:history="1">
        <w:r w:rsidRPr="0047540F">
          <w:rPr>
            <w:rStyle w:val="Hyperlink"/>
            <w:sz w:val="18"/>
            <w:szCs w:val="18"/>
          </w:rPr>
          <w:t>UN Child Rights Committee publishes findings on Azerbaijan, Bolivia, Ireland, Mauritius, New Zealand, Oman and Sweden | OHCHR</w:t>
        </w:r>
      </w:hyperlink>
      <w:r w:rsidRPr="0047540F">
        <w:rPr>
          <w:rStyle w:val="Hyperlink"/>
          <w:sz w:val="18"/>
          <w:szCs w:val="18"/>
        </w:rPr>
        <w:t>.</w:t>
      </w:r>
    </w:p>
  </w:footnote>
  <w:footnote w:id="26">
    <w:p w14:paraId="7E709336" w14:textId="77777777" w:rsidR="00EF2505" w:rsidRPr="0047540F" w:rsidRDefault="00EF2505" w:rsidP="00EF2505">
      <w:pPr>
        <w:pStyle w:val="FootnoteText"/>
        <w:rPr>
          <w:sz w:val="18"/>
          <w:szCs w:val="18"/>
          <w:lang w:val="mi-NZ"/>
        </w:rPr>
      </w:pPr>
      <w:r w:rsidRPr="0047540F">
        <w:rPr>
          <w:rStyle w:val="FootnoteReference"/>
          <w:sz w:val="18"/>
          <w:szCs w:val="18"/>
        </w:rPr>
        <w:footnoteRef/>
      </w:r>
      <w:r w:rsidRPr="0047540F">
        <w:rPr>
          <w:sz w:val="18"/>
          <w:szCs w:val="18"/>
        </w:rPr>
        <w:t xml:space="preserve"> CRPD/C/NZL/CO/2-3, para 30.</w:t>
      </w:r>
    </w:p>
  </w:footnote>
  <w:footnote w:id="27">
    <w:p w14:paraId="6AC3E784" w14:textId="3474D699" w:rsidR="00695BE7" w:rsidRPr="00021AEB" w:rsidRDefault="00695BE7">
      <w:pPr>
        <w:pStyle w:val="FootnoteText"/>
        <w:rPr>
          <w:lang w:val="mi-NZ"/>
        </w:rPr>
      </w:pPr>
      <w:r w:rsidRPr="00695BE7">
        <w:rPr>
          <w:rStyle w:val="FootnoteReference"/>
          <w:sz w:val="18"/>
          <w:szCs w:val="18"/>
        </w:rPr>
        <w:footnoteRef/>
      </w:r>
      <w:r w:rsidRPr="00695BE7">
        <w:rPr>
          <w:sz w:val="18"/>
          <w:szCs w:val="18"/>
        </w:rPr>
        <w:t xml:space="preserve"> To respond to COVID-19, the New Zealand Government implemented</w:t>
      </w:r>
      <w:r>
        <w:rPr>
          <w:sz w:val="18"/>
          <w:szCs w:val="18"/>
        </w:rPr>
        <w:t xml:space="preserve"> an elimination strategy through</w:t>
      </w:r>
      <w:r w:rsidRPr="00695BE7">
        <w:rPr>
          <w:sz w:val="18"/>
          <w:szCs w:val="18"/>
        </w:rPr>
        <w:t xml:space="preserve"> an ‘Alert Level’ system of public health and social measures to limit the spread of COVID-19. Alert Level 1 was the lowest level and Alert 4 was the highest.</w:t>
      </w:r>
      <w:r>
        <w:rPr>
          <w:sz w:val="18"/>
          <w:szCs w:val="18"/>
        </w:rPr>
        <w:t xml:space="preserve"> </w:t>
      </w:r>
      <w:r w:rsidRPr="00695BE7">
        <w:rPr>
          <w:sz w:val="18"/>
          <w:szCs w:val="18"/>
        </w:rPr>
        <w:t xml:space="preserve">See: </w:t>
      </w:r>
      <w:hyperlink r:id="rId11" w:history="1">
        <w:r w:rsidRPr="00695BE7">
          <w:rPr>
            <w:rStyle w:val="Hyperlink"/>
            <w:sz w:val="18"/>
            <w:szCs w:val="18"/>
          </w:rPr>
          <w:t>History of the COVID-19 Alert System | Unite against COVID-19 (covid19.govt.nz)</w:t>
        </w:r>
      </w:hyperlink>
      <w:r w:rsidRPr="00695BE7">
        <w:rPr>
          <w:sz w:val="18"/>
          <w:szCs w:val="18"/>
        </w:rPr>
        <w:t>.</w:t>
      </w:r>
    </w:p>
  </w:footnote>
  <w:footnote w:id="28">
    <w:p w14:paraId="3FCC8BEF" w14:textId="77777777" w:rsidR="00EF2505" w:rsidRPr="002F2AD5" w:rsidRDefault="00EF2505" w:rsidP="00EF2505">
      <w:pPr>
        <w:pStyle w:val="FootnoteText"/>
        <w:rPr>
          <w:lang w:val="mi-NZ"/>
        </w:rPr>
      </w:pPr>
      <w:r w:rsidRPr="0047540F">
        <w:rPr>
          <w:rStyle w:val="FootnoteReference"/>
          <w:sz w:val="18"/>
          <w:szCs w:val="18"/>
        </w:rPr>
        <w:footnoteRef/>
      </w:r>
      <w:r w:rsidRPr="0047540F">
        <w:rPr>
          <w:sz w:val="18"/>
          <w:szCs w:val="18"/>
        </w:rPr>
        <w:t xml:space="preserve"> </w:t>
      </w:r>
      <w:r w:rsidRPr="0047540F">
        <w:rPr>
          <w:sz w:val="18"/>
          <w:szCs w:val="18"/>
          <w:lang w:val="mi-NZ"/>
        </w:rPr>
        <w:t xml:space="preserve">See 2020/21 </w:t>
      </w:r>
      <w:hyperlink r:id="rId12" w:history="1">
        <w:r w:rsidRPr="0047540F">
          <w:rPr>
            <w:rStyle w:val="Hyperlink"/>
            <w:rFonts w:cstheme="minorBidi"/>
            <w:sz w:val="18"/>
            <w:szCs w:val="18"/>
            <w:lang w:val="mi-NZ"/>
          </w:rPr>
          <w:t xml:space="preserve">Monitoring Places of Detention: </w:t>
        </w:r>
        <w:r w:rsidRPr="0047540F">
          <w:rPr>
            <w:rStyle w:val="Hyperlink"/>
            <w:rFonts w:cstheme="minorBidi"/>
            <w:sz w:val="18"/>
            <w:szCs w:val="18"/>
          </w:rPr>
          <w:t>Annual report of activities under the Optional Protocol to the Convention Against Torture (OPCAT)</w:t>
        </w:r>
      </w:hyperlink>
      <w:r w:rsidRPr="0047540F">
        <w:rPr>
          <w:sz w:val="18"/>
          <w:szCs w:val="18"/>
          <w:lang w:val="mi-NZ"/>
        </w:rPr>
        <w:t>, page 16.</w:t>
      </w:r>
    </w:p>
  </w:footnote>
  <w:footnote w:id="29">
    <w:p w14:paraId="7E6D81EE" w14:textId="7FFF5E38" w:rsidR="0021422A" w:rsidRDefault="0021422A">
      <w:pPr>
        <w:pStyle w:val="FootnoteText"/>
      </w:pPr>
      <w:r w:rsidRPr="0021422A">
        <w:rPr>
          <w:rStyle w:val="FootnoteReference"/>
          <w:sz w:val="18"/>
          <w:szCs w:val="18"/>
        </w:rPr>
        <w:footnoteRef/>
      </w:r>
      <w:r w:rsidRPr="0021422A">
        <w:rPr>
          <w:sz w:val="18"/>
          <w:szCs w:val="18"/>
        </w:rPr>
        <w:t xml:space="preserve"> See 2021. Puketai Care and Protection Residence – COVID Report. </w:t>
      </w:r>
      <w:hyperlink r:id="rId13" w:history="1">
        <w:r w:rsidRPr="0021422A">
          <w:rPr>
            <w:rStyle w:val="Hyperlink"/>
            <w:sz w:val="18"/>
            <w:szCs w:val="18"/>
          </w:rPr>
          <w:t>OPCAT Care and Protection Residences | Office of the Children’s Commissioner (occ.org.nz)</w:t>
        </w:r>
      </w:hyperlink>
    </w:p>
  </w:footnote>
  <w:footnote w:id="30">
    <w:p w14:paraId="5A1690B9" w14:textId="77777777" w:rsidR="002F0C44" w:rsidRPr="002F0C44" w:rsidRDefault="002F0C44" w:rsidP="002F0C44">
      <w:pPr>
        <w:pStyle w:val="FootnoteText"/>
        <w:rPr>
          <w:sz w:val="18"/>
          <w:szCs w:val="18"/>
        </w:rPr>
      </w:pPr>
      <w:r w:rsidRPr="002F0C44">
        <w:rPr>
          <w:rStyle w:val="FootnoteReference"/>
          <w:sz w:val="18"/>
          <w:szCs w:val="18"/>
        </w:rPr>
        <w:footnoteRef/>
      </w:r>
      <w:r w:rsidRPr="002F0C44">
        <w:rPr>
          <w:sz w:val="18"/>
          <w:szCs w:val="18"/>
        </w:rPr>
        <w:t xml:space="preserve"> </w:t>
      </w:r>
      <w:hyperlink r:id="rId14" w:history="1">
        <w:r w:rsidRPr="002F0C44">
          <w:rPr>
            <w:rStyle w:val="Hyperlink"/>
            <w:sz w:val="18"/>
            <w:szCs w:val="18"/>
          </w:rPr>
          <w:t>Child statement of rights | Oranga Tamariki — Ministry for Children</w:t>
        </w:r>
      </w:hyperlink>
    </w:p>
  </w:footnote>
  <w:footnote w:id="31">
    <w:p w14:paraId="6FC37094" w14:textId="1CC8BAB4" w:rsidR="0021422A" w:rsidRPr="002F0C44" w:rsidRDefault="0021422A">
      <w:pPr>
        <w:pStyle w:val="FootnoteText"/>
        <w:rPr>
          <w:sz w:val="18"/>
          <w:szCs w:val="18"/>
        </w:rPr>
      </w:pPr>
      <w:r w:rsidRPr="002F0C44">
        <w:rPr>
          <w:rStyle w:val="FootnoteReference"/>
          <w:sz w:val="18"/>
          <w:szCs w:val="18"/>
        </w:rPr>
        <w:footnoteRef/>
      </w:r>
      <w:r w:rsidRPr="002F0C44">
        <w:rPr>
          <w:sz w:val="18"/>
          <w:szCs w:val="18"/>
        </w:rPr>
        <w:t xml:space="preserve"> </w:t>
      </w:r>
      <w:hyperlink r:id="rId15" w:history="1">
        <w:r w:rsidRPr="002F0C44">
          <w:rPr>
            <w:rStyle w:val="Hyperlink"/>
            <w:sz w:val="18"/>
            <w:szCs w:val="18"/>
          </w:rPr>
          <w:t>OPCAT Care and Protection Residences | Office of the Children’s Commissioner (occ.org.nz)</w:t>
        </w:r>
      </w:hyperlink>
      <w:r w:rsidRPr="002F0C44">
        <w:rPr>
          <w:sz w:val="18"/>
          <w:szCs w:val="18"/>
        </w:rPr>
        <w:t xml:space="preserve">; </w:t>
      </w:r>
      <w:hyperlink r:id="rId16" w:history="1">
        <w:r w:rsidRPr="002F0C44">
          <w:rPr>
            <w:rStyle w:val="Hyperlink"/>
            <w:sz w:val="18"/>
            <w:szCs w:val="18"/>
          </w:rPr>
          <w:t>OPCAT Youth Justice Residences | Office of the Children’s Commissioner (occ.org.nz)</w:t>
        </w:r>
      </w:hyperlink>
      <w:r w:rsidRPr="002F0C44">
        <w:rPr>
          <w:sz w:val="18"/>
          <w:szCs w:val="18"/>
        </w:rPr>
        <w:t>.</w:t>
      </w:r>
    </w:p>
  </w:footnote>
  <w:footnote w:id="32">
    <w:p w14:paraId="556FF8BC" w14:textId="235010EA" w:rsidR="005779C1" w:rsidRDefault="005779C1">
      <w:pPr>
        <w:pStyle w:val="FootnoteText"/>
      </w:pPr>
      <w:r w:rsidRPr="005779C1">
        <w:rPr>
          <w:rStyle w:val="FootnoteReference"/>
          <w:sz w:val="18"/>
          <w:szCs w:val="18"/>
        </w:rPr>
        <w:footnoteRef/>
      </w:r>
      <w:r w:rsidRPr="005779C1">
        <w:rPr>
          <w:sz w:val="18"/>
          <w:szCs w:val="18"/>
        </w:rPr>
        <w:t xml:space="preserve"> </w:t>
      </w:r>
      <w:r w:rsidRPr="005779C1">
        <w:rPr>
          <w:sz w:val="18"/>
          <w:szCs w:val="18"/>
          <w:lang w:val="en-AU"/>
        </w:rPr>
        <w:t>Aroturuki Tamariki, the Ombudsman, and the Commission.</w:t>
      </w:r>
    </w:p>
  </w:footnote>
  <w:footnote w:id="33">
    <w:p w14:paraId="22A46F58" w14:textId="77777777" w:rsidR="00EF2505" w:rsidRPr="002F0C44" w:rsidRDefault="00EF2505" w:rsidP="00EF2505">
      <w:pPr>
        <w:pStyle w:val="FootnoteText"/>
        <w:rPr>
          <w:sz w:val="18"/>
          <w:szCs w:val="18"/>
          <w:lang w:val="mi-NZ"/>
        </w:rPr>
      </w:pPr>
      <w:r w:rsidRPr="002F0C44">
        <w:rPr>
          <w:rStyle w:val="FootnoteReference"/>
          <w:sz w:val="18"/>
          <w:szCs w:val="18"/>
        </w:rPr>
        <w:footnoteRef/>
      </w:r>
      <w:r w:rsidRPr="002F0C44">
        <w:rPr>
          <w:sz w:val="18"/>
          <w:szCs w:val="18"/>
        </w:rPr>
        <w:t xml:space="preserve"> Oranga Tamariki contracts Barnardos, a non-government organisation, to provide secure care and specialist therapeutic treatment for a small number of mokopuna with diagnosed harmful sexual behaviours.</w:t>
      </w:r>
    </w:p>
  </w:footnote>
  <w:footnote w:id="34">
    <w:p w14:paraId="19503DDD" w14:textId="77777777" w:rsidR="00EF2505" w:rsidRPr="002F0C44" w:rsidRDefault="00EF2505" w:rsidP="00EF2505">
      <w:pPr>
        <w:pStyle w:val="FootnoteText"/>
        <w:rPr>
          <w:sz w:val="18"/>
          <w:szCs w:val="18"/>
          <w:lang w:val="mi-NZ"/>
        </w:rPr>
      </w:pPr>
      <w:r w:rsidRPr="002F0C44">
        <w:rPr>
          <w:rStyle w:val="FootnoteReference"/>
          <w:sz w:val="18"/>
          <w:szCs w:val="18"/>
        </w:rPr>
        <w:footnoteRef/>
      </w:r>
      <w:r w:rsidRPr="002F0C44">
        <w:rPr>
          <w:sz w:val="18"/>
          <w:szCs w:val="18"/>
        </w:rPr>
        <w:t xml:space="preserve"> </w:t>
      </w:r>
      <w:hyperlink r:id="rId17" w:history="1">
        <w:r w:rsidRPr="002F0C44">
          <w:rPr>
            <w:rStyle w:val="Hyperlink"/>
            <w:sz w:val="18"/>
            <w:szCs w:val="18"/>
          </w:rPr>
          <w:t>Designation of National Preventive Mechanisms - 2020-go2845 - New Zealand Gazette</w:t>
        </w:r>
      </w:hyperlink>
      <w:r w:rsidRPr="002F0C44">
        <w:rPr>
          <w:rStyle w:val="Hyperlink"/>
          <w:sz w:val="18"/>
          <w:szCs w:val="18"/>
        </w:rPr>
        <w:t>.</w:t>
      </w:r>
    </w:p>
  </w:footnote>
  <w:footnote w:id="35">
    <w:p w14:paraId="36621849" w14:textId="77777777" w:rsidR="00EF2505" w:rsidRPr="002F0C44" w:rsidRDefault="00EF2505" w:rsidP="00EF2505">
      <w:pPr>
        <w:pStyle w:val="FootnoteText"/>
        <w:rPr>
          <w:sz w:val="18"/>
          <w:szCs w:val="18"/>
          <w:lang w:val="mi-NZ"/>
        </w:rPr>
      </w:pPr>
      <w:r w:rsidRPr="002F0C44">
        <w:rPr>
          <w:rStyle w:val="FootnoteReference"/>
          <w:sz w:val="18"/>
          <w:szCs w:val="18"/>
        </w:rPr>
        <w:footnoteRef/>
      </w:r>
      <w:r w:rsidRPr="002F0C44">
        <w:rPr>
          <w:sz w:val="18"/>
          <w:szCs w:val="18"/>
        </w:rPr>
        <w:t xml:space="preserve"> </w:t>
      </w:r>
      <w:r w:rsidRPr="002F0C44">
        <w:rPr>
          <w:sz w:val="18"/>
          <w:szCs w:val="18"/>
          <w:lang w:val="mi-NZ"/>
        </w:rPr>
        <w:t>Five visits were unannounced while seven were unannounced. For youth justice remand homes that the OCC had yet to visit, it was agreed with all stakeholders that the Team would announce its first visits before putting the facilities into its regular unannounced schedule.</w:t>
      </w:r>
    </w:p>
  </w:footnote>
  <w:footnote w:id="36">
    <w:p w14:paraId="61E00E7B" w14:textId="79F45F85" w:rsidR="00942F4B" w:rsidRDefault="00942F4B">
      <w:pPr>
        <w:pStyle w:val="FootnoteText"/>
      </w:pPr>
      <w:r w:rsidRPr="00942F4B">
        <w:rPr>
          <w:rStyle w:val="FootnoteReference"/>
          <w:sz w:val="18"/>
          <w:szCs w:val="18"/>
        </w:rPr>
        <w:footnoteRef/>
      </w:r>
      <w:r w:rsidRPr="00942F4B">
        <w:rPr>
          <w:sz w:val="18"/>
          <w:szCs w:val="18"/>
        </w:rPr>
        <w:t xml:space="preserve"> S</w:t>
      </w:r>
      <w:r w:rsidRPr="0021422A">
        <w:rPr>
          <w:sz w:val="18"/>
          <w:szCs w:val="18"/>
        </w:rPr>
        <w:t xml:space="preserve">ee 2021. Puketai Care and Protection Residence – COVID Report. </w:t>
      </w:r>
      <w:hyperlink r:id="rId18" w:history="1">
        <w:r w:rsidRPr="0021422A">
          <w:rPr>
            <w:rStyle w:val="Hyperlink"/>
            <w:sz w:val="18"/>
            <w:szCs w:val="18"/>
          </w:rPr>
          <w:t>OPCAT Care and Protection Residences | Office of the Children’s Commissioner (occ.org.nz)</w:t>
        </w:r>
      </w:hyperlink>
    </w:p>
  </w:footnote>
  <w:footnote w:id="37">
    <w:p w14:paraId="6C4A698E" w14:textId="77777777" w:rsidR="00EF2505" w:rsidRPr="0047540F" w:rsidRDefault="00EF2505" w:rsidP="00EF2505">
      <w:pPr>
        <w:pStyle w:val="FootnoteText"/>
        <w:rPr>
          <w:sz w:val="18"/>
          <w:szCs w:val="18"/>
          <w:lang w:val="mi-NZ"/>
        </w:rPr>
      </w:pPr>
      <w:r w:rsidRPr="002F0C44">
        <w:rPr>
          <w:rStyle w:val="FootnoteReference"/>
          <w:sz w:val="18"/>
          <w:szCs w:val="18"/>
        </w:rPr>
        <w:footnoteRef/>
      </w:r>
      <w:r w:rsidRPr="002F0C44">
        <w:rPr>
          <w:sz w:val="18"/>
          <w:szCs w:val="18"/>
        </w:rPr>
        <w:t xml:space="preserve"> </w:t>
      </w:r>
      <w:hyperlink r:id="rId19" w:history="1">
        <w:r w:rsidRPr="002F0C44">
          <w:rPr>
            <w:rStyle w:val="Hyperlink"/>
            <w:sz w:val="18"/>
            <w:szCs w:val="18"/>
          </w:rPr>
          <w:t>Monitoring Places of Detention (tikatangata.org.nz)</w:t>
        </w:r>
      </w:hyperlink>
      <w:r w:rsidRPr="002F0C44">
        <w:rPr>
          <w:rStyle w:val="Hyperlink"/>
          <w:sz w:val="18"/>
          <w:szCs w:val="18"/>
        </w:rPr>
        <w:t>.</w:t>
      </w:r>
    </w:p>
  </w:footnote>
  <w:footnote w:id="38">
    <w:p w14:paraId="7DC05FE6" w14:textId="77777777" w:rsidR="00EF2505" w:rsidRPr="0047540F" w:rsidRDefault="00EF2505" w:rsidP="00EF2505">
      <w:pPr>
        <w:pStyle w:val="FootnoteText"/>
        <w:rPr>
          <w:sz w:val="18"/>
          <w:szCs w:val="18"/>
        </w:rPr>
      </w:pPr>
      <w:r w:rsidRPr="0047540F">
        <w:rPr>
          <w:rStyle w:val="FootnoteReference"/>
          <w:sz w:val="18"/>
          <w:szCs w:val="18"/>
        </w:rPr>
        <w:footnoteRef/>
      </w:r>
      <w:r w:rsidRPr="0047540F">
        <w:rPr>
          <w:sz w:val="18"/>
          <w:szCs w:val="18"/>
        </w:rPr>
        <w:t xml:space="preserve"> Refer to </w:t>
      </w:r>
      <w:hyperlink r:id="rId20" w:history="1">
        <w:r w:rsidRPr="0047540F">
          <w:rPr>
            <w:rStyle w:val="Hyperlink"/>
            <w:sz w:val="18"/>
            <w:szCs w:val="18"/>
          </w:rPr>
          <w:t>State of Care 2015: What we learnt from monitoring Child, Youth and Family | Office of the Children’s Commissioner (childrenandyoungpeople.org.nz)</w:t>
        </w:r>
      </w:hyperlink>
      <w:r w:rsidRPr="0047540F">
        <w:rPr>
          <w:sz w:val="18"/>
          <w:szCs w:val="18"/>
        </w:rPr>
        <w:t xml:space="preserve"> ; </w:t>
      </w:r>
      <w:hyperlink r:id="rId21" w:history="1">
        <w:r w:rsidRPr="0047540F">
          <w:rPr>
            <w:rStyle w:val="Hyperlink"/>
            <w:sz w:val="18"/>
            <w:szCs w:val="18"/>
          </w:rPr>
          <w:t>State of Care 2016: What we learnt from monitoring Child, Youth and Family | Office of the Children’s Commissioner (childrenandyoungpeople.org.nz)</w:t>
        </w:r>
      </w:hyperlink>
      <w:r w:rsidRPr="0047540F">
        <w:rPr>
          <w:sz w:val="18"/>
          <w:szCs w:val="18"/>
        </w:rPr>
        <w:t xml:space="preserve"> ; </w:t>
      </w:r>
      <w:hyperlink r:id="rId22" w:history="1">
        <w:r w:rsidRPr="0047540F">
          <w:rPr>
            <w:rStyle w:val="Hyperlink"/>
            <w:sz w:val="18"/>
            <w:szCs w:val="18"/>
          </w:rPr>
          <w:t>State of Care 2017: A focus on Oranga Tamariki's secure residences | Office of the Children’s Commissioner (childrenandyoungpeople.org.nz)</w:t>
        </w:r>
      </w:hyperlink>
      <w:r w:rsidRPr="0047540F">
        <w:rPr>
          <w:sz w:val="18"/>
          <w:szCs w:val="18"/>
        </w:rPr>
        <w:t xml:space="preserve"> ; </w:t>
      </w:r>
      <w:hyperlink r:id="rId23" w:history="1">
        <w:r w:rsidRPr="0047540F">
          <w:rPr>
            <w:rStyle w:val="Hyperlink"/>
            <w:sz w:val="18"/>
            <w:szCs w:val="18"/>
          </w:rPr>
          <w:t>State of Care 2018: Maiea te Tūruapō - Fulfilling the Vision | Office of the Children’s Commissioner (childrenandyoungpeople.org.nz)</w:t>
        </w:r>
      </w:hyperlink>
      <w:r w:rsidRPr="0047540F">
        <w:rPr>
          <w:sz w:val="18"/>
          <w:szCs w:val="18"/>
        </w:rPr>
        <w:t xml:space="preserve"> ; </w:t>
      </w:r>
      <w:hyperlink r:id="rId24" w:history="1">
        <w:r w:rsidRPr="0047540F">
          <w:rPr>
            <w:rStyle w:val="Hyperlink"/>
            <w:sz w:val="18"/>
            <w:szCs w:val="18"/>
          </w:rPr>
          <w:t>State of Care: Supporting young people on remand to live successfully in the community | Office of the Children’s Commissioner (childrenandyoungpeople.org.nz)</w:t>
        </w:r>
      </w:hyperlink>
      <w:r w:rsidRPr="0047540F">
        <w:rPr>
          <w:sz w:val="18"/>
          <w:szCs w:val="18"/>
        </w:rPr>
        <w:t xml:space="preserve"> ; </w:t>
      </w:r>
      <w:hyperlink r:id="rId25" w:history="1">
        <w:r w:rsidRPr="0047540F">
          <w:rPr>
            <w:rStyle w:val="Hyperlink"/>
            <w:sz w:val="18"/>
            <w:szCs w:val="18"/>
          </w:rPr>
          <w:t>State of Care: Children with Offending Behaviour | Office of the Children’s Commissioner (childrenandyoungpeople.org.nz)</w:t>
        </w:r>
      </w:hyperlink>
    </w:p>
  </w:footnote>
  <w:footnote w:id="39">
    <w:p w14:paraId="6F7893C5" w14:textId="77777777" w:rsidR="00BB2037" w:rsidRPr="0047540F" w:rsidRDefault="00BB2037" w:rsidP="00BB2037">
      <w:pPr>
        <w:pStyle w:val="FootnoteText"/>
        <w:rPr>
          <w:sz w:val="18"/>
          <w:szCs w:val="18"/>
          <w:lang w:val="es-MX"/>
        </w:rPr>
      </w:pPr>
      <w:r w:rsidRPr="0047540F">
        <w:rPr>
          <w:rStyle w:val="FootnoteReference"/>
          <w:sz w:val="18"/>
          <w:szCs w:val="18"/>
        </w:rPr>
        <w:footnoteRef/>
      </w:r>
      <w:r w:rsidRPr="0047540F">
        <w:rPr>
          <w:sz w:val="18"/>
          <w:szCs w:val="18"/>
          <w:lang w:val="es-MX"/>
        </w:rPr>
        <w:t xml:space="preserve"> CAT/OP/NZL/ 1, paras 12-15.</w:t>
      </w:r>
    </w:p>
  </w:footnote>
  <w:footnote w:id="40">
    <w:p w14:paraId="7FC9EB6B" w14:textId="77777777" w:rsidR="00BB2037" w:rsidRPr="0047540F" w:rsidRDefault="00BB2037" w:rsidP="00BB2037">
      <w:pPr>
        <w:pStyle w:val="FootnoteText"/>
        <w:rPr>
          <w:i/>
          <w:iCs/>
          <w:sz w:val="18"/>
          <w:szCs w:val="18"/>
          <w:lang w:val="mi-NZ"/>
        </w:rPr>
      </w:pPr>
      <w:r w:rsidRPr="0047540F">
        <w:rPr>
          <w:rStyle w:val="FootnoteReference"/>
          <w:sz w:val="18"/>
          <w:szCs w:val="18"/>
        </w:rPr>
        <w:footnoteRef/>
      </w:r>
      <w:r w:rsidRPr="0047540F">
        <w:rPr>
          <w:sz w:val="18"/>
          <w:szCs w:val="18"/>
        </w:rPr>
        <w:t xml:space="preserve"> In their 2013 report, the SPT also stated: </w:t>
      </w:r>
      <w:r w:rsidRPr="0047540F">
        <w:rPr>
          <w:i/>
          <w:iCs/>
          <w:sz w:val="18"/>
          <w:szCs w:val="18"/>
        </w:rPr>
        <w:t>“… the Children’s Commissioner and IPCA [Independent Police</w:t>
      </w:r>
      <w:r w:rsidRPr="002A65F7">
        <w:rPr>
          <w:i/>
          <w:iCs/>
        </w:rPr>
        <w:t xml:space="preserve"> </w:t>
      </w:r>
      <w:r w:rsidRPr="0047540F">
        <w:rPr>
          <w:i/>
          <w:iCs/>
          <w:sz w:val="18"/>
          <w:szCs w:val="18"/>
        </w:rPr>
        <w:t>Conduct Authority] reported that their funding was earmarked for statutory functions, which excluded NPM-related work. In this regard, the SPT was concerned to learn that the OPCAT mandate - an international obligation - was not considered by the State party to be a ‘core function’ of the bodies designated as the NPM.</w:t>
      </w:r>
      <w:r w:rsidRPr="0047540F">
        <w:rPr>
          <w:sz w:val="18"/>
          <w:szCs w:val="18"/>
        </w:rPr>
        <w:t xml:space="preserve"> </w:t>
      </w:r>
      <w:r w:rsidRPr="0047540F">
        <w:rPr>
          <w:i/>
          <w:iCs/>
          <w:sz w:val="18"/>
          <w:szCs w:val="18"/>
        </w:rPr>
        <w:t>The SPT is also concerned that inadequate funding might be used – or might be perceived by the bodies themselves as being used - to pressurize components of the NPM to sacrifice their OPCAT related work in favour of other functions. Should the current lack of human and financial resources available to the NPM not be remedied without delay, the State party will inevitably find itself in the breach of its OPCAT obligations.”</w:t>
      </w:r>
    </w:p>
  </w:footnote>
  <w:footnote w:id="41">
    <w:p w14:paraId="75A7A165" w14:textId="77777777" w:rsidR="00BB2037" w:rsidRPr="0047540F" w:rsidRDefault="00BB2037" w:rsidP="00BB2037">
      <w:pPr>
        <w:pStyle w:val="FootnoteText"/>
        <w:rPr>
          <w:sz w:val="18"/>
          <w:szCs w:val="18"/>
          <w:lang w:val="mi-NZ"/>
        </w:rPr>
      </w:pPr>
      <w:r w:rsidRPr="0047540F">
        <w:rPr>
          <w:rStyle w:val="FootnoteReference"/>
          <w:sz w:val="18"/>
          <w:szCs w:val="18"/>
        </w:rPr>
        <w:footnoteRef/>
      </w:r>
      <w:r w:rsidRPr="0047540F">
        <w:rPr>
          <w:sz w:val="18"/>
          <w:szCs w:val="18"/>
        </w:rPr>
        <w:t xml:space="preserve"> CAT/OP/12/5.</w:t>
      </w:r>
    </w:p>
  </w:footnote>
  <w:footnote w:id="42">
    <w:p w14:paraId="582BE95F" w14:textId="77777777" w:rsidR="00EF2505" w:rsidRPr="0047540F" w:rsidRDefault="00EF2505" w:rsidP="00EF2505">
      <w:pPr>
        <w:pStyle w:val="FootnoteText"/>
        <w:rPr>
          <w:sz w:val="18"/>
          <w:szCs w:val="18"/>
        </w:rPr>
      </w:pPr>
      <w:r w:rsidRPr="0047540F">
        <w:rPr>
          <w:rStyle w:val="FootnoteReference"/>
          <w:sz w:val="18"/>
          <w:szCs w:val="18"/>
        </w:rPr>
        <w:footnoteRef/>
      </w:r>
      <w:r w:rsidRPr="0047540F">
        <w:rPr>
          <w:sz w:val="18"/>
          <w:szCs w:val="18"/>
        </w:rPr>
        <w:t xml:space="preserve"> Since 2019, the OCC has received an additional 24</w:t>
      </w:r>
      <w:r w:rsidRPr="0047540F">
        <w:rPr>
          <w:rStyle w:val="FootnoteReference"/>
          <w:sz w:val="18"/>
          <w:szCs w:val="18"/>
        </w:rPr>
        <w:t xml:space="preserve"> </w:t>
      </w:r>
      <w:r w:rsidRPr="0047540F">
        <w:rPr>
          <w:sz w:val="18"/>
          <w:szCs w:val="18"/>
        </w:rPr>
        <w:t>places of detention to monitor, including remand homes and mental health units.</w:t>
      </w:r>
    </w:p>
  </w:footnote>
  <w:footnote w:id="43">
    <w:p w14:paraId="131F116B" w14:textId="77777777" w:rsidR="000A46B2" w:rsidRPr="0047540F" w:rsidRDefault="000A46B2" w:rsidP="000A46B2">
      <w:pPr>
        <w:pStyle w:val="FootnoteText"/>
        <w:rPr>
          <w:sz w:val="18"/>
          <w:szCs w:val="18"/>
          <w:lang w:val="mi-NZ"/>
        </w:rPr>
      </w:pPr>
      <w:r w:rsidRPr="0047540F">
        <w:rPr>
          <w:rStyle w:val="FootnoteReference"/>
          <w:sz w:val="18"/>
          <w:szCs w:val="18"/>
        </w:rPr>
        <w:footnoteRef/>
      </w:r>
      <w:r w:rsidRPr="0047540F">
        <w:rPr>
          <w:sz w:val="18"/>
          <w:szCs w:val="18"/>
        </w:rPr>
        <w:t xml:space="preserve"> </w:t>
      </w:r>
      <w:r w:rsidRPr="0047540F">
        <w:rPr>
          <w:sz w:val="18"/>
          <w:szCs w:val="18"/>
          <w:lang w:val="mi-NZ"/>
        </w:rPr>
        <w:t xml:space="preserve">2023. New Zealand Government. Refer page 114. </w:t>
      </w:r>
      <w:hyperlink r:id="rId26" w:history="1">
        <w:r w:rsidRPr="0047540F">
          <w:rPr>
            <w:rStyle w:val="Hyperlink"/>
            <w:sz w:val="18"/>
            <w:szCs w:val="18"/>
          </w:rPr>
          <w:t>B2 Wellbeing Budget 2023 - Support for Today, Building for Tomorrow - 18 May 2023</w:t>
        </w:r>
      </w:hyperlink>
      <w:r w:rsidRPr="0047540F">
        <w:rPr>
          <w:rStyle w:val="Hyperlink"/>
          <w:sz w:val="18"/>
          <w:szCs w:val="18"/>
        </w:rPr>
        <w:t>.</w:t>
      </w:r>
    </w:p>
  </w:footnote>
  <w:footnote w:id="44">
    <w:p w14:paraId="0E84AE28" w14:textId="77777777" w:rsidR="00EF2505" w:rsidRPr="004A7615" w:rsidRDefault="00EF2505" w:rsidP="00EF2505">
      <w:pPr>
        <w:pStyle w:val="FootnoteText"/>
        <w:rPr>
          <w:sz w:val="18"/>
          <w:szCs w:val="18"/>
          <w:lang w:val="mi-NZ"/>
        </w:rPr>
      </w:pPr>
      <w:r w:rsidRPr="004A7615">
        <w:rPr>
          <w:rStyle w:val="FootnoteReference"/>
          <w:sz w:val="18"/>
          <w:szCs w:val="18"/>
        </w:rPr>
        <w:footnoteRef/>
      </w:r>
      <w:r w:rsidRPr="004A7615">
        <w:rPr>
          <w:sz w:val="18"/>
          <w:szCs w:val="18"/>
        </w:rPr>
        <w:t xml:space="preserve"> </w:t>
      </w:r>
      <w:hyperlink r:id="rId27" w:history="1">
        <w:r w:rsidRPr="004A7615">
          <w:rPr>
            <w:rStyle w:val="Hyperlink"/>
            <w:sz w:val="18"/>
            <w:szCs w:val="18"/>
          </w:rPr>
          <w:t>Prevention of Family and Sexual Violence | Department of the Prime Minister and Cabinet (DPMC)</w:t>
        </w:r>
      </w:hyperlink>
      <w:r w:rsidRPr="004A7615">
        <w:rPr>
          <w:sz w:val="18"/>
          <w:szCs w:val="18"/>
        </w:rPr>
        <w:t xml:space="preserve"> </w:t>
      </w:r>
    </w:p>
  </w:footnote>
  <w:footnote w:id="45">
    <w:p w14:paraId="1319F785" w14:textId="77777777" w:rsidR="00EF2505" w:rsidRPr="004A7615" w:rsidRDefault="00EF2505" w:rsidP="00EF2505">
      <w:pPr>
        <w:pStyle w:val="FootnoteText"/>
        <w:rPr>
          <w:sz w:val="18"/>
          <w:szCs w:val="18"/>
          <w:lang w:val="mi-NZ"/>
        </w:rPr>
      </w:pPr>
      <w:r w:rsidRPr="004A7615">
        <w:rPr>
          <w:rStyle w:val="FootnoteReference"/>
          <w:sz w:val="18"/>
          <w:szCs w:val="18"/>
        </w:rPr>
        <w:footnoteRef/>
      </w:r>
      <w:r w:rsidRPr="004A7615">
        <w:rPr>
          <w:sz w:val="18"/>
          <w:szCs w:val="18"/>
        </w:rPr>
        <w:t xml:space="preserve"> There are 6-monthly reports published on progress under the Action Plan.</w:t>
      </w:r>
    </w:p>
  </w:footnote>
  <w:footnote w:id="46">
    <w:p w14:paraId="66396BA0" w14:textId="77777777" w:rsidR="00EF2505" w:rsidRPr="004A7615" w:rsidRDefault="00EF2505" w:rsidP="00EF2505">
      <w:pPr>
        <w:pStyle w:val="FootnoteText"/>
        <w:rPr>
          <w:sz w:val="18"/>
          <w:szCs w:val="18"/>
          <w:lang w:val="mi-NZ"/>
        </w:rPr>
      </w:pPr>
      <w:r w:rsidRPr="004A7615">
        <w:rPr>
          <w:rStyle w:val="FootnoteReference"/>
          <w:sz w:val="18"/>
          <w:szCs w:val="18"/>
        </w:rPr>
        <w:footnoteRef/>
      </w:r>
      <w:r w:rsidRPr="004A7615">
        <w:rPr>
          <w:sz w:val="18"/>
          <w:szCs w:val="18"/>
        </w:rPr>
        <w:t xml:space="preserve"> Formerly referred to as the Joint Venture Business Unit, which became an Interdepartmental Executive Board.</w:t>
      </w:r>
    </w:p>
  </w:footnote>
  <w:footnote w:id="47">
    <w:p w14:paraId="4316FFC3" w14:textId="097E7A88" w:rsidR="00EF4EA7" w:rsidRPr="004A7615" w:rsidRDefault="00EF4EA7">
      <w:pPr>
        <w:pStyle w:val="FootnoteText"/>
        <w:rPr>
          <w:sz w:val="18"/>
          <w:szCs w:val="18"/>
        </w:rPr>
      </w:pPr>
      <w:r w:rsidRPr="004A7615">
        <w:rPr>
          <w:rStyle w:val="FootnoteReference"/>
          <w:sz w:val="18"/>
          <w:szCs w:val="18"/>
        </w:rPr>
        <w:footnoteRef/>
      </w:r>
      <w:r w:rsidRPr="004A7615">
        <w:rPr>
          <w:sz w:val="18"/>
          <w:szCs w:val="18"/>
        </w:rPr>
        <w:t xml:space="preserve"> 2023. Office of the Children’s Commissioner. </w:t>
      </w:r>
      <w:hyperlink r:id="rId28" w:history="1">
        <w:r w:rsidRPr="004A7615">
          <w:rPr>
            <w:rStyle w:val="Hyperlink"/>
            <w:sz w:val="18"/>
            <w:szCs w:val="18"/>
          </w:rPr>
          <w:t>New initiatives welcome but we need to maintain momentum to lift families out of poverty | Office of the Children’s Commissioner (occ.org.nz)</w:t>
        </w:r>
      </w:hyperlink>
    </w:p>
  </w:footnote>
  <w:footnote w:id="48">
    <w:p w14:paraId="43E2CFD0" w14:textId="77777777" w:rsidR="00EF2505" w:rsidRPr="004A7615" w:rsidRDefault="00EF2505" w:rsidP="00EF2505">
      <w:pPr>
        <w:pStyle w:val="FootnoteText"/>
        <w:rPr>
          <w:sz w:val="18"/>
          <w:szCs w:val="18"/>
          <w:lang w:val="mi-NZ"/>
        </w:rPr>
      </w:pPr>
      <w:r w:rsidRPr="004A7615">
        <w:rPr>
          <w:rStyle w:val="FootnoteReference"/>
          <w:sz w:val="18"/>
          <w:szCs w:val="18"/>
        </w:rPr>
        <w:footnoteRef/>
      </w:r>
      <w:r w:rsidRPr="004A7615">
        <w:rPr>
          <w:sz w:val="18"/>
          <w:szCs w:val="18"/>
        </w:rPr>
        <w:t xml:space="preserve"> </w:t>
      </w:r>
      <w:r w:rsidRPr="004A7615">
        <w:rPr>
          <w:sz w:val="18"/>
          <w:szCs w:val="18"/>
          <w:lang w:val="mi-NZ"/>
        </w:rPr>
        <w:t xml:space="preserve">NZFVC, 2022 </w:t>
      </w:r>
      <w:hyperlink r:id="rId29" w:history="1">
        <w:r w:rsidRPr="004A7615">
          <w:rPr>
            <w:rStyle w:val="Hyperlink"/>
            <w:sz w:val="18"/>
            <w:szCs w:val="18"/>
          </w:rPr>
          <w:t>FAQ part 1: Understanding the impacts of COVID-19 | New Zealand Family Violence Clearinghouse (nzfvc.org.nz)</w:t>
        </w:r>
      </w:hyperlink>
      <w:r w:rsidRPr="004A7615">
        <w:rPr>
          <w:rStyle w:val="Hyperlink"/>
          <w:sz w:val="18"/>
          <w:szCs w:val="18"/>
        </w:rPr>
        <w:t>.</w:t>
      </w:r>
    </w:p>
  </w:footnote>
  <w:footnote w:id="49">
    <w:p w14:paraId="6E15C069" w14:textId="243A9358" w:rsidR="00A52B02" w:rsidRDefault="00A52B02">
      <w:pPr>
        <w:pStyle w:val="FootnoteText"/>
      </w:pPr>
      <w:r w:rsidRPr="004A7615">
        <w:rPr>
          <w:rStyle w:val="FootnoteReference"/>
          <w:sz w:val="18"/>
          <w:szCs w:val="18"/>
        </w:rPr>
        <w:footnoteRef/>
      </w:r>
      <w:r w:rsidRPr="004A7615">
        <w:rPr>
          <w:sz w:val="18"/>
          <w:szCs w:val="18"/>
        </w:rPr>
        <w:t xml:space="preserve"> 2020. Radio New Zealand. </w:t>
      </w:r>
      <w:hyperlink r:id="rId30" w:history="1">
        <w:r w:rsidRPr="004A7615">
          <w:rPr>
            <w:rStyle w:val="Hyperlink"/>
            <w:sz w:val="18"/>
            <w:szCs w:val="18"/>
          </w:rPr>
          <w:t>Domestic violence calls to police increase in lockdown | RNZ News</w:t>
        </w:r>
      </w:hyperlink>
    </w:p>
  </w:footnote>
  <w:footnote w:id="50">
    <w:p w14:paraId="6F4B2D9C" w14:textId="77777777" w:rsidR="00EF2505" w:rsidRPr="0047540F" w:rsidRDefault="00EF2505" w:rsidP="00EF2505">
      <w:pPr>
        <w:pStyle w:val="FootnoteText"/>
        <w:rPr>
          <w:sz w:val="18"/>
          <w:szCs w:val="18"/>
          <w:lang w:val="mi-NZ"/>
        </w:rPr>
      </w:pPr>
      <w:r w:rsidRPr="0047540F">
        <w:rPr>
          <w:rStyle w:val="FootnoteReference"/>
          <w:sz w:val="18"/>
          <w:szCs w:val="18"/>
        </w:rPr>
        <w:footnoteRef/>
      </w:r>
      <w:r w:rsidRPr="0047540F">
        <w:rPr>
          <w:sz w:val="18"/>
          <w:szCs w:val="18"/>
        </w:rPr>
        <w:t xml:space="preserve"> </w:t>
      </w:r>
      <w:hyperlink r:id="rId31" w:history="1">
        <w:r w:rsidRPr="0047540F">
          <w:rPr>
            <w:rStyle w:val="Hyperlink"/>
            <w:rFonts w:ascii="Calibri" w:hAnsi="Calibri" w:cs="Calibri"/>
            <w:i/>
            <w:iCs/>
            <w:sz w:val="18"/>
            <w:szCs w:val="18"/>
          </w:rPr>
          <w:t>https://www.newshub.co.nz/home/new-zealand/2023/02/women-s-refuge-says-no-surprise-family-harm-up-60pct-since-cyclone-gabrielle.html</w:t>
        </w:r>
      </w:hyperlink>
      <w:r w:rsidRPr="0047540F">
        <w:rPr>
          <w:rStyle w:val="Hyperlink"/>
          <w:rFonts w:ascii="Calibri" w:hAnsi="Calibri" w:cs="Calibri"/>
          <w:i/>
          <w:iCs/>
          <w:sz w:val="18"/>
          <w:szCs w:val="18"/>
        </w:rPr>
        <w:t xml:space="preserve"> </w:t>
      </w:r>
    </w:p>
  </w:footnote>
  <w:footnote w:id="51">
    <w:p w14:paraId="3221ABB7" w14:textId="77777777" w:rsidR="00EF2505" w:rsidRPr="0047540F" w:rsidRDefault="00EF2505" w:rsidP="00EF2505">
      <w:pPr>
        <w:pStyle w:val="FootnoteText"/>
        <w:rPr>
          <w:sz w:val="18"/>
          <w:szCs w:val="18"/>
        </w:rPr>
      </w:pPr>
      <w:r w:rsidRPr="0047540F">
        <w:rPr>
          <w:rStyle w:val="FootnoteReference"/>
          <w:sz w:val="18"/>
          <w:szCs w:val="18"/>
        </w:rPr>
        <w:footnoteRef/>
      </w:r>
      <w:r w:rsidRPr="0047540F">
        <w:rPr>
          <w:sz w:val="18"/>
          <w:szCs w:val="18"/>
        </w:rPr>
        <w:t xml:space="preserve"> This hypothesis is based on international evidence and trends in the absence of Aotearoa-based research and evidence: </w:t>
      </w:r>
      <w:hyperlink r:id="rId32" w:history="1">
        <w:r w:rsidRPr="0047540F">
          <w:rPr>
            <w:rStyle w:val="Hyperlink"/>
            <w:sz w:val="18"/>
            <w:szCs w:val="18"/>
          </w:rPr>
          <w:t>Beres et al YHSR Report Final.pdf (otago.ac.nz)</w:t>
        </w:r>
      </w:hyperlink>
    </w:p>
  </w:footnote>
  <w:footnote w:id="52">
    <w:p w14:paraId="50C550A3" w14:textId="77777777" w:rsidR="00EF2505" w:rsidRPr="0047540F" w:rsidRDefault="00EF2505" w:rsidP="00EF2505">
      <w:pPr>
        <w:pStyle w:val="FootnoteText"/>
        <w:rPr>
          <w:sz w:val="18"/>
          <w:szCs w:val="18"/>
          <w:lang w:val="mi-NZ"/>
        </w:rPr>
      </w:pPr>
      <w:r w:rsidRPr="0047540F">
        <w:rPr>
          <w:rStyle w:val="FootnoteReference"/>
          <w:sz w:val="18"/>
          <w:szCs w:val="18"/>
        </w:rPr>
        <w:footnoteRef/>
      </w:r>
      <w:r w:rsidRPr="0047540F">
        <w:rPr>
          <w:sz w:val="18"/>
          <w:szCs w:val="18"/>
        </w:rPr>
        <w:t xml:space="preserve">  Melanie A. Beres, Louise J. Pearman-Beres, Poppy Johns, “Youth Healthy and Safe Relationships: A literature review.” 2020. </w:t>
      </w:r>
      <w:hyperlink r:id="rId33" w:history="1">
        <w:r w:rsidRPr="0047540F">
          <w:rPr>
            <w:rStyle w:val="Hyperlink"/>
            <w:sz w:val="18"/>
            <w:szCs w:val="18"/>
          </w:rPr>
          <w:t>Beres et al YHSR Report Final.pdf (otago.ac.nz)</w:t>
        </w:r>
      </w:hyperlink>
    </w:p>
  </w:footnote>
  <w:footnote w:id="53">
    <w:p w14:paraId="5FF7922B" w14:textId="77777777" w:rsidR="00F332B1" w:rsidRPr="0047540F" w:rsidRDefault="00F332B1" w:rsidP="00F332B1">
      <w:pPr>
        <w:pStyle w:val="FootnoteText"/>
        <w:rPr>
          <w:sz w:val="18"/>
          <w:szCs w:val="18"/>
          <w:lang w:val="mi-NZ"/>
        </w:rPr>
      </w:pPr>
      <w:r w:rsidRPr="0047540F">
        <w:rPr>
          <w:rStyle w:val="FootnoteReference"/>
          <w:sz w:val="18"/>
          <w:szCs w:val="18"/>
        </w:rPr>
        <w:footnoteRef/>
      </w:r>
      <w:r w:rsidRPr="0047540F">
        <w:rPr>
          <w:sz w:val="18"/>
          <w:szCs w:val="18"/>
        </w:rPr>
        <w:t xml:space="preserve"> CRC/C/NZL/CO/6, para 44.</w:t>
      </w:r>
    </w:p>
  </w:footnote>
  <w:footnote w:id="54">
    <w:p w14:paraId="03744A8B" w14:textId="6A882B17" w:rsidR="00917ED7" w:rsidRDefault="00917ED7">
      <w:pPr>
        <w:pStyle w:val="FootnoteText"/>
      </w:pPr>
      <w:r w:rsidRPr="00917ED7">
        <w:rPr>
          <w:rStyle w:val="FootnoteReference"/>
          <w:sz w:val="18"/>
          <w:szCs w:val="18"/>
        </w:rPr>
        <w:footnoteRef/>
      </w:r>
      <w:r w:rsidRPr="00917ED7">
        <w:rPr>
          <w:sz w:val="18"/>
          <w:szCs w:val="18"/>
        </w:rPr>
        <w:t xml:space="preserve"> In 2011, the Government ratified OPSC and committed to combat sexual exploitation of children in New Zealand. In September 2015, through the adoption of the 2030 agenda for Sustainable Development, the Government re-committed explicitly to eliminate all forms of violence against children, including sexual abuse and exploitation. </w:t>
      </w:r>
      <w:r>
        <w:rPr>
          <w:sz w:val="18"/>
          <w:szCs w:val="18"/>
        </w:rPr>
        <w:t xml:space="preserve">Refer </w:t>
      </w:r>
      <w:r w:rsidRPr="00917ED7">
        <w:rPr>
          <w:rStyle w:val="normaltextrun"/>
          <w:color w:val="000000"/>
          <w:sz w:val="18"/>
          <w:szCs w:val="18"/>
          <w:shd w:val="clear" w:color="auto" w:fill="FFFFFF"/>
          <w:lang w:val="en-GB"/>
        </w:rPr>
        <w:t>Sustainable Development Goal Targets 5.2, 8.7 and 16.2.</w:t>
      </w:r>
    </w:p>
  </w:footnote>
  <w:footnote w:id="55">
    <w:p w14:paraId="72DA31B5" w14:textId="77777777" w:rsidR="00EF2505" w:rsidRPr="0047540F" w:rsidRDefault="00EF2505" w:rsidP="00EF2505">
      <w:pPr>
        <w:pStyle w:val="FootnoteText"/>
        <w:rPr>
          <w:sz w:val="18"/>
          <w:szCs w:val="18"/>
          <w:lang w:val="mi-NZ"/>
        </w:rPr>
      </w:pPr>
      <w:r w:rsidRPr="0047540F">
        <w:rPr>
          <w:rStyle w:val="FootnoteReference"/>
          <w:sz w:val="18"/>
          <w:szCs w:val="18"/>
        </w:rPr>
        <w:footnoteRef/>
      </w:r>
      <w:r w:rsidRPr="0047540F">
        <w:rPr>
          <w:sz w:val="18"/>
          <w:szCs w:val="18"/>
        </w:rPr>
        <w:t xml:space="preserve"> </w:t>
      </w:r>
      <w:r w:rsidRPr="0047540F">
        <w:rPr>
          <w:sz w:val="18"/>
          <w:szCs w:val="18"/>
          <w:lang w:val="en-AU"/>
        </w:rPr>
        <w:t>CAT/C/NZL/7, para 88.</w:t>
      </w:r>
    </w:p>
  </w:footnote>
  <w:footnote w:id="56">
    <w:p w14:paraId="37B1E6E3" w14:textId="77777777" w:rsidR="00EF2505" w:rsidRPr="0047540F" w:rsidRDefault="00EF2505" w:rsidP="00EF2505">
      <w:pPr>
        <w:pStyle w:val="FootnoteText"/>
        <w:rPr>
          <w:sz w:val="18"/>
          <w:szCs w:val="18"/>
          <w:lang w:val="mi-NZ"/>
        </w:rPr>
      </w:pPr>
      <w:r w:rsidRPr="0047540F">
        <w:rPr>
          <w:rStyle w:val="FootnoteReference"/>
          <w:sz w:val="18"/>
          <w:szCs w:val="18"/>
        </w:rPr>
        <w:footnoteRef/>
      </w:r>
      <w:r w:rsidRPr="0047540F">
        <w:rPr>
          <w:sz w:val="18"/>
          <w:szCs w:val="18"/>
        </w:rPr>
        <w:t xml:space="preserve"> </w:t>
      </w:r>
      <w:hyperlink r:id="rId34" w:history="1">
        <w:r w:rsidRPr="0047540F">
          <w:rPr>
            <w:rStyle w:val="Hyperlink"/>
            <w:sz w:val="18"/>
            <w:szCs w:val="18"/>
          </w:rPr>
          <w:t>OPCAT Youth Justice Residences | Office of the Children’s Commissioner (occ.org.nz)</w:t>
        </w:r>
      </w:hyperlink>
    </w:p>
  </w:footnote>
  <w:footnote w:id="57">
    <w:p w14:paraId="3EF36F4D" w14:textId="58A633BC" w:rsidR="00EF2505" w:rsidRPr="0047540F" w:rsidRDefault="00EF2505" w:rsidP="00EF2505">
      <w:pPr>
        <w:pStyle w:val="FootnoteText"/>
        <w:rPr>
          <w:sz w:val="18"/>
          <w:szCs w:val="18"/>
          <w:lang w:val="mi-NZ"/>
        </w:rPr>
      </w:pPr>
      <w:r w:rsidRPr="0047540F">
        <w:rPr>
          <w:rStyle w:val="FootnoteReference"/>
          <w:sz w:val="18"/>
          <w:szCs w:val="18"/>
        </w:rPr>
        <w:footnoteRef/>
      </w:r>
      <w:r w:rsidRPr="0047540F">
        <w:rPr>
          <w:sz w:val="18"/>
          <w:szCs w:val="18"/>
        </w:rPr>
        <w:t xml:space="preserve"> </w:t>
      </w:r>
      <w:r w:rsidRPr="0047540F">
        <w:rPr>
          <w:sz w:val="18"/>
          <w:szCs w:val="18"/>
          <w:lang w:val="en-AU"/>
        </w:rPr>
        <w:t xml:space="preserve">CAT/C/NZL/7, para 89. </w:t>
      </w:r>
    </w:p>
  </w:footnote>
  <w:footnote w:id="58">
    <w:p w14:paraId="1C01B8D6" w14:textId="77777777" w:rsidR="00EF2505" w:rsidRPr="0047540F" w:rsidRDefault="00EF2505" w:rsidP="00EF2505">
      <w:pPr>
        <w:pStyle w:val="FootnoteText"/>
        <w:rPr>
          <w:sz w:val="18"/>
          <w:szCs w:val="18"/>
          <w:highlight w:val="yellow"/>
          <w:lang w:val="mi-NZ"/>
        </w:rPr>
      </w:pPr>
      <w:r w:rsidRPr="0047540F">
        <w:rPr>
          <w:rStyle w:val="FootnoteReference"/>
          <w:sz w:val="18"/>
          <w:szCs w:val="18"/>
        </w:rPr>
        <w:footnoteRef/>
      </w:r>
      <w:r w:rsidRPr="0047540F">
        <w:rPr>
          <w:sz w:val="18"/>
          <w:szCs w:val="18"/>
        </w:rPr>
        <w:t xml:space="preserve"> Shalev, S. 2017. Seclusion and Restraint: Thinking Outside the Box. New Zealand Human Rights Commission. </w:t>
      </w:r>
      <w:hyperlink r:id="rId35" w:history="1">
        <w:r w:rsidRPr="0047540F">
          <w:rPr>
            <w:rStyle w:val="Hyperlink"/>
            <w:rFonts w:cstheme="minorBidi"/>
            <w:sz w:val="18"/>
            <w:szCs w:val="18"/>
          </w:rPr>
          <w:t>Solitary Confinement in New Zealand| Thinking Outside The Box</w:t>
        </w:r>
      </w:hyperlink>
    </w:p>
  </w:footnote>
  <w:footnote w:id="59">
    <w:p w14:paraId="091CB7BF" w14:textId="632A401F" w:rsidR="00EF2505" w:rsidRPr="0047540F" w:rsidRDefault="00EF2505" w:rsidP="00EF2505">
      <w:pPr>
        <w:pStyle w:val="FootnoteText"/>
        <w:rPr>
          <w:sz w:val="18"/>
          <w:szCs w:val="18"/>
          <w:lang w:val="mi-NZ"/>
        </w:rPr>
      </w:pPr>
      <w:r w:rsidRPr="0047540F">
        <w:rPr>
          <w:rStyle w:val="FootnoteReference"/>
          <w:sz w:val="18"/>
          <w:szCs w:val="18"/>
        </w:rPr>
        <w:footnoteRef/>
      </w:r>
      <w:r w:rsidRPr="0047540F">
        <w:rPr>
          <w:sz w:val="18"/>
          <w:szCs w:val="18"/>
        </w:rPr>
        <w:t xml:space="preserve"> </w:t>
      </w:r>
      <w:r w:rsidR="00CD2155">
        <w:rPr>
          <w:sz w:val="18"/>
          <w:szCs w:val="18"/>
        </w:rPr>
        <w:t xml:space="preserve">2012. Independent Police Conduct </w:t>
      </w:r>
      <w:r w:rsidR="00CD2155" w:rsidRPr="00CD2155">
        <w:rPr>
          <w:sz w:val="18"/>
          <w:szCs w:val="18"/>
        </w:rPr>
        <w:t xml:space="preserve">Authority. </w:t>
      </w:r>
      <w:hyperlink r:id="rId36" w:history="1">
        <w:r w:rsidRPr="00CD2155">
          <w:rPr>
            <w:rStyle w:val="Hyperlink"/>
            <w:sz w:val="18"/>
            <w:szCs w:val="18"/>
          </w:rPr>
          <w:t>Review of young persons in Police detention (ipca.govt.nz)</w:t>
        </w:r>
      </w:hyperlink>
    </w:p>
  </w:footnote>
  <w:footnote w:id="60">
    <w:p w14:paraId="2DC1D13C" w14:textId="77777777" w:rsidR="00EF2505" w:rsidRPr="004847B5" w:rsidRDefault="00EF2505" w:rsidP="00EF2505">
      <w:pPr>
        <w:pStyle w:val="FootnoteText"/>
        <w:rPr>
          <w:highlight w:val="yellow"/>
          <w:lang w:val="mi-NZ"/>
        </w:rPr>
      </w:pPr>
      <w:r w:rsidRPr="0047540F">
        <w:rPr>
          <w:rStyle w:val="FootnoteReference"/>
          <w:sz w:val="18"/>
          <w:szCs w:val="18"/>
        </w:rPr>
        <w:footnoteRef/>
      </w:r>
      <w:r w:rsidRPr="0047540F">
        <w:rPr>
          <w:sz w:val="18"/>
          <w:szCs w:val="18"/>
        </w:rPr>
        <w:t xml:space="preserve"> 2021. Radio New Zealand. </w:t>
      </w:r>
      <w:hyperlink r:id="rId37" w:history="1">
        <w:r w:rsidRPr="0047540F">
          <w:rPr>
            <w:rStyle w:val="Hyperlink"/>
            <w:rFonts w:cstheme="minorBidi"/>
            <w:sz w:val="18"/>
            <w:szCs w:val="18"/>
          </w:rPr>
          <w:t>Police strapped 38 youth in restraint chairs in 5 years: 'We must do better' | RNZ News</w:t>
        </w:r>
      </w:hyperlink>
      <w:r w:rsidRPr="0047540F">
        <w:rPr>
          <w:sz w:val="18"/>
          <w:szCs w:val="18"/>
        </w:rPr>
        <w:t>.</w:t>
      </w:r>
      <w:r w:rsidRPr="00321E9C">
        <w:t xml:space="preserve"> </w:t>
      </w:r>
    </w:p>
  </w:footnote>
  <w:footnote w:id="61">
    <w:p w14:paraId="7F84C322" w14:textId="77777777" w:rsidR="00EF2505" w:rsidRPr="00DC16F6" w:rsidRDefault="00EF2505" w:rsidP="00EF2505">
      <w:pPr>
        <w:pStyle w:val="FootnoteText"/>
        <w:rPr>
          <w:sz w:val="18"/>
          <w:szCs w:val="18"/>
          <w:lang w:val="mi-NZ"/>
        </w:rPr>
      </w:pPr>
      <w:r w:rsidRPr="00DC16F6">
        <w:rPr>
          <w:rStyle w:val="FootnoteReference"/>
          <w:sz w:val="18"/>
          <w:szCs w:val="18"/>
        </w:rPr>
        <w:footnoteRef/>
      </w:r>
      <w:r w:rsidRPr="00DC16F6">
        <w:rPr>
          <w:sz w:val="18"/>
          <w:szCs w:val="18"/>
        </w:rPr>
        <w:t xml:space="preserve"> 2021. Media release. Office of the Children’s Commissioner. </w:t>
      </w:r>
      <w:hyperlink r:id="rId38" w:history="1">
        <w:r w:rsidRPr="00DC16F6">
          <w:rPr>
            <w:rStyle w:val="Hyperlink"/>
            <w:rFonts w:cstheme="minorBidi"/>
            <w:sz w:val="18"/>
            <w:szCs w:val="18"/>
          </w:rPr>
          <w:t>Some stark injustices in our youth justice system need fixing – and here’s how | Office of the Children’s Commissioner (childrenandyoungpeople.org.nz)</w:t>
        </w:r>
      </w:hyperlink>
    </w:p>
  </w:footnote>
  <w:footnote w:id="62">
    <w:p w14:paraId="233EF57A" w14:textId="77777777" w:rsidR="00EF2505" w:rsidRPr="00DC16F6" w:rsidRDefault="00EF2505" w:rsidP="00EF2505">
      <w:pPr>
        <w:pStyle w:val="FootnoteText"/>
        <w:rPr>
          <w:sz w:val="18"/>
          <w:szCs w:val="18"/>
          <w:lang w:val="mi-NZ"/>
        </w:rPr>
      </w:pPr>
      <w:r w:rsidRPr="00DC16F6">
        <w:rPr>
          <w:rStyle w:val="FootnoteReference"/>
          <w:sz w:val="18"/>
          <w:szCs w:val="18"/>
        </w:rPr>
        <w:footnoteRef/>
      </w:r>
      <w:r w:rsidRPr="00DC16F6">
        <w:rPr>
          <w:sz w:val="18"/>
          <w:szCs w:val="18"/>
        </w:rPr>
        <w:t xml:space="preserve"> 2021. Radio New Zealand. </w:t>
      </w:r>
      <w:hyperlink r:id="rId39" w:history="1">
        <w:r w:rsidRPr="00DC16F6">
          <w:rPr>
            <w:rStyle w:val="Hyperlink"/>
            <w:rFonts w:cstheme="minorBidi"/>
            <w:sz w:val="18"/>
            <w:szCs w:val="18"/>
          </w:rPr>
          <w:t>Spit hoods used on 117 children, young people by police | RNZ News</w:t>
        </w:r>
      </w:hyperlink>
      <w:r w:rsidRPr="00DC16F6">
        <w:rPr>
          <w:sz w:val="18"/>
          <w:szCs w:val="18"/>
        </w:rPr>
        <w:t xml:space="preserve"> </w:t>
      </w:r>
    </w:p>
  </w:footnote>
  <w:footnote w:id="63">
    <w:p w14:paraId="415C0231" w14:textId="77777777" w:rsidR="00EF2505" w:rsidRPr="00AE7853" w:rsidRDefault="00EF2505" w:rsidP="00EF2505">
      <w:pPr>
        <w:pStyle w:val="FootnoteText"/>
        <w:rPr>
          <w:sz w:val="18"/>
          <w:szCs w:val="18"/>
          <w:lang w:val="mi-NZ"/>
        </w:rPr>
      </w:pPr>
      <w:r w:rsidRPr="00DC16F6">
        <w:rPr>
          <w:rStyle w:val="FootnoteReference"/>
          <w:sz w:val="18"/>
          <w:szCs w:val="18"/>
        </w:rPr>
        <w:footnoteRef/>
      </w:r>
      <w:r w:rsidRPr="00DC16F6">
        <w:rPr>
          <w:sz w:val="18"/>
          <w:szCs w:val="18"/>
        </w:rPr>
        <w:t xml:space="preserve"> 2022. Stuff. </w:t>
      </w:r>
      <w:hyperlink r:id="rId40" w:history="1">
        <w:r w:rsidRPr="00DC16F6">
          <w:rPr>
            <w:rStyle w:val="Hyperlink"/>
            <w:rFonts w:cstheme="minorBidi"/>
            <w:sz w:val="18"/>
            <w:szCs w:val="18"/>
          </w:rPr>
          <w:t>More than 480 children and young people pepper sprayed by police | Stuff.co.nz</w:t>
        </w:r>
      </w:hyperlink>
      <w:r w:rsidRPr="00DC16F6">
        <w:rPr>
          <w:sz w:val="18"/>
          <w:szCs w:val="18"/>
        </w:rPr>
        <w:t xml:space="preserve"> </w:t>
      </w:r>
    </w:p>
  </w:footnote>
  <w:footnote w:id="64">
    <w:p w14:paraId="6D85D87D" w14:textId="0D6E7900" w:rsidR="00FB4ADC" w:rsidRDefault="00FB4ADC" w:rsidP="00FB4ADC">
      <w:pPr>
        <w:pStyle w:val="FootnoteText"/>
      </w:pPr>
      <w:r w:rsidRPr="00AE7853">
        <w:rPr>
          <w:rStyle w:val="FootnoteReference"/>
          <w:sz w:val="18"/>
          <w:szCs w:val="18"/>
        </w:rPr>
        <w:footnoteRef/>
      </w:r>
      <w:r w:rsidRPr="00AE7853">
        <w:rPr>
          <w:sz w:val="18"/>
          <w:szCs w:val="18"/>
        </w:rPr>
        <w:t xml:space="preserve"> </w:t>
      </w:r>
      <w:r w:rsidR="00694736">
        <w:rPr>
          <w:sz w:val="18"/>
          <w:szCs w:val="18"/>
        </w:rPr>
        <w:t>Aside from</w:t>
      </w:r>
      <w:r w:rsidRPr="00AE7853">
        <w:rPr>
          <w:sz w:val="18"/>
          <w:szCs w:val="18"/>
        </w:rPr>
        <w:t xml:space="preserve"> release, </w:t>
      </w:r>
      <w:r w:rsidR="00694736">
        <w:rPr>
          <w:sz w:val="18"/>
          <w:szCs w:val="18"/>
        </w:rPr>
        <w:t xml:space="preserve">the five options include </w:t>
      </w:r>
      <w:r w:rsidRPr="00AE7853">
        <w:rPr>
          <w:sz w:val="18"/>
          <w:szCs w:val="18"/>
        </w:rPr>
        <w:t xml:space="preserve">bail, custody of parents or others, detention in the </w:t>
      </w:r>
      <w:r>
        <w:rPr>
          <w:sz w:val="18"/>
          <w:szCs w:val="18"/>
        </w:rPr>
        <w:t>Oranga Tamariki Chief Executive’s</w:t>
      </w:r>
      <w:r w:rsidRPr="00AE7853">
        <w:rPr>
          <w:sz w:val="18"/>
          <w:szCs w:val="18"/>
        </w:rPr>
        <w:t xml:space="preserve"> custody, police custody, </w:t>
      </w:r>
      <w:r>
        <w:rPr>
          <w:sz w:val="18"/>
          <w:szCs w:val="18"/>
        </w:rPr>
        <w:t xml:space="preserve">or </w:t>
      </w:r>
      <w:r w:rsidRPr="00AE7853">
        <w:rPr>
          <w:sz w:val="18"/>
          <w:szCs w:val="18"/>
        </w:rPr>
        <w:t>transfer to a youth unit of a prison.</w:t>
      </w:r>
    </w:p>
  </w:footnote>
  <w:footnote w:id="65">
    <w:p w14:paraId="2F4D61A5" w14:textId="6B95F56A" w:rsidR="00AE7853" w:rsidRDefault="00AE7853">
      <w:pPr>
        <w:pStyle w:val="FootnoteText"/>
      </w:pPr>
      <w:r w:rsidRPr="00AE7853">
        <w:rPr>
          <w:rStyle w:val="FootnoteReference"/>
          <w:sz w:val="18"/>
          <w:szCs w:val="18"/>
        </w:rPr>
        <w:footnoteRef/>
      </w:r>
      <w:r w:rsidRPr="00AE7853">
        <w:rPr>
          <w:sz w:val="18"/>
          <w:szCs w:val="18"/>
        </w:rPr>
        <w:t xml:space="preserve"> 2023. Oranga Tamariki. Consultation Document. </w:t>
      </w:r>
      <w:hyperlink r:id="rId41" w:history="1">
        <w:r w:rsidRPr="00AE7853">
          <w:rPr>
            <w:rStyle w:val="Hyperlink"/>
            <w:sz w:val="18"/>
            <w:szCs w:val="18"/>
          </w:rPr>
          <w:t>Remand.pdf (orangatamariki.govt.nz)</w:t>
        </w:r>
      </w:hyperlink>
    </w:p>
  </w:footnote>
  <w:footnote w:id="66">
    <w:p w14:paraId="4548677B" w14:textId="77777777" w:rsidR="003A2DDB" w:rsidRPr="001C2900" w:rsidRDefault="003A2DDB" w:rsidP="003A2DDB">
      <w:pPr>
        <w:pStyle w:val="FootnoteText"/>
        <w:rPr>
          <w:lang w:val="en-NZ"/>
        </w:rPr>
      </w:pPr>
      <w:r w:rsidRPr="00BB4618">
        <w:rPr>
          <w:rStyle w:val="FootnoteReference"/>
          <w:sz w:val="18"/>
          <w:szCs w:val="18"/>
        </w:rPr>
        <w:footnoteRef/>
      </w:r>
      <w:r w:rsidRPr="00BB4618">
        <w:rPr>
          <w:sz w:val="18"/>
          <w:szCs w:val="18"/>
        </w:rPr>
        <w:t xml:space="preserve"> </w:t>
      </w:r>
      <w:r w:rsidRPr="00BB4618">
        <w:rPr>
          <w:sz w:val="18"/>
          <w:szCs w:val="18"/>
          <w:lang w:val="en-NZ"/>
        </w:rPr>
        <w:t>A Supervision with Residence order is the highest tariff order available to the Youth Court under the Oranga Tamariki Act 1989 (s311). These orders can be for a period of up to six months with an early release considered at the two thirds mark.</w:t>
      </w:r>
      <w:r>
        <w:rPr>
          <w:lang w:val="en-NZ"/>
        </w:rPr>
        <w:t xml:space="preserve"> </w:t>
      </w:r>
    </w:p>
  </w:footnote>
  <w:footnote w:id="67">
    <w:p w14:paraId="656EC955" w14:textId="46F30B4C" w:rsidR="00AE7853" w:rsidRPr="00AE7853" w:rsidRDefault="00AE7853">
      <w:pPr>
        <w:pStyle w:val="FootnoteText"/>
        <w:rPr>
          <w:sz w:val="18"/>
          <w:szCs w:val="18"/>
        </w:rPr>
      </w:pPr>
      <w:r w:rsidRPr="00AE7853">
        <w:rPr>
          <w:rStyle w:val="FootnoteReference"/>
          <w:sz w:val="18"/>
          <w:szCs w:val="18"/>
        </w:rPr>
        <w:footnoteRef/>
      </w:r>
      <w:r w:rsidRPr="00AE7853">
        <w:rPr>
          <w:sz w:val="18"/>
          <w:szCs w:val="18"/>
        </w:rPr>
        <w:t xml:space="preserve"> Section 239(1) sets the criteria for making an order under s.238(1)(d): the Court must be satisfied that the </w:t>
      </w:r>
      <w:r>
        <w:rPr>
          <w:sz w:val="18"/>
          <w:szCs w:val="18"/>
        </w:rPr>
        <w:t>young person</w:t>
      </w:r>
      <w:r w:rsidRPr="00AE7853">
        <w:rPr>
          <w:sz w:val="18"/>
          <w:szCs w:val="18"/>
        </w:rPr>
        <w:t xml:space="preserve"> is likely to abscond, commit further offences or, that detention is necessary to prevent the </w:t>
      </w:r>
      <w:r>
        <w:rPr>
          <w:sz w:val="18"/>
          <w:szCs w:val="18"/>
        </w:rPr>
        <w:t>young person</w:t>
      </w:r>
      <w:r w:rsidRPr="00AE7853">
        <w:rPr>
          <w:sz w:val="18"/>
          <w:szCs w:val="18"/>
        </w:rPr>
        <w:t xml:space="preserve"> from interfering with the investigation into the offending</w:t>
      </w:r>
      <w:r>
        <w:rPr>
          <w:sz w:val="18"/>
          <w:szCs w:val="18"/>
        </w:rPr>
        <w:t>.</w:t>
      </w:r>
    </w:p>
  </w:footnote>
  <w:footnote w:id="68">
    <w:p w14:paraId="0ED059A6" w14:textId="0F83E768" w:rsidR="00694736" w:rsidRPr="0047540F" w:rsidRDefault="00694736" w:rsidP="00694736">
      <w:pPr>
        <w:pStyle w:val="FootnoteText"/>
        <w:rPr>
          <w:sz w:val="18"/>
          <w:szCs w:val="18"/>
          <w:lang w:val="mi-NZ"/>
        </w:rPr>
      </w:pPr>
      <w:r w:rsidRPr="0047540F">
        <w:rPr>
          <w:rStyle w:val="FootnoteReference"/>
          <w:sz w:val="18"/>
          <w:szCs w:val="18"/>
        </w:rPr>
        <w:footnoteRef/>
      </w:r>
      <w:r w:rsidRPr="0047540F">
        <w:rPr>
          <w:sz w:val="18"/>
          <w:szCs w:val="18"/>
        </w:rPr>
        <w:t xml:space="preserve"> CRC/C/NZL/CO/6, para 4</w:t>
      </w:r>
      <w:r>
        <w:rPr>
          <w:sz w:val="18"/>
          <w:szCs w:val="18"/>
        </w:rPr>
        <w:t>3(b)</w:t>
      </w:r>
      <w:r w:rsidRPr="0047540F">
        <w:rPr>
          <w:sz w:val="18"/>
          <w:szCs w:val="18"/>
        </w:rPr>
        <w:t>.</w:t>
      </w:r>
    </w:p>
  </w:footnote>
  <w:footnote w:id="69">
    <w:p w14:paraId="0D40342E" w14:textId="77777777" w:rsidR="00EF2505" w:rsidRPr="00FB4ADC" w:rsidRDefault="00EF2505" w:rsidP="00EF2505">
      <w:pPr>
        <w:pStyle w:val="FootnoteText"/>
        <w:rPr>
          <w:sz w:val="18"/>
          <w:szCs w:val="18"/>
          <w:lang w:val="mi-NZ"/>
        </w:rPr>
      </w:pPr>
      <w:r w:rsidRPr="00FB4ADC">
        <w:rPr>
          <w:rStyle w:val="FootnoteReference"/>
          <w:sz w:val="18"/>
          <w:szCs w:val="18"/>
        </w:rPr>
        <w:footnoteRef/>
      </w:r>
      <w:r w:rsidRPr="00FB4ADC">
        <w:rPr>
          <w:sz w:val="18"/>
          <w:szCs w:val="18"/>
        </w:rPr>
        <w:t xml:space="preserve"> 2018. Position Brief. Office of the Children’s Commissioner. </w:t>
      </w:r>
      <w:hyperlink r:id="rId42" w:history="1">
        <w:r w:rsidRPr="00FB4ADC">
          <w:rPr>
            <w:rStyle w:val="Hyperlink"/>
            <w:rFonts w:cstheme="minorBidi"/>
            <w:sz w:val="18"/>
            <w:szCs w:val="18"/>
          </w:rPr>
          <w:t>Youth-Justice-Police-cells-June2018.pdf (occ.org.nz</w:t>
        </w:r>
      </w:hyperlink>
      <w:r w:rsidRPr="00FB4ADC">
        <w:rPr>
          <w:sz w:val="18"/>
          <w:szCs w:val="18"/>
        </w:rPr>
        <w:t xml:space="preserve">) </w:t>
      </w:r>
    </w:p>
  </w:footnote>
  <w:footnote w:id="70">
    <w:p w14:paraId="731E8F24" w14:textId="77777777" w:rsidR="00EF2505" w:rsidRPr="0029577C" w:rsidRDefault="00EF2505" w:rsidP="00EF2505">
      <w:pPr>
        <w:pStyle w:val="FootnoteText"/>
        <w:rPr>
          <w:sz w:val="18"/>
          <w:szCs w:val="18"/>
          <w:lang w:val="mi-NZ"/>
        </w:rPr>
      </w:pPr>
      <w:r w:rsidRPr="0029577C">
        <w:rPr>
          <w:rStyle w:val="FootnoteReference"/>
          <w:sz w:val="18"/>
          <w:szCs w:val="18"/>
        </w:rPr>
        <w:footnoteRef/>
      </w:r>
      <w:r w:rsidRPr="0029577C">
        <w:rPr>
          <w:sz w:val="18"/>
          <w:szCs w:val="18"/>
        </w:rPr>
        <w:t xml:space="preserve"> More recent data was not made available by the New Zealand Police.</w:t>
      </w:r>
    </w:p>
  </w:footnote>
  <w:footnote w:id="71">
    <w:p w14:paraId="76664E63" w14:textId="77777777" w:rsidR="00EF2505" w:rsidRPr="0029577C" w:rsidRDefault="00EF2505" w:rsidP="00EF2505">
      <w:pPr>
        <w:pStyle w:val="FootnoteText"/>
        <w:rPr>
          <w:sz w:val="18"/>
          <w:szCs w:val="18"/>
          <w:lang w:val="mi-NZ"/>
        </w:rPr>
      </w:pPr>
      <w:r w:rsidRPr="0029577C">
        <w:rPr>
          <w:rStyle w:val="FootnoteReference"/>
          <w:sz w:val="18"/>
          <w:szCs w:val="18"/>
        </w:rPr>
        <w:footnoteRef/>
      </w:r>
      <w:r w:rsidRPr="0029577C">
        <w:rPr>
          <w:sz w:val="18"/>
          <w:szCs w:val="18"/>
        </w:rPr>
        <w:t xml:space="preserve"> 2019. JustSpeak. </w:t>
      </w:r>
      <w:hyperlink r:id="rId43" w:history="1">
        <w:r w:rsidRPr="0029577C">
          <w:rPr>
            <w:rStyle w:val="Hyperlink"/>
            <w:rFonts w:cstheme="minorBidi"/>
            <w:sz w:val="18"/>
            <w:szCs w:val="18"/>
          </w:rPr>
          <w:t>JustSpeak statement of support for Hands Off Our Tamariki</w:t>
        </w:r>
      </w:hyperlink>
      <w:r w:rsidRPr="0029577C">
        <w:rPr>
          <w:sz w:val="18"/>
          <w:szCs w:val="18"/>
        </w:rPr>
        <w:t xml:space="preserve"> </w:t>
      </w:r>
    </w:p>
  </w:footnote>
  <w:footnote w:id="72">
    <w:p w14:paraId="6A760978" w14:textId="080C24B9" w:rsidR="004A7615" w:rsidRPr="00CB1D66" w:rsidRDefault="004A7615">
      <w:pPr>
        <w:pStyle w:val="FootnoteText"/>
        <w:rPr>
          <w:sz w:val="18"/>
          <w:szCs w:val="18"/>
          <w:lang w:val="mi-NZ"/>
        </w:rPr>
      </w:pPr>
      <w:r>
        <w:rPr>
          <w:rStyle w:val="FootnoteReference"/>
        </w:rPr>
        <w:footnoteRef/>
      </w:r>
      <w:r>
        <w:t xml:space="preserve"> </w:t>
      </w:r>
      <w:r w:rsidRPr="004A7615">
        <w:rPr>
          <w:sz w:val="18"/>
          <w:szCs w:val="18"/>
        </w:rPr>
        <w:t>A 13-year-old cannot be detained in Police custody under section 238(1)(e) of the Act. As soon as this error was realised, they were immediately moved from Police custody.</w:t>
      </w:r>
    </w:p>
  </w:footnote>
  <w:footnote w:id="73">
    <w:p w14:paraId="1F301EAB" w14:textId="6BF0AB75" w:rsidR="004A7615" w:rsidRPr="00CB1D66" w:rsidRDefault="004A7615">
      <w:pPr>
        <w:pStyle w:val="FootnoteText"/>
        <w:rPr>
          <w:lang w:val="mi-NZ"/>
        </w:rPr>
      </w:pPr>
      <w:r w:rsidRPr="004A7615">
        <w:rPr>
          <w:rStyle w:val="FootnoteReference"/>
          <w:sz w:val="18"/>
          <w:szCs w:val="18"/>
        </w:rPr>
        <w:footnoteRef/>
      </w:r>
      <w:r w:rsidRPr="004A7615">
        <w:rPr>
          <w:sz w:val="18"/>
          <w:szCs w:val="18"/>
        </w:rPr>
        <w:t xml:space="preserve"> </w:t>
      </w:r>
      <w:r w:rsidRPr="004A7615">
        <w:rPr>
          <w:sz w:val="18"/>
          <w:szCs w:val="18"/>
          <w:lang w:val="mi-NZ"/>
        </w:rPr>
        <w:t>Data provided by Oranga Tamariki in February 2023.</w:t>
      </w:r>
    </w:p>
  </w:footnote>
  <w:footnote w:id="74">
    <w:p w14:paraId="62A3E632" w14:textId="689ECE33" w:rsidR="0072120B" w:rsidRPr="0029577C" w:rsidRDefault="0072120B">
      <w:pPr>
        <w:pStyle w:val="FootnoteText"/>
        <w:rPr>
          <w:sz w:val="18"/>
          <w:szCs w:val="18"/>
          <w:lang w:val="mi-NZ"/>
        </w:rPr>
      </w:pPr>
      <w:r w:rsidRPr="0029577C">
        <w:rPr>
          <w:rStyle w:val="FootnoteReference"/>
          <w:sz w:val="18"/>
          <w:szCs w:val="18"/>
        </w:rPr>
        <w:footnoteRef/>
      </w:r>
      <w:r w:rsidRPr="0029577C">
        <w:rPr>
          <w:sz w:val="18"/>
          <w:szCs w:val="18"/>
        </w:rPr>
        <w:t xml:space="preserve"> </w:t>
      </w:r>
      <w:r w:rsidRPr="0029577C">
        <w:rPr>
          <w:sz w:val="18"/>
          <w:szCs w:val="18"/>
          <w:lang w:val="mi-NZ"/>
        </w:rPr>
        <w:t xml:space="preserve">See also </w:t>
      </w:r>
      <w:r w:rsidRPr="0029577C">
        <w:rPr>
          <w:sz w:val="18"/>
          <w:szCs w:val="18"/>
        </w:rPr>
        <w:t>CRC/C/NZL/CO/6, para 43(b).</w:t>
      </w:r>
    </w:p>
  </w:footnote>
  <w:footnote w:id="75">
    <w:p w14:paraId="4DDA24F9" w14:textId="77777777" w:rsidR="00EF2505" w:rsidRPr="0029577C" w:rsidRDefault="00EF2505" w:rsidP="00EF2505">
      <w:pPr>
        <w:pStyle w:val="FootnoteText"/>
        <w:rPr>
          <w:sz w:val="18"/>
          <w:szCs w:val="18"/>
          <w:lang w:val="mi-NZ"/>
        </w:rPr>
      </w:pPr>
      <w:r w:rsidRPr="0029577C">
        <w:rPr>
          <w:rStyle w:val="FootnoteReference"/>
          <w:sz w:val="18"/>
          <w:szCs w:val="18"/>
        </w:rPr>
        <w:footnoteRef/>
      </w:r>
      <w:r w:rsidRPr="0029577C">
        <w:rPr>
          <w:sz w:val="18"/>
          <w:szCs w:val="18"/>
        </w:rPr>
        <w:t xml:space="preserve"> 2018. Office of the Children’s Commissioner. </w:t>
      </w:r>
      <w:hyperlink r:id="rId44" w:history="1">
        <w:r w:rsidRPr="0029577C">
          <w:rPr>
            <w:rStyle w:val="Hyperlink"/>
            <w:rFonts w:cstheme="minorBidi"/>
            <w:sz w:val="18"/>
            <w:szCs w:val="18"/>
          </w:rPr>
          <w:t>Oranga Tamariki Act 1989 - Limiting the use of Police cells | Office of the Children’s Commissioner (childrenandyoungpeople.org.nz)</w:t>
        </w:r>
      </w:hyperlink>
      <w:r w:rsidRPr="0029577C">
        <w:rPr>
          <w:sz w:val="18"/>
          <w:szCs w:val="18"/>
        </w:rPr>
        <w:t xml:space="preserve"> </w:t>
      </w:r>
    </w:p>
  </w:footnote>
  <w:footnote w:id="76">
    <w:p w14:paraId="44C94BC8" w14:textId="77777777" w:rsidR="00EF2505" w:rsidRPr="0029577C" w:rsidRDefault="00EF2505" w:rsidP="00EF2505">
      <w:pPr>
        <w:pStyle w:val="FootnoteText"/>
        <w:rPr>
          <w:sz w:val="18"/>
          <w:szCs w:val="18"/>
          <w:lang w:val="mi-NZ"/>
        </w:rPr>
      </w:pPr>
      <w:r w:rsidRPr="0029577C">
        <w:rPr>
          <w:rStyle w:val="FootnoteReference"/>
          <w:sz w:val="18"/>
          <w:szCs w:val="18"/>
        </w:rPr>
        <w:footnoteRef/>
      </w:r>
      <w:r w:rsidRPr="0029577C">
        <w:rPr>
          <w:sz w:val="18"/>
          <w:szCs w:val="18"/>
        </w:rPr>
        <w:t xml:space="preserve"> l 2021. </w:t>
      </w:r>
      <w:hyperlink r:id="rId45" w:history="1">
        <w:r w:rsidRPr="0029577C">
          <w:rPr>
            <w:rStyle w:val="Hyperlink"/>
            <w:rFonts w:cstheme="minorBidi"/>
            <w:sz w:val="18"/>
            <w:szCs w:val="18"/>
          </w:rPr>
          <w:t>Newshub. Oranga Tamariki strip-searching children in Youth Justice | Newshub</w:t>
        </w:r>
      </w:hyperlink>
      <w:r w:rsidRPr="0029577C">
        <w:rPr>
          <w:sz w:val="18"/>
          <w:szCs w:val="18"/>
        </w:rPr>
        <w:t xml:space="preserve"> </w:t>
      </w:r>
    </w:p>
  </w:footnote>
  <w:footnote w:id="77">
    <w:p w14:paraId="796D2400" w14:textId="77777777" w:rsidR="00EF2505" w:rsidRPr="0029577C" w:rsidRDefault="00EF2505" w:rsidP="00EF2505">
      <w:pPr>
        <w:pStyle w:val="FootnoteText"/>
        <w:rPr>
          <w:sz w:val="18"/>
          <w:szCs w:val="18"/>
          <w:lang w:val="mi-NZ"/>
        </w:rPr>
      </w:pPr>
      <w:r w:rsidRPr="0029577C">
        <w:rPr>
          <w:rStyle w:val="FootnoteReference"/>
          <w:sz w:val="18"/>
          <w:szCs w:val="18"/>
        </w:rPr>
        <w:footnoteRef/>
      </w:r>
      <w:r w:rsidRPr="0029577C">
        <w:rPr>
          <w:sz w:val="18"/>
          <w:szCs w:val="18"/>
        </w:rPr>
        <w:t xml:space="preserve"> Mokopuna quote from a Monitoring Visit to Te Au Rere a te Tonga Youth Justice Residence (2020). Refer to </w:t>
      </w:r>
      <w:hyperlink r:id="rId46" w:history="1">
        <w:r w:rsidRPr="0029577C">
          <w:rPr>
            <w:rStyle w:val="Hyperlink"/>
            <w:rFonts w:cstheme="minorBidi"/>
            <w:sz w:val="18"/>
            <w:szCs w:val="18"/>
          </w:rPr>
          <w:t>OPCAT Youth Justice Residences | Office of the Children’s Commissioner (childrenandyoungpeople.org.nz)</w:t>
        </w:r>
      </w:hyperlink>
      <w:r w:rsidRPr="0029577C">
        <w:rPr>
          <w:sz w:val="18"/>
          <w:szCs w:val="18"/>
        </w:rPr>
        <w:t xml:space="preserve"> </w:t>
      </w:r>
    </w:p>
  </w:footnote>
  <w:footnote w:id="78">
    <w:p w14:paraId="6B0B06DD" w14:textId="77777777" w:rsidR="00EF2505" w:rsidRPr="0029577C" w:rsidRDefault="00EF2505" w:rsidP="00EF2505">
      <w:pPr>
        <w:pStyle w:val="FootnoteText"/>
        <w:rPr>
          <w:sz w:val="18"/>
          <w:szCs w:val="18"/>
          <w:lang w:val="mi-NZ"/>
        </w:rPr>
      </w:pPr>
      <w:r w:rsidRPr="0029577C">
        <w:rPr>
          <w:rStyle w:val="FootnoteReference"/>
          <w:sz w:val="18"/>
          <w:szCs w:val="18"/>
        </w:rPr>
        <w:footnoteRef/>
      </w:r>
      <w:r w:rsidRPr="0029577C">
        <w:rPr>
          <w:sz w:val="18"/>
          <w:szCs w:val="18"/>
        </w:rPr>
        <w:t xml:space="preserve"> Official Information Act 1982 Report Releases. Office of the Children’s Commissioner. </w:t>
      </w:r>
      <w:hyperlink r:id="rId47" w:history="1">
        <w:r w:rsidRPr="0029577C">
          <w:rPr>
            <w:rStyle w:val="Hyperlink"/>
            <w:rFonts w:cstheme="minorBidi"/>
            <w:sz w:val="18"/>
            <w:szCs w:val="18"/>
          </w:rPr>
          <w:t>OIA Releases » Office of the Children’s Commissioner (occ.org.nz)</w:t>
        </w:r>
      </w:hyperlink>
      <w:r w:rsidRPr="0029577C">
        <w:rPr>
          <w:sz w:val="18"/>
          <w:szCs w:val="18"/>
        </w:rPr>
        <w:t xml:space="preserve"> </w:t>
      </w:r>
    </w:p>
  </w:footnote>
  <w:footnote w:id="79">
    <w:p w14:paraId="211337A9" w14:textId="77777777" w:rsidR="00EF2505" w:rsidRPr="00DC16F6" w:rsidRDefault="00EF2505" w:rsidP="00EF2505">
      <w:pPr>
        <w:pStyle w:val="FootnoteText"/>
        <w:rPr>
          <w:sz w:val="18"/>
          <w:szCs w:val="18"/>
          <w:lang w:val="mi-NZ"/>
        </w:rPr>
      </w:pPr>
      <w:r w:rsidRPr="0029577C">
        <w:rPr>
          <w:rStyle w:val="FootnoteReference"/>
          <w:sz w:val="18"/>
          <w:szCs w:val="18"/>
        </w:rPr>
        <w:footnoteRef/>
      </w:r>
      <w:r w:rsidRPr="0029577C">
        <w:rPr>
          <w:sz w:val="18"/>
          <w:szCs w:val="18"/>
        </w:rPr>
        <w:t xml:space="preserve"> Shalev, S. 2020. </w:t>
      </w:r>
      <w:hyperlink r:id="rId48" w:history="1">
        <w:r w:rsidRPr="0029577C">
          <w:rPr>
            <w:rStyle w:val="Hyperlink"/>
            <w:rFonts w:cstheme="minorBidi"/>
            <w:sz w:val="18"/>
            <w:szCs w:val="18"/>
          </w:rPr>
          <w:t>Seclusion and Restraint: Time for a Paradigm Shift</w:t>
        </w:r>
      </w:hyperlink>
      <w:r w:rsidRPr="0029577C">
        <w:rPr>
          <w:sz w:val="18"/>
          <w:szCs w:val="18"/>
        </w:rPr>
        <w:t>. New Zealand Human Rights Commission. NZ</w:t>
      </w:r>
      <w:r w:rsidRPr="00DC16F6">
        <w:rPr>
          <w:sz w:val="18"/>
          <w:szCs w:val="18"/>
        </w:rPr>
        <w:t xml:space="preserve"> Solitary Seclusion and Restraint: Time for a paradigm change (apo.org.au) </w:t>
      </w:r>
    </w:p>
  </w:footnote>
  <w:footnote w:id="80">
    <w:p w14:paraId="794B0D1B" w14:textId="1EBF3289" w:rsidR="00EF2505" w:rsidRPr="004847B5" w:rsidRDefault="00EF2505" w:rsidP="00EF2505">
      <w:pPr>
        <w:pStyle w:val="FootnoteText"/>
        <w:rPr>
          <w:lang w:val="mi-NZ"/>
        </w:rPr>
      </w:pPr>
      <w:r w:rsidRPr="00DC16F6">
        <w:rPr>
          <w:rStyle w:val="FootnoteReference"/>
          <w:sz w:val="18"/>
          <w:szCs w:val="18"/>
        </w:rPr>
        <w:footnoteRef/>
      </w:r>
      <w:r w:rsidRPr="00DC16F6">
        <w:rPr>
          <w:sz w:val="18"/>
          <w:szCs w:val="18"/>
        </w:rPr>
        <w:t xml:space="preserve"> Data provided by Oranga Tamariki</w:t>
      </w:r>
      <w:r w:rsidR="0029577C">
        <w:rPr>
          <w:sz w:val="18"/>
          <w:szCs w:val="18"/>
        </w:rPr>
        <w:t xml:space="preserve"> (2022)</w:t>
      </w:r>
      <w:r w:rsidRPr="00DC16F6">
        <w:rPr>
          <w:sz w:val="18"/>
          <w:szCs w:val="18"/>
        </w:rPr>
        <w:t>.</w:t>
      </w:r>
    </w:p>
  </w:footnote>
  <w:footnote w:id="81">
    <w:p w14:paraId="4F42C649" w14:textId="77777777" w:rsidR="00EF2505" w:rsidRPr="004847B5" w:rsidRDefault="00EF2505" w:rsidP="00EF2505">
      <w:pPr>
        <w:pStyle w:val="FootnoteText"/>
        <w:rPr>
          <w:lang w:val="mi-NZ"/>
        </w:rPr>
      </w:pPr>
      <w:r w:rsidRPr="00DC16F6">
        <w:rPr>
          <w:rStyle w:val="FootnoteReference"/>
          <w:sz w:val="18"/>
          <w:szCs w:val="18"/>
        </w:rPr>
        <w:footnoteRef/>
      </w:r>
      <w:r w:rsidRPr="00DC16F6">
        <w:rPr>
          <w:sz w:val="18"/>
          <w:szCs w:val="18"/>
        </w:rPr>
        <w:t xml:space="preserve"> 2008. Nowak, M. Report of the Special Rapporteur on torture and other cruel, inhuman, or degrading treatment or punishment. U.N. Doc. A/63/175 Annex.</w:t>
      </w:r>
    </w:p>
  </w:footnote>
  <w:footnote w:id="82">
    <w:p w14:paraId="62B7B947" w14:textId="5877C4E5" w:rsidR="00365DBA" w:rsidRPr="00365DBA" w:rsidRDefault="00365DBA">
      <w:pPr>
        <w:pStyle w:val="FootnoteText"/>
        <w:rPr>
          <w:sz w:val="18"/>
          <w:szCs w:val="18"/>
          <w:lang w:val="mi-NZ"/>
        </w:rPr>
      </w:pPr>
      <w:r w:rsidRPr="00365DBA">
        <w:rPr>
          <w:rStyle w:val="FootnoteReference"/>
          <w:sz w:val="18"/>
          <w:szCs w:val="18"/>
        </w:rPr>
        <w:footnoteRef/>
      </w:r>
      <w:r w:rsidRPr="00365DBA">
        <w:rPr>
          <w:sz w:val="18"/>
          <w:szCs w:val="18"/>
        </w:rPr>
        <w:t xml:space="preserve"> </w:t>
      </w:r>
      <w:hyperlink r:id="rId49" w:history="1">
        <w:r w:rsidRPr="00365DBA">
          <w:rPr>
            <w:rStyle w:val="Hyperlink"/>
            <w:sz w:val="18"/>
            <w:szCs w:val="18"/>
          </w:rPr>
          <w:t>Strategic partnerships with Māori | Oranga Tamariki — Ministry for Children</w:t>
        </w:r>
      </w:hyperlink>
      <w:r w:rsidR="00D82054">
        <w:rPr>
          <w:sz w:val="18"/>
          <w:szCs w:val="18"/>
        </w:rPr>
        <w:t>.</w:t>
      </w:r>
    </w:p>
  </w:footnote>
  <w:footnote w:id="83">
    <w:p w14:paraId="3F680E73" w14:textId="6E758B89" w:rsidR="00D82054" w:rsidRPr="00D82054" w:rsidRDefault="00D82054">
      <w:pPr>
        <w:pStyle w:val="FootnoteText"/>
        <w:rPr>
          <w:lang w:val="mi-NZ"/>
        </w:rPr>
      </w:pPr>
      <w:r w:rsidRPr="00D82054">
        <w:rPr>
          <w:rStyle w:val="FootnoteReference"/>
          <w:sz w:val="18"/>
          <w:szCs w:val="18"/>
        </w:rPr>
        <w:footnoteRef/>
      </w:r>
      <w:r w:rsidRPr="00D82054">
        <w:rPr>
          <w:sz w:val="18"/>
          <w:szCs w:val="18"/>
        </w:rPr>
        <w:t xml:space="preserve"> 2023. </w:t>
      </w:r>
      <w:r>
        <w:rPr>
          <w:sz w:val="18"/>
          <w:szCs w:val="18"/>
        </w:rPr>
        <w:t xml:space="preserve">Aroturuki Tamariki. </w:t>
      </w:r>
      <w:hyperlink r:id="rId50" w:history="1">
        <w:r w:rsidRPr="00D82054">
          <w:rPr>
            <w:rStyle w:val="Hyperlink"/>
            <w:i/>
            <w:iCs/>
            <w:sz w:val="18"/>
            <w:szCs w:val="18"/>
          </w:rPr>
          <w:t>Experiences of Care in Aotearoa: Agency Compliance with the National Care Standards and Related Matters Regulations</w:t>
        </w:r>
      </w:hyperlink>
      <w:r w:rsidRPr="00D82054">
        <w:rPr>
          <w:sz w:val="18"/>
          <w:szCs w:val="18"/>
        </w:rPr>
        <w:t>. Reporting Period 1 July 2021 – 30 June 2022</w:t>
      </w:r>
      <w:r>
        <w:rPr>
          <w:sz w:val="18"/>
          <w:szCs w:val="18"/>
        </w:rPr>
        <w:t>.</w:t>
      </w:r>
    </w:p>
  </w:footnote>
  <w:footnote w:id="84">
    <w:p w14:paraId="4FBDB390"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Lambie, I. (2020). </w:t>
      </w:r>
      <w:hyperlink r:id="rId51" w:history="1">
        <w:r w:rsidRPr="002A762E">
          <w:rPr>
            <w:rStyle w:val="Hyperlink"/>
            <w:rFonts w:cstheme="minorBidi"/>
            <w:sz w:val="18"/>
            <w:szCs w:val="18"/>
          </w:rPr>
          <w:t>What were they thinking? A discussion paper on brain and behaviour in relation to the justice system in New Zealand</w:t>
        </w:r>
      </w:hyperlink>
      <w:r w:rsidRPr="002A762E">
        <w:rPr>
          <w:sz w:val="18"/>
          <w:szCs w:val="18"/>
        </w:rPr>
        <w:t>. Auckland, NZ: Office of the Prime Minister’s Chief Science Advisor.</w:t>
      </w:r>
    </w:p>
  </w:footnote>
  <w:footnote w:id="85">
    <w:p w14:paraId="3B9E7B5F" w14:textId="77777777" w:rsidR="00EF2505" w:rsidRPr="00FB4ADC" w:rsidRDefault="00EF2505" w:rsidP="00EF2505">
      <w:pPr>
        <w:pStyle w:val="FootnoteText"/>
        <w:rPr>
          <w:sz w:val="18"/>
          <w:szCs w:val="18"/>
          <w:lang w:val="mi-NZ"/>
        </w:rPr>
      </w:pPr>
      <w:r w:rsidRPr="00FB4ADC">
        <w:rPr>
          <w:rStyle w:val="FootnoteReference"/>
          <w:sz w:val="18"/>
          <w:szCs w:val="18"/>
        </w:rPr>
        <w:footnoteRef/>
      </w:r>
      <w:r w:rsidRPr="00FB4ADC">
        <w:rPr>
          <w:sz w:val="18"/>
          <w:szCs w:val="18"/>
        </w:rPr>
        <w:t xml:space="preserve"> Quote from young person at a care and protection residence. </w:t>
      </w:r>
      <w:r w:rsidRPr="00FB4ADC">
        <w:rPr>
          <w:sz w:val="18"/>
          <w:szCs w:val="18"/>
          <w:lang w:val="mi-NZ"/>
        </w:rPr>
        <w:t xml:space="preserve">See 2020/21 </w:t>
      </w:r>
      <w:hyperlink r:id="rId52" w:history="1">
        <w:r w:rsidRPr="00FB4ADC">
          <w:rPr>
            <w:rStyle w:val="Hyperlink"/>
            <w:rFonts w:cstheme="minorBidi"/>
            <w:sz w:val="18"/>
            <w:szCs w:val="18"/>
            <w:lang w:val="mi-NZ"/>
          </w:rPr>
          <w:t xml:space="preserve">Monitoring Places of Detention: </w:t>
        </w:r>
        <w:r w:rsidRPr="00FB4ADC">
          <w:rPr>
            <w:rStyle w:val="Hyperlink"/>
            <w:rFonts w:cstheme="minorBidi"/>
            <w:sz w:val="18"/>
            <w:szCs w:val="18"/>
          </w:rPr>
          <w:t>Annual report of activities under the Optional Protocol to the Convention Against Torture (OPCAT)</w:t>
        </w:r>
        <w:r w:rsidRPr="00FB4ADC">
          <w:rPr>
            <w:rStyle w:val="Hyperlink"/>
            <w:rFonts w:cstheme="minorBidi"/>
            <w:sz w:val="18"/>
            <w:szCs w:val="18"/>
            <w:lang w:val="mi-NZ"/>
          </w:rPr>
          <w:t>,</w:t>
        </w:r>
      </w:hyperlink>
      <w:r w:rsidRPr="00FB4ADC">
        <w:rPr>
          <w:sz w:val="18"/>
          <w:szCs w:val="18"/>
          <w:lang w:val="mi-NZ"/>
        </w:rPr>
        <w:t xml:space="preserve"> page 19.</w:t>
      </w:r>
    </w:p>
  </w:footnote>
  <w:footnote w:id="86">
    <w:p w14:paraId="49EFC01B" w14:textId="77777777" w:rsidR="00EF2505" w:rsidRPr="00FB4ADC" w:rsidRDefault="00EF2505" w:rsidP="00EF2505">
      <w:pPr>
        <w:pStyle w:val="FootnoteText"/>
        <w:rPr>
          <w:sz w:val="18"/>
          <w:szCs w:val="18"/>
          <w:lang w:val="mi-NZ"/>
        </w:rPr>
      </w:pPr>
      <w:r w:rsidRPr="00FB4ADC">
        <w:rPr>
          <w:rStyle w:val="FootnoteReference"/>
          <w:sz w:val="18"/>
          <w:szCs w:val="18"/>
        </w:rPr>
        <w:footnoteRef/>
      </w:r>
      <w:r w:rsidRPr="00FB4ADC">
        <w:rPr>
          <w:sz w:val="18"/>
          <w:szCs w:val="18"/>
        </w:rPr>
        <w:t xml:space="preserve"> </w:t>
      </w:r>
      <w:r w:rsidRPr="00FB4ADC">
        <w:rPr>
          <w:sz w:val="18"/>
          <w:szCs w:val="18"/>
          <w:lang w:val="mi-NZ"/>
        </w:rPr>
        <w:t xml:space="preserve">2020/21 </w:t>
      </w:r>
      <w:hyperlink r:id="rId53" w:history="1">
        <w:r w:rsidRPr="00FB4ADC">
          <w:rPr>
            <w:rStyle w:val="Hyperlink"/>
            <w:rFonts w:cstheme="minorBidi"/>
            <w:sz w:val="18"/>
            <w:szCs w:val="18"/>
            <w:lang w:val="mi-NZ"/>
          </w:rPr>
          <w:t xml:space="preserve">Monitoring Places of Detention: </w:t>
        </w:r>
        <w:r w:rsidRPr="00FB4ADC">
          <w:rPr>
            <w:rStyle w:val="Hyperlink"/>
            <w:rFonts w:cstheme="minorBidi"/>
            <w:sz w:val="18"/>
            <w:szCs w:val="18"/>
          </w:rPr>
          <w:t>Annual report of activities under the Optional Protocol to the Convention Against Torture (OPCAT)</w:t>
        </w:r>
        <w:r w:rsidRPr="00FB4ADC">
          <w:rPr>
            <w:rStyle w:val="Hyperlink"/>
            <w:rFonts w:cstheme="minorBidi"/>
            <w:sz w:val="18"/>
            <w:szCs w:val="18"/>
            <w:lang w:val="mi-NZ"/>
          </w:rPr>
          <w:t>,</w:t>
        </w:r>
      </w:hyperlink>
    </w:p>
  </w:footnote>
  <w:footnote w:id="87">
    <w:p w14:paraId="0DA9A86C" w14:textId="77777777" w:rsidR="00EF2505" w:rsidRPr="00FB4ADC" w:rsidRDefault="00EF2505" w:rsidP="00EF2505">
      <w:pPr>
        <w:pStyle w:val="FootnoteText"/>
        <w:rPr>
          <w:sz w:val="18"/>
          <w:szCs w:val="18"/>
          <w:lang w:val="mi-NZ"/>
        </w:rPr>
      </w:pPr>
      <w:r w:rsidRPr="00FB4ADC">
        <w:rPr>
          <w:rStyle w:val="FootnoteReference"/>
          <w:sz w:val="18"/>
          <w:szCs w:val="18"/>
        </w:rPr>
        <w:footnoteRef/>
      </w:r>
      <w:r w:rsidRPr="00FB4ADC">
        <w:rPr>
          <w:sz w:val="18"/>
          <w:szCs w:val="18"/>
        </w:rPr>
        <w:t xml:space="preserve"> The Kaiwhakaako role supporting mokopuna with reconnection back into their community, whānau, hāpu and iwi by linking whānau to tikanga and mātauanga Māori.</w:t>
      </w:r>
    </w:p>
  </w:footnote>
  <w:footnote w:id="88">
    <w:p w14:paraId="40AEFE31" w14:textId="77777777" w:rsidR="00EF2505" w:rsidRPr="00FB4ADC" w:rsidRDefault="00EF2505" w:rsidP="00EF2505">
      <w:pPr>
        <w:pStyle w:val="FootnoteText"/>
        <w:rPr>
          <w:sz w:val="18"/>
          <w:szCs w:val="18"/>
          <w:lang w:val="mi-NZ"/>
        </w:rPr>
      </w:pPr>
      <w:r w:rsidRPr="00FB4ADC">
        <w:rPr>
          <w:rStyle w:val="FootnoteReference"/>
          <w:sz w:val="18"/>
          <w:szCs w:val="18"/>
        </w:rPr>
        <w:footnoteRef/>
      </w:r>
      <w:r w:rsidRPr="00FB4ADC">
        <w:rPr>
          <w:sz w:val="18"/>
          <w:szCs w:val="18"/>
        </w:rPr>
        <w:t xml:space="preserve"> </w:t>
      </w:r>
      <w:hyperlink r:id="rId54" w:history="1">
        <w:r w:rsidRPr="00FB4ADC">
          <w:rPr>
            <w:rStyle w:val="Hyperlink"/>
            <w:sz w:val="18"/>
            <w:szCs w:val="18"/>
          </w:rPr>
          <w:t>Epuni Residence OPCAT Monitoring report | Office of the Children’s Commissioner (occ.org.nz)</w:t>
        </w:r>
      </w:hyperlink>
    </w:p>
  </w:footnote>
  <w:footnote w:id="89">
    <w:p w14:paraId="145A782B" w14:textId="77777777" w:rsidR="00EF2505" w:rsidRPr="00FB4ADC" w:rsidRDefault="00EF2505" w:rsidP="00EF2505">
      <w:pPr>
        <w:pStyle w:val="FootnoteText"/>
        <w:rPr>
          <w:sz w:val="18"/>
          <w:szCs w:val="18"/>
          <w:lang w:val="mi-NZ"/>
        </w:rPr>
      </w:pPr>
      <w:r w:rsidRPr="00FB4ADC">
        <w:rPr>
          <w:rStyle w:val="FootnoteReference"/>
          <w:sz w:val="18"/>
          <w:szCs w:val="18"/>
        </w:rPr>
        <w:footnoteRef/>
      </w:r>
      <w:r w:rsidRPr="00FB4ADC">
        <w:rPr>
          <w:sz w:val="18"/>
          <w:szCs w:val="18"/>
        </w:rPr>
        <w:t xml:space="preserve"> </w:t>
      </w:r>
      <w:hyperlink r:id="rId55" w:history="1">
        <w:r w:rsidRPr="00FB4ADC">
          <w:rPr>
            <w:rStyle w:val="Hyperlink"/>
            <w:sz w:val="18"/>
            <w:szCs w:val="18"/>
          </w:rPr>
          <w:t>Whakatakapokai-report-march-2022 | Office of the Children’s Commissioner (occ.org.nz)</w:t>
        </w:r>
      </w:hyperlink>
    </w:p>
  </w:footnote>
  <w:footnote w:id="90">
    <w:p w14:paraId="6DC0BF58" w14:textId="77777777" w:rsidR="00EF2505" w:rsidRPr="00FB4ADC" w:rsidRDefault="00EF2505" w:rsidP="00EF2505">
      <w:pPr>
        <w:pStyle w:val="FootnoteText"/>
        <w:rPr>
          <w:sz w:val="18"/>
          <w:szCs w:val="18"/>
          <w:lang w:val="mi-NZ"/>
        </w:rPr>
      </w:pPr>
      <w:r w:rsidRPr="00FB4ADC">
        <w:rPr>
          <w:rStyle w:val="FootnoteReference"/>
          <w:sz w:val="18"/>
          <w:szCs w:val="18"/>
        </w:rPr>
        <w:footnoteRef/>
      </w:r>
      <w:r w:rsidRPr="00FB4ADC">
        <w:rPr>
          <w:sz w:val="18"/>
          <w:szCs w:val="18"/>
        </w:rPr>
        <w:t xml:space="preserve"> Such as lacking professional boundaries. See, for example: </w:t>
      </w:r>
      <w:hyperlink r:id="rId56" w:history="1">
        <w:r w:rsidRPr="00FB4ADC">
          <w:rPr>
            <w:rStyle w:val="Hyperlink"/>
            <w:sz w:val="18"/>
            <w:szCs w:val="18"/>
          </w:rPr>
          <w:t>Epuni Residence OPCAT Monitoring report | Office of the Children’s Commissioner (occ.org.nz)</w:t>
        </w:r>
      </w:hyperlink>
    </w:p>
  </w:footnote>
  <w:footnote w:id="91">
    <w:p w14:paraId="167975E1" w14:textId="77777777" w:rsidR="00EF2505" w:rsidRPr="00FB4ADC" w:rsidRDefault="00EF2505" w:rsidP="00EF2505">
      <w:pPr>
        <w:pStyle w:val="FootnoteText"/>
        <w:rPr>
          <w:sz w:val="18"/>
          <w:szCs w:val="18"/>
        </w:rPr>
      </w:pPr>
      <w:r w:rsidRPr="00FB4ADC">
        <w:rPr>
          <w:rStyle w:val="FootnoteReference"/>
          <w:sz w:val="18"/>
          <w:szCs w:val="18"/>
        </w:rPr>
        <w:footnoteRef/>
      </w:r>
      <w:r w:rsidRPr="00FB4ADC">
        <w:rPr>
          <w:sz w:val="18"/>
          <w:szCs w:val="18"/>
        </w:rPr>
        <w:t xml:space="preserve"> Monitoring Reports: Care and Protection Residences. Office of the Children’s Commissioner. </w:t>
      </w:r>
      <w:hyperlink r:id="rId57" w:history="1">
        <w:r w:rsidRPr="00FB4ADC">
          <w:rPr>
            <w:rStyle w:val="Hyperlink"/>
            <w:sz w:val="18"/>
            <w:szCs w:val="18"/>
          </w:rPr>
          <w:t>Care and Protection Residence reports from July 2021 to March 2022 | Office of the Children’s Commissioner (childrenandyoungpeople.org.nz)</w:t>
        </w:r>
      </w:hyperlink>
      <w:r w:rsidRPr="00FB4ADC">
        <w:rPr>
          <w:rStyle w:val="Hyperlink"/>
          <w:sz w:val="18"/>
          <w:szCs w:val="18"/>
        </w:rPr>
        <w:t xml:space="preserve">; and </w:t>
      </w:r>
      <w:r w:rsidRPr="00FB4ADC">
        <w:rPr>
          <w:sz w:val="18"/>
          <w:szCs w:val="18"/>
        </w:rPr>
        <w:t xml:space="preserve">2022. Newshub. </w:t>
      </w:r>
      <w:hyperlink r:id="rId58" w:history="1">
        <w:r w:rsidRPr="00FB4ADC">
          <w:rPr>
            <w:rStyle w:val="Hyperlink"/>
            <w:sz w:val="18"/>
            <w:szCs w:val="18"/>
          </w:rPr>
          <w:t>Oranga Tamariki: Damning reports reveal shocking levels of self-harm, suicide attempts in care facilities | Newshub</w:t>
        </w:r>
      </w:hyperlink>
      <w:r w:rsidRPr="00FB4ADC">
        <w:rPr>
          <w:rStyle w:val="Hyperlink"/>
          <w:sz w:val="18"/>
          <w:szCs w:val="18"/>
        </w:rPr>
        <w:t>.</w:t>
      </w:r>
    </w:p>
  </w:footnote>
  <w:footnote w:id="92">
    <w:p w14:paraId="4CABE339" w14:textId="77777777" w:rsidR="00EF2505" w:rsidRPr="002A762E" w:rsidRDefault="00EF2505" w:rsidP="00EF2505">
      <w:pPr>
        <w:pStyle w:val="FootnoteText"/>
        <w:rPr>
          <w:sz w:val="18"/>
          <w:szCs w:val="18"/>
          <w:lang w:val="mi-NZ"/>
        </w:rPr>
      </w:pPr>
      <w:r w:rsidRPr="00FB4ADC">
        <w:rPr>
          <w:rStyle w:val="FootnoteReference"/>
          <w:sz w:val="18"/>
          <w:szCs w:val="18"/>
        </w:rPr>
        <w:footnoteRef/>
      </w:r>
      <w:r w:rsidRPr="00FB4ADC">
        <w:rPr>
          <w:sz w:val="18"/>
          <w:szCs w:val="18"/>
        </w:rPr>
        <w:t xml:space="preserve"> Refer to </w:t>
      </w:r>
      <w:hyperlink r:id="rId59" w:history="1">
        <w:r w:rsidRPr="00FB4ADC">
          <w:rPr>
            <w:rStyle w:val="Hyperlink"/>
            <w:sz w:val="18"/>
            <w:szCs w:val="18"/>
          </w:rPr>
          <w:t>https://www.childrenandyoungpeople.org.nz/publications/submissions/childrens-commissioners-views-on-priorities-for-children-in-new-zealand/</w:t>
        </w:r>
      </w:hyperlink>
      <w:r w:rsidRPr="00FB4ADC">
        <w:rPr>
          <w:sz w:val="18"/>
          <w:szCs w:val="18"/>
        </w:rPr>
        <w:t xml:space="preserve"> ; </w:t>
      </w:r>
      <w:hyperlink r:id="rId60" w:history="1">
        <w:r w:rsidRPr="00FB4ADC">
          <w:rPr>
            <w:rStyle w:val="Hyperlink"/>
            <w:sz w:val="18"/>
            <w:szCs w:val="18"/>
          </w:rPr>
          <w:t>Supplementary report to the United Nations Committee on the Rights of the Child | Office of the Children’s Commissioner (childrenandyoungpeople.org.nz)</w:t>
        </w:r>
      </w:hyperlink>
      <w:r w:rsidRPr="00FB4ADC">
        <w:rPr>
          <w:sz w:val="18"/>
          <w:szCs w:val="18"/>
        </w:rPr>
        <w:t xml:space="preserve"> ;</w:t>
      </w:r>
      <w:r w:rsidRPr="00FB4ADC">
        <w:rPr>
          <w:sz w:val="18"/>
          <w:szCs w:val="18"/>
          <w:lang w:val="mi-NZ"/>
        </w:rPr>
        <w:t xml:space="preserve"> </w:t>
      </w:r>
      <w:hyperlink r:id="rId61" w:history="1">
        <w:r w:rsidRPr="00FB4ADC">
          <w:rPr>
            <w:rStyle w:val="Hyperlink"/>
            <w:sz w:val="18"/>
            <w:szCs w:val="18"/>
          </w:rPr>
          <w:t>INT_CRC_NGO_NZL_22410_E.pdf (ohchr.org)</w:t>
        </w:r>
      </w:hyperlink>
    </w:p>
  </w:footnote>
  <w:footnote w:id="93">
    <w:p w14:paraId="5B7B5901" w14:textId="77777777" w:rsidR="0029577C" w:rsidRPr="008E67F8" w:rsidRDefault="0029577C" w:rsidP="0029577C">
      <w:pPr>
        <w:pStyle w:val="FootnoteText"/>
        <w:rPr>
          <w:lang w:val="mi-NZ"/>
        </w:rPr>
      </w:pPr>
      <w:r w:rsidRPr="008E67F8">
        <w:rPr>
          <w:rStyle w:val="FootnoteReference"/>
          <w:sz w:val="18"/>
          <w:szCs w:val="18"/>
        </w:rPr>
        <w:footnoteRef/>
      </w:r>
      <w:r w:rsidRPr="008E67F8">
        <w:rPr>
          <w:sz w:val="18"/>
          <w:szCs w:val="18"/>
        </w:rPr>
        <w:t xml:space="preserve"> 2004. Barrington, J. </w:t>
      </w:r>
      <w:r w:rsidRPr="003A16C2">
        <w:rPr>
          <w:i/>
          <w:iCs/>
          <w:sz w:val="18"/>
          <w:szCs w:val="18"/>
        </w:rPr>
        <w:t>A Voice for Children</w:t>
      </w:r>
      <w:r w:rsidRPr="008E67F8">
        <w:rPr>
          <w:sz w:val="18"/>
          <w:szCs w:val="18"/>
        </w:rPr>
        <w:t>. The Office of the Commissioner for Children in New Zealand 1984–2003. Page 30.</w:t>
      </w:r>
    </w:p>
  </w:footnote>
  <w:footnote w:id="94">
    <w:p w14:paraId="7938DB2B"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2017. Office of the Children’s Commissioner. </w:t>
      </w:r>
      <w:hyperlink r:id="rId62" w:history="1">
        <w:r w:rsidRPr="002A762E">
          <w:rPr>
            <w:rStyle w:val="Hyperlink"/>
            <w:sz w:val="18"/>
            <w:szCs w:val="18"/>
          </w:rPr>
          <w:t>State of Care 2017: A focus on Oranga Tamariki's secure residences | Office of the Children’s Commissioner (childrenandyoungpeople.org.nz)</w:t>
        </w:r>
      </w:hyperlink>
    </w:p>
  </w:footnote>
  <w:footnote w:id="95">
    <w:p w14:paraId="153CFC2E"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2018. Office of the Children’s Commissioner. </w:t>
      </w:r>
      <w:hyperlink r:id="rId63" w:history="1">
        <w:r w:rsidRPr="002A762E">
          <w:rPr>
            <w:rStyle w:val="Hyperlink"/>
            <w:rFonts w:cstheme="minorBidi"/>
            <w:sz w:val="18"/>
            <w:szCs w:val="18"/>
          </w:rPr>
          <w:t>State of Care 2018: Maiea te Tūruapō - Fulfilling the Vision | Office of the Children’s Commissioner (childrenandyoungpeople.org.nz)</w:t>
        </w:r>
      </w:hyperlink>
      <w:r w:rsidRPr="002A762E">
        <w:rPr>
          <w:sz w:val="18"/>
          <w:szCs w:val="18"/>
        </w:rPr>
        <w:t xml:space="preserve"> </w:t>
      </w:r>
    </w:p>
  </w:footnote>
  <w:footnote w:id="96">
    <w:p w14:paraId="5FA3386A" w14:textId="77777777" w:rsidR="00EF2505" w:rsidRPr="002A762E" w:rsidRDefault="00EF2505" w:rsidP="00EF2505">
      <w:pPr>
        <w:pStyle w:val="FootnoteText"/>
        <w:rPr>
          <w:sz w:val="18"/>
          <w:szCs w:val="18"/>
        </w:rPr>
      </w:pPr>
      <w:r w:rsidRPr="002A762E">
        <w:rPr>
          <w:rStyle w:val="FootnoteReference"/>
          <w:sz w:val="18"/>
          <w:szCs w:val="18"/>
        </w:rPr>
        <w:footnoteRef/>
      </w:r>
      <w:r w:rsidRPr="002A762E">
        <w:rPr>
          <w:sz w:val="18"/>
          <w:szCs w:val="18"/>
        </w:rPr>
        <w:t xml:space="preserve"> CRC/C/NZL/CO/6, para 43(b).</w:t>
      </w:r>
    </w:p>
  </w:footnote>
  <w:footnote w:id="97">
    <w:p w14:paraId="13B83432"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2015. Expert Panel Final Report Investing in New Zealand’s Children and their Families. Ministry of Social Development. </w:t>
      </w:r>
      <w:hyperlink r:id="rId64" w:history="1">
        <w:r w:rsidRPr="002A762E">
          <w:rPr>
            <w:rStyle w:val="Hyperlink"/>
            <w:rFonts w:cstheme="minorBidi"/>
            <w:sz w:val="18"/>
            <w:szCs w:val="18"/>
          </w:rPr>
          <w:t>investing-in-children-report.pdf (msd.govt.nz</w:t>
        </w:r>
      </w:hyperlink>
      <w:r w:rsidRPr="002A762E">
        <w:rPr>
          <w:sz w:val="18"/>
          <w:szCs w:val="18"/>
        </w:rPr>
        <w:t xml:space="preserve">) </w:t>
      </w:r>
    </w:p>
  </w:footnote>
  <w:footnote w:id="98">
    <w:p w14:paraId="1CB7150B" w14:textId="77777777" w:rsidR="00EF2505" w:rsidRPr="00FF1BB5" w:rsidRDefault="00EF2505" w:rsidP="00EF2505">
      <w:pPr>
        <w:pStyle w:val="FootnoteText"/>
        <w:rPr>
          <w:lang w:val="mi-NZ"/>
        </w:rPr>
      </w:pPr>
      <w:r w:rsidRPr="002A762E">
        <w:rPr>
          <w:rStyle w:val="FootnoteReference"/>
          <w:sz w:val="18"/>
          <w:szCs w:val="18"/>
        </w:rPr>
        <w:footnoteRef/>
      </w:r>
      <w:r w:rsidRPr="002A762E">
        <w:rPr>
          <w:sz w:val="18"/>
          <w:szCs w:val="18"/>
        </w:rPr>
        <w:t xml:space="preserve"> </w:t>
      </w:r>
      <w:r w:rsidRPr="002A762E">
        <w:rPr>
          <w:sz w:val="18"/>
          <w:szCs w:val="18"/>
          <w:lang w:val="mi-NZ"/>
        </w:rPr>
        <w:t xml:space="preserve">2021. </w:t>
      </w:r>
      <w:r w:rsidRPr="002A762E">
        <w:rPr>
          <w:sz w:val="18"/>
          <w:szCs w:val="18"/>
        </w:rPr>
        <w:t xml:space="preserve">Office of the Children’s Commissioner. </w:t>
      </w:r>
      <w:hyperlink r:id="rId65" w:history="1">
        <w:r w:rsidRPr="002A762E">
          <w:rPr>
            <w:rStyle w:val="Hyperlink"/>
            <w:sz w:val="18"/>
            <w:szCs w:val="18"/>
          </w:rPr>
          <w:t>Decision to close residences strongly welcomed | Office of the Children’s Commissioner (occ.org.nz)</w:t>
        </w:r>
      </w:hyperlink>
    </w:p>
  </w:footnote>
  <w:footnote w:id="99">
    <w:p w14:paraId="23AE85DC" w14:textId="56224131" w:rsidR="00A21F61" w:rsidRPr="00A21F61" w:rsidRDefault="00A21F61">
      <w:pPr>
        <w:pStyle w:val="FootnoteText"/>
        <w:rPr>
          <w:lang w:val="mi-NZ"/>
        </w:rPr>
      </w:pPr>
      <w:r w:rsidRPr="00A21F61">
        <w:rPr>
          <w:rStyle w:val="FootnoteReference"/>
          <w:sz w:val="18"/>
          <w:szCs w:val="18"/>
        </w:rPr>
        <w:footnoteRef/>
      </w:r>
      <w:r w:rsidRPr="00A21F61">
        <w:rPr>
          <w:sz w:val="18"/>
          <w:szCs w:val="18"/>
        </w:rPr>
        <w:t xml:space="preserve"> 2022. Puketai </w:t>
      </w:r>
      <w:r w:rsidRPr="00A21F61">
        <w:rPr>
          <w:sz w:val="18"/>
          <w:szCs w:val="18"/>
          <w:lang w:val="mi-NZ"/>
        </w:rPr>
        <w:t>Care</w:t>
      </w:r>
      <w:r w:rsidRPr="00A21F61">
        <w:rPr>
          <w:sz w:val="18"/>
          <w:szCs w:val="18"/>
        </w:rPr>
        <w:t xml:space="preserve"> and Protection Residence. </w:t>
      </w:r>
      <w:hyperlink r:id="rId66" w:history="1">
        <w:r w:rsidRPr="00A21F61">
          <w:rPr>
            <w:rStyle w:val="Hyperlink"/>
            <w:sz w:val="18"/>
            <w:szCs w:val="18"/>
          </w:rPr>
          <w:t>Puketai Monitoring Report | Office of the Children’s Commissioner (occ.org.nz)</w:t>
        </w:r>
      </w:hyperlink>
    </w:p>
  </w:footnote>
  <w:footnote w:id="100">
    <w:p w14:paraId="36AF0749"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w:t>
      </w:r>
      <w:hyperlink r:id="rId67" w:history="1">
        <w:r w:rsidRPr="002A762E">
          <w:rPr>
            <w:rStyle w:val="Hyperlink"/>
            <w:sz w:val="18"/>
            <w:szCs w:val="18"/>
          </w:rPr>
          <w:t>Oranga Tamariki closing care and protection residence (newsroom.co.nz)</w:t>
        </w:r>
      </w:hyperlink>
    </w:p>
  </w:footnote>
  <w:footnote w:id="101">
    <w:p w14:paraId="73B74F83"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w:t>
      </w:r>
      <w:hyperlink r:id="rId68" w:history="1">
        <w:r w:rsidRPr="002A762E">
          <w:rPr>
            <w:rStyle w:val="Hyperlink"/>
            <w:sz w:val="18"/>
            <w:szCs w:val="18"/>
          </w:rPr>
          <w:t>Te Oranga Care and Protection Residence report | Office of the Children’s Commissioner (occ.org.nz)</w:t>
        </w:r>
      </w:hyperlink>
    </w:p>
  </w:footnote>
  <w:footnote w:id="102">
    <w:p w14:paraId="5A72462E" w14:textId="2F5FFB3D"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w:t>
      </w:r>
      <w:r w:rsidRPr="002A762E">
        <w:rPr>
          <w:sz w:val="18"/>
          <w:szCs w:val="18"/>
          <w:lang w:val="mi-NZ"/>
        </w:rPr>
        <w:t xml:space="preserve">2021. Te Au rere a Tonga Residence. </w:t>
      </w:r>
      <w:hyperlink r:id="rId69" w:history="1">
        <w:r w:rsidRPr="002A762E">
          <w:rPr>
            <w:rStyle w:val="Hyperlink"/>
            <w:sz w:val="18"/>
            <w:szCs w:val="18"/>
          </w:rPr>
          <w:t>OPCAT Youth Justice Residences | Office of the Children’s Commissioner (occ.org.nz)</w:t>
        </w:r>
      </w:hyperlink>
      <w:r w:rsidRPr="002A762E">
        <w:rPr>
          <w:sz w:val="18"/>
          <w:szCs w:val="18"/>
        </w:rPr>
        <w:t>. This report highlighted serious concerns around staff swearing, bullying, inciting figthts, supplying cannabis, hitting, and humiliating young people.</w:t>
      </w:r>
    </w:p>
  </w:footnote>
  <w:footnote w:id="103">
    <w:p w14:paraId="6CFB3AA2" w14:textId="77777777" w:rsidR="00EF2505" w:rsidRPr="002A762E" w:rsidRDefault="00EF2505" w:rsidP="00EF2505">
      <w:pPr>
        <w:pStyle w:val="FootnoteText"/>
        <w:rPr>
          <w:sz w:val="18"/>
          <w:szCs w:val="18"/>
        </w:rPr>
      </w:pPr>
      <w:r w:rsidRPr="002A762E">
        <w:rPr>
          <w:rStyle w:val="FootnoteReference"/>
          <w:sz w:val="18"/>
          <w:szCs w:val="18"/>
        </w:rPr>
        <w:footnoteRef/>
      </w:r>
      <w:r w:rsidRPr="002A762E">
        <w:rPr>
          <w:sz w:val="18"/>
          <w:szCs w:val="18"/>
        </w:rPr>
        <w:t xml:space="preserve"> BMS is a </w:t>
      </w:r>
      <w:r w:rsidRPr="00991696">
        <w:rPr>
          <w:sz w:val="18"/>
          <w:szCs w:val="18"/>
        </w:rPr>
        <w:t>rewards-based</w:t>
      </w:r>
      <w:r w:rsidRPr="002A762E">
        <w:rPr>
          <w:sz w:val="18"/>
          <w:szCs w:val="18"/>
        </w:rPr>
        <w:t xml:space="preserve"> system designed to try to motivate positive behaviour of mokopuna as well as manage challenging behaviour.</w:t>
      </w:r>
    </w:p>
  </w:footnote>
  <w:footnote w:id="104">
    <w:p w14:paraId="7D055694" w14:textId="77777777" w:rsidR="00EF2505" w:rsidRPr="002A762E" w:rsidRDefault="00EF2505" w:rsidP="00EF2505">
      <w:pPr>
        <w:pStyle w:val="FootnoteText"/>
        <w:rPr>
          <w:sz w:val="18"/>
          <w:szCs w:val="18"/>
        </w:rPr>
      </w:pPr>
      <w:r w:rsidRPr="002A762E">
        <w:rPr>
          <w:rStyle w:val="FootnoteReference"/>
          <w:sz w:val="18"/>
          <w:szCs w:val="18"/>
        </w:rPr>
        <w:footnoteRef/>
      </w:r>
      <w:r w:rsidRPr="002A762E">
        <w:rPr>
          <w:sz w:val="18"/>
          <w:szCs w:val="18"/>
        </w:rPr>
        <w:t xml:space="preserve"> See </w:t>
      </w:r>
      <w:hyperlink r:id="rId70" w:history="1">
        <w:r w:rsidRPr="002A762E">
          <w:rPr>
            <w:rStyle w:val="Hyperlink"/>
            <w:sz w:val="18"/>
            <w:szCs w:val="18"/>
          </w:rPr>
          <w:t>OPCAT Youth Justice Residences | Office of the Children’s Commissioner (occ.org.nz)</w:t>
        </w:r>
      </w:hyperlink>
      <w:r w:rsidRPr="002A762E">
        <w:rPr>
          <w:rStyle w:val="Hyperlink"/>
          <w:sz w:val="18"/>
          <w:szCs w:val="18"/>
        </w:rPr>
        <w:t xml:space="preserve">; </w:t>
      </w:r>
      <w:hyperlink r:id="rId71" w:history="1">
        <w:r w:rsidRPr="002A762E">
          <w:rPr>
            <w:rStyle w:val="Hyperlink"/>
            <w:sz w:val="18"/>
            <w:szCs w:val="18"/>
          </w:rPr>
          <w:t>Te Au rere a te Tonga OPCAT Monitoring report | Office of the Children’s Commissioner (occ.org.nz)</w:t>
        </w:r>
      </w:hyperlink>
      <w:r w:rsidRPr="002A762E">
        <w:rPr>
          <w:sz w:val="18"/>
          <w:szCs w:val="18"/>
        </w:rPr>
        <w:t xml:space="preserve">; </w:t>
      </w:r>
      <w:hyperlink r:id="rId72" w:history="1">
        <w:r w:rsidRPr="002A762E">
          <w:rPr>
            <w:rStyle w:val="Hyperlink"/>
            <w:sz w:val="18"/>
            <w:szCs w:val="18"/>
          </w:rPr>
          <w:t>Te Puna Wai ō Tuhinapo Monitoring Report | Office of the Children’s Commissioner (occ.org.nz)</w:t>
        </w:r>
      </w:hyperlink>
      <w:r w:rsidRPr="002A762E">
        <w:rPr>
          <w:sz w:val="18"/>
          <w:szCs w:val="18"/>
        </w:rPr>
        <w:t>.</w:t>
      </w:r>
    </w:p>
  </w:footnote>
  <w:footnote w:id="105">
    <w:p w14:paraId="50D7642D" w14:textId="77777777" w:rsidR="00EF2505" w:rsidRPr="00226E35" w:rsidRDefault="00EF2505" w:rsidP="00EF2505">
      <w:pPr>
        <w:pStyle w:val="FootnoteText"/>
        <w:rPr>
          <w:sz w:val="18"/>
          <w:szCs w:val="18"/>
          <w:lang w:val="mi-NZ"/>
        </w:rPr>
      </w:pPr>
      <w:r w:rsidRPr="00226E35">
        <w:rPr>
          <w:rStyle w:val="FootnoteReference"/>
          <w:sz w:val="18"/>
          <w:szCs w:val="18"/>
        </w:rPr>
        <w:footnoteRef/>
      </w:r>
      <w:r w:rsidRPr="00226E35">
        <w:rPr>
          <w:sz w:val="18"/>
          <w:szCs w:val="18"/>
        </w:rPr>
        <w:t xml:space="preserve"> 2021. RNZ. </w:t>
      </w:r>
      <w:hyperlink r:id="rId73" w:history="1">
        <w:r w:rsidRPr="00226E35">
          <w:rPr>
            <w:rStyle w:val="Hyperlink"/>
            <w:sz w:val="18"/>
            <w:szCs w:val="18"/>
          </w:rPr>
          <w:t>Korowai Manaaki security problems: Staff failing to do 'basic work', report finds | RNZ News</w:t>
        </w:r>
      </w:hyperlink>
    </w:p>
  </w:footnote>
  <w:footnote w:id="106">
    <w:p w14:paraId="722AE84A" w14:textId="3911783A" w:rsidR="00EF2505" w:rsidRPr="00226E35" w:rsidRDefault="00EF2505" w:rsidP="00EF2505">
      <w:pPr>
        <w:pStyle w:val="FootnoteText"/>
        <w:rPr>
          <w:sz w:val="18"/>
          <w:szCs w:val="18"/>
          <w:lang w:val="mi-NZ"/>
        </w:rPr>
      </w:pPr>
      <w:r w:rsidRPr="00226E35">
        <w:rPr>
          <w:rStyle w:val="FootnoteReference"/>
          <w:sz w:val="18"/>
          <w:szCs w:val="18"/>
        </w:rPr>
        <w:footnoteRef/>
      </w:r>
      <w:r w:rsidRPr="00226E35">
        <w:rPr>
          <w:sz w:val="18"/>
          <w:szCs w:val="18"/>
        </w:rPr>
        <w:t xml:space="preserve"> </w:t>
      </w:r>
      <w:r w:rsidR="00944EAF" w:rsidRPr="00226E35">
        <w:rPr>
          <w:sz w:val="18"/>
          <w:szCs w:val="18"/>
        </w:rPr>
        <w:t xml:space="preserve">2023. NZ Herald. </w:t>
      </w:r>
      <w:hyperlink r:id="rId74" w:history="1">
        <w:r w:rsidR="00944EAF" w:rsidRPr="00226E35">
          <w:rPr>
            <w:rStyle w:val="Hyperlink"/>
            <w:sz w:val="18"/>
            <w:szCs w:val="18"/>
          </w:rPr>
          <w:t>Staff member injured, youth assaulted at youth justice facilities - NZ Herald</w:t>
        </w:r>
      </w:hyperlink>
      <w:r w:rsidR="00944EAF" w:rsidRPr="00226E35">
        <w:rPr>
          <w:sz w:val="18"/>
          <w:szCs w:val="18"/>
        </w:rPr>
        <w:t xml:space="preserve">; </w:t>
      </w:r>
      <w:r w:rsidRPr="00226E35">
        <w:rPr>
          <w:sz w:val="18"/>
          <w:szCs w:val="18"/>
        </w:rPr>
        <w:t xml:space="preserve">2023. Newshub. </w:t>
      </w:r>
      <w:hyperlink r:id="rId75" w:history="1">
        <w:r w:rsidRPr="00226E35">
          <w:rPr>
            <w:rStyle w:val="Hyperlink"/>
            <w:sz w:val="18"/>
            <w:szCs w:val="18"/>
          </w:rPr>
          <w:t>Staff member stabbed with makeshift weapon at Rolleston youth justice facility after five teenagers escape onto roof | Newshub</w:t>
        </w:r>
      </w:hyperlink>
    </w:p>
  </w:footnote>
  <w:footnote w:id="107">
    <w:p w14:paraId="01FA0F7B" w14:textId="0B9009B5" w:rsidR="00226E35" w:rsidRPr="00226E35" w:rsidRDefault="00226E35">
      <w:pPr>
        <w:pStyle w:val="FootnoteText"/>
        <w:rPr>
          <w:lang w:val="mi-NZ"/>
        </w:rPr>
      </w:pPr>
      <w:r w:rsidRPr="00226E35">
        <w:rPr>
          <w:rStyle w:val="FootnoteReference"/>
          <w:sz w:val="18"/>
          <w:szCs w:val="18"/>
        </w:rPr>
        <w:footnoteRef/>
      </w:r>
      <w:r w:rsidRPr="00226E35">
        <w:rPr>
          <w:sz w:val="18"/>
          <w:szCs w:val="18"/>
        </w:rPr>
        <w:t xml:space="preserve"> </w:t>
      </w:r>
      <w:r w:rsidRPr="00226E35">
        <w:rPr>
          <w:sz w:val="18"/>
          <w:szCs w:val="18"/>
          <w:lang w:val="mi-NZ"/>
        </w:rPr>
        <w:t xml:space="preserve">2023. NZ Herald. </w:t>
      </w:r>
      <w:hyperlink r:id="rId76" w:history="1">
        <w:r w:rsidRPr="00226E35">
          <w:rPr>
            <w:rStyle w:val="Hyperlink"/>
            <w:sz w:val="18"/>
            <w:szCs w:val="18"/>
          </w:rPr>
          <w:t>The inside story of New Zealand’s youth justice residences - NZ Herald</w:t>
        </w:r>
      </w:hyperlink>
    </w:p>
  </w:footnote>
  <w:footnote w:id="108">
    <w:p w14:paraId="731E45D5"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w:t>
      </w:r>
      <w:hyperlink r:id="rId77" w:history="1">
        <w:r w:rsidRPr="002A762E">
          <w:rPr>
            <w:rStyle w:val="Hyperlink"/>
            <w:sz w:val="18"/>
            <w:szCs w:val="18"/>
          </w:rPr>
          <w:t>Youths spend hours on roof of justice facility after breaking out of unit | Stuff.co.nz</w:t>
        </w:r>
      </w:hyperlink>
    </w:p>
  </w:footnote>
  <w:footnote w:id="109">
    <w:p w14:paraId="7B376CB1" w14:textId="496F983E" w:rsidR="00720FB0" w:rsidRPr="00720FB0" w:rsidRDefault="00720FB0">
      <w:pPr>
        <w:pStyle w:val="FootnoteText"/>
        <w:rPr>
          <w:lang w:val="mi-NZ"/>
        </w:rPr>
      </w:pPr>
      <w:r w:rsidRPr="00720FB0">
        <w:rPr>
          <w:rStyle w:val="FootnoteReference"/>
          <w:sz w:val="18"/>
          <w:szCs w:val="18"/>
        </w:rPr>
        <w:footnoteRef/>
      </w:r>
      <w:r w:rsidRPr="00720FB0">
        <w:rPr>
          <w:sz w:val="18"/>
          <w:szCs w:val="18"/>
        </w:rPr>
        <w:t xml:space="preserve"> </w:t>
      </w:r>
      <w:r w:rsidRPr="00720FB0">
        <w:rPr>
          <w:color w:val="000000"/>
          <w:sz w:val="18"/>
          <w:szCs w:val="18"/>
          <w:lang w:val="en-AU" w:eastAsia="en-GB"/>
        </w:rPr>
        <w:t>Adopted by the United Nations General Assembly resolution 43/173 of 9 December 1988.</w:t>
      </w:r>
    </w:p>
  </w:footnote>
  <w:footnote w:id="110">
    <w:p w14:paraId="6B69EC65" w14:textId="77777777" w:rsidR="00EF2505" w:rsidRPr="00140861" w:rsidRDefault="00EF2505" w:rsidP="00EF2505">
      <w:pPr>
        <w:pStyle w:val="FootnoteText"/>
        <w:rPr>
          <w:lang w:val="mi-NZ"/>
        </w:rPr>
      </w:pPr>
      <w:r w:rsidRPr="002A762E">
        <w:rPr>
          <w:rStyle w:val="FootnoteReference"/>
          <w:sz w:val="18"/>
          <w:szCs w:val="18"/>
        </w:rPr>
        <w:footnoteRef/>
      </w:r>
      <w:r w:rsidRPr="002A762E">
        <w:rPr>
          <w:sz w:val="18"/>
          <w:szCs w:val="18"/>
        </w:rPr>
        <w:t xml:space="preserve"> Whakamana Tangata is a Māori centred practice approach which has relational, restorative and inclusive practice at its core. It focuses on preventative and restorative elements that encourage mokopuna to take responsibility for their actions and behaviour, enhance accountability, repair harm and restore mana.</w:t>
      </w:r>
    </w:p>
  </w:footnote>
  <w:footnote w:id="111">
    <w:p w14:paraId="599ECDCF"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2015. Ministry of Health. Taking Action on Fetal Alcohol Spectrum Disorder (FASD): A discussion document. Wellington. Taking Action on Fetal Alcohol Spectrum Disorder (FASD) : A discussion document (health.govt.nz) </w:t>
      </w:r>
    </w:p>
  </w:footnote>
  <w:footnote w:id="112">
    <w:p w14:paraId="3C4A666D"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2020. Oranga Tamariki. </w:t>
      </w:r>
      <w:hyperlink r:id="rId78" w:history="1">
        <w:r w:rsidRPr="002A762E">
          <w:rPr>
            <w:rStyle w:val="Hyperlink"/>
            <w:sz w:val="18"/>
            <w:szCs w:val="18"/>
          </w:rPr>
          <w:t>Children and young people with impairments (orangatamariki.govt.nz)</w:t>
        </w:r>
      </w:hyperlink>
    </w:p>
  </w:footnote>
  <w:footnote w:id="113">
    <w:p w14:paraId="0D48307A"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w:t>
      </w:r>
      <w:hyperlink r:id="rId79" w:history="1">
        <w:r w:rsidRPr="002A762E">
          <w:rPr>
            <w:rStyle w:val="Hyperlink"/>
            <w:sz w:val="18"/>
            <w:szCs w:val="18"/>
          </w:rPr>
          <w:t>NZ Children's Commissioner's Report to the UN Committee on the Rights of the Child - 2022 | Office of the Children’s Commissioner (occ.org.nz)</w:t>
        </w:r>
      </w:hyperlink>
      <w:r w:rsidRPr="002A762E">
        <w:rPr>
          <w:sz w:val="18"/>
          <w:szCs w:val="18"/>
        </w:rPr>
        <w:t xml:space="preserve">; 2022. Monitoring Visit to Te Au Rere a te Tonga Youth Justice Residence. </w:t>
      </w:r>
      <w:hyperlink r:id="rId80" w:history="1">
        <w:r w:rsidRPr="002A762E">
          <w:rPr>
            <w:rStyle w:val="Hyperlink"/>
            <w:rFonts w:cstheme="minorBidi"/>
            <w:sz w:val="18"/>
            <w:szCs w:val="18"/>
          </w:rPr>
          <w:t>Te Au rere a te Tonga OPCAT Monitoring report | Office of the Children’s Commissioner (occ.org.nz).</w:t>
        </w:r>
      </w:hyperlink>
    </w:p>
  </w:footnote>
  <w:footnote w:id="114">
    <w:p w14:paraId="257879BC"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w:t>
      </w:r>
      <w:r w:rsidRPr="002A762E">
        <w:rPr>
          <w:sz w:val="18"/>
          <w:szCs w:val="18"/>
          <w:lang w:val="mi-NZ"/>
        </w:rPr>
        <w:t xml:space="preserve">State of Care report 7 </w:t>
      </w:r>
      <w:hyperlink r:id="rId81" w:history="1">
        <w:r w:rsidRPr="002A762E">
          <w:rPr>
            <w:rStyle w:val="Hyperlink"/>
            <w:sz w:val="18"/>
            <w:szCs w:val="18"/>
            <w:lang w:val="en-GB"/>
          </w:rPr>
          <w:t>State of Care report</w:t>
        </w:r>
      </w:hyperlink>
      <w:r w:rsidRPr="002A762E">
        <w:rPr>
          <w:rStyle w:val="Hyperlink"/>
          <w:sz w:val="18"/>
          <w:szCs w:val="18"/>
          <w:lang w:val="en-GB"/>
        </w:rPr>
        <w:t xml:space="preserve">. </w:t>
      </w:r>
      <w:r w:rsidRPr="002A762E">
        <w:rPr>
          <w:sz w:val="18"/>
          <w:szCs w:val="18"/>
          <w:lang w:val="mi-NZ"/>
        </w:rPr>
        <w:t>This is also a requirement under s208 of the Oranga Tamariki Act 1989.</w:t>
      </w:r>
    </w:p>
  </w:footnote>
  <w:footnote w:id="115">
    <w:p w14:paraId="19E2EABB"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Oranga Tamariki. </w:t>
      </w:r>
      <w:hyperlink r:id="rId82" w:history="1">
        <w:r w:rsidRPr="002A762E">
          <w:rPr>
            <w:rStyle w:val="Hyperlink"/>
            <w:rFonts w:cstheme="minorBidi"/>
            <w:sz w:val="18"/>
            <w:szCs w:val="18"/>
          </w:rPr>
          <w:t>Youth Justice Community Homes | Oranga Tamariki — Ministry for Children</w:t>
        </w:r>
      </w:hyperlink>
      <w:r w:rsidRPr="002A762E">
        <w:rPr>
          <w:sz w:val="18"/>
          <w:szCs w:val="18"/>
        </w:rPr>
        <w:t>.</w:t>
      </w:r>
    </w:p>
  </w:footnote>
  <w:footnote w:id="116">
    <w:p w14:paraId="3153BBB6"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2015. Expert Panel Final Report Investing in New Zealand’s Children and their Families. Ministry of Social Development. </w:t>
      </w:r>
      <w:hyperlink r:id="rId83" w:history="1">
        <w:r w:rsidRPr="002A762E">
          <w:rPr>
            <w:rStyle w:val="Hyperlink"/>
            <w:rFonts w:cstheme="minorBidi"/>
            <w:sz w:val="18"/>
            <w:szCs w:val="18"/>
          </w:rPr>
          <w:t>investing-in-children-report.pdf (msd.govt.nz)</w:t>
        </w:r>
      </w:hyperlink>
      <w:r w:rsidRPr="002A762E">
        <w:rPr>
          <w:sz w:val="18"/>
          <w:szCs w:val="18"/>
        </w:rPr>
        <w:t xml:space="preserve"> </w:t>
      </w:r>
    </w:p>
  </w:footnote>
  <w:footnote w:id="117">
    <w:p w14:paraId="7454FC4C"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The priorities and processes of Corrections staff, including Case Managers, is not informed by the best interest principles outlined in the Oranga Tamariki Act 1989, nor the requirements set out in section 7AA, as Corrections’ primary focus is public safety.</w:t>
      </w:r>
    </w:p>
  </w:footnote>
  <w:footnote w:id="118">
    <w:p w14:paraId="7B5FDEE0"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w:t>
      </w:r>
      <w:r w:rsidRPr="002A762E">
        <w:rPr>
          <w:sz w:val="18"/>
          <w:szCs w:val="18"/>
          <w:lang w:val="mi-NZ"/>
        </w:rPr>
        <w:t xml:space="preserve">This includes, for example, </w:t>
      </w:r>
      <w:r w:rsidRPr="002A762E">
        <w:rPr>
          <w:sz w:val="18"/>
          <w:szCs w:val="18"/>
        </w:rPr>
        <w:t>a higher level of scrutiny regarding access to visitation and phone calls.</w:t>
      </w:r>
    </w:p>
  </w:footnote>
  <w:footnote w:id="119">
    <w:p w14:paraId="27F62D8A"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w:t>
      </w:r>
      <w:r w:rsidRPr="002A762E">
        <w:rPr>
          <w:sz w:val="18"/>
          <w:szCs w:val="18"/>
          <w:lang w:val="mi-NZ"/>
        </w:rPr>
        <w:t>See for example, the Children’s Convention, General Comment No. 24 (CRC/C/GC/24), the Havana, Mandela, Beijing and Bangkok Rules, among other instruments.</w:t>
      </w:r>
    </w:p>
  </w:footnote>
  <w:footnote w:id="120">
    <w:p w14:paraId="2A3DCBD8" w14:textId="77777777" w:rsidR="00EF2505" w:rsidRPr="002A762E" w:rsidRDefault="00EF2505" w:rsidP="00EF2505">
      <w:pPr>
        <w:pStyle w:val="FootnoteText"/>
        <w:rPr>
          <w:sz w:val="18"/>
          <w:szCs w:val="18"/>
          <w:lang w:val="mi-NZ"/>
        </w:rPr>
      </w:pPr>
      <w:r w:rsidRPr="002A762E">
        <w:rPr>
          <w:rStyle w:val="FootnoteReference"/>
          <w:sz w:val="18"/>
          <w:szCs w:val="18"/>
        </w:rPr>
        <w:footnoteRef/>
      </w:r>
      <w:r w:rsidRPr="002A762E">
        <w:rPr>
          <w:sz w:val="18"/>
          <w:szCs w:val="18"/>
        </w:rPr>
        <w:t xml:space="preserve"> </w:t>
      </w:r>
      <w:r w:rsidRPr="002A762E">
        <w:rPr>
          <w:sz w:val="18"/>
          <w:szCs w:val="18"/>
          <w:lang w:val="mi-NZ"/>
        </w:rPr>
        <w:t>Article 40, Children’s Convention.</w:t>
      </w:r>
    </w:p>
  </w:footnote>
  <w:footnote w:id="121">
    <w:p w14:paraId="1FC1E69A" w14:textId="35437BD3" w:rsidR="00EF2505" w:rsidRPr="005C2FC3" w:rsidRDefault="00EF2505" w:rsidP="00EF2505">
      <w:pPr>
        <w:pStyle w:val="FootnoteText"/>
        <w:rPr>
          <w:sz w:val="18"/>
          <w:szCs w:val="18"/>
          <w:lang w:val="mi-NZ"/>
        </w:rPr>
      </w:pPr>
      <w:r w:rsidRPr="005C2FC3">
        <w:rPr>
          <w:rStyle w:val="FootnoteReference"/>
          <w:sz w:val="18"/>
          <w:szCs w:val="18"/>
        </w:rPr>
        <w:footnoteRef/>
      </w:r>
      <w:r w:rsidRPr="005C2FC3">
        <w:rPr>
          <w:sz w:val="18"/>
          <w:szCs w:val="18"/>
        </w:rPr>
        <w:t xml:space="preserve"> </w:t>
      </w:r>
      <w:r w:rsidRPr="005C2FC3">
        <w:rPr>
          <w:sz w:val="18"/>
          <w:szCs w:val="18"/>
          <w:lang w:val="mi-NZ"/>
        </w:rPr>
        <w:t xml:space="preserve">See 2020/21 </w:t>
      </w:r>
      <w:hyperlink r:id="rId84" w:history="1">
        <w:r w:rsidRPr="005C2FC3">
          <w:rPr>
            <w:rStyle w:val="Hyperlink"/>
            <w:rFonts w:cstheme="minorBidi"/>
            <w:sz w:val="18"/>
            <w:szCs w:val="18"/>
            <w:lang w:val="mi-NZ"/>
          </w:rPr>
          <w:t xml:space="preserve">Monitoring Places of Detention: </w:t>
        </w:r>
        <w:r w:rsidRPr="005C2FC3">
          <w:rPr>
            <w:rStyle w:val="Hyperlink"/>
            <w:rFonts w:cstheme="minorBidi"/>
            <w:sz w:val="18"/>
            <w:szCs w:val="18"/>
          </w:rPr>
          <w:t>Annual report of activities under the Optional Protocol to the Convention Against Torture (OPCAT)</w:t>
        </w:r>
        <w:r w:rsidRPr="005C2FC3">
          <w:rPr>
            <w:rStyle w:val="Hyperlink"/>
            <w:rFonts w:cstheme="minorBidi"/>
            <w:sz w:val="18"/>
            <w:szCs w:val="18"/>
            <w:lang w:val="mi-NZ"/>
          </w:rPr>
          <w:t>,</w:t>
        </w:r>
      </w:hyperlink>
      <w:r w:rsidRPr="005C2FC3">
        <w:rPr>
          <w:sz w:val="18"/>
          <w:szCs w:val="18"/>
          <w:lang w:val="mi-NZ"/>
        </w:rPr>
        <w:t xml:space="preserve"> page 23.</w:t>
      </w:r>
    </w:p>
  </w:footnote>
  <w:footnote w:id="122">
    <w:p w14:paraId="74AC2027" w14:textId="033D1201" w:rsidR="00C45E5D" w:rsidRPr="00C45E5D" w:rsidRDefault="00C45E5D">
      <w:pPr>
        <w:pStyle w:val="FootnoteText"/>
        <w:rPr>
          <w:sz w:val="18"/>
          <w:szCs w:val="18"/>
          <w:lang w:val="mi-NZ"/>
        </w:rPr>
      </w:pPr>
      <w:r w:rsidRPr="00C45E5D">
        <w:rPr>
          <w:rStyle w:val="FootnoteReference"/>
          <w:sz w:val="18"/>
          <w:szCs w:val="18"/>
        </w:rPr>
        <w:footnoteRef/>
      </w:r>
      <w:r w:rsidRPr="00C45E5D">
        <w:rPr>
          <w:sz w:val="18"/>
          <w:szCs w:val="18"/>
        </w:rPr>
        <w:t xml:space="preserve"> Staff said this increase is due to unsafe staffing levels, high occupancy and acuity, the physical environment and lack of de-escalation spaces. See </w:t>
      </w:r>
      <w:hyperlink r:id="rId85" w:history="1">
        <w:r w:rsidRPr="00C45E5D">
          <w:rPr>
            <w:rStyle w:val="Hyperlink"/>
            <w:sz w:val="18"/>
            <w:szCs w:val="18"/>
          </w:rPr>
          <w:t>Regional Rangatahi Adolescent Inpatient Service Report January 2022 | Office of the Children’s Commissioner (occ.org.nz)</w:t>
        </w:r>
      </w:hyperlink>
    </w:p>
  </w:footnote>
  <w:footnote w:id="123">
    <w:p w14:paraId="4AFC0755" w14:textId="650F19A1" w:rsidR="00C45E5D" w:rsidRPr="00C45E5D" w:rsidRDefault="00C45E5D">
      <w:pPr>
        <w:pStyle w:val="FootnoteText"/>
        <w:rPr>
          <w:sz w:val="18"/>
          <w:szCs w:val="18"/>
          <w:lang w:val="mi-NZ"/>
        </w:rPr>
      </w:pPr>
      <w:r w:rsidRPr="00C45E5D">
        <w:rPr>
          <w:rStyle w:val="FootnoteReference"/>
          <w:sz w:val="18"/>
          <w:szCs w:val="18"/>
        </w:rPr>
        <w:footnoteRef/>
      </w:r>
      <w:r w:rsidRPr="00C45E5D">
        <w:rPr>
          <w:sz w:val="18"/>
          <w:szCs w:val="18"/>
        </w:rPr>
        <w:t xml:space="preserve"> Being a voluntary patient means they agree to have treatment for their illness, they have the right to stop that treatment, and, if they are being treated in hospital, they have the right to leave at any time. Voluntary patients are sometimes called informal patients. See </w:t>
      </w:r>
      <w:hyperlink r:id="rId86" w:history="1">
        <w:r w:rsidRPr="00C45E5D">
          <w:rPr>
            <w:rStyle w:val="Hyperlink"/>
            <w:sz w:val="18"/>
            <w:szCs w:val="18"/>
          </w:rPr>
          <w:t>What is the Mental Health (Compulsory Assessment and Treatment) Act? | Citizens Advice Bureau (cab.org.nz)</w:t>
        </w:r>
      </w:hyperlink>
    </w:p>
  </w:footnote>
  <w:footnote w:id="124">
    <w:p w14:paraId="6CB86035" w14:textId="77777777" w:rsidR="00EF2505" w:rsidRPr="00F6035E" w:rsidRDefault="00EF2505" w:rsidP="00EF2505">
      <w:pPr>
        <w:pStyle w:val="FootnoteText"/>
        <w:rPr>
          <w:sz w:val="18"/>
          <w:szCs w:val="18"/>
          <w:lang w:val="mi-NZ"/>
        </w:rPr>
      </w:pPr>
      <w:r w:rsidRPr="005C2FC3">
        <w:rPr>
          <w:rStyle w:val="FootnoteReference"/>
          <w:sz w:val="18"/>
          <w:szCs w:val="18"/>
        </w:rPr>
        <w:footnoteRef/>
      </w:r>
      <w:r w:rsidRPr="005C2FC3">
        <w:rPr>
          <w:sz w:val="18"/>
          <w:szCs w:val="18"/>
        </w:rPr>
        <w:t xml:space="preserve"> </w:t>
      </w:r>
      <w:hyperlink r:id="rId87" w:history="1">
        <w:r w:rsidRPr="005C2FC3">
          <w:rPr>
            <w:rStyle w:val="Hyperlink"/>
            <w:sz w:val="18"/>
            <w:szCs w:val="18"/>
          </w:rPr>
          <w:t>Regional Rangatahi Adolescent Inpatient Service Report January 2022 | Office of the Children’s Commissioner (occ.org.nz)</w:t>
        </w:r>
      </w:hyperlink>
    </w:p>
  </w:footnote>
  <w:footnote w:id="125">
    <w:p w14:paraId="797FB29C" w14:textId="30284760" w:rsidR="00B40736" w:rsidRPr="00B40736" w:rsidRDefault="00B40736">
      <w:pPr>
        <w:pStyle w:val="FootnoteText"/>
        <w:rPr>
          <w:lang w:val="mi-NZ"/>
        </w:rPr>
      </w:pPr>
      <w:r>
        <w:rPr>
          <w:rStyle w:val="FootnoteReference"/>
        </w:rPr>
        <w:footnoteRef/>
      </w:r>
      <w:r>
        <w:t xml:space="preserve"> </w:t>
      </w:r>
      <w:r w:rsidRPr="00B40736">
        <w:rPr>
          <w:sz w:val="18"/>
          <w:szCs w:val="18"/>
          <w:lang w:val="mi-NZ"/>
        </w:rPr>
        <w:t xml:space="preserve">2021. </w:t>
      </w:r>
      <w:r>
        <w:rPr>
          <w:sz w:val="18"/>
          <w:szCs w:val="18"/>
          <w:lang w:val="mi-NZ"/>
        </w:rPr>
        <w:t xml:space="preserve">Department of Corrections. </w:t>
      </w:r>
      <w:hyperlink r:id="rId88" w:history="1">
        <w:r w:rsidRPr="00B40736">
          <w:rPr>
            <w:rStyle w:val="Hyperlink"/>
            <w:sz w:val="18"/>
            <w:szCs w:val="18"/>
          </w:rPr>
          <w:t>The Lived Experience of Women in Prisons - OFFICE OF THE INSPECTORATE (corrections.govt.nz)</w:t>
        </w:r>
      </w:hyperlink>
      <w:r w:rsidRPr="00B40736">
        <w:rPr>
          <w:sz w:val="18"/>
          <w:szCs w:val="18"/>
          <w:lang w:val="mi-NZ"/>
        </w:rPr>
        <w:t xml:space="preserve"> </w:t>
      </w:r>
    </w:p>
  </w:footnote>
  <w:footnote w:id="126">
    <w:p w14:paraId="4744E0A2" w14:textId="77777777" w:rsidR="009C39CA" w:rsidRPr="005D6D02" w:rsidRDefault="009C39CA" w:rsidP="009C39CA">
      <w:pPr>
        <w:pStyle w:val="FootnoteText"/>
        <w:rPr>
          <w:sz w:val="18"/>
          <w:szCs w:val="18"/>
          <w:lang w:val="mi-NZ"/>
        </w:rPr>
      </w:pPr>
      <w:r w:rsidRPr="005D6D02">
        <w:rPr>
          <w:rStyle w:val="FootnoteReference"/>
          <w:sz w:val="18"/>
          <w:szCs w:val="18"/>
        </w:rPr>
        <w:footnoteRef/>
      </w:r>
      <w:r w:rsidRPr="005D6D02">
        <w:rPr>
          <w:sz w:val="18"/>
          <w:szCs w:val="18"/>
        </w:rPr>
        <w:t xml:space="preserve"> This includes minor traffic offences (not punishable by a prison term) and does not include Schedule 1A offences that are transferred to </w:t>
      </w:r>
      <w:r>
        <w:rPr>
          <w:sz w:val="18"/>
          <w:szCs w:val="18"/>
        </w:rPr>
        <w:t xml:space="preserve">the </w:t>
      </w:r>
      <w:r w:rsidRPr="005D6D02">
        <w:rPr>
          <w:sz w:val="18"/>
          <w:szCs w:val="18"/>
        </w:rPr>
        <w:t>Dist</w:t>
      </w:r>
      <w:r>
        <w:rPr>
          <w:sz w:val="18"/>
          <w:szCs w:val="18"/>
        </w:rPr>
        <w:t>rict or</w:t>
      </w:r>
      <w:r w:rsidRPr="005D6D02">
        <w:rPr>
          <w:sz w:val="18"/>
          <w:szCs w:val="18"/>
        </w:rPr>
        <w:t xml:space="preserve"> High Court</w:t>
      </w:r>
      <w:r>
        <w:rPr>
          <w:sz w:val="18"/>
          <w:szCs w:val="18"/>
        </w:rPr>
        <w:t xml:space="preserve">. Refer </w:t>
      </w:r>
      <w:hyperlink r:id="rId89" w:history="1">
        <w:r w:rsidRPr="005D6D02">
          <w:rPr>
            <w:rStyle w:val="Hyperlink"/>
            <w:sz w:val="18"/>
            <w:szCs w:val="18"/>
          </w:rPr>
          <w:t>Oranga Tamariki Act 1989 No 24 (as at 01 May 2023), Public Act Schedule 1A Specified offences for young persons aged 17 years – New Zealand Legislation</w:t>
        </w:r>
      </w:hyperlink>
    </w:p>
  </w:footnote>
  <w:footnote w:id="127">
    <w:p w14:paraId="784FCF48" w14:textId="77777777" w:rsidR="00EF2505" w:rsidRPr="00F6035E" w:rsidRDefault="00EF2505" w:rsidP="00EF2505">
      <w:pPr>
        <w:pStyle w:val="FootnoteText"/>
        <w:rPr>
          <w:sz w:val="18"/>
          <w:szCs w:val="18"/>
        </w:rPr>
      </w:pPr>
      <w:r w:rsidRPr="005D6D02">
        <w:rPr>
          <w:rStyle w:val="FootnoteReference"/>
          <w:sz w:val="18"/>
          <w:szCs w:val="18"/>
        </w:rPr>
        <w:footnoteRef/>
      </w:r>
      <w:r w:rsidRPr="005D6D02">
        <w:rPr>
          <w:sz w:val="18"/>
          <w:szCs w:val="18"/>
        </w:rPr>
        <w:t xml:space="preserve"> CRC/C/NZL/CO/6, para 6.</w:t>
      </w:r>
    </w:p>
  </w:footnote>
  <w:footnote w:id="128">
    <w:p w14:paraId="28CFEB14" w14:textId="77777777" w:rsidR="00EF2505" w:rsidRPr="00F6035E" w:rsidRDefault="00EF2505" w:rsidP="00EF2505">
      <w:pPr>
        <w:pStyle w:val="FootnoteText"/>
        <w:rPr>
          <w:sz w:val="18"/>
          <w:szCs w:val="18"/>
          <w:lang w:val="mi-NZ"/>
        </w:rPr>
      </w:pPr>
      <w:r w:rsidRPr="00F6035E">
        <w:rPr>
          <w:rStyle w:val="FootnoteReference"/>
          <w:sz w:val="18"/>
          <w:szCs w:val="18"/>
        </w:rPr>
        <w:footnoteRef/>
      </w:r>
      <w:r w:rsidRPr="00F6035E">
        <w:rPr>
          <w:sz w:val="18"/>
          <w:szCs w:val="18"/>
        </w:rPr>
        <w:t xml:space="preserve"> CAT/C/NZL/7, para. 203</w:t>
      </w:r>
    </w:p>
  </w:footnote>
  <w:footnote w:id="129">
    <w:p w14:paraId="4B7A23B9" w14:textId="040A977C" w:rsidR="00EF2505" w:rsidRPr="00944EAF" w:rsidRDefault="00EF2505" w:rsidP="00EF2505">
      <w:pPr>
        <w:pStyle w:val="FootnoteText"/>
        <w:rPr>
          <w:sz w:val="18"/>
          <w:szCs w:val="18"/>
          <w:lang w:val="mi-NZ"/>
        </w:rPr>
      </w:pPr>
      <w:r w:rsidRPr="00944EAF">
        <w:rPr>
          <w:rStyle w:val="FootnoteReference"/>
          <w:sz w:val="18"/>
          <w:szCs w:val="18"/>
        </w:rPr>
        <w:footnoteRef/>
      </w:r>
      <w:r w:rsidRPr="00944EAF">
        <w:rPr>
          <w:sz w:val="18"/>
          <w:szCs w:val="18"/>
        </w:rPr>
        <w:t xml:space="preserve"> Data provided by Ministry of Health</w:t>
      </w:r>
      <w:r w:rsidR="00C42163">
        <w:rPr>
          <w:sz w:val="18"/>
          <w:szCs w:val="18"/>
        </w:rPr>
        <w:t xml:space="preserve"> (2022).</w:t>
      </w:r>
    </w:p>
  </w:footnote>
  <w:footnote w:id="130">
    <w:p w14:paraId="00D02CA0" w14:textId="77777777" w:rsidR="009C39CA" w:rsidRPr="00944EAF" w:rsidRDefault="009C39CA" w:rsidP="009C39CA">
      <w:pPr>
        <w:pStyle w:val="FootnoteText"/>
        <w:rPr>
          <w:lang w:val="mi-NZ"/>
        </w:rPr>
      </w:pPr>
      <w:r w:rsidRPr="00944EAF">
        <w:rPr>
          <w:rStyle w:val="FootnoteReference"/>
          <w:sz w:val="18"/>
          <w:szCs w:val="18"/>
        </w:rPr>
        <w:footnoteRef/>
      </w:r>
      <w:r w:rsidRPr="00944EAF">
        <w:rPr>
          <w:sz w:val="18"/>
          <w:szCs w:val="18"/>
        </w:rPr>
        <w:t xml:space="preserve"> </w:t>
      </w:r>
      <w:r>
        <w:rPr>
          <w:sz w:val="18"/>
          <w:szCs w:val="18"/>
        </w:rPr>
        <w:t xml:space="preserve">2023. Mental Health and Wellbeing Commission. </w:t>
      </w:r>
      <w:hyperlink r:id="rId90" w:history="1">
        <w:r w:rsidRPr="00944EAF">
          <w:rPr>
            <w:rStyle w:val="Hyperlink"/>
            <w:sz w:val="18"/>
            <w:szCs w:val="18"/>
          </w:rPr>
          <w:t>Te Huringa: Mental Health and Addiction Service Monitoring Reports | Mental Health and Wellbeing Commission (mhwc.govt.nz)</w:t>
        </w:r>
      </w:hyperlink>
    </w:p>
  </w:footnote>
  <w:footnote w:id="131">
    <w:p w14:paraId="27B958A9" w14:textId="77777777" w:rsidR="00EF2505" w:rsidRPr="00F6035E" w:rsidRDefault="00EF2505" w:rsidP="00EF2505">
      <w:pPr>
        <w:pStyle w:val="FootnoteText"/>
        <w:rPr>
          <w:sz w:val="18"/>
          <w:szCs w:val="18"/>
          <w:lang w:val="mi-NZ"/>
        </w:rPr>
      </w:pPr>
      <w:r w:rsidRPr="00F6035E">
        <w:rPr>
          <w:rStyle w:val="FootnoteReference"/>
          <w:sz w:val="18"/>
          <w:szCs w:val="18"/>
        </w:rPr>
        <w:footnoteRef/>
      </w:r>
      <w:r w:rsidRPr="00F6035E">
        <w:rPr>
          <w:sz w:val="18"/>
          <w:szCs w:val="18"/>
        </w:rPr>
        <w:t xml:space="preserve"> Data provided by the Department of Corrections.</w:t>
      </w:r>
    </w:p>
  </w:footnote>
  <w:footnote w:id="132">
    <w:p w14:paraId="0C8B06D1" w14:textId="77777777" w:rsidR="00EF2505" w:rsidRPr="00F6035E" w:rsidRDefault="00EF2505" w:rsidP="00EF2505">
      <w:pPr>
        <w:pStyle w:val="FootnoteText"/>
        <w:rPr>
          <w:sz w:val="18"/>
          <w:szCs w:val="18"/>
          <w:lang w:val="mi-NZ"/>
        </w:rPr>
      </w:pPr>
      <w:r w:rsidRPr="00F6035E">
        <w:rPr>
          <w:rStyle w:val="FootnoteReference"/>
          <w:sz w:val="18"/>
          <w:szCs w:val="18"/>
        </w:rPr>
        <w:footnoteRef/>
      </w:r>
      <w:r w:rsidRPr="00F6035E">
        <w:rPr>
          <w:sz w:val="18"/>
          <w:szCs w:val="18"/>
        </w:rPr>
        <w:t xml:space="preserve"> Amendments to the Oranga Tamariki Act 1989 in 2019 mean 17-year-olds who commit minor offences are now included in the Oranga Tamariki Youth Justice (YJ) system rather than the adult system. As listed in Schedule 1A.</w:t>
      </w:r>
    </w:p>
  </w:footnote>
  <w:footnote w:id="133">
    <w:p w14:paraId="4C9134F9" w14:textId="0E24DC1E" w:rsidR="00EF2505" w:rsidRPr="00F6035E" w:rsidRDefault="00EF2505" w:rsidP="00EF2505">
      <w:pPr>
        <w:pStyle w:val="FootnoteText"/>
        <w:rPr>
          <w:sz w:val="18"/>
          <w:szCs w:val="18"/>
        </w:rPr>
      </w:pPr>
      <w:r w:rsidRPr="00F6035E">
        <w:rPr>
          <w:rStyle w:val="FootnoteReference"/>
          <w:sz w:val="18"/>
          <w:szCs w:val="18"/>
        </w:rPr>
        <w:footnoteRef/>
      </w:r>
      <w:r w:rsidRPr="00F6035E">
        <w:rPr>
          <w:sz w:val="18"/>
          <w:szCs w:val="18"/>
        </w:rPr>
        <w:t xml:space="preserve"> 2022. </w:t>
      </w:r>
      <w:hyperlink r:id="rId91" w:history="1">
        <w:r w:rsidRPr="00F6035E">
          <w:rPr>
            <w:rStyle w:val="Hyperlink"/>
            <w:sz w:val="18"/>
            <w:szCs w:val="18"/>
          </w:rPr>
          <w:t>IHC Report - Physical Restraint RSS.pdf</w:t>
        </w:r>
      </w:hyperlink>
    </w:p>
  </w:footnote>
  <w:footnote w:id="134">
    <w:p w14:paraId="79AA255F" w14:textId="77777777" w:rsidR="00EF2505" w:rsidRPr="00A1062E" w:rsidRDefault="00EF2505" w:rsidP="00EF2505">
      <w:pPr>
        <w:pStyle w:val="FootnoteText"/>
        <w:rPr>
          <w:lang w:val="mi-NZ"/>
        </w:rPr>
      </w:pPr>
      <w:r w:rsidRPr="00F6035E">
        <w:rPr>
          <w:rStyle w:val="FootnoteReference"/>
          <w:sz w:val="18"/>
          <w:szCs w:val="18"/>
        </w:rPr>
        <w:footnoteRef/>
      </w:r>
      <w:r w:rsidRPr="00F6035E">
        <w:rPr>
          <w:sz w:val="18"/>
          <w:szCs w:val="18"/>
        </w:rPr>
        <w:t xml:space="preserve"> Refer </w:t>
      </w:r>
      <w:hyperlink r:id="rId92" w:history="1">
        <w:r w:rsidRPr="00F6035E">
          <w:rPr>
            <w:rStyle w:val="Hyperlink"/>
            <w:sz w:val="18"/>
            <w:szCs w:val="18"/>
          </w:rPr>
          <w:t>Disability and mental health | Abuse in Care - Royal Commission of Inquiry</w:t>
        </w:r>
      </w:hyperlink>
    </w:p>
  </w:footnote>
  <w:footnote w:id="135">
    <w:p w14:paraId="0F68A374" w14:textId="77777777" w:rsidR="00EF2505" w:rsidRPr="00F6035E" w:rsidRDefault="00EF2505" w:rsidP="00EF2505">
      <w:pPr>
        <w:pStyle w:val="FootnoteText"/>
        <w:rPr>
          <w:sz w:val="18"/>
          <w:szCs w:val="18"/>
          <w:lang w:val="mi-NZ"/>
        </w:rPr>
      </w:pPr>
      <w:r w:rsidRPr="00F6035E">
        <w:rPr>
          <w:rStyle w:val="FootnoteReference"/>
          <w:sz w:val="18"/>
          <w:szCs w:val="18"/>
        </w:rPr>
        <w:footnoteRef/>
      </w:r>
      <w:r w:rsidRPr="00F6035E">
        <w:rPr>
          <w:sz w:val="18"/>
          <w:szCs w:val="18"/>
        </w:rPr>
        <w:t xml:space="preserve"> Refer </w:t>
      </w:r>
      <w:hyperlink r:id="rId93" w:history="1">
        <w:r w:rsidRPr="00F6035E">
          <w:rPr>
            <w:rStyle w:val="Hyperlink"/>
            <w:sz w:val="18"/>
            <w:szCs w:val="18"/>
          </w:rPr>
          <w:t>Psychiatric care and care of Deaf and disabled people | Abuse in Care - Royal Commission of Inquiry</w:t>
        </w:r>
      </w:hyperlink>
    </w:p>
  </w:footnote>
  <w:footnote w:id="136">
    <w:p w14:paraId="3C534905" w14:textId="77777777" w:rsidR="00EF2505" w:rsidRPr="00F6035E" w:rsidRDefault="00EF2505" w:rsidP="00EF2505">
      <w:pPr>
        <w:pStyle w:val="FootnoteText"/>
        <w:rPr>
          <w:sz w:val="18"/>
          <w:szCs w:val="18"/>
          <w:lang w:val="mi-NZ"/>
        </w:rPr>
      </w:pPr>
      <w:r w:rsidRPr="00F6035E">
        <w:rPr>
          <w:rStyle w:val="FootnoteReference"/>
          <w:sz w:val="18"/>
          <w:szCs w:val="18"/>
        </w:rPr>
        <w:footnoteRef/>
      </w:r>
      <w:r w:rsidRPr="00F6035E">
        <w:rPr>
          <w:sz w:val="18"/>
          <w:szCs w:val="18"/>
        </w:rPr>
        <w:t xml:space="preserve"> 2022. Press Release. Education for All. </w:t>
      </w:r>
      <w:hyperlink r:id="rId94" w:history="1">
        <w:r w:rsidRPr="00F6035E">
          <w:rPr>
            <w:rStyle w:val="Hyperlink"/>
            <w:sz w:val="18"/>
            <w:szCs w:val="18"/>
          </w:rPr>
          <w:t>An Open Letter On The Plans To Expand Enrolments In Residential Specialist Schools | Scoop News</w:t>
        </w:r>
      </w:hyperlink>
    </w:p>
  </w:footnote>
  <w:footnote w:id="137">
    <w:p w14:paraId="62252147" w14:textId="77777777" w:rsidR="00EF2505" w:rsidRPr="00F6035E" w:rsidRDefault="00EF2505" w:rsidP="00EF2505">
      <w:pPr>
        <w:pStyle w:val="FootnoteText"/>
        <w:rPr>
          <w:sz w:val="18"/>
          <w:szCs w:val="18"/>
          <w:lang w:val="mi-NZ"/>
        </w:rPr>
      </w:pPr>
      <w:r w:rsidRPr="00F6035E">
        <w:rPr>
          <w:rStyle w:val="FootnoteReference"/>
          <w:sz w:val="18"/>
          <w:szCs w:val="18"/>
        </w:rPr>
        <w:footnoteRef/>
      </w:r>
      <w:r w:rsidRPr="00F6035E">
        <w:rPr>
          <w:sz w:val="18"/>
          <w:szCs w:val="18"/>
        </w:rPr>
        <w:t xml:space="preserve"> </w:t>
      </w:r>
      <w:r w:rsidRPr="00F6035E">
        <w:rPr>
          <w:sz w:val="18"/>
          <w:szCs w:val="18"/>
          <w:lang w:val="mi-NZ"/>
        </w:rPr>
        <w:t xml:space="preserve">Under s364 of the </w:t>
      </w:r>
      <w:hyperlink r:id="rId95" w:history="1">
        <w:r w:rsidRPr="00F6035E">
          <w:rPr>
            <w:rStyle w:val="Hyperlink"/>
            <w:rFonts w:cstheme="minorBidi"/>
            <w:sz w:val="18"/>
            <w:szCs w:val="18"/>
            <w:lang w:val="mi-NZ"/>
          </w:rPr>
          <w:t>Oranga Tamariki Act 1989</w:t>
        </w:r>
      </w:hyperlink>
      <w:r w:rsidRPr="00F6035E">
        <w:rPr>
          <w:sz w:val="18"/>
          <w:szCs w:val="18"/>
          <w:lang w:val="mi-NZ"/>
        </w:rPr>
        <w:t>.</w:t>
      </w:r>
    </w:p>
  </w:footnote>
  <w:footnote w:id="138">
    <w:p w14:paraId="457A802D" w14:textId="77777777" w:rsidR="00EF2505" w:rsidRPr="00F6035E" w:rsidRDefault="00EF2505" w:rsidP="00EF2505">
      <w:pPr>
        <w:pStyle w:val="FootnoteText"/>
        <w:rPr>
          <w:sz w:val="18"/>
          <w:szCs w:val="18"/>
          <w:lang w:val="mi-NZ"/>
        </w:rPr>
      </w:pPr>
      <w:r w:rsidRPr="00F6035E">
        <w:rPr>
          <w:rStyle w:val="FootnoteReference"/>
          <w:sz w:val="18"/>
          <w:szCs w:val="18"/>
        </w:rPr>
        <w:footnoteRef/>
      </w:r>
      <w:r w:rsidRPr="00F6035E">
        <w:rPr>
          <w:sz w:val="18"/>
          <w:szCs w:val="18"/>
        </w:rPr>
        <w:t xml:space="preserve"> Refer </w:t>
      </w:r>
      <w:hyperlink r:id="rId96" w:history="1">
        <w:r w:rsidRPr="00F6035E">
          <w:rPr>
            <w:rStyle w:val="Hyperlink"/>
            <w:sz w:val="18"/>
            <w:szCs w:val="18"/>
          </w:rPr>
          <w:t>CAT/OP/GC/R.1 (ohchr.org)</w:t>
        </w:r>
      </w:hyperlink>
    </w:p>
  </w:footnote>
  <w:footnote w:id="139">
    <w:p w14:paraId="217DC39D" w14:textId="77777777" w:rsidR="00DD2348" w:rsidRPr="00B17F89" w:rsidRDefault="00DD2348" w:rsidP="00DD2348">
      <w:pPr>
        <w:pStyle w:val="FootnoteText"/>
        <w:rPr>
          <w:lang w:val="mi-NZ"/>
        </w:rPr>
      </w:pPr>
      <w:r w:rsidRPr="00F6035E">
        <w:rPr>
          <w:rStyle w:val="FootnoteReference"/>
          <w:sz w:val="18"/>
          <w:szCs w:val="18"/>
        </w:rPr>
        <w:footnoteRef/>
      </w:r>
      <w:r w:rsidRPr="00F6035E">
        <w:rPr>
          <w:sz w:val="18"/>
          <w:szCs w:val="18"/>
        </w:rPr>
        <w:t xml:space="preserve"> </w:t>
      </w:r>
      <w:hyperlink r:id="rId97" w:history="1">
        <w:r w:rsidRPr="00F6035E">
          <w:rPr>
            <w:rStyle w:val="Hyperlink"/>
            <w:sz w:val="18"/>
            <w:szCs w:val="18"/>
          </w:rPr>
          <w:t>Te Puna Wai ō Tuhinapo Monitoring Report | Office of the Children’s Commissioner (occ.org.nz)</w:t>
        </w:r>
      </w:hyperlink>
    </w:p>
  </w:footnote>
  <w:footnote w:id="140">
    <w:p w14:paraId="74924F04" w14:textId="0962A6CF" w:rsidR="00DD2348" w:rsidRPr="00DD2348" w:rsidRDefault="00DD2348">
      <w:pPr>
        <w:pStyle w:val="FootnoteText"/>
        <w:rPr>
          <w:lang w:val="mi-NZ"/>
        </w:rPr>
      </w:pPr>
      <w:r w:rsidRPr="00DD2348">
        <w:rPr>
          <w:rStyle w:val="FootnoteReference"/>
          <w:sz w:val="18"/>
          <w:szCs w:val="18"/>
        </w:rPr>
        <w:footnoteRef/>
      </w:r>
      <w:r w:rsidRPr="00DD2348">
        <w:rPr>
          <w:sz w:val="18"/>
          <w:szCs w:val="18"/>
        </w:rPr>
        <w:t xml:space="preserve"> </w:t>
      </w:r>
      <w:r>
        <w:rPr>
          <w:sz w:val="18"/>
          <w:szCs w:val="18"/>
        </w:rPr>
        <w:t xml:space="preserve">2022. </w:t>
      </w:r>
      <w:hyperlink r:id="rId98" w:history="1">
        <w:r w:rsidRPr="00DD2348">
          <w:rPr>
            <w:rStyle w:val="Hyperlink"/>
            <w:sz w:val="18"/>
            <w:szCs w:val="18"/>
          </w:rPr>
          <w:t>Whakatakapokai-report-march-2022 | Office of the Children’s Commissioner (occ.org.nz)</w:t>
        </w:r>
      </w:hyperlink>
    </w:p>
  </w:footnote>
  <w:footnote w:id="141">
    <w:p w14:paraId="044B0F2A" w14:textId="77777777" w:rsidR="00EF2505" w:rsidRPr="004F781D" w:rsidRDefault="00EF2505" w:rsidP="00EF2505">
      <w:pPr>
        <w:pStyle w:val="FootnoteText"/>
        <w:rPr>
          <w:lang w:val="mi-NZ"/>
        </w:rPr>
      </w:pPr>
      <w:r>
        <w:rPr>
          <w:rStyle w:val="FootnoteReference"/>
        </w:rPr>
        <w:footnoteRef/>
      </w:r>
      <w:r>
        <w:t xml:space="preserve"> CRC/C/NZL/CO/6, paras 24(a) and 25.</w:t>
      </w:r>
    </w:p>
  </w:footnote>
  <w:footnote w:id="142">
    <w:p w14:paraId="56DE83B5" w14:textId="77CC7DB5" w:rsidR="00EE51EB" w:rsidRPr="00EE51EB" w:rsidRDefault="00EE51EB">
      <w:pPr>
        <w:pStyle w:val="FootnoteText"/>
        <w:rPr>
          <w:lang w:val="mi-NZ"/>
        </w:rPr>
      </w:pPr>
      <w:r>
        <w:rPr>
          <w:rStyle w:val="FootnoteReference"/>
        </w:rPr>
        <w:footnoteRef/>
      </w:r>
      <w:r>
        <w:t xml:space="preserve"> CRC/C/NZL/CO/6, para 24(e).</w:t>
      </w:r>
    </w:p>
  </w:footnote>
  <w:footnote w:id="143">
    <w:p w14:paraId="273F78B0" w14:textId="306A5A68" w:rsidR="004F55E2" w:rsidRPr="00EE51EB" w:rsidRDefault="004F55E2" w:rsidP="004F55E2">
      <w:pPr>
        <w:pStyle w:val="FootnoteText"/>
        <w:rPr>
          <w:lang w:val="mi-NZ"/>
        </w:rPr>
      </w:pPr>
      <w:r>
        <w:rPr>
          <w:rStyle w:val="FootnoteReference"/>
        </w:rPr>
        <w:footnoteRef/>
      </w:r>
      <w:r>
        <w:t xml:space="preserve"> CRC/C/NZL/CO/6, </w:t>
      </w:r>
      <w:r w:rsidRPr="00D0183E">
        <w:t xml:space="preserve">para </w:t>
      </w:r>
      <w:r w:rsidR="00D0183E" w:rsidRPr="00D0183E">
        <w:t>44(a-d</w:t>
      </w:r>
      <w:r w:rsidRPr="00D0183E">
        <w:t>).</w:t>
      </w:r>
    </w:p>
  </w:footnote>
  <w:footnote w:id="144">
    <w:p w14:paraId="2C836B1A" w14:textId="33D2F6EE" w:rsidR="00D0183E" w:rsidRPr="00EE51EB" w:rsidRDefault="00D0183E" w:rsidP="00D0183E">
      <w:pPr>
        <w:pStyle w:val="FootnoteText"/>
        <w:rPr>
          <w:lang w:val="mi-NZ"/>
        </w:rPr>
      </w:pPr>
      <w:r>
        <w:rPr>
          <w:rStyle w:val="FootnoteReference"/>
        </w:rPr>
        <w:footnoteRef/>
      </w:r>
      <w:r>
        <w:t xml:space="preserve"> CRC/C/NZL/CO/</w:t>
      </w:r>
      <w:r w:rsidRPr="00D0183E">
        <w:t>6, para 25(b-c).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9042E" w14:textId="77777777" w:rsidR="00206A1F" w:rsidRDefault="001B7CD5">
    <w:pPr>
      <w:pStyle w:val="BodyText"/>
      <w:spacing w:line="14" w:lineRule="auto"/>
      <w:rPr>
        <w:sz w:val="20"/>
      </w:rPr>
    </w:pPr>
    <w:r>
      <w:rPr>
        <w:noProof/>
        <w:lang w:val="en-GB" w:eastAsia="en-GB"/>
      </w:rPr>
      <w:drawing>
        <wp:anchor distT="0" distB="0" distL="0" distR="0" simplePos="0" relativeHeight="251658752" behindDoc="1" locked="0" layoutInCell="1" allowOverlap="1" wp14:anchorId="77060E57" wp14:editId="3E610A3B">
          <wp:simplePos x="0" y="0"/>
          <wp:positionH relativeFrom="page">
            <wp:posOffset>5286375</wp:posOffset>
          </wp:positionH>
          <wp:positionV relativeFrom="page">
            <wp:posOffset>240030</wp:posOffset>
          </wp:positionV>
          <wp:extent cx="1974341" cy="805914"/>
          <wp:effectExtent l="0" t="0" r="0" b="0"/>
          <wp:wrapNone/>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 cstate="print"/>
                  <a:stretch>
                    <a:fillRect/>
                  </a:stretch>
                </pic:blipFill>
                <pic:spPr>
                  <a:xfrm>
                    <a:off x="0" y="0"/>
                    <a:ext cx="1974341" cy="805914"/>
                  </a:xfrm>
                  <a:prstGeom prst="rect">
                    <a:avLst/>
                  </a:prstGeom>
                </pic:spPr>
              </pic:pic>
            </a:graphicData>
          </a:graphic>
        </wp:anchor>
      </w:drawing>
    </w:r>
    <w:r w:rsidR="00206A1F">
      <w:rPr>
        <w:noProof/>
        <w:lang w:val="en-GB" w:eastAsia="en-GB"/>
      </w:rPr>
      <mc:AlternateContent>
        <mc:Choice Requires="wps">
          <w:drawing>
            <wp:anchor distT="0" distB="0" distL="114300" distR="114300" simplePos="0" relativeHeight="251655680" behindDoc="1" locked="0" layoutInCell="1" allowOverlap="1" wp14:anchorId="2BD23F32" wp14:editId="3BCF18C3">
              <wp:simplePos x="0" y="0"/>
              <wp:positionH relativeFrom="page">
                <wp:posOffset>905510</wp:posOffset>
              </wp:positionH>
              <wp:positionV relativeFrom="page">
                <wp:posOffset>1570990</wp:posOffset>
              </wp:positionV>
              <wp:extent cx="5754370" cy="6350"/>
              <wp:effectExtent l="0" t="0" r="0" b="0"/>
              <wp:wrapNone/>
              <wp:docPr id="6" name="docshape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4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EB79AB" id="docshape153" o:spid="_x0000_s1026" style="position:absolute;margin-left:71.3pt;margin-top:123.7pt;width:453.1pt;height:.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" fillcolor="black" stroked="f">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03F29" w14:textId="77777777" w:rsidR="00206A1F" w:rsidRDefault="00206A1F">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370CF0"/>
    <w:multiLevelType w:val="hybridMultilevel"/>
    <w:tmpl w:val="9CE46A66"/>
    <w:lvl w:ilvl="0" w:tplc="4C1890B8">
      <w:start w:val="1"/>
      <w:numFmt w:val="decimal"/>
      <w:lvlText w:val="%1."/>
      <w:lvlJc w:val="left"/>
      <w:pPr>
        <w:ind w:left="720" w:hanging="360"/>
      </w:pPr>
      <w:rPr>
        <w:color w:val="auto"/>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72F86575"/>
    <w:multiLevelType w:val="multilevel"/>
    <w:tmpl w:val="7B003C42"/>
    <w:lvl w:ilvl="0">
      <w:start w:val="1"/>
      <w:numFmt w:val="decimal"/>
      <w:pStyle w:val="ListNumber"/>
      <w:lvlText w:val="%1."/>
      <w:lvlJc w:val="left"/>
      <w:pPr>
        <w:ind w:left="360" w:hanging="360"/>
      </w:pPr>
      <w:rPr>
        <w:rFonts w:ascii="Segoe UI" w:hAnsi="Segoe UI" w:cs="Segoe UI" w:hint="default"/>
        <w:i w:val="0"/>
        <w:iCs w:val="0"/>
        <w:color w:val="auto"/>
        <w:sz w:val="24"/>
        <w:szCs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EB0013C"/>
    <w:multiLevelType w:val="multilevel"/>
    <w:tmpl w:val="0630A4B0"/>
    <w:lvl w:ilvl="0">
      <w:start w:val="1"/>
      <w:numFmt w:val="bullet"/>
      <w:lvlText w:val=""/>
      <w:lvlJc w:val="left"/>
      <w:pPr>
        <w:ind w:left="360" w:hanging="360"/>
      </w:pPr>
      <w:rPr>
        <w:rFonts w:ascii="Symbol" w:hAnsi="Symbol" w:hint="default"/>
        <w:i w:val="0"/>
        <w:iCs w:val="0"/>
        <w:color w:val="auto"/>
        <w:sz w:val="24"/>
        <w:szCs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505"/>
    <w:rsid w:val="00021AEB"/>
    <w:rsid w:val="00034CE4"/>
    <w:rsid w:val="00041FC2"/>
    <w:rsid w:val="000451B1"/>
    <w:rsid w:val="0005083D"/>
    <w:rsid w:val="00063FE0"/>
    <w:rsid w:val="00065D51"/>
    <w:rsid w:val="00067EF0"/>
    <w:rsid w:val="0007737A"/>
    <w:rsid w:val="000A0450"/>
    <w:rsid w:val="000A46B2"/>
    <w:rsid w:val="000B0D74"/>
    <w:rsid w:val="000B3003"/>
    <w:rsid w:val="000B6AEF"/>
    <w:rsid w:val="000E0BA1"/>
    <w:rsid w:val="000E6336"/>
    <w:rsid w:val="001033CC"/>
    <w:rsid w:val="00106C50"/>
    <w:rsid w:val="0012679E"/>
    <w:rsid w:val="0013490C"/>
    <w:rsid w:val="00166620"/>
    <w:rsid w:val="00195649"/>
    <w:rsid w:val="001B7CD5"/>
    <w:rsid w:val="001D4EE3"/>
    <w:rsid w:val="001E0CC2"/>
    <w:rsid w:val="001F1B61"/>
    <w:rsid w:val="00206A1F"/>
    <w:rsid w:val="0021422A"/>
    <w:rsid w:val="0022118D"/>
    <w:rsid w:val="00226E35"/>
    <w:rsid w:val="00246DF4"/>
    <w:rsid w:val="00280A06"/>
    <w:rsid w:val="00283355"/>
    <w:rsid w:val="0029577C"/>
    <w:rsid w:val="002A762E"/>
    <w:rsid w:val="002E0167"/>
    <w:rsid w:val="002F0C44"/>
    <w:rsid w:val="002F3DA7"/>
    <w:rsid w:val="00331772"/>
    <w:rsid w:val="003416C4"/>
    <w:rsid w:val="003423F7"/>
    <w:rsid w:val="003547F9"/>
    <w:rsid w:val="00362886"/>
    <w:rsid w:val="00365DBA"/>
    <w:rsid w:val="00366681"/>
    <w:rsid w:val="00377D34"/>
    <w:rsid w:val="00395931"/>
    <w:rsid w:val="003A16C2"/>
    <w:rsid w:val="003A2DDB"/>
    <w:rsid w:val="003C32C5"/>
    <w:rsid w:val="003C54D7"/>
    <w:rsid w:val="003D431D"/>
    <w:rsid w:val="003D6C53"/>
    <w:rsid w:val="0040643C"/>
    <w:rsid w:val="004070AD"/>
    <w:rsid w:val="00431293"/>
    <w:rsid w:val="0044363A"/>
    <w:rsid w:val="00445FFE"/>
    <w:rsid w:val="004660D9"/>
    <w:rsid w:val="004708FD"/>
    <w:rsid w:val="0047540F"/>
    <w:rsid w:val="004A7615"/>
    <w:rsid w:val="004C1244"/>
    <w:rsid w:val="004C342B"/>
    <w:rsid w:val="004F1076"/>
    <w:rsid w:val="004F55E2"/>
    <w:rsid w:val="00502052"/>
    <w:rsid w:val="00516AB1"/>
    <w:rsid w:val="0053489B"/>
    <w:rsid w:val="00574CF6"/>
    <w:rsid w:val="005779C1"/>
    <w:rsid w:val="005869CF"/>
    <w:rsid w:val="0059184F"/>
    <w:rsid w:val="005A03F7"/>
    <w:rsid w:val="005B64DB"/>
    <w:rsid w:val="005C2FC3"/>
    <w:rsid w:val="005D6D02"/>
    <w:rsid w:val="005E03A8"/>
    <w:rsid w:val="005F0A69"/>
    <w:rsid w:val="006118D7"/>
    <w:rsid w:val="00624407"/>
    <w:rsid w:val="0065410B"/>
    <w:rsid w:val="00656A3C"/>
    <w:rsid w:val="00673C6E"/>
    <w:rsid w:val="00683F9E"/>
    <w:rsid w:val="00693B94"/>
    <w:rsid w:val="00694736"/>
    <w:rsid w:val="00695BE7"/>
    <w:rsid w:val="006A792C"/>
    <w:rsid w:val="006B505F"/>
    <w:rsid w:val="006D5938"/>
    <w:rsid w:val="006D6A1F"/>
    <w:rsid w:val="006E37CB"/>
    <w:rsid w:val="006E59A1"/>
    <w:rsid w:val="006E5D99"/>
    <w:rsid w:val="006F4BDA"/>
    <w:rsid w:val="00720FB0"/>
    <w:rsid w:val="0072120B"/>
    <w:rsid w:val="00754536"/>
    <w:rsid w:val="00766FAF"/>
    <w:rsid w:val="00787957"/>
    <w:rsid w:val="00794A1F"/>
    <w:rsid w:val="007C1E27"/>
    <w:rsid w:val="007C4716"/>
    <w:rsid w:val="007C7947"/>
    <w:rsid w:val="007D19C3"/>
    <w:rsid w:val="007D2A4C"/>
    <w:rsid w:val="007D5406"/>
    <w:rsid w:val="007F0F8F"/>
    <w:rsid w:val="00805402"/>
    <w:rsid w:val="00805B40"/>
    <w:rsid w:val="00840A96"/>
    <w:rsid w:val="008424DE"/>
    <w:rsid w:val="00847DE1"/>
    <w:rsid w:val="00853D3A"/>
    <w:rsid w:val="00882786"/>
    <w:rsid w:val="00882B45"/>
    <w:rsid w:val="008A46DC"/>
    <w:rsid w:val="008A668F"/>
    <w:rsid w:val="008C7453"/>
    <w:rsid w:val="008D4E5E"/>
    <w:rsid w:val="008E133B"/>
    <w:rsid w:val="008E67F8"/>
    <w:rsid w:val="008F0EEA"/>
    <w:rsid w:val="008F712C"/>
    <w:rsid w:val="00917ED7"/>
    <w:rsid w:val="009249C1"/>
    <w:rsid w:val="00935A64"/>
    <w:rsid w:val="00942F4B"/>
    <w:rsid w:val="00944EAF"/>
    <w:rsid w:val="00955179"/>
    <w:rsid w:val="00964173"/>
    <w:rsid w:val="009644E5"/>
    <w:rsid w:val="00976EF5"/>
    <w:rsid w:val="00991696"/>
    <w:rsid w:val="009A78A7"/>
    <w:rsid w:val="009B264F"/>
    <w:rsid w:val="009C39CA"/>
    <w:rsid w:val="009C3B5B"/>
    <w:rsid w:val="009C46B4"/>
    <w:rsid w:val="009C7742"/>
    <w:rsid w:val="009F09E6"/>
    <w:rsid w:val="009F4E75"/>
    <w:rsid w:val="009F6FE0"/>
    <w:rsid w:val="009F781B"/>
    <w:rsid w:val="00A07CEB"/>
    <w:rsid w:val="00A21F61"/>
    <w:rsid w:val="00A26087"/>
    <w:rsid w:val="00A320A9"/>
    <w:rsid w:val="00A52B02"/>
    <w:rsid w:val="00A72151"/>
    <w:rsid w:val="00A8352D"/>
    <w:rsid w:val="00AB1A2F"/>
    <w:rsid w:val="00AB1FE7"/>
    <w:rsid w:val="00AD5768"/>
    <w:rsid w:val="00AE34E8"/>
    <w:rsid w:val="00AE7853"/>
    <w:rsid w:val="00AF2F53"/>
    <w:rsid w:val="00B17DCE"/>
    <w:rsid w:val="00B30456"/>
    <w:rsid w:val="00B40736"/>
    <w:rsid w:val="00B54F74"/>
    <w:rsid w:val="00B729E0"/>
    <w:rsid w:val="00B771B8"/>
    <w:rsid w:val="00BA10B8"/>
    <w:rsid w:val="00BA309B"/>
    <w:rsid w:val="00BB2037"/>
    <w:rsid w:val="00BB45DE"/>
    <w:rsid w:val="00BB4618"/>
    <w:rsid w:val="00BC62A7"/>
    <w:rsid w:val="00C14C2F"/>
    <w:rsid w:val="00C42163"/>
    <w:rsid w:val="00C45E5D"/>
    <w:rsid w:val="00CA67E2"/>
    <w:rsid w:val="00CB1D66"/>
    <w:rsid w:val="00CB24BC"/>
    <w:rsid w:val="00CB2EC8"/>
    <w:rsid w:val="00CB6202"/>
    <w:rsid w:val="00CD2155"/>
    <w:rsid w:val="00CD624C"/>
    <w:rsid w:val="00CE60C6"/>
    <w:rsid w:val="00CE6731"/>
    <w:rsid w:val="00CE6956"/>
    <w:rsid w:val="00D0183E"/>
    <w:rsid w:val="00D10F90"/>
    <w:rsid w:val="00D2708E"/>
    <w:rsid w:val="00D43F43"/>
    <w:rsid w:val="00D52DFC"/>
    <w:rsid w:val="00D82054"/>
    <w:rsid w:val="00DC16F6"/>
    <w:rsid w:val="00DD006B"/>
    <w:rsid w:val="00DD0C58"/>
    <w:rsid w:val="00DD2348"/>
    <w:rsid w:val="00E0158D"/>
    <w:rsid w:val="00E04E18"/>
    <w:rsid w:val="00E053B3"/>
    <w:rsid w:val="00E2374A"/>
    <w:rsid w:val="00E275FB"/>
    <w:rsid w:val="00E30DAE"/>
    <w:rsid w:val="00E51589"/>
    <w:rsid w:val="00E90CDE"/>
    <w:rsid w:val="00EB7A74"/>
    <w:rsid w:val="00ED1216"/>
    <w:rsid w:val="00ED20FE"/>
    <w:rsid w:val="00ED7987"/>
    <w:rsid w:val="00EE51EB"/>
    <w:rsid w:val="00EE71F0"/>
    <w:rsid w:val="00EF2505"/>
    <w:rsid w:val="00EF4EA7"/>
    <w:rsid w:val="00F10EB3"/>
    <w:rsid w:val="00F332B1"/>
    <w:rsid w:val="00F33A06"/>
    <w:rsid w:val="00F5467E"/>
    <w:rsid w:val="00F6035E"/>
    <w:rsid w:val="00F6781D"/>
    <w:rsid w:val="00F96476"/>
    <w:rsid w:val="00F9788A"/>
    <w:rsid w:val="00FA3DDF"/>
    <w:rsid w:val="00FB4ADC"/>
    <w:rsid w:val="00FE020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5263E"/>
  <w15:docId w15:val="{D165E66D-3E57-4E50-BF37-B0D9D6015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Segoe UI" w:eastAsia="Segoe UI" w:hAnsi="Segoe UI" w:cs="Segoe UI"/>
    </w:rPr>
  </w:style>
  <w:style w:type="paragraph" w:styleId="Heading1">
    <w:name w:val="heading 1"/>
    <w:basedOn w:val="Normal"/>
    <w:uiPriority w:val="9"/>
    <w:qFormat/>
    <w:pPr>
      <w:spacing w:line="1936" w:lineRule="exact"/>
      <w:ind w:left="260"/>
      <w:outlineLvl w:val="0"/>
    </w:pPr>
    <w:rPr>
      <w:rFonts w:ascii="TheSansB W6" w:eastAsia="TheSansB W6" w:hAnsi="TheSansB W6" w:cs="TheSansB W6"/>
      <w:b/>
      <w:bCs/>
      <w:sz w:val="141"/>
      <w:szCs w:val="141"/>
    </w:rPr>
  </w:style>
  <w:style w:type="paragraph" w:styleId="Heading2">
    <w:name w:val="heading 2"/>
    <w:basedOn w:val="Normal"/>
    <w:uiPriority w:val="9"/>
    <w:unhideWhenUsed/>
    <w:qFormat/>
    <w:pPr>
      <w:spacing w:before="74"/>
      <w:ind w:left="106"/>
      <w:outlineLvl w:val="1"/>
    </w:pPr>
    <w:rPr>
      <w:rFonts w:ascii="Calibri" w:eastAsia="Calibri" w:hAnsi="Calibri" w:cs="Calibri"/>
      <w:b/>
      <w:bCs/>
      <w:sz w:val="52"/>
      <w:szCs w:val="52"/>
    </w:rPr>
  </w:style>
  <w:style w:type="paragraph" w:styleId="Heading3">
    <w:name w:val="heading 3"/>
    <w:basedOn w:val="Normal"/>
    <w:uiPriority w:val="9"/>
    <w:unhideWhenUsed/>
    <w:qFormat/>
    <w:pPr>
      <w:spacing w:before="102" w:line="533" w:lineRule="exact"/>
      <w:ind w:left="226"/>
      <w:outlineLvl w:val="2"/>
    </w:pPr>
    <w:rPr>
      <w:sz w:val="44"/>
      <w:szCs w:val="44"/>
    </w:rPr>
  </w:style>
  <w:style w:type="paragraph" w:styleId="Heading4">
    <w:name w:val="heading 4"/>
    <w:basedOn w:val="Normal"/>
    <w:link w:val="Heading4Char"/>
    <w:unhideWhenUsed/>
    <w:qFormat/>
    <w:pPr>
      <w:spacing w:before="238"/>
      <w:ind w:left="226"/>
      <w:outlineLvl w:val="3"/>
    </w:pPr>
    <w:rPr>
      <w:rFonts w:ascii="Calibri" w:eastAsia="Calibri" w:hAnsi="Calibri" w:cs="Calibri"/>
      <w:sz w:val="36"/>
      <w:szCs w:val="36"/>
    </w:rPr>
  </w:style>
  <w:style w:type="paragraph" w:styleId="Heading5">
    <w:name w:val="heading 5"/>
    <w:basedOn w:val="Normal"/>
    <w:uiPriority w:val="9"/>
    <w:unhideWhenUsed/>
    <w:qFormat/>
    <w:pPr>
      <w:ind w:left="226"/>
      <w:outlineLvl w:val="4"/>
    </w:pPr>
    <w:rPr>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98"/>
      <w:ind w:left="226"/>
    </w:pPr>
    <w:rPr>
      <w:rFonts w:ascii="Calibri" w:eastAsia="Calibri" w:hAnsi="Calibri" w:cs="Calibri"/>
      <w:b/>
      <w:bCs/>
      <w:sz w:val="20"/>
      <w:szCs w:val="20"/>
    </w:rPr>
  </w:style>
  <w:style w:type="paragraph" w:styleId="TOC2">
    <w:name w:val="toc 2"/>
    <w:basedOn w:val="Normal"/>
    <w:uiPriority w:val="1"/>
    <w:qFormat/>
    <w:pPr>
      <w:spacing w:before="78"/>
      <w:ind w:left="466"/>
    </w:pPr>
    <w:rPr>
      <w:rFonts w:ascii="Calibri" w:eastAsia="Calibri" w:hAnsi="Calibri" w:cs="Calibri"/>
      <w:sz w:val="20"/>
      <w:szCs w:val="20"/>
    </w:rPr>
  </w:style>
  <w:style w:type="paragraph" w:styleId="TOC3">
    <w:name w:val="toc 3"/>
    <w:basedOn w:val="Normal"/>
    <w:uiPriority w:val="1"/>
    <w:qFormat/>
    <w:pPr>
      <w:spacing w:before="77"/>
      <w:ind w:left="466"/>
    </w:pPr>
    <w:rPr>
      <w:rFonts w:ascii="Calibri" w:eastAsia="Calibri" w:hAnsi="Calibri" w:cs="Calibri"/>
      <w:b/>
      <w:bCs/>
      <w:i/>
      <w:iCs/>
    </w:rPr>
  </w:style>
  <w:style w:type="paragraph" w:styleId="TOC4">
    <w:name w:val="toc 4"/>
    <w:basedOn w:val="Normal"/>
    <w:uiPriority w:val="1"/>
    <w:qFormat/>
    <w:pPr>
      <w:spacing w:before="77"/>
      <w:ind w:left="706"/>
    </w:pPr>
    <w:rPr>
      <w:rFonts w:ascii="Calibri" w:eastAsia="Calibri" w:hAnsi="Calibri" w:cs="Calibri"/>
      <w:i/>
      <w:iCs/>
      <w:sz w:val="20"/>
      <w:szCs w:val="20"/>
    </w:rPr>
  </w:style>
  <w:style w:type="paragraph" w:styleId="BodyText">
    <w:name w:val="Body Text"/>
    <w:basedOn w:val="Normal"/>
    <w:uiPriority w:val="1"/>
    <w:qFormat/>
    <w:rPr>
      <w:sz w:val="24"/>
      <w:szCs w:val="24"/>
    </w:rPr>
  </w:style>
  <w:style w:type="paragraph" w:styleId="ListParagraph">
    <w:name w:val="List Paragraph"/>
    <w:aliases w:val="List Paragraph numbered,List Paragraph1,List Bullet indent,Body,Level 3,Bullet Normal,Recommendation,standard lewis,List Paragraph in forms,Rec para,List Paragraph11,Use Case List Paragraph,lp1"/>
    <w:basedOn w:val="Normal"/>
    <w:link w:val="ListParagraphChar"/>
    <w:uiPriority w:val="34"/>
    <w:qFormat/>
    <w:pPr>
      <w:ind w:left="586" w:hanging="360"/>
    </w:pPr>
  </w:style>
  <w:style w:type="paragraph" w:customStyle="1" w:styleId="TableParagraph">
    <w:name w:val="Table Paragraph"/>
    <w:basedOn w:val="Normal"/>
    <w:uiPriority w:val="1"/>
    <w:qFormat/>
    <w:pPr>
      <w:ind w:left="729"/>
    </w:pPr>
  </w:style>
  <w:style w:type="paragraph" w:styleId="Header">
    <w:name w:val="header"/>
    <w:basedOn w:val="Normal"/>
    <w:link w:val="HeaderChar"/>
    <w:uiPriority w:val="99"/>
    <w:unhideWhenUsed/>
    <w:rsid w:val="00246DF4"/>
    <w:pPr>
      <w:tabs>
        <w:tab w:val="center" w:pos="4513"/>
        <w:tab w:val="right" w:pos="9026"/>
      </w:tabs>
    </w:pPr>
  </w:style>
  <w:style w:type="character" w:customStyle="1" w:styleId="HeaderChar">
    <w:name w:val="Header Char"/>
    <w:basedOn w:val="DefaultParagraphFont"/>
    <w:link w:val="Header"/>
    <w:uiPriority w:val="99"/>
    <w:rsid w:val="00246DF4"/>
    <w:rPr>
      <w:rFonts w:ascii="Segoe UI" w:eastAsia="Segoe UI" w:hAnsi="Segoe UI" w:cs="Segoe UI"/>
    </w:rPr>
  </w:style>
  <w:style w:type="paragraph" w:styleId="Footer">
    <w:name w:val="footer"/>
    <w:basedOn w:val="Normal"/>
    <w:link w:val="FooterChar"/>
    <w:uiPriority w:val="99"/>
    <w:unhideWhenUsed/>
    <w:rsid w:val="00246DF4"/>
    <w:pPr>
      <w:tabs>
        <w:tab w:val="center" w:pos="4513"/>
        <w:tab w:val="right" w:pos="9026"/>
      </w:tabs>
    </w:pPr>
  </w:style>
  <w:style w:type="character" w:customStyle="1" w:styleId="FooterChar">
    <w:name w:val="Footer Char"/>
    <w:basedOn w:val="DefaultParagraphFont"/>
    <w:link w:val="Footer"/>
    <w:uiPriority w:val="99"/>
    <w:rsid w:val="00246DF4"/>
    <w:rPr>
      <w:rFonts w:ascii="Segoe UI" w:eastAsia="Segoe UI" w:hAnsi="Segoe UI" w:cs="Segoe UI"/>
    </w:rPr>
  </w:style>
  <w:style w:type="paragraph" w:customStyle="1" w:styleId="CoverTitle">
    <w:name w:val="Cover Title"/>
    <w:qFormat/>
    <w:rsid w:val="001B7CD5"/>
    <w:pPr>
      <w:widowControl/>
      <w:tabs>
        <w:tab w:val="left" w:pos="399"/>
        <w:tab w:val="right" w:pos="9489"/>
      </w:tabs>
      <w:autoSpaceDE/>
      <w:autoSpaceDN/>
      <w:spacing w:line="800" w:lineRule="exact"/>
    </w:pPr>
    <w:rPr>
      <w:rFonts w:ascii="Segoe" w:eastAsiaTheme="majorEastAsia" w:hAnsi="Segoe" w:cs="Segoe UI Semibold"/>
      <w:b/>
      <w:sz w:val="64"/>
      <w:szCs w:val="96"/>
      <w:lang w:val="en-AU"/>
    </w:rPr>
  </w:style>
  <w:style w:type="character" w:styleId="CommentReference">
    <w:name w:val="annotation reference"/>
    <w:basedOn w:val="DefaultParagraphFont"/>
    <w:semiHidden/>
    <w:unhideWhenUsed/>
    <w:rsid w:val="009A78A7"/>
    <w:rPr>
      <w:sz w:val="16"/>
      <w:szCs w:val="16"/>
    </w:rPr>
  </w:style>
  <w:style w:type="paragraph" w:styleId="CommentText">
    <w:name w:val="annotation text"/>
    <w:basedOn w:val="Normal"/>
    <w:link w:val="CommentTextChar"/>
    <w:unhideWhenUsed/>
    <w:rsid w:val="009A78A7"/>
    <w:rPr>
      <w:sz w:val="20"/>
      <w:szCs w:val="20"/>
    </w:rPr>
  </w:style>
  <w:style w:type="character" w:customStyle="1" w:styleId="CommentTextChar">
    <w:name w:val="Comment Text Char"/>
    <w:basedOn w:val="DefaultParagraphFont"/>
    <w:link w:val="CommentText"/>
    <w:rsid w:val="009A78A7"/>
    <w:rPr>
      <w:rFonts w:ascii="Segoe UI" w:eastAsia="Segoe UI" w:hAnsi="Segoe UI" w:cs="Segoe UI"/>
      <w:sz w:val="20"/>
      <w:szCs w:val="20"/>
    </w:rPr>
  </w:style>
  <w:style w:type="paragraph" w:styleId="CommentSubject">
    <w:name w:val="annotation subject"/>
    <w:basedOn w:val="CommentText"/>
    <w:next w:val="CommentText"/>
    <w:link w:val="CommentSubjectChar"/>
    <w:uiPriority w:val="99"/>
    <w:semiHidden/>
    <w:unhideWhenUsed/>
    <w:rsid w:val="009A78A7"/>
    <w:rPr>
      <w:b/>
      <w:bCs/>
    </w:rPr>
  </w:style>
  <w:style w:type="character" w:customStyle="1" w:styleId="CommentSubjectChar">
    <w:name w:val="Comment Subject Char"/>
    <w:basedOn w:val="CommentTextChar"/>
    <w:link w:val="CommentSubject"/>
    <w:uiPriority w:val="99"/>
    <w:semiHidden/>
    <w:rsid w:val="009A78A7"/>
    <w:rPr>
      <w:rFonts w:ascii="Segoe UI" w:eastAsia="Segoe UI" w:hAnsi="Segoe UI" w:cs="Segoe UI"/>
      <w:b/>
      <w:bCs/>
      <w:sz w:val="20"/>
      <w:szCs w:val="20"/>
    </w:rPr>
  </w:style>
  <w:style w:type="character" w:styleId="Hyperlink">
    <w:name w:val="Hyperlink"/>
    <w:basedOn w:val="DefaultParagraphFont"/>
    <w:uiPriority w:val="99"/>
    <w:unhideWhenUsed/>
    <w:rsid w:val="00063FE0"/>
    <w:rPr>
      <w:color w:val="0000FF" w:themeColor="hyperlink"/>
      <w:u w:val="single"/>
    </w:rPr>
  </w:style>
  <w:style w:type="character" w:customStyle="1" w:styleId="UnresolvedMention">
    <w:name w:val="Unresolved Mention"/>
    <w:basedOn w:val="DefaultParagraphFont"/>
    <w:uiPriority w:val="99"/>
    <w:semiHidden/>
    <w:unhideWhenUsed/>
    <w:rsid w:val="00063FE0"/>
    <w:rPr>
      <w:color w:val="605E5C"/>
      <w:shd w:val="clear" w:color="auto" w:fill="E1DFDD"/>
    </w:rPr>
  </w:style>
  <w:style w:type="paragraph" w:styleId="FootnoteText">
    <w:name w:val="footnote text"/>
    <w:aliases w:val="5_G"/>
    <w:basedOn w:val="Normal"/>
    <w:link w:val="FootnoteTextChar"/>
    <w:unhideWhenUsed/>
    <w:qFormat/>
    <w:rsid w:val="00B30456"/>
    <w:rPr>
      <w:sz w:val="20"/>
      <w:szCs w:val="20"/>
    </w:rPr>
  </w:style>
  <w:style w:type="character" w:customStyle="1" w:styleId="FootnoteTextChar">
    <w:name w:val="Footnote Text Char"/>
    <w:aliases w:val="5_G Char"/>
    <w:basedOn w:val="DefaultParagraphFont"/>
    <w:link w:val="FootnoteText"/>
    <w:rsid w:val="00B30456"/>
    <w:rPr>
      <w:rFonts w:ascii="Segoe UI" w:eastAsia="Segoe UI" w:hAnsi="Segoe UI" w:cs="Segoe UI"/>
      <w:sz w:val="20"/>
      <w:szCs w:val="20"/>
    </w:rPr>
  </w:style>
  <w:style w:type="character" w:styleId="FootnoteReference">
    <w:name w:val="footnote reference"/>
    <w:aliases w:val="4_G,fr"/>
    <w:basedOn w:val="DefaultParagraphFont"/>
    <w:unhideWhenUsed/>
    <w:qFormat/>
    <w:rsid w:val="00B30456"/>
    <w:rPr>
      <w:vertAlign w:val="superscript"/>
    </w:rPr>
  </w:style>
  <w:style w:type="character" w:customStyle="1" w:styleId="ListParagraphChar">
    <w:name w:val="List Paragraph Char"/>
    <w:aliases w:val="List Paragraph numbered Char,List Paragraph1 Char,List Bullet indent Char,Body Char,Level 3 Char,Bullet Normal Char,Recommendation Char,standard lewis Char,List Paragraph in forms Char,Rec para Char,List Paragraph11 Char,lp1 Char"/>
    <w:basedOn w:val="DefaultParagraphFont"/>
    <w:link w:val="ListParagraph"/>
    <w:uiPriority w:val="34"/>
    <w:qFormat/>
    <w:locked/>
    <w:rsid w:val="00EF2505"/>
    <w:rPr>
      <w:rFonts w:ascii="Segoe UI" w:eastAsia="Segoe UI" w:hAnsi="Segoe UI" w:cs="Segoe UI"/>
    </w:rPr>
  </w:style>
  <w:style w:type="character" w:customStyle="1" w:styleId="Heading4Char">
    <w:name w:val="Heading 4 Char"/>
    <w:basedOn w:val="DefaultParagraphFont"/>
    <w:link w:val="Heading4"/>
    <w:rsid w:val="00EF2505"/>
    <w:rPr>
      <w:rFonts w:ascii="Calibri" w:eastAsia="Calibri" w:hAnsi="Calibri" w:cs="Calibri"/>
      <w:sz w:val="36"/>
      <w:szCs w:val="36"/>
    </w:rPr>
  </w:style>
  <w:style w:type="paragraph" w:customStyle="1" w:styleId="Pull-OutText">
    <w:name w:val="Pull-Out Text"/>
    <w:next w:val="Normal"/>
    <w:qFormat/>
    <w:rsid w:val="00EF2505"/>
    <w:pPr>
      <w:widowControl/>
      <w:suppressAutoHyphens/>
      <w:autoSpaceDE/>
      <w:autoSpaceDN/>
      <w:spacing w:before="240" w:after="120" w:line="320" w:lineRule="exact"/>
      <w:ind w:left="851"/>
    </w:pPr>
    <w:rPr>
      <w:rFonts w:ascii="Segoe" w:hAnsi="Segoe" w:cs="TheSerifLight-Plain"/>
      <w:color w:val="C42127"/>
      <w:sz w:val="24"/>
      <w:szCs w:val="24"/>
      <w:lang w:val="en-GB"/>
    </w:rPr>
  </w:style>
  <w:style w:type="paragraph" w:styleId="ListNumber">
    <w:name w:val="List Number"/>
    <w:basedOn w:val="Normal"/>
    <w:qFormat/>
    <w:rsid w:val="00EF2505"/>
    <w:pPr>
      <w:widowControl/>
      <w:numPr>
        <w:numId w:val="1"/>
      </w:numPr>
      <w:autoSpaceDE/>
      <w:autoSpaceDN/>
      <w:spacing w:before="120" w:after="120" w:line="280" w:lineRule="exact"/>
    </w:pPr>
    <w:rPr>
      <w:rFonts w:ascii="Segoe" w:eastAsiaTheme="minorHAnsi" w:hAnsi="Segoe" w:cstheme="minorBidi"/>
      <w:color w:val="000000" w:themeColor="text1"/>
      <w:sz w:val="24"/>
      <w:szCs w:val="24"/>
      <w:lang w:val="en-NZ"/>
    </w:rPr>
  </w:style>
  <w:style w:type="character" w:styleId="FollowedHyperlink">
    <w:name w:val="FollowedHyperlink"/>
    <w:basedOn w:val="DefaultParagraphFont"/>
    <w:uiPriority w:val="99"/>
    <w:semiHidden/>
    <w:unhideWhenUsed/>
    <w:rsid w:val="00B40736"/>
    <w:rPr>
      <w:color w:val="800080" w:themeColor="followedHyperlink"/>
      <w:u w:val="single"/>
    </w:rPr>
  </w:style>
  <w:style w:type="paragraph" w:customStyle="1" w:styleId="Style2">
    <w:name w:val="Style2"/>
    <w:basedOn w:val="Normal"/>
    <w:link w:val="Style2Char"/>
    <w:qFormat/>
    <w:rsid w:val="00B40736"/>
    <w:pPr>
      <w:keepNext/>
      <w:keepLines/>
      <w:widowControl/>
      <w:autoSpaceDE/>
      <w:autoSpaceDN/>
      <w:spacing w:before="480" w:after="240"/>
      <w:outlineLvl w:val="0"/>
    </w:pPr>
    <w:rPr>
      <w:rFonts w:eastAsia="MS Gothic" w:cs="Times New Roman"/>
      <w:b/>
      <w:bCs/>
      <w:color w:val="C32026"/>
      <w:sz w:val="52"/>
      <w:szCs w:val="32"/>
      <w:lang w:val="en-AU" w:eastAsia="en-GB"/>
    </w:rPr>
  </w:style>
  <w:style w:type="character" w:customStyle="1" w:styleId="Style2Char">
    <w:name w:val="Style2 Char"/>
    <w:basedOn w:val="DefaultParagraphFont"/>
    <w:link w:val="Style2"/>
    <w:rsid w:val="00B40736"/>
    <w:rPr>
      <w:rFonts w:ascii="Segoe UI" w:eastAsia="MS Gothic" w:hAnsi="Segoe UI" w:cs="Times New Roman"/>
      <w:b/>
      <w:bCs/>
      <w:color w:val="C32026"/>
      <w:sz w:val="52"/>
      <w:szCs w:val="32"/>
      <w:lang w:val="en-AU" w:eastAsia="en-GB"/>
    </w:rPr>
  </w:style>
  <w:style w:type="character" w:customStyle="1" w:styleId="normaltextrun">
    <w:name w:val="normaltextrun"/>
    <w:basedOn w:val="DefaultParagraphFont"/>
    <w:rsid w:val="00917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982847">
      <w:bodyDiv w:val="1"/>
      <w:marLeft w:val="0"/>
      <w:marRight w:val="0"/>
      <w:marTop w:val="0"/>
      <w:marBottom w:val="0"/>
      <w:divBdr>
        <w:top w:val="none" w:sz="0" w:space="0" w:color="auto"/>
        <w:left w:val="none" w:sz="0" w:space="0" w:color="auto"/>
        <w:bottom w:val="none" w:sz="0" w:space="0" w:color="auto"/>
        <w:right w:val="none" w:sz="0" w:space="0" w:color="auto"/>
      </w:divBdr>
    </w:div>
    <w:div w:id="1759716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hyperlink" Target="https://www.legislation.govt.nz/act/public/1989/0024/latest/DLM147088.html" TargetMode="External"/><Relationship Id="rId26" Type="http://schemas.openxmlformats.org/officeDocument/2006/relationships/hyperlink" Target="https://www.childrenandyoungpeople.org.nz/publications/reports/children-with-offending-behaviour/" TargetMode="External"/><Relationship Id="rId3" Type="http://schemas.openxmlformats.org/officeDocument/2006/relationships/styles" Target="styles.xml"/><Relationship Id="rId21" Type="http://schemas.openxmlformats.org/officeDocument/2006/relationships/hyperlink" Target="https://www.legislation.govt.nz/act/public/2003/0121/latest/DLM230429.html" TargetMode="External"/><Relationship Id="rId34" Type="http://schemas.openxmlformats.org/officeDocument/2006/relationships/footer" Target="footer2.xml"/><Relationship Id="rId7" Type="http://schemas.openxmlformats.org/officeDocument/2006/relationships/endnotes" Target="endnotes.xml"/><Relationship Id="rId17" Type="http://schemas.openxmlformats.org/officeDocument/2006/relationships/hyperlink" Target="mailto:C.Burrage@occ.org.nz" TargetMode="External"/><Relationship Id="rId25" Type="http://schemas.openxmlformats.org/officeDocument/2006/relationships/hyperlink" Target="https://www.childrenandyoungpeople.org.nz/publications/reports/hard-place-to-be-happy/"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legislation.govt.nz/act/public/1989/0106/latest/DLM192818.html" TargetMode="External"/><Relationship Id="rId20" Type="http://schemas.openxmlformats.org/officeDocument/2006/relationships/hyperlink" Target="https://www.legislation.govt.nz/act/public/2022/0044/latest/LMS733129.html?search=ts_act%40bill%40regulation%40deemedreg_children+and+young+peoples+commission+act_resel_25_a&amp;p=1" TargetMode="External"/><Relationship Id="rId29" Type="http://schemas.openxmlformats.org/officeDocument/2006/relationships/hyperlink" Target="https://www.legislation.govt.nz/act/public/1992/0046/latest/whole.html" TargetMode="Externa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hyperlink" Target="https://www.legislation.govt.nz/act/public/2003/0121/latest/DLM230429.htm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legislation.govt.nz/act/public/2022/0043/latest/LMS591380.html?search=sw_096be8ed81d37011_commissioner_25_se&amp;p=1&amp;sr=1" TargetMode="External"/><Relationship Id="rId28" Type="http://schemas.openxmlformats.org/officeDocument/2006/relationships/hyperlink" Target="https://www.legislation.govt.nz/act/public/2004/0050/latest/DLM294849.html" TargetMode="External"/><Relationship Id="rId36" Type="http://schemas.openxmlformats.org/officeDocument/2006/relationships/theme" Target="theme/theme1.xml"/><Relationship Id="rId19" Type="http://schemas.openxmlformats.org/officeDocument/2006/relationships/hyperlink" Target="https://www.legislation.govt.nz/act/public/2022/0044/latest/LMS733129.html?search=ts_act%40bill%40regulation%40deemedreg_children+and+young+peoples+commission+act_resel_25_a&amp;p=1"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www.legislation.govt.nz/act/public/1989/0024/latest/DLM147088.html" TargetMode="External"/><Relationship Id="rId27" Type="http://schemas.openxmlformats.org/officeDocument/2006/relationships/hyperlink" Target="https://www.legislation.govt.nz/act/public/2011/0081/latest/dlm3359962.html" TargetMode="External"/><Relationship Id="rId30" Type="http://schemas.openxmlformats.org/officeDocument/2006/relationships/hyperlink" Target="https://www.legislation.govt.nz/regulation/public/2005/0332/7.0/DLM362025.html"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budget.govt.nz/budget/pdfs/wellbeing-budget/b23-wellbeing-budget.pdf" TargetMode="External"/><Relationship Id="rId21" Type="http://schemas.openxmlformats.org/officeDocument/2006/relationships/hyperlink" Target="https://www.childrenandyoungpeople.org.nz/publications/reports/state-of-care-2016-what-we-learnt-from-monitoring-child-youth-and-family/" TargetMode="External"/><Relationship Id="rId34" Type="http://schemas.openxmlformats.org/officeDocument/2006/relationships/hyperlink" Target="https://www.occ.org.nz/publications/oia/opcat-youth-justice-residences/" TargetMode="External"/><Relationship Id="rId42" Type="http://schemas.openxmlformats.org/officeDocument/2006/relationships/hyperlink" Target="https://www.occ.org.nz/assets/Uploads/Youth-Justice-Police-cells-June-2018.pdf" TargetMode="External"/><Relationship Id="rId47" Type="http://schemas.openxmlformats.org/officeDocument/2006/relationships/hyperlink" Target="https://www.occ.org.nz/publications/oia/" TargetMode="External"/><Relationship Id="rId50" Type="http://schemas.openxmlformats.org/officeDocument/2006/relationships/hyperlink" Target="https://www.icm.org.nz/assets/Uploads/Documents/Reports/Report-5/Experiences-of-Care-2021-22-web-version.pdf" TargetMode="External"/><Relationship Id="rId55" Type="http://schemas.openxmlformats.org/officeDocument/2006/relationships/hyperlink" Target="https://www.occ.org.nz/publications/reports/whakatakapokai-report-march-2022/" TargetMode="External"/><Relationship Id="rId63" Type="http://schemas.openxmlformats.org/officeDocument/2006/relationships/hyperlink" Target="https://www.childrenandyoungpeople.org.nz/publications/reports/state-of-care-2018-maiea-te-turuapo-fulfilling-the-vision/" TargetMode="External"/><Relationship Id="rId68" Type="http://schemas.openxmlformats.org/officeDocument/2006/relationships/hyperlink" Target="https://www.occ.org.nz/publications/reports/te-oranga-care-and-protection-residence-oia-releases/" TargetMode="External"/><Relationship Id="rId76" Type="http://schemas.openxmlformats.org/officeDocument/2006/relationships/hyperlink" Target="https://www.nzherald.co.nz/nz/its-luck-that-no-ones-died-the-inside-story-of-new-zealands-youth-justice-residences/YG65VACJGVGR7GMDEW4XSQPXEA/" TargetMode="External"/><Relationship Id="rId84" Type="http://schemas.openxmlformats.org/officeDocument/2006/relationships/hyperlink" Target="https://tikatangata.org.nz/our-work/monitoring-places-of-detention" TargetMode="External"/><Relationship Id="rId89" Type="http://schemas.openxmlformats.org/officeDocument/2006/relationships/hyperlink" Target="https://www.legislation.govt.nz/act/public/1989/0024/latest/LMS224218.html" TargetMode="External"/><Relationship Id="rId97" Type="http://schemas.openxmlformats.org/officeDocument/2006/relationships/hyperlink" Target="https://www.occ.org.nz/publications/reports/te-puna-wai-o-tuhinapo-monitoring-report/" TargetMode="External"/><Relationship Id="rId7" Type="http://schemas.openxmlformats.org/officeDocument/2006/relationships/hyperlink" Target="https://aroturuki.govt.nz/who-we-are/" TargetMode="External"/><Relationship Id="rId71" Type="http://schemas.openxmlformats.org/officeDocument/2006/relationships/hyperlink" Target="https://www.occ.org.nz/publications/reports/te-au-rere-a-te-tonga-opcat-monitoring-report/" TargetMode="External"/><Relationship Id="rId92" Type="http://schemas.openxmlformats.org/officeDocument/2006/relationships/hyperlink" Target="https://www.abuseincare.org.nz/our-inquiries/disability-and-mental-health-2/" TargetMode="External"/><Relationship Id="rId2" Type="http://schemas.openxmlformats.org/officeDocument/2006/relationships/hyperlink" Target="https://waitangitribunal.govt.nz/treaty-of-waitangi/meaning-of-the-treaty/" TargetMode="External"/><Relationship Id="rId16" Type="http://schemas.openxmlformats.org/officeDocument/2006/relationships/hyperlink" Target="https://www.occ.org.nz/publications/oia/opcat-youth-justice-residences/" TargetMode="External"/><Relationship Id="rId29" Type="http://schemas.openxmlformats.org/officeDocument/2006/relationships/hyperlink" Target="https://nzfvc.org.nz/covid-19/FAQ-part-1" TargetMode="External"/><Relationship Id="rId11" Type="http://schemas.openxmlformats.org/officeDocument/2006/relationships/hyperlink" Target="https://covid19.govt.nz/about-our-covid-19-response/history-of-the-covid-19-alert-system/" TargetMode="External"/><Relationship Id="rId24" Type="http://schemas.openxmlformats.org/officeDocument/2006/relationships/hyperlink" Target="https://www.childrenandyoungpeople.org.nz/publications/reports/supporting-young-people-on-remand/" TargetMode="External"/><Relationship Id="rId32" Type="http://schemas.openxmlformats.org/officeDocument/2006/relationships/hyperlink" Target="https://ourarchive.otago.ac.nz/bitstream/handle/10523/10531/Beres%20et%20al%20YHSR%20Report%20Final.pdf?sequence=1&amp;isAllowed=y" TargetMode="External"/><Relationship Id="rId37" Type="http://schemas.openxmlformats.org/officeDocument/2006/relationships/hyperlink" Target="https://www.rnz.co.nz/news/national/447684/police-strapped-38-youth-in-restraint-chairs-in-5-years-we-must-do-better" TargetMode="External"/><Relationship Id="rId40" Type="http://schemas.openxmlformats.org/officeDocument/2006/relationships/hyperlink" Target="https://www.stuff.co.nz/pou-tiaki/300568395/more-than-480-children-and-young-people-pepper-sprayed-by-police" TargetMode="External"/><Relationship Id="rId45" Type="http://schemas.openxmlformats.org/officeDocument/2006/relationships/hyperlink" Target="https://www.newshub.co.nz/home/politics/2021/05/oranga-tamariki-strip-searching-children-in-youth-justice.html" TargetMode="External"/><Relationship Id="rId53" Type="http://schemas.openxmlformats.org/officeDocument/2006/relationships/hyperlink" Target="https://tikatangata.org.nz/our-work/monitoring-places-of-detention" TargetMode="External"/><Relationship Id="rId58" Type="http://schemas.openxmlformats.org/officeDocument/2006/relationships/hyperlink" Target="https://www.newshub.co.nz/home/shows/2022/05/oranga-tamariki-damning-reports-reveal-shocking-levels-of-self-harm-suicide-attempts-in-care-facilities.html" TargetMode="External"/><Relationship Id="rId66" Type="http://schemas.openxmlformats.org/officeDocument/2006/relationships/hyperlink" Target="https://www.occ.org.nz/publications/reports/puketai-monitoring-report/" TargetMode="External"/><Relationship Id="rId74" Type="http://schemas.openxmlformats.org/officeDocument/2006/relationships/hyperlink" Target="https://www.nzherald.co.nz/nz/staff-member-stabbed-youth-assaulted-at-youth-justice-facilities/HNOV2T4UC5E7RL6SR2QPEWXY2Q/" TargetMode="External"/><Relationship Id="rId79" Type="http://schemas.openxmlformats.org/officeDocument/2006/relationships/hyperlink" Target="https://www.occ.org.nz/publications/reports/nz-childrens-commissioners-report-to-the-un-committee-on-the-rights-of-the-child-2022/" TargetMode="External"/><Relationship Id="rId87" Type="http://schemas.openxmlformats.org/officeDocument/2006/relationships/hyperlink" Target="https://www.occ.org.nz/publications/reports/rangatahi-report-jan-2022-final/" TargetMode="External"/><Relationship Id="rId5" Type="http://schemas.openxmlformats.org/officeDocument/2006/relationships/hyperlink" Target="https://www.legislation.govt.nz/regulation/public/2018/0111/latest/LMS56030.html" TargetMode="External"/><Relationship Id="rId61" Type="http://schemas.openxmlformats.org/officeDocument/2006/relationships/hyperlink" Target="https://tbinternet.ohchr.org/Treaties/CRC/Shared%20Documents/NZL/INT_CRC_NGO_NZL_22410_E.pdf" TargetMode="External"/><Relationship Id="rId82" Type="http://schemas.openxmlformats.org/officeDocument/2006/relationships/hyperlink" Target="https://www.orangatamariki.govt.nz/youth-justice/youth-justice-community-homes/" TargetMode="External"/><Relationship Id="rId90" Type="http://schemas.openxmlformats.org/officeDocument/2006/relationships/hyperlink" Target="https://www.mhwc.govt.nz/our-work/our-reports/" TargetMode="External"/><Relationship Id="rId95" Type="http://schemas.openxmlformats.org/officeDocument/2006/relationships/hyperlink" Target="https://www.legislation.govt.nz/act/public/1989/0024/latest/DLM147088.html" TargetMode="External"/><Relationship Id="rId19" Type="http://schemas.openxmlformats.org/officeDocument/2006/relationships/hyperlink" Target="https://tikatangata.org.nz/our-work/monitoring-places-of-detention" TargetMode="External"/><Relationship Id="rId14" Type="http://schemas.openxmlformats.org/officeDocument/2006/relationships/hyperlink" Target="https://www.orangatamariki.govt.nz/children-in-our-care/information-for-children/child-statement-of-rights/" TargetMode="External"/><Relationship Id="rId22" Type="http://schemas.openxmlformats.org/officeDocument/2006/relationships/hyperlink" Target="https://www.childrenandyoungpeople.org.nz/publications/reports/state-of-care-2017-a-focus-on-oranga-tamarikis-secure-residences/" TargetMode="External"/><Relationship Id="rId27" Type="http://schemas.openxmlformats.org/officeDocument/2006/relationships/hyperlink" Target="https://www.dpmc.govt.nz/cabinet/portfolios/prevention-family-and-sexual-violence" TargetMode="External"/><Relationship Id="rId30" Type="http://schemas.openxmlformats.org/officeDocument/2006/relationships/hyperlink" Target="https://www.rnz.co.nz/news/national/415553/domestic-violence-calls-to-police-increase-in-lockdown" TargetMode="External"/><Relationship Id="rId35" Type="http://schemas.openxmlformats.org/officeDocument/2006/relationships/hyperlink" Target="https://www.solitaryconfinement.org/solitary-confinement-in-new-zealand" TargetMode="External"/><Relationship Id="rId43" Type="http://schemas.openxmlformats.org/officeDocument/2006/relationships/hyperlink" Target="https://www.justspeak.org.nz/ourwork/justspeak-statement-of-support-for-hands-off-our-tamariki" TargetMode="External"/><Relationship Id="rId48" Type="http://schemas.openxmlformats.org/officeDocument/2006/relationships/hyperlink" Target="https://apo.org.au/sites/default/files/resource-files/2020-12/apo-nid310034.pdf" TargetMode="External"/><Relationship Id="rId56" Type="http://schemas.openxmlformats.org/officeDocument/2006/relationships/hyperlink" Target="https://www.occ.org.nz/publications/reports/epuni-residence-opcat-monitoring-report/" TargetMode="External"/><Relationship Id="rId64" Type="http://schemas.openxmlformats.org/officeDocument/2006/relationships/hyperlink" Target="https://www.msd.govt.nz/documents/about-msd-and-our-work/publications-resources/corporate/expert-panel-cyf/investing-in-children-report.pdf" TargetMode="External"/><Relationship Id="rId69" Type="http://schemas.openxmlformats.org/officeDocument/2006/relationships/hyperlink" Target="https://www.occ.org.nz/publications/oia/opcat-youth-justice-residences/" TargetMode="External"/><Relationship Id="rId77" Type="http://schemas.openxmlformats.org/officeDocument/2006/relationships/hyperlink" Target="https://www.stuff.co.nz/the-press/news/131158870/youths-spend-hours-on-roof-of-justice-facility-after-breaking-out-of-unit" TargetMode="External"/><Relationship Id="rId8" Type="http://schemas.openxmlformats.org/officeDocument/2006/relationships/hyperlink" Target="https://www.legislation.govt.nz/act/public/2022/0043/latest/LMS591380.html?search=sw_096be8ed81d37011_commissioner_25_se&amp;p=1&amp;sr=1" TargetMode="External"/><Relationship Id="rId51" Type="http://schemas.openxmlformats.org/officeDocument/2006/relationships/hyperlink" Target="https://www.dpmc.govt.nz/sites/default/files/2022-04/PMCSA-20-02_What-were-they-thinking-A-discussion-paper-on-brain-and-behaviour.pdf" TargetMode="External"/><Relationship Id="rId72" Type="http://schemas.openxmlformats.org/officeDocument/2006/relationships/hyperlink" Target="https://www.occ.org.nz/publications/reports/te-puna-wai-o-tuhinapo-monitoring-report/" TargetMode="External"/><Relationship Id="rId80" Type="http://schemas.openxmlformats.org/officeDocument/2006/relationships/hyperlink" Target="https://www.occ.org.nz/publications/reports/te-au-rere-a-te-tonga-opcat-monitoring-report/" TargetMode="External"/><Relationship Id="rId85" Type="http://schemas.openxmlformats.org/officeDocument/2006/relationships/hyperlink" Target="https://www.occ.org.nz/publications/reports/rangatahi-report-jan-2022-final/" TargetMode="External"/><Relationship Id="rId93" Type="http://schemas.openxmlformats.org/officeDocument/2006/relationships/hyperlink" Target="https://www.abuseincare.org.nz/our-progress/reports/from-redress-to-puretumu/from-redress-to-puretumu-4/1-1-introduction-2/1-1-introduction-3/" TargetMode="External"/><Relationship Id="rId98" Type="http://schemas.openxmlformats.org/officeDocument/2006/relationships/hyperlink" Target="https://www.occ.org.nz/publications/reports/whakatakapokai-report-march-2022/" TargetMode="External"/><Relationship Id="rId3" Type="http://schemas.openxmlformats.org/officeDocument/2006/relationships/hyperlink" Target="https://www.legislation.govt.nz/act/public/2022/0044/latest/LMS733129.html?search=ts_act%40bill%40regulation%40deemedreg_children+and+young+peoples+commission+act_resel_25_a&amp;p=1" TargetMode="External"/><Relationship Id="rId12" Type="http://schemas.openxmlformats.org/officeDocument/2006/relationships/hyperlink" Target="https://tikatangata.org.nz/our-work/monitoring-places-of-detention" TargetMode="External"/><Relationship Id="rId17" Type="http://schemas.openxmlformats.org/officeDocument/2006/relationships/hyperlink" Target="https://gazette.govt.nz/notice/id/2020-go2845" TargetMode="External"/><Relationship Id="rId25" Type="http://schemas.openxmlformats.org/officeDocument/2006/relationships/hyperlink" Target="https://www.childrenandyoungpeople.org.nz/publications/reports/children-with-offending-behaviour/" TargetMode="External"/><Relationship Id="rId33" Type="http://schemas.openxmlformats.org/officeDocument/2006/relationships/hyperlink" Target="https://ourarchive.otago.ac.nz/bitstream/handle/10523/10531/Beres%20et%20al%20YHSR%20Report%20Final.pdf?sequence=1&amp;isAllowed=y" TargetMode="External"/><Relationship Id="rId38" Type="http://schemas.openxmlformats.org/officeDocument/2006/relationships/hyperlink" Target="https://www.childrenandyoungpeople.org.nz/publications/media-releases/some-stark-injustices-in-our-youth-justice-system-need-fixing-and-heres-how/" TargetMode="External"/><Relationship Id="rId46" Type="http://schemas.openxmlformats.org/officeDocument/2006/relationships/hyperlink" Target="https://www.childrenandyoungpeople.org.nz/publications/oia/opcat-youth-justice-residences/" TargetMode="External"/><Relationship Id="rId59" Type="http://schemas.openxmlformats.org/officeDocument/2006/relationships/hyperlink" Target="https://www.childrenandyoungpeople.org.nz/publications/submissions/childrens-commissioners-views-on-priorities-for-children-in-new-zealand/" TargetMode="External"/><Relationship Id="rId67" Type="http://schemas.openxmlformats.org/officeDocument/2006/relationships/hyperlink" Target="https://www.newsroom.co.nz/oranga-tamariki-closing-care-and-protection-residence" TargetMode="External"/><Relationship Id="rId20" Type="http://schemas.openxmlformats.org/officeDocument/2006/relationships/hyperlink" Target="https://www.childrenandyoungpeople.org.nz/publications/reports/state-of-care-2015-what-we-learnt-from-monitoring-child-youth-and-family/" TargetMode="External"/><Relationship Id="rId41" Type="http://schemas.openxmlformats.org/officeDocument/2006/relationships/hyperlink" Target="https://www.orangatamariki.govt.nz/assets/Uploads/Consultations/Residential-Care-and-Other-Matters-Amendment-Bill/Remand.pdf" TargetMode="External"/><Relationship Id="rId54" Type="http://schemas.openxmlformats.org/officeDocument/2006/relationships/hyperlink" Target="https://www.occ.org.nz/publications/reports/epuni-residence-opcat-monitoring-report/" TargetMode="External"/><Relationship Id="rId62" Type="http://schemas.openxmlformats.org/officeDocument/2006/relationships/hyperlink" Target="https://www.childrenandyoungpeople.org.nz/publications/reports/state-of-care-2017-a-focus-on-oranga-tamarikis-secure-residences/" TargetMode="External"/><Relationship Id="rId70" Type="http://schemas.openxmlformats.org/officeDocument/2006/relationships/hyperlink" Target="https://www.occ.org.nz/publications/oia/opcat-youth-justice-residences/" TargetMode="External"/><Relationship Id="rId75" Type="http://schemas.openxmlformats.org/officeDocument/2006/relationships/hyperlink" Target="https://www.newshub.co.nz/home/new-zealand/2023/02/staff-member-stabbed-with-makeshift-weapon-at-rolleston-youth-justice-facility-after-five-teenagers-escape-onto-roof.html" TargetMode="External"/><Relationship Id="rId83" Type="http://schemas.openxmlformats.org/officeDocument/2006/relationships/hyperlink" Target="https://www.msd.govt.nz/documents/about-msd-and-our-work/publications-resources/corporate/expert-panel-cyf/investing-in-children-report.pdf" TargetMode="External"/><Relationship Id="rId88" Type="http://schemas.openxmlformats.org/officeDocument/2006/relationships/hyperlink" Target="https://inspectorate.corrections.govt.nz/reports/thematic_reports/thematic_report_the_lived_experience_of_women_in_prisons" TargetMode="External"/><Relationship Id="rId91" Type="http://schemas.openxmlformats.org/officeDocument/2006/relationships/hyperlink" Target="https://www.ihc.org.nz/publications/physical-restraint-in-residential-specialist-schools" TargetMode="External"/><Relationship Id="rId96" Type="http://schemas.openxmlformats.org/officeDocument/2006/relationships/hyperlink" Target="https://www.ohchr.org/sites/default/files/documents/hrbodies/spt-opcat/call-inputs/draft-GC1-on-art1-for-public-consultation-en.pdf" TargetMode="External"/><Relationship Id="rId1" Type="http://schemas.openxmlformats.org/officeDocument/2006/relationships/hyperlink" Target="https://www.legislation.govt.nz/act/public/2004/0115/latest/DLM329631.html" TargetMode="External"/><Relationship Id="rId6" Type="http://schemas.openxmlformats.org/officeDocument/2006/relationships/hyperlink" Target="https://www.legislation.govt.nz/act/public/2022/0043/latest/LMS591380.html?search=sw_096be8ed81d37011_commissioner_25_se&amp;p=1&amp;sr=1" TargetMode="External"/><Relationship Id="rId15" Type="http://schemas.openxmlformats.org/officeDocument/2006/relationships/hyperlink" Target="https://www.occ.org.nz/publications/oia/opcat-care-and-protection-residences/" TargetMode="External"/><Relationship Id="rId23" Type="http://schemas.openxmlformats.org/officeDocument/2006/relationships/hyperlink" Target="https://www.childrenandyoungpeople.org.nz/publications/reports/state-of-care-2018-maiea-te-turuapo-fulfilling-the-vision/" TargetMode="External"/><Relationship Id="rId28" Type="http://schemas.openxmlformats.org/officeDocument/2006/relationships/hyperlink" Target="https://www.occ.org.nz/publications/media-releases/new-initiatives-welcome-but-we-need-to-maintain-momentum-to-lift-families-out-of-poverty-childrens-commissioner/" TargetMode="External"/><Relationship Id="rId36" Type="http://schemas.openxmlformats.org/officeDocument/2006/relationships/hyperlink" Target="https://aus01.safelinks.protection.outlook.com/?url=https%3A%2F%2Fwww.ipca.govt.nz%2Fsite%2Fpublications-and-media%2F2012-media-releases%2F2012-october-23-joint-thematic-review.aspx&amp;data=05%7C01%7CF.Maslin%40occ.org.nz%7Cac16783d3f95409bf8ea08db1452fc19%7Ce40c4f5299bd4d4fbf7ed001a2ca6556%7C0%7C0%7C638126118862074305%7CUnknown%7CTWFpbGZsb3d8eyJWIjoiMC4wLjAwMDAiLCJQIjoiV2luMzIiLCJBTiI6Ik1haWwiLCJXVCI6Mn0%3D%7C3000%7C%7C%7C&amp;sdata=Fuwl%2BIH70abUJ9QdcClsi%2FwQrGv8viHZBlgA4zz4ktI%3D&amp;reserved=0" TargetMode="External"/><Relationship Id="rId49" Type="http://schemas.openxmlformats.org/officeDocument/2006/relationships/hyperlink" Target="https://www.orangatamariki.govt.nz/about-us/how-we-work/strategic-partnerships-with-maori/" TargetMode="External"/><Relationship Id="rId57" Type="http://schemas.openxmlformats.org/officeDocument/2006/relationships/hyperlink" Target="https://www.childrenandyoungpeople.org.nz/publications/oia/all-care-and-protection-residence-monitoring-reports-from-july-2021-to-march-2022/" TargetMode="External"/><Relationship Id="rId10" Type="http://schemas.openxmlformats.org/officeDocument/2006/relationships/hyperlink" Target="https://www.ohchr.org/en/press-releases/2023/02/un-child-rights-committee-publishes-findings-azerbaijan-bolivia-ireland" TargetMode="External"/><Relationship Id="rId31" Type="http://schemas.openxmlformats.org/officeDocument/2006/relationships/hyperlink" Target="https://www.newshub.co.nz/home/new-zealand/2023/02/women-s-refuge-says-no-surprise-family-harm-up-60pct-since-cyclone-gabrielle.html" TargetMode="External"/><Relationship Id="rId44" Type="http://schemas.openxmlformats.org/officeDocument/2006/relationships/hyperlink" Target="https://www.childrenandyoungpeople.org.nz/publications/submissions/oranga-tamariki-act-1989-limiting-the-use-of-police-cells/" TargetMode="External"/><Relationship Id="rId52" Type="http://schemas.openxmlformats.org/officeDocument/2006/relationships/hyperlink" Target="https://tikatangata.org.nz/our-work/monitoring-places-of-detention" TargetMode="External"/><Relationship Id="rId60" Type="http://schemas.openxmlformats.org/officeDocument/2006/relationships/hyperlink" Target="https://www.childrenandyoungpeople.org.nz/publications/reports/supplementary-report-to-the-united-nations-committee-on-the-rights-of-the-child/" TargetMode="External"/><Relationship Id="rId65" Type="http://schemas.openxmlformats.org/officeDocument/2006/relationships/hyperlink" Target="https://www.occ.org.nz/publications/media-releases/decision-to-close-residences-strongly-welcomed/" TargetMode="External"/><Relationship Id="rId73" Type="http://schemas.openxmlformats.org/officeDocument/2006/relationships/hyperlink" Target="https://www.rnz.co.nz/news/national/447869/korowai-manaaki-security-problems-staff-failing-to-do-basic-work-report-finds" TargetMode="External"/><Relationship Id="rId78" Type="http://schemas.openxmlformats.org/officeDocument/2006/relationships/hyperlink" Target="https://www.orangatamariki.govt.nz/assets/Uploads/About-us/Research/Data-analytics-and-insights/Children-and-young-people-with-impairments.pdf" TargetMode="External"/><Relationship Id="rId81" Type="http://schemas.openxmlformats.org/officeDocument/2006/relationships/hyperlink" Target="https://www.occ.org.nz/assets/Uploads/ShortReport-May2019-Pages2.pdf" TargetMode="External"/><Relationship Id="rId86" Type="http://schemas.openxmlformats.org/officeDocument/2006/relationships/hyperlink" Target="https://www.cab.org.nz/article/KB00001570" TargetMode="External"/><Relationship Id="rId94" Type="http://schemas.openxmlformats.org/officeDocument/2006/relationships/hyperlink" Target="https://www.scoop.co.nz/stories/PO2204/S00136/an-open-letter-on-the-plans-to-expand-enrolments-in-residential-specialist-schools.htm" TargetMode="External"/><Relationship Id="rId4" Type="http://schemas.openxmlformats.org/officeDocument/2006/relationships/hyperlink" Target="https://www.legislation.govt.nz/act/public/2022/0044/latest/LMS733129.html?search=ts_act%40bill%40regulation%40deemedreg_children+and+young+peoples+commission+act_resel_25_a&amp;p=1" TargetMode="External"/><Relationship Id="rId9" Type="http://schemas.openxmlformats.org/officeDocument/2006/relationships/hyperlink" Target="https://www.abuseincare.org.nz/about-us/what-the-royal-commission-is-about/" TargetMode="External"/><Relationship Id="rId13" Type="http://schemas.openxmlformats.org/officeDocument/2006/relationships/hyperlink" Target="https://www.occ.org.nz/publications/oia/opcat-care-and-protection-residences/" TargetMode="External"/><Relationship Id="rId18" Type="http://schemas.openxmlformats.org/officeDocument/2006/relationships/hyperlink" Target="https://www.occ.org.nz/publications/oia/opcat-care-and-protection-residences/" TargetMode="External"/><Relationship Id="rId39" Type="http://schemas.openxmlformats.org/officeDocument/2006/relationships/hyperlink" Target="https://www.rnz.co.nz/news/national/452078/spit-hoods-used-on-117-children-young-people-by-pol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8DEC2-9221-4998-BF52-65416BA6F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9980</Words>
  <Characters>56886</Characters>
  <Application>Microsoft Office Word</Application>
  <DocSecurity>4</DocSecurity>
  <Lines>474</Lines>
  <Paragraphs>133</Paragraphs>
  <ScaleCrop>false</ScaleCrop>
  <HeadingPairs>
    <vt:vector size="2" baseType="variant">
      <vt:variant>
        <vt:lpstr>Title</vt:lpstr>
      </vt:variant>
      <vt:variant>
        <vt:i4>1</vt:i4>
      </vt:variant>
    </vt:vector>
  </HeadingPairs>
  <TitlesOfParts>
    <vt:vector size="1" baseType="lpstr">
      <vt:lpstr>20220811 UNITED NATIONS REPORT 11.8</vt:lpstr>
    </vt:vector>
  </TitlesOfParts>
  <Company/>
  <LinksUpToDate>false</LinksUpToDate>
  <CharactersWithSpaces>66733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20220811 UNITED NATIONS REPORT 11.8</dc:title>
  <dc:creator>Lauren Rutter</dc:creator>
  <cp:lastModifiedBy>Youssef Hamdan</cp:lastModifiedBy>
  <cp:revision>2</cp:revision>
  <dcterms:created xsi:type="dcterms:W3CDTF">2023-06-13T10:11:00Z</dcterms:created>
  <dcterms:modified xsi:type="dcterms:W3CDTF">2023-06-13T10:11:00Z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2022-08-11T00:00:00Z</vt:filetime>
  </property>
  <property fmtid="{D5CDD505-2E9C-101B-9397-08002B2CF9AE}" pid="3" name="Creator">
    <vt:lpwstr>Word</vt:lpwstr>
  </property>
  <property fmtid="{D5CDD505-2E9C-101B-9397-08002B2CF9AE}" pid="4" name="LastSaved">
    <vt:filetime>2022-08-11T00:00:00Z</vt:filetime>
  </property>
  <property fmtid="{D5CDD505-2E9C-101B-9397-08002B2CF9AE}" pid="5" name="Producer">
    <vt:lpwstr>macOS Version 10.15.7 (Build 19H1922) Quartz PDFContext</vt:lpwstr>
  </property>
</Properties>
</file>