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49335E" w14:textId="5C653948" w:rsidR="00AA07BE" w:rsidRDefault="00AA07BE">
      <w:pPr>
        <w:rPr>
          <w:b/>
          <w:bCs/>
          <w:lang w:val="en-CA"/>
        </w:rPr>
      </w:pPr>
    </w:p>
    <w:p w14:paraId="3253619D" w14:textId="43D49170" w:rsidR="00D24F40" w:rsidRDefault="00D24F40">
      <w:pPr>
        <w:rPr>
          <w:b/>
          <w:bCs/>
          <w:lang w:val="en-CA"/>
        </w:rPr>
      </w:pPr>
    </w:p>
    <w:p w14:paraId="4CDC4184" w14:textId="38CA37E6" w:rsidR="00D24F40" w:rsidRDefault="00D24F40">
      <w:pPr>
        <w:rPr>
          <w:b/>
          <w:bCs/>
          <w:lang w:val="en-CA"/>
        </w:rPr>
      </w:pPr>
    </w:p>
    <w:p w14:paraId="40CF4F51" w14:textId="6C22AB51" w:rsidR="00D24F40" w:rsidRDefault="00D24F40">
      <w:pPr>
        <w:rPr>
          <w:b/>
          <w:bCs/>
          <w:lang w:val="en-CA"/>
        </w:rPr>
      </w:pPr>
    </w:p>
    <w:p w14:paraId="09133AEA" w14:textId="41C7D97B" w:rsidR="00D24F40" w:rsidRDefault="00D24F40">
      <w:pPr>
        <w:rPr>
          <w:b/>
          <w:bCs/>
          <w:lang w:val="en-CA"/>
        </w:rPr>
      </w:pPr>
    </w:p>
    <w:p w14:paraId="2AEF1F8C" w14:textId="329A0BDC" w:rsidR="00D24F40" w:rsidRDefault="00D24F40">
      <w:pPr>
        <w:rPr>
          <w:b/>
          <w:bCs/>
          <w:lang w:val="en-CA"/>
        </w:rPr>
      </w:pPr>
    </w:p>
    <w:p w14:paraId="5AC5D422" w14:textId="5F7D2ADC" w:rsidR="00D24F40" w:rsidRDefault="00D24F40">
      <w:pPr>
        <w:rPr>
          <w:b/>
          <w:bCs/>
          <w:lang w:val="en-CA"/>
        </w:rPr>
      </w:pPr>
    </w:p>
    <w:p w14:paraId="5FE22704" w14:textId="01FFB047" w:rsidR="00260FCA" w:rsidRDefault="00260FCA">
      <w:pPr>
        <w:rPr>
          <w:b/>
          <w:bCs/>
          <w:lang w:val="en-CA"/>
        </w:rPr>
      </w:pPr>
    </w:p>
    <w:p w14:paraId="491A55E1" w14:textId="77777777" w:rsidR="00260FCA" w:rsidRDefault="00260FCA">
      <w:pPr>
        <w:rPr>
          <w:b/>
          <w:bCs/>
          <w:lang w:val="en-CA"/>
        </w:rPr>
      </w:pPr>
    </w:p>
    <w:p w14:paraId="19230A10" w14:textId="77777777" w:rsidR="00D24F40" w:rsidRDefault="00D24F40">
      <w:pPr>
        <w:rPr>
          <w:b/>
          <w:bCs/>
          <w:lang w:val="en-CA"/>
        </w:rPr>
      </w:pPr>
    </w:p>
    <w:p w14:paraId="437909CA" w14:textId="476D1859" w:rsidR="00260FCA" w:rsidRDefault="00AA07BE" w:rsidP="008B2C7D">
      <w:pPr>
        <w:jc w:val="center"/>
        <w:rPr>
          <w:b/>
          <w:bCs/>
          <w:lang w:val="en-CA"/>
        </w:rPr>
      </w:pPr>
      <w:r w:rsidRPr="002F0B61">
        <w:rPr>
          <w:b/>
          <w:bCs/>
          <w:lang w:val="en-CA"/>
        </w:rPr>
        <w:t xml:space="preserve">ALTERNATIVE THEMATIC REPORT </w:t>
      </w:r>
      <w:r w:rsidR="008B2C7D">
        <w:rPr>
          <w:b/>
          <w:bCs/>
          <w:lang w:val="en-CA"/>
        </w:rPr>
        <w:t xml:space="preserve">FOR THE PRESESSIONAL WORKING GROUP OF </w:t>
      </w:r>
      <w:r w:rsidRPr="002F0B61">
        <w:rPr>
          <w:b/>
          <w:bCs/>
          <w:lang w:val="en-CA"/>
        </w:rPr>
        <w:t xml:space="preserve">THE </w:t>
      </w:r>
      <w:r w:rsidR="00D24F40">
        <w:rPr>
          <w:b/>
          <w:bCs/>
          <w:lang w:val="en-CA"/>
        </w:rPr>
        <w:t xml:space="preserve">COMMITTEE ON THE RIGHTS OF THE CHILD FOR THE PREPARATION OF THE LIST OF ISSUES PRIOR TO REPORTING </w:t>
      </w:r>
      <w:r w:rsidRPr="002F0B61">
        <w:rPr>
          <w:b/>
          <w:bCs/>
          <w:lang w:val="en-CA"/>
        </w:rPr>
        <w:t>(LOIPR)</w:t>
      </w:r>
      <w:r w:rsidR="00D24F40">
        <w:rPr>
          <w:b/>
          <w:bCs/>
          <w:lang w:val="en-CA"/>
        </w:rPr>
        <w:t xml:space="preserve"> – PERU</w:t>
      </w:r>
      <w:r w:rsidR="00260FCA">
        <w:rPr>
          <w:b/>
          <w:bCs/>
          <w:lang w:val="en-CA"/>
        </w:rPr>
        <w:t xml:space="preserve"> </w:t>
      </w:r>
      <w:r w:rsidR="008B2C7D">
        <w:rPr>
          <w:b/>
          <w:bCs/>
          <w:lang w:val="en-CA"/>
        </w:rPr>
        <w:t>(</w:t>
      </w:r>
      <w:r w:rsidR="00260FCA">
        <w:rPr>
          <w:b/>
          <w:bCs/>
          <w:lang w:val="en-CA"/>
        </w:rPr>
        <w:t>PRE-SESSION 90</w:t>
      </w:r>
      <w:r w:rsidR="008B2C7D">
        <w:rPr>
          <w:b/>
          <w:bCs/>
          <w:lang w:val="en-CA"/>
        </w:rPr>
        <w:t>)</w:t>
      </w:r>
    </w:p>
    <w:p w14:paraId="02447A23" w14:textId="6D5B43AD" w:rsidR="00AA07BE" w:rsidRPr="002F0B61" w:rsidRDefault="00AA07BE" w:rsidP="00AA07BE">
      <w:pPr>
        <w:jc w:val="center"/>
        <w:rPr>
          <w:b/>
          <w:bCs/>
          <w:lang w:val="en-CA"/>
        </w:rPr>
      </w:pPr>
    </w:p>
    <w:p w14:paraId="79D20C95" w14:textId="125D7A86" w:rsidR="00D24F40" w:rsidRDefault="00D24F40" w:rsidP="00AA07BE">
      <w:pPr>
        <w:jc w:val="center"/>
        <w:rPr>
          <w:b/>
          <w:bCs/>
          <w:lang w:val="en-CA"/>
        </w:rPr>
      </w:pPr>
    </w:p>
    <w:p w14:paraId="273232BC" w14:textId="77777777" w:rsidR="00260FCA" w:rsidRDefault="00260FCA" w:rsidP="00AA07BE">
      <w:pPr>
        <w:jc w:val="center"/>
        <w:rPr>
          <w:b/>
          <w:bCs/>
          <w:lang w:val="en-CA"/>
        </w:rPr>
      </w:pPr>
    </w:p>
    <w:p w14:paraId="631A3405" w14:textId="77777777" w:rsidR="00D24F40" w:rsidRDefault="00D24F40" w:rsidP="00AA07BE">
      <w:pPr>
        <w:jc w:val="center"/>
        <w:rPr>
          <w:b/>
          <w:bCs/>
          <w:lang w:val="en-CA"/>
        </w:rPr>
      </w:pPr>
    </w:p>
    <w:p w14:paraId="69D72FC7" w14:textId="77777777" w:rsidR="00D24F40" w:rsidRDefault="00D24F40" w:rsidP="00AA07BE">
      <w:pPr>
        <w:jc w:val="center"/>
        <w:rPr>
          <w:b/>
          <w:bCs/>
          <w:lang w:val="en-CA"/>
        </w:rPr>
      </w:pPr>
    </w:p>
    <w:p w14:paraId="180E5427" w14:textId="1A3C3DBA" w:rsidR="00AA07BE" w:rsidRDefault="00AA07BE" w:rsidP="00AA07BE">
      <w:pPr>
        <w:jc w:val="center"/>
        <w:rPr>
          <w:b/>
          <w:bCs/>
          <w:lang w:val="en-CA"/>
        </w:rPr>
      </w:pPr>
      <w:r w:rsidRPr="002F0B61">
        <w:rPr>
          <w:b/>
          <w:bCs/>
          <w:lang w:val="en-CA"/>
        </w:rPr>
        <w:t>SEXUAL VIOLENCE AND FORCED PREGNANCY IN GIRLS AND ADOLESCENTS IN PERU</w:t>
      </w:r>
    </w:p>
    <w:p w14:paraId="1418CDBB" w14:textId="07840020" w:rsidR="00260FCA" w:rsidRPr="002F0B61" w:rsidRDefault="00260FCA" w:rsidP="00AA07BE">
      <w:pPr>
        <w:jc w:val="center"/>
        <w:rPr>
          <w:b/>
          <w:bCs/>
          <w:lang w:val="en-CA"/>
        </w:rPr>
      </w:pPr>
      <w:r>
        <w:rPr>
          <w:b/>
          <w:bCs/>
          <w:lang w:val="en-CA"/>
        </w:rPr>
        <w:t>(PUBLIC)</w:t>
      </w:r>
    </w:p>
    <w:p w14:paraId="78BF21ED" w14:textId="7045C0AE" w:rsidR="00AA07BE" w:rsidRDefault="00AA07BE" w:rsidP="00AA07BE">
      <w:pPr>
        <w:jc w:val="center"/>
        <w:rPr>
          <w:lang w:val="en-CA"/>
        </w:rPr>
      </w:pPr>
    </w:p>
    <w:p w14:paraId="3EFDCE3E" w14:textId="29DE0441" w:rsidR="00D24F40" w:rsidRDefault="00D24F40" w:rsidP="00AA07BE">
      <w:pPr>
        <w:jc w:val="center"/>
        <w:rPr>
          <w:lang w:val="en-CA"/>
        </w:rPr>
      </w:pPr>
    </w:p>
    <w:p w14:paraId="45560263" w14:textId="0FA66277" w:rsidR="00D24F40" w:rsidRDefault="00D24F40" w:rsidP="00AA07BE">
      <w:pPr>
        <w:jc w:val="center"/>
        <w:rPr>
          <w:lang w:val="en-CA"/>
        </w:rPr>
      </w:pPr>
    </w:p>
    <w:p w14:paraId="7D1C222E" w14:textId="77777777" w:rsidR="00D24F40" w:rsidRDefault="00D24F40" w:rsidP="00AA07BE">
      <w:pPr>
        <w:jc w:val="center"/>
        <w:rPr>
          <w:lang w:val="en-CA"/>
        </w:rPr>
      </w:pPr>
    </w:p>
    <w:p w14:paraId="5785760F" w14:textId="0ACA01D8" w:rsidR="00AA07BE" w:rsidRPr="002F0B61" w:rsidRDefault="005A0EFA" w:rsidP="00AA07BE">
      <w:pPr>
        <w:jc w:val="center"/>
        <w:rPr>
          <w:lang w:val="en-CA"/>
        </w:rPr>
      </w:pPr>
      <w:r>
        <w:rPr>
          <w:lang w:val="en-CA"/>
        </w:rPr>
        <w:t>Author:</w:t>
      </w:r>
      <w:r w:rsidR="00AA07BE" w:rsidRPr="002F0B61">
        <w:rPr>
          <w:lang w:val="en-CA"/>
        </w:rPr>
        <w:t xml:space="preserve"> Flora Tristán Peruvian Women's Center</w:t>
      </w:r>
    </w:p>
    <w:p w14:paraId="360F0C1F" w14:textId="3B582C55" w:rsidR="00AA07BE" w:rsidRDefault="00AA07BE" w:rsidP="00AA07BE">
      <w:pPr>
        <w:rPr>
          <w:lang w:val="en-CA"/>
        </w:rPr>
      </w:pPr>
    </w:p>
    <w:p w14:paraId="40A988D4" w14:textId="42F2FF96" w:rsidR="00D24F40" w:rsidRDefault="00D24F40" w:rsidP="00AA07BE">
      <w:pPr>
        <w:rPr>
          <w:lang w:val="en-CA"/>
        </w:rPr>
      </w:pPr>
    </w:p>
    <w:p w14:paraId="7F43FDC6" w14:textId="6E6B7E6D" w:rsidR="00D24F40" w:rsidRDefault="00D24F40" w:rsidP="00AA07BE">
      <w:pPr>
        <w:rPr>
          <w:lang w:val="en-CA"/>
        </w:rPr>
      </w:pPr>
    </w:p>
    <w:p w14:paraId="2CDE1236" w14:textId="5E6D69C6" w:rsidR="00D24F40" w:rsidRDefault="00D24F40" w:rsidP="00AA07BE">
      <w:pPr>
        <w:rPr>
          <w:lang w:val="en-CA"/>
        </w:rPr>
      </w:pPr>
    </w:p>
    <w:p w14:paraId="267FA7B3" w14:textId="77777777" w:rsidR="00D24F40" w:rsidRPr="002F0B61" w:rsidRDefault="00D24F40" w:rsidP="00AA07BE">
      <w:pPr>
        <w:rPr>
          <w:lang w:val="en-CA"/>
        </w:rPr>
      </w:pPr>
    </w:p>
    <w:p w14:paraId="7A50BF99" w14:textId="06D35595" w:rsidR="00AA07BE" w:rsidRPr="00A23C10" w:rsidRDefault="00AA07BE" w:rsidP="00AA07BE">
      <w:pPr>
        <w:jc w:val="center"/>
        <w:rPr>
          <w:lang w:val="en-CA"/>
        </w:rPr>
      </w:pPr>
      <w:r w:rsidRPr="00A23C10">
        <w:rPr>
          <w:lang w:val="en-CA"/>
        </w:rPr>
        <w:t>Lima June 30, 2021</w:t>
      </w:r>
    </w:p>
    <w:p w14:paraId="7486F87D" w14:textId="78F7B88F" w:rsidR="00AA07BE" w:rsidRPr="00A23C10" w:rsidRDefault="00AA07BE" w:rsidP="00AA07BE">
      <w:pPr>
        <w:jc w:val="right"/>
        <w:rPr>
          <w:lang w:val="en-CA"/>
        </w:rPr>
      </w:pPr>
    </w:p>
    <w:p w14:paraId="52704E8B" w14:textId="77777777" w:rsidR="00AA07BE" w:rsidRPr="00A23C10" w:rsidRDefault="00AA07BE" w:rsidP="00AA07BE">
      <w:pPr>
        <w:rPr>
          <w:lang w:val="en-CA"/>
        </w:rPr>
      </w:pPr>
    </w:p>
    <w:p w14:paraId="04252F08" w14:textId="70B06CC2" w:rsidR="002F0B61" w:rsidRPr="00D24F40" w:rsidRDefault="002F0B61" w:rsidP="00D24F40">
      <w:pPr>
        <w:jc w:val="center"/>
        <w:rPr>
          <w:b/>
          <w:bCs/>
          <w:smallCaps/>
          <w:lang w:val="en-CA"/>
        </w:rPr>
      </w:pPr>
      <w:r w:rsidRPr="00D24F40">
        <w:rPr>
          <w:b/>
          <w:bCs/>
          <w:smallCaps/>
          <w:lang w:val="en-CA"/>
        </w:rPr>
        <w:br w:type="page"/>
      </w:r>
      <w:r w:rsidRPr="00D24F40">
        <w:rPr>
          <w:b/>
          <w:bCs/>
          <w:smallCaps/>
          <w:lang w:val="en-CA"/>
        </w:rPr>
        <w:lastRenderedPageBreak/>
        <w:t>Table of content</w:t>
      </w:r>
    </w:p>
    <w:p w14:paraId="6C443287" w14:textId="4A09E6A1" w:rsidR="002F0B61" w:rsidRDefault="002F0B61">
      <w:pPr>
        <w:rPr>
          <w:b/>
          <w:bCs/>
          <w:lang w:val="en-CA"/>
        </w:rPr>
      </w:pPr>
    </w:p>
    <w:p w14:paraId="55C358C9" w14:textId="1531F6AE" w:rsidR="008B2C7D" w:rsidRDefault="008B2C7D">
      <w:pPr>
        <w:rPr>
          <w:b/>
          <w:bCs/>
          <w:lang w:val="en-CA"/>
        </w:rPr>
      </w:pPr>
    </w:p>
    <w:p w14:paraId="38D12763" w14:textId="77777777" w:rsidR="00BA38E0" w:rsidRDefault="00BA38E0">
      <w:pPr>
        <w:rPr>
          <w:b/>
          <w:bCs/>
          <w:lang w:val="en-CA"/>
        </w:rPr>
      </w:pPr>
    </w:p>
    <w:p w14:paraId="07CE1DF7" w14:textId="77777777" w:rsidR="0030483C" w:rsidRPr="00BA38E0" w:rsidRDefault="0030483C">
      <w:pPr>
        <w:rPr>
          <w:smallCaps/>
          <w:lang w:val="en-CA"/>
        </w:rPr>
      </w:pPr>
    </w:p>
    <w:p w14:paraId="26E68AD7" w14:textId="43650698" w:rsidR="002F0B61" w:rsidRPr="00BA38E0" w:rsidRDefault="002F0B61">
      <w:pPr>
        <w:rPr>
          <w:smallCaps/>
          <w:lang w:val="en-CA"/>
        </w:rPr>
      </w:pPr>
      <w:r w:rsidRPr="00BA38E0">
        <w:rPr>
          <w:smallCaps/>
          <w:lang w:val="en-CA"/>
        </w:rPr>
        <w:t>Contextual information</w:t>
      </w:r>
      <w:r w:rsidR="005A0EFA" w:rsidRPr="00BA38E0">
        <w:rPr>
          <w:smallCaps/>
          <w:lang w:val="en-CA"/>
        </w:rPr>
        <w:t>……</w:t>
      </w:r>
      <w:r w:rsidR="00BA38E0">
        <w:rPr>
          <w:smallCaps/>
          <w:lang w:val="en-CA"/>
        </w:rPr>
        <w:t>………………………………………………………….</w:t>
      </w:r>
      <w:r w:rsidR="005A0EFA" w:rsidRPr="00BA38E0">
        <w:rPr>
          <w:smallCaps/>
          <w:lang w:val="en-CA"/>
        </w:rPr>
        <w:t>3</w:t>
      </w:r>
    </w:p>
    <w:p w14:paraId="00596808" w14:textId="00F8AE16" w:rsidR="002F0B61" w:rsidRPr="00BA38E0" w:rsidRDefault="002F0B61">
      <w:pPr>
        <w:rPr>
          <w:smallCaps/>
        </w:rPr>
      </w:pPr>
    </w:p>
    <w:p w14:paraId="7DB5EFC0" w14:textId="1E9DA6FF" w:rsidR="00D07F90" w:rsidRDefault="00D07F90">
      <w:pPr>
        <w:rPr>
          <w:smallCaps/>
          <w:lang w:val="en-CA"/>
        </w:rPr>
      </w:pPr>
      <w:r w:rsidRPr="00D07F90">
        <w:rPr>
          <w:smallCaps/>
          <w:lang w:val="en-CA"/>
        </w:rPr>
        <w:t>Annex 1 – questions to the P</w:t>
      </w:r>
      <w:r>
        <w:rPr>
          <w:smallCaps/>
          <w:lang w:val="en-CA"/>
        </w:rPr>
        <w:t>eruvian State</w:t>
      </w:r>
      <w:r w:rsidR="0057261D">
        <w:rPr>
          <w:smallCaps/>
          <w:lang w:val="en-CA"/>
        </w:rPr>
        <w:t>………………………………………….</w:t>
      </w:r>
      <w:r>
        <w:rPr>
          <w:smallCaps/>
          <w:lang w:val="en-CA"/>
        </w:rPr>
        <w:t xml:space="preserve"> 9</w:t>
      </w:r>
    </w:p>
    <w:p w14:paraId="6F6E1998" w14:textId="6DD8CB56" w:rsidR="00D07F90" w:rsidRDefault="00D07F90">
      <w:pPr>
        <w:rPr>
          <w:smallCaps/>
          <w:lang w:val="en-CA"/>
        </w:rPr>
      </w:pPr>
    </w:p>
    <w:p w14:paraId="30FD8A78" w14:textId="288A0C05" w:rsidR="00D07F90" w:rsidRDefault="00D07F90">
      <w:pPr>
        <w:rPr>
          <w:smallCaps/>
          <w:lang w:val="en-CA"/>
        </w:rPr>
      </w:pPr>
      <w:r>
        <w:rPr>
          <w:smallCaps/>
          <w:lang w:val="en-CA"/>
        </w:rPr>
        <w:t>Annex 2 – recommendations to the Peruvian State</w:t>
      </w:r>
      <w:r w:rsidR="0057261D">
        <w:rPr>
          <w:smallCaps/>
          <w:lang w:val="en-CA"/>
        </w:rPr>
        <w:t>……………………………….</w:t>
      </w:r>
      <w:r>
        <w:rPr>
          <w:smallCaps/>
          <w:lang w:val="en-CA"/>
        </w:rPr>
        <w:t>10</w:t>
      </w:r>
    </w:p>
    <w:p w14:paraId="2AA2B734" w14:textId="3F5B0D86" w:rsidR="00D07F90" w:rsidRDefault="00D07F90">
      <w:pPr>
        <w:rPr>
          <w:smallCaps/>
          <w:lang w:val="en-CA"/>
        </w:rPr>
      </w:pPr>
    </w:p>
    <w:p w14:paraId="23229A09" w14:textId="5D7CE1D6" w:rsidR="00D07F90" w:rsidRDefault="00D07F90">
      <w:pPr>
        <w:rPr>
          <w:smallCaps/>
          <w:lang w:val="es-PE"/>
        </w:rPr>
      </w:pPr>
      <w:proofErr w:type="spellStart"/>
      <w:r w:rsidRPr="00D07F90">
        <w:rPr>
          <w:smallCaps/>
          <w:lang w:val="es-PE"/>
        </w:rPr>
        <w:t>Annex</w:t>
      </w:r>
      <w:proofErr w:type="spellEnd"/>
      <w:r w:rsidRPr="00D07F90">
        <w:rPr>
          <w:smallCaps/>
          <w:lang w:val="es-PE"/>
        </w:rPr>
        <w:t xml:space="preserve"> 3 </w:t>
      </w:r>
      <w:r>
        <w:rPr>
          <w:smallCaps/>
          <w:lang w:val="es-PE"/>
        </w:rPr>
        <w:t>–</w:t>
      </w:r>
      <w:r w:rsidRPr="00D07F90">
        <w:rPr>
          <w:smallCaps/>
          <w:lang w:val="es-PE"/>
        </w:rPr>
        <w:t xml:space="preserve"> </w:t>
      </w:r>
      <w:r w:rsidRPr="00BA38E0">
        <w:rPr>
          <w:smallCaps/>
          <w:lang w:val="es-PE"/>
        </w:rPr>
        <w:t>Resumen</w:t>
      </w:r>
      <w:r>
        <w:rPr>
          <w:smallCaps/>
          <w:lang w:val="es-PE"/>
        </w:rPr>
        <w:t xml:space="preserve"> </w:t>
      </w:r>
      <w:r w:rsidRPr="00BA38E0">
        <w:rPr>
          <w:smallCaps/>
          <w:lang w:val="es-PE"/>
        </w:rPr>
        <w:t>y recomendaciones clave (español)</w:t>
      </w:r>
      <w:r w:rsidR="0057261D">
        <w:rPr>
          <w:smallCaps/>
          <w:lang w:val="es-PE"/>
        </w:rPr>
        <w:t xml:space="preserve"> ………………………….</w:t>
      </w:r>
      <w:r>
        <w:rPr>
          <w:smallCaps/>
          <w:lang w:val="es-PE"/>
        </w:rPr>
        <w:t>11</w:t>
      </w:r>
    </w:p>
    <w:p w14:paraId="6B1CE835" w14:textId="4F052EE4" w:rsidR="00D07F90" w:rsidRDefault="00D07F90">
      <w:pPr>
        <w:rPr>
          <w:smallCaps/>
          <w:lang w:val="es-PE"/>
        </w:rPr>
      </w:pPr>
    </w:p>
    <w:p w14:paraId="14E4C190" w14:textId="24CDCD32" w:rsidR="00D07F90" w:rsidRPr="00D07F90" w:rsidRDefault="00D07F90">
      <w:pPr>
        <w:rPr>
          <w:smallCaps/>
        </w:rPr>
      </w:pPr>
      <w:r w:rsidRPr="00D07F90">
        <w:rPr>
          <w:smallCaps/>
        </w:rPr>
        <w:t xml:space="preserve">Annex 4 </w:t>
      </w:r>
      <w:r>
        <w:rPr>
          <w:smallCaps/>
        </w:rPr>
        <w:t>–</w:t>
      </w:r>
      <w:r w:rsidRPr="00D07F90">
        <w:rPr>
          <w:smallCaps/>
        </w:rPr>
        <w:t xml:space="preserve"> </w:t>
      </w:r>
      <w:r w:rsidRPr="00BA38E0">
        <w:rPr>
          <w:smallCaps/>
        </w:rPr>
        <w:t>Résumé</w:t>
      </w:r>
      <w:r>
        <w:rPr>
          <w:smallCaps/>
        </w:rPr>
        <w:t xml:space="preserve"> </w:t>
      </w:r>
      <w:r w:rsidRPr="00BA38E0">
        <w:rPr>
          <w:smallCaps/>
        </w:rPr>
        <w:t>et recommandations clés (français)</w:t>
      </w:r>
      <w:r w:rsidR="0057261D">
        <w:rPr>
          <w:smallCaps/>
        </w:rPr>
        <w:t xml:space="preserve"> …………………………..</w:t>
      </w:r>
      <w:r>
        <w:rPr>
          <w:smallCaps/>
        </w:rPr>
        <w:t>13</w:t>
      </w:r>
    </w:p>
    <w:p w14:paraId="7F752203" w14:textId="77777777" w:rsidR="00D07F90" w:rsidRPr="00D07F90" w:rsidRDefault="00D07F90">
      <w:pPr>
        <w:rPr>
          <w:smallCaps/>
        </w:rPr>
      </w:pPr>
    </w:p>
    <w:p w14:paraId="5F3B37CA" w14:textId="070A5F17" w:rsidR="002F0B61" w:rsidRPr="00D07F90" w:rsidRDefault="002F0B61">
      <w:pPr>
        <w:rPr>
          <w:smallCaps/>
          <w:lang w:val="en-CA"/>
        </w:rPr>
      </w:pPr>
      <w:r w:rsidRPr="00D07F90">
        <w:rPr>
          <w:smallCaps/>
          <w:lang w:val="en-CA"/>
        </w:rPr>
        <w:t xml:space="preserve">Annex </w:t>
      </w:r>
      <w:r w:rsidR="00D07F90" w:rsidRPr="00D07F90">
        <w:rPr>
          <w:smallCaps/>
          <w:lang w:val="en-CA"/>
        </w:rPr>
        <w:t>5</w:t>
      </w:r>
      <w:r w:rsidR="008B2C7D" w:rsidRPr="00D07F90">
        <w:rPr>
          <w:smallCaps/>
          <w:lang w:val="en-CA"/>
        </w:rPr>
        <w:t xml:space="preserve"> </w:t>
      </w:r>
      <w:r w:rsidR="001D1432" w:rsidRPr="00D07F90">
        <w:rPr>
          <w:smallCaps/>
          <w:lang w:val="en-CA"/>
        </w:rPr>
        <w:t>–</w:t>
      </w:r>
      <w:r w:rsidR="008B2C7D" w:rsidRPr="00D07F90">
        <w:rPr>
          <w:smallCaps/>
          <w:lang w:val="en-CA"/>
        </w:rPr>
        <w:t xml:space="preserve"> Bibliography</w:t>
      </w:r>
      <w:r w:rsidR="0057261D">
        <w:rPr>
          <w:smallCaps/>
          <w:lang w:val="en-CA"/>
        </w:rPr>
        <w:t xml:space="preserve"> ………………………………………………………….</w:t>
      </w:r>
      <w:r w:rsidR="001D1432" w:rsidRPr="00D07F90">
        <w:rPr>
          <w:smallCaps/>
          <w:lang w:val="en-CA"/>
        </w:rPr>
        <w:t>……</w:t>
      </w:r>
      <w:r w:rsidR="00D07F90">
        <w:rPr>
          <w:smallCaps/>
          <w:lang w:val="en-CA"/>
        </w:rPr>
        <w:t>15</w:t>
      </w:r>
    </w:p>
    <w:p w14:paraId="218AA8D1" w14:textId="5F7B2407" w:rsidR="002F0B61" w:rsidRPr="00D07F90" w:rsidRDefault="002F0B61">
      <w:pPr>
        <w:rPr>
          <w:smallCaps/>
          <w:lang w:val="en-CA"/>
        </w:rPr>
      </w:pPr>
    </w:p>
    <w:p w14:paraId="12221309" w14:textId="7EC85204" w:rsidR="002F0B61" w:rsidRPr="00BA38E0" w:rsidRDefault="002F0B61">
      <w:pPr>
        <w:rPr>
          <w:smallCaps/>
          <w:lang w:val="en-CA"/>
        </w:rPr>
      </w:pPr>
      <w:r w:rsidRPr="00BA38E0">
        <w:rPr>
          <w:smallCaps/>
          <w:lang w:val="en-CA"/>
        </w:rPr>
        <w:t xml:space="preserve">Annex </w:t>
      </w:r>
      <w:r w:rsidR="00D07F90">
        <w:rPr>
          <w:smallCaps/>
          <w:lang w:val="en-CA"/>
        </w:rPr>
        <w:t>6</w:t>
      </w:r>
      <w:r w:rsidR="001D1432" w:rsidRPr="00BA38E0">
        <w:rPr>
          <w:smallCaps/>
          <w:lang w:val="en-CA"/>
        </w:rPr>
        <w:t xml:space="preserve"> – Statistics on Sexual Violence and Rape against Children 2018-2021…</w:t>
      </w:r>
      <w:r w:rsidR="0057261D">
        <w:rPr>
          <w:smallCaps/>
          <w:lang w:val="en-CA"/>
        </w:rPr>
        <w:t>……………………………………………………………………………………</w:t>
      </w:r>
      <w:r w:rsidR="00EF1CA4">
        <w:rPr>
          <w:smallCaps/>
          <w:lang w:val="en-CA"/>
        </w:rPr>
        <w:t>17</w:t>
      </w:r>
    </w:p>
    <w:p w14:paraId="3A213F8B" w14:textId="288F8EF0" w:rsidR="002F0B61" w:rsidRPr="00BA38E0" w:rsidRDefault="002F0B61">
      <w:pPr>
        <w:rPr>
          <w:smallCaps/>
          <w:lang w:val="en-CA"/>
        </w:rPr>
      </w:pPr>
    </w:p>
    <w:p w14:paraId="266B660E" w14:textId="00073C67" w:rsidR="002F0B61" w:rsidRPr="00BA38E0" w:rsidRDefault="002F0B61">
      <w:pPr>
        <w:rPr>
          <w:smallCaps/>
          <w:lang w:val="en-CA"/>
        </w:rPr>
      </w:pPr>
      <w:r w:rsidRPr="00BA38E0">
        <w:rPr>
          <w:smallCaps/>
          <w:lang w:val="en-CA"/>
        </w:rPr>
        <w:t xml:space="preserve">Annex </w:t>
      </w:r>
      <w:r w:rsidR="00D07F90">
        <w:rPr>
          <w:smallCaps/>
          <w:lang w:val="en-CA"/>
        </w:rPr>
        <w:t>7</w:t>
      </w:r>
      <w:r w:rsidR="001D1432" w:rsidRPr="00BA38E0">
        <w:rPr>
          <w:smallCaps/>
          <w:lang w:val="en-CA"/>
        </w:rPr>
        <w:t xml:space="preserve"> – Records of Forced Pregnancies in Girls and Adolescent Pregnancies 2018-2021</w:t>
      </w:r>
      <w:proofErr w:type="gramStart"/>
      <w:r w:rsidR="001D1432" w:rsidRPr="00BA38E0">
        <w:rPr>
          <w:smallCaps/>
          <w:lang w:val="en-CA"/>
        </w:rPr>
        <w:t>…</w:t>
      </w:r>
      <w:r w:rsidR="0057261D">
        <w:rPr>
          <w:smallCaps/>
          <w:lang w:val="en-CA"/>
        </w:rPr>
        <w:t>……………………………………………………………………………</w:t>
      </w:r>
      <w:proofErr w:type="gramEnd"/>
      <w:r w:rsidR="0057261D">
        <w:rPr>
          <w:smallCaps/>
          <w:lang w:val="en-CA"/>
        </w:rPr>
        <w:t>..</w:t>
      </w:r>
      <w:r w:rsidR="00EF1CA4">
        <w:rPr>
          <w:smallCaps/>
          <w:lang w:val="en-CA"/>
        </w:rPr>
        <w:t>18</w:t>
      </w:r>
    </w:p>
    <w:p w14:paraId="54D5E448" w14:textId="2CA382F0" w:rsidR="002F0B61" w:rsidRPr="00BA38E0" w:rsidRDefault="002F0B61">
      <w:pPr>
        <w:rPr>
          <w:smallCaps/>
          <w:lang w:val="en-CA"/>
        </w:rPr>
      </w:pPr>
    </w:p>
    <w:p w14:paraId="17E2F06E" w14:textId="6D0F0FE8" w:rsidR="002F0B61" w:rsidRPr="00BA38E0" w:rsidRDefault="002F0B61">
      <w:pPr>
        <w:rPr>
          <w:smallCaps/>
          <w:lang w:val="en-CA"/>
        </w:rPr>
      </w:pPr>
      <w:r w:rsidRPr="00BA38E0">
        <w:rPr>
          <w:smallCaps/>
          <w:lang w:val="en-CA"/>
        </w:rPr>
        <w:t xml:space="preserve">Annex </w:t>
      </w:r>
      <w:r w:rsidR="00D07F90">
        <w:rPr>
          <w:smallCaps/>
          <w:lang w:val="en-CA"/>
        </w:rPr>
        <w:t>8</w:t>
      </w:r>
      <w:r w:rsidRPr="00BA38E0">
        <w:rPr>
          <w:smallCaps/>
          <w:lang w:val="en-CA"/>
        </w:rPr>
        <w:t xml:space="preserve"> </w:t>
      </w:r>
      <w:r w:rsidR="001D1432" w:rsidRPr="00BA38E0">
        <w:rPr>
          <w:smallCaps/>
          <w:lang w:val="en-CA"/>
        </w:rPr>
        <w:t xml:space="preserve">– Budgetary Allocation to Pregnancy Prevention in Girls and Adolescents </w:t>
      </w:r>
      <w:r w:rsidR="00EF1CA4">
        <w:rPr>
          <w:smallCaps/>
          <w:lang w:val="en-CA"/>
        </w:rPr>
        <w:t>–</w:t>
      </w:r>
      <w:r w:rsidR="001D1432" w:rsidRPr="00BA38E0">
        <w:rPr>
          <w:smallCaps/>
          <w:lang w:val="en-CA"/>
        </w:rPr>
        <w:t xml:space="preserve"> 2018</w:t>
      </w:r>
      <w:r w:rsidR="0057261D">
        <w:rPr>
          <w:smallCaps/>
          <w:lang w:val="en-CA"/>
        </w:rPr>
        <w:t>.……………………………………………………………………</w:t>
      </w:r>
      <w:r w:rsidR="00EF1CA4">
        <w:rPr>
          <w:smallCaps/>
          <w:lang w:val="en-CA"/>
        </w:rPr>
        <w:t>19</w:t>
      </w:r>
    </w:p>
    <w:p w14:paraId="3070D2C8" w14:textId="73532230" w:rsidR="002F0B61" w:rsidRPr="00BA38E0" w:rsidRDefault="002F0B61">
      <w:pPr>
        <w:rPr>
          <w:smallCaps/>
          <w:lang w:val="en-CA"/>
        </w:rPr>
      </w:pPr>
    </w:p>
    <w:p w14:paraId="57537BFB" w14:textId="3A27FD80" w:rsidR="002F0B61" w:rsidRPr="00BA38E0" w:rsidRDefault="002F0B61">
      <w:pPr>
        <w:rPr>
          <w:smallCaps/>
          <w:lang w:val="en-CA"/>
        </w:rPr>
      </w:pPr>
      <w:r w:rsidRPr="00BA38E0">
        <w:rPr>
          <w:smallCaps/>
          <w:lang w:val="en-CA"/>
        </w:rPr>
        <w:t xml:space="preserve">Annex </w:t>
      </w:r>
      <w:r w:rsidR="00D07F90">
        <w:rPr>
          <w:smallCaps/>
          <w:lang w:val="en-CA"/>
        </w:rPr>
        <w:t>9</w:t>
      </w:r>
      <w:r w:rsidR="001D1432" w:rsidRPr="00BA38E0">
        <w:rPr>
          <w:smallCaps/>
          <w:lang w:val="en-CA"/>
        </w:rPr>
        <w:t xml:space="preserve"> – Violence in the Home and in the School Environment in Girls and Boys from 9 to 17 Years Old – 2013-2019</w:t>
      </w:r>
      <w:r w:rsidR="0057261D">
        <w:rPr>
          <w:smallCaps/>
          <w:lang w:val="en-CA"/>
        </w:rPr>
        <w:t>……………………………………………</w:t>
      </w:r>
      <w:r w:rsidR="00EF1CA4">
        <w:rPr>
          <w:smallCaps/>
          <w:lang w:val="en-CA"/>
        </w:rPr>
        <w:t>20</w:t>
      </w:r>
    </w:p>
    <w:p w14:paraId="2A9B2DFA" w14:textId="1E3F9090" w:rsidR="00861816" w:rsidRPr="00BA38E0" w:rsidRDefault="00861816">
      <w:pPr>
        <w:rPr>
          <w:smallCaps/>
          <w:lang w:val="en-CA"/>
        </w:rPr>
      </w:pPr>
    </w:p>
    <w:p w14:paraId="0799AC66" w14:textId="5454EF3D" w:rsidR="00861816" w:rsidRPr="00BA38E0" w:rsidRDefault="00861816">
      <w:pPr>
        <w:rPr>
          <w:smallCaps/>
          <w:lang w:val="en-CA"/>
        </w:rPr>
      </w:pPr>
      <w:r w:rsidRPr="00BA38E0">
        <w:rPr>
          <w:smallCaps/>
          <w:lang w:val="en-CA"/>
        </w:rPr>
        <w:t xml:space="preserve">Annex </w:t>
      </w:r>
      <w:r w:rsidR="00D07F90">
        <w:rPr>
          <w:smallCaps/>
          <w:lang w:val="en-CA"/>
        </w:rPr>
        <w:t>10</w:t>
      </w:r>
      <w:r w:rsidR="001D1432" w:rsidRPr="00BA38E0">
        <w:rPr>
          <w:smallCaps/>
          <w:lang w:val="en-CA"/>
        </w:rPr>
        <w:t xml:space="preserve"> – The case of abortion in Peru before International Organizations</w:t>
      </w:r>
      <w:r w:rsidR="0057261D">
        <w:rPr>
          <w:smallCaps/>
          <w:lang w:val="en-CA"/>
        </w:rPr>
        <w:t xml:space="preserve"> .</w:t>
      </w:r>
      <w:r w:rsidR="00EF1CA4">
        <w:rPr>
          <w:smallCaps/>
          <w:lang w:val="en-CA"/>
        </w:rPr>
        <w:t>21</w:t>
      </w:r>
    </w:p>
    <w:p w14:paraId="3E368B69" w14:textId="5534F913" w:rsidR="002F0B61" w:rsidRPr="00BA38E0" w:rsidRDefault="002F0B61">
      <w:pPr>
        <w:rPr>
          <w:smallCaps/>
          <w:lang w:val="en-CA"/>
        </w:rPr>
      </w:pPr>
      <w:r w:rsidRPr="00BA38E0">
        <w:rPr>
          <w:smallCaps/>
          <w:lang w:val="en-CA"/>
        </w:rPr>
        <w:t xml:space="preserve"> </w:t>
      </w:r>
    </w:p>
    <w:p w14:paraId="6C5766B1" w14:textId="0B8059EF" w:rsidR="002F0B61" w:rsidRPr="00A23C10" w:rsidRDefault="002F0B61">
      <w:pPr>
        <w:rPr>
          <w:b/>
          <w:bCs/>
          <w:lang w:val="en-CA"/>
        </w:rPr>
      </w:pPr>
      <w:r w:rsidRPr="00A23C10">
        <w:rPr>
          <w:b/>
          <w:bCs/>
          <w:lang w:val="en-CA"/>
        </w:rPr>
        <w:br w:type="page"/>
      </w:r>
    </w:p>
    <w:p w14:paraId="7DD0FB20" w14:textId="77777777" w:rsidR="002F0B61" w:rsidRPr="00A23C10" w:rsidRDefault="002F0B61">
      <w:pPr>
        <w:rPr>
          <w:b/>
          <w:bCs/>
          <w:lang w:val="en-CA"/>
        </w:rPr>
      </w:pPr>
    </w:p>
    <w:p w14:paraId="06AD3DC2" w14:textId="4231F1AF" w:rsidR="002F0B61" w:rsidRDefault="002F0B61" w:rsidP="002F0B61">
      <w:pPr>
        <w:jc w:val="center"/>
        <w:rPr>
          <w:b/>
          <w:bCs/>
          <w:lang w:val="en-CA"/>
        </w:rPr>
      </w:pPr>
      <w:r w:rsidRPr="002F0B61">
        <w:rPr>
          <w:b/>
          <w:bCs/>
          <w:lang w:val="en-CA"/>
        </w:rPr>
        <w:t>SEXUAL VIOLENCE AND FORCED PREGNANCY IN GIRLS AND ADOLESCENTS IN PERU</w:t>
      </w:r>
    </w:p>
    <w:p w14:paraId="1111982D" w14:textId="2CFD72AF" w:rsidR="008B2C7D" w:rsidRPr="002F0B61" w:rsidRDefault="008B2C7D" w:rsidP="002F0B61">
      <w:pPr>
        <w:jc w:val="center"/>
        <w:rPr>
          <w:b/>
          <w:bCs/>
          <w:lang w:val="en-CA"/>
        </w:rPr>
      </w:pPr>
      <w:r>
        <w:rPr>
          <w:b/>
          <w:bCs/>
          <w:lang w:val="en-CA"/>
        </w:rPr>
        <w:t>(Public)</w:t>
      </w:r>
    </w:p>
    <w:p w14:paraId="10A42BE9" w14:textId="77777777" w:rsidR="002F0B61" w:rsidRDefault="002F0B61" w:rsidP="002F0B61">
      <w:pPr>
        <w:jc w:val="center"/>
        <w:rPr>
          <w:lang w:val="en-CA"/>
        </w:rPr>
      </w:pPr>
    </w:p>
    <w:p w14:paraId="3F26E1D7" w14:textId="51CE799C" w:rsidR="002F0B61" w:rsidRPr="002F0B61" w:rsidRDefault="00D24F40" w:rsidP="002F0B61">
      <w:pPr>
        <w:jc w:val="center"/>
        <w:rPr>
          <w:lang w:val="en-CA"/>
        </w:rPr>
      </w:pPr>
      <w:r>
        <w:rPr>
          <w:lang w:val="en-CA"/>
        </w:rPr>
        <w:t>Author:</w:t>
      </w:r>
      <w:r w:rsidR="002F0B61" w:rsidRPr="002F0B61">
        <w:rPr>
          <w:lang w:val="en-CA"/>
        </w:rPr>
        <w:t xml:space="preserve"> Flora Tristán Peruvian Women's Center</w:t>
      </w:r>
    </w:p>
    <w:p w14:paraId="1820BD28" w14:textId="3DDF120A" w:rsidR="00032B37" w:rsidRDefault="00032B37">
      <w:pPr>
        <w:rPr>
          <w:lang w:val="en-CA"/>
        </w:rPr>
      </w:pPr>
    </w:p>
    <w:p w14:paraId="520E9249" w14:textId="7450C223" w:rsidR="002F0B61" w:rsidRPr="00032B37" w:rsidRDefault="00032B37" w:rsidP="002F0B61">
      <w:pPr>
        <w:rPr>
          <w:b/>
          <w:bCs/>
          <w:smallCaps/>
          <w:lang w:val="en-CA"/>
        </w:rPr>
      </w:pPr>
      <w:r w:rsidRPr="00032B37">
        <w:rPr>
          <w:b/>
          <w:bCs/>
          <w:smallCaps/>
          <w:lang w:val="en-CA"/>
        </w:rPr>
        <w:t>Contextual Information: Introduction</w:t>
      </w:r>
      <w:r w:rsidR="003F051D">
        <w:rPr>
          <w:rStyle w:val="Refdenotaalpie"/>
          <w:b/>
          <w:bCs/>
          <w:smallCaps/>
          <w:lang w:val="en-CA"/>
        </w:rPr>
        <w:footnoteReference w:id="1"/>
      </w:r>
    </w:p>
    <w:p w14:paraId="7F8FA8D0" w14:textId="454C1FE9" w:rsidR="00032B37" w:rsidRDefault="00032B37" w:rsidP="002F0B61">
      <w:pPr>
        <w:rPr>
          <w:lang w:val="en-CA"/>
        </w:rPr>
      </w:pPr>
    </w:p>
    <w:p w14:paraId="383FB9C4" w14:textId="77777777" w:rsidR="00032B37" w:rsidRPr="00032B37" w:rsidRDefault="00032B37" w:rsidP="00032B37">
      <w:pPr>
        <w:jc w:val="both"/>
        <w:rPr>
          <w:lang w:val="en-CA"/>
        </w:rPr>
      </w:pPr>
      <w:bookmarkStart w:id="0" w:name="_Hlk75955855"/>
      <w:r w:rsidRPr="00032B37">
        <w:rPr>
          <w:lang w:val="en-CA"/>
        </w:rPr>
        <w:t>The Flora Tristán Peruvian Women's Center is a civil society organization created in 1979 whose mission is to combat the structural causes that restrict the citizenship of girls and women.</w:t>
      </w:r>
    </w:p>
    <w:p w14:paraId="7FC66FFD" w14:textId="77777777" w:rsidR="00032B37" w:rsidRPr="00032B37" w:rsidRDefault="00032B37" w:rsidP="00032B37">
      <w:pPr>
        <w:rPr>
          <w:lang w:val="en-CA"/>
        </w:rPr>
      </w:pPr>
    </w:p>
    <w:p w14:paraId="1470FA4D" w14:textId="71968C1E" w:rsidR="00032B37" w:rsidRDefault="00032B37" w:rsidP="00032B37">
      <w:pPr>
        <w:jc w:val="both"/>
        <w:rPr>
          <w:lang w:val="en-CA"/>
        </w:rPr>
      </w:pPr>
      <w:r w:rsidRPr="00032B37">
        <w:rPr>
          <w:lang w:val="en-CA"/>
        </w:rPr>
        <w:t xml:space="preserve">Part of our work involves intervention with girls and adolescents, </w:t>
      </w:r>
      <w:r>
        <w:rPr>
          <w:lang w:val="en-CA"/>
        </w:rPr>
        <w:t>and as such</w:t>
      </w:r>
      <w:r w:rsidRPr="00032B37">
        <w:rPr>
          <w:lang w:val="en-CA"/>
        </w:rPr>
        <w:t xml:space="preserve"> we want to draw the attention of the Committee on the prevalence of sexual violence and its link with forced pregnancies in girls and adolescents in Peru</w:t>
      </w:r>
      <w:r w:rsidR="00AA07BE">
        <w:rPr>
          <w:lang w:val="en-CA"/>
        </w:rPr>
        <w:t>,</w:t>
      </w:r>
      <w:r w:rsidR="003F051D">
        <w:rPr>
          <w:rStyle w:val="Refdenotaalpie"/>
          <w:lang w:val="en-CA"/>
        </w:rPr>
        <w:footnoteReference w:id="2"/>
      </w:r>
      <w:r w:rsidRPr="00032B37">
        <w:rPr>
          <w:lang w:val="en-CA"/>
        </w:rPr>
        <w:t xml:space="preserve"> </w:t>
      </w:r>
      <w:r w:rsidR="005A0EFA" w:rsidRPr="00032B37">
        <w:rPr>
          <w:lang w:val="en-CA"/>
        </w:rPr>
        <w:t>considering</w:t>
      </w:r>
      <w:r w:rsidRPr="00032B37">
        <w:rPr>
          <w:lang w:val="en-CA"/>
        </w:rPr>
        <w:t xml:space="preserve"> the impact of the COVID-19 pandemic. In general, we observe the existence of a chain of multiple types of violence that affect girls and adolescents in various settings (poly-victimization)</w:t>
      </w:r>
      <w:r w:rsidR="005A0EFA">
        <w:rPr>
          <w:lang w:val="en-CA"/>
        </w:rPr>
        <w:t xml:space="preserve"> which </w:t>
      </w:r>
      <w:r w:rsidRPr="00032B37">
        <w:rPr>
          <w:lang w:val="en-CA"/>
        </w:rPr>
        <w:t>generate</w:t>
      </w:r>
      <w:r>
        <w:rPr>
          <w:lang w:val="en-CA"/>
        </w:rPr>
        <w:t>s</w:t>
      </w:r>
      <w:r w:rsidRPr="00032B37">
        <w:rPr>
          <w:lang w:val="en-CA"/>
        </w:rPr>
        <w:t xml:space="preserve"> a vulnerability to forced pregnancies</w:t>
      </w:r>
      <w:r w:rsidR="005A0EFA">
        <w:rPr>
          <w:lang w:val="en-CA"/>
        </w:rPr>
        <w:t>.</w:t>
      </w:r>
      <w:r w:rsidR="003F051D">
        <w:rPr>
          <w:rStyle w:val="Refdenotaalpie"/>
          <w:lang w:val="en-CA"/>
        </w:rPr>
        <w:footnoteReference w:id="3"/>
      </w:r>
      <w:r w:rsidRPr="00032B37">
        <w:rPr>
          <w:lang w:val="en-CA"/>
        </w:rPr>
        <w:t xml:space="preserve"> </w:t>
      </w:r>
      <w:r w:rsidR="005A0EFA">
        <w:rPr>
          <w:lang w:val="en-CA"/>
        </w:rPr>
        <w:t>We consider that t</w:t>
      </w:r>
      <w:r w:rsidRPr="00032B37">
        <w:rPr>
          <w:lang w:val="en-CA"/>
        </w:rPr>
        <w:t xml:space="preserve">he state must strengthen the gender, intersectional and intercultural approach </w:t>
      </w:r>
      <w:r w:rsidR="003F051D">
        <w:rPr>
          <w:lang w:val="en-CA"/>
        </w:rPr>
        <w:t>to</w:t>
      </w:r>
      <w:r w:rsidRPr="00032B37">
        <w:rPr>
          <w:lang w:val="en-CA"/>
        </w:rPr>
        <w:t xml:space="preserve"> the prevention of violence against </w:t>
      </w:r>
      <w:r w:rsidR="003F051D">
        <w:rPr>
          <w:lang w:val="en-CA"/>
        </w:rPr>
        <w:t>children</w:t>
      </w:r>
      <w:r w:rsidRPr="00032B37">
        <w:rPr>
          <w:lang w:val="en-CA"/>
        </w:rPr>
        <w:t xml:space="preserve"> in the country (Flora Tristán, 2021-II).</w:t>
      </w:r>
    </w:p>
    <w:p w14:paraId="69B84143" w14:textId="17D82110" w:rsidR="003F051D" w:rsidRDefault="003F051D" w:rsidP="00032B37">
      <w:pPr>
        <w:jc w:val="both"/>
        <w:rPr>
          <w:lang w:val="en-CA"/>
        </w:rPr>
      </w:pPr>
    </w:p>
    <w:p w14:paraId="2BC5C995" w14:textId="0754B06A" w:rsidR="004418D1" w:rsidRDefault="004418D1" w:rsidP="004418D1">
      <w:pPr>
        <w:jc w:val="both"/>
        <w:rPr>
          <w:lang w:val="en-CA"/>
        </w:rPr>
      </w:pPr>
      <w:proofErr w:type="gramStart"/>
      <w:r w:rsidRPr="004418D1">
        <w:rPr>
          <w:i/>
          <w:iCs/>
          <w:lang w:val="en-CA"/>
        </w:rPr>
        <w:t>Cross-cutting</w:t>
      </w:r>
      <w:proofErr w:type="gramEnd"/>
      <w:r w:rsidRPr="004418D1">
        <w:rPr>
          <w:i/>
          <w:iCs/>
          <w:lang w:val="en-CA"/>
        </w:rPr>
        <w:t xml:space="preserve"> issues and rights involved:</w:t>
      </w:r>
      <w:r w:rsidRPr="004418D1">
        <w:rPr>
          <w:lang w:val="en-CA"/>
        </w:rPr>
        <w:t xml:space="preserve"> This thematic report covers several groups of fundamental rights of children, in particular those related to violence against children (art 19, 37 (a), 39 CRC), basic health and welfare (art 24 CRC); education (art 29 CRC); and special protection measures (art 30, 39 CRC).</w:t>
      </w:r>
      <w:r w:rsidR="005A0EFA">
        <w:rPr>
          <w:lang w:val="en-CA"/>
        </w:rPr>
        <w:t xml:space="preserve"> </w:t>
      </w:r>
      <w:r w:rsidRPr="004418D1">
        <w:rPr>
          <w:lang w:val="en-CA"/>
        </w:rPr>
        <w:t xml:space="preserve">The lack </w:t>
      </w:r>
      <w:r w:rsidR="005A0EFA">
        <w:rPr>
          <w:lang w:val="en-CA"/>
        </w:rPr>
        <w:t>of effective</w:t>
      </w:r>
      <w:r w:rsidRPr="004418D1">
        <w:rPr>
          <w:lang w:val="en-CA"/>
        </w:rPr>
        <w:t xml:space="preserve"> action to prevent sexual violence </w:t>
      </w:r>
      <w:r w:rsidR="005A0EFA">
        <w:rPr>
          <w:lang w:val="en-CA"/>
        </w:rPr>
        <w:t xml:space="preserve">and forced pregnancies in </w:t>
      </w:r>
      <w:r w:rsidRPr="004418D1">
        <w:rPr>
          <w:lang w:val="en-CA"/>
        </w:rPr>
        <w:t>children also contravenes the fundamental principles of the best interests of the child (art 3 CRC) and the right to life, survival</w:t>
      </w:r>
      <w:r w:rsidR="005A0EFA">
        <w:rPr>
          <w:lang w:val="en-CA"/>
        </w:rPr>
        <w:t>,</w:t>
      </w:r>
      <w:r w:rsidRPr="004418D1">
        <w:rPr>
          <w:lang w:val="en-CA"/>
        </w:rPr>
        <w:t xml:space="preserve"> and development (art 6 CRC).</w:t>
      </w:r>
    </w:p>
    <w:p w14:paraId="570075E0" w14:textId="23358B9C" w:rsidR="00D07F90" w:rsidRDefault="00D07F90" w:rsidP="004418D1">
      <w:pPr>
        <w:jc w:val="both"/>
        <w:rPr>
          <w:lang w:val="en-CA"/>
        </w:rPr>
      </w:pPr>
    </w:p>
    <w:p w14:paraId="5839B7A3" w14:textId="3946CB7F" w:rsidR="00D07F90" w:rsidRPr="004418D1" w:rsidRDefault="00D07F90" w:rsidP="004418D1">
      <w:pPr>
        <w:jc w:val="both"/>
        <w:rPr>
          <w:lang w:val="en-CA"/>
        </w:rPr>
      </w:pPr>
      <w:r w:rsidRPr="004418D1">
        <w:rPr>
          <w:lang w:val="en-CA"/>
        </w:rPr>
        <w:t xml:space="preserve">Finally, the reduction of the fertility rate in minors is one of the indicators of target 3.7 of Sustainable Development Goal 3 on </w:t>
      </w:r>
      <w:r>
        <w:rPr>
          <w:lang w:val="en-CA"/>
        </w:rPr>
        <w:t xml:space="preserve">Good </w:t>
      </w:r>
      <w:r w:rsidRPr="004418D1">
        <w:rPr>
          <w:lang w:val="en-CA"/>
        </w:rPr>
        <w:t>Health and Well-being (universal access to sexual and reproductive health</w:t>
      </w:r>
      <w:r>
        <w:rPr>
          <w:lang w:val="en-CA"/>
        </w:rPr>
        <w:t>-care</w:t>
      </w:r>
      <w:r w:rsidRPr="004418D1">
        <w:rPr>
          <w:lang w:val="en-CA"/>
        </w:rPr>
        <w:t xml:space="preserve"> services).</w:t>
      </w:r>
    </w:p>
    <w:p w14:paraId="792B13DD" w14:textId="77777777" w:rsidR="003F051D" w:rsidRDefault="003F051D" w:rsidP="00032B37">
      <w:pPr>
        <w:jc w:val="both"/>
        <w:rPr>
          <w:lang w:val="en-CA"/>
        </w:rPr>
      </w:pPr>
    </w:p>
    <w:p w14:paraId="1FB7E675" w14:textId="18BE0A1D" w:rsidR="004418D1" w:rsidRPr="00BB36BC" w:rsidRDefault="004418D1" w:rsidP="00032B37">
      <w:pPr>
        <w:jc w:val="both"/>
        <w:rPr>
          <w:b/>
          <w:bCs/>
          <w:smallCaps/>
          <w:lang w:val="en-CA"/>
        </w:rPr>
      </w:pPr>
      <w:r w:rsidRPr="00BB36BC">
        <w:rPr>
          <w:b/>
          <w:bCs/>
          <w:smallCaps/>
          <w:lang w:val="en-CA"/>
        </w:rPr>
        <w:lastRenderedPageBreak/>
        <w:t>Sexual Violence Against Girls and Adolescents</w:t>
      </w:r>
    </w:p>
    <w:p w14:paraId="7448E2FC" w14:textId="2B38D330" w:rsidR="004418D1" w:rsidRDefault="004418D1" w:rsidP="00032B37">
      <w:pPr>
        <w:jc w:val="both"/>
        <w:rPr>
          <w:lang w:val="en-CA"/>
        </w:rPr>
      </w:pPr>
    </w:p>
    <w:p w14:paraId="0D39D4F0" w14:textId="1BDB3844" w:rsidR="00C9040C" w:rsidRDefault="00BB36BC" w:rsidP="00032B37">
      <w:pPr>
        <w:jc w:val="both"/>
        <w:rPr>
          <w:lang w:val="en-CA"/>
        </w:rPr>
      </w:pPr>
      <w:r w:rsidRPr="00BB36BC">
        <w:rPr>
          <w:i/>
          <w:iCs/>
          <w:lang w:val="en-CA"/>
        </w:rPr>
        <w:t>Statistics</w:t>
      </w:r>
      <w:r w:rsidRPr="00BB36BC">
        <w:rPr>
          <w:lang w:val="en-CA"/>
        </w:rPr>
        <w:t xml:space="preserve">: Sexual violence in Peru disproportionately affects </w:t>
      </w:r>
      <w:r>
        <w:rPr>
          <w:lang w:val="en-CA"/>
        </w:rPr>
        <w:t>children</w:t>
      </w:r>
      <w:r w:rsidRPr="00BB36BC">
        <w:rPr>
          <w:lang w:val="en-CA"/>
        </w:rPr>
        <w:t xml:space="preserve"> as shown by the statistics from 2018 to 2021 released by the Ministry of Women and Vulnerable Populations of Peru (MIMP) </w:t>
      </w:r>
      <w:r w:rsidR="005A0EFA">
        <w:rPr>
          <w:lang w:val="en-CA"/>
        </w:rPr>
        <w:t xml:space="preserve">(See </w:t>
      </w:r>
      <w:r w:rsidRPr="00BB36BC">
        <w:rPr>
          <w:lang w:val="en-CA"/>
        </w:rPr>
        <w:t xml:space="preserve">Annex </w:t>
      </w:r>
      <w:r w:rsidR="00EF1CA4">
        <w:rPr>
          <w:lang w:val="en-CA"/>
        </w:rPr>
        <w:t>6</w:t>
      </w:r>
      <w:r w:rsidR="005A0EFA">
        <w:rPr>
          <w:lang w:val="en-CA"/>
        </w:rPr>
        <w:t>)</w:t>
      </w:r>
      <w:r w:rsidRPr="00BB36BC">
        <w:rPr>
          <w:lang w:val="en-CA"/>
        </w:rPr>
        <w:t xml:space="preserve">. </w:t>
      </w:r>
      <w:r>
        <w:rPr>
          <w:lang w:val="en-CA"/>
        </w:rPr>
        <w:t>Girls and female adolescents are the victim i</w:t>
      </w:r>
      <w:r w:rsidRPr="00BB36BC">
        <w:rPr>
          <w:lang w:val="en-CA"/>
        </w:rPr>
        <w:t>n</w:t>
      </w:r>
      <w:r>
        <w:rPr>
          <w:lang w:val="en-CA"/>
        </w:rPr>
        <w:t xml:space="preserve"> roughly</w:t>
      </w:r>
      <w:r w:rsidRPr="00BB36BC">
        <w:rPr>
          <w:lang w:val="en-CA"/>
        </w:rPr>
        <w:t xml:space="preserve"> 92% of cases</w:t>
      </w:r>
      <w:r>
        <w:rPr>
          <w:lang w:val="en-CA"/>
        </w:rPr>
        <w:t xml:space="preserve"> of</w:t>
      </w:r>
      <w:r w:rsidRPr="00BB36BC">
        <w:rPr>
          <w:lang w:val="en-CA"/>
        </w:rPr>
        <w:t xml:space="preserve"> rape</w:t>
      </w:r>
      <w:r w:rsidR="003B1B90">
        <w:rPr>
          <w:lang w:val="en-CA"/>
        </w:rPr>
        <w:t xml:space="preserve"> </w:t>
      </w:r>
      <w:r w:rsidRPr="00BB36BC">
        <w:rPr>
          <w:lang w:val="en-CA"/>
        </w:rPr>
        <w:t>(Defensoría, July 2020, p 6).</w:t>
      </w:r>
      <w:r w:rsidR="00C9040C">
        <w:rPr>
          <w:lang w:val="en-CA"/>
        </w:rPr>
        <w:t xml:space="preserve"> </w:t>
      </w:r>
      <w:r w:rsidR="00C9040C" w:rsidRPr="00C9040C">
        <w:rPr>
          <w:lang w:val="en-CA"/>
        </w:rPr>
        <w:t xml:space="preserve">The numbers in Annex </w:t>
      </w:r>
      <w:r w:rsidR="00EF1CA4">
        <w:rPr>
          <w:lang w:val="en-CA"/>
        </w:rPr>
        <w:t>6</w:t>
      </w:r>
      <w:r w:rsidR="00C9040C" w:rsidRPr="00C9040C">
        <w:rPr>
          <w:lang w:val="en-CA"/>
        </w:rPr>
        <w:t xml:space="preserve"> show that there is a constant increase in sexual violence against children. Although the numbers for 2020 are technically lower than the previous year, this is influenced by the fact that </w:t>
      </w:r>
      <w:r w:rsidR="00C9040C">
        <w:rPr>
          <w:lang w:val="en-CA"/>
        </w:rPr>
        <w:t>public</w:t>
      </w:r>
      <w:r w:rsidR="00C9040C" w:rsidRPr="00C9040C">
        <w:rPr>
          <w:lang w:val="en-CA"/>
        </w:rPr>
        <w:t xml:space="preserve"> services were closed for a certain period </w:t>
      </w:r>
      <w:r w:rsidR="00C9040C">
        <w:rPr>
          <w:lang w:val="en-CA"/>
        </w:rPr>
        <w:t>during</w:t>
      </w:r>
      <w:r w:rsidR="00C9040C" w:rsidRPr="00C9040C">
        <w:rPr>
          <w:lang w:val="en-CA"/>
        </w:rPr>
        <w:t xml:space="preserve"> </w:t>
      </w:r>
      <w:r w:rsidR="00C9040C">
        <w:rPr>
          <w:lang w:val="en-CA"/>
        </w:rPr>
        <w:t xml:space="preserve">the </w:t>
      </w:r>
      <w:r w:rsidR="00C9040C" w:rsidRPr="00C9040C">
        <w:rPr>
          <w:lang w:val="en-CA"/>
        </w:rPr>
        <w:t>pandemic</w:t>
      </w:r>
      <w:r w:rsidR="00C9040C">
        <w:rPr>
          <w:lang w:val="en-CA"/>
        </w:rPr>
        <w:t xml:space="preserve"> </w:t>
      </w:r>
      <w:r w:rsidR="00C9040C" w:rsidRPr="00C9040C">
        <w:rPr>
          <w:lang w:val="en-CA"/>
        </w:rPr>
        <w:t>and that the general population was</w:t>
      </w:r>
      <w:r w:rsidR="00C9040C">
        <w:rPr>
          <w:lang w:val="en-CA"/>
        </w:rPr>
        <w:t xml:space="preserve"> </w:t>
      </w:r>
      <w:r w:rsidR="00C9040C" w:rsidRPr="00C9040C">
        <w:rPr>
          <w:lang w:val="en-CA"/>
        </w:rPr>
        <w:t xml:space="preserve">under movement restrictions, which </w:t>
      </w:r>
      <w:r w:rsidR="00C9040C">
        <w:rPr>
          <w:lang w:val="en-CA"/>
        </w:rPr>
        <w:t>led to</w:t>
      </w:r>
      <w:r w:rsidR="00C9040C" w:rsidRPr="00C9040C">
        <w:rPr>
          <w:lang w:val="en-CA"/>
        </w:rPr>
        <w:t xml:space="preserve"> </w:t>
      </w:r>
      <w:r w:rsidR="00C9040C">
        <w:rPr>
          <w:lang w:val="en-CA"/>
        </w:rPr>
        <w:t>the invisibility</w:t>
      </w:r>
      <w:r w:rsidR="00C9040C" w:rsidRPr="00C9040C">
        <w:rPr>
          <w:lang w:val="en-CA"/>
        </w:rPr>
        <w:t xml:space="preserve"> of many cases of sexual violence (Defensoría, April 2020, p 7; Flora Tristán, 2021-II, p 21). </w:t>
      </w:r>
      <w:r w:rsidR="00C9040C">
        <w:rPr>
          <w:lang w:val="en-CA"/>
        </w:rPr>
        <w:t>Stay-at-home orders</w:t>
      </w:r>
      <w:r w:rsidR="00C9040C" w:rsidRPr="00C9040C">
        <w:rPr>
          <w:lang w:val="en-CA"/>
        </w:rPr>
        <w:t xml:space="preserve"> amplified sexual violence in the family</w:t>
      </w:r>
      <w:r w:rsidR="00C9040C">
        <w:rPr>
          <w:lang w:val="en-CA"/>
        </w:rPr>
        <w:t xml:space="preserve"> setting</w:t>
      </w:r>
      <w:r w:rsidR="00C9040C" w:rsidRPr="00C9040C">
        <w:rPr>
          <w:lang w:val="en-CA"/>
        </w:rPr>
        <w:t>, where more than a third of rape cases occur</w:t>
      </w:r>
      <w:r w:rsidR="00AA07BE">
        <w:rPr>
          <w:lang w:val="en-CA"/>
        </w:rPr>
        <w:t>.</w:t>
      </w:r>
      <w:r w:rsidR="00C9040C">
        <w:rPr>
          <w:rStyle w:val="Refdenotaalpie"/>
          <w:lang w:val="en-CA"/>
        </w:rPr>
        <w:footnoteReference w:id="4"/>
      </w:r>
      <w:r w:rsidR="00C9040C" w:rsidRPr="00C9040C">
        <w:rPr>
          <w:lang w:val="en-CA"/>
        </w:rPr>
        <w:t xml:space="preserve"> In addition, the figures up to April 2021 raise fears that this year will set a record for annual cases of sexual violence.</w:t>
      </w:r>
    </w:p>
    <w:p w14:paraId="47BB370C" w14:textId="743BB1D4" w:rsidR="00C9040C" w:rsidRDefault="00C9040C" w:rsidP="00032B37">
      <w:pPr>
        <w:jc w:val="both"/>
        <w:rPr>
          <w:lang w:val="en-CA"/>
        </w:rPr>
      </w:pPr>
    </w:p>
    <w:p w14:paraId="3122167D" w14:textId="2C02881A" w:rsidR="00C9040C" w:rsidRDefault="00C9040C" w:rsidP="00032B37">
      <w:pPr>
        <w:jc w:val="both"/>
        <w:rPr>
          <w:lang w:val="en-CA"/>
        </w:rPr>
      </w:pPr>
      <w:r w:rsidRPr="00C9040C">
        <w:rPr>
          <w:lang w:val="en-CA"/>
        </w:rPr>
        <w:t>Our organization has compiled detailed data on cases of sexual violence covered in major newspapers since 2019 (Flora Tristán, 2021-I). Although it does not cover all cases of sexual violence in those years,</w:t>
      </w:r>
      <w:r w:rsidR="00AA07BE">
        <w:rPr>
          <w:rStyle w:val="Refdenotaalpie"/>
          <w:lang w:val="en-CA"/>
        </w:rPr>
        <w:footnoteReference w:id="5"/>
      </w:r>
      <w:r w:rsidRPr="00C9040C">
        <w:rPr>
          <w:lang w:val="en-CA"/>
        </w:rPr>
        <w:t xml:space="preserve"> our registry offers a rich source of qualitative information to analyze the circumstances in which the events occurred. Of the 223 cases reported in our database of sexual violence in minors, 160 cases were against minors under 14 years (120 rapes), and of this group, 62 cases were against children under 10 years (42 rapes). In most cases, the assailant was someone known to the victim, usually a family member</w:t>
      </w:r>
      <w:r w:rsidR="001D1432">
        <w:rPr>
          <w:lang w:val="en-CA"/>
        </w:rPr>
        <w:t xml:space="preserve">, </w:t>
      </w:r>
      <w:r w:rsidRPr="00C9040C">
        <w:rPr>
          <w:lang w:val="en-CA"/>
        </w:rPr>
        <w:t xml:space="preserve">and the crimes occurred in a private residence (house of the victim, house of the aggressor or house of both). These data expose a worrying lack in the obligation of special protection, since it indicates that sexual violence occurs in places </w:t>
      </w:r>
      <w:r w:rsidR="00F95D6C">
        <w:rPr>
          <w:lang w:val="en-CA"/>
        </w:rPr>
        <w:t>where</w:t>
      </w:r>
      <w:r w:rsidRPr="00C9040C">
        <w:rPr>
          <w:lang w:val="en-CA"/>
        </w:rPr>
        <w:t xml:space="preserve"> </w:t>
      </w:r>
      <w:r w:rsidR="001D1432">
        <w:rPr>
          <w:lang w:val="en-CA"/>
        </w:rPr>
        <w:t>children</w:t>
      </w:r>
      <w:r w:rsidRPr="00C9040C">
        <w:rPr>
          <w:lang w:val="en-CA"/>
        </w:rPr>
        <w:t xml:space="preserve"> should feel the safest.</w:t>
      </w:r>
    </w:p>
    <w:p w14:paraId="55FC5C39" w14:textId="4D6AD1BF" w:rsidR="00AA07BE" w:rsidRDefault="00AA07BE" w:rsidP="00032B37">
      <w:pPr>
        <w:jc w:val="both"/>
        <w:rPr>
          <w:lang w:val="en-CA"/>
        </w:rPr>
      </w:pPr>
    </w:p>
    <w:p w14:paraId="15FD5A77" w14:textId="54140864" w:rsidR="00AA07BE" w:rsidRDefault="001D1432" w:rsidP="00032B37">
      <w:pPr>
        <w:jc w:val="both"/>
        <w:rPr>
          <w:lang w:val="en-CA"/>
        </w:rPr>
      </w:pPr>
      <w:r>
        <w:rPr>
          <w:i/>
          <w:iCs/>
          <w:lang w:val="en-CA"/>
        </w:rPr>
        <w:t>C</w:t>
      </w:r>
      <w:r w:rsidR="00AA07BE" w:rsidRPr="00AA07BE">
        <w:rPr>
          <w:i/>
          <w:iCs/>
          <w:lang w:val="en-CA"/>
        </w:rPr>
        <w:t xml:space="preserve">ases of sexual violence </w:t>
      </w:r>
      <w:r>
        <w:rPr>
          <w:i/>
          <w:iCs/>
          <w:lang w:val="en-CA"/>
        </w:rPr>
        <w:t xml:space="preserve">in the </w:t>
      </w:r>
      <w:r w:rsidR="00AA07BE" w:rsidRPr="00AA07BE">
        <w:rPr>
          <w:i/>
          <w:iCs/>
          <w:lang w:val="en-CA"/>
        </w:rPr>
        <w:t>justice system</w:t>
      </w:r>
      <w:r w:rsidR="00AA07BE" w:rsidRPr="00AA07BE">
        <w:rPr>
          <w:lang w:val="en-CA"/>
        </w:rPr>
        <w:t xml:space="preserve">: Despite a legislative </w:t>
      </w:r>
      <w:proofErr w:type="gramStart"/>
      <w:r w:rsidR="00AA07BE" w:rsidRPr="00AA07BE">
        <w:rPr>
          <w:lang w:val="en-CA"/>
        </w:rPr>
        <w:t>framework</w:t>
      </w:r>
      <w:proofErr w:type="gramEnd"/>
      <w:r w:rsidR="00AA07BE" w:rsidRPr="00AA07BE">
        <w:rPr>
          <w:lang w:val="en-CA"/>
        </w:rPr>
        <w:t xml:space="preserve"> that recognizes the magnitude of the phenomenon of sexual violence</w:t>
      </w:r>
      <w:r w:rsidR="00AA07BE">
        <w:rPr>
          <w:lang w:val="en-CA"/>
        </w:rPr>
        <w:t xml:space="preserve"> </w:t>
      </w:r>
      <w:r w:rsidR="00AA07BE" w:rsidRPr="00AA07BE">
        <w:rPr>
          <w:lang w:val="en-CA"/>
        </w:rPr>
        <w:t>as well as the principle of the best interests of the child,</w:t>
      </w:r>
      <w:r w:rsidR="00F07689">
        <w:rPr>
          <w:rStyle w:val="Refdenotaalpie"/>
          <w:lang w:val="en-CA"/>
        </w:rPr>
        <w:footnoteReference w:id="6"/>
      </w:r>
      <w:r w:rsidR="00AA07BE" w:rsidRPr="00AA07BE">
        <w:rPr>
          <w:lang w:val="en-CA"/>
        </w:rPr>
        <w:t xml:space="preserve"> impunity continues</w:t>
      </w:r>
      <w:r>
        <w:rPr>
          <w:lang w:val="en-CA"/>
        </w:rPr>
        <w:t xml:space="preserve"> in Peru</w:t>
      </w:r>
      <w:r w:rsidR="00AA07BE" w:rsidRPr="00AA07BE">
        <w:rPr>
          <w:lang w:val="en-CA"/>
        </w:rPr>
        <w:t xml:space="preserve">, </w:t>
      </w:r>
      <w:r w:rsidR="00AA07BE">
        <w:rPr>
          <w:lang w:val="en-CA"/>
        </w:rPr>
        <w:t>affecting</w:t>
      </w:r>
      <w:r w:rsidR="00AA07BE" w:rsidRPr="00AA07BE">
        <w:rPr>
          <w:lang w:val="en-CA"/>
        </w:rPr>
        <w:t xml:space="preserve"> girls</w:t>
      </w:r>
      <w:r>
        <w:rPr>
          <w:lang w:val="en-CA"/>
        </w:rPr>
        <w:t xml:space="preserve"> in particular</w:t>
      </w:r>
      <w:r w:rsidR="00AA07BE" w:rsidRPr="00AA07BE">
        <w:rPr>
          <w:lang w:val="en-CA"/>
        </w:rPr>
        <w:t xml:space="preserve">. In the complaint process, both the </w:t>
      </w:r>
      <w:r w:rsidR="007F6A6E">
        <w:rPr>
          <w:lang w:val="en-CA"/>
        </w:rPr>
        <w:t xml:space="preserve">Peruvian </w:t>
      </w:r>
      <w:r w:rsidR="00AA07BE" w:rsidRPr="00AA07BE">
        <w:rPr>
          <w:lang w:val="en-CA"/>
        </w:rPr>
        <w:t xml:space="preserve">Public Ministry and the Ministry of Justice noted that children and adolescents </w:t>
      </w:r>
      <w:r w:rsidR="00AA07BE">
        <w:rPr>
          <w:lang w:val="en-CA"/>
        </w:rPr>
        <w:t>face</w:t>
      </w:r>
      <w:r w:rsidR="00AA07BE" w:rsidRPr="00AA07BE">
        <w:rPr>
          <w:lang w:val="en-CA"/>
        </w:rPr>
        <w:t xml:space="preserve"> difficulties in reporting violence against them due to preconceived ideas of justice operators about their ability to act. </w:t>
      </w:r>
      <w:r>
        <w:rPr>
          <w:lang w:val="en-CA"/>
        </w:rPr>
        <w:t>For instance, o</w:t>
      </w:r>
      <w:r w:rsidR="00AA07BE" w:rsidRPr="00AA07BE">
        <w:rPr>
          <w:lang w:val="en-CA"/>
        </w:rPr>
        <w:t>perators sometimes do not accept complaints if underage</w:t>
      </w:r>
      <w:r>
        <w:rPr>
          <w:lang w:val="en-CA"/>
        </w:rPr>
        <w:t>d</w:t>
      </w:r>
      <w:r w:rsidR="00AA07BE" w:rsidRPr="00AA07BE">
        <w:rPr>
          <w:lang w:val="en-CA"/>
        </w:rPr>
        <w:t xml:space="preserve"> victims are not accompanied by an adult (Defensoría del Pueblo, December 2020, p 46). In fact, in most cases in our internal database, the person making the </w:t>
      </w:r>
      <w:r w:rsidR="00AA07BE">
        <w:rPr>
          <w:lang w:val="en-CA"/>
        </w:rPr>
        <w:t>complaint</w:t>
      </w:r>
      <w:r w:rsidR="00AA07BE" w:rsidRPr="00AA07BE">
        <w:rPr>
          <w:lang w:val="en-CA"/>
        </w:rPr>
        <w:t xml:space="preserve"> is the mother (Flora Tristán, 2021-I).</w:t>
      </w:r>
    </w:p>
    <w:p w14:paraId="0488D89D" w14:textId="77777777" w:rsidR="003B1B90" w:rsidRDefault="003B1B90" w:rsidP="00032B37">
      <w:pPr>
        <w:jc w:val="both"/>
        <w:rPr>
          <w:lang w:val="en-CA"/>
        </w:rPr>
      </w:pPr>
    </w:p>
    <w:p w14:paraId="2FC239B5" w14:textId="2C5D20CD" w:rsidR="007F6A6E" w:rsidRDefault="007F6A6E" w:rsidP="00032B37">
      <w:pPr>
        <w:jc w:val="both"/>
        <w:rPr>
          <w:lang w:val="en-CA"/>
        </w:rPr>
      </w:pPr>
      <w:r w:rsidRPr="007F6A6E">
        <w:rPr>
          <w:lang w:val="en-CA"/>
        </w:rPr>
        <w:lastRenderedPageBreak/>
        <w:t xml:space="preserve">Families may even find </w:t>
      </w:r>
      <w:r>
        <w:rPr>
          <w:lang w:val="en-CA"/>
        </w:rPr>
        <w:t>obstacles when reporting</w:t>
      </w:r>
      <w:r w:rsidRPr="007F6A6E">
        <w:rPr>
          <w:lang w:val="en-CA"/>
        </w:rPr>
        <w:t xml:space="preserve"> rape. In the case of “A”, a 16-year-old girl from the city of Pucallpa (Amazonia) who was raped inside her house by a friend of a neighbor, the family tried to report, but the police transferred the responsibility of investigating in them (</w:t>
      </w:r>
      <w:r>
        <w:rPr>
          <w:lang w:val="en-CA"/>
        </w:rPr>
        <w:t xml:space="preserve">to </w:t>
      </w:r>
      <w:r w:rsidRPr="007F6A6E">
        <w:rPr>
          <w:lang w:val="en-CA"/>
        </w:rPr>
        <w:t>find the address and full name of the perpetrator) for which they decided to abandon the efforts to obtain justice. “A” became pregnant from the rape, however, with the support of her parents, she managed to obtain a therapeutic abortion (Motta and Salazar, 2020).</w:t>
      </w:r>
    </w:p>
    <w:p w14:paraId="0BC026B4" w14:textId="65996CC7" w:rsidR="00DF0FA2" w:rsidRDefault="00DF0FA2" w:rsidP="00032B37">
      <w:pPr>
        <w:jc w:val="both"/>
        <w:rPr>
          <w:lang w:val="en-CA"/>
        </w:rPr>
      </w:pPr>
    </w:p>
    <w:p w14:paraId="7DA35724" w14:textId="5BBB73F4" w:rsidR="007F6A6E" w:rsidRDefault="007571BC" w:rsidP="00032B37">
      <w:pPr>
        <w:jc w:val="both"/>
        <w:rPr>
          <w:lang w:val="en-CA"/>
        </w:rPr>
      </w:pPr>
      <w:r w:rsidRPr="007571BC">
        <w:rPr>
          <w:lang w:val="en-CA"/>
        </w:rPr>
        <w:t>Regarding the prosecution of case</w:t>
      </w:r>
      <w:r w:rsidR="004B60F6">
        <w:rPr>
          <w:lang w:val="en-CA"/>
        </w:rPr>
        <w:t>s</w:t>
      </w:r>
      <w:r w:rsidRPr="007571BC">
        <w:rPr>
          <w:lang w:val="en-CA"/>
        </w:rPr>
        <w:t xml:space="preserve"> of sexual violence, the rates are generally low. According to the data collected by the MIMP, in 2019, only 0.7% of the cases reached a favorable ruling (0.8% in 2018). </w:t>
      </w:r>
      <w:r w:rsidR="00672D18">
        <w:rPr>
          <w:lang w:val="en-CA"/>
        </w:rPr>
        <w:t>A</w:t>
      </w:r>
      <w:r w:rsidRPr="007571BC">
        <w:rPr>
          <w:lang w:val="en-CA"/>
        </w:rPr>
        <w:t xml:space="preserve"> request for access to information before the Judicial Power of Peru</w:t>
      </w:r>
      <w:r w:rsidR="00672D18">
        <w:rPr>
          <w:lang w:val="en-CA"/>
        </w:rPr>
        <w:t xml:space="preserve"> also </w:t>
      </w:r>
      <w:r w:rsidRPr="007571BC">
        <w:rPr>
          <w:lang w:val="en-CA"/>
        </w:rPr>
        <w:t xml:space="preserve">revealed that, in 2020, </w:t>
      </w:r>
      <w:r w:rsidR="008259E2">
        <w:rPr>
          <w:lang w:val="en-CA"/>
        </w:rPr>
        <w:t xml:space="preserve">there were </w:t>
      </w:r>
      <w:r w:rsidRPr="007571BC">
        <w:rPr>
          <w:lang w:val="en-CA"/>
        </w:rPr>
        <w:t xml:space="preserve">2,967 cases </w:t>
      </w:r>
      <w:r w:rsidR="00FC552A">
        <w:rPr>
          <w:lang w:val="en-CA"/>
        </w:rPr>
        <w:t xml:space="preserve">of rape </w:t>
      </w:r>
      <w:r w:rsidRPr="007571BC">
        <w:rPr>
          <w:lang w:val="en-CA"/>
        </w:rPr>
        <w:t>w</w:t>
      </w:r>
      <w:r w:rsidR="008259E2">
        <w:rPr>
          <w:lang w:val="en-CA"/>
        </w:rPr>
        <w:t xml:space="preserve">here formal accusations were made, </w:t>
      </w:r>
      <w:r w:rsidRPr="007571BC">
        <w:rPr>
          <w:lang w:val="en-CA"/>
        </w:rPr>
        <w:t>and 1,238 cases</w:t>
      </w:r>
      <w:r w:rsidR="00FC552A">
        <w:rPr>
          <w:lang w:val="en-CA"/>
        </w:rPr>
        <w:t xml:space="preserve"> which</w:t>
      </w:r>
      <w:r w:rsidRPr="007571BC">
        <w:rPr>
          <w:lang w:val="en-CA"/>
        </w:rPr>
        <w:t xml:space="preserve"> received a sentence</w:t>
      </w:r>
      <w:r w:rsidR="008259E2">
        <w:rPr>
          <w:lang w:val="en-CA"/>
        </w:rPr>
        <w:t xml:space="preserve"> (conviction and acquittal)</w:t>
      </w:r>
      <w:r w:rsidRPr="007571BC">
        <w:rPr>
          <w:lang w:val="en-CA"/>
        </w:rPr>
        <w:t>.</w:t>
      </w:r>
      <w:r>
        <w:rPr>
          <w:rStyle w:val="Refdenotaalpie"/>
          <w:lang w:val="en-CA"/>
        </w:rPr>
        <w:footnoteReference w:id="7"/>
      </w:r>
      <w:r w:rsidR="008259E2">
        <w:rPr>
          <w:lang w:val="en-CA"/>
        </w:rPr>
        <w:t xml:space="preserve"> These numbers include cases that were open prior to 2020. By contrast,</w:t>
      </w:r>
      <w:r w:rsidRPr="007571BC">
        <w:rPr>
          <w:lang w:val="en-CA"/>
        </w:rPr>
        <w:t xml:space="preserve"> </w:t>
      </w:r>
      <w:r w:rsidR="00FC552A">
        <w:rPr>
          <w:lang w:val="en-CA"/>
        </w:rPr>
        <w:t xml:space="preserve">at least </w:t>
      </w:r>
      <w:r w:rsidR="00385B5C" w:rsidRPr="00385B5C">
        <w:rPr>
          <w:lang w:val="en-CA"/>
        </w:rPr>
        <w:t>4</w:t>
      </w:r>
      <w:r w:rsidR="00672D18">
        <w:rPr>
          <w:lang w:val="en-CA"/>
        </w:rPr>
        <w:t>,</w:t>
      </w:r>
      <w:r w:rsidR="00385B5C" w:rsidRPr="00385B5C">
        <w:rPr>
          <w:lang w:val="en-CA"/>
        </w:rPr>
        <w:t>238</w:t>
      </w:r>
      <w:r w:rsidR="00FC552A">
        <w:rPr>
          <w:lang w:val="en-CA"/>
        </w:rPr>
        <w:t xml:space="preserve"> cases of rape were reported in 2020 and</w:t>
      </w:r>
      <w:r w:rsidR="00385B5C" w:rsidRPr="00385B5C">
        <w:rPr>
          <w:lang w:val="en-CA"/>
        </w:rPr>
        <w:t xml:space="preserve"> </w:t>
      </w:r>
      <w:r w:rsidR="00FC552A" w:rsidRPr="00FC552A">
        <w:rPr>
          <w:lang w:val="en-CA"/>
        </w:rPr>
        <w:t>5</w:t>
      </w:r>
      <w:r w:rsidR="00672D18">
        <w:rPr>
          <w:lang w:val="en-CA"/>
        </w:rPr>
        <w:t>,</w:t>
      </w:r>
      <w:r w:rsidR="00FC552A" w:rsidRPr="00FC552A">
        <w:rPr>
          <w:lang w:val="en-CA"/>
        </w:rPr>
        <w:t>140</w:t>
      </w:r>
      <w:r w:rsidR="00FC552A">
        <w:rPr>
          <w:lang w:val="en-CA"/>
        </w:rPr>
        <w:t xml:space="preserve"> in 2019 (see Annex </w:t>
      </w:r>
      <w:r w:rsidR="00EF1CA4">
        <w:rPr>
          <w:lang w:val="en-CA"/>
        </w:rPr>
        <w:t>6</w:t>
      </w:r>
      <w:r w:rsidR="00FC552A">
        <w:rPr>
          <w:lang w:val="en-CA"/>
        </w:rPr>
        <w:t xml:space="preserve">). </w:t>
      </w:r>
      <w:r w:rsidRPr="007571BC">
        <w:rPr>
          <w:lang w:val="en-CA"/>
        </w:rPr>
        <w:t>According to our internal database, in at least 14% of the cases (33/233), the aggressor had a criminal record and in 6 of these the aggression took place in an educational center or in the victim's home, which suggests serious failures in the rehabilitation</w:t>
      </w:r>
      <w:r w:rsidR="00FC552A">
        <w:rPr>
          <w:lang w:val="en-CA"/>
        </w:rPr>
        <w:t xml:space="preserve"> of offenders</w:t>
      </w:r>
      <w:r w:rsidRPr="007571BC">
        <w:rPr>
          <w:lang w:val="en-CA"/>
        </w:rPr>
        <w:t xml:space="preserve"> and protection of </w:t>
      </w:r>
      <w:r w:rsidR="00FC552A">
        <w:rPr>
          <w:lang w:val="en-CA"/>
        </w:rPr>
        <w:t>children</w:t>
      </w:r>
      <w:r w:rsidRPr="007571BC">
        <w:rPr>
          <w:lang w:val="en-CA"/>
        </w:rPr>
        <w:t>.</w:t>
      </w:r>
    </w:p>
    <w:p w14:paraId="7D0C3375" w14:textId="77777777" w:rsidR="007571BC" w:rsidRDefault="007571BC" w:rsidP="00032B37">
      <w:pPr>
        <w:jc w:val="both"/>
        <w:rPr>
          <w:lang w:val="en-CA"/>
        </w:rPr>
      </w:pPr>
    </w:p>
    <w:p w14:paraId="50C30163" w14:textId="76876C61" w:rsidR="007F6A6E" w:rsidRDefault="00DF0FA2" w:rsidP="00DF0FA2">
      <w:pPr>
        <w:jc w:val="both"/>
        <w:rPr>
          <w:lang w:val="en-CA"/>
        </w:rPr>
      </w:pPr>
      <w:r w:rsidRPr="00DF0FA2">
        <w:rPr>
          <w:i/>
          <w:iCs/>
          <w:lang w:val="en-CA"/>
        </w:rPr>
        <w:t>Attention to cases of sexual violence - emergency kits</w:t>
      </w:r>
      <w:r w:rsidRPr="00DF0FA2">
        <w:rPr>
          <w:lang w:val="en-CA"/>
        </w:rPr>
        <w:t>: The free distribution of emergency kits and emergency oral contraceptives (E</w:t>
      </w:r>
      <w:r>
        <w:rPr>
          <w:lang w:val="en-CA"/>
        </w:rPr>
        <w:t>OC</w:t>
      </w:r>
      <w:r w:rsidRPr="00DF0FA2">
        <w:rPr>
          <w:lang w:val="en-CA"/>
        </w:rPr>
        <w:t>)</w:t>
      </w:r>
      <w:r w:rsidR="00B77C0C">
        <w:rPr>
          <w:lang w:val="en-CA"/>
        </w:rPr>
        <w:t xml:space="preserve"> in cases of rape</w:t>
      </w:r>
      <w:r w:rsidRPr="00DF0FA2">
        <w:rPr>
          <w:lang w:val="en-CA"/>
        </w:rPr>
        <w:t xml:space="preserve"> is essential </w:t>
      </w:r>
      <w:r w:rsidR="00B77C0C">
        <w:rPr>
          <w:lang w:val="en-CA"/>
        </w:rPr>
        <w:t>to protect girls and adolescents</w:t>
      </w:r>
      <w:r w:rsidRPr="00DF0FA2">
        <w:rPr>
          <w:lang w:val="en-CA"/>
        </w:rPr>
        <w:t xml:space="preserve">. However, due to pressure from anti-rights groups, the Constitutional Court, the highest judicial instance in the country, prohibited its free distribution in health services despite scientific evidence that </w:t>
      </w:r>
      <w:r>
        <w:rPr>
          <w:lang w:val="en-CA"/>
        </w:rPr>
        <w:t>EOC</w:t>
      </w:r>
      <w:r w:rsidRPr="00DF0FA2">
        <w:rPr>
          <w:lang w:val="en-CA"/>
        </w:rPr>
        <w:t xml:space="preserve"> </w:t>
      </w:r>
      <w:r w:rsidR="00B77C0C">
        <w:rPr>
          <w:lang w:val="en-CA"/>
        </w:rPr>
        <w:t>are</w:t>
      </w:r>
      <w:r w:rsidRPr="00DF0FA2">
        <w:rPr>
          <w:lang w:val="en-CA"/>
        </w:rPr>
        <w:t xml:space="preserve"> not abortifacient.</w:t>
      </w:r>
      <w:r>
        <w:rPr>
          <w:rStyle w:val="Refdenotaalpie"/>
          <w:lang w:val="en-CA"/>
        </w:rPr>
        <w:footnoteReference w:id="8"/>
      </w:r>
      <w:r w:rsidRPr="00DF0FA2">
        <w:rPr>
          <w:lang w:val="en-CA"/>
        </w:rPr>
        <w:t xml:space="preserve"> It continues to be distributed thanks to </w:t>
      </w:r>
      <w:r>
        <w:rPr>
          <w:lang w:val="en-CA"/>
        </w:rPr>
        <w:t>injunction</w:t>
      </w:r>
      <w:r w:rsidRPr="00DF0FA2">
        <w:rPr>
          <w:lang w:val="en-CA"/>
        </w:rPr>
        <w:t xml:space="preserve"> measure</w:t>
      </w:r>
      <w:r>
        <w:rPr>
          <w:lang w:val="en-CA"/>
        </w:rPr>
        <w:t>s</w:t>
      </w:r>
      <w:r w:rsidRPr="00DF0FA2">
        <w:rPr>
          <w:lang w:val="en-CA"/>
        </w:rPr>
        <w:t xml:space="preserve"> filed to protect the well-being of women.</w:t>
      </w:r>
      <w:r>
        <w:rPr>
          <w:rStyle w:val="Refdenotaalpie"/>
          <w:lang w:val="en-CA"/>
        </w:rPr>
        <w:footnoteReference w:id="9"/>
      </w:r>
      <w:r w:rsidRPr="00DF0FA2">
        <w:rPr>
          <w:lang w:val="en-CA"/>
        </w:rPr>
        <w:t xml:space="preserve"> </w:t>
      </w:r>
      <w:r w:rsidR="00B77C0C">
        <w:rPr>
          <w:lang w:val="en-CA"/>
        </w:rPr>
        <w:t>Yet</w:t>
      </w:r>
      <w:r w:rsidRPr="00DF0FA2">
        <w:rPr>
          <w:lang w:val="en-CA"/>
        </w:rPr>
        <w:t xml:space="preserve">, the distribution of emergency kits is </w:t>
      </w:r>
      <w:r>
        <w:rPr>
          <w:lang w:val="en-CA"/>
        </w:rPr>
        <w:t>deficient</w:t>
      </w:r>
      <w:r w:rsidRPr="00DF0FA2">
        <w:rPr>
          <w:lang w:val="en-CA"/>
        </w:rPr>
        <w:t>. For example, in 2020, only 1,325 emergency kits were distributed,</w:t>
      </w:r>
      <w:r>
        <w:rPr>
          <w:rStyle w:val="Refdenotaalpie"/>
          <w:lang w:val="en-CA"/>
        </w:rPr>
        <w:footnoteReference w:id="10"/>
      </w:r>
      <w:r w:rsidRPr="00DF0FA2">
        <w:rPr>
          <w:lang w:val="en-CA"/>
        </w:rPr>
        <w:t xml:space="preserve"> a figure well below the number of </w:t>
      </w:r>
      <w:r w:rsidR="0031067D">
        <w:rPr>
          <w:lang w:val="en-CA"/>
        </w:rPr>
        <w:t xml:space="preserve">reported </w:t>
      </w:r>
      <w:r w:rsidRPr="00DF0FA2">
        <w:rPr>
          <w:lang w:val="en-CA"/>
        </w:rPr>
        <w:t xml:space="preserve">cases </w:t>
      </w:r>
      <w:r w:rsidR="0031067D">
        <w:rPr>
          <w:lang w:val="en-CA"/>
        </w:rPr>
        <w:t>of rape</w:t>
      </w:r>
      <w:r w:rsidRPr="00DF0FA2">
        <w:rPr>
          <w:lang w:val="en-CA"/>
        </w:rPr>
        <w:t xml:space="preserve">. Most of the kits were delivered to </w:t>
      </w:r>
      <w:r w:rsidR="0031067D">
        <w:rPr>
          <w:lang w:val="en-CA"/>
        </w:rPr>
        <w:t>minor</w:t>
      </w:r>
      <w:r w:rsidRPr="00DF0FA2">
        <w:rPr>
          <w:lang w:val="en-CA"/>
        </w:rPr>
        <w:t>s (under 10 years: 5.1%; 10 to 15 years: 35.9%, 15 to 18 years: 21.3%)</w:t>
      </w:r>
      <w:r>
        <w:rPr>
          <w:lang w:val="en-CA"/>
        </w:rPr>
        <w:t>.</w:t>
      </w:r>
      <w:r w:rsidRPr="00DF0FA2">
        <w:rPr>
          <w:lang w:val="en-CA"/>
        </w:rPr>
        <w:t xml:space="preserve"> In the same way, although the region of Ucayali registered in 2020 a percentage of 20.2% of </w:t>
      </w:r>
      <w:r>
        <w:rPr>
          <w:lang w:val="en-CA"/>
        </w:rPr>
        <w:t>pregnancies in adolescen</w:t>
      </w:r>
      <w:r w:rsidRPr="00DF0FA2">
        <w:rPr>
          <w:lang w:val="en-CA"/>
        </w:rPr>
        <w:t>t</w:t>
      </w:r>
      <w:r>
        <w:rPr>
          <w:lang w:val="en-CA"/>
        </w:rPr>
        <w:t>s</w:t>
      </w:r>
      <w:r w:rsidRPr="00DF0FA2">
        <w:rPr>
          <w:lang w:val="en-CA"/>
        </w:rPr>
        <w:t xml:space="preserve">, only 13 emergency kits were delivered in the entire region (Flora Tristán, 2021-II, p 22). The distribution of emergency kits has been greatly affected by the COVID-19 pandemic despite the adoption of a health protocol to reinforce their distribution (Defensoría, July 2020, p 18). </w:t>
      </w:r>
      <w:r w:rsidR="00B77C0C">
        <w:rPr>
          <w:lang w:val="en-CA"/>
        </w:rPr>
        <w:t>Note that t</w:t>
      </w:r>
      <w:r w:rsidR="00B77C0C" w:rsidRPr="00DF0FA2">
        <w:rPr>
          <w:lang w:val="en-CA"/>
        </w:rPr>
        <w:t>he</w:t>
      </w:r>
      <w:r w:rsidR="00B77C0C">
        <w:rPr>
          <w:lang w:val="en-CA"/>
        </w:rPr>
        <w:t xml:space="preserve"> Constitutional </w:t>
      </w:r>
      <w:r w:rsidR="00B77C0C">
        <w:rPr>
          <w:lang w:val="en-CA"/>
        </w:rPr>
        <w:lastRenderedPageBreak/>
        <w:t>Court may be resolving the question of their free distribution again</w:t>
      </w:r>
      <w:r w:rsidR="00B77C0C" w:rsidRPr="00DF0FA2">
        <w:rPr>
          <w:lang w:val="en-CA"/>
        </w:rPr>
        <w:t xml:space="preserve"> in the coming months and there is fear that </w:t>
      </w:r>
      <w:r w:rsidR="00B77C0C">
        <w:rPr>
          <w:lang w:val="en-CA"/>
        </w:rPr>
        <w:t>a confirmation</w:t>
      </w:r>
      <w:r w:rsidR="00B77C0C" w:rsidRPr="00DF0FA2">
        <w:rPr>
          <w:lang w:val="en-CA"/>
        </w:rPr>
        <w:t xml:space="preserve"> of the</w:t>
      </w:r>
      <w:r w:rsidR="00B77C0C">
        <w:rPr>
          <w:lang w:val="en-CA"/>
        </w:rPr>
        <w:t>ir initial</w:t>
      </w:r>
      <w:r w:rsidR="00B77C0C" w:rsidRPr="00DF0FA2">
        <w:rPr>
          <w:lang w:val="en-CA"/>
        </w:rPr>
        <w:t xml:space="preserve"> </w:t>
      </w:r>
      <w:r w:rsidR="00B77C0C">
        <w:rPr>
          <w:lang w:val="en-CA"/>
        </w:rPr>
        <w:t>decision</w:t>
      </w:r>
      <w:r w:rsidR="00B77C0C" w:rsidRPr="00DF0FA2">
        <w:rPr>
          <w:lang w:val="en-CA"/>
        </w:rPr>
        <w:t xml:space="preserve"> </w:t>
      </w:r>
      <w:r w:rsidR="00B77C0C">
        <w:rPr>
          <w:lang w:val="en-CA"/>
        </w:rPr>
        <w:t>will</w:t>
      </w:r>
      <w:r w:rsidR="00B77C0C" w:rsidRPr="00DF0FA2">
        <w:rPr>
          <w:lang w:val="en-CA"/>
        </w:rPr>
        <w:t xml:space="preserve"> direct</w:t>
      </w:r>
      <w:r w:rsidR="00B77C0C">
        <w:rPr>
          <w:lang w:val="en-CA"/>
        </w:rPr>
        <w:t>ly</w:t>
      </w:r>
      <w:r w:rsidR="00B77C0C" w:rsidRPr="00DF0FA2">
        <w:rPr>
          <w:lang w:val="en-CA"/>
        </w:rPr>
        <w:t xml:space="preserve"> impact on access to </w:t>
      </w:r>
      <w:r w:rsidR="00B77C0C">
        <w:rPr>
          <w:lang w:val="en-CA"/>
        </w:rPr>
        <w:t>EOC</w:t>
      </w:r>
      <w:r w:rsidR="00B77C0C" w:rsidRPr="00DF0FA2">
        <w:rPr>
          <w:lang w:val="en-CA"/>
        </w:rPr>
        <w:t xml:space="preserve"> for girls and adolescents.</w:t>
      </w:r>
    </w:p>
    <w:p w14:paraId="5597B510" w14:textId="380A182E" w:rsidR="00AA07BE" w:rsidRDefault="00AA07BE" w:rsidP="00032B37">
      <w:pPr>
        <w:jc w:val="both"/>
        <w:rPr>
          <w:lang w:val="en-CA"/>
        </w:rPr>
      </w:pPr>
    </w:p>
    <w:p w14:paraId="191CA297" w14:textId="2836C1E6" w:rsidR="0031067D" w:rsidRPr="0031067D" w:rsidRDefault="0031067D" w:rsidP="00032B37">
      <w:pPr>
        <w:jc w:val="both"/>
        <w:rPr>
          <w:b/>
          <w:bCs/>
          <w:smallCaps/>
          <w:lang w:val="en-CA"/>
        </w:rPr>
      </w:pPr>
      <w:r w:rsidRPr="0031067D">
        <w:rPr>
          <w:b/>
          <w:bCs/>
          <w:smallCaps/>
          <w:lang w:val="en-CA"/>
        </w:rPr>
        <w:t>Forced maternities and abortion in girls and adolescents</w:t>
      </w:r>
    </w:p>
    <w:p w14:paraId="57B96208" w14:textId="7DF29FB3" w:rsidR="0031067D" w:rsidRDefault="0031067D" w:rsidP="00032B37">
      <w:pPr>
        <w:jc w:val="both"/>
        <w:rPr>
          <w:lang w:val="en-CA"/>
        </w:rPr>
      </w:pPr>
    </w:p>
    <w:p w14:paraId="690D92CA" w14:textId="47F6A648" w:rsidR="007F76D7" w:rsidRDefault="007F76D7" w:rsidP="00032B37">
      <w:pPr>
        <w:jc w:val="both"/>
        <w:rPr>
          <w:lang w:val="en-CA"/>
        </w:rPr>
      </w:pPr>
      <w:r w:rsidRPr="007F76D7">
        <w:rPr>
          <w:i/>
          <w:iCs/>
          <w:lang w:val="en-CA"/>
        </w:rPr>
        <w:t>Link between sexual violence and forced pregnancy in girls and adolescents</w:t>
      </w:r>
      <w:r w:rsidRPr="007F76D7">
        <w:rPr>
          <w:lang w:val="en-CA"/>
        </w:rPr>
        <w:t xml:space="preserve">: One of the consequences of rape of girls and adolescents is forced pregnancy, </w:t>
      </w:r>
      <w:r>
        <w:rPr>
          <w:lang w:val="en-CA"/>
        </w:rPr>
        <w:t xml:space="preserve">especially given that abortion in cases of rape is not permitted in Peru and that </w:t>
      </w:r>
      <w:r w:rsidRPr="007F76D7">
        <w:rPr>
          <w:lang w:val="en-CA"/>
        </w:rPr>
        <w:t>access to therapeutic abortion</w:t>
      </w:r>
      <w:r>
        <w:rPr>
          <w:lang w:val="en-CA"/>
        </w:rPr>
        <w:t xml:space="preserve"> is often obstructed</w:t>
      </w:r>
      <w:r w:rsidRPr="007F76D7">
        <w:rPr>
          <w:lang w:val="en-CA"/>
        </w:rPr>
        <w:t>. Although there are no real figures of how many pregnancies in Peru result from rape, the statistics of sexual violence against girls and adolescents and the high numbers of pregnancy in children under 14 years old that we present below indicate an important problem. In effect, the Peruvian penal code establishes the age for granting sexual consent at 14 years, for which any sexual relationship with a person under 14 years of age in Peru is automatically considered a criminal offense.</w:t>
      </w:r>
      <w:r w:rsidR="00B77C0C">
        <w:rPr>
          <w:lang w:val="en-CA"/>
        </w:rPr>
        <w:t xml:space="preserve"> </w:t>
      </w:r>
      <w:r w:rsidRPr="007F76D7">
        <w:rPr>
          <w:lang w:val="en-CA"/>
        </w:rPr>
        <w:t xml:space="preserve">In addition, our internal database has identified at least 17 cases of forced pregnancy out of 167 cases of rape and, more worryingly, the average age of pregnant girls was 13 years (Flora Tristán, 2021-I). </w:t>
      </w:r>
    </w:p>
    <w:p w14:paraId="5256390A" w14:textId="42D488A9" w:rsidR="007F76D7" w:rsidRDefault="007F76D7" w:rsidP="00032B37">
      <w:pPr>
        <w:jc w:val="both"/>
        <w:rPr>
          <w:lang w:val="en-CA"/>
        </w:rPr>
      </w:pPr>
    </w:p>
    <w:p w14:paraId="6E8B9755" w14:textId="1D4DCAD6" w:rsidR="00BA38E0" w:rsidRDefault="00BA38E0" w:rsidP="00032B37">
      <w:pPr>
        <w:jc w:val="both"/>
        <w:rPr>
          <w:lang w:val="en-CA"/>
        </w:rPr>
      </w:pPr>
      <w:r>
        <w:rPr>
          <w:lang w:val="en-CA"/>
        </w:rPr>
        <w:t>E</w:t>
      </w:r>
      <w:r w:rsidRPr="007F76D7">
        <w:rPr>
          <w:lang w:val="en-CA"/>
        </w:rPr>
        <w:t xml:space="preserve">ven in cases in which </w:t>
      </w:r>
      <w:r>
        <w:rPr>
          <w:lang w:val="en-CA"/>
        </w:rPr>
        <w:t>adolescents</w:t>
      </w:r>
      <w:r w:rsidRPr="007F76D7">
        <w:rPr>
          <w:lang w:val="en-CA"/>
        </w:rPr>
        <w:t xml:space="preserve"> became pregnant within a consensual relationship, the</w:t>
      </w:r>
      <w:r w:rsidR="00BB7263">
        <w:rPr>
          <w:lang w:val="en-CA"/>
        </w:rPr>
        <w:t>ir health and access to education can be</w:t>
      </w:r>
      <w:r w:rsidRPr="007F76D7">
        <w:rPr>
          <w:lang w:val="en-CA"/>
        </w:rPr>
        <w:t xml:space="preserve"> negatively due to deficiencies in the promotion of comprehensive sexual education (CSE) and </w:t>
      </w:r>
      <w:r>
        <w:rPr>
          <w:lang w:val="en-CA"/>
        </w:rPr>
        <w:t xml:space="preserve">in </w:t>
      </w:r>
      <w:r w:rsidRPr="007F76D7">
        <w:rPr>
          <w:lang w:val="en-CA"/>
        </w:rPr>
        <w:t>the application of therapeutic abortion protocols.</w:t>
      </w:r>
    </w:p>
    <w:p w14:paraId="76BEA7D3" w14:textId="77777777" w:rsidR="00BA38E0" w:rsidRDefault="00BA38E0" w:rsidP="00032B37">
      <w:pPr>
        <w:jc w:val="both"/>
        <w:rPr>
          <w:lang w:val="en-CA"/>
        </w:rPr>
      </w:pPr>
    </w:p>
    <w:p w14:paraId="68698610" w14:textId="0B52D14C" w:rsidR="007F76D7" w:rsidRDefault="007F76D7" w:rsidP="00032B37">
      <w:pPr>
        <w:jc w:val="both"/>
        <w:rPr>
          <w:lang w:val="en-CA"/>
        </w:rPr>
      </w:pPr>
      <w:r w:rsidRPr="007F76D7">
        <w:rPr>
          <w:i/>
          <w:iCs/>
          <w:lang w:val="en-CA"/>
        </w:rPr>
        <w:t>Statistics:</w:t>
      </w:r>
      <w:r w:rsidRPr="007F76D7">
        <w:rPr>
          <w:lang w:val="en-CA"/>
        </w:rPr>
        <w:t xml:space="preserve"> Despite the final observations of the CRC in 2016 calling for actions to reduce pregnancy rates in girls and adolescents (CRC/C/PER/CO/4-5), the figures of forced maternit</w:t>
      </w:r>
      <w:r>
        <w:rPr>
          <w:lang w:val="en-CA"/>
        </w:rPr>
        <w:t>ies</w:t>
      </w:r>
      <w:r w:rsidRPr="007F76D7">
        <w:rPr>
          <w:lang w:val="en-CA"/>
        </w:rPr>
        <w:t xml:space="preserve"> in girls and adolescent pregnancies</w:t>
      </w:r>
      <w:r>
        <w:rPr>
          <w:lang w:val="en-CA"/>
        </w:rPr>
        <w:t xml:space="preserve"> (as a </w:t>
      </w:r>
      <w:r w:rsidRPr="007F76D7">
        <w:rPr>
          <w:lang w:val="en-CA"/>
        </w:rPr>
        <w:t>result or not of a violation</w:t>
      </w:r>
      <w:r>
        <w:rPr>
          <w:lang w:val="en-CA"/>
        </w:rPr>
        <w:t>)</w:t>
      </w:r>
      <w:r w:rsidRPr="007F76D7">
        <w:rPr>
          <w:lang w:val="en-CA"/>
        </w:rPr>
        <w:t xml:space="preserve"> are still very high in Peru. </w:t>
      </w:r>
      <w:r>
        <w:rPr>
          <w:lang w:val="en-CA"/>
        </w:rPr>
        <w:t>T</w:t>
      </w:r>
      <w:r w:rsidRPr="007F76D7">
        <w:rPr>
          <w:lang w:val="en-CA"/>
        </w:rPr>
        <w:t>he Peruvian state does not publish systematic and detailed statistical data on pregnancy in minors, but the information can be found through the Live Birth Certificate Registration System, which</w:t>
      </w:r>
      <w:r>
        <w:rPr>
          <w:lang w:val="en-CA"/>
        </w:rPr>
        <w:t xml:space="preserve"> probably means that there is an undervaluation</w:t>
      </w:r>
      <w:r w:rsidRPr="007F76D7">
        <w:rPr>
          <w:lang w:val="en-CA"/>
        </w:rPr>
        <w:t xml:space="preserve"> </w:t>
      </w:r>
      <w:r>
        <w:rPr>
          <w:lang w:val="en-CA"/>
        </w:rPr>
        <w:t>of child</w:t>
      </w:r>
      <w:r w:rsidRPr="007F76D7">
        <w:rPr>
          <w:lang w:val="en-CA"/>
        </w:rPr>
        <w:t xml:space="preserve"> pregnancies.</w:t>
      </w:r>
      <w:r w:rsidR="005C235A" w:rsidRPr="005C235A">
        <w:rPr>
          <w:lang w:val="en-CA"/>
        </w:rPr>
        <w:t xml:space="preserve"> This system has reported 9 births in girls between 0-10 years old in 2019, 24 in 2020 and 4 so far in 2021.</w:t>
      </w:r>
      <w:r w:rsidR="005C235A">
        <w:rPr>
          <w:rStyle w:val="Refdenotaalpie"/>
          <w:lang w:val="en-CA"/>
        </w:rPr>
        <w:footnoteReference w:id="11"/>
      </w:r>
      <w:r w:rsidR="005C235A" w:rsidRPr="005C235A">
        <w:rPr>
          <w:lang w:val="en-CA"/>
        </w:rPr>
        <w:t xml:space="preserve"> </w:t>
      </w:r>
      <w:r w:rsidR="005C235A">
        <w:rPr>
          <w:lang w:val="en-CA"/>
        </w:rPr>
        <w:t>We can see</w:t>
      </w:r>
      <w:r w:rsidR="005C235A" w:rsidRPr="005C235A">
        <w:rPr>
          <w:lang w:val="en-CA"/>
        </w:rPr>
        <w:t xml:space="preserve"> that the figures in children under 10 years more than doubled during the first year of the pandemic. For the 11–14-year-old group, 1,294 births were registered in 2019, 1155 in 2020 and 348 so far in 2021. For the age group between 15-19 years, 52,005 births were registered in 2019, 47,397 in 2020 and 17,213 so far in 2021 (see more details in Annex </w:t>
      </w:r>
      <w:r w:rsidR="00EF1CA4">
        <w:rPr>
          <w:lang w:val="en-CA"/>
        </w:rPr>
        <w:t>7</w:t>
      </w:r>
      <w:r w:rsidR="005C235A" w:rsidRPr="005C235A">
        <w:rPr>
          <w:lang w:val="en-CA"/>
        </w:rPr>
        <w:t>).</w:t>
      </w:r>
    </w:p>
    <w:p w14:paraId="1A09849D" w14:textId="7A314416" w:rsidR="007F76D7" w:rsidRDefault="007F76D7" w:rsidP="00032B37">
      <w:pPr>
        <w:jc w:val="both"/>
        <w:rPr>
          <w:lang w:val="en-CA"/>
        </w:rPr>
      </w:pPr>
    </w:p>
    <w:p w14:paraId="4F0E0404" w14:textId="7BB34700" w:rsidR="007F76D7" w:rsidRDefault="005C235A" w:rsidP="005C235A">
      <w:pPr>
        <w:jc w:val="both"/>
        <w:rPr>
          <w:lang w:val="en-CA"/>
        </w:rPr>
      </w:pPr>
      <w:r w:rsidRPr="005C235A">
        <w:rPr>
          <w:i/>
          <w:iCs/>
          <w:lang w:val="en-CA"/>
        </w:rPr>
        <w:t>Risk factors, poly-victimization of girls and adolescents and intersectional impacts of forced pregnancy:</w:t>
      </w:r>
      <w:r w:rsidRPr="005C235A">
        <w:rPr>
          <w:lang w:val="en-CA"/>
        </w:rPr>
        <w:t xml:space="preserve"> Forced pregnanc</w:t>
      </w:r>
      <w:r w:rsidR="00D64E18">
        <w:rPr>
          <w:lang w:val="en-CA"/>
        </w:rPr>
        <w:t>y</w:t>
      </w:r>
      <w:r w:rsidRPr="005C235A">
        <w:rPr>
          <w:lang w:val="en-CA"/>
        </w:rPr>
        <w:t xml:space="preserve"> in children under 14 years of age and adolescent pregnancy is associated with the prevalence of gender-based violence</w:t>
      </w:r>
      <w:r w:rsidR="00BA38E0">
        <w:rPr>
          <w:lang w:val="en-CA"/>
        </w:rPr>
        <w:t xml:space="preserve"> </w:t>
      </w:r>
      <w:r w:rsidR="00D64E18">
        <w:rPr>
          <w:lang w:val="en-CA"/>
        </w:rPr>
        <w:t xml:space="preserve">in its multiple </w:t>
      </w:r>
      <w:proofErr w:type="gramStart"/>
      <w:r w:rsidR="00D64E18">
        <w:rPr>
          <w:lang w:val="en-CA"/>
        </w:rPr>
        <w:t>forms</w:t>
      </w:r>
      <w:r w:rsidRPr="005C235A">
        <w:rPr>
          <w:lang w:val="en-CA"/>
        </w:rPr>
        <w:t xml:space="preserve"> </w:t>
      </w:r>
      <w:r w:rsidR="00BA38E0">
        <w:rPr>
          <w:lang w:val="en-CA"/>
        </w:rPr>
        <w:t xml:space="preserve">which </w:t>
      </w:r>
      <w:r w:rsidRPr="005C235A">
        <w:rPr>
          <w:lang w:val="en-CA"/>
        </w:rPr>
        <w:t>affect girls from an early age</w:t>
      </w:r>
      <w:proofErr w:type="gramEnd"/>
      <w:r w:rsidR="00D64E18">
        <w:rPr>
          <w:lang w:val="en-CA"/>
        </w:rPr>
        <w:t xml:space="preserve"> and in various settings, such as</w:t>
      </w:r>
      <w:r w:rsidRPr="005C235A">
        <w:rPr>
          <w:lang w:val="en-CA"/>
        </w:rPr>
        <w:t xml:space="preserve"> school</w:t>
      </w:r>
      <w:r w:rsidR="00D64E18">
        <w:rPr>
          <w:lang w:val="en-CA"/>
        </w:rPr>
        <w:t>s</w:t>
      </w:r>
      <w:r w:rsidRPr="005C235A">
        <w:rPr>
          <w:lang w:val="en-CA"/>
        </w:rPr>
        <w:t xml:space="preserve">, </w:t>
      </w:r>
      <w:r w:rsidR="00D64E18">
        <w:rPr>
          <w:lang w:val="en-CA"/>
        </w:rPr>
        <w:t>the</w:t>
      </w:r>
      <w:r w:rsidRPr="005C235A">
        <w:rPr>
          <w:lang w:val="en-CA"/>
        </w:rPr>
        <w:t xml:space="preserve"> family </w:t>
      </w:r>
      <w:r w:rsidR="00D64E18">
        <w:rPr>
          <w:lang w:val="en-CA"/>
        </w:rPr>
        <w:t>home</w:t>
      </w:r>
      <w:r w:rsidRPr="005C235A">
        <w:rPr>
          <w:lang w:val="en-CA"/>
        </w:rPr>
        <w:t xml:space="preserve"> and the community. Our organization carried out an exploratory study on the </w:t>
      </w:r>
      <w:r w:rsidRPr="005C235A">
        <w:rPr>
          <w:lang w:val="en-CA"/>
        </w:rPr>
        <w:lastRenderedPageBreak/>
        <w:t xml:space="preserve">phenomenon of poly-victimization of pregnant girls, illustrating how forced pregnancy in girls and teenage pregnancy tend to </w:t>
      </w:r>
      <w:proofErr w:type="gramStart"/>
      <w:r w:rsidRPr="005C235A">
        <w:rPr>
          <w:lang w:val="en-CA"/>
        </w:rPr>
        <w:t>be accompanied</w:t>
      </w:r>
      <w:proofErr w:type="gramEnd"/>
      <w:r w:rsidRPr="005C235A">
        <w:rPr>
          <w:lang w:val="en-CA"/>
        </w:rPr>
        <w:t xml:space="preserve"> by other forms of violence such as sexual violence, family violence, bullying, abandonment, gender and ethnic/racial discrimination, among others (Flora Tristán, 2021-II). In Peru, more than 60% of girls and boys between 9 and 17 years old had reported in 2019 having suffered some form of violence at home or in the school environment in their lifetime (INEI, 2020; see Annex </w:t>
      </w:r>
      <w:r w:rsidR="00EF1CA4">
        <w:rPr>
          <w:lang w:val="en-CA"/>
        </w:rPr>
        <w:t>9</w:t>
      </w:r>
      <w:r w:rsidRPr="005C235A">
        <w:rPr>
          <w:lang w:val="en-CA"/>
        </w:rPr>
        <w:t xml:space="preserve"> for details). In fact, in another study sponsored by our organization on </w:t>
      </w:r>
      <w:r w:rsidR="00BA38E0">
        <w:rPr>
          <w:lang w:val="en-CA"/>
        </w:rPr>
        <w:t>forced pregnancies</w:t>
      </w:r>
      <w:r w:rsidRPr="005C235A">
        <w:rPr>
          <w:lang w:val="en-CA"/>
        </w:rPr>
        <w:t xml:space="preserve"> in the Amazon</w:t>
      </w:r>
      <w:r w:rsidR="00D64E18">
        <w:rPr>
          <w:lang w:val="en-CA"/>
        </w:rPr>
        <w:t>ia</w:t>
      </w:r>
      <w:r w:rsidRPr="005C235A">
        <w:rPr>
          <w:lang w:val="en-CA"/>
        </w:rPr>
        <w:t xml:space="preserve"> and Cuzco regions, all the cases investigated reveal</w:t>
      </w:r>
      <w:r w:rsidR="00D64E18">
        <w:rPr>
          <w:lang w:val="en-CA"/>
        </w:rPr>
        <w:t>ed</w:t>
      </w:r>
      <w:r w:rsidRPr="005C235A">
        <w:rPr>
          <w:lang w:val="en-CA"/>
        </w:rPr>
        <w:t xml:space="preserve"> that the girls lived in a family environment characterized by violence and/or abandonment</w:t>
      </w:r>
      <w:r w:rsidR="00BA38E0">
        <w:rPr>
          <w:lang w:val="en-CA"/>
        </w:rPr>
        <w:t xml:space="preserve"> </w:t>
      </w:r>
      <w:r w:rsidRPr="005C235A">
        <w:rPr>
          <w:lang w:val="en-CA"/>
        </w:rPr>
        <w:t>(Motta and Salazar, 2020). Furthermore, our internal data base reveals that in at least 25% of the cases of sexual violence in minors (60/233), the victim had been previously attacked by the same aggressor (Flora Tristán, 2021-I).</w:t>
      </w:r>
      <w:r w:rsidR="00BA38E0">
        <w:rPr>
          <w:lang w:val="en-CA"/>
        </w:rPr>
        <w:t xml:space="preserve"> </w:t>
      </w:r>
      <w:r w:rsidR="00D64E18">
        <w:rPr>
          <w:lang w:val="en-CA"/>
        </w:rPr>
        <w:t xml:space="preserve">Thus, what we witness are </w:t>
      </w:r>
      <w:r w:rsidRPr="005C235A">
        <w:rPr>
          <w:lang w:val="en-CA"/>
        </w:rPr>
        <w:t xml:space="preserve">multiple cycles of violence </w:t>
      </w:r>
      <w:r w:rsidR="00D64E18">
        <w:rPr>
          <w:lang w:val="en-CA"/>
        </w:rPr>
        <w:t>affecting</w:t>
      </w:r>
      <w:r w:rsidRPr="005C235A">
        <w:rPr>
          <w:lang w:val="en-CA"/>
        </w:rPr>
        <w:t xml:space="preserve"> girls and adolescents</w:t>
      </w:r>
      <w:r w:rsidR="002D3CB0">
        <w:rPr>
          <w:lang w:val="en-CA"/>
        </w:rPr>
        <w:t xml:space="preserve"> and </w:t>
      </w:r>
      <w:r w:rsidR="00D64E18">
        <w:rPr>
          <w:lang w:val="en-CA"/>
        </w:rPr>
        <w:t>which favour</w:t>
      </w:r>
      <w:r w:rsidRPr="005C235A">
        <w:rPr>
          <w:lang w:val="en-CA"/>
        </w:rPr>
        <w:t xml:space="preserve"> forced pregnanc</w:t>
      </w:r>
      <w:r w:rsidR="00D64E18">
        <w:rPr>
          <w:lang w:val="en-CA"/>
        </w:rPr>
        <w:t>ies</w:t>
      </w:r>
      <w:r w:rsidRPr="005C235A">
        <w:rPr>
          <w:lang w:val="en-CA"/>
        </w:rPr>
        <w:t xml:space="preserve">. It should be noted that </w:t>
      </w:r>
      <w:r w:rsidR="00D64E18">
        <w:rPr>
          <w:lang w:val="en-CA"/>
        </w:rPr>
        <w:t xml:space="preserve">being pregnant </w:t>
      </w:r>
      <w:r w:rsidR="009C799E">
        <w:rPr>
          <w:lang w:val="en-CA"/>
        </w:rPr>
        <w:t>is an additional</w:t>
      </w:r>
      <w:r w:rsidRPr="005C235A">
        <w:rPr>
          <w:lang w:val="en-CA"/>
        </w:rPr>
        <w:t xml:space="preserve"> risk factor for gender violence, such as obstetric violence, thus reinforcing the poly-victimization</w:t>
      </w:r>
      <w:r w:rsidR="009C799E">
        <w:rPr>
          <w:lang w:val="en-CA"/>
        </w:rPr>
        <w:t xml:space="preserve"> of girls and adolescents</w:t>
      </w:r>
      <w:r w:rsidRPr="005C235A">
        <w:rPr>
          <w:lang w:val="en-CA"/>
        </w:rPr>
        <w:t xml:space="preserve"> (Defensoría del Pueblo, November 2020, p 11; INEI, 2016, p 16).</w:t>
      </w:r>
    </w:p>
    <w:p w14:paraId="50007311" w14:textId="3C4B3974" w:rsidR="002D3CB0" w:rsidRDefault="002D3CB0" w:rsidP="005C235A">
      <w:pPr>
        <w:jc w:val="both"/>
        <w:rPr>
          <w:lang w:val="en-CA"/>
        </w:rPr>
      </w:pPr>
    </w:p>
    <w:p w14:paraId="2CE7EEA9" w14:textId="07328AA7" w:rsidR="002D3CB0" w:rsidRPr="002D3CB0" w:rsidRDefault="002D3CB0" w:rsidP="005C235A">
      <w:pPr>
        <w:jc w:val="both"/>
        <w:rPr>
          <w:lang w:val="en-CA"/>
        </w:rPr>
      </w:pPr>
      <w:r w:rsidRPr="002D3CB0">
        <w:rPr>
          <w:lang w:val="en-CA"/>
        </w:rPr>
        <w:t xml:space="preserve">As for other risk factors, </w:t>
      </w:r>
      <w:r>
        <w:rPr>
          <w:lang w:val="en-CA"/>
        </w:rPr>
        <w:t>we</w:t>
      </w:r>
      <w:r w:rsidRPr="002D3CB0">
        <w:rPr>
          <w:lang w:val="en-CA"/>
        </w:rPr>
        <w:t xml:space="preserve"> can mention monetary poverty and low levels of education. In 2018, the percentage of pregnancy in the 15 to 19-year-old group was 12.6% at the national level, which constitutes a slight decrease from the previous year (13.2%) (Plan </w:t>
      </w:r>
      <w:r>
        <w:rPr>
          <w:lang w:val="en-CA"/>
        </w:rPr>
        <w:t>I</w:t>
      </w:r>
      <w:r w:rsidRPr="002D3CB0">
        <w:rPr>
          <w:lang w:val="en-CA"/>
        </w:rPr>
        <w:t>nternational, 2020, p 6). However, this measure rises to 24.9% in the case of adolescents in the lowest income quintile and to 41.7% in the case of adolescents with only primary education.</w:t>
      </w:r>
    </w:p>
    <w:p w14:paraId="48DA8A69" w14:textId="02FCBDD5" w:rsidR="002D3CB0" w:rsidRPr="002D3CB0" w:rsidRDefault="002D3CB0" w:rsidP="005C235A">
      <w:pPr>
        <w:jc w:val="both"/>
        <w:rPr>
          <w:lang w:val="en-CA"/>
        </w:rPr>
      </w:pPr>
    </w:p>
    <w:p w14:paraId="6C0FAFC4" w14:textId="1EC7A7D6" w:rsidR="002D3CB0" w:rsidRPr="002D3CB0" w:rsidRDefault="002D3CB0" w:rsidP="002D3CB0">
      <w:pPr>
        <w:jc w:val="both"/>
        <w:rPr>
          <w:lang w:val="en-CA"/>
        </w:rPr>
      </w:pPr>
      <w:r w:rsidRPr="002D3CB0">
        <w:rPr>
          <w:lang w:val="en-CA"/>
        </w:rPr>
        <w:t xml:space="preserve">Girls in rural areas, in the </w:t>
      </w:r>
      <w:r>
        <w:rPr>
          <w:lang w:val="en-CA"/>
        </w:rPr>
        <w:t>Amazonia</w:t>
      </w:r>
      <w:r w:rsidRPr="002D3CB0">
        <w:rPr>
          <w:lang w:val="en-CA"/>
        </w:rPr>
        <w:t xml:space="preserve"> and in indigenous or native communities also have higher pregnancy rates (</w:t>
      </w:r>
      <w:proofErr w:type="spellStart"/>
      <w:r>
        <w:rPr>
          <w:lang w:val="en-CA"/>
        </w:rPr>
        <w:t>Defensoria</w:t>
      </w:r>
      <w:proofErr w:type="spellEnd"/>
      <w:r>
        <w:rPr>
          <w:lang w:val="en-CA"/>
        </w:rPr>
        <w:t xml:space="preserve"> del Pueblo</w:t>
      </w:r>
      <w:r w:rsidRPr="002D3CB0">
        <w:rPr>
          <w:lang w:val="en-CA"/>
        </w:rPr>
        <w:t xml:space="preserve">, November 2017, p 23). For example, the adolescent maternity rate for people </w:t>
      </w:r>
      <w:r>
        <w:rPr>
          <w:lang w:val="en-CA"/>
        </w:rPr>
        <w:t xml:space="preserve">who self-identified as </w:t>
      </w:r>
      <w:proofErr w:type="spellStart"/>
      <w:r w:rsidRPr="002D3CB0">
        <w:rPr>
          <w:lang w:val="en-CA"/>
        </w:rPr>
        <w:t>Asháninka</w:t>
      </w:r>
      <w:proofErr w:type="spellEnd"/>
      <w:r w:rsidRPr="002D3CB0">
        <w:rPr>
          <w:lang w:val="en-CA"/>
        </w:rPr>
        <w:t xml:space="preserve"> was 31% and </w:t>
      </w:r>
      <w:r>
        <w:rPr>
          <w:lang w:val="en-CA"/>
        </w:rPr>
        <w:t>as</w:t>
      </w:r>
      <w:r w:rsidRPr="002D3CB0">
        <w:rPr>
          <w:lang w:val="en-CA"/>
        </w:rPr>
        <w:t xml:space="preserve"> </w:t>
      </w:r>
      <w:proofErr w:type="spellStart"/>
      <w:r w:rsidRPr="002D3CB0">
        <w:rPr>
          <w:lang w:val="en-CA"/>
        </w:rPr>
        <w:t>Shipibo-Konibo</w:t>
      </w:r>
      <w:proofErr w:type="spellEnd"/>
      <w:r w:rsidRPr="002D3CB0">
        <w:rPr>
          <w:lang w:val="en-CA"/>
        </w:rPr>
        <w:t xml:space="preserve">, 30.3% (Plan </w:t>
      </w:r>
      <w:r>
        <w:rPr>
          <w:lang w:val="en-CA"/>
        </w:rPr>
        <w:t>I</w:t>
      </w:r>
      <w:r w:rsidRPr="002D3CB0">
        <w:rPr>
          <w:lang w:val="en-CA"/>
        </w:rPr>
        <w:t xml:space="preserve">nternational, 2020, p. 14). Indigenous girls are also more exposed to sexual violence. For example, in 2019 it was noted that 10.2% of </w:t>
      </w:r>
      <w:r>
        <w:rPr>
          <w:lang w:val="en-CA"/>
        </w:rPr>
        <w:t xml:space="preserve">native </w:t>
      </w:r>
      <w:r w:rsidRPr="002D3CB0">
        <w:rPr>
          <w:lang w:val="en-CA"/>
        </w:rPr>
        <w:t xml:space="preserve">adolescents had been victims of sexual violence, a rate much higher than the national average of around 3% (Flora Tristán, 2021-II, p 20). Furthermore, in some Amazonian areas, early relationships with older men are naturalized and even promoted by families, which can generate situations of </w:t>
      </w:r>
      <w:r w:rsidR="00BA38E0">
        <w:rPr>
          <w:lang w:val="en-CA"/>
        </w:rPr>
        <w:t xml:space="preserve">power </w:t>
      </w:r>
      <w:r w:rsidRPr="002D3CB0">
        <w:rPr>
          <w:lang w:val="en-CA"/>
        </w:rPr>
        <w:t>inequality and violence (Flora Tristán, 2021-II, p 25-26).</w:t>
      </w:r>
    </w:p>
    <w:p w14:paraId="30D6E4D8" w14:textId="77777777" w:rsidR="002D3CB0" w:rsidRPr="002D3CB0" w:rsidRDefault="002D3CB0" w:rsidP="002D3CB0">
      <w:pPr>
        <w:jc w:val="both"/>
        <w:rPr>
          <w:lang w:val="en-CA"/>
        </w:rPr>
      </w:pPr>
    </w:p>
    <w:p w14:paraId="350B4622" w14:textId="46A42E42" w:rsidR="002D3CB0" w:rsidRDefault="002D3CB0" w:rsidP="002D3CB0">
      <w:pPr>
        <w:jc w:val="both"/>
        <w:rPr>
          <w:lang w:val="en-CA"/>
        </w:rPr>
      </w:pPr>
      <w:r w:rsidRPr="002D3CB0">
        <w:rPr>
          <w:lang w:val="en-CA"/>
        </w:rPr>
        <w:t>Girls and adolescents in rural areas and native communities face obstacles when reporting rapes</w:t>
      </w:r>
      <w:r>
        <w:rPr>
          <w:lang w:val="en-CA"/>
        </w:rPr>
        <w:t xml:space="preserve">: </w:t>
      </w:r>
      <w:r w:rsidRPr="002D3CB0">
        <w:rPr>
          <w:lang w:val="en-CA"/>
        </w:rPr>
        <w:t>cultural obstacles (families</w:t>
      </w:r>
      <w:r w:rsidR="00BA38E0">
        <w:rPr>
          <w:lang w:val="en-CA"/>
        </w:rPr>
        <w:t xml:space="preserve"> </w:t>
      </w:r>
      <w:r w:rsidRPr="002D3CB0">
        <w:rPr>
          <w:lang w:val="en-CA"/>
        </w:rPr>
        <w:t>may decide to negotiate with the perpetrator's family instead of reporting the facts to the police, especially when there is a pregnancy</w:t>
      </w:r>
      <w:r>
        <w:rPr>
          <w:lang w:val="en-CA"/>
        </w:rPr>
        <w:t xml:space="preserve"> involved</w:t>
      </w:r>
      <w:r w:rsidRPr="002D3CB0">
        <w:rPr>
          <w:lang w:val="en-CA"/>
        </w:rPr>
        <w:t>, Motta and Salazar, 2020, p 60), personal</w:t>
      </w:r>
      <w:r>
        <w:rPr>
          <w:lang w:val="en-CA"/>
        </w:rPr>
        <w:t xml:space="preserve"> ones</w:t>
      </w:r>
      <w:r w:rsidRPr="002D3CB0">
        <w:rPr>
          <w:lang w:val="en-CA"/>
        </w:rPr>
        <w:t xml:space="preserve"> (</w:t>
      </w:r>
      <w:r w:rsidR="00BA38E0">
        <w:rPr>
          <w:lang w:val="en-CA"/>
        </w:rPr>
        <w:t>fear of facing</w:t>
      </w:r>
      <w:r w:rsidRPr="002D3CB0">
        <w:rPr>
          <w:lang w:val="en-CA"/>
        </w:rPr>
        <w:t xml:space="preserve"> harassment in small communities, Flora Tristán, 2021-II, p 28) and institutional </w:t>
      </w:r>
      <w:r>
        <w:rPr>
          <w:lang w:val="en-CA"/>
        </w:rPr>
        <w:t xml:space="preserve">ones </w:t>
      </w:r>
      <w:r w:rsidRPr="002D3CB0">
        <w:rPr>
          <w:lang w:val="en-CA"/>
        </w:rPr>
        <w:t xml:space="preserve">(perception of impunity and lack of resources in more isolated areas such as in </w:t>
      </w:r>
      <w:r>
        <w:rPr>
          <w:lang w:val="en-CA"/>
        </w:rPr>
        <w:t>t</w:t>
      </w:r>
      <w:r w:rsidRPr="002D3CB0">
        <w:rPr>
          <w:lang w:val="en-CA"/>
        </w:rPr>
        <w:t xml:space="preserve">he Amazon). The state must </w:t>
      </w:r>
      <w:r>
        <w:rPr>
          <w:lang w:val="en-CA"/>
        </w:rPr>
        <w:t>address</w:t>
      </w:r>
      <w:r w:rsidRPr="002D3CB0">
        <w:rPr>
          <w:lang w:val="en-CA"/>
        </w:rPr>
        <w:t xml:space="preserve"> these obstacles directly, as well as strengthen preventi</w:t>
      </w:r>
      <w:r w:rsidR="001526B1">
        <w:rPr>
          <w:lang w:val="en-CA"/>
        </w:rPr>
        <w:t>ve</w:t>
      </w:r>
      <w:r w:rsidRPr="002D3CB0">
        <w:rPr>
          <w:lang w:val="en-CA"/>
        </w:rPr>
        <w:t xml:space="preserve"> actions </w:t>
      </w:r>
      <w:r>
        <w:rPr>
          <w:lang w:val="en-CA"/>
        </w:rPr>
        <w:t>initiated</w:t>
      </w:r>
      <w:r w:rsidRPr="002D3CB0">
        <w:rPr>
          <w:lang w:val="en-CA"/>
        </w:rPr>
        <w:t xml:space="preserve"> by children</w:t>
      </w:r>
      <w:r w:rsidR="001526B1">
        <w:rPr>
          <w:lang w:val="en-CA"/>
        </w:rPr>
        <w:t xml:space="preserve">, </w:t>
      </w:r>
      <w:r w:rsidR="001526B1" w:rsidRPr="002D3CB0">
        <w:rPr>
          <w:lang w:val="en-CA"/>
        </w:rPr>
        <w:lastRenderedPageBreak/>
        <w:t>adolescents,</w:t>
      </w:r>
      <w:r w:rsidRPr="002D3CB0">
        <w:rPr>
          <w:lang w:val="en-CA"/>
        </w:rPr>
        <w:t xml:space="preserve"> and indigenous women</w:t>
      </w:r>
      <w:r w:rsidR="001526B1">
        <w:rPr>
          <w:lang w:val="en-CA"/>
        </w:rPr>
        <w:t xml:space="preserve"> whose </w:t>
      </w:r>
      <w:r w:rsidRPr="002D3CB0">
        <w:rPr>
          <w:lang w:val="en-CA"/>
        </w:rPr>
        <w:t xml:space="preserve">counter-hegemonic voices </w:t>
      </w:r>
      <w:r w:rsidR="001526B1">
        <w:rPr>
          <w:lang w:val="en-CA"/>
        </w:rPr>
        <w:t xml:space="preserve">elevate themselves </w:t>
      </w:r>
      <w:r w:rsidRPr="002D3CB0">
        <w:rPr>
          <w:lang w:val="en-CA"/>
        </w:rPr>
        <w:t>in cultural contexts tolerant of harmful practices of violence.</w:t>
      </w:r>
    </w:p>
    <w:p w14:paraId="437C5696" w14:textId="77777777" w:rsidR="008F20E3" w:rsidRDefault="008F20E3" w:rsidP="002D3CB0">
      <w:pPr>
        <w:jc w:val="both"/>
        <w:rPr>
          <w:lang w:val="en-CA"/>
        </w:rPr>
      </w:pPr>
    </w:p>
    <w:p w14:paraId="3F453C8C" w14:textId="4F54E5A7" w:rsidR="001526B1" w:rsidRDefault="001526B1" w:rsidP="002D3CB0">
      <w:pPr>
        <w:jc w:val="both"/>
        <w:rPr>
          <w:lang w:val="en-CA"/>
        </w:rPr>
      </w:pPr>
      <w:r w:rsidRPr="001526B1">
        <w:rPr>
          <w:i/>
          <w:iCs/>
          <w:lang w:val="en-CA"/>
        </w:rPr>
        <w:t>State</w:t>
      </w:r>
      <w:r>
        <w:rPr>
          <w:i/>
          <w:iCs/>
          <w:lang w:val="en-CA"/>
        </w:rPr>
        <w:t>-led</w:t>
      </w:r>
      <w:r w:rsidRPr="001526B1">
        <w:rPr>
          <w:i/>
          <w:iCs/>
          <w:lang w:val="en-CA"/>
        </w:rPr>
        <w:t xml:space="preserve"> preventi</w:t>
      </w:r>
      <w:r>
        <w:rPr>
          <w:i/>
          <w:iCs/>
          <w:lang w:val="en-CA"/>
        </w:rPr>
        <w:t>ve</w:t>
      </w:r>
      <w:r w:rsidRPr="001526B1">
        <w:rPr>
          <w:i/>
          <w:iCs/>
          <w:lang w:val="en-CA"/>
        </w:rPr>
        <w:t xml:space="preserve"> actions</w:t>
      </w:r>
      <w:r w:rsidRPr="001526B1">
        <w:rPr>
          <w:lang w:val="en-CA"/>
        </w:rPr>
        <w:t>: Although the State has committed itself in the Multisectoral Plan for the Prevention of Adolescent Pregnancy 2013-2021 to implement Comprehensive Sex</w:t>
      </w:r>
      <w:r w:rsidR="00032036">
        <w:rPr>
          <w:lang w:val="en-CA"/>
        </w:rPr>
        <w:t>ual</w:t>
      </w:r>
      <w:r w:rsidRPr="001526B1">
        <w:rPr>
          <w:lang w:val="en-CA"/>
        </w:rPr>
        <w:t xml:space="preserve"> Education (</w:t>
      </w:r>
      <w:r w:rsidR="00032036">
        <w:rPr>
          <w:lang w:val="en-CA"/>
        </w:rPr>
        <w:t>CSE</w:t>
      </w:r>
      <w:r w:rsidRPr="001526B1">
        <w:rPr>
          <w:lang w:val="en-CA"/>
        </w:rPr>
        <w:t xml:space="preserve">) in schools as a preventive measure for adolescent pregnancy, this implementation is lacking largely due to resistance from conservative sectors of the population. </w:t>
      </w:r>
      <w:r w:rsidR="00032036" w:rsidRPr="001526B1">
        <w:rPr>
          <w:lang w:val="en-CA"/>
        </w:rPr>
        <w:t>Therefore</w:t>
      </w:r>
      <w:r w:rsidRPr="001526B1">
        <w:rPr>
          <w:lang w:val="en-CA"/>
        </w:rPr>
        <w:t xml:space="preserve">, teachers lack the resources, </w:t>
      </w:r>
      <w:r w:rsidR="00643E12" w:rsidRPr="001526B1">
        <w:rPr>
          <w:lang w:val="en-CA"/>
        </w:rPr>
        <w:t>materials,</w:t>
      </w:r>
      <w:r w:rsidRPr="001526B1">
        <w:rPr>
          <w:lang w:val="en-CA"/>
        </w:rPr>
        <w:t xml:space="preserve"> and training to provide </w:t>
      </w:r>
      <w:r w:rsidR="00032036">
        <w:rPr>
          <w:lang w:val="en-CA"/>
        </w:rPr>
        <w:t>CSE</w:t>
      </w:r>
      <w:r w:rsidRPr="001526B1">
        <w:rPr>
          <w:lang w:val="en-CA"/>
        </w:rPr>
        <w:t xml:space="preserve"> (Motta, 2017; Defensoría, November 2017, p 25) and civil society actors must compensate for the role of the State in providing this essential information for children and </w:t>
      </w:r>
      <w:bookmarkStart w:id="2" w:name="_GoBack"/>
      <w:bookmarkEnd w:id="2"/>
      <w:r w:rsidRPr="001526B1">
        <w:rPr>
          <w:lang w:val="en-CA"/>
        </w:rPr>
        <w:t>adolescents.</w:t>
      </w:r>
      <w:r w:rsidR="00643E12">
        <w:rPr>
          <w:rStyle w:val="Refdenotaalpie"/>
          <w:lang w:val="en-CA"/>
        </w:rPr>
        <w:footnoteReference w:id="12"/>
      </w:r>
      <w:r w:rsidRPr="001526B1">
        <w:rPr>
          <w:lang w:val="en-CA"/>
        </w:rPr>
        <w:t xml:space="preserve"> Inadequate access to CSE and contraceptive methods disproportionately affects indigenous girls and adolescents, which helps explain the high rates of forced pregnancy in girls and adolescent pregnancies in this group. </w:t>
      </w:r>
      <w:r w:rsidR="00BB7263">
        <w:rPr>
          <w:lang w:val="en-CA"/>
        </w:rPr>
        <w:t>Additionally,</w:t>
      </w:r>
      <w:r w:rsidRPr="001526B1">
        <w:rPr>
          <w:lang w:val="en-CA"/>
        </w:rPr>
        <w:t xml:space="preserve"> low budget allocation to the prevention of pregnancy in girls and adolescents does not correspond to the seriousness of the problem (See Annex </w:t>
      </w:r>
      <w:r w:rsidR="00EF1CA4">
        <w:rPr>
          <w:lang w:val="en-CA"/>
        </w:rPr>
        <w:t>8</w:t>
      </w:r>
      <w:r w:rsidRPr="001526B1">
        <w:rPr>
          <w:lang w:val="en-CA"/>
        </w:rPr>
        <w:t xml:space="preserve">). We hope that the recent adoption in June 2021 of </w:t>
      </w:r>
      <w:r w:rsidR="00643E12">
        <w:rPr>
          <w:lang w:val="en-CA"/>
        </w:rPr>
        <w:t>CSE</w:t>
      </w:r>
      <w:r w:rsidRPr="001526B1">
        <w:rPr>
          <w:lang w:val="en-CA"/>
        </w:rPr>
        <w:t xml:space="preserve"> guidelines will bring about positive change in this area.</w:t>
      </w:r>
      <w:r w:rsidR="00643E12">
        <w:rPr>
          <w:rStyle w:val="Refdenotaalpie"/>
          <w:lang w:val="en-CA"/>
        </w:rPr>
        <w:footnoteReference w:id="13"/>
      </w:r>
    </w:p>
    <w:p w14:paraId="7B34BC44" w14:textId="77777777" w:rsidR="00B77C0C" w:rsidRDefault="00B77C0C" w:rsidP="002D3CB0">
      <w:pPr>
        <w:jc w:val="both"/>
        <w:rPr>
          <w:lang w:val="en-CA"/>
        </w:rPr>
      </w:pPr>
    </w:p>
    <w:p w14:paraId="4FECCD52" w14:textId="6E8D0F07" w:rsidR="00032036" w:rsidRDefault="00643E12" w:rsidP="002D3CB0">
      <w:pPr>
        <w:jc w:val="both"/>
        <w:rPr>
          <w:lang w:val="en-CA"/>
        </w:rPr>
      </w:pPr>
      <w:r w:rsidRPr="00643E12">
        <w:rPr>
          <w:i/>
          <w:iCs/>
          <w:lang w:val="en-CA"/>
        </w:rPr>
        <w:t>Health care for pregnant girls and adolescents</w:t>
      </w:r>
      <w:r w:rsidRPr="00643E12">
        <w:rPr>
          <w:lang w:val="en-CA"/>
        </w:rPr>
        <w:t xml:space="preserve">: Motta and Salazar's study highlights some preconceived ideas within the health system about sexual violence and </w:t>
      </w:r>
      <w:r>
        <w:rPr>
          <w:lang w:val="en-CA"/>
        </w:rPr>
        <w:t>child</w:t>
      </w:r>
      <w:r w:rsidRPr="00643E12">
        <w:rPr>
          <w:lang w:val="en-CA"/>
        </w:rPr>
        <w:t xml:space="preserve"> pregnancy in the Amazon. For example, psychologists interviewed tended to blame the family (presence of taboo or abuse) or 'culture' (alleged sexual freedom) </w:t>
      </w:r>
      <w:r w:rsidR="00D93748">
        <w:rPr>
          <w:lang w:val="en-CA"/>
        </w:rPr>
        <w:t xml:space="preserve">while undermining the role of the State in preventing sexual violence and forced pregnancies </w:t>
      </w:r>
      <w:r w:rsidRPr="00643E12">
        <w:rPr>
          <w:lang w:val="en-CA"/>
        </w:rPr>
        <w:t xml:space="preserve">(Motta and Salazar, 2020, p 20). </w:t>
      </w:r>
      <w:r w:rsidR="00D93748">
        <w:rPr>
          <w:lang w:val="en-CA"/>
        </w:rPr>
        <w:t>One of them</w:t>
      </w:r>
      <w:r w:rsidRPr="00643E12">
        <w:rPr>
          <w:lang w:val="en-CA"/>
        </w:rPr>
        <w:t xml:space="preserve"> suggested that the case of a pregnant adolescent could not be classified as rape since </w:t>
      </w:r>
      <w:r>
        <w:rPr>
          <w:lang w:val="en-CA"/>
        </w:rPr>
        <w:t>she knew the aggressors</w:t>
      </w:r>
      <w:r w:rsidRPr="00643E12">
        <w:rPr>
          <w:lang w:val="en-CA"/>
        </w:rPr>
        <w:t xml:space="preserve">. In Amazonian areas, people interviewed have suggested that the fact that girls and adolescents were sexually active eliminated the possibility of abuse (Flora Tristán, 2021-II, p 24). The interviews with health personnel also highlighted the little knowledge of the procedure for the delivery of emergency kits and for the application of therapeutic abortion, which should always be available to </w:t>
      </w:r>
      <w:r w:rsidR="00D93748">
        <w:rPr>
          <w:lang w:val="en-CA"/>
        </w:rPr>
        <w:t xml:space="preserve">girls and </w:t>
      </w:r>
      <w:r w:rsidRPr="00643E12">
        <w:rPr>
          <w:lang w:val="en-CA"/>
        </w:rPr>
        <w:t xml:space="preserve">adolescents given the risks to their health (Motta and Salazar, 2020). Even more problematic is the fact that </w:t>
      </w:r>
      <w:r>
        <w:rPr>
          <w:lang w:val="en-CA"/>
        </w:rPr>
        <w:t>underaged</w:t>
      </w:r>
      <w:r w:rsidRPr="00643E12">
        <w:rPr>
          <w:lang w:val="en-CA"/>
        </w:rPr>
        <w:t xml:space="preserve"> victim</w:t>
      </w:r>
      <w:r>
        <w:rPr>
          <w:lang w:val="en-CA"/>
        </w:rPr>
        <w:t>s</w:t>
      </w:r>
      <w:r w:rsidRPr="00643E12">
        <w:rPr>
          <w:lang w:val="en-CA"/>
        </w:rPr>
        <w:t xml:space="preserve"> of violence </w:t>
      </w:r>
      <w:r>
        <w:rPr>
          <w:lang w:val="en-CA"/>
        </w:rPr>
        <w:t>are</w:t>
      </w:r>
      <w:r w:rsidRPr="00643E12">
        <w:rPr>
          <w:lang w:val="en-CA"/>
        </w:rPr>
        <w:t xml:space="preserve"> little consulted in decision-making. Unfortunately, health care worsened with the pandemic, both because health centers closed and due to the decrease in financial resources available for the prevention and care of pregnancies in girls and adolescents.</w:t>
      </w:r>
      <w:r>
        <w:rPr>
          <w:rStyle w:val="Refdenotaalpie"/>
          <w:lang w:val="en-CA"/>
        </w:rPr>
        <w:footnoteReference w:id="14"/>
      </w:r>
    </w:p>
    <w:p w14:paraId="6A3D5BB5" w14:textId="4EF42A63" w:rsidR="00643E12" w:rsidRDefault="00643E12" w:rsidP="002D3CB0">
      <w:pPr>
        <w:jc w:val="both"/>
        <w:rPr>
          <w:lang w:val="en-CA"/>
        </w:rPr>
      </w:pPr>
    </w:p>
    <w:p w14:paraId="080AE692" w14:textId="0A17F35D" w:rsidR="00643E12" w:rsidRDefault="00643E12" w:rsidP="002D3CB0">
      <w:pPr>
        <w:jc w:val="both"/>
        <w:rPr>
          <w:lang w:val="en-CA"/>
        </w:rPr>
      </w:pPr>
      <w:r w:rsidRPr="00643E12">
        <w:rPr>
          <w:i/>
          <w:iCs/>
          <w:lang w:val="en-CA"/>
        </w:rPr>
        <w:lastRenderedPageBreak/>
        <w:t>Abortion in cases of rape</w:t>
      </w:r>
      <w:r w:rsidRPr="00643E12">
        <w:rPr>
          <w:lang w:val="en-CA"/>
        </w:rPr>
        <w:t>: Peru continues to penalize abortion in cases of rape, including in cases of incest,</w:t>
      </w:r>
      <w:r w:rsidR="007503E8">
        <w:rPr>
          <w:lang w:val="en-CA"/>
        </w:rPr>
        <w:t xml:space="preserve"> </w:t>
      </w:r>
      <w:r w:rsidRPr="00643E12">
        <w:rPr>
          <w:lang w:val="en-CA"/>
        </w:rPr>
        <w:t>despite multiple international calls to decriminalize abortion in th</w:t>
      </w:r>
      <w:r w:rsidR="007503E8">
        <w:rPr>
          <w:lang w:val="en-CA"/>
        </w:rPr>
        <w:t>e</w:t>
      </w:r>
      <w:r w:rsidRPr="00643E12">
        <w:rPr>
          <w:lang w:val="en-CA"/>
        </w:rPr>
        <w:t xml:space="preserve">se circumstances (see Annex </w:t>
      </w:r>
      <w:r w:rsidR="00EF1CA4">
        <w:rPr>
          <w:lang w:val="en-CA"/>
        </w:rPr>
        <w:t>10</w:t>
      </w:r>
      <w:r w:rsidRPr="00643E12">
        <w:rPr>
          <w:lang w:val="en-CA"/>
        </w:rPr>
        <w:t xml:space="preserve">). The persistence of this prohibition prolongs the physical and mental suffering </w:t>
      </w:r>
      <w:r w:rsidR="007503E8">
        <w:rPr>
          <w:lang w:val="en-CA"/>
        </w:rPr>
        <w:t xml:space="preserve">of girls and teenagers </w:t>
      </w:r>
      <w:r w:rsidRPr="00643E12">
        <w:rPr>
          <w:lang w:val="en-CA"/>
        </w:rPr>
        <w:t xml:space="preserve">and puts victims of rape at risk since they may decide to resort to a clandestine abortion, </w:t>
      </w:r>
      <w:r>
        <w:rPr>
          <w:lang w:val="en-CA"/>
        </w:rPr>
        <w:t>all of which</w:t>
      </w:r>
      <w:r w:rsidRPr="00643E12">
        <w:rPr>
          <w:lang w:val="en-CA"/>
        </w:rPr>
        <w:t xml:space="preserve"> amounts to a form of torture, as international institutions have indicated (Meléndez, 2016, p 251). Several legislative initiatives have been presented to decriminalize abortion in cases of rape, but they have not been successful due to the resistance of political groups and part of the conservative citizenry.</w:t>
      </w:r>
    </w:p>
    <w:p w14:paraId="00FA19A2" w14:textId="15B6170C" w:rsidR="00643E12" w:rsidRDefault="00643E12" w:rsidP="002D3CB0">
      <w:pPr>
        <w:jc w:val="both"/>
        <w:rPr>
          <w:lang w:val="en-CA"/>
        </w:rPr>
      </w:pPr>
    </w:p>
    <w:p w14:paraId="059EEDDF" w14:textId="3CAFC88C" w:rsidR="00643E12" w:rsidRDefault="00643E12" w:rsidP="002D3CB0">
      <w:pPr>
        <w:jc w:val="both"/>
        <w:rPr>
          <w:lang w:val="en-CA"/>
        </w:rPr>
      </w:pPr>
      <w:r w:rsidRPr="00643E12">
        <w:rPr>
          <w:i/>
          <w:iCs/>
          <w:lang w:val="en-CA"/>
        </w:rPr>
        <w:t>Therapeutic abortion</w:t>
      </w:r>
      <w:r w:rsidRPr="00643E12">
        <w:rPr>
          <w:lang w:val="en-CA"/>
        </w:rPr>
        <w:t>: Although therapeutic abortion (to save the life of the pregnant woman or to avoid a serious and permanent damage to her health) is allowed, girls and adolescents find permanent obstacles to guaranteeing this right. Victims of rape and young</w:t>
      </w:r>
      <w:r w:rsidR="00E874D9">
        <w:rPr>
          <w:lang w:val="en-CA"/>
        </w:rPr>
        <w:t>er</w:t>
      </w:r>
      <w:r w:rsidRPr="00643E12">
        <w:rPr>
          <w:lang w:val="en-CA"/>
        </w:rPr>
        <w:t xml:space="preserve"> girls could qualify to obtain a therapeutic abortion in the country since it can seriously and permanently </w:t>
      </w:r>
      <w:r w:rsidR="00E874D9">
        <w:rPr>
          <w:lang w:val="en-CA"/>
        </w:rPr>
        <w:t>damage</w:t>
      </w:r>
      <w:r w:rsidRPr="00643E12">
        <w:rPr>
          <w:lang w:val="en-CA"/>
        </w:rPr>
        <w:t xml:space="preserve"> their physical and mental health (Plan International, 2020, p 26). However, they lack information about this possibility and face obstacles within the health system to obtain this service, in part due to the stigma associated with abortion. The study by Motta and Salazar gives as an </w:t>
      </w:r>
      <w:r w:rsidR="00E874D9" w:rsidRPr="00643E12">
        <w:rPr>
          <w:lang w:val="en-CA"/>
        </w:rPr>
        <w:t>example health intervention</w:t>
      </w:r>
      <w:r w:rsidRPr="00643E12">
        <w:rPr>
          <w:lang w:val="en-CA"/>
        </w:rPr>
        <w:t xml:space="preserve"> in </w:t>
      </w:r>
      <w:proofErr w:type="spellStart"/>
      <w:r w:rsidRPr="00643E12">
        <w:rPr>
          <w:lang w:val="en-CA"/>
        </w:rPr>
        <w:t>Callería</w:t>
      </w:r>
      <w:proofErr w:type="spellEnd"/>
      <w:r w:rsidRPr="00643E12">
        <w:rPr>
          <w:lang w:val="en-CA"/>
        </w:rPr>
        <w:t xml:space="preserve"> where the option is not offered to the victim, but</w:t>
      </w:r>
      <w:r w:rsidR="00E874D9">
        <w:rPr>
          <w:lang w:val="en-CA"/>
        </w:rPr>
        <w:t xml:space="preserve"> </w:t>
      </w:r>
      <w:r w:rsidRPr="00643E12">
        <w:rPr>
          <w:lang w:val="en-CA"/>
        </w:rPr>
        <w:t>rather</w:t>
      </w:r>
      <w:r w:rsidR="00E874D9">
        <w:rPr>
          <w:lang w:val="en-CA"/>
        </w:rPr>
        <w:t xml:space="preserve"> health staff</w:t>
      </w:r>
      <w:r w:rsidRPr="00643E12">
        <w:rPr>
          <w:lang w:val="en-CA"/>
        </w:rPr>
        <w:t xml:space="preserve"> try to convince the girl to continue with the pregnancy (2020, p 23). In other circumstances, the creation of the medical board to decide on the opportunity of a therapeutic abortion may be delayed and then it becomes too late to proceed (Motta and Salazar, 2020, p 57). In fact, for the period 2019-2021</w:t>
      </w:r>
      <w:r w:rsidR="00E874D9">
        <w:rPr>
          <w:rStyle w:val="Refdenotaalpie"/>
          <w:lang w:val="en-CA"/>
        </w:rPr>
        <w:footnoteReference w:id="15"/>
      </w:r>
      <w:r w:rsidRPr="00643E12">
        <w:rPr>
          <w:lang w:val="en-CA"/>
        </w:rPr>
        <w:t xml:space="preserve"> the Ministry of Health (MINSA) registers only 216 therapeutic abortions of girls and adolescents between 0-17 years old. This occurs despite international calls to remove practical obstacles to therapeutic abortion (See Annex </w:t>
      </w:r>
      <w:r w:rsidR="00EF1CA4">
        <w:rPr>
          <w:lang w:val="en-CA"/>
        </w:rPr>
        <w:t>10</w:t>
      </w:r>
      <w:r w:rsidRPr="00643E12">
        <w:rPr>
          <w:lang w:val="en-CA"/>
        </w:rPr>
        <w:t xml:space="preserve">). In this context, although adolescents could in principle obtain an abortion, they </w:t>
      </w:r>
      <w:r w:rsidR="00E874D9">
        <w:rPr>
          <w:lang w:val="en-CA"/>
        </w:rPr>
        <w:t>sometimes have no choice but</w:t>
      </w:r>
      <w:r w:rsidRPr="00643E12">
        <w:rPr>
          <w:lang w:val="en-CA"/>
        </w:rPr>
        <w:t xml:space="preserve"> to continue with the pregnancy, which is equivalent to a forced pregnancy and contravenes the international obligations of the Peruvian state.</w:t>
      </w:r>
    </w:p>
    <w:p w14:paraId="3E5F7251" w14:textId="77777777" w:rsidR="00643E12" w:rsidRPr="00643E12" w:rsidRDefault="00643E12" w:rsidP="002D3CB0">
      <w:pPr>
        <w:jc w:val="both"/>
        <w:rPr>
          <w:lang w:val="en-CA"/>
        </w:rPr>
      </w:pPr>
    </w:p>
    <w:p w14:paraId="0A491836" w14:textId="34BA84DE" w:rsidR="00E874D9" w:rsidRDefault="001526B1" w:rsidP="002D3CB0">
      <w:pPr>
        <w:jc w:val="both"/>
        <w:rPr>
          <w:lang w:val="en-CA"/>
        </w:rPr>
      </w:pPr>
      <w:r>
        <w:rPr>
          <w:lang w:val="en-CA"/>
        </w:rPr>
        <w:t xml:space="preserve">It is worth noting in conclusion that the Peruvian State adopted in June of 2021 </w:t>
      </w:r>
      <w:r w:rsidR="00032036">
        <w:rPr>
          <w:lang w:val="en-CA"/>
        </w:rPr>
        <w:t xml:space="preserve">the </w:t>
      </w:r>
      <w:r w:rsidRPr="001526B1">
        <w:rPr>
          <w:lang w:val="en-CA"/>
        </w:rPr>
        <w:t>National Multisectoral Policy for Girls, Boys and Adolescents to 2030 (Supreme Decree No. 008-2021-MIMP)</w:t>
      </w:r>
      <w:r w:rsidR="00032036">
        <w:rPr>
          <w:lang w:val="en-CA"/>
        </w:rPr>
        <w:t>. While the document does mention the problem of pregnancies as a matter of bettering health conditions of children, it seems to undervalue the extent of the problem. Reduction of pregnancy rates in children is not part of its main scopes, comprehensive sexual education is given minimal attention and no mention is made of providing effective access to abortion. As such, it does not respond satisfactorily to the concerns raised in this contextual information.</w:t>
      </w:r>
    </w:p>
    <w:bookmarkEnd w:id="0"/>
    <w:p w14:paraId="7288090B" w14:textId="67CFE760" w:rsidR="00861816" w:rsidRDefault="00861816" w:rsidP="002D3CB0">
      <w:pPr>
        <w:jc w:val="both"/>
        <w:rPr>
          <w:lang w:val="en-CA"/>
        </w:rPr>
      </w:pPr>
    </w:p>
    <w:p w14:paraId="11D207A3" w14:textId="4A02A13E" w:rsidR="00D07F90" w:rsidRDefault="00D07F90">
      <w:pPr>
        <w:rPr>
          <w:b/>
          <w:bCs/>
          <w:smallCaps/>
          <w:lang w:val="en-CA"/>
        </w:rPr>
      </w:pPr>
    </w:p>
    <w:sectPr w:rsidR="00D07F90" w:rsidSect="00AA07BE">
      <w:footerReference w:type="default" r:id="rId8"/>
      <w:pgSz w:w="12240" w:h="15840"/>
      <w:pgMar w:top="1440" w:right="1800" w:bottom="1440" w:left="180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9EE389" w14:textId="77777777" w:rsidR="004F6AD1" w:rsidRDefault="004F6AD1" w:rsidP="003F051D">
      <w:pPr>
        <w:spacing w:line="240" w:lineRule="auto"/>
      </w:pPr>
      <w:r>
        <w:separator/>
      </w:r>
    </w:p>
  </w:endnote>
  <w:endnote w:type="continuationSeparator" w:id="0">
    <w:p w14:paraId="408C522D" w14:textId="77777777" w:rsidR="004F6AD1" w:rsidRDefault="004F6AD1" w:rsidP="003F051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0034688"/>
      <w:docPartObj>
        <w:docPartGallery w:val="Page Numbers (Bottom of Page)"/>
        <w:docPartUnique/>
      </w:docPartObj>
    </w:sdtPr>
    <w:sdtEndPr/>
    <w:sdtContent>
      <w:p w14:paraId="4762DD5E" w14:textId="1670FBDE" w:rsidR="00AA07BE" w:rsidRDefault="00AA07BE">
        <w:pPr>
          <w:pStyle w:val="Piedepgina"/>
          <w:jc w:val="center"/>
        </w:pPr>
        <w:r>
          <w:fldChar w:fldCharType="begin"/>
        </w:r>
        <w:r>
          <w:instrText>PAGE   \* MERGEFORMAT</w:instrText>
        </w:r>
        <w:r>
          <w:fldChar w:fldCharType="separate"/>
        </w:r>
        <w:r w:rsidR="004C5752" w:rsidRPr="004C5752">
          <w:rPr>
            <w:noProof/>
            <w:lang w:val="fr-FR"/>
          </w:rPr>
          <w:t>8</w:t>
        </w:r>
        <w:r>
          <w:fldChar w:fldCharType="end"/>
        </w:r>
      </w:p>
    </w:sdtContent>
  </w:sdt>
  <w:p w14:paraId="1A732361" w14:textId="77777777" w:rsidR="00AA07BE" w:rsidRDefault="00AA07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20E3A4" w14:textId="77777777" w:rsidR="004F6AD1" w:rsidRDefault="004F6AD1" w:rsidP="003F051D">
      <w:pPr>
        <w:spacing w:line="240" w:lineRule="auto"/>
      </w:pPr>
      <w:r>
        <w:separator/>
      </w:r>
    </w:p>
  </w:footnote>
  <w:footnote w:type="continuationSeparator" w:id="0">
    <w:p w14:paraId="3B6A1B4A" w14:textId="77777777" w:rsidR="004F6AD1" w:rsidRDefault="004F6AD1" w:rsidP="003F051D">
      <w:pPr>
        <w:spacing w:line="240" w:lineRule="auto"/>
      </w:pPr>
      <w:r>
        <w:continuationSeparator/>
      </w:r>
    </w:p>
  </w:footnote>
  <w:footnote w:id="1">
    <w:p w14:paraId="5934BB77" w14:textId="30A4F052" w:rsidR="003F051D" w:rsidRPr="003F051D" w:rsidRDefault="003F051D" w:rsidP="00E874D9">
      <w:pPr>
        <w:pStyle w:val="Textonotapie"/>
        <w:jc w:val="both"/>
        <w:rPr>
          <w:lang w:val="en-CA"/>
        </w:rPr>
      </w:pPr>
      <w:r>
        <w:rPr>
          <w:rStyle w:val="Refdenotaalpie"/>
        </w:rPr>
        <w:footnoteRef/>
      </w:r>
      <w:r w:rsidRPr="003F051D">
        <w:rPr>
          <w:lang w:val="en-CA"/>
        </w:rPr>
        <w:t xml:space="preserve"> </w:t>
      </w:r>
      <w:r>
        <w:rPr>
          <w:lang w:val="en-CA"/>
        </w:rPr>
        <w:t>Word count excluding footnotes</w:t>
      </w:r>
      <w:r w:rsidR="004668BC">
        <w:rPr>
          <w:lang w:val="en-CA"/>
        </w:rPr>
        <w:t xml:space="preserve">: </w:t>
      </w:r>
      <w:r w:rsidR="00D07F90">
        <w:rPr>
          <w:lang w:val="en-CA"/>
        </w:rPr>
        <w:t>3000</w:t>
      </w:r>
      <w:r w:rsidR="004668BC">
        <w:rPr>
          <w:lang w:val="en-CA"/>
        </w:rPr>
        <w:t>.</w:t>
      </w:r>
    </w:p>
  </w:footnote>
  <w:footnote w:id="2">
    <w:p w14:paraId="4DCD1390" w14:textId="2D9373CF" w:rsidR="003F051D" w:rsidRPr="003F051D" w:rsidRDefault="003F051D" w:rsidP="00E874D9">
      <w:pPr>
        <w:pStyle w:val="Textonotapie"/>
        <w:jc w:val="both"/>
        <w:rPr>
          <w:lang w:val="en-CA"/>
        </w:rPr>
      </w:pPr>
      <w:r>
        <w:rPr>
          <w:rStyle w:val="Refdenotaalpie"/>
        </w:rPr>
        <w:footnoteRef/>
      </w:r>
      <w:r w:rsidRPr="003F051D">
        <w:rPr>
          <w:lang w:val="en-CA"/>
        </w:rPr>
        <w:t xml:space="preserve"> Although adolescent girls are included in the category "</w:t>
      </w:r>
      <w:r>
        <w:rPr>
          <w:lang w:val="en-CA"/>
        </w:rPr>
        <w:t>child</w:t>
      </w:r>
      <w:r w:rsidRPr="003F051D">
        <w:rPr>
          <w:lang w:val="en-CA"/>
        </w:rPr>
        <w:t>" in the sense of the Convention, here we make the distinction to consider the different circumstances that may exist for the two age subgroups, in particular the fact that, in Peru, the age of sexual consent is set at 14 years.</w:t>
      </w:r>
    </w:p>
  </w:footnote>
  <w:footnote w:id="3">
    <w:p w14:paraId="0D8226EA" w14:textId="4F45B91F" w:rsidR="003F051D" w:rsidRPr="003F051D" w:rsidRDefault="003F051D" w:rsidP="00E874D9">
      <w:pPr>
        <w:pStyle w:val="Textonotapie"/>
        <w:jc w:val="both"/>
        <w:rPr>
          <w:lang w:val="en-CA"/>
        </w:rPr>
      </w:pPr>
      <w:r>
        <w:rPr>
          <w:rStyle w:val="Refdenotaalpie"/>
        </w:rPr>
        <w:footnoteRef/>
      </w:r>
      <w:r w:rsidRPr="003F051D">
        <w:rPr>
          <w:lang w:val="en-CA"/>
        </w:rPr>
        <w:t xml:space="preserve"> We use the expression “</w:t>
      </w:r>
      <w:r w:rsidRPr="003F051D">
        <w:rPr>
          <w:b/>
          <w:bCs/>
          <w:lang w:val="en-CA"/>
        </w:rPr>
        <w:t>forced pregnancy</w:t>
      </w:r>
      <w:r w:rsidRPr="003F051D">
        <w:rPr>
          <w:lang w:val="en-CA"/>
        </w:rPr>
        <w:t>” to describe, first, forced pregnancy in girls</w:t>
      </w:r>
      <w:r>
        <w:rPr>
          <w:lang w:val="en-CA"/>
        </w:rPr>
        <w:t xml:space="preserve"> </w:t>
      </w:r>
      <w:r w:rsidRPr="003F051D">
        <w:rPr>
          <w:lang w:val="en-CA"/>
        </w:rPr>
        <w:t>under 14 years of age for whom it automatically results from rape. We also consider that adolescent pregnancies can be forced due to the legal and political context in Peru that prevents the full exercise of their sexual and reproductive freedom, either due to defects in comprehensive sexual education</w:t>
      </w:r>
      <w:r>
        <w:rPr>
          <w:lang w:val="en-CA"/>
        </w:rPr>
        <w:t xml:space="preserve"> and</w:t>
      </w:r>
      <w:r w:rsidRPr="003F051D">
        <w:rPr>
          <w:lang w:val="en-CA"/>
        </w:rPr>
        <w:t xml:space="preserve"> prevention of sexual violence against children or </w:t>
      </w:r>
      <w:r>
        <w:rPr>
          <w:lang w:val="en-CA"/>
        </w:rPr>
        <w:t>to</w:t>
      </w:r>
      <w:r w:rsidRPr="003F051D">
        <w:rPr>
          <w:lang w:val="en-CA"/>
        </w:rPr>
        <w:t xml:space="preserve"> legal and practical obstacles to abortion, particularly in cases of rape, resulting in a high number of unwanted pregnancies in girls and adolescents, an act of violence whose consequences can be felt throughout their lives. See Meléndez López (2016) on forced pregnancy in Peru.</w:t>
      </w:r>
    </w:p>
  </w:footnote>
  <w:footnote w:id="4">
    <w:p w14:paraId="15BB099C" w14:textId="1E9F7EA9" w:rsidR="00C9040C" w:rsidRPr="00C9040C" w:rsidRDefault="00C9040C" w:rsidP="00E874D9">
      <w:pPr>
        <w:pStyle w:val="Textonotapie"/>
        <w:jc w:val="both"/>
        <w:rPr>
          <w:lang w:val="en-CA"/>
        </w:rPr>
      </w:pPr>
      <w:r>
        <w:rPr>
          <w:rStyle w:val="Refdenotaalpie"/>
        </w:rPr>
        <w:footnoteRef/>
      </w:r>
      <w:r w:rsidRPr="00C9040C">
        <w:rPr>
          <w:lang w:val="en-CA"/>
        </w:rPr>
        <w:t xml:space="preserve"> MIMP, St</w:t>
      </w:r>
      <w:r>
        <w:rPr>
          <w:lang w:val="en-CA"/>
        </w:rPr>
        <w:t>atistical Portal, online:</w:t>
      </w:r>
      <w:r w:rsidRPr="00C9040C">
        <w:rPr>
          <w:lang w:val="en-CA"/>
        </w:rPr>
        <w:t xml:space="preserve"> </w:t>
      </w:r>
      <w:hyperlink r:id="rId1" w:history="1">
        <w:r w:rsidRPr="00C9040C">
          <w:rPr>
            <w:rStyle w:val="Hipervnculo"/>
            <w:lang w:val="en-CA"/>
          </w:rPr>
          <w:t>https://portalestadistico.pe/formas-de-la-violencia-2020/</w:t>
        </w:r>
      </w:hyperlink>
      <w:r w:rsidRPr="00C9040C">
        <w:rPr>
          <w:lang w:val="en-CA"/>
        </w:rPr>
        <w:t>.</w:t>
      </w:r>
    </w:p>
  </w:footnote>
  <w:footnote w:id="5">
    <w:p w14:paraId="42463EEF" w14:textId="14A88557" w:rsidR="00AA07BE" w:rsidRPr="00AA07BE" w:rsidRDefault="00AA07BE" w:rsidP="00E874D9">
      <w:pPr>
        <w:pStyle w:val="Textonotapie"/>
        <w:tabs>
          <w:tab w:val="left" w:pos="705"/>
        </w:tabs>
        <w:jc w:val="both"/>
        <w:rPr>
          <w:lang w:val="en-CA"/>
        </w:rPr>
      </w:pPr>
      <w:r>
        <w:rPr>
          <w:rStyle w:val="Refdenotaalpie"/>
        </w:rPr>
        <w:footnoteRef/>
      </w:r>
      <w:r w:rsidRPr="00AA07BE">
        <w:rPr>
          <w:lang w:val="en-CA"/>
        </w:rPr>
        <w:t xml:space="preserve"> Our registry collect</w:t>
      </w:r>
      <w:r>
        <w:rPr>
          <w:lang w:val="en-CA"/>
        </w:rPr>
        <w:t>ed</w:t>
      </w:r>
      <w:r w:rsidRPr="00AA07BE">
        <w:rPr>
          <w:lang w:val="en-CA"/>
        </w:rPr>
        <w:t xml:space="preserve"> data on 223 cases of sexual violence against girls between 2019 and 2021, of which 167 are cases of rape.</w:t>
      </w:r>
    </w:p>
  </w:footnote>
  <w:footnote w:id="6">
    <w:p w14:paraId="6E6ED21F" w14:textId="06E61671" w:rsidR="00F07689" w:rsidRPr="007F6A6E" w:rsidRDefault="00F07689" w:rsidP="00E874D9">
      <w:pPr>
        <w:pStyle w:val="Textonotapie"/>
        <w:jc w:val="both"/>
        <w:rPr>
          <w:lang w:val="en-CA"/>
        </w:rPr>
      </w:pPr>
      <w:r>
        <w:rPr>
          <w:rStyle w:val="Refdenotaalpie"/>
        </w:rPr>
        <w:footnoteRef/>
      </w:r>
      <w:r w:rsidRPr="007F6A6E">
        <w:rPr>
          <w:lang w:val="en-CA"/>
        </w:rPr>
        <w:t xml:space="preserve"> </w:t>
      </w:r>
      <w:r w:rsidR="007F6A6E" w:rsidRPr="007F6A6E">
        <w:rPr>
          <w:lang w:val="en-CA"/>
        </w:rPr>
        <w:t xml:space="preserve">See Code of Children and Adolescents, Law No. 30364 to prevent, punish and eradicate violence against women and members of the family group (2015), National Plan Against Gender Violence 2016-2021 (Supreme Decree No. 008-2016- MIMP), </w:t>
      </w:r>
      <w:bookmarkStart w:id="1" w:name="_Hlk75786413"/>
      <w:r w:rsidR="007F6A6E" w:rsidRPr="007F6A6E">
        <w:rPr>
          <w:lang w:val="en-CA"/>
        </w:rPr>
        <w:t>National Multisectoral Policy for Girls, Boys and Adolescents to 2030 (Supreme Decree No. 008-2021-MIMP)</w:t>
      </w:r>
      <w:bookmarkEnd w:id="1"/>
      <w:r w:rsidR="007F6A6E" w:rsidRPr="007F6A6E">
        <w:rPr>
          <w:lang w:val="en-CA"/>
        </w:rPr>
        <w:t>.</w:t>
      </w:r>
    </w:p>
  </w:footnote>
  <w:footnote w:id="7">
    <w:p w14:paraId="5AE1A683" w14:textId="443C49CF" w:rsidR="007571BC" w:rsidRPr="007571BC" w:rsidRDefault="007571BC">
      <w:pPr>
        <w:pStyle w:val="Textonotapie"/>
        <w:rPr>
          <w:lang w:val="en-CA"/>
        </w:rPr>
      </w:pPr>
      <w:r>
        <w:rPr>
          <w:rStyle w:val="Refdenotaalpie"/>
        </w:rPr>
        <w:footnoteRef/>
      </w:r>
      <w:r w:rsidRPr="007571BC">
        <w:rPr>
          <w:lang w:val="en-CA"/>
        </w:rPr>
        <w:t xml:space="preserve"> Request for access to information, Judicial Power of Peru, May 2021.</w:t>
      </w:r>
    </w:p>
  </w:footnote>
  <w:footnote w:id="8">
    <w:p w14:paraId="4AB57EC2" w14:textId="0F19519E" w:rsidR="00DF0FA2" w:rsidRPr="00DF0FA2" w:rsidRDefault="00DF0FA2" w:rsidP="00E874D9">
      <w:pPr>
        <w:pStyle w:val="Textonotapie"/>
        <w:jc w:val="both"/>
        <w:rPr>
          <w:lang w:val="en-CA"/>
        </w:rPr>
      </w:pPr>
      <w:r>
        <w:rPr>
          <w:rStyle w:val="Refdenotaalpie"/>
        </w:rPr>
        <w:footnoteRef/>
      </w:r>
      <w:r w:rsidRPr="00DF0FA2">
        <w:rPr>
          <w:lang w:val="en-CA"/>
        </w:rPr>
        <w:t xml:space="preserve"> Judgment of the Constitutional Court, Exp. No 02005-2009-PA/TC. This decision was suspended in 2014 while another constitutional judicial process on the subject is underway, which to date has not been completed.</w:t>
      </w:r>
      <w:r>
        <w:rPr>
          <w:lang w:val="en-CA"/>
        </w:rPr>
        <w:t xml:space="preserve"> See on this: </w:t>
      </w:r>
      <w:hyperlink r:id="rId2" w:history="1">
        <w:r w:rsidRPr="00BD227A">
          <w:rPr>
            <w:rStyle w:val="Hipervnculo"/>
            <w:bCs/>
            <w:lang w:val="en-CA"/>
          </w:rPr>
          <w:t>https://ojo-publico.com/2515/el-acceso-gratuito-la-pildora-de-emergencia-esta-en-manos-del-tc</w:t>
        </w:r>
      </w:hyperlink>
      <w:r>
        <w:rPr>
          <w:bCs/>
          <w:lang w:val="en-CA"/>
        </w:rPr>
        <w:t>.</w:t>
      </w:r>
    </w:p>
  </w:footnote>
  <w:footnote w:id="9">
    <w:p w14:paraId="6AC17635" w14:textId="5A4FD21B" w:rsidR="00DF0FA2" w:rsidRPr="00DF0FA2" w:rsidRDefault="00DF0FA2" w:rsidP="00E874D9">
      <w:pPr>
        <w:pStyle w:val="Textonotapie"/>
        <w:jc w:val="both"/>
        <w:rPr>
          <w:lang w:val="en-CA"/>
        </w:rPr>
      </w:pPr>
      <w:r>
        <w:rPr>
          <w:rStyle w:val="Refdenotaalpie"/>
        </w:rPr>
        <w:footnoteRef/>
      </w:r>
      <w:r w:rsidRPr="00DF0FA2">
        <w:rPr>
          <w:lang w:val="en-CA"/>
        </w:rPr>
        <w:t xml:space="preserve"> See on this : </w:t>
      </w:r>
      <w:hyperlink r:id="rId3" w:history="1">
        <w:r w:rsidRPr="00BD227A">
          <w:rPr>
            <w:rStyle w:val="Hipervnculo"/>
            <w:lang w:val="en-CA"/>
          </w:rPr>
          <w:t>https://promsex.org/pleno-del-tribunal-constitucional-debe-decidir-sentencia-definitiva-sobre-la-anticoncepcion-oral-de-emergencia-aoe/</w:t>
        </w:r>
      </w:hyperlink>
      <w:r>
        <w:rPr>
          <w:lang w:val="en-CA"/>
        </w:rPr>
        <w:t>.</w:t>
      </w:r>
    </w:p>
  </w:footnote>
  <w:footnote w:id="10">
    <w:p w14:paraId="3AFAA51B" w14:textId="46226505" w:rsidR="00DF0FA2" w:rsidRPr="00DF0FA2" w:rsidRDefault="00DF0FA2" w:rsidP="00E874D9">
      <w:pPr>
        <w:pStyle w:val="Textonotapie"/>
        <w:jc w:val="both"/>
        <w:rPr>
          <w:lang w:val="es-PE"/>
        </w:rPr>
      </w:pPr>
      <w:r>
        <w:rPr>
          <w:rStyle w:val="Refdenotaalpie"/>
        </w:rPr>
        <w:footnoteRef/>
      </w:r>
      <w:r w:rsidRPr="00DF0FA2">
        <w:rPr>
          <w:lang w:val="es-PE"/>
        </w:rPr>
        <w:t xml:space="preserve"> Guillermo Atencio La Rosa – Dirección de Salud Sexual y Reproductiva del Ministerio de salud: “Situación actual y estrategias para reducción de la mortalidad materna” (29 de enero de 2021), en línea: http://www.dge.gob.pe/portal/docs/tools/teleconferencia/2021/SE042021/04.pdf.</w:t>
      </w:r>
    </w:p>
  </w:footnote>
  <w:footnote w:id="11">
    <w:p w14:paraId="7E4E0422" w14:textId="29E0900F" w:rsidR="005C235A" w:rsidRPr="00A23C10" w:rsidRDefault="005C235A" w:rsidP="00E874D9">
      <w:pPr>
        <w:pStyle w:val="Textonotapie"/>
        <w:jc w:val="both"/>
        <w:rPr>
          <w:lang w:val="es-PE"/>
        </w:rPr>
      </w:pPr>
      <w:r>
        <w:rPr>
          <w:rStyle w:val="Refdenotaalpie"/>
        </w:rPr>
        <w:footnoteRef/>
      </w:r>
      <w:r w:rsidRPr="00A23C10">
        <w:rPr>
          <w:lang w:val="es-PE"/>
        </w:rPr>
        <w:t xml:space="preserve"> </w:t>
      </w:r>
      <w:proofErr w:type="spellStart"/>
      <w:r w:rsidRPr="00A23C10">
        <w:rPr>
          <w:lang w:val="es-PE"/>
        </w:rPr>
        <w:t>Until</w:t>
      </w:r>
      <w:proofErr w:type="spellEnd"/>
      <w:r w:rsidRPr="00A23C10">
        <w:rPr>
          <w:lang w:val="es-PE"/>
        </w:rPr>
        <w:t xml:space="preserve"> June 11, 2021.</w:t>
      </w:r>
    </w:p>
  </w:footnote>
  <w:footnote w:id="12">
    <w:p w14:paraId="3FAD71D5" w14:textId="65883574" w:rsidR="00643E12" w:rsidRPr="00A23C10" w:rsidRDefault="00643E12" w:rsidP="00E874D9">
      <w:pPr>
        <w:pStyle w:val="Textonotapie"/>
        <w:jc w:val="both"/>
        <w:rPr>
          <w:lang w:val="es-PE"/>
        </w:rPr>
      </w:pPr>
      <w:r>
        <w:rPr>
          <w:rStyle w:val="Refdenotaalpie"/>
        </w:rPr>
        <w:footnoteRef/>
      </w:r>
      <w:r w:rsidRPr="00643E12">
        <w:rPr>
          <w:lang w:val="es-PE"/>
        </w:rPr>
        <w:t xml:space="preserve"> </w:t>
      </w:r>
      <w:proofErr w:type="spellStart"/>
      <w:r w:rsidRPr="00643E12">
        <w:rPr>
          <w:lang w:val="es-PE"/>
        </w:rPr>
        <w:t>See</w:t>
      </w:r>
      <w:proofErr w:type="spellEnd"/>
      <w:r w:rsidRPr="00643E12">
        <w:rPr>
          <w:lang w:val="es-PE"/>
        </w:rPr>
        <w:t xml:space="preserve"> </w:t>
      </w:r>
      <w:proofErr w:type="spellStart"/>
      <w:r w:rsidRPr="00643E12">
        <w:rPr>
          <w:lang w:val="es-PE"/>
        </w:rPr>
        <w:t>for</w:t>
      </w:r>
      <w:proofErr w:type="spellEnd"/>
      <w:r w:rsidRPr="00643E12">
        <w:rPr>
          <w:lang w:val="es-PE"/>
        </w:rPr>
        <w:t xml:space="preserve"> </w:t>
      </w:r>
      <w:proofErr w:type="spellStart"/>
      <w:r w:rsidRPr="00643E12">
        <w:rPr>
          <w:lang w:val="es-PE"/>
        </w:rPr>
        <w:t>instance</w:t>
      </w:r>
      <w:proofErr w:type="spellEnd"/>
      <w:r w:rsidRPr="00643E12">
        <w:rPr>
          <w:lang w:val="es-PE"/>
        </w:rPr>
        <w:t xml:space="preserve"> </w:t>
      </w:r>
      <w:proofErr w:type="spellStart"/>
      <w:r w:rsidRPr="00643E12">
        <w:rPr>
          <w:lang w:val="es-PE"/>
        </w:rPr>
        <w:t>the</w:t>
      </w:r>
      <w:proofErr w:type="spellEnd"/>
      <w:r w:rsidRPr="00643E12">
        <w:rPr>
          <w:lang w:val="es-PE"/>
        </w:rPr>
        <w:t xml:space="preserve"> </w:t>
      </w:r>
      <w:proofErr w:type="spellStart"/>
      <w:r w:rsidRPr="00643E12">
        <w:rPr>
          <w:lang w:val="es-PE"/>
        </w:rPr>
        <w:t>work</w:t>
      </w:r>
      <w:proofErr w:type="spellEnd"/>
      <w:r w:rsidRPr="00643E12">
        <w:rPr>
          <w:lang w:val="es-PE"/>
        </w:rPr>
        <w:t xml:space="preserve"> of Alianza por la educación Sexual Integral ¡Si Podemos! </w:t>
      </w:r>
      <w:hyperlink r:id="rId4" w:history="1">
        <w:r w:rsidRPr="00643E12">
          <w:rPr>
            <w:rStyle w:val="Hipervnculo"/>
            <w:lang w:val="es-PE"/>
          </w:rPr>
          <w:t>https://alianzasipodemos.lamula.pe/</w:t>
        </w:r>
      </w:hyperlink>
    </w:p>
  </w:footnote>
  <w:footnote w:id="13">
    <w:p w14:paraId="248293FF" w14:textId="6420897A" w:rsidR="00643E12" w:rsidRPr="00643E12" w:rsidRDefault="00643E12" w:rsidP="00E874D9">
      <w:pPr>
        <w:pStyle w:val="Textonotapie"/>
        <w:jc w:val="both"/>
        <w:rPr>
          <w:lang w:val="en-CA"/>
        </w:rPr>
      </w:pPr>
      <w:r>
        <w:rPr>
          <w:rStyle w:val="Refdenotaalpie"/>
        </w:rPr>
        <w:footnoteRef/>
      </w:r>
      <w:r w:rsidRPr="00643E12">
        <w:rPr>
          <w:lang w:val="en-CA"/>
        </w:rPr>
        <w:t xml:space="preserve"> See Ministry of Education of Peru, Comprehensive Sexual Education Guidelines for Basic Education, Vice-Ministerial Resolution No. 169-2021-MINEDU, available online: http://www.grade.org.pe/creer/recurso/lineamientos-de- comprehensive-sexual-education-for-basic-education /.</w:t>
      </w:r>
    </w:p>
  </w:footnote>
  <w:footnote w:id="14">
    <w:p w14:paraId="6C74D9AD" w14:textId="1D9747EA" w:rsidR="00643E12" w:rsidRPr="00643E12" w:rsidRDefault="00643E12" w:rsidP="00E874D9">
      <w:pPr>
        <w:pStyle w:val="Textonotapie"/>
        <w:jc w:val="both"/>
        <w:rPr>
          <w:lang w:val="es-PE"/>
        </w:rPr>
      </w:pPr>
      <w:r>
        <w:rPr>
          <w:rStyle w:val="Refdenotaalpie"/>
        </w:rPr>
        <w:footnoteRef/>
      </w:r>
      <w:r w:rsidRPr="00643E12">
        <w:rPr>
          <w:lang w:val="es-PE"/>
        </w:rPr>
        <w:t xml:space="preserve"> UNFA Perú, “Prevenir el embarazo adolescente en contexto de crisis: un doble desafío a nivel nacional”, 24 septiembre 202, </w:t>
      </w:r>
      <w:r>
        <w:rPr>
          <w:lang w:val="es-PE"/>
        </w:rPr>
        <w:t>online</w:t>
      </w:r>
      <w:r w:rsidRPr="00643E12">
        <w:rPr>
          <w:lang w:val="es-PE"/>
        </w:rPr>
        <w:t xml:space="preserve">: </w:t>
      </w:r>
      <w:hyperlink r:id="rId5" w:history="1">
        <w:r w:rsidRPr="00643E12">
          <w:rPr>
            <w:rStyle w:val="Hipervnculo"/>
            <w:lang w:val="es-PE"/>
          </w:rPr>
          <w:t>https://peru.unfpa.org/es/news/prevenir-el-embarazo-adolescente-en-contexto-de-crisis-un-doble-desaf%C3%ADo-nivel-nacional</w:t>
        </w:r>
      </w:hyperlink>
    </w:p>
  </w:footnote>
  <w:footnote w:id="15">
    <w:p w14:paraId="790B8F15" w14:textId="262A1D8C" w:rsidR="00E874D9" w:rsidRPr="00E874D9" w:rsidRDefault="00E874D9" w:rsidP="00E874D9">
      <w:pPr>
        <w:pStyle w:val="Textonotapie"/>
        <w:jc w:val="both"/>
        <w:rPr>
          <w:lang w:val="en-CA"/>
        </w:rPr>
      </w:pPr>
      <w:r>
        <w:rPr>
          <w:rStyle w:val="Refdenotaalpie"/>
        </w:rPr>
        <w:footnoteRef/>
      </w:r>
      <w:r w:rsidRPr="00E874D9">
        <w:rPr>
          <w:lang w:val="en-CA"/>
        </w:rPr>
        <w:t xml:space="preserve"> Until February 2021 (request for access to MINSA information).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931263"/>
    <w:multiLevelType w:val="hybridMultilevel"/>
    <w:tmpl w:val="0C0EC67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15:restartNumberingAfterBreak="0">
    <w:nsid w:val="3C2525F2"/>
    <w:multiLevelType w:val="hybridMultilevel"/>
    <w:tmpl w:val="8984090A"/>
    <w:lvl w:ilvl="0" w:tplc="80AA710E">
      <w:start w:val="19"/>
      <w:numFmt w:val="bullet"/>
      <w:lvlText w:val="-"/>
      <w:lvlJc w:val="left"/>
      <w:pPr>
        <w:ind w:left="360" w:hanging="360"/>
      </w:pPr>
      <w:rPr>
        <w:rFonts w:ascii="Times New Roman" w:eastAsiaTheme="minorHAnsi" w:hAnsi="Times New Roman" w:cs="Times New Roman" w:hint="default"/>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2" w15:restartNumberingAfterBreak="0">
    <w:nsid w:val="76817A33"/>
    <w:multiLevelType w:val="hybridMultilevel"/>
    <w:tmpl w:val="6B94A15E"/>
    <w:lvl w:ilvl="0" w:tplc="69D210F8">
      <w:start w:val="19"/>
      <w:numFmt w:val="bullet"/>
      <w:lvlText w:val="-"/>
      <w:lvlJc w:val="left"/>
      <w:pPr>
        <w:ind w:left="360" w:hanging="360"/>
      </w:pPr>
      <w:rPr>
        <w:rFonts w:ascii="Times New Roman" w:eastAsiaTheme="minorHAnsi" w:hAnsi="Times New Roman" w:cs="Times New Roman" w:hint="default"/>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0B61"/>
    <w:rsid w:val="00032036"/>
    <w:rsid w:val="00032B37"/>
    <w:rsid w:val="000B0028"/>
    <w:rsid w:val="001526B1"/>
    <w:rsid w:val="001B390C"/>
    <w:rsid w:val="001D1432"/>
    <w:rsid w:val="00221266"/>
    <w:rsid w:val="00260FCA"/>
    <w:rsid w:val="002D3CB0"/>
    <w:rsid w:val="002F0B61"/>
    <w:rsid w:val="0030483C"/>
    <w:rsid w:val="0031067D"/>
    <w:rsid w:val="00385B5C"/>
    <w:rsid w:val="003B1B90"/>
    <w:rsid w:val="003F051D"/>
    <w:rsid w:val="004418D1"/>
    <w:rsid w:val="004668BC"/>
    <w:rsid w:val="00473D44"/>
    <w:rsid w:val="004B60F6"/>
    <w:rsid w:val="004C5752"/>
    <w:rsid w:val="004D71ED"/>
    <w:rsid w:val="004F6AD1"/>
    <w:rsid w:val="0056547C"/>
    <w:rsid w:val="005701FD"/>
    <w:rsid w:val="0057261D"/>
    <w:rsid w:val="005A0EFA"/>
    <w:rsid w:val="005A4F89"/>
    <w:rsid w:val="005C235A"/>
    <w:rsid w:val="00643E12"/>
    <w:rsid w:val="00672D18"/>
    <w:rsid w:val="006C44D7"/>
    <w:rsid w:val="006D052B"/>
    <w:rsid w:val="007067D1"/>
    <w:rsid w:val="00714E00"/>
    <w:rsid w:val="00743306"/>
    <w:rsid w:val="007503E8"/>
    <w:rsid w:val="007571BC"/>
    <w:rsid w:val="007D4C75"/>
    <w:rsid w:val="007F6A6E"/>
    <w:rsid w:val="007F76D7"/>
    <w:rsid w:val="0081437C"/>
    <w:rsid w:val="008259E2"/>
    <w:rsid w:val="00861816"/>
    <w:rsid w:val="008B2C7D"/>
    <w:rsid w:val="008F20E3"/>
    <w:rsid w:val="009C799E"/>
    <w:rsid w:val="00A0381A"/>
    <w:rsid w:val="00A23C10"/>
    <w:rsid w:val="00AA07BE"/>
    <w:rsid w:val="00AB06E2"/>
    <w:rsid w:val="00B31865"/>
    <w:rsid w:val="00B352EF"/>
    <w:rsid w:val="00B77C0C"/>
    <w:rsid w:val="00BA38E0"/>
    <w:rsid w:val="00BB36BC"/>
    <w:rsid w:val="00BB7263"/>
    <w:rsid w:val="00C24CDB"/>
    <w:rsid w:val="00C9040C"/>
    <w:rsid w:val="00D07F90"/>
    <w:rsid w:val="00D24F40"/>
    <w:rsid w:val="00D64E18"/>
    <w:rsid w:val="00D93748"/>
    <w:rsid w:val="00DF0FA2"/>
    <w:rsid w:val="00E874D9"/>
    <w:rsid w:val="00EA77F0"/>
    <w:rsid w:val="00EF1CA4"/>
    <w:rsid w:val="00F008BB"/>
    <w:rsid w:val="00F07689"/>
    <w:rsid w:val="00F95D6C"/>
    <w:rsid w:val="00FA5FE4"/>
    <w:rsid w:val="00FC552A"/>
    <w:rsid w:val="00FF5211"/>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5D97D"/>
  <w15:chartTrackingRefBased/>
  <w15:docId w15:val="{9FBFED7C-99BB-4A7B-AF6D-8C8D08C1D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fr-CA"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3F051D"/>
    <w:pPr>
      <w:spacing w:line="240" w:lineRule="auto"/>
    </w:pPr>
    <w:rPr>
      <w:sz w:val="20"/>
      <w:szCs w:val="20"/>
    </w:rPr>
  </w:style>
  <w:style w:type="character" w:customStyle="1" w:styleId="TextonotapieCar">
    <w:name w:val="Texto nota pie Car"/>
    <w:basedOn w:val="Fuentedeprrafopredeter"/>
    <w:link w:val="Textonotapie"/>
    <w:uiPriority w:val="99"/>
    <w:semiHidden/>
    <w:rsid w:val="003F051D"/>
    <w:rPr>
      <w:sz w:val="20"/>
      <w:szCs w:val="20"/>
    </w:rPr>
  </w:style>
  <w:style w:type="character" w:styleId="Refdenotaalpie">
    <w:name w:val="footnote reference"/>
    <w:aliases w:val="Subtitulo"/>
    <w:basedOn w:val="Fuentedeprrafopredeter"/>
    <w:uiPriority w:val="99"/>
    <w:unhideWhenUsed/>
    <w:qFormat/>
    <w:rsid w:val="003F051D"/>
    <w:rPr>
      <w:vertAlign w:val="superscript"/>
    </w:rPr>
  </w:style>
  <w:style w:type="character" w:styleId="Hipervnculo">
    <w:name w:val="Hyperlink"/>
    <w:basedOn w:val="Fuentedeprrafopredeter"/>
    <w:uiPriority w:val="99"/>
    <w:unhideWhenUsed/>
    <w:rsid w:val="00C9040C"/>
    <w:rPr>
      <w:color w:val="0563C1" w:themeColor="hyperlink"/>
      <w:u w:val="single"/>
    </w:rPr>
  </w:style>
  <w:style w:type="character" w:styleId="Hipervnculovisitado">
    <w:name w:val="FollowedHyperlink"/>
    <w:basedOn w:val="Fuentedeprrafopredeter"/>
    <w:uiPriority w:val="99"/>
    <w:semiHidden/>
    <w:unhideWhenUsed/>
    <w:rsid w:val="00C9040C"/>
    <w:rPr>
      <w:color w:val="954F72" w:themeColor="followedHyperlink"/>
      <w:u w:val="single"/>
    </w:rPr>
  </w:style>
  <w:style w:type="character" w:customStyle="1" w:styleId="UnresolvedMention">
    <w:name w:val="Unresolved Mention"/>
    <w:basedOn w:val="Fuentedeprrafopredeter"/>
    <w:uiPriority w:val="99"/>
    <w:semiHidden/>
    <w:unhideWhenUsed/>
    <w:rsid w:val="00C9040C"/>
    <w:rPr>
      <w:color w:val="605E5C"/>
      <w:shd w:val="clear" w:color="auto" w:fill="E1DFDD"/>
    </w:rPr>
  </w:style>
  <w:style w:type="paragraph" w:styleId="Encabezado">
    <w:name w:val="header"/>
    <w:basedOn w:val="Normal"/>
    <w:link w:val="EncabezadoCar"/>
    <w:uiPriority w:val="99"/>
    <w:unhideWhenUsed/>
    <w:rsid w:val="00AA07BE"/>
    <w:pPr>
      <w:tabs>
        <w:tab w:val="center" w:pos="4320"/>
        <w:tab w:val="right" w:pos="8640"/>
      </w:tabs>
      <w:spacing w:line="240" w:lineRule="auto"/>
    </w:pPr>
  </w:style>
  <w:style w:type="character" w:customStyle="1" w:styleId="EncabezadoCar">
    <w:name w:val="Encabezado Car"/>
    <w:basedOn w:val="Fuentedeprrafopredeter"/>
    <w:link w:val="Encabezado"/>
    <w:uiPriority w:val="99"/>
    <w:rsid w:val="00AA07BE"/>
  </w:style>
  <w:style w:type="paragraph" w:styleId="Piedepgina">
    <w:name w:val="footer"/>
    <w:basedOn w:val="Normal"/>
    <w:link w:val="PiedepginaCar"/>
    <w:uiPriority w:val="99"/>
    <w:unhideWhenUsed/>
    <w:rsid w:val="00AA07BE"/>
    <w:pPr>
      <w:tabs>
        <w:tab w:val="center" w:pos="4320"/>
        <w:tab w:val="right" w:pos="8640"/>
      </w:tabs>
      <w:spacing w:line="240" w:lineRule="auto"/>
    </w:pPr>
  </w:style>
  <w:style w:type="character" w:customStyle="1" w:styleId="PiedepginaCar">
    <w:name w:val="Pie de página Car"/>
    <w:basedOn w:val="Fuentedeprrafopredeter"/>
    <w:link w:val="Piedepgina"/>
    <w:uiPriority w:val="99"/>
    <w:rsid w:val="00AA07BE"/>
  </w:style>
  <w:style w:type="table" w:styleId="Tablaconcuadrcula">
    <w:name w:val="Table Grid"/>
    <w:basedOn w:val="Tablanormal"/>
    <w:uiPriority w:val="39"/>
    <w:rsid w:val="0056547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D24F40"/>
    <w:pPr>
      <w:ind w:left="720"/>
      <w:contextualSpacing/>
    </w:pPr>
  </w:style>
  <w:style w:type="paragraph" w:customStyle="1" w:styleId="Default">
    <w:name w:val="Default"/>
    <w:rsid w:val="0030483C"/>
    <w:pPr>
      <w:autoSpaceDE w:val="0"/>
      <w:autoSpaceDN w:val="0"/>
      <w:adjustRightInd w:val="0"/>
      <w:spacing w:line="240" w:lineRule="auto"/>
    </w:pPr>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660415">
      <w:bodyDiv w:val="1"/>
      <w:marLeft w:val="0"/>
      <w:marRight w:val="0"/>
      <w:marTop w:val="0"/>
      <w:marBottom w:val="0"/>
      <w:divBdr>
        <w:top w:val="none" w:sz="0" w:space="0" w:color="auto"/>
        <w:left w:val="none" w:sz="0" w:space="0" w:color="auto"/>
        <w:bottom w:val="none" w:sz="0" w:space="0" w:color="auto"/>
        <w:right w:val="none" w:sz="0" w:space="0" w:color="auto"/>
      </w:divBdr>
      <w:divsChild>
        <w:div w:id="729033813">
          <w:marLeft w:val="0"/>
          <w:marRight w:val="0"/>
          <w:marTop w:val="0"/>
          <w:marBottom w:val="0"/>
          <w:divBdr>
            <w:top w:val="none" w:sz="0" w:space="0" w:color="auto"/>
            <w:left w:val="none" w:sz="0" w:space="0" w:color="auto"/>
            <w:bottom w:val="none" w:sz="0" w:space="0" w:color="auto"/>
            <w:right w:val="none" w:sz="0" w:space="0" w:color="auto"/>
          </w:divBdr>
        </w:div>
        <w:div w:id="1166169413">
          <w:marLeft w:val="0"/>
          <w:marRight w:val="0"/>
          <w:marTop w:val="0"/>
          <w:marBottom w:val="0"/>
          <w:divBdr>
            <w:top w:val="none" w:sz="0" w:space="0" w:color="auto"/>
            <w:left w:val="none" w:sz="0" w:space="0" w:color="auto"/>
            <w:bottom w:val="none" w:sz="0" w:space="0" w:color="auto"/>
            <w:right w:val="none" w:sz="0" w:space="0" w:color="auto"/>
          </w:divBdr>
        </w:div>
        <w:div w:id="1583248256">
          <w:marLeft w:val="0"/>
          <w:marRight w:val="0"/>
          <w:marTop w:val="0"/>
          <w:marBottom w:val="0"/>
          <w:divBdr>
            <w:top w:val="none" w:sz="0" w:space="0" w:color="auto"/>
            <w:left w:val="none" w:sz="0" w:space="0" w:color="auto"/>
            <w:bottom w:val="none" w:sz="0" w:space="0" w:color="auto"/>
            <w:right w:val="none" w:sz="0" w:space="0" w:color="auto"/>
          </w:divBdr>
        </w:div>
        <w:div w:id="662513567">
          <w:marLeft w:val="0"/>
          <w:marRight w:val="0"/>
          <w:marTop w:val="0"/>
          <w:marBottom w:val="0"/>
          <w:divBdr>
            <w:top w:val="none" w:sz="0" w:space="0" w:color="auto"/>
            <w:left w:val="none" w:sz="0" w:space="0" w:color="auto"/>
            <w:bottom w:val="none" w:sz="0" w:space="0" w:color="auto"/>
            <w:right w:val="none" w:sz="0" w:space="0" w:color="auto"/>
          </w:divBdr>
        </w:div>
        <w:div w:id="2570628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promsex.org/pleno-del-tribunal-constitucional-debe-decidir-sentencia-definitiva-sobre-la-anticoncepcion-oral-de-emergencia-aoe/" TargetMode="External"/><Relationship Id="rId2" Type="http://schemas.openxmlformats.org/officeDocument/2006/relationships/hyperlink" Target="https://ojo-publico.com/2515/el-acceso-gratuito-la-pildora-de-emergencia-esta-en-manos-del-tc" TargetMode="External"/><Relationship Id="rId1" Type="http://schemas.openxmlformats.org/officeDocument/2006/relationships/hyperlink" Target="https://portalestadistico.pe/formas-de-la-violencia-2020/" TargetMode="External"/><Relationship Id="rId5" Type="http://schemas.openxmlformats.org/officeDocument/2006/relationships/hyperlink" Target="https://peru.unfpa.org/es/news/prevenir-el-embarazo-adolescente-en-contexto-de-crisis-un-doble-desaf%C3%ADo-nivel-nacional" TargetMode="External"/><Relationship Id="rId4" Type="http://schemas.openxmlformats.org/officeDocument/2006/relationships/hyperlink" Target="https://alianzasipodemos.lamula.pe/"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AFC7E18-1A23-4B6D-883D-1166D6D40D03}">
  <ds:schemaRefs>
    <ds:schemaRef ds:uri="http://schemas.openxmlformats.org/officeDocument/2006/bibliography"/>
  </ds:schemaRefs>
</ds:datastoreItem>
</file>

<file path=customXml/itemProps2.xml><?xml version="1.0" encoding="utf-8"?>
<ds:datastoreItem xmlns:ds="http://schemas.openxmlformats.org/officeDocument/2006/customXml" ds:itemID="{B50E9626-B746-478A-902C-0230E4C42B8E}"/>
</file>

<file path=customXml/itemProps3.xml><?xml version="1.0" encoding="utf-8"?>
<ds:datastoreItem xmlns:ds="http://schemas.openxmlformats.org/officeDocument/2006/customXml" ds:itemID="{3B0C629A-2AF3-4B6D-821C-D071AFD95EC2}"/>
</file>

<file path=customXml/itemProps4.xml><?xml version="1.0" encoding="utf-8"?>
<ds:datastoreItem xmlns:ds="http://schemas.openxmlformats.org/officeDocument/2006/customXml" ds:itemID="{929D9B6F-0BFB-4BC0-A1F4-7734022081AF}"/>
</file>

<file path=docProps/app.xml><?xml version="1.0" encoding="utf-8"?>
<Properties xmlns="http://schemas.openxmlformats.org/officeDocument/2006/extended-properties" xmlns:vt="http://schemas.openxmlformats.org/officeDocument/2006/docPropsVTypes">
  <Template>Normal</Template>
  <TotalTime>0</TotalTime>
  <Pages>9</Pages>
  <Words>3150</Words>
  <Characters>17330</Characters>
  <Application>Microsoft Office Word</Application>
  <DocSecurity>0</DocSecurity>
  <Lines>144</Lines>
  <Paragraphs>40</Paragraphs>
  <ScaleCrop>false</ScaleCrop>
  <HeadingPairs>
    <vt:vector size="4" baseType="variant">
      <vt:variant>
        <vt:lpstr>Título</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20440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Melendez</dc:creator>
  <cp:keywords/>
  <dc:description/>
  <cp:lastModifiedBy>Liz Melendez</cp:lastModifiedBy>
  <cp:revision>2</cp:revision>
  <dcterms:created xsi:type="dcterms:W3CDTF">2021-07-01T00:32:00Z</dcterms:created>
  <dcterms:modified xsi:type="dcterms:W3CDTF">2021-07-01T00:32:00Z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