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E2701" w:rsidRPr="003D5B32" w:rsidRDefault="00DE2701" w:rsidP="00DE2701">
      <w:pPr>
        <w:jc w:val="center"/>
        <w:rPr>
          <w:rFonts w:ascii="Tahoma" w:hAnsi="Tahoma" w:cs="Tahoma"/>
          <w:sz w:val="20"/>
          <w:szCs w:val="20"/>
        </w:rPr>
      </w:pPr>
    </w:p>
    <w:p w:rsidR="00DE2701" w:rsidRPr="003D5B32" w:rsidRDefault="00DE2701"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7E387F" w:rsidRPr="003D5B32" w:rsidRDefault="007E387F" w:rsidP="00DE2701">
      <w:pPr>
        <w:jc w:val="center"/>
        <w:rPr>
          <w:rFonts w:ascii="Tahoma" w:hAnsi="Tahoma" w:cs="Tahoma"/>
          <w:sz w:val="20"/>
          <w:szCs w:val="20"/>
        </w:rPr>
      </w:pPr>
    </w:p>
    <w:p w:rsidR="00DE2701" w:rsidRPr="003D5B32" w:rsidRDefault="00DE2701" w:rsidP="00DE2701">
      <w:pPr>
        <w:jc w:val="center"/>
        <w:rPr>
          <w:rFonts w:ascii="Tahoma" w:hAnsi="Tahoma" w:cs="Tahoma"/>
          <w:b/>
          <w:bCs/>
          <w:sz w:val="20"/>
          <w:szCs w:val="20"/>
        </w:rPr>
      </w:pPr>
    </w:p>
    <w:p w:rsidR="00DE2701" w:rsidRPr="00A94DB0" w:rsidRDefault="00DE2701" w:rsidP="00DE2701">
      <w:pPr>
        <w:jc w:val="center"/>
        <w:rPr>
          <w:rFonts w:ascii="Tahoma" w:hAnsi="Tahoma" w:cs="Tahoma"/>
          <w:b/>
          <w:bCs/>
          <w:sz w:val="32"/>
          <w:szCs w:val="32"/>
        </w:rPr>
      </w:pPr>
      <w:r w:rsidRPr="00A94DB0">
        <w:rPr>
          <w:rFonts w:ascii="Tahoma" w:hAnsi="Tahoma" w:cs="Tahoma"/>
          <w:b/>
          <w:bCs/>
          <w:sz w:val="32"/>
          <w:szCs w:val="32"/>
        </w:rPr>
        <w:t>Rapport de suivi des observations finales de la Tunisie</w:t>
      </w:r>
    </w:p>
    <w:p w:rsidR="00DE2701" w:rsidRPr="00A94DB0" w:rsidRDefault="00DE2701" w:rsidP="00DE2701">
      <w:pPr>
        <w:jc w:val="center"/>
        <w:rPr>
          <w:rFonts w:ascii="Tahoma" w:hAnsi="Tahoma" w:cs="Tahoma"/>
          <w:b/>
          <w:bCs/>
          <w:sz w:val="20"/>
          <w:szCs w:val="20"/>
        </w:rPr>
      </w:pPr>
    </w:p>
    <w:p w:rsidR="00DE2701" w:rsidRPr="00A94DB0" w:rsidRDefault="00DE2701" w:rsidP="00DE2701">
      <w:pPr>
        <w:jc w:val="center"/>
        <w:rPr>
          <w:rFonts w:ascii="Tahoma" w:hAnsi="Tahoma" w:cs="Tahoma"/>
          <w:b/>
          <w:bCs/>
          <w:sz w:val="20"/>
          <w:szCs w:val="20"/>
        </w:rPr>
      </w:pPr>
    </w:p>
    <w:p w:rsidR="00DE2701" w:rsidRPr="00A94DB0" w:rsidRDefault="00DE2701" w:rsidP="00DE2701">
      <w:pPr>
        <w:jc w:val="center"/>
        <w:rPr>
          <w:rFonts w:ascii="Tahoma" w:hAnsi="Tahoma" w:cs="Tahoma"/>
          <w:b/>
          <w:bCs/>
          <w:sz w:val="20"/>
          <w:szCs w:val="20"/>
        </w:rPr>
      </w:pPr>
    </w:p>
    <w:p w:rsidR="007E387F" w:rsidRPr="00A94DB0" w:rsidRDefault="007E387F" w:rsidP="00DE2701">
      <w:pPr>
        <w:jc w:val="center"/>
        <w:rPr>
          <w:rFonts w:ascii="Tahoma" w:hAnsi="Tahoma" w:cs="Tahoma"/>
          <w:b/>
          <w:bCs/>
          <w:sz w:val="20"/>
          <w:szCs w:val="20"/>
        </w:rPr>
      </w:pPr>
    </w:p>
    <w:p w:rsidR="007E387F" w:rsidRPr="00A94DB0" w:rsidRDefault="007E387F" w:rsidP="00DE2701">
      <w:pPr>
        <w:jc w:val="center"/>
        <w:rPr>
          <w:rFonts w:ascii="Tahoma" w:hAnsi="Tahoma" w:cs="Tahoma"/>
          <w:b/>
          <w:bCs/>
          <w:sz w:val="20"/>
          <w:szCs w:val="20"/>
        </w:rPr>
      </w:pPr>
    </w:p>
    <w:p w:rsidR="007E387F" w:rsidRPr="00A94DB0" w:rsidRDefault="007E387F" w:rsidP="00DE2701">
      <w:pPr>
        <w:jc w:val="center"/>
        <w:rPr>
          <w:rFonts w:ascii="Tahoma" w:hAnsi="Tahoma" w:cs="Tahoma"/>
          <w:b/>
          <w:bCs/>
          <w:sz w:val="20"/>
          <w:szCs w:val="20"/>
        </w:rPr>
      </w:pPr>
    </w:p>
    <w:p w:rsidR="007E387F" w:rsidRPr="00A94DB0" w:rsidRDefault="007E387F" w:rsidP="00DE2701">
      <w:pPr>
        <w:jc w:val="center"/>
        <w:rPr>
          <w:rFonts w:ascii="Tahoma" w:hAnsi="Tahoma" w:cs="Tahoma"/>
          <w:b/>
          <w:bCs/>
          <w:sz w:val="20"/>
          <w:szCs w:val="20"/>
        </w:rPr>
      </w:pPr>
    </w:p>
    <w:p w:rsidR="007E387F" w:rsidRPr="00A94DB0" w:rsidRDefault="007E387F" w:rsidP="00DE2701">
      <w:pPr>
        <w:jc w:val="center"/>
        <w:rPr>
          <w:rFonts w:ascii="Tahoma" w:hAnsi="Tahoma" w:cs="Tahoma"/>
          <w:b/>
          <w:bCs/>
          <w:sz w:val="20"/>
          <w:szCs w:val="20"/>
        </w:rPr>
      </w:pPr>
    </w:p>
    <w:p w:rsidR="007E387F" w:rsidRPr="00A94DB0" w:rsidRDefault="007E387F" w:rsidP="00DE2701">
      <w:pPr>
        <w:jc w:val="center"/>
        <w:rPr>
          <w:rFonts w:ascii="Tahoma" w:hAnsi="Tahoma" w:cs="Tahoma"/>
          <w:b/>
          <w:bCs/>
          <w:sz w:val="20"/>
          <w:szCs w:val="20"/>
        </w:rPr>
      </w:pPr>
    </w:p>
    <w:p w:rsidR="007E387F" w:rsidRPr="00A94DB0" w:rsidRDefault="007E387F" w:rsidP="00DE2701">
      <w:pPr>
        <w:jc w:val="center"/>
        <w:rPr>
          <w:rFonts w:ascii="Tahoma" w:hAnsi="Tahoma" w:cs="Tahoma"/>
          <w:b/>
          <w:bCs/>
          <w:sz w:val="20"/>
          <w:szCs w:val="20"/>
        </w:rPr>
      </w:pPr>
    </w:p>
    <w:p w:rsidR="007E387F" w:rsidRPr="00A94DB0" w:rsidRDefault="007E387F" w:rsidP="00DE2701">
      <w:pPr>
        <w:jc w:val="center"/>
        <w:rPr>
          <w:rFonts w:ascii="Tahoma" w:hAnsi="Tahoma" w:cs="Tahoma"/>
          <w:b/>
          <w:bCs/>
          <w:sz w:val="20"/>
          <w:szCs w:val="20"/>
        </w:rPr>
      </w:pPr>
    </w:p>
    <w:p w:rsidR="00DE2701" w:rsidRPr="00A94DB0" w:rsidRDefault="00DE2701" w:rsidP="00DE2701">
      <w:pPr>
        <w:jc w:val="center"/>
        <w:rPr>
          <w:rFonts w:ascii="Tahoma" w:hAnsi="Tahoma" w:cs="Tahoma"/>
          <w:b/>
          <w:bCs/>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rPr>
      </w:pPr>
      <w:r w:rsidRPr="00A94DB0">
        <w:rPr>
          <w:rFonts w:ascii="Tahoma" w:hAnsi="Tahoma" w:cs="Tahoma"/>
        </w:rPr>
        <w:t>18 décembre 2023</w:t>
      </w: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DE2701" w:rsidRPr="00A94DB0" w:rsidRDefault="00DE2701" w:rsidP="00DE2701">
      <w:pPr>
        <w:jc w:val="center"/>
        <w:rPr>
          <w:rFonts w:ascii="Tahoma" w:hAnsi="Tahoma" w:cs="Tahoma"/>
          <w:sz w:val="20"/>
          <w:szCs w:val="20"/>
        </w:rPr>
      </w:pPr>
    </w:p>
    <w:p w:rsidR="00B802D0" w:rsidRPr="00A94DB0" w:rsidRDefault="00B802D0" w:rsidP="00B802D0">
      <w:pPr>
        <w:jc w:val="both"/>
        <w:rPr>
          <w:rFonts w:ascii="Tahoma" w:hAnsi="Tahoma" w:cs="Tahoma"/>
          <w:sz w:val="20"/>
          <w:szCs w:val="20"/>
        </w:rPr>
      </w:pPr>
    </w:p>
    <w:p w:rsidR="00475559" w:rsidRPr="00A94DB0" w:rsidRDefault="00475559" w:rsidP="00475559">
      <w:pPr>
        <w:jc w:val="both"/>
        <w:rPr>
          <w:rFonts w:ascii="Tahoma" w:hAnsi="Tahoma" w:cs="Tahoma"/>
          <w:sz w:val="20"/>
          <w:szCs w:val="20"/>
        </w:rPr>
      </w:pPr>
    </w:p>
    <w:p w:rsidR="00DE2701" w:rsidRPr="00A94DB0" w:rsidRDefault="00DE2701" w:rsidP="00475559">
      <w:pPr>
        <w:ind w:firstLine="708"/>
        <w:jc w:val="both"/>
        <w:rPr>
          <w:rFonts w:ascii="Tahoma" w:hAnsi="Tahoma" w:cs="Tahoma"/>
          <w:sz w:val="22"/>
          <w:szCs w:val="22"/>
        </w:rPr>
      </w:pPr>
      <w:r w:rsidRPr="00A94DB0">
        <w:rPr>
          <w:rFonts w:ascii="Tahoma" w:hAnsi="Tahoma" w:cs="Tahoma"/>
          <w:sz w:val="22"/>
          <w:szCs w:val="22"/>
        </w:rPr>
        <w:lastRenderedPageBreak/>
        <w:t xml:space="preserve">La présente contribution s’inscrit dans le cadre de la procédure de suivi des conclusions finales de la Tunisie à l’issue de </w:t>
      </w:r>
      <w:r w:rsidR="008E6487" w:rsidRPr="00A94DB0">
        <w:rPr>
          <w:rFonts w:ascii="Tahoma" w:hAnsi="Tahoma" w:cs="Tahoma"/>
          <w:sz w:val="22"/>
          <w:szCs w:val="22"/>
        </w:rPr>
        <w:t>l’examen</w:t>
      </w:r>
      <w:r w:rsidR="001D5EA6" w:rsidRPr="00A94DB0">
        <w:rPr>
          <w:rFonts w:ascii="Tahoma" w:hAnsi="Tahoma" w:cs="Tahoma"/>
          <w:sz w:val="22"/>
          <w:szCs w:val="22"/>
        </w:rPr>
        <w:t xml:space="preserve"> </w:t>
      </w:r>
      <w:r w:rsidR="008E6487" w:rsidRPr="00A94DB0">
        <w:rPr>
          <w:rFonts w:ascii="Tahoma" w:hAnsi="Tahoma" w:cs="Tahoma"/>
          <w:sz w:val="22"/>
          <w:szCs w:val="22"/>
        </w:rPr>
        <w:t xml:space="preserve">de </w:t>
      </w:r>
      <w:r w:rsidRPr="00A94DB0">
        <w:rPr>
          <w:rFonts w:ascii="Tahoma" w:hAnsi="Tahoma" w:cs="Tahoma"/>
          <w:sz w:val="22"/>
          <w:szCs w:val="22"/>
        </w:rPr>
        <w:t>son 6</w:t>
      </w:r>
      <w:r w:rsidR="001D04DD" w:rsidRPr="00A94DB0">
        <w:rPr>
          <w:rFonts w:ascii="Tahoma" w:hAnsi="Tahoma" w:cs="Tahoma"/>
          <w:sz w:val="22"/>
          <w:szCs w:val="22"/>
          <w:vertAlign w:val="superscript"/>
        </w:rPr>
        <w:t>ème</w:t>
      </w:r>
      <w:r w:rsidRPr="00A94DB0">
        <w:rPr>
          <w:rFonts w:ascii="Tahoma" w:hAnsi="Tahoma" w:cs="Tahoma"/>
          <w:sz w:val="22"/>
          <w:szCs w:val="22"/>
        </w:rPr>
        <w:t xml:space="preserve"> rapport périodique relativement à la situation générale des droits de l’homme en Tunisie</w:t>
      </w:r>
      <w:r w:rsidR="008E6487" w:rsidRPr="00A94DB0">
        <w:rPr>
          <w:rFonts w:ascii="Tahoma" w:hAnsi="Tahoma" w:cs="Tahoma"/>
          <w:sz w:val="22"/>
          <w:szCs w:val="22"/>
        </w:rPr>
        <w:t xml:space="preserve"> par le Comité des droits de l’Homme des Nations Unies</w:t>
      </w:r>
      <w:r w:rsidR="00B062E5" w:rsidRPr="00A94DB0">
        <w:rPr>
          <w:rFonts w:ascii="Tahoma" w:hAnsi="Tahoma" w:cs="Tahoma"/>
          <w:sz w:val="22"/>
          <w:szCs w:val="22"/>
        </w:rPr>
        <w:t xml:space="preserve"> au cours de ses 3692 et 3893</w:t>
      </w:r>
      <w:r w:rsidR="00B062E5" w:rsidRPr="00A94DB0">
        <w:rPr>
          <w:rFonts w:ascii="Tahoma" w:hAnsi="Tahoma" w:cs="Tahoma"/>
          <w:sz w:val="22"/>
          <w:szCs w:val="22"/>
          <w:vertAlign w:val="superscript"/>
        </w:rPr>
        <w:t>ème</w:t>
      </w:r>
      <w:r w:rsidR="00B062E5" w:rsidRPr="00A94DB0">
        <w:rPr>
          <w:rFonts w:ascii="Tahoma" w:hAnsi="Tahoma" w:cs="Tahoma"/>
          <w:sz w:val="22"/>
          <w:szCs w:val="22"/>
        </w:rPr>
        <w:t xml:space="preserve"> séances les 3 et 4 mars 2020. </w:t>
      </w:r>
    </w:p>
    <w:p w:rsidR="00F73AD0" w:rsidRPr="00A94DB0" w:rsidRDefault="00F73AD0" w:rsidP="00DE2701">
      <w:pPr>
        <w:jc w:val="both"/>
        <w:rPr>
          <w:rFonts w:ascii="Tahoma" w:hAnsi="Tahoma" w:cs="Tahoma"/>
          <w:sz w:val="22"/>
          <w:szCs w:val="22"/>
        </w:rPr>
      </w:pPr>
    </w:p>
    <w:p w:rsidR="00433941" w:rsidRPr="00A94DB0" w:rsidRDefault="00433941" w:rsidP="00DE2701">
      <w:pPr>
        <w:jc w:val="both"/>
        <w:rPr>
          <w:rFonts w:ascii="Tahoma" w:hAnsi="Tahoma" w:cs="Tahoma"/>
          <w:b/>
          <w:bCs/>
          <w:sz w:val="22"/>
          <w:szCs w:val="22"/>
        </w:rPr>
      </w:pPr>
    </w:p>
    <w:p w:rsidR="00DC3441" w:rsidRPr="00A94DB0" w:rsidRDefault="00F73AD0" w:rsidP="00433941">
      <w:pPr>
        <w:pStyle w:val="Paragraphedeliste"/>
        <w:numPr>
          <w:ilvl w:val="0"/>
          <w:numId w:val="1"/>
        </w:numPr>
        <w:jc w:val="both"/>
        <w:rPr>
          <w:rFonts w:ascii="Tahoma" w:hAnsi="Tahoma" w:cs="Tahoma"/>
          <w:b/>
          <w:bCs/>
          <w:sz w:val="22"/>
          <w:szCs w:val="22"/>
        </w:rPr>
      </w:pPr>
      <w:r w:rsidRPr="00A94DB0">
        <w:rPr>
          <w:rFonts w:ascii="Tahoma" w:hAnsi="Tahoma" w:cs="Tahoma"/>
          <w:b/>
          <w:bCs/>
          <w:sz w:val="22"/>
          <w:szCs w:val="22"/>
        </w:rPr>
        <w:t>La Cour constitutionnelle (paragraphe 8 des observations finales)</w:t>
      </w:r>
    </w:p>
    <w:p w:rsidR="00DC3441" w:rsidRPr="00A94DB0" w:rsidRDefault="00DC3441" w:rsidP="00DE2701">
      <w:pPr>
        <w:jc w:val="both"/>
        <w:rPr>
          <w:rFonts w:ascii="Tahoma" w:hAnsi="Tahoma" w:cs="Tahoma"/>
          <w:sz w:val="22"/>
          <w:szCs w:val="22"/>
        </w:rPr>
      </w:pPr>
    </w:p>
    <w:p w:rsidR="00DC3441" w:rsidRPr="00A94DB0" w:rsidRDefault="00DC3441" w:rsidP="00475559">
      <w:pPr>
        <w:ind w:firstLine="708"/>
        <w:jc w:val="both"/>
        <w:rPr>
          <w:rFonts w:ascii="Tahoma" w:hAnsi="Tahoma" w:cs="Tahoma"/>
          <w:sz w:val="22"/>
          <w:szCs w:val="22"/>
        </w:rPr>
      </w:pPr>
      <w:r w:rsidRPr="00A94DB0">
        <w:rPr>
          <w:rFonts w:ascii="Tahoma" w:hAnsi="Tahoma" w:cs="Tahoma"/>
          <w:sz w:val="22"/>
          <w:szCs w:val="22"/>
        </w:rPr>
        <w:t>Bien que plus d’un</w:t>
      </w:r>
      <w:r w:rsidR="00181C8F" w:rsidRPr="00A94DB0">
        <w:rPr>
          <w:rFonts w:ascii="Tahoma" w:hAnsi="Tahoma" w:cs="Tahoma"/>
          <w:sz w:val="22"/>
          <w:szCs w:val="22"/>
        </w:rPr>
        <w:t xml:space="preserve">e année </w:t>
      </w:r>
      <w:r w:rsidR="00A46630" w:rsidRPr="00A94DB0">
        <w:rPr>
          <w:rFonts w:ascii="Tahoma" w:hAnsi="Tahoma" w:cs="Tahoma"/>
          <w:sz w:val="22"/>
          <w:szCs w:val="22"/>
        </w:rPr>
        <w:t>se soit</w:t>
      </w:r>
      <w:r w:rsidRPr="00A94DB0">
        <w:rPr>
          <w:rFonts w:ascii="Tahoma" w:hAnsi="Tahoma" w:cs="Tahoma"/>
          <w:sz w:val="22"/>
          <w:szCs w:val="22"/>
        </w:rPr>
        <w:t xml:space="preserve"> écoulé</w:t>
      </w:r>
      <w:r w:rsidR="00181C8F" w:rsidRPr="00A94DB0">
        <w:rPr>
          <w:rFonts w:ascii="Tahoma" w:hAnsi="Tahoma" w:cs="Tahoma"/>
          <w:sz w:val="22"/>
          <w:szCs w:val="22"/>
        </w:rPr>
        <w:t>e</w:t>
      </w:r>
      <w:r w:rsidRPr="00A94DB0">
        <w:rPr>
          <w:rFonts w:ascii="Tahoma" w:hAnsi="Tahoma" w:cs="Tahoma"/>
          <w:sz w:val="22"/>
          <w:szCs w:val="22"/>
        </w:rPr>
        <w:t xml:space="preserve"> depuis l’approbation de la </w:t>
      </w:r>
      <w:r w:rsidR="006A6BDD">
        <w:rPr>
          <w:rFonts w:ascii="Tahoma" w:hAnsi="Tahoma" w:cs="Tahoma"/>
          <w:sz w:val="22"/>
          <w:szCs w:val="22"/>
        </w:rPr>
        <w:t>nouvelle c</w:t>
      </w:r>
      <w:r w:rsidRPr="00A94DB0">
        <w:rPr>
          <w:rFonts w:ascii="Tahoma" w:hAnsi="Tahoma" w:cs="Tahoma"/>
          <w:sz w:val="22"/>
          <w:szCs w:val="22"/>
        </w:rPr>
        <w:t xml:space="preserve">onstitution du président, </w:t>
      </w:r>
      <w:r w:rsidR="00581166" w:rsidRPr="00A94DB0">
        <w:rPr>
          <w:rFonts w:ascii="Tahoma" w:hAnsi="Tahoma" w:cs="Tahoma"/>
          <w:sz w:val="22"/>
          <w:szCs w:val="22"/>
        </w:rPr>
        <w:t xml:space="preserve">M. </w:t>
      </w:r>
      <w:r w:rsidRPr="00A94DB0">
        <w:rPr>
          <w:rFonts w:ascii="Tahoma" w:hAnsi="Tahoma" w:cs="Tahoma"/>
          <w:sz w:val="22"/>
          <w:szCs w:val="22"/>
        </w:rPr>
        <w:t xml:space="preserve">Kaïs </w:t>
      </w:r>
      <w:proofErr w:type="spellStart"/>
      <w:r w:rsidRPr="00A94DB0">
        <w:rPr>
          <w:rFonts w:ascii="Tahoma" w:hAnsi="Tahoma" w:cs="Tahoma"/>
          <w:sz w:val="22"/>
          <w:szCs w:val="22"/>
        </w:rPr>
        <w:t>Saïed</w:t>
      </w:r>
      <w:proofErr w:type="spellEnd"/>
      <w:r w:rsidRPr="00A94DB0">
        <w:rPr>
          <w:rFonts w:ascii="Tahoma" w:hAnsi="Tahoma" w:cs="Tahoma"/>
          <w:sz w:val="22"/>
          <w:szCs w:val="22"/>
        </w:rPr>
        <w:t>, à l’issue du référendum du 25 juillet</w:t>
      </w:r>
      <w:r w:rsidR="001D5EA6" w:rsidRPr="00A94DB0">
        <w:rPr>
          <w:rFonts w:ascii="Tahoma" w:hAnsi="Tahoma" w:cs="Tahoma"/>
          <w:sz w:val="22"/>
          <w:szCs w:val="22"/>
        </w:rPr>
        <w:t xml:space="preserve"> 2022</w:t>
      </w:r>
      <w:r w:rsidRPr="00A94DB0">
        <w:rPr>
          <w:rFonts w:ascii="Tahoma" w:hAnsi="Tahoma" w:cs="Tahoma"/>
          <w:sz w:val="22"/>
          <w:szCs w:val="22"/>
        </w:rPr>
        <w:t xml:space="preserve">, la Cour constitutionnelle n’a toujours pas été </w:t>
      </w:r>
      <w:r w:rsidR="00EF627A" w:rsidRPr="00A94DB0">
        <w:rPr>
          <w:rFonts w:ascii="Tahoma" w:hAnsi="Tahoma" w:cs="Tahoma"/>
          <w:sz w:val="22"/>
          <w:szCs w:val="22"/>
        </w:rPr>
        <w:t>créée.</w:t>
      </w:r>
    </w:p>
    <w:p w:rsidR="00A46630" w:rsidRPr="00A94DB0" w:rsidRDefault="00A46630" w:rsidP="00DE2701">
      <w:pPr>
        <w:jc w:val="both"/>
        <w:rPr>
          <w:rFonts w:ascii="Tahoma" w:hAnsi="Tahoma" w:cs="Tahoma"/>
          <w:sz w:val="22"/>
          <w:szCs w:val="22"/>
        </w:rPr>
      </w:pPr>
    </w:p>
    <w:p w:rsidR="00A46630" w:rsidRPr="00A94DB0" w:rsidRDefault="00EF627A" w:rsidP="00475559">
      <w:pPr>
        <w:ind w:firstLine="708"/>
        <w:jc w:val="both"/>
        <w:rPr>
          <w:rFonts w:ascii="Tahoma" w:hAnsi="Tahoma" w:cs="Tahoma"/>
          <w:sz w:val="22"/>
          <w:szCs w:val="22"/>
        </w:rPr>
      </w:pPr>
      <w:r w:rsidRPr="00A94DB0">
        <w:rPr>
          <w:rFonts w:ascii="Tahoma" w:hAnsi="Tahoma" w:cs="Tahoma"/>
          <w:sz w:val="22"/>
          <w:szCs w:val="22"/>
        </w:rPr>
        <w:t xml:space="preserve">Pour </w:t>
      </w:r>
      <w:r w:rsidR="00A46630" w:rsidRPr="00A94DB0">
        <w:rPr>
          <w:rFonts w:ascii="Tahoma" w:hAnsi="Tahoma" w:cs="Tahoma"/>
          <w:sz w:val="22"/>
          <w:szCs w:val="22"/>
        </w:rPr>
        <w:t>justifier ce retard</w:t>
      </w:r>
      <w:r w:rsidR="00DA4D15" w:rsidRPr="00A94DB0">
        <w:rPr>
          <w:rFonts w:ascii="Tahoma" w:hAnsi="Tahoma" w:cs="Tahoma"/>
          <w:sz w:val="22"/>
          <w:szCs w:val="22"/>
        </w:rPr>
        <w:t xml:space="preserve">, </w:t>
      </w:r>
      <w:r w:rsidR="00A46630" w:rsidRPr="00A94DB0">
        <w:rPr>
          <w:rFonts w:ascii="Tahoma" w:hAnsi="Tahoma" w:cs="Tahoma"/>
          <w:sz w:val="22"/>
          <w:szCs w:val="22"/>
        </w:rPr>
        <w:t>l’État partie</w:t>
      </w:r>
      <w:r w:rsidR="00581166" w:rsidRPr="00A94DB0">
        <w:rPr>
          <w:rFonts w:ascii="Tahoma" w:hAnsi="Tahoma" w:cs="Tahoma"/>
          <w:sz w:val="22"/>
          <w:szCs w:val="22"/>
        </w:rPr>
        <w:t xml:space="preserve"> </w:t>
      </w:r>
      <w:r w:rsidR="00A46630" w:rsidRPr="00A94DB0">
        <w:rPr>
          <w:rFonts w:ascii="Tahoma" w:hAnsi="Tahoma" w:cs="Tahoma"/>
          <w:sz w:val="22"/>
          <w:szCs w:val="22"/>
        </w:rPr>
        <w:t xml:space="preserve">invoque différents « obstacles » </w:t>
      </w:r>
      <w:r w:rsidRPr="00A94DB0">
        <w:rPr>
          <w:rFonts w:ascii="Tahoma" w:hAnsi="Tahoma" w:cs="Tahoma"/>
          <w:sz w:val="22"/>
          <w:szCs w:val="22"/>
        </w:rPr>
        <w:t>dont</w:t>
      </w:r>
      <w:r w:rsidR="001D5EA6" w:rsidRPr="00A94DB0">
        <w:rPr>
          <w:rFonts w:ascii="Tahoma" w:hAnsi="Tahoma" w:cs="Tahoma"/>
          <w:sz w:val="22"/>
          <w:szCs w:val="22"/>
        </w:rPr>
        <w:t>,</w:t>
      </w:r>
      <w:r w:rsidRPr="00A94DB0">
        <w:rPr>
          <w:rFonts w:ascii="Tahoma" w:hAnsi="Tahoma" w:cs="Tahoma"/>
          <w:sz w:val="22"/>
          <w:szCs w:val="22"/>
        </w:rPr>
        <w:t xml:space="preserve"> principalement</w:t>
      </w:r>
      <w:r w:rsidR="001D5EA6" w:rsidRPr="00A94DB0">
        <w:rPr>
          <w:rFonts w:ascii="Tahoma" w:hAnsi="Tahoma" w:cs="Tahoma"/>
          <w:sz w:val="22"/>
          <w:szCs w:val="22"/>
        </w:rPr>
        <w:t>,</w:t>
      </w:r>
      <w:r w:rsidRPr="00A94DB0">
        <w:rPr>
          <w:rFonts w:ascii="Tahoma" w:hAnsi="Tahoma" w:cs="Tahoma"/>
          <w:sz w:val="22"/>
          <w:szCs w:val="22"/>
        </w:rPr>
        <w:t xml:space="preserve"> </w:t>
      </w:r>
      <w:r w:rsidR="00581166" w:rsidRPr="00A94DB0">
        <w:rPr>
          <w:rFonts w:ascii="Tahoma" w:hAnsi="Tahoma" w:cs="Tahoma"/>
          <w:sz w:val="22"/>
          <w:szCs w:val="22"/>
        </w:rPr>
        <w:t>d</w:t>
      </w:r>
      <w:r w:rsidRPr="00A94DB0">
        <w:rPr>
          <w:rFonts w:ascii="Tahoma" w:hAnsi="Tahoma" w:cs="Tahoma"/>
          <w:sz w:val="22"/>
          <w:szCs w:val="22"/>
        </w:rPr>
        <w:t xml:space="preserve">es difficultés liées </w:t>
      </w:r>
      <w:r w:rsidR="00A46630" w:rsidRPr="00A94DB0">
        <w:rPr>
          <w:rFonts w:ascii="Tahoma" w:hAnsi="Tahoma" w:cs="Tahoma"/>
          <w:sz w:val="22"/>
          <w:szCs w:val="22"/>
        </w:rPr>
        <w:t>à l’élection des membres de la Cour constitutionnelle</w:t>
      </w:r>
      <w:r w:rsidRPr="00A94DB0">
        <w:rPr>
          <w:rFonts w:ascii="Tahoma" w:hAnsi="Tahoma" w:cs="Tahoma"/>
          <w:sz w:val="22"/>
          <w:szCs w:val="22"/>
        </w:rPr>
        <w:t xml:space="preserve"> ayant nécessité des </w:t>
      </w:r>
      <w:r w:rsidR="00A46630" w:rsidRPr="00A94DB0">
        <w:rPr>
          <w:rFonts w:ascii="Tahoma" w:hAnsi="Tahoma" w:cs="Tahoma"/>
          <w:sz w:val="22"/>
          <w:szCs w:val="22"/>
        </w:rPr>
        <w:t>modifications de la loi organique n°50 de 2015</w:t>
      </w:r>
      <w:r w:rsidRPr="00A94DB0">
        <w:rPr>
          <w:rFonts w:ascii="Tahoma" w:hAnsi="Tahoma" w:cs="Tahoma"/>
          <w:sz w:val="22"/>
          <w:szCs w:val="22"/>
        </w:rPr>
        <w:t xml:space="preserve">. L’État partie ajoute, en outre, que </w:t>
      </w:r>
      <w:r w:rsidR="00A46630" w:rsidRPr="00A94DB0">
        <w:rPr>
          <w:rFonts w:ascii="Tahoma" w:hAnsi="Tahoma" w:cs="Tahoma"/>
          <w:sz w:val="22"/>
          <w:szCs w:val="22"/>
        </w:rPr>
        <w:t>le Président de la République</w:t>
      </w:r>
      <w:r w:rsidRPr="00A94DB0">
        <w:rPr>
          <w:rFonts w:ascii="Tahoma" w:hAnsi="Tahoma" w:cs="Tahoma"/>
          <w:sz w:val="22"/>
          <w:szCs w:val="22"/>
        </w:rPr>
        <w:t xml:space="preserve"> n’a pas été en mesure de signer la loi organique révisée</w:t>
      </w:r>
      <w:r w:rsidR="00A46630" w:rsidRPr="00A94DB0">
        <w:rPr>
          <w:rFonts w:ascii="Tahoma" w:hAnsi="Tahoma" w:cs="Tahoma"/>
          <w:sz w:val="22"/>
          <w:szCs w:val="22"/>
        </w:rPr>
        <w:t xml:space="preserve"> sous prétexte de l’expiration du délai constitutionnel </w:t>
      </w:r>
      <w:r w:rsidRPr="00A94DB0">
        <w:rPr>
          <w:rFonts w:ascii="Tahoma" w:hAnsi="Tahoma" w:cs="Tahoma"/>
          <w:sz w:val="22"/>
          <w:szCs w:val="22"/>
        </w:rPr>
        <w:t xml:space="preserve">d’un an prévu </w:t>
      </w:r>
      <w:r w:rsidR="00A46630" w:rsidRPr="00A94DB0">
        <w:rPr>
          <w:rFonts w:ascii="Tahoma" w:hAnsi="Tahoma" w:cs="Tahoma"/>
          <w:sz w:val="22"/>
          <w:szCs w:val="22"/>
        </w:rPr>
        <w:t>pour la création de la Cour et, enfin, de</w:t>
      </w:r>
      <w:r w:rsidR="001D5EA6" w:rsidRPr="00A94DB0">
        <w:rPr>
          <w:rFonts w:ascii="Tahoma" w:hAnsi="Tahoma" w:cs="Tahoma"/>
          <w:sz w:val="22"/>
          <w:szCs w:val="22"/>
        </w:rPr>
        <w:t xml:space="preserve"> </w:t>
      </w:r>
      <w:r w:rsidR="00A46630" w:rsidRPr="00A94DB0">
        <w:rPr>
          <w:rFonts w:ascii="Tahoma" w:hAnsi="Tahoma" w:cs="Tahoma"/>
          <w:sz w:val="22"/>
          <w:szCs w:val="22"/>
        </w:rPr>
        <w:t>circonstances exceptionnelles prévalant depuis le 25 juillet 2021. </w:t>
      </w:r>
    </w:p>
    <w:p w:rsidR="00EF627A" w:rsidRPr="00A94DB0" w:rsidRDefault="00EF627A" w:rsidP="00EF627A">
      <w:pPr>
        <w:jc w:val="both"/>
        <w:rPr>
          <w:rFonts w:ascii="Tahoma" w:hAnsi="Tahoma" w:cs="Tahoma"/>
          <w:sz w:val="22"/>
          <w:szCs w:val="22"/>
        </w:rPr>
      </w:pPr>
    </w:p>
    <w:p w:rsidR="00AD478F" w:rsidRPr="00A94DB0" w:rsidRDefault="00EF627A" w:rsidP="00475559">
      <w:pPr>
        <w:ind w:firstLine="708"/>
        <w:jc w:val="both"/>
        <w:rPr>
          <w:rFonts w:ascii="Tahoma" w:hAnsi="Tahoma" w:cs="Tahoma"/>
          <w:sz w:val="22"/>
          <w:szCs w:val="22"/>
        </w:rPr>
      </w:pPr>
      <w:r w:rsidRPr="00A94DB0">
        <w:rPr>
          <w:rFonts w:ascii="Tahoma" w:hAnsi="Tahoma" w:cs="Tahoma"/>
          <w:sz w:val="22"/>
          <w:szCs w:val="22"/>
        </w:rPr>
        <w:t>Il convient donc de préciser que la création de la Cour constitutionnelle, processus</w:t>
      </w:r>
      <w:r w:rsidR="001945F1" w:rsidRPr="00A94DB0">
        <w:rPr>
          <w:rFonts w:ascii="Tahoma" w:hAnsi="Tahoma" w:cs="Tahoma"/>
          <w:sz w:val="22"/>
          <w:szCs w:val="22"/>
        </w:rPr>
        <w:t xml:space="preserve"> pourtant</w:t>
      </w:r>
      <w:r w:rsidRPr="00A94DB0">
        <w:rPr>
          <w:rFonts w:ascii="Tahoma" w:hAnsi="Tahoma" w:cs="Tahoma"/>
          <w:sz w:val="22"/>
          <w:szCs w:val="22"/>
        </w:rPr>
        <w:t xml:space="preserve"> simple</w:t>
      </w:r>
      <w:r w:rsidR="006A6BDD">
        <w:rPr>
          <w:rFonts w:ascii="Tahoma" w:hAnsi="Tahoma" w:cs="Tahoma"/>
          <w:sz w:val="22"/>
          <w:szCs w:val="22"/>
        </w:rPr>
        <w:t>,</w:t>
      </w:r>
      <w:r w:rsidRPr="00A94DB0">
        <w:rPr>
          <w:rFonts w:ascii="Tahoma" w:hAnsi="Tahoma" w:cs="Tahoma"/>
          <w:sz w:val="22"/>
          <w:szCs w:val="22"/>
        </w:rPr>
        <w:t xml:space="preserve"> ne nécessitant aucune disposition préalable, découle en </w:t>
      </w:r>
      <w:r w:rsidR="00434B0B" w:rsidRPr="00A94DB0">
        <w:rPr>
          <w:rFonts w:ascii="Tahoma" w:hAnsi="Tahoma" w:cs="Tahoma"/>
          <w:sz w:val="22"/>
          <w:szCs w:val="22"/>
        </w:rPr>
        <w:t>réalité</w:t>
      </w:r>
      <w:r w:rsidRPr="00A94DB0">
        <w:rPr>
          <w:rFonts w:ascii="Tahoma" w:hAnsi="Tahoma" w:cs="Tahoma"/>
          <w:sz w:val="22"/>
          <w:szCs w:val="22"/>
        </w:rPr>
        <w:t xml:space="preserve"> des problèmes que rencontre </w:t>
      </w:r>
      <w:r w:rsidR="00434B0B" w:rsidRPr="00A94DB0">
        <w:rPr>
          <w:rFonts w:ascii="Tahoma" w:hAnsi="Tahoma" w:cs="Tahoma"/>
          <w:sz w:val="22"/>
          <w:szCs w:val="22"/>
        </w:rPr>
        <w:t>le pouvoir judiciaire et plus spécifiquement</w:t>
      </w:r>
      <w:r w:rsidRPr="00A94DB0">
        <w:rPr>
          <w:rFonts w:ascii="Tahoma" w:hAnsi="Tahoma" w:cs="Tahoma"/>
          <w:sz w:val="22"/>
          <w:szCs w:val="22"/>
        </w:rPr>
        <w:t xml:space="preserve"> le corps des magistrats en Tunisi</w:t>
      </w:r>
      <w:r w:rsidR="00AD478F" w:rsidRPr="00A94DB0">
        <w:rPr>
          <w:rFonts w:ascii="Tahoma" w:hAnsi="Tahoma" w:cs="Tahoma"/>
          <w:sz w:val="22"/>
          <w:szCs w:val="22"/>
        </w:rPr>
        <w:t xml:space="preserve">e. </w:t>
      </w:r>
    </w:p>
    <w:p w:rsidR="00E5526E" w:rsidRPr="00A94DB0" w:rsidRDefault="008245AB" w:rsidP="00475559">
      <w:pPr>
        <w:pStyle w:val="NormalWeb"/>
        <w:ind w:firstLine="708"/>
        <w:jc w:val="both"/>
        <w:rPr>
          <w:rFonts w:ascii="Tahoma" w:eastAsiaTheme="minorHAnsi" w:hAnsi="Tahoma" w:cs="Tahoma"/>
          <w:kern w:val="2"/>
          <w:sz w:val="22"/>
          <w:szCs w:val="22"/>
          <w:lang w:eastAsia="en-US"/>
          <w14:ligatures w14:val="standardContextual"/>
        </w:rPr>
      </w:pPr>
      <w:r w:rsidRPr="00A94DB0">
        <w:rPr>
          <w:rFonts w:ascii="Tahoma" w:hAnsi="Tahoma" w:cs="Tahoma"/>
          <w:sz w:val="22"/>
          <w:szCs w:val="22"/>
        </w:rPr>
        <w:t xml:space="preserve">Après </w:t>
      </w:r>
      <w:r w:rsidR="00AD478F" w:rsidRPr="00A94DB0">
        <w:rPr>
          <w:rFonts w:ascii="Tahoma" w:eastAsiaTheme="minorHAnsi" w:hAnsi="Tahoma" w:cs="Tahoma"/>
          <w:kern w:val="2"/>
          <w:sz w:val="22"/>
          <w:szCs w:val="22"/>
          <w:lang w:eastAsia="en-US"/>
          <w14:ligatures w14:val="standardContextual"/>
        </w:rPr>
        <w:t xml:space="preserve">avoir dissous le Conseil </w:t>
      </w:r>
      <w:r w:rsidR="006A6BDD" w:rsidRPr="00A94DB0">
        <w:rPr>
          <w:rFonts w:ascii="Tahoma" w:eastAsiaTheme="minorHAnsi" w:hAnsi="Tahoma" w:cs="Tahoma"/>
          <w:kern w:val="2"/>
          <w:sz w:val="22"/>
          <w:szCs w:val="22"/>
          <w:lang w:eastAsia="en-US"/>
          <w14:ligatures w14:val="standardContextual"/>
        </w:rPr>
        <w:t>supérieur</w:t>
      </w:r>
      <w:r w:rsidR="00AD478F" w:rsidRPr="00A94DB0">
        <w:rPr>
          <w:rFonts w:ascii="Tahoma" w:eastAsiaTheme="minorHAnsi" w:hAnsi="Tahoma" w:cs="Tahoma"/>
          <w:kern w:val="2"/>
          <w:sz w:val="22"/>
          <w:szCs w:val="22"/>
          <w:lang w:eastAsia="en-US"/>
          <w14:ligatures w14:val="standardContextual"/>
        </w:rPr>
        <w:t xml:space="preserve"> de la magistrature</w:t>
      </w:r>
      <w:r w:rsidRPr="00A94DB0">
        <w:rPr>
          <w:rFonts w:ascii="Tahoma" w:hAnsi="Tahoma" w:cs="Tahoma"/>
          <w:sz w:val="22"/>
          <w:szCs w:val="22"/>
        </w:rPr>
        <w:t xml:space="preserve"> (CSM)</w:t>
      </w:r>
      <w:r w:rsidR="00AD478F" w:rsidRPr="00A94DB0">
        <w:rPr>
          <w:rFonts w:ascii="Tahoma" w:eastAsiaTheme="minorHAnsi" w:hAnsi="Tahoma" w:cs="Tahoma"/>
          <w:kern w:val="2"/>
          <w:sz w:val="22"/>
          <w:szCs w:val="22"/>
          <w:lang w:eastAsia="en-US"/>
          <w14:ligatures w14:val="standardContextual"/>
        </w:rPr>
        <w:t>, organe chargé de garantir le bon fonctionnement de la justice et l’</w:t>
      </w:r>
      <w:r w:rsidR="006A6BDD" w:rsidRPr="00A94DB0">
        <w:rPr>
          <w:rFonts w:ascii="Tahoma" w:eastAsiaTheme="minorHAnsi" w:hAnsi="Tahoma" w:cs="Tahoma"/>
          <w:kern w:val="2"/>
          <w:sz w:val="22"/>
          <w:szCs w:val="22"/>
          <w:lang w:eastAsia="en-US"/>
          <w14:ligatures w14:val="standardContextual"/>
        </w:rPr>
        <w:t>indépendance</w:t>
      </w:r>
      <w:r w:rsidR="00AD478F" w:rsidRPr="00A94DB0">
        <w:rPr>
          <w:rFonts w:ascii="Tahoma" w:eastAsiaTheme="minorHAnsi" w:hAnsi="Tahoma" w:cs="Tahoma"/>
          <w:kern w:val="2"/>
          <w:sz w:val="22"/>
          <w:szCs w:val="22"/>
          <w:lang w:eastAsia="en-US"/>
          <w14:ligatures w14:val="standardContextual"/>
        </w:rPr>
        <w:t xml:space="preserve"> des </w:t>
      </w:r>
      <w:r w:rsidR="006A6BDD" w:rsidRPr="00A94DB0">
        <w:rPr>
          <w:rFonts w:ascii="Tahoma" w:eastAsiaTheme="minorHAnsi" w:hAnsi="Tahoma" w:cs="Tahoma"/>
          <w:kern w:val="2"/>
          <w:sz w:val="22"/>
          <w:szCs w:val="22"/>
          <w:lang w:eastAsia="en-US"/>
          <w14:ligatures w14:val="standardContextual"/>
        </w:rPr>
        <w:t>autorités</w:t>
      </w:r>
      <w:r w:rsidR="00AD478F" w:rsidRPr="00A94DB0">
        <w:rPr>
          <w:rFonts w:ascii="Tahoma" w:eastAsiaTheme="minorHAnsi" w:hAnsi="Tahoma" w:cs="Tahoma"/>
          <w:kern w:val="2"/>
          <w:sz w:val="22"/>
          <w:szCs w:val="22"/>
          <w:lang w:eastAsia="en-US"/>
          <w14:ligatures w14:val="standardContextual"/>
        </w:rPr>
        <w:t xml:space="preserve"> judiciaires </w:t>
      </w:r>
      <w:r w:rsidR="006A6BDD" w:rsidRPr="00A94DB0">
        <w:rPr>
          <w:rFonts w:ascii="Tahoma" w:eastAsiaTheme="minorHAnsi" w:hAnsi="Tahoma" w:cs="Tahoma"/>
          <w:kern w:val="2"/>
          <w:sz w:val="22"/>
          <w:szCs w:val="22"/>
          <w:lang w:eastAsia="en-US"/>
          <w14:ligatures w14:val="standardContextual"/>
        </w:rPr>
        <w:t>créé</w:t>
      </w:r>
      <w:r w:rsidR="00AD478F" w:rsidRPr="00A94DB0">
        <w:rPr>
          <w:rFonts w:ascii="Tahoma" w:eastAsiaTheme="minorHAnsi" w:hAnsi="Tahoma" w:cs="Tahoma"/>
          <w:kern w:val="2"/>
          <w:sz w:val="22"/>
          <w:szCs w:val="22"/>
          <w:lang w:eastAsia="en-US"/>
          <w14:ligatures w14:val="standardContextual"/>
        </w:rPr>
        <w:t xml:space="preserve">́ en 2016 et qualifié alors par Mme la Haut-commissaire aux droits de l’homme « </w:t>
      </w:r>
      <w:r w:rsidR="00AD478F" w:rsidRPr="00A94DB0">
        <w:rPr>
          <w:rFonts w:ascii="Tahoma" w:eastAsiaTheme="minorHAnsi" w:hAnsi="Tahoma" w:cs="Tahoma"/>
          <w:i/>
          <w:iCs/>
          <w:kern w:val="2"/>
          <w:sz w:val="22"/>
          <w:szCs w:val="22"/>
          <w:lang w:eastAsia="en-US"/>
          <w14:ligatures w14:val="standardContextual"/>
        </w:rPr>
        <w:t>d’</w:t>
      </w:r>
      <w:r w:rsidR="00023660" w:rsidRPr="00A94DB0">
        <w:rPr>
          <w:rFonts w:ascii="Tahoma" w:eastAsiaTheme="minorHAnsi" w:hAnsi="Tahoma" w:cs="Tahoma"/>
          <w:i/>
          <w:iCs/>
          <w:kern w:val="2"/>
          <w:sz w:val="22"/>
          <w:szCs w:val="22"/>
          <w:lang w:eastAsia="en-US"/>
          <w14:ligatures w14:val="standardContextual"/>
        </w:rPr>
        <w:t>avancée</w:t>
      </w:r>
      <w:r w:rsidR="00AD478F" w:rsidRPr="00A94DB0">
        <w:rPr>
          <w:rFonts w:ascii="Tahoma" w:eastAsiaTheme="minorHAnsi" w:hAnsi="Tahoma" w:cs="Tahoma"/>
          <w:i/>
          <w:iCs/>
          <w:kern w:val="2"/>
          <w:sz w:val="22"/>
          <w:szCs w:val="22"/>
          <w:lang w:eastAsia="en-US"/>
          <w14:ligatures w14:val="standardContextual"/>
        </w:rPr>
        <w:t xml:space="preserve"> majeure dans la consolidation de l’</w:t>
      </w:r>
      <w:r w:rsidR="00023660" w:rsidRPr="00A94DB0">
        <w:rPr>
          <w:rFonts w:ascii="Tahoma" w:eastAsiaTheme="minorHAnsi" w:hAnsi="Tahoma" w:cs="Tahoma"/>
          <w:i/>
          <w:iCs/>
          <w:kern w:val="2"/>
          <w:sz w:val="22"/>
          <w:szCs w:val="22"/>
          <w:lang w:eastAsia="en-US"/>
          <w14:ligatures w14:val="standardContextual"/>
        </w:rPr>
        <w:t>état</w:t>
      </w:r>
      <w:r w:rsidR="00AD478F" w:rsidRPr="00A94DB0">
        <w:rPr>
          <w:rFonts w:ascii="Tahoma" w:eastAsiaTheme="minorHAnsi" w:hAnsi="Tahoma" w:cs="Tahoma"/>
          <w:i/>
          <w:iCs/>
          <w:kern w:val="2"/>
          <w:sz w:val="22"/>
          <w:szCs w:val="22"/>
          <w:lang w:eastAsia="en-US"/>
          <w14:ligatures w14:val="standardContextual"/>
        </w:rPr>
        <w:t xml:space="preserve"> de droit, la séparation des pouvoirs et l’</w:t>
      </w:r>
      <w:r w:rsidR="00023660" w:rsidRPr="00A94DB0">
        <w:rPr>
          <w:rFonts w:ascii="Tahoma" w:eastAsiaTheme="minorHAnsi" w:hAnsi="Tahoma" w:cs="Tahoma"/>
          <w:i/>
          <w:iCs/>
          <w:kern w:val="2"/>
          <w:sz w:val="22"/>
          <w:szCs w:val="22"/>
          <w:lang w:eastAsia="en-US"/>
          <w14:ligatures w14:val="standardContextual"/>
        </w:rPr>
        <w:t>indépendance</w:t>
      </w:r>
      <w:r w:rsidR="00AD478F" w:rsidRPr="00A94DB0">
        <w:rPr>
          <w:rFonts w:ascii="Tahoma" w:eastAsiaTheme="minorHAnsi" w:hAnsi="Tahoma" w:cs="Tahoma"/>
          <w:i/>
          <w:iCs/>
          <w:kern w:val="2"/>
          <w:sz w:val="22"/>
          <w:szCs w:val="22"/>
          <w:lang w:eastAsia="en-US"/>
          <w14:ligatures w14:val="standardContextual"/>
        </w:rPr>
        <w:t xml:space="preserve"> du pouvoir judiciaire en Tunisie </w:t>
      </w:r>
      <w:r w:rsidR="00AD478F" w:rsidRPr="00A94DB0">
        <w:rPr>
          <w:rFonts w:ascii="Tahoma" w:eastAsiaTheme="minorHAnsi" w:hAnsi="Tahoma" w:cs="Tahoma"/>
          <w:kern w:val="2"/>
          <w:sz w:val="22"/>
          <w:szCs w:val="22"/>
          <w:lang w:eastAsia="en-US"/>
          <w14:ligatures w14:val="standardContextual"/>
        </w:rPr>
        <w:t>»</w:t>
      </w:r>
      <w:r w:rsidR="00C809D4" w:rsidRPr="00A94DB0">
        <w:rPr>
          <w:rStyle w:val="Appelnotedebasdep"/>
          <w:rFonts w:ascii="Tahoma" w:eastAsiaTheme="minorHAnsi" w:hAnsi="Tahoma" w:cs="Tahoma"/>
          <w:kern w:val="2"/>
          <w:sz w:val="22"/>
          <w:szCs w:val="22"/>
          <w:lang w:eastAsia="en-US"/>
          <w14:ligatures w14:val="standardContextual"/>
        </w:rPr>
        <w:footnoteReference w:id="1"/>
      </w:r>
      <w:r w:rsidR="00AD478F" w:rsidRPr="00A94DB0">
        <w:rPr>
          <w:rFonts w:ascii="Tahoma" w:eastAsiaTheme="minorHAnsi" w:hAnsi="Tahoma" w:cs="Tahoma"/>
          <w:kern w:val="2"/>
          <w:sz w:val="22"/>
          <w:szCs w:val="22"/>
          <w:lang w:eastAsia="en-US"/>
          <w14:ligatures w14:val="standardContextual"/>
        </w:rPr>
        <w:t xml:space="preserve">, le </w:t>
      </w:r>
      <w:r w:rsidR="006A6BDD" w:rsidRPr="00A94DB0">
        <w:rPr>
          <w:rFonts w:ascii="Tahoma" w:eastAsiaTheme="minorHAnsi" w:hAnsi="Tahoma" w:cs="Tahoma"/>
          <w:kern w:val="2"/>
          <w:sz w:val="22"/>
          <w:szCs w:val="22"/>
          <w:lang w:eastAsia="en-US"/>
          <w14:ligatures w14:val="standardContextual"/>
        </w:rPr>
        <w:t>président</w:t>
      </w:r>
      <w:r w:rsidR="00AD478F" w:rsidRPr="00A94DB0">
        <w:rPr>
          <w:rFonts w:ascii="Tahoma" w:eastAsiaTheme="minorHAnsi" w:hAnsi="Tahoma" w:cs="Tahoma"/>
          <w:kern w:val="2"/>
          <w:sz w:val="22"/>
          <w:szCs w:val="22"/>
          <w:lang w:eastAsia="en-US"/>
          <w14:ligatures w14:val="standardContextual"/>
        </w:rPr>
        <w:t xml:space="preserve"> </w:t>
      </w:r>
      <w:proofErr w:type="spellStart"/>
      <w:r w:rsidR="00AD478F" w:rsidRPr="00A94DB0">
        <w:rPr>
          <w:rFonts w:ascii="Tahoma" w:eastAsiaTheme="minorHAnsi" w:hAnsi="Tahoma" w:cs="Tahoma"/>
          <w:kern w:val="2"/>
          <w:sz w:val="22"/>
          <w:szCs w:val="22"/>
          <w:lang w:eastAsia="en-US"/>
          <w14:ligatures w14:val="standardContextual"/>
        </w:rPr>
        <w:t>Kaïs</w:t>
      </w:r>
      <w:proofErr w:type="spellEnd"/>
      <w:r w:rsidR="00AD478F" w:rsidRPr="00A94DB0">
        <w:rPr>
          <w:rFonts w:ascii="Tahoma" w:eastAsiaTheme="minorHAnsi" w:hAnsi="Tahoma" w:cs="Tahoma"/>
          <w:kern w:val="2"/>
          <w:sz w:val="22"/>
          <w:szCs w:val="22"/>
          <w:lang w:eastAsia="en-US"/>
          <w14:ligatures w14:val="standardContextual"/>
        </w:rPr>
        <w:t xml:space="preserve"> </w:t>
      </w:r>
      <w:proofErr w:type="spellStart"/>
      <w:r w:rsidR="00AD478F" w:rsidRPr="00A94DB0">
        <w:rPr>
          <w:rFonts w:ascii="Tahoma" w:eastAsiaTheme="minorHAnsi" w:hAnsi="Tahoma" w:cs="Tahoma"/>
          <w:kern w:val="2"/>
          <w:sz w:val="22"/>
          <w:szCs w:val="22"/>
          <w:lang w:eastAsia="en-US"/>
          <w14:ligatures w14:val="standardContextual"/>
        </w:rPr>
        <w:t>Saïed</w:t>
      </w:r>
      <w:proofErr w:type="spellEnd"/>
      <w:r w:rsidR="00AD478F" w:rsidRPr="00A94DB0">
        <w:rPr>
          <w:rFonts w:ascii="Tahoma" w:eastAsiaTheme="minorHAnsi" w:hAnsi="Tahoma" w:cs="Tahoma"/>
          <w:kern w:val="2"/>
          <w:sz w:val="22"/>
          <w:szCs w:val="22"/>
          <w:lang w:eastAsia="en-US"/>
          <w14:ligatures w14:val="standardContextual"/>
        </w:rPr>
        <w:t xml:space="preserve"> a, le 13 </w:t>
      </w:r>
      <w:r w:rsidR="006A6BDD" w:rsidRPr="00A94DB0">
        <w:rPr>
          <w:rFonts w:ascii="Tahoma" w:eastAsiaTheme="minorHAnsi" w:hAnsi="Tahoma" w:cs="Tahoma"/>
          <w:kern w:val="2"/>
          <w:sz w:val="22"/>
          <w:szCs w:val="22"/>
          <w:lang w:eastAsia="en-US"/>
          <w14:ligatures w14:val="standardContextual"/>
        </w:rPr>
        <w:t>février</w:t>
      </w:r>
      <w:r w:rsidR="00AD478F" w:rsidRPr="00A94DB0">
        <w:rPr>
          <w:rFonts w:ascii="Tahoma" w:eastAsiaTheme="minorHAnsi" w:hAnsi="Tahoma" w:cs="Tahoma"/>
          <w:kern w:val="2"/>
          <w:sz w:val="22"/>
          <w:szCs w:val="22"/>
          <w:lang w:eastAsia="en-US"/>
          <w14:ligatures w14:val="standardContextual"/>
        </w:rPr>
        <w:t xml:space="preserve"> 2022, signé un </w:t>
      </w:r>
      <w:r w:rsidR="006A6BDD" w:rsidRPr="00A94DB0">
        <w:rPr>
          <w:rFonts w:ascii="Tahoma" w:eastAsiaTheme="minorHAnsi" w:hAnsi="Tahoma" w:cs="Tahoma"/>
          <w:kern w:val="2"/>
          <w:sz w:val="22"/>
          <w:szCs w:val="22"/>
          <w:lang w:eastAsia="en-US"/>
          <w14:ligatures w14:val="standardContextual"/>
        </w:rPr>
        <w:t>décret-loi</w:t>
      </w:r>
      <w:r w:rsidR="00AD478F" w:rsidRPr="00A94DB0">
        <w:rPr>
          <w:rFonts w:ascii="Tahoma" w:eastAsiaTheme="minorHAnsi" w:hAnsi="Tahoma" w:cs="Tahoma"/>
          <w:kern w:val="2"/>
          <w:sz w:val="22"/>
          <w:szCs w:val="22"/>
          <w:lang w:eastAsia="en-US"/>
          <w14:ligatures w14:val="standardContextual"/>
        </w:rPr>
        <w:t xml:space="preserve"> portant </w:t>
      </w:r>
      <w:r w:rsidR="006A6BDD" w:rsidRPr="00A94DB0">
        <w:rPr>
          <w:rFonts w:ascii="Tahoma" w:eastAsiaTheme="minorHAnsi" w:hAnsi="Tahoma" w:cs="Tahoma"/>
          <w:kern w:val="2"/>
          <w:sz w:val="22"/>
          <w:szCs w:val="22"/>
          <w:lang w:eastAsia="en-US"/>
          <w14:ligatures w14:val="standardContextual"/>
        </w:rPr>
        <w:t>création</w:t>
      </w:r>
      <w:r w:rsidR="00AD478F" w:rsidRPr="00A94DB0">
        <w:rPr>
          <w:rFonts w:ascii="Tahoma" w:eastAsiaTheme="minorHAnsi" w:hAnsi="Tahoma" w:cs="Tahoma"/>
          <w:kern w:val="2"/>
          <w:sz w:val="22"/>
          <w:szCs w:val="22"/>
          <w:lang w:eastAsia="en-US"/>
          <w14:ligatures w14:val="standardContextual"/>
        </w:rPr>
        <w:t xml:space="preserve"> d'un </w:t>
      </w:r>
      <w:r w:rsidR="00E5526E" w:rsidRPr="00A94DB0">
        <w:rPr>
          <w:rFonts w:ascii="Tahoma" w:hAnsi="Tahoma" w:cs="Tahoma"/>
          <w:sz w:val="22"/>
          <w:szCs w:val="22"/>
        </w:rPr>
        <w:t>CSM</w:t>
      </w:r>
      <w:r w:rsidR="00AD478F" w:rsidRPr="00A94DB0">
        <w:rPr>
          <w:rFonts w:ascii="Tahoma" w:eastAsiaTheme="minorHAnsi" w:hAnsi="Tahoma" w:cs="Tahoma"/>
          <w:kern w:val="2"/>
          <w:sz w:val="22"/>
          <w:szCs w:val="22"/>
          <w:lang w:eastAsia="en-US"/>
          <w14:ligatures w14:val="standardContextual"/>
        </w:rPr>
        <w:t xml:space="preserve"> « provisoire » et a directement nommé ses membres s’attribuant </w:t>
      </w:r>
      <w:r w:rsidR="00AD478F" w:rsidRPr="00A94DB0">
        <w:rPr>
          <w:rFonts w:ascii="Tahoma" w:eastAsiaTheme="minorHAnsi" w:hAnsi="Tahoma" w:cs="Tahoma"/>
          <w:i/>
          <w:iCs/>
          <w:kern w:val="2"/>
          <w:sz w:val="22"/>
          <w:szCs w:val="22"/>
          <w:lang w:eastAsia="en-US"/>
          <w14:ligatures w14:val="standardContextual"/>
        </w:rPr>
        <w:t xml:space="preserve">de facto </w:t>
      </w:r>
      <w:r w:rsidR="00AD478F" w:rsidRPr="00A94DB0">
        <w:rPr>
          <w:rFonts w:ascii="Tahoma" w:eastAsiaTheme="minorHAnsi" w:hAnsi="Tahoma" w:cs="Tahoma"/>
          <w:kern w:val="2"/>
          <w:sz w:val="22"/>
          <w:szCs w:val="22"/>
          <w:lang w:eastAsia="en-US"/>
          <w14:ligatures w14:val="standardContextual"/>
        </w:rPr>
        <w:t xml:space="preserve">le </w:t>
      </w:r>
      <w:r w:rsidR="00023660" w:rsidRPr="00A94DB0">
        <w:rPr>
          <w:rFonts w:ascii="Tahoma" w:eastAsiaTheme="minorHAnsi" w:hAnsi="Tahoma" w:cs="Tahoma"/>
          <w:kern w:val="2"/>
          <w:sz w:val="22"/>
          <w:szCs w:val="22"/>
          <w:lang w:eastAsia="en-US"/>
          <w14:ligatures w14:val="standardContextual"/>
        </w:rPr>
        <w:t>contrôle</w:t>
      </w:r>
      <w:r w:rsidR="00AD478F" w:rsidRPr="00A94DB0">
        <w:rPr>
          <w:rFonts w:ascii="Tahoma" w:eastAsiaTheme="minorHAnsi" w:hAnsi="Tahoma" w:cs="Tahoma"/>
          <w:kern w:val="2"/>
          <w:sz w:val="22"/>
          <w:szCs w:val="22"/>
          <w:lang w:eastAsia="en-US"/>
          <w14:ligatures w14:val="standardContextual"/>
        </w:rPr>
        <w:t xml:space="preserve"> absolu de cette institution. </w:t>
      </w:r>
    </w:p>
    <w:p w:rsidR="00E5526E" w:rsidRPr="00A94DB0" w:rsidRDefault="006A6BDD" w:rsidP="006A6BDD">
      <w:pPr>
        <w:pStyle w:val="NormalWeb"/>
        <w:ind w:firstLine="708"/>
        <w:jc w:val="both"/>
        <w:rPr>
          <w:rFonts w:ascii="Tahoma" w:eastAsiaTheme="minorHAnsi" w:hAnsi="Tahoma" w:cs="Tahoma"/>
          <w:kern w:val="2"/>
          <w:sz w:val="22"/>
          <w:szCs w:val="22"/>
          <w:lang w:eastAsia="en-US"/>
          <w14:ligatures w14:val="standardContextual"/>
        </w:rPr>
      </w:pPr>
      <w:r w:rsidRPr="00A94DB0">
        <w:rPr>
          <w:rFonts w:ascii="Tahoma" w:eastAsiaTheme="minorHAnsi" w:hAnsi="Tahoma" w:cs="Tahoma"/>
          <w:kern w:val="2"/>
          <w:sz w:val="22"/>
          <w:szCs w:val="22"/>
          <w:lang w:eastAsia="en-US"/>
          <w14:ligatures w14:val="standardContextual"/>
        </w:rPr>
        <w:t>Accusés</w:t>
      </w:r>
      <w:r w:rsidR="00E5526E" w:rsidRPr="00A94DB0">
        <w:rPr>
          <w:rFonts w:ascii="Tahoma" w:eastAsiaTheme="minorHAnsi" w:hAnsi="Tahoma" w:cs="Tahoma"/>
          <w:kern w:val="2"/>
          <w:sz w:val="22"/>
          <w:szCs w:val="22"/>
          <w:lang w:eastAsia="en-US"/>
          <w14:ligatures w14:val="standardContextual"/>
        </w:rPr>
        <w:t xml:space="preserve"> de corruption et de divers</w:t>
      </w:r>
      <w:r w:rsidR="00181C8F" w:rsidRPr="00A94DB0">
        <w:rPr>
          <w:rFonts w:ascii="Tahoma" w:eastAsiaTheme="minorHAnsi" w:hAnsi="Tahoma" w:cs="Tahoma"/>
          <w:kern w:val="2"/>
          <w:sz w:val="22"/>
          <w:szCs w:val="22"/>
          <w:lang w:eastAsia="en-US"/>
          <w14:ligatures w14:val="standardContextual"/>
        </w:rPr>
        <w:t>es infractions à la loi pénale</w:t>
      </w:r>
      <w:r w:rsidR="00E5526E" w:rsidRPr="00A94DB0">
        <w:rPr>
          <w:rFonts w:ascii="Tahoma" w:eastAsiaTheme="minorHAnsi" w:hAnsi="Tahoma" w:cs="Tahoma"/>
          <w:kern w:val="2"/>
          <w:sz w:val="22"/>
          <w:szCs w:val="22"/>
          <w:lang w:eastAsia="en-US"/>
          <w14:ligatures w14:val="standardContextual"/>
        </w:rPr>
        <w:t xml:space="preserve">, plus d’une cinquantaine de juges ont ainsi </w:t>
      </w:r>
      <w:r w:rsidRPr="00A94DB0">
        <w:rPr>
          <w:rFonts w:ascii="Tahoma" w:eastAsiaTheme="minorHAnsi" w:hAnsi="Tahoma" w:cs="Tahoma"/>
          <w:kern w:val="2"/>
          <w:sz w:val="22"/>
          <w:szCs w:val="22"/>
          <w:lang w:eastAsia="en-US"/>
          <w14:ligatures w14:val="standardContextual"/>
        </w:rPr>
        <w:t>été</w:t>
      </w:r>
      <w:r w:rsidR="00E5526E" w:rsidRPr="00A94DB0">
        <w:rPr>
          <w:rFonts w:ascii="Tahoma" w:eastAsiaTheme="minorHAnsi" w:hAnsi="Tahoma" w:cs="Tahoma"/>
          <w:kern w:val="2"/>
          <w:sz w:val="22"/>
          <w:szCs w:val="22"/>
          <w:lang w:eastAsia="en-US"/>
          <w14:ligatures w14:val="standardContextual"/>
        </w:rPr>
        <w:t xml:space="preserve">́ </w:t>
      </w:r>
      <w:r w:rsidRPr="00A94DB0">
        <w:rPr>
          <w:rFonts w:ascii="Tahoma" w:eastAsiaTheme="minorHAnsi" w:hAnsi="Tahoma" w:cs="Tahoma"/>
          <w:kern w:val="2"/>
          <w:sz w:val="22"/>
          <w:szCs w:val="22"/>
          <w:lang w:eastAsia="en-US"/>
          <w14:ligatures w14:val="standardContextual"/>
        </w:rPr>
        <w:t>limogés</w:t>
      </w:r>
      <w:r w:rsidR="00E5526E" w:rsidRPr="00A94DB0">
        <w:rPr>
          <w:rFonts w:ascii="Tahoma" w:eastAsiaTheme="minorHAnsi" w:hAnsi="Tahoma" w:cs="Tahoma"/>
          <w:kern w:val="2"/>
          <w:sz w:val="22"/>
          <w:szCs w:val="22"/>
          <w:lang w:eastAsia="en-US"/>
          <w14:ligatures w14:val="standardContextual"/>
        </w:rPr>
        <w:t xml:space="preserve"> par le </w:t>
      </w:r>
      <w:r w:rsidRPr="00A94DB0">
        <w:rPr>
          <w:rFonts w:ascii="Tahoma" w:eastAsiaTheme="minorHAnsi" w:hAnsi="Tahoma" w:cs="Tahoma"/>
          <w:kern w:val="2"/>
          <w:sz w:val="22"/>
          <w:szCs w:val="22"/>
          <w:lang w:eastAsia="en-US"/>
          <w14:ligatures w14:val="standardContextual"/>
        </w:rPr>
        <w:t>président</w:t>
      </w:r>
      <w:r w:rsidR="00C809D4" w:rsidRPr="00A94DB0">
        <w:rPr>
          <w:rStyle w:val="Appelnotedebasdep"/>
          <w:rFonts w:ascii="Tahoma" w:eastAsiaTheme="minorHAnsi" w:hAnsi="Tahoma" w:cs="Tahoma"/>
          <w:kern w:val="2"/>
          <w:sz w:val="22"/>
          <w:szCs w:val="22"/>
          <w:lang w:eastAsia="en-US"/>
          <w14:ligatures w14:val="standardContextual"/>
        </w:rPr>
        <w:footnoteReference w:id="2"/>
      </w:r>
      <w:r w:rsidR="00E5526E" w:rsidRPr="00A94DB0">
        <w:rPr>
          <w:rFonts w:ascii="Tahoma" w:eastAsiaTheme="minorHAnsi" w:hAnsi="Tahoma" w:cs="Tahoma"/>
          <w:kern w:val="2"/>
          <w:sz w:val="22"/>
          <w:szCs w:val="22"/>
          <w:lang w:eastAsia="en-US"/>
          <w14:ligatures w14:val="standardContextual"/>
        </w:rPr>
        <w:t xml:space="preserve">, en violation totale des </w:t>
      </w:r>
      <w:r>
        <w:rPr>
          <w:rFonts w:ascii="Tahoma" w:eastAsiaTheme="minorHAnsi" w:hAnsi="Tahoma" w:cs="Tahoma"/>
          <w:kern w:val="2"/>
          <w:sz w:val="22"/>
          <w:szCs w:val="22"/>
          <w:lang w:eastAsia="en-US"/>
          <w14:ligatures w14:val="standardContextual"/>
        </w:rPr>
        <w:t xml:space="preserve">garanties </w:t>
      </w:r>
      <w:r w:rsidRPr="00A94DB0">
        <w:rPr>
          <w:rFonts w:ascii="Tahoma" w:eastAsiaTheme="minorHAnsi" w:hAnsi="Tahoma" w:cs="Tahoma"/>
          <w:kern w:val="2"/>
          <w:sz w:val="22"/>
          <w:szCs w:val="22"/>
          <w:lang w:eastAsia="en-US"/>
          <w14:ligatures w14:val="standardContextual"/>
        </w:rPr>
        <w:t>prévues</w:t>
      </w:r>
      <w:r w:rsidR="00E5526E" w:rsidRPr="00A94DB0">
        <w:rPr>
          <w:rFonts w:ascii="Tahoma" w:eastAsiaTheme="minorHAnsi" w:hAnsi="Tahoma" w:cs="Tahoma"/>
          <w:kern w:val="2"/>
          <w:sz w:val="22"/>
          <w:szCs w:val="22"/>
          <w:lang w:eastAsia="en-US"/>
          <w14:ligatures w14:val="standardContextual"/>
        </w:rPr>
        <w:t xml:space="preserve"> par l’article 14 du P</w:t>
      </w:r>
      <w:r w:rsidR="00531FB5" w:rsidRPr="00A94DB0">
        <w:rPr>
          <w:rFonts w:ascii="Tahoma" w:eastAsiaTheme="minorHAnsi" w:hAnsi="Tahoma" w:cs="Tahoma"/>
          <w:kern w:val="2"/>
          <w:sz w:val="22"/>
          <w:szCs w:val="22"/>
          <w:lang w:eastAsia="en-US"/>
          <w14:ligatures w14:val="standardContextual"/>
        </w:rPr>
        <w:t xml:space="preserve">acte </w:t>
      </w:r>
      <w:r w:rsidR="00E5526E" w:rsidRPr="00A94DB0">
        <w:rPr>
          <w:rFonts w:ascii="Tahoma" w:eastAsiaTheme="minorHAnsi" w:hAnsi="Tahoma" w:cs="Tahoma"/>
          <w:kern w:val="2"/>
          <w:sz w:val="22"/>
          <w:szCs w:val="22"/>
          <w:lang w:eastAsia="en-US"/>
          <w14:ligatures w14:val="standardContextual"/>
        </w:rPr>
        <w:t>I</w:t>
      </w:r>
      <w:r w:rsidR="00531FB5" w:rsidRPr="00A94DB0">
        <w:rPr>
          <w:rFonts w:ascii="Tahoma" w:eastAsiaTheme="minorHAnsi" w:hAnsi="Tahoma" w:cs="Tahoma"/>
          <w:kern w:val="2"/>
          <w:sz w:val="22"/>
          <w:szCs w:val="22"/>
          <w:lang w:eastAsia="en-US"/>
          <w14:ligatures w14:val="standardContextual"/>
        </w:rPr>
        <w:t>nternational relatifs aux droits civils et politiques</w:t>
      </w:r>
      <w:r w:rsidR="00E5526E" w:rsidRPr="00A94DB0">
        <w:rPr>
          <w:rFonts w:ascii="Tahoma" w:eastAsiaTheme="minorHAnsi" w:hAnsi="Tahoma" w:cs="Tahoma"/>
          <w:kern w:val="2"/>
          <w:sz w:val="22"/>
          <w:szCs w:val="22"/>
          <w:lang w:eastAsia="en-US"/>
          <w14:ligatures w14:val="standardContextual"/>
        </w:rPr>
        <w:t xml:space="preserve"> pour une administration équitable, impartiale et </w:t>
      </w:r>
      <w:r w:rsidR="00023660" w:rsidRPr="00A94DB0">
        <w:rPr>
          <w:rFonts w:ascii="Tahoma" w:eastAsiaTheme="minorHAnsi" w:hAnsi="Tahoma" w:cs="Tahoma"/>
          <w:kern w:val="2"/>
          <w:sz w:val="22"/>
          <w:szCs w:val="22"/>
          <w:lang w:eastAsia="en-US"/>
          <w14:ligatures w14:val="standardContextual"/>
        </w:rPr>
        <w:t>indépendante</w:t>
      </w:r>
      <w:r w:rsidR="00E5526E" w:rsidRPr="00A94DB0">
        <w:rPr>
          <w:rFonts w:ascii="Tahoma" w:eastAsiaTheme="minorHAnsi" w:hAnsi="Tahoma" w:cs="Tahoma"/>
          <w:kern w:val="2"/>
          <w:sz w:val="22"/>
          <w:szCs w:val="22"/>
          <w:lang w:eastAsia="en-US"/>
          <w14:ligatures w14:val="standardContextual"/>
        </w:rPr>
        <w:t xml:space="preserve"> de la justice. </w:t>
      </w:r>
    </w:p>
    <w:p w:rsidR="00827975" w:rsidRDefault="00023660" w:rsidP="00EF2F05">
      <w:pPr>
        <w:pStyle w:val="NormalWeb"/>
        <w:ind w:firstLine="708"/>
        <w:jc w:val="both"/>
        <w:rPr>
          <w:rFonts w:ascii="Tahoma" w:eastAsiaTheme="minorHAnsi" w:hAnsi="Tahoma" w:cs="Tahoma"/>
          <w:kern w:val="2"/>
          <w:sz w:val="22"/>
          <w:szCs w:val="22"/>
          <w:lang w:eastAsia="en-US"/>
          <w14:ligatures w14:val="standardContextual"/>
        </w:rPr>
      </w:pPr>
      <w:r w:rsidRPr="00EF2F05">
        <w:rPr>
          <w:rFonts w:ascii="Tahoma" w:eastAsiaTheme="minorHAnsi" w:hAnsi="Tahoma" w:cs="Tahoma"/>
          <w:kern w:val="2"/>
          <w:sz w:val="22"/>
          <w:szCs w:val="22"/>
          <w:lang w:eastAsia="en-US"/>
          <w14:ligatures w14:val="standardContextual"/>
        </w:rPr>
        <w:t>Dans ce contexte</w:t>
      </w:r>
      <w:r w:rsidR="00546C0E" w:rsidRPr="00EF2F05">
        <w:rPr>
          <w:rFonts w:ascii="Tahoma" w:eastAsiaTheme="minorHAnsi" w:hAnsi="Tahoma" w:cs="Tahoma"/>
          <w:kern w:val="2"/>
          <w:sz w:val="22"/>
          <w:szCs w:val="22"/>
          <w:lang w:eastAsia="en-US"/>
          <w14:ligatures w14:val="standardContextual"/>
        </w:rPr>
        <w:t xml:space="preserve">, </w:t>
      </w:r>
      <w:r w:rsidR="00827975">
        <w:rPr>
          <w:rFonts w:ascii="Tahoma" w:eastAsiaTheme="minorHAnsi" w:hAnsi="Tahoma" w:cs="Tahoma"/>
          <w:kern w:val="2"/>
          <w:sz w:val="22"/>
          <w:szCs w:val="22"/>
          <w:lang w:eastAsia="en-US"/>
          <w14:ligatures w14:val="standardContextual"/>
        </w:rPr>
        <w:t>l’A</w:t>
      </w:r>
      <w:r w:rsidR="00EE451C">
        <w:rPr>
          <w:rFonts w:ascii="Tahoma" w:eastAsiaTheme="minorHAnsi" w:hAnsi="Tahoma" w:cs="Tahoma"/>
          <w:kern w:val="2"/>
          <w:sz w:val="22"/>
          <w:szCs w:val="22"/>
          <w:lang w:eastAsia="en-US"/>
          <w14:ligatures w14:val="standardContextual"/>
        </w:rPr>
        <w:t xml:space="preserve">ssociation des </w:t>
      </w:r>
      <w:r w:rsidR="00827975">
        <w:rPr>
          <w:rFonts w:ascii="Tahoma" w:eastAsiaTheme="minorHAnsi" w:hAnsi="Tahoma" w:cs="Tahoma"/>
          <w:kern w:val="2"/>
          <w:sz w:val="22"/>
          <w:szCs w:val="22"/>
          <w:lang w:eastAsia="en-US"/>
          <w14:ligatures w14:val="standardContextual"/>
        </w:rPr>
        <w:t>V</w:t>
      </w:r>
      <w:r w:rsidR="00EE451C">
        <w:rPr>
          <w:rFonts w:ascii="Tahoma" w:eastAsiaTheme="minorHAnsi" w:hAnsi="Tahoma" w:cs="Tahoma"/>
          <w:kern w:val="2"/>
          <w:sz w:val="22"/>
          <w:szCs w:val="22"/>
          <w:lang w:eastAsia="en-US"/>
          <w14:ligatures w14:val="standardContextual"/>
        </w:rPr>
        <w:t xml:space="preserve">ictimes de la </w:t>
      </w:r>
      <w:r w:rsidR="00827975">
        <w:rPr>
          <w:rFonts w:ascii="Tahoma" w:eastAsiaTheme="minorHAnsi" w:hAnsi="Tahoma" w:cs="Tahoma"/>
          <w:kern w:val="2"/>
          <w:sz w:val="22"/>
          <w:szCs w:val="22"/>
          <w:lang w:eastAsia="en-US"/>
          <w14:ligatures w14:val="standardContextual"/>
        </w:rPr>
        <w:t>T</w:t>
      </w:r>
      <w:r w:rsidR="00EE451C">
        <w:rPr>
          <w:rFonts w:ascii="Tahoma" w:eastAsiaTheme="minorHAnsi" w:hAnsi="Tahoma" w:cs="Tahoma"/>
          <w:kern w:val="2"/>
          <w:sz w:val="22"/>
          <w:szCs w:val="22"/>
          <w:lang w:eastAsia="en-US"/>
          <w14:ligatures w14:val="standardContextual"/>
        </w:rPr>
        <w:t xml:space="preserve">orture en </w:t>
      </w:r>
      <w:r w:rsidR="00827975">
        <w:rPr>
          <w:rFonts w:ascii="Tahoma" w:eastAsiaTheme="minorHAnsi" w:hAnsi="Tahoma" w:cs="Tahoma"/>
          <w:kern w:val="2"/>
          <w:sz w:val="22"/>
          <w:szCs w:val="22"/>
          <w:lang w:eastAsia="en-US"/>
          <w14:ligatures w14:val="standardContextual"/>
        </w:rPr>
        <w:t>T</w:t>
      </w:r>
      <w:r w:rsidR="00EE451C">
        <w:rPr>
          <w:rFonts w:ascii="Tahoma" w:eastAsiaTheme="minorHAnsi" w:hAnsi="Tahoma" w:cs="Tahoma"/>
          <w:kern w:val="2"/>
          <w:sz w:val="22"/>
          <w:szCs w:val="22"/>
          <w:lang w:eastAsia="en-US"/>
          <w14:ligatures w14:val="standardContextual"/>
        </w:rPr>
        <w:t>unisie (AVTT)</w:t>
      </w:r>
      <w:r w:rsidR="00827975">
        <w:rPr>
          <w:rFonts w:ascii="Tahoma" w:eastAsiaTheme="minorHAnsi" w:hAnsi="Tahoma" w:cs="Tahoma"/>
          <w:kern w:val="2"/>
          <w:sz w:val="22"/>
          <w:szCs w:val="22"/>
          <w:lang w:eastAsia="en-US"/>
          <w14:ligatures w14:val="standardContextual"/>
        </w:rPr>
        <w:t xml:space="preserve"> et </w:t>
      </w:r>
      <w:proofErr w:type="spellStart"/>
      <w:r w:rsidR="00827975">
        <w:rPr>
          <w:rFonts w:ascii="Tahoma" w:eastAsiaTheme="minorHAnsi" w:hAnsi="Tahoma" w:cs="Tahoma"/>
          <w:kern w:val="2"/>
          <w:sz w:val="22"/>
          <w:szCs w:val="22"/>
          <w:lang w:eastAsia="en-US"/>
          <w14:ligatures w14:val="standardContextual"/>
        </w:rPr>
        <w:t>Alkarama</w:t>
      </w:r>
      <w:proofErr w:type="spellEnd"/>
      <w:r w:rsidR="00827975">
        <w:rPr>
          <w:rFonts w:ascii="Tahoma" w:eastAsiaTheme="minorHAnsi" w:hAnsi="Tahoma" w:cs="Tahoma"/>
          <w:kern w:val="2"/>
          <w:sz w:val="22"/>
          <w:szCs w:val="22"/>
          <w:lang w:eastAsia="en-US"/>
          <w14:ligatures w14:val="standardContextual"/>
        </w:rPr>
        <w:t>, ont</w:t>
      </w:r>
      <w:r w:rsidR="00546C0E" w:rsidRPr="00EF2F05">
        <w:rPr>
          <w:rFonts w:ascii="Tahoma" w:eastAsiaTheme="minorHAnsi" w:hAnsi="Tahoma" w:cs="Tahoma"/>
          <w:kern w:val="2"/>
          <w:sz w:val="22"/>
          <w:szCs w:val="22"/>
          <w:lang w:eastAsia="en-US"/>
          <w14:ligatures w14:val="standardContextual"/>
        </w:rPr>
        <w:t>, courant</w:t>
      </w:r>
      <w:r w:rsidR="00DF22CE" w:rsidRPr="00EF2F05">
        <w:rPr>
          <w:rFonts w:ascii="Tahoma" w:eastAsiaTheme="minorHAnsi" w:hAnsi="Tahoma" w:cs="Tahoma"/>
          <w:kern w:val="2"/>
          <w:sz w:val="22"/>
          <w:szCs w:val="22"/>
          <w:lang w:eastAsia="en-US"/>
          <w14:ligatures w14:val="standardContextual"/>
        </w:rPr>
        <w:t xml:space="preserve"> février 2023, soumis au Rapporteur spécial de l'ONU sur l'indépendance des juges et des avocats</w:t>
      </w:r>
      <w:r w:rsidR="00546C0E" w:rsidRPr="00EF2F05">
        <w:rPr>
          <w:rFonts w:ascii="Tahoma" w:eastAsiaTheme="minorHAnsi" w:hAnsi="Tahoma" w:cs="Tahoma"/>
          <w:kern w:val="2"/>
          <w:sz w:val="22"/>
          <w:szCs w:val="22"/>
          <w:lang w:eastAsia="en-US"/>
          <w14:ligatures w14:val="standardContextual"/>
        </w:rPr>
        <w:t>,</w:t>
      </w:r>
      <w:r w:rsidR="00DF22CE" w:rsidRPr="00EF2F05">
        <w:rPr>
          <w:rFonts w:ascii="Tahoma" w:eastAsiaTheme="minorHAnsi" w:hAnsi="Tahoma" w:cs="Tahoma"/>
          <w:kern w:val="2"/>
          <w:sz w:val="22"/>
          <w:szCs w:val="22"/>
          <w:lang w:eastAsia="en-US"/>
          <w14:ligatures w14:val="standardContextual"/>
        </w:rPr>
        <w:t xml:space="preserve"> l</w:t>
      </w:r>
      <w:r w:rsidRPr="00EF2F05">
        <w:rPr>
          <w:rFonts w:ascii="Tahoma" w:eastAsiaTheme="minorHAnsi" w:hAnsi="Tahoma" w:cs="Tahoma"/>
          <w:kern w:val="2"/>
          <w:sz w:val="22"/>
          <w:szCs w:val="22"/>
          <w:lang w:eastAsia="en-US"/>
          <w14:ligatures w14:val="standardContextual"/>
        </w:rPr>
        <w:t>a situation</w:t>
      </w:r>
      <w:r w:rsidR="00DF22CE" w:rsidRPr="00EF2F05">
        <w:rPr>
          <w:rFonts w:ascii="Tahoma" w:eastAsiaTheme="minorHAnsi" w:hAnsi="Tahoma" w:cs="Tahoma"/>
          <w:kern w:val="2"/>
          <w:sz w:val="22"/>
          <w:szCs w:val="22"/>
          <w:lang w:eastAsia="en-US"/>
          <w14:ligatures w14:val="standardContextual"/>
        </w:rPr>
        <w:t xml:space="preserve"> de M. Bechir AKREMI</w:t>
      </w:r>
      <w:r w:rsidR="00855FD1" w:rsidRPr="00EF2F05">
        <w:rPr>
          <w:rStyle w:val="Appelnotedebasdep"/>
          <w:rFonts w:ascii="Tahoma" w:eastAsiaTheme="minorHAnsi" w:hAnsi="Tahoma" w:cs="Tahoma"/>
          <w:kern w:val="2"/>
          <w:sz w:val="22"/>
          <w:szCs w:val="22"/>
          <w:lang w:eastAsia="en-US"/>
          <w14:ligatures w14:val="standardContextual"/>
        </w:rPr>
        <w:footnoteReference w:id="3"/>
      </w:r>
      <w:r w:rsidR="00DF22CE" w:rsidRPr="00EF2F05">
        <w:rPr>
          <w:rFonts w:ascii="Tahoma" w:eastAsiaTheme="minorHAnsi" w:hAnsi="Tahoma" w:cs="Tahoma"/>
          <w:kern w:val="2"/>
          <w:sz w:val="22"/>
          <w:szCs w:val="22"/>
          <w:lang w:eastAsia="en-US"/>
          <w14:ligatures w14:val="standardContextual"/>
        </w:rPr>
        <w:t xml:space="preserve">, magistrat tunisien suspendu et victime d'intimidations et de </w:t>
      </w:r>
      <w:r w:rsidR="00EF2F05" w:rsidRPr="00EF2F05">
        <w:rPr>
          <w:rFonts w:ascii="Tahoma" w:eastAsiaTheme="minorHAnsi" w:hAnsi="Tahoma" w:cs="Tahoma"/>
          <w:kern w:val="2"/>
          <w:sz w:val="22"/>
          <w:szCs w:val="22"/>
          <w:lang w:eastAsia="en-US"/>
          <w14:ligatures w14:val="standardContextual"/>
        </w:rPr>
        <w:t xml:space="preserve">graves </w:t>
      </w:r>
      <w:r w:rsidR="00DF22CE" w:rsidRPr="00EF2F05">
        <w:rPr>
          <w:rFonts w:ascii="Tahoma" w:eastAsiaTheme="minorHAnsi" w:hAnsi="Tahoma" w:cs="Tahoma"/>
          <w:kern w:val="2"/>
          <w:sz w:val="22"/>
          <w:szCs w:val="22"/>
          <w:lang w:eastAsia="en-US"/>
          <w14:ligatures w14:val="standardContextual"/>
        </w:rPr>
        <w:t>représailles dans l'exercice de ses fonctions.</w:t>
      </w:r>
    </w:p>
    <w:p w:rsidR="00EF2F05" w:rsidRPr="00EF2F05" w:rsidRDefault="00DF22CE" w:rsidP="00EF2F05">
      <w:pPr>
        <w:pStyle w:val="NormalWeb"/>
        <w:ind w:firstLine="708"/>
        <w:jc w:val="both"/>
        <w:rPr>
          <w:rFonts w:ascii="Tahoma" w:hAnsi="Tahoma" w:cs="Tahoma"/>
          <w:color w:val="000000"/>
          <w:sz w:val="22"/>
          <w:szCs w:val="22"/>
        </w:rPr>
      </w:pPr>
      <w:r w:rsidRPr="00EF2F05">
        <w:rPr>
          <w:rFonts w:ascii="Tahoma" w:eastAsiaTheme="minorHAnsi" w:hAnsi="Tahoma" w:cs="Tahoma"/>
          <w:kern w:val="2"/>
          <w:sz w:val="22"/>
          <w:szCs w:val="22"/>
          <w:lang w:eastAsia="en-US"/>
          <w14:ligatures w14:val="standardContextual"/>
        </w:rPr>
        <w:t xml:space="preserve"> </w:t>
      </w:r>
      <w:r w:rsidR="00827975">
        <w:rPr>
          <w:rFonts w:ascii="Tahoma" w:eastAsiaTheme="minorHAnsi" w:hAnsi="Tahoma" w:cs="Tahoma"/>
          <w:kern w:val="2"/>
          <w:sz w:val="22"/>
          <w:szCs w:val="22"/>
          <w:lang w:eastAsia="en-US"/>
          <w14:ligatures w14:val="standardContextual"/>
        </w:rPr>
        <w:t>M. AKREMI</w:t>
      </w:r>
      <w:r w:rsidR="00EF2F05" w:rsidRPr="00EF2F05">
        <w:rPr>
          <w:rFonts w:ascii="Tahoma" w:eastAsiaTheme="minorHAnsi" w:hAnsi="Tahoma" w:cs="Tahoma"/>
          <w:kern w:val="2"/>
          <w:sz w:val="22"/>
          <w:szCs w:val="22"/>
          <w:lang w:eastAsia="en-US"/>
          <w14:ligatures w14:val="standardContextual"/>
        </w:rPr>
        <w:t xml:space="preserve"> qui a </w:t>
      </w:r>
      <w:r w:rsidR="00EF2F05" w:rsidRPr="00EF2F05">
        <w:rPr>
          <w:rFonts w:ascii="Tahoma" w:hAnsi="Tahoma" w:cs="Tahoma"/>
          <w:color w:val="000000"/>
          <w:sz w:val="22"/>
          <w:szCs w:val="22"/>
        </w:rPr>
        <w:t xml:space="preserve">exercé notamment en qualité de juge d’instruction à la tête du pôle antiterroriste et de Procureur de la République près le Tribunal de première instance de Tunis a été arrêté à la suite d’une plainte déposée contre lui par deux policiers sanctionnés à sa demande pour avoir torturé des prévenus quelques années auparavant.  Il a lui-même été </w:t>
      </w:r>
      <w:r w:rsidR="00EF2F05" w:rsidRPr="00EF2F05">
        <w:rPr>
          <w:rFonts w:ascii="Tahoma" w:hAnsi="Tahoma" w:cs="Tahoma"/>
          <w:color w:val="000000"/>
          <w:sz w:val="22"/>
          <w:szCs w:val="22"/>
        </w:rPr>
        <w:lastRenderedPageBreak/>
        <w:t>victime de torture et autres traitements cruels, inhumains et dégradants au cours de sa détention en garde à vue dans la caserne de police de </w:t>
      </w:r>
      <w:proofErr w:type="spellStart"/>
      <w:r w:rsidR="00EF2F05" w:rsidRPr="00EF2F05">
        <w:rPr>
          <w:rFonts w:ascii="Tahoma" w:hAnsi="Tahoma" w:cs="Tahoma"/>
          <w:color w:val="000000"/>
          <w:sz w:val="22"/>
          <w:szCs w:val="22"/>
        </w:rPr>
        <w:t>Bouchoucha</w:t>
      </w:r>
      <w:proofErr w:type="spellEnd"/>
      <w:r w:rsidR="00EF2F05" w:rsidRPr="00EF2F05">
        <w:rPr>
          <w:rFonts w:ascii="Tahoma" w:hAnsi="Tahoma" w:cs="Tahoma"/>
          <w:color w:val="000000"/>
          <w:sz w:val="22"/>
          <w:szCs w:val="22"/>
        </w:rPr>
        <w:t xml:space="preserve"> (Tunis). </w:t>
      </w:r>
    </w:p>
    <w:p w:rsidR="00EF2F05" w:rsidRDefault="00DF22CE" w:rsidP="00EF2F05">
      <w:pPr>
        <w:pStyle w:val="NormalWeb"/>
        <w:ind w:firstLine="708"/>
        <w:jc w:val="both"/>
        <w:rPr>
          <w:rFonts w:ascii="Tahoma" w:eastAsiaTheme="minorHAnsi" w:hAnsi="Tahoma" w:cs="Tahoma"/>
          <w:kern w:val="2"/>
          <w:sz w:val="22"/>
          <w:szCs w:val="22"/>
          <w:lang w:eastAsia="en-US"/>
          <w14:ligatures w14:val="standardContextual"/>
        </w:rPr>
      </w:pPr>
      <w:r w:rsidRPr="00EF2F05">
        <w:rPr>
          <w:rFonts w:ascii="Tahoma" w:eastAsiaTheme="minorHAnsi" w:hAnsi="Tahoma" w:cs="Tahoma"/>
          <w:kern w:val="2"/>
          <w:sz w:val="22"/>
          <w:szCs w:val="22"/>
          <w:lang w:eastAsia="en-US"/>
          <w14:ligatures w14:val="standardContextual"/>
        </w:rPr>
        <w:t xml:space="preserve">Malgré un jugement définitif annulant sa suspension illégale, il n'a </w:t>
      </w:r>
      <w:r w:rsidR="00EF2F05" w:rsidRPr="00EF2F05">
        <w:rPr>
          <w:rFonts w:ascii="Tahoma" w:eastAsiaTheme="minorHAnsi" w:hAnsi="Tahoma" w:cs="Tahoma"/>
          <w:kern w:val="2"/>
          <w:sz w:val="22"/>
          <w:szCs w:val="22"/>
          <w:lang w:eastAsia="en-US"/>
          <w14:ligatures w14:val="standardContextual"/>
        </w:rPr>
        <w:t xml:space="preserve">non seulement </w:t>
      </w:r>
      <w:r w:rsidRPr="00EF2F05">
        <w:rPr>
          <w:rFonts w:ascii="Tahoma" w:eastAsiaTheme="minorHAnsi" w:hAnsi="Tahoma" w:cs="Tahoma"/>
          <w:kern w:val="2"/>
          <w:sz w:val="22"/>
          <w:szCs w:val="22"/>
          <w:lang w:eastAsia="en-US"/>
          <w14:ligatures w14:val="standardContextual"/>
        </w:rPr>
        <w:t>pas été autorisé à reprendre ses fonctions</w:t>
      </w:r>
      <w:r w:rsidR="00EF2F05" w:rsidRPr="00EF2F05">
        <w:rPr>
          <w:rFonts w:ascii="Tahoma" w:eastAsiaTheme="minorHAnsi" w:hAnsi="Tahoma" w:cs="Tahoma"/>
          <w:kern w:val="2"/>
          <w:sz w:val="22"/>
          <w:szCs w:val="22"/>
          <w:lang w:eastAsia="en-US"/>
          <w14:ligatures w14:val="standardContextual"/>
        </w:rPr>
        <w:t xml:space="preserve"> mais </w:t>
      </w:r>
      <w:r w:rsidR="00C61499">
        <w:rPr>
          <w:rFonts w:ascii="Tahoma" w:eastAsiaTheme="minorHAnsi" w:hAnsi="Tahoma" w:cs="Tahoma"/>
          <w:kern w:val="2"/>
          <w:sz w:val="22"/>
          <w:szCs w:val="22"/>
          <w:lang w:eastAsia="en-US"/>
          <w14:ligatures w14:val="standardContextual"/>
        </w:rPr>
        <w:t xml:space="preserve">arrêté arbitrairement, </w:t>
      </w:r>
      <w:r w:rsidR="00EF2F05" w:rsidRPr="00EF2F05">
        <w:rPr>
          <w:rFonts w:ascii="Tahoma" w:eastAsiaTheme="minorHAnsi" w:hAnsi="Tahoma" w:cs="Tahoma"/>
          <w:kern w:val="2"/>
          <w:sz w:val="22"/>
          <w:szCs w:val="22"/>
          <w:lang w:eastAsia="en-US"/>
          <w14:ligatures w14:val="standardContextual"/>
        </w:rPr>
        <w:t xml:space="preserve">inculpé et détenu aujourd’hui à la prison de </w:t>
      </w:r>
      <w:proofErr w:type="spellStart"/>
      <w:r w:rsidR="00EF2F05" w:rsidRPr="00EF2F05">
        <w:rPr>
          <w:rFonts w:ascii="Tahoma" w:eastAsiaTheme="minorHAnsi" w:hAnsi="Tahoma" w:cs="Tahoma"/>
          <w:kern w:val="2"/>
          <w:sz w:val="22"/>
          <w:szCs w:val="22"/>
          <w:lang w:eastAsia="en-US"/>
          <w14:ligatures w14:val="standardContextual"/>
        </w:rPr>
        <w:t>Mornaguia</w:t>
      </w:r>
      <w:proofErr w:type="spellEnd"/>
      <w:r w:rsidR="00EF2F05" w:rsidRPr="00EF2F05">
        <w:rPr>
          <w:rFonts w:ascii="Tahoma" w:eastAsiaTheme="minorHAnsi" w:hAnsi="Tahoma" w:cs="Tahoma"/>
          <w:kern w:val="2"/>
          <w:sz w:val="22"/>
          <w:szCs w:val="22"/>
          <w:lang w:eastAsia="en-US"/>
          <w14:ligatures w14:val="standardContextual"/>
        </w:rPr>
        <w:t xml:space="preserve"> près de Tunis</w:t>
      </w:r>
      <w:r w:rsidRPr="00EF2F05">
        <w:rPr>
          <w:rFonts w:ascii="Tahoma" w:eastAsiaTheme="minorHAnsi" w:hAnsi="Tahoma" w:cs="Tahoma"/>
          <w:kern w:val="2"/>
          <w:sz w:val="22"/>
          <w:szCs w:val="22"/>
          <w:lang w:eastAsia="en-US"/>
          <w14:ligatures w14:val="standardContextual"/>
        </w:rPr>
        <w:t xml:space="preserve">. </w:t>
      </w:r>
    </w:p>
    <w:p w:rsidR="00B506E1" w:rsidRPr="00EF2F05" w:rsidRDefault="00E5526E" w:rsidP="00C61499">
      <w:pPr>
        <w:pStyle w:val="NormalWeb"/>
        <w:ind w:firstLine="708"/>
        <w:jc w:val="both"/>
        <w:rPr>
          <w:rFonts w:ascii="Tahoma" w:eastAsiaTheme="minorHAnsi" w:hAnsi="Tahoma" w:cs="Tahoma"/>
          <w:kern w:val="2"/>
          <w:sz w:val="22"/>
          <w:szCs w:val="22"/>
          <w:lang w:eastAsia="en-US"/>
          <w14:ligatures w14:val="standardContextual"/>
        </w:rPr>
      </w:pPr>
      <w:r w:rsidRPr="00EF2F05">
        <w:rPr>
          <w:rFonts w:ascii="Tahoma" w:eastAsiaTheme="minorHAnsi" w:hAnsi="Tahoma" w:cs="Tahoma"/>
          <w:kern w:val="2"/>
          <w:sz w:val="22"/>
          <w:szCs w:val="22"/>
          <w:lang w:eastAsia="en-US"/>
          <w14:ligatures w14:val="standardContextual"/>
        </w:rPr>
        <w:t xml:space="preserve">En </w:t>
      </w:r>
      <w:r w:rsidR="00E85C7A" w:rsidRPr="00EF2F05">
        <w:rPr>
          <w:rFonts w:ascii="Tahoma" w:eastAsiaTheme="minorHAnsi" w:hAnsi="Tahoma" w:cs="Tahoma"/>
          <w:kern w:val="2"/>
          <w:sz w:val="22"/>
          <w:szCs w:val="22"/>
          <w:lang w:eastAsia="en-US"/>
          <w14:ligatures w14:val="standardContextual"/>
        </w:rPr>
        <w:t xml:space="preserve">dépit de l’annulation des décisions </w:t>
      </w:r>
      <w:r w:rsidRPr="00EF2F05">
        <w:rPr>
          <w:rFonts w:ascii="Tahoma" w:eastAsiaTheme="minorHAnsi" w:hAnsi="Tahoma" w:cs="Tahoma"/>
          <w:kern w:val="2"/>
          <w:sz w:val="22"/>
          <w:szCs w:val="22"/>
          <w:lang w:eastAsia="en-US"/>
          <w14:ligatures w14:val="standardContextual"/>
        </w:rPr>
        <w:t xml:space="preserve">de </w:t>
      </w:r>
      <w:r w:rsidR="00023660" w:rsidRPr="00EF2F05">
        <w:rPr>
          <w:rFonts w:ascii="Tahoma" w:eastAsiaTheme="minorHAnsi" w:hAnsi="Tahoma" w:cs="Tahoma"/>
          <w:kern w:val="2"/>
          <w:sz w:val="22"/>
          <w:szCs w:val="22"/>
          <w:lang w:eastAsia="en-US"/>
          <w14:ligatures w14:val="standardContextual"/>
        </w:rPr>
        <w:t>révocation</w:t>
      </w:r>
      <w:r w:rsidRPr="00EF2F05">
        <w:rPr>
          <w:rFonts w:ascii="Tahoma" w:eastAsiaTheme="minorHAnsi" w:hAnsi="Tahoma" w:cs="Tahoma"/>
          <w:kern w:val="2"/>
          <w:sz w:val="22"/>
          <w:szCs w:val="22"/>
          <w:lang w:eastAsia="en-US"/>
          <w14:ligatures w14:val="standardContextual"/>
        </w:rPr>
        <w:t xml:space="preserve"> par la justice tunisienne</w:t>
      </w:r>
      <w:r w:rsidR="00DF2712" w:rsidRPr="00EF2F05">
        <w:rPr>
          <w:rStyle w:val="Appelnotedebasdep"/>
          <w:rFonts w:ascii="Tahoma" w:eastAsiaTheme="minorHAnsi" w:hAnsi="Tahoma" w:cs="Tahoma"/>
          <w:kern w:val="2"/>
          <w:sz w:val="22"/>
          <w:szCs w:val="22"/>
          <w:lang w:eastAsia="en-US"/>
          <w14:ligatures w14:val="standardContextual"/>
        </w:rPr>
        <w:footnoteReference w:id="4"/>
      </w:r>
      <w:r w:rsidRPr="00EF2F05">
        <w:rPr>
          <w:rFonts w:ascii="Tahoma" w:eastAsiaTheme="minorHAnsi" w:hAnsi="Tahoma" w:cs="Tahoma"/>
          <w:kern w:val="2"/>
          <w:sz w:val="22"/>
          <w:szCs w:val="22"/>
          <w:lang w:eastAsia="en-US"/>
          <w14:ligatures w14:val="standardContextual"/>
        </w:rPr>
        <w:t>, les magistrats, qui font l’objet de multiples actes d’intimidations</w:t>
      </w:r>
      <w:r w:rsidR="00DF2712" w:rsidRPr="00EF2F05">
        <w:rPr>
          <w:rStyle w:val="Appelnotedebasdep"/>
          <w:rFonts w:ascii="Tahoma" w:eastAsiaTheme="minorHAnsi" w:hAnsi="Tahoma" w:cs="Tahoma"/>
          <w:kern w:val="2"/>
          <w:sz w:val="22"/>
          <w:szCs w:val="22"/>
          <w:lang w:eastAsia="en-US"/>
          <w14:ligatures w14:val="standardContextual"/>
        </w:rPr>
        <w:footnoteReference w:id="5"/>
      </w:r>
      <w:r w:rsidR="00E85C7A" w:rsidRPr="00EF2F05">
        <w:rPr>
          <w:rFonts w:ascii="Tahoma" w:eastAsiaTheme="minorHAnsi" w:hAnsi="Tahoma" w:cs="Tahoma"/>
          <w:kern w:val="2"/>
          <w:sz w:val="22"/>
          <w:szCs w:val="22"/>
          <w:lang w:eastAsia="en-US"/>
          <w14:ligatures w14:val="standardContextual"/>
        </w:rPr>
        <w:t xml:space="preserve"> </w:t>
      </w:r>
      <w:r w:rsidRPr="00EF2F05">
        <w:rPr>
          <w:rFonts w:ascii="Tahoma" w:eastAsiaTheme="minorHAnsi" w:hAnsi="Tahoma" w:cs="Tahoma"/>
          <w:kern w:val="2"/>
          <w:sz w:val="22"/>
          <w:szCs w:val="22"/>
          <w:lang w:eastAsia="en-US"/>
          <w14:ligatures w14:val="standardContextual"/>
        </w:rPr>
        <w:t xml:space="preserve">n’ont </w:t>
      </w:r>
      <w:r w:rsidR="00EF2F05" w:rsidRPr="00EF2F05">
        <w:rPr>
          <w:rFonts w:ascii="Tahoma" w:eastAsiaTheme="minorHAnsi" w:hAnsi="Tahoma" w:cs="Tahoma"/>
          <w:kern w:val="2"/>
          <w:sz w:val="22"/>
          <w:szCs w:val="22"/>
          <w:lang w:eastAsia="en-US"/>
          <w14:ligatures w14:val="standardContextual"/>
        </w:rPr>
        <w:t xml:space="preserve">jamais </w:t>
      </w:r>
      <w:r w:rsidR="00827975" w:rsidRPr="00EF2F05">
        <w:rPr>
          <w:rFonts w:ascii="Tahoma" w:eastAsiaTheme="minorHAnsi" w:hAnsi="Tahoma" w:cs="Tahoma"/>
          <w:kern w:val="2"/>
          <w:sz w:val="22"/>
          <w:szCs w:val="22"/>
          <w:lang w:eastAsia="en-US"/>
          <w14:ligatures w14:val="standardContextual"/>
        </w:rPr>
        <w:t>été</w:t>
      </w:r>
      <w:r w:rsidRPr="00EF2F05">
        <w:rPr>
          <w:rFonts w:ascii="Tahoma" w:eastAsiaTheme="minorHAnsi" w:hAnsi="Tahoma" w:cs="Tahoma"/>
          <w:kern w:val="2"/>
          <w:sz w:val="22"/>
          <w:szCs w:val="22"/>
          <w:lang w:eastAsia="en-US"/>
          <w14:ligatures w14:val="standardContextual"/>
        </w:rPr>
        <w:t>́ réinté</w:t>
      </w:r>
      <w:r w:rsidR="00C61499">
        <w:rPr>
          <w:rFonts w:ascii="Tahoma" w:eastAsiaTheme="minorHAnsi" w:hAnsi="Tahoma" w:cs="Tahoma"/>
          <w:kern w:val="2"/>
          <w:sz w:val="22"/>
          <w:szCs w:val="22"/>
          <w:lang w:eastAsia="en-US"/>
          <w14:ligatures w14:val="standardContextual"/>
        </w:rPr>
        <w:t xml:space="preserve">grés dans leur fonction par les autorités de l’état partie </w:t>
      </w:r>
      <w:r w:rsidRPr="00EF2F05">
        <w:rPr>
          <w:rFonts w:ascii="Tahoma" w:eastAsiaTheme="minorHAnsi" w:hAnsi="Tahoma" w:cs="Tahoma"/>
          <w:kern w:val="2"/>
          <w:sz w:val="22"/>
          <w:szCs w:val="22"/>
          <w:lang w:eastAsia="en-US"/>
          <w14:ligatures w14:val="standardContextual"/>
        </w:rPr>
        <w:t>qui refuse d’</w:t>
      </w:r>
      <w:r w:rsidR="00181C8F" w:rsidRPr="00EF2F05">
        <w:rPr>
          <w:rFonts w:ascii="Tahoma" w:eastAsiaTheme="minorHAnsi" w:hAnsi="Tahoma" w:cs="Tahoma"/>
          <w:kern w:val="2"/>
          <w:sz w:val="22"/>
          <w:szCs w:val="22"/>
          <w:lang w:eastAsia="en-US"/>
          <w14:ligatures w14:val="standardContextual"/>
        </w:rPr>
        <w:t>exécuter</w:t>
      </w:r>
      <w:r w:rsidRPr="00EF2F05">
        <w:rPr>
          <w:rFonts w:ascii="Tahoma" w:eastAsiaTheme="minorHAnsi" w:hAnsi="Tahoma" w:cs="Tahoma"/>
          <w:kern w:val="2"/>
          <w:sz w:val="22"/>
          <w:szCs w:val="22"/>
          <w:lang w:eastAsia="en-US"/>
          <w14:ligatures w14:val="standardContextual"/>
        </w:rPr>
        <w:t xml:space="preserve"> ces </w:t>
      </w:r>
      <w:r w:rsidR="00827975" w:rsidRPr="00EF2F05">
        <w:rPr>
          <w:rFonts w:ascii="Tahoma" w:eastAsiaTheme="minorHAnsi" w:hAnsi="Tahoma" w:cs="Tahoma"/>
          <w:kern w:val="2"/>
          <w:sz w:val="22"/>
          <w:szCs w:val="22"/>
          <w:lang w:eastAsia="en-US"/>
          <w14:ligatures w14:val="standardContextual"/>
        </w:rPr>
        <w:t>décisions</w:t>
      </w:r>
      <w:r w:rsidR="00DF2712" w:rsidRPr="00EF2F05">
        <w:rPr>
          <w:rStyle w:val="Appelnotedebasdep"/>
          <w:rFonts w:ascii="Tahoma" w:eastAsiaTheme="minorHAnsi" w:hAnsi="Tahoma" w:cs="Tahoma"/>
          <w:kern w:val="2"/>
          <w:sz w:val="22"/>
          <w:szCs w:val="22"/>
          <w:lang w:eastAsia="en-US"/>
          <w14:ligatures w14:val="standardContextual"/>
        </w:rPr>
        <w:footnoteReference w:id="6"/>
      </w:r>
      <w:r w:rsidRPr="00EF2F05">
        <w:rPr>
          <w:rFonts w:ascii="Tahoma" w:eastAsiaTheme="minorHAnsi" w:hAnsi="Tahoma" w:cs="Tahoma"/>
          <w:kern w:val="2"/>
          <w:sz w:val="22"/>
          <w:szCs w:val="22"/>
          <w:lang w:eastAsia="en-US"/>
          <w14:ligatures w14:val="standardContextual"/>
        </w:rPr>
        <w:t xml:space="preserve">. </w:t>
      </w:r>
    </w:p>
    <w:p w:rsidR="00F715E4" w:rsidRPr="00A94DB0" w:rsidRDefault="00F715E4" w:rsidP="00C61499">
      <w:pPr>
        <w:pStyle w:val="NormalWeb"/>
        <w:ind w:firstLine="708"/>
        <w:jc w:val="both"/>
        <w:rPr>
          <w:rFonts w:ascii="Tahoma" w:hAnsi="Tahoma" w:cs="Tahoma"/>
          <w:sz w:val="22"/>
          <w:szCs w:val="22"/>
        </w:rPr>
      </w:pPr>
      <w:r w:rsidRPr="00A94DB0">
        <w:rPr>
          <w:rFonts w:ascii="Tahoma" w:eastAsiaTheme="minorHAnsi" w:hAnsi="Tahoma" w:cs="Tahoma"/>
          <w:kern w:val="2"/>
          <w:sz w:val="22"/>
          <w:szCs w:val="22"/>
          <w:lang w:eastAsia="en-US"/>
          <w14:ligatures w14:val="standardContextual"/>
        </w:rPr>
        <w:t xml:space="preserve">Ces multiples </w:t>
      </w:r>
      <w:r w:rsidR="00827975" w:rsidRPr="00A94DB0">
        <w:rPr>
          <w:rFonts w:ascii="Tahoma" w:eastAsiaTheme="minorHAnsi" w:hAnsi="Tahoma" w:cs="Tahoma"/>
          <w:kern w:val="2"/>
          <w:sz w:val="22"/>
          <w:szCs w:val="22"/>
          <w:lang w:eastAsia="en-US"/>
          <w14:ligatures w14:val="standardContextual"/>
        </w:rPr>
        <w:t>représ</w:t>
      </w:r>
      <w:r w:rsidR="00827975">
        <w:rPr>
          <w:rFonts w:ascii="Tahoma" w:eastAsiaTheme="minorHAnsi" w:hAnsi="Tahoma" w:cs="Tahoma"/>
          <w:kern w:val="2"/>
          <w:sz w:val="22"/>
          <w:szCs w:val="22"/>
          <w:lang w:eastAsia="en-US"/>
          <w14:ligatures w14:val="standardContextual"/>
        </w:rPr>
        <w:t xml:space="preserve">ailles </w:t>
      </w:r>
      <w:r w:rsidRPr="00A94DB0">
        <w:rPr>
          <w:rFonts w:ascii="Tahoma" w:eastAsiaTheme="minorHAnsi" w:hAnsi="Tahoma" w:cs="Tahoma"/>
          <w:kern w:val="2"/>
          <w:sz w:val="22"/>
          <w:szCs w:val="22"/>
          <w:lang w:eastAsia="en-US"/>
          <w14:ligatures w14:val="standardContextual"/>
        </w:rPr>
        <w:t>subies par les membres du</w:t>
      </w:r>
      <w:r w:rsidR="00181C8F" w:rsidRPr="00A94DB0">
        <w:rPr>
          <w:rFonts w:ascii="Tahoma" w:eastAsiaTheme="minorHAnsi" w:hAnsi="Tahoma" w:cs="Tahoma"/>
          <w:kern w:val="2"/>
          <w:sz w:val="22"/>
          <w:szCs w:val="22"/>
          <w:lang w:eastAsia="en-US"/>
          <w14:ligatures w14:val="standardContextual"/>
        </w:rPr>
        <w:t xml:space="preserve"> corps</w:t>
      </w:r>
      <w:r w:rsidRPr="00A94DB0">
        <w:rPr>
          <w:rFonts w:ascii="Tahoma" w:eastAsiaTheme="minorHAnsi" w:hAnsi="Tahoma" w:cs="Tahoma"/>
          <w:kern w:val="2"/>
          <w:sz w:val="22"/>
          <w:szCs w:val="22"/>
          <w:lang w:eastAsia="en-US"/>
          <w14:ligatures w14:val="standardContextual"/>
        </w:rPr>
        <w:t xml:space="preserve"> judiciaire </w:t>
      </w:r>
      <w:r w:rsidR="00827975" w:rsidRPr="00827975">
        <w:rPr>
          <w:rFonts w:ascii="Tahoma" w:eastAsiaTheme="minorHAnsi" w:hAnsi="Tahoma" w:cs="Tahoma"/>
          <w:kern w:val="2"/>
          <w:sz w:val="22"/>
          <w:szCs w:val="22"/>
          <w:lang w:eastAsia="en-US"/>
          <w14:ligatures w14:val="standardContextual"/>
        </w:rPr>
        <w:t>s’inscrivent dans un contexte de</w:t>
      </w:r>
      <w:r w:rsidRPr="00827975">
        <w:rPr>
          <w:rFonts w:ascii="Tahoma" w:eastAsiaTheme="minorHAnsi" w:hAnsi="Tahoma" w:cs="Tahoma"/>
          <w:kern w:val="2"/>
          <w:sz w:val="22"/>
          <w:szCs w:val="22"/>
          <w:lang w:eastAsia="en-US"/>
          <w14:ligatures w14:val="standardContextual"/>
        </w:rPr>
        <w:t xml:space="preserve"> </w:t>
      </w:r>
      <w:r w:rsidRPr="00A94DB0">
        <w:rPr>
          <w:rFonts w:ascii="Tahoma" w:eastAsiaTheme="minorHAnsi" w:hAnsi="Tahoma" w:cs="Tahoma"/>
          <w:kern w:val="2"/>
          <w:sz w:val="22"/>
          <w:szCs w:val="22"/>
          <w:lang w:eastAsia="en-US"/>
          <w14:ligatures w14:val="standardContextual"/>
        </w:rPr>
        <w:t>violation totale du principe de la séparation des pouvoir</w:t>
      </w:r>
      <w:r w:rsidR="00827975">
        <w:rPr>
          <w:rFonts w:ascii="Tahoma" w:eastAsiaTheme="minorHAnsi" w:hAnsi="Tahoma" w:cs="Tahoma"/>
          <w:kern w:val="2"/>
          <w:sz w:val="22"/>
          <w:szCs w:val="22"/>
          <w:lang w:eastAsia="en-US"/>
          <w14:ligatures w14:val="standardContextual"/>
        </w:rPr>
        <w:t xml:space="preserve"> par le</w:t>
      </w:r>
      <w:r w:rsidRPr="00A94DB0">
        <w:rPr>
          <w:rFonts w:ascii="Tahoma" w:eastAsiaTheme="minorHAnsi" w:hAnsi="Tahoma" w:cs="Tahoma"/>
          <w:kern w:val="2"/>
          <w:sz w:val="22"/>
          <w:szCs w:val="22"/>
          <w:lang w:eastAsia="en-US"/>
          <w14:ligatures w14:val="standardContextual"/>
        </w:rPr>
        <w:t xml:space="preserve"> président </w:t>
      </w:r>
      <w:r w:rsidR="00827975">
        <w:rPr>
          <w:rFonts w:ascii="Tahoma" w:eastAsiaTheme="minorHAnsi" w:hAnsi="Tahoma" w:cs="Tahoma"/>
          <w:kern w:val="2"/>
          <w:sz w:val="22"/>
          <w:szCs w:val="22"/>
          <w:lang w:eastAsia="en-US"/>
          <w14:ligatures w14:val="standardContextual"/>
        </w:rPr>
        <w:t xml:space="preserve">qui </w:t>
      </w:r>
      <w:r w:rsidRPr="00A94DB0">
        <w:rPr>
          <w:rFonts w:ascii="Tahoma" w:hAnsi="Tahoma" w:cs="Tahoma"/>
          <w:sz w:val="22"/>
          <w:szCs w:val="22"/>
        </w:rPr>
        <w:t xml:space="preserve">s’impose </w:t>
      </w:r>
      <w:r w:rsidR="00827975">
        <w:rPr>
          <w:rFonts w:ascii="Tahoma" w:hAnsi="Tahoma" w:cs="Tahoma"/>
          <w:sz w:val="22"/>
          <w:szCs w:val="22"/>
        </w:rPr>
        <w:t xml:space="preserve">aujourd’hui </w:t>
      </w:r>
      <w:r w:rsidRPr="00A94DB0">
        <w:rPr>
          <w:rFonts w:ascii="Tahoma" w:hAnsi="Tahoma" w:cs="Tahoma"/>
          <w:sz w:val="22"/>
          <w:szCs w:val="22"/>
        </w:rPr>
        <w:t>comme l’uni</w:t>
      </w:r>
      <w:r w:rsidR="00827975">
        <w:rPr>
          <w:rFonts w:ascii="Tahoma" w:hAnsi="Tahoma" w:cs="Tahoma"/>
          <w:sz w:val="22"/>
          <w:szCs w:val="22"/>
        </w:rPr>
        <w:t xml:space="preserve">que source de tous les pouvoirs, </w:t>
      </w:r>
      <w:r w:rsidRPr="00A94DB0">
        <w:rPr>
          <w:rFonts w:ascii="Tahoma" w:hAnsi="Tahoma" w:cs="Tahoma"/>
          <w:sz w:val="22"/>
          <w:szCs w:val="22"/>
        </w:rPr>
        <w:t>légifère par voie de décrets</w:t>
      </w:r>
      <w:r w:rsidRPr="00A94DB0">
        <w:rPr>
          <w:rFonts w:ascii="Tahoma" w:hAnsi="Tahoma" w:cs="Tahoma"/>
          <w:sz w:val="22"/>
          <w:szCs w:val="22"/>
          <w:vertAlign w:val="superscript"/>
        </w:rPr>
        <w:footnoteReference w:id="7"/>
      </w:r>
      <w:r w:rsidRPr="00A94DB0">
        <w:rPr>
          <w:rFonts w:ascii="Tahoma" w:hAnsi="Tahoma" w:cs="Tahoma"/>
          <w:sz w:val="22"/>
          <w:szCs w:val="22"/>
        </w:rPr>
        <w:t xml:space="preserve"> constitu</w:t>
      </w:r>
      <w:r w:rsidR="00C61499">
        <w:rPr>
          <w:rFonts w:ascii="Tahoma" w:hAnsi="Tahoma" w:cs="Tahoma"/>
          <w:sz w:val="22"/>
          <w:szCs w:val="22"/>
        </w:rPr>
        <w:t>ant ainsi</w:t>
      </w:r>
      <w:r w:rsidRPr="00A94DB0">
        <w:rPr>
          <w:rFonts w:ascii="Tahoma" w:hAnsi="Tahoma" w:cs="Tahoma"/>
          <w:sz w:val="22"/>
          <w:szCs w:val="22"/>
        </w:rPr>
        <w:t xml:space="preserve"> les principaux obstacles à la création d’une Cour constitutionnelle</w:t>
      </w:r>
      <w:r w:rsidR="00CE4725" w:rsidRPr="00A94DB0">
        <w:rPr>
          <w:rFonts w:ascii="Tahoma" w:hAnsi="Tahoma" w:cs="Tahoma"/>
          <w:sz w:val="22"/>
          <w:szCs w:val="22"/>
        </w:rPr>
        <w:t xml:space="preserve"> en Tunisie</w:t>
      </w:r>
      <w:r w:rsidRPr="00A94DB0">
        <w:rPr>
          <w:rFonts w:ascii="Tahoma" w:hAnsi="Tahoma" w:cs="Tahoma"/>
          <w:sz w:val="22"/>
          <w:szCs w:val="22"/>
        </w:rPr>
        <w:t xml:space="preserve">. </w:t>
      </w:r>
    </w:p>
    <w:p w:rsidR="00DC3441" w:rsidRPr="00A94DB0" w:rsidRDefault="005149CE" w:rsidP="00C61499">
      <w:pPr>
        <w:ind w:firstLine="708"/>
        <w:jc w:val="both"/>
        <w:rPr>
          <w:rFonts w:ascii="Tahoma" w:hAnsi="Tahoma" w:cs="Tahoma"/>
          <w:sz w:val="22"/>
          <w:szCs w:val="22"/>
        </w:rPr>
      </w:pPr>
      <w:r w:rsidRPr="00A94DB0">
        <w:rPr>
          <w:rFonts w:ascii="Tahoma" w:hAnsi="Tahoma" w:cs="Tahoma"/>
          <w:sz w:val="22"/>
          <w:szCs w:val="22"/>
        </w:rPr>
        <w:t>Alkarama reste aujourd’hui profondément préoccupée par l’absence d’une juridiction constitutionnelle chargée d</w:t>
      </w:r>
      <w:r w:rsidR="00181C8F" w:rsidRPr="00A94DB0">
        <w:rPr>
          <w:rFonts w:ascii="Tahoma" w:hAnsi="Tahoma" w:cs="Tahoma"/>
          <w:sz w:val="22"/>
          <w:szCs w:val="22"/>
        </w:rPr>
        <w:t>e garantir</w:t>
      </w:r>
      <w:r w:rsidRPr="00A94DB0">
        <w:rPr>
          <w:rFonts w:ascii="Tahoma" w:hAnsi="Tahoma" w:cs="Tahoma"/>
          <w:sz w:val="22"/>
          <w:szCs w:val="22"/>
        </w:rPr>
        <w:t xml:space="preserve"> la primauté du droit et de veiller au respect </w:t>
      </w:r>
      <w:r w:rsidR="00C61499">
        <w:rPr>
          <w:rFonts w:ascii="Tahoma" w:hAnsi="Tahoma" w:cs="Tahoma"/>
          <w:sz w:val="22"/>
          <w:szCs w:val="22"/>
        </w:rPr>
        <w:t>de l’</w:t>
      </w:r>
      <w:r w:rsidR="00EB0201" w:rsidRPr="00A94DB0">
        <w:rPr>
          <w:rFonts w:ascii="Tahoma" w:hAnsi="Tahoma" w:cs="Tahoma"/>
          <w:sz w:val="22"/>
          <w:szCs w:val="22"/>
        </w:rPr>
        <w:t>État</w:t>
      </w:r>
      <w:r w:rsidRPr="00A94DB0">
        <w:rPr>
          <w:rFonts w:ascii="Tahoma" w:hAnsi="Tahoma" w:cs="Tahoma"/>
          <w:sz w:val="22"/>
          <w:szCs w:val="22"/>
        </w:rPr>
        <w:t xml:space="preserve"> de droit</w:t>
      </w:r>
      <w:r w:rsidR="00B506E1" w:rsidRPr="00A94DB0">
        <w:rPr>
          <w:rFonts w:ascii="Tahoma" w:hAnsi="Tahoma" w:cs="Tahoma"/>
          <w:sz w:val="22"/>
          <w:szCs w:val="22"/>
        </w:rPr>
        <w:t xml:space="preserve"> et craint que le retard </w:t>
      </w:r>
      <w:r w:rsidR="00C61499">
        <w:rPr>
          <w:rFonts w:ascii="Tahoma" w:hAnsi="Tahoma" w:cs="Tahoma"/>
          <w:sz w:val="22"/>
          <w:szCs w:val="22"/>
        </w:rPr>
        <w:t xml:space="preserve">voire l’absence </w:t>
      </w:r>
      <w:r w:rsidR="00B506E1" w:rsidRPr="00A94DB0">
        <w:rPr>
          <w:rFonts w:ascii="Tahoma" w:hAnsi="Tahoma" w:cs="Tahoma"/>
          <w:sz w:val="22"/>
          <w:szCs w:val="22"/>
        </w:rPr>
        <w:t xml:space="preserve">de formation de l’institution pourrait également découler de la tendance du </w:t>
      </w:r>
      <w:r w:rsidR="00181C8F" w:rsidRPr="00A94DB0">
        <w:rPr>
          <w:rFonts w:ascii="Tahoma" w:hAnsi="Tahoma" w:cs="Tahoma"/>
          <w:sz w:val="22"/>
          <w:szCs w:val="22"/>
        </w:rPr>
        <w:t xml:space="preserve">chef de l’état </w:t>
      </w:r>
      <w:r w:rsidR="00B506E1" w:rsidRPr="00A94DB0">
        <w:rPr>
          <w:rFonts w:ascii="Tahoma" w:hAnsi="Tahoma" w:cs="Tahoma"/>
          <w:sz w:val="22"/>
          <w:szCs w:val="22"/>
        </w:rPr>
        <w:t xml:space="preserve">à </w:t>
      </w:r>
      <w:r w:rsidR="005E7C07" w:rsidRPr="00A94DB0">
        <w:rPr>
          <w:rFonts w:ascii="Tahoma" w:hAnsi="Tahoma" w:cs="Tahoma"/>
          <w:sz w:val="22"/>
          <w:szCs w:val="22"/>
        </w:rPr>
        <w:t>gouverner</w:t>
      </w:r>
      <w:r w:rsidR="00B506E1" w:rsidRPr="00A94DB0">
        <w:rPr>
          <w:rFonts w:ascii="Tahoma" w:hAnsi="Tahoma" w:cs="Tahoma"/>
          <w:sz w:val="22"/>
          <w:szCs w:val="22"/>
        </w:rPr>
        <w:t xml:space="preserve"> </w:t>
      </w:r>
      <w:r w:rsidR="00681BE9" w:rsidRPr="00A94DB0">
        <w:rPr>
          <w:rFonts w:ascii="Tahoma" w:hAnsi="Tahoma" w:cs="Tahoma"/>
          <w:sz w:val="22"/>
          <w:szCs w:val="22"/>
        </w:rPr>
        <w:t>seul</w:t>
      </w:r>
      <w:r w:rsidR="00B506E1" w:rsidRPr="00A94DB0">
        <w:rPr>
          <w:rFonts w:ascii="Tahoma" w:hAnsi="Tahoma" w:cs="Tahoma"/>
          <w:sz w:val="22"/>
          <w:szCs w:val="22"/>
        </w:rPr>
        <w:t xml:space="preserve"> et sans moyens de contrôle sur ses actions</w:t>
      </w:r>
      <w:r w:rsidR="004612AA" w:rsidRPr="00A94DB0">
        <w:rPr>
          <w:rFonts w:ascii="Tahoma" w:hAnsi="Tahoma" w:cs="Tahoma"/>
          <w:sz w:val="22"/>
          <w:szCs w:val="22"/>
        </w:rPr>
        <w:t>.</w:t>
      </w:r>
    </w:p>
    <w:p w:rsidR="00AE31D8" w:rsidRPr="00A94DB0" w:rsidRDefault="00AE31D8" w:rsidP="00E20C6B">
      <w:pPr>
        <w:ind w:firstLine="360"/>
        <w:jc w:val="both"/>
        <w:rPr>
          <w:rFonts w:ascii="Tahoma" w:hAnsi="Tahoma" w:cs="Tahoma"/>
          <w:sz w:val="22"/>
          <w:szCs w:val="22"/>
        </w:rPr>
      </w:pPr>
    </w:p>
    <w:p w:rsidR="00E20C6B" w:rsidRPr="00A94DB0" w:rsidRDefault="00E20C6B" w:rsidP="00E20C6B">
      <w:pPr>
        <w:ind w:firstLine="360"/>
        <w:jc w:val="both"/>
        <w:rPr>
          <w:rFonts w:ascii="Tahoma" w:hAnsi="Tahoma" w:cs="Tahoma"/>
          <w:sz w:val="22"/>
          <w:szCs w:val="22"/>
        </w:rPr>
      </w:pPr>
    </w:p>
    <w:p w:rsidR="00F73AD0" w:rsidRPr="00A94DB0" w:rsidRDefault="00F73AD0" w:rsidP="00433941">
      <w:pPr>
        <w:pStyle w:val="Paragraphedeliste"/>
        <w:numPr>
          <w:ilvl w:val="0"/>
          <w:numId w:val="1"/>
        </w:numPr>
        <w:jc w:val="both"/>
        <w:rPr>
          <w:rFonts w:ascii="Tahoma" w:hAnsi="Tahoma" w:cs="Tahoma"/>
          <w:b/>
          <w:bCs/>
          <w:sz w:val="22"/>
          <w:szCs w:val="22"/>
        </w:rPr>
      </w:pPr>
      <w:r w:rsidRPr="00A94DB0">
        <w:rPr>
          <w:rFonts w:ascii="Tahoma" w:hAnsi="Tahoma" w:cs="Tahoma"/>
          <w:b/>
          <w:bCs/>
          <w:sz w:val="22"/>
          <w:szCs w:val="22"/>
        </w:rPr>
        <w:t>État d'urgence et lutte contre le terrorisme (paragraphe 30 des observations finales)</w:t>
      </w:r>
    </w:p>
    <w:p w:rsidR="00F73AD0" w:rsidRPr="00A94DB0" w:rsidRDefault="00F73AD0" w:rsidP="00DE2701">
      <w:pPr>
        <w:jc w:val="both"/>
        <w:rPr>
          <w:rFonts w:ascii="Tahoma" w:hAnsi="Tahoma" w:cs="Tahoma"/>
          <w:sz w:val="22"/>
          <w:szCs w:val="22"/>
        </w:rPr>
      </w:pPr>
    </w:p>
    <w:p w:rsidR="00767FB7" w:rsidRPr="00A94DB0" w:rsidRDefault="00CF1283" w:rsidP="00475559">
      <w:pPr>
        <w:ind w:firstLine="708"/>
        <w:jc w:val="both"/>
        <w:rPr>
          <w:rFonts w:ascii="Tahoma" w:hAnsi="Tahoma" w:cs="Tahoma"/>
          <w:sz w:val="22"/>
          <w:szCs w:val="22"/>
        </w:rPr>
      </w:pPr>
      <w:r w:rsidRPr="00A94DB0">
        <w:rPr>
          <w:rFonts w:ascii="Tahoma" w:hAnsi="Tahoma" w:cs="Tahoma"/>
          <w:sz w:val="22"/>
          <w:szCs w:val="22"/>
        </w:rPr>
        <w:t>L</w:t>
      </w:r>
      <w:r w:rsidR="00F73AD0" w:rsidRPr="00A94DB0">
        <w:rPr>
          <w:rFonts w:ascii="Tahoma" w:hAnsi="Tahoma" w:cs="Tahoma"/>
          <w:sz w:val="22"/>
          <w:szCs w:val="22"/>
        </w:rPr>
        <w:t>’état d'urgence</w:t>
      </w:r>
      <w:r w:rsidRPr="00A94DB0">
        <w:rPr>
          <w:rFonts w:ascii="Tahoma" w:hAnsi="Tahoma" w:cs="Tahoma"/>
          <w:sz w:val="22"/>
          <w:szCs w:val="22"/>
        </w:rPr>
        <w:t xml:space="preserve"> en Tunisie</w:t>
      </w:r>
      <w:r w:rsidR="00F73AD0" w:rsidRPr="00A94DB0">
        <w:rPr>
          <w:rFonts w:ascii="Tahoma" w:hAnsi="Tahoma" w:cs="Tahoma"/>
          <w:sz w:val="22"/>
          <w:szCs w:val="22"/>
        </w:rPr>
        <w:t xml:space="preserve"> entré en vigueur, pour la première fois le 24 novembre 2015 a depuis lors été prolongé plusieurs fois. </w:t>
      </w:r>
      <w:r w:rsidR="00767FB7" w:rsidRPr="00A94DB0">
        <w:rPr>
          <w:rFonts w:ascii="Tahoma" w:hAnsi="Tahoma" w:cs="Tahoma"/>
          <w:sz w:val="22"/>
          <w:szCs w:val="22"/>
        </w:rPr>
        <w:t>Préoccupés par ces prorogations indéfinies, il avait été recommandé par le Comité à l’État partie d’ « envisager de mettre fin à la prolongation continue de l'état d'urgence</w:t>
      </w:r>
      <w:r w:rsidR="00D7725D" w:rsidRPr="00A94DB0">
        <w:rPr>
          <w:rStyle w:val="Appelnotedebasdep"/>
          <w:rFonts w:ascii="Tahoma" w:hAnsi="Tahoma" w:cs="Tahoma"/>
          <w:sz w:val="22"/>
          <w:szCs w:val="22"/>
        </w:rPr>
        <w:footnoteReference w:id="8"/>
      </w:r>
      <w:r w:rsidR="00985C38" w:rsidRPr="00A94DB0">
        <w:rPr>
          <w:rFonts w:ascii="Tahoma" w:hAnsi="Tahoma" w:cs="Tahoma"/>
          <w:sz w:val="22"/>
          <w:szCs w:val="22"/>
        </w:rPr>
        <w:t>.</w:t>
      </w:r>
      <w:r w:rsidR="00767FB7" w:rsidRPr="00A94DB0">
        <w:rPr>
          <w:rFonts w:ascii="Tahoma" w:hAnsi="Tahoma" w:cs="Tahoma"/>
          <w:sz w:val="22"/>
          <w:szCs w:val="22"/>
        </w:rPr>
        <w:t>»</w:t>
      </w:r>
    </w:p>
    <w:p w:rsidR="00767FB7" w:rsidRPr="00A94DB0" w:rsidRDefault="00767FB7" w:rsidP="00DE2701">
      <w:pPr>
        <w:jc w:val="both"/>
        <w:rPr>
          <w:rFonts w:ascii="Tahoma" w:hAnsi="Tahoma" w:cs="Tahoma"/>
          <w:sz w:val="22"/>
          <w:szCs w:val="22"/>
        </w:rPr>
      </w:pPr>
    </w:p>
    <w:p w:rsidR="00965E62" w:rsidRPr="00A94DB0" w:rsidRDefault="00965E62" w:rsidP="00475559">
      <w:pPr>
        <w:ind w:firstLine="708"/>
        <w:jc w:val="both"/>
        <w:rPr>
          <w:rFonts w:ascii="Tahoma" w:hAnsi="Tahoma" w:cs="Tahoma"/>
          <w:sz w:val="22"/>
          <w:szCs w:val="22"/>
        </w:rPr>
      </w:pPr>
      <w:r w:rsidRPr="00A94DB0">
        <w:rPr>
          <w:rFonts w:ascii="Tahoma" w:hAnsi="Tahoma" w:cs="Tahoma"/>
          <w:sz w:val="22"/>
          <w:szCs w:val="22"/>
        </w:rPr>
        <w:t xml:space="preserve">En dépit de cette recommandation, l’état d’urgence a été prolongé à plusieurs reprises dont par </w:t>
      </w:r>
      <w:r w:rsidR="00F73AD0" w:rsidRPr="00A94DB0">
        <w:rPr>
          <w:rFonts w:ascii="Tahoma" w:hAnsi="Tahoma" w:cs="Tahoma"/>
          <w:sz w:val="22"/>
          <w:szCs w:val="22"/>
        </w:rPr>
        <w:t xml:space="preserve">un décret présidentiel en date du </w:t>
      </w:r>
      <w:r w:rsidR="00CF1283" w:rsidRPr="00A94DB0">
        <w:rPr>
          <w:rFonts w:ascii="Tahoma" w:hAnsi="Tahoma" w:cs="Tahoma"/>
          <w:sz w:val="22"/>
          <w:szCs w:val="22"/>
        </w:rPr>
        <w:t>30 janvier 2023</w:t>
      </w:r>
      <w:r w:rsidR="006D168F" w:rsidRPr="00A94DB0">
        <w:rPr>
          <w:rStyle w:val="Appelnotedebasdep"/>
          <w:rFonts w:ascii="Tahoma" w:hAnsi="Tahoma" w:cs="Tahoma"/>
          <w:sz w:val="22"/>
          <w:szCs w:val="22"/>
        </w:rPr>
        <w:footnoteReference w:id="9"/>
      </w:r>
      <w:r w:rsidRPr="00A94DB0">
        <w:rPr>
          <w:rFonts w:ascii="Tahoma" w:hAnsi="Tahoma" w:cs="Tahoma"/>
          <w:sz w:val="22"/>
          <w:szCs w:val="22"/>
        </w:rPr>
        <w:t xml:space="preserve"> qui l’a </w:t>
      </w:r>
      <w:r w:rsidR="00F73AD0" w:rsidRPr="00A94DB0">
        <w:rPr>
          <w:rFonts w:ascii="Tahoma" w:hAnsi="Tahoma" w:cs="Tahoma"/>
          <w:sz w:val="22"/>
          <w:szCs w:val="22"/>
        </w:rPr>
        <w:t>prorogé jusqu’au 31 décembre 202</w:t>
      </w:r>
      <w:r w:rsidR="00B15D78" w:rsidRPr="00A94DB0">
        <w:rPr>
          <w:rFonts w:ascii="Tahoma" w:hAnsi="Tahoma" w:cs="Tahoma"/>
          <w:sz w:val="22"/>
          <w:szCs w:val="22"/>
        </w:rPr>
        <w:t>3</w:t>
      </w:r>
      <w:r w:rsidR="00F73AD0" w:rsidRPr="00A94DB0">
        <w:rPr>
          <w:rFonts w:ascii="Tahoma" w:hAnsi="Tahoma" w:cs="Tahoma"/>
          <w:sz w:val="22"/>
          <w:szCs w:val="22"/>
        </w:rPr>
        <w:t xml:space="preserve">. </w:t>
      </w:r>
    </w:p>
    <w:p w:rsidR="00965E62" w:rsidRPr="00A94DB0" w:rsidRDefault="009F2D35" w:rsidP="009F2D35">
      <w:pPr>
        <w:tabs>
          <w:tab w:val="left" w:pos="1707"/>
        </w:tabs>
        <w:jc w:val="both"/>
        <w:rPr>
          <w:rFonts w:ascii="Tahoma" w:hAnsi="Tahoma" w:cs="Tahoma"/>
          <w:sz w:val="22"/>
          <w:szCs w:val="22"/>
        </w:rPr>
      </w:pPr>
      <w:r w:rsidRPr="00A94DB0">
        <w:rPr>
          <w:rFonts w:ascii="Tahoma" w:hAnsi="Tahoma" w:cs="Tahoma"/>
          <w:sz w:val="22"/>
          <w:szCs w:val="22"/>
        </w:rPr>
        <w:tab/>
      </w:r>
    </w:p>
    <w:p w:rsidR="00475559" w:rsidRPr="00A94DB0" w:rsidRDefault="00965E62" w:rsidP="00475559">
      <w:pPr>
        <w:ind w:firstLine="708"/>
        <w:jc w:val="both"/>
        <w:rPr>
          <w:rFonts w:ascii="Tahoma" w:hAnsi="Tahoma" w:cs="Tahoma"/>
          <w:sz w:val="22"/>
          <w:szCs w:val="22"/>
        </w:rPr>
      </w:pPr>
      <w:r w:rsidRPr="00A94DB0">
        <w:rPr>
          <w:rFonts w:ascii="Tahoma" w:hAnsi="Tahoma" w:cs="Tahoma"/>
          <w:sz w:val="22"/>
          <w:szCs w:val="22"/>
        </w:rPr>
        <w:t xml:space="preserve">Il convient de </w:t>
      </w:r>
      <w:r w:rsidR="009F2D35" w:rsidRPr="00A94DB0">
        <w:rPr>
          <w:rFonts w:ascii="Tahoma" w:hAnsi="Tahoma" w:cs="Tahoma"/>
          <w:sz w:val="22"/>
          <w:szCs w:val="22"/>
        </w:rPr>
        <w:t>rappeler</w:t>
      </w:r>
      <w:r w:rsidRPr="00A94DB0">
        <w:rPr>
          <w:rFonts w:ascii="Tahoma" w:hAnsi="Tahoma" w:cs="Tahoma"/>
          <w:sz w:val="22"/>
          <w:szCs w:val="22"/>
        </w:rPr>
        <w:t xml:space="preserve"> que l’</w:t>
      </w:r>
      <w:r w:rsidR="00F73AD0" w:rsidRPr="00A94DB0">
        <w:rPr>
          <w:rFonts w:ascii="Tahoma" w:hAnsi="Tahoma" w:cs="Tahoma"/>
          <w:sz w:val="22"/>
          <w:szCs w:val="22"/>
        </w:rPr>
        <w:t xml:space="preserve">état d’urgence est actuellement régi par le décret présidentiel de 1978 qui accorde au ministère de l’Intérieur de larges pouvoirs, y compris de </w:t>
      </w:r>
      <w:r w:rsidR="00F73AD0" w:rsidRPr="00A94DB0">
        <w:rPr>
          <w:rFonts w:ascii="Tahoma" w:hAnsi="Tahoma" w:cs="Tahoma"/>
          <w:sz w:val="22"/>
          <w:szCs w:val="22"/>
        </w:rPr>
        <w:lastRenderedPageBreak/>
        <w:t xml:space="preserve">restreindre le droit à la libre circulation, de suspendre toutes les grèves et manifestations, d’interdire et disperser tous les rassemblements qu’il considère menaçant l’ordre public, et de prononcer l'assignation à résidence de toute personne dont l'activité est jugée dangereuse pour la sécurité et l'ordre publics. </w:t>
      </w:r>
    </w:p>
    <w:p w:rsidR="00475559" w:rsidRPr="00A94DB0" w:rsidRDefault="00475559" w:rsidP="00475559">
      <w:pPr>
        <w:ind w:firstLine="360"/>
        <w:jc w:val="both"/>
        <w:rPr>
          <w:rFonts w:ascii="Tahoma" w:hAnsi="Tahoma" w:cs="Tahoma"/>
          <w:sz w:val="22"/>
          <w:szCs w:val="22"/>
        </w:rPr>
      </w:pPr>
    </w:p>
    <w:p w:rsidR="00F73AD0" w:rsidRPr="00A94DB0" w:rsidRDefault="009F2D35" w:rsidP="00475559">
      <w:pPr>
        <w:ind w:firstLine="708"/>
        <w:jc w:val="both"/>
        <w:rPr>
          <w:rFonts w:ascii="Tahoma" w:hAnsi="Tahoma" w:cs="Tahoma"/>
          <w:sz w:val="22"/>
          <w:szCs w:val="22"/>
        </w:rPr>
      </w:pPr>
      <w:r w:rsidRPr="00A94DB0">
        <w:rPr>
          <w:rFonts w:ascii="Tahoma" w:hAnsi="Tahoma" w:cs="Tahoma"/>
          <w:sz w:val="22"/>
          <w:szCs w:val="22"/>
        </w:rPr>
        <w:t>Comme reconnu par</w:t>
      </w:r>
      <w:r w:rsidR="00F73AD0" w:rsidRPr="00A94DB0">
        <w:rPr>
          <w:rFonts w:ascii="Tahoma" w:hAnsi="Tahoma" w:cs="Tahoma"/>
          <w:sz w:val="22"/>
          <w:szCs w:val="22"/>
        </w:rPr>
        <w:t xml:space="preserve"> l’État partie </w:t>
      </w:r>
      <w:r w:rsidRPr="00A94DB0">
        <w:rPr>
          <w:rFonts w:ascii="Tahoma" w:hAnsi="Tahoma" w:cs="Tahoma"/>
          <w:sz w:val="22"/>
          <w:szCs w:val="22"/>
        </w:rPr>
        <w:t xml:space="preserve">dans son rapport de suivi </w:t>
      </w:r>
      <w:r w:rsidR="00F73AD0" w:rsidRPr="00A94DB0">
        <w:rPr>
          <w:rFonts w:ascii="Tahoma" w:hAnsi="Tahoma" w:cs="Tahoma"/>
          <w:sz w:val="22"/>
          <w:szCs w:val="22"/>
        </w:rPr>
        <w:t xml:space="preserve">: </w:t>
      </w:r>
    </w:p>
    <w:p w:rsidR="00F73AD0" w:rsidRPr="00A94DB0" w:rsidRDefault="00F73AD0" w:rsidP="00DE2701">
      <w:pPr>
        <w:jc w:val="both"/>
        <w:rPr>
          <w:rFonts w:ascii="Tahoma" w:hAnsi="Tahoma" w:cs="Tahoma"/>
          <w:sz w:val="22"/>
          <w:szCs w:val="22"/>
        </w:rPr>
      </w:pPr>
    </w:p>
    <w:p w:rsidR="00942FD7" w:rsidRPr="00A94DB0" w:rsidRDefault="00F73AD0" w:rsidP="00942FD7">
      <w:pPr>
        <w:ind w:left="2124"/>
        <w:jc w:val="both"/>
        <w:rPr>
          <w:rFonts w:ascii="Tahoma" w:hAnsi="Tahoma" w:cs="Tahoma"/>
          <w:sz w:val="22"/>
          <w:szCs w:val="22"/>
        </w:rPr>
      </w:pPr>
      <w:r w:rsidRPr="00A94DB0">
        <w:rPr>
          <w:rFonts w:ascii="Tahoma" w:hAnsi="Tahoma" w:cs="Tahoma"/>
          <w:sz w:val="22"/>
          <w:szCs w:val="22"/>
        </w:rPr>
        <w:t>« </w:t>
      </w:r>
      <w:r w:rsidRPr="00A94DB0">
        <w:rPr>
          <w:rFonts w:ascii="Tahoma" w:hAnsi="Tahoma" w:cs="Tahoma"/>
          <w:i/>
          <w:iCs/>
          <w:sz w:val="22"/>
          <w:szCs w:val="22"/>
        </w:rPr>
        <w:t>L'article 5 du décret n°50 de 1978 autorise le ministre de l'intérieur à assigner à résidence toute personne dont les activités ou les mouvements sont considérés comme une menace pour la sécurité publique</w:t>
      </w:r>
      <w:r w:rsidR="00942FD7" w:rsidRPr="00A94DB0">
        <w:rPr>
          <w:rStyle w:val="Appelnotedebasdep"/>
          <w:rFonts w:ascii="Tahoma" w:hAnsi="Tahoma" w:cs="Tahoma"/>
          <w:sz w:val="22"/>
          <w:szCs w:val="22"/>
        </w:rPr>
        <w:footnoteReference w:id="10"/>
      </w:r>
      <w:r w:rsidRPr="00A94DB0">
        <w:rPr>
          <w:rFonts w:ascii="Tahoma" w:hAnsi="Tahoma" w:cs="Tahoma"/>
          <w:sz w:val="22"/>
          <w:szCs w:val="22"/>
        </w:rPr>
        <w:t>. »</w:t>
      </w:r>
    </w:p>
    <w:p w:rsidR="00AF62CA" w:rsidRPr="00A94DB0" w:rsidRDefault="00F90E4F" w:rsidP="00475559">
      <w:pPr>
        <w:pStyle w:val="NormalWeb"/>
        <w:ind w:firstLine="708"/>
        <w:jc w:val="both"/>
        <w:rPr>
          <w:rFonts w:ascii="Tahoma" w:hAnsi="Tahoma" w:cs="Tahoma"/>
          <w:sz w:val="22"/>
          <w:szCs w:val="22"/>
        </w:rPr>
      </w:pPr>
      <w:r w:rsidRPr="00A94DB0">
        <w:rPr>
          <w:rFonts w:ascii="Tahoma" w:hAnsi="Tahoma" w:cs="Tahoma"/>
          <w:sz w:val="22"/>
          <w:szCs w:val="22"/>
        </w:rPr>
        <w:t>La formulation de l’article 5 soulève de vives préoccupations en ce qu’elle élargit considérab</w:t>
      </w:r>
      <w:r w:rsidR="00C61499">
        <w:rPr>
          <w:rFonts w:ascii="Tahoma" w:hAnsi="Tahoma" w:cs="Tahoma"/>
          <w:sz w:val="22"/>
          <w:szCs w:val="22"/>
        </w:rPr>
        <w:t>lement le champ d’application</w:t>
      </w:r>
      <w:r w:rsidRPr="00A94DB0">
        <w:rPr>
          <w:rFonts w:ascii="Tahoma" w:hAnsi="Tahoma" w:cs="Tahoma"/>
          <w:sz w:val="22"/>
          <w:szCs w:val="22"/>
        </w:rPr>
        <w:t xml:space="preserve"> </w:t>
      </w:r>
      <w:r w:rsidR="00C718CD" w:rsidRPr="00A94DB0">
        <w:rPr>
          <w:rFonts w:ascii="Tahoma" w:hAnsi="Tahoma" w:cs="Tahoma"/>
          <w:sz w:val="22"/>
          <w:szCs w:val="22"/>
        </w:rPr>
        <w:t xml:space="preserve">du décret </w:t>
      </w:r>
      <w:r w:rsidRPr="00A94DB0">
        <w:rPr>
          <w:rFonts w:ascii="Tahoma" w:hAnsi="Tahoma" w:cs="Tahoma"/>
          <w:sz w:val="22"/>
          <w:szCs w:val="22"/>
        </w:rPr>
        <w:t xml:space="preserve">par </w:t>
      </w:r>
      <w:r w:rsidR="00C718CD" w:rsidRPr="00A94DB0">
        <w:rPr>
          <w:rFonts w:ascii="Tahoma" w:hAnsi="Tahoma" w:cs="Tahoma"/>
          <w:sz w:val="22"/>
          <w:szCs w:val="22"/>
        </w:rPr>
        <w:t xml:space="preserve">l’utilisation d’une définition particulière extensive et </w:t>
      </w:r>
      <w:r w:rsidRPr="00A94DB0">
        <w:rPr>
          <w:rFonts w:ascii="Tahoma" w:hAnsi="Tahoma" w:cs="Tahoma"/>
          <w:sz w:val="22"/>
          <w:szCs w:val="22"/>
        </w:rPr>
        <w:t xml:space="preserve">des termes vagues et imprécis ouvrant ainsi la voie à l’incrimination </w:t>
      </w:r>
      <w:r w:rsidR="00C718CD" w:rsidRPr="00A94DB0">
        <w:rPr>
          <w:rFonts w:ascii="Tahoma" w:hAnsi="Tahoma" w:cs="Tahoma"/>
          <w:sz w:val="22"/>
          <w:szCs w:val="22"/>
        </w:rPr>
        <w:t xml:space="preserve">par les autorités </w:t>
      </w:r>
      <w:r w:rsidRPr="00A94DB0">
        <w:rPr>
          <w:rFonts w:ascii="Tahoma" w:hAnsi="Tahoma" w:cs="Tahoma"/>
          <w:sz w:val="22"/>
          <w:szCs w:val="22"/>
        </w:rPr>
        <w:t xml:space="preserve">d’actes </w:t>
      </w:r>
      <w:r w:rsidR="00C718CD" w:rsidRPr="00A94DB0">
        <w:rPr>
          <w:rFonts w:ascii="Tahoma" w:hAnsi="Tahoma" w:cs="Tahoma"/>
          <w:sz w:val="22"/>
          <w:szCs w:val="22"/>
        </w:rPr>
        <w:t xml:space="preserve">qui peuvent relever </w:t>
      </w:r>
      <w:r w:rsidRPr="00A94DB0">
        <w:rPr>
          <w:rFonts w:ascii="Tahoma" w:hAnsi="Tahoma" w:cs="Tahoma"/>
          <w:sz w:val="22"/>
          <w:szCs w:val="22"/>
        </w:rPr>
        <w:t xml:space="preserve">des libertés fondamentales. </w:t>
      </w:r>
    </w:p>
    <w:p w:rsidR="00F90E4F" w:rsidRPr="00A94DB0" w:rsidRDefault="00F90E4F" w:rsidP="00AF62CA">
      <w:pPr>
        <w:pStyle w:val="NormalWeb"/>
        <w:ind w:firstLine="708"/>
        <w:jc w:val="both"/>
        <w:rPr>
          <w:rFonts w:ascii="Tahoma" w:hAnsi="Tahoma" w:cs="Tahoma"/>
          <w:sz w:val="22"/>
          <w:szCs w:val="22"/>
        </w:rPr>
      </w:pPr>
      <w:r w:rsidRPr="00A94DB0">
        <w:rPr>
          <w:rFonts w:ascii="Tahoma" w:hAnsi="Tahoma" w:cs="Tahoma"/>
          <w:sz w:val="22"/>
          <w:szCs w:val="22"/>
        </w:rPr>
        <w:t>L’État partie affirme par ailleurs que :</w:t>
      </w:r>
    </w:p>
    <w:p w:rsidR="003D5B32" w:rsidRPr="00A94DB0" w:rsidRDefault="003D5B32" w:rsidP="003D5B32">
      <w:pPr>
        <w:ind w:firstLine="708"/>
        <w:jc w:val="both"/>
        <w:rPr>
          <w:rFonts w:ascii="Tahoma" w:hAnsi="Tahoma" w:cs="Tahoma"/>
          <w:sz w:val="22"/>
          <w:szCs w:val="22"/>
        </w:rPr>
      </w:pPr>
    </w:p>
    <w:p w:rsidR="00763B0C" w:rsidRPr="00A94DB0" w:rsidRDefault="00F90E4F" w:rsidP="00763B0C">
      <w:pPr>
        <w:ind w:left="2124"/>
        <w:jc w:val="both"/>
        <w:rPr>
          <w:rFonts w:ascii="Tahoma" w:hAnsi="Tahoma" w:cs="Tahoma"/>
          <w:sz w:val="22"/>
          <w:szCs w:val="22"/>
        </w:rPr>
      </w:pPr>
      <w:r w:rsidRPr="00A94DB0">
        <w:rPr>
          <w:rFonts w:ascii="Tahoma" w:hAnsi="Tahoma" w:cs="Tahoma"/>
          <w:sz w:val="22"/>
          <w:szCs w:val="22"/>
        </w:rPr>
        <w:t>« </w:t>
      </w:r>
      <w:r w:rsidRPr="00A94DB0">
        <w:rPr>
          <w:rFonts w:ascii="Tahoma" w:hAnsi="Tahoma" w:cs="Tahoma"/>
          <w:i/>
          <w:iCs/>
          <w:sz w:val="22"/>
          <w:szCs w:val="22"/>
        </w:rPr>
        <w:t>En cas de déclaration de l'état d'urgence dans le pays, le décret susmentionné permet également d'assigner des personnes à résidence, sans l'autorisation du ministère public, si le ministre de l'intérieur soupçonne qu'une personne a été impliquée dans des actes qui compromettent la sécurité et l'ordre public du pays, en particulier la liberté de circulation et la liberté des médias, des publications et des réunions. Il convient de rappeler à cet égard la règle de proportionnalité énoncée à l'article 49 de la Constitution, qui précise les préceptes régissant les restrictions à l'exercice des droits et libertés fondamentaux</w:t>
      </w:r>
      <w:r w:rsidR="00942FD7" w:rsidRPr="00A94DB0">
        <w:rPr>
          <w:rStyle w:val="Appelnotedebasdep"/>
          <w:rFonts w:ascii="Tahoma" w:hAnsi="Tahoma" w:cs="Tahoma"/>
          <w:sz w:val="22"/>
          <w:szCs w:val="22"/>
        </w:rPr>
        <w:footnoteReference w:id="11"/>
      </w:r>
      <w:r w:rsidRPr="00A94DB0">
        <w:rPr>
          <w:rFonts w:ascii="Tahoma" w:hAnsi="Tahoma" w:cs="Tahoma"/>
          <w:sz w:val="22"/>
          <w:szCs w:val="22"/>
        </w:rPr>
        <w:t>.</w:t>
      </w:r>
      <w:r w:rsidR="003E0FC2" w:rsidRPr="00A94DB0">
        <w:rPr>
          <w:rFonts w:ascii="Tahoma" w:hAnsi="Tahoma" w:cs="Tahoma"/>
          <w:sz w:val="22"/>
          <w:szCs w:val="22"/>
        </w:rPr>
        <w:t> »</w:t>
      </w:r>
    </w:p>
    <w:p w:rsidR="007B25DC" w:rsidRPr="00A94DB0" w:rsidRDefault="007B25DC" w:rsidP="00763B0C">
      <w:pPr>
        <w:ind w:left="2124"/>
        <w:jc w:val="both"/>
        <w:rPr>
          <w:rFonts w:ascii="Tahoma" w:hAnsi="Tahoma" w:cs="Tahoma"/>
          <w:sz w:val="22"/>
          <w:szCs w:val="22"/>
        </w:rPr>
      </w:pPr>
    </w:p>
    <w:p w:rsidR="00763B0C" w:rsidRPr="00A94DB0" w:rsidRDefault="00763B0C" w:rsidP="00763B0C">
      <w:pPr>
        <w:jc w:val="both"/>
        <w:rPr>
          <w:rFonts w:ascii="Tahoma" w:hAnsi="Tahoma" w:cs="Tahoma"/>
          <w:sz w:val="22"/>
          <w:szCs w:val="22"/>
        </w:rPr>
      </w:pPr>
    </w:p>
    <w:p w:rsidR="00D506BB" w:rsidRPr="00A94DB0" w:rsidRDefault="00F90E4F" w:rsidP="00C61499">
      <w:pPr>
        <w:ind w:firstLine="708"/>
        <w:jc w:val="both"/>
        <w:rPr>
          <w:rFonts w:ascii="Tahoma" w:hAnsi="Tahoma" w:cs="Tahoma"/>
          <w:sz w:val="22"/>
          <w:szCs w:val="22"/>
        </w:rPr>
      </w:pPr>
      <w:r w:rsidRPr="00A94DB0">
        <w:rPr>
          <w:rFonts w:ascii="Tahoma" w:hAnsi="Tahoma" w:cs="Tahoma"/>
          <w:sz w:val="22"/>
          <w:szCs w:val="22"/>
        </w:rPr>
        <w:t xml:space="preserve">En reconnaissant au ministre l’Intérieur la compétence d’assigner à résidence des individus sur simple suspicion est d’autant plus inquiétant que le </w:t>
      </w:r>
      <w:r w:rsidR="0092401C" w:rsidRPr="00A94DB0">
        <w:rPr>
          <w:rFonts w:ascii="Tahoma" w:hAnsi="Tahoma" w:cs="Tahoma"/>
          <w:sz w:val="22"/>
          <w:szCs w:val="22"/>
        </w:rPr>
        <w:t xml:space="preserve">pouvoir exécutif </w:t>
      </w:r>
      <w:r w:rsidR="00D506BB" w:rsidRPr="00A94DB0">
        <w:rPr>
          <w:rFonts w:ascii="Tahoma" w:hAnsi="Tahoma" w:cs="Tahoma"/>
          <w:sz w:val="22"/>
          <w:szCs w:val="22"/>
        </w:rPr>
        <w:t xml:space="preserve">est </w:t>
      </w:r>
      <w:r w:rsidRPr="00A94DB0">
        <w:rPr>
          <w:rFonts w:ascii="Tahoma" w:hAnsi="Tahoma" w:cs="Tahoma"/>
          <w:sz w:val="22"/>
          <w:szCs w:val="22"/>
        </w:rPr>
        <w:t>aujourd’hui totalement placé sous l</w:t>
      </w:r>
      <w:r w:rsidR="00C718CD" w:rsidRPr="00A94DB0">
        <w:rPr>
          <w:rFonts w:ascii="Tahoma" w:hAnsi="Tahoma" w:cs="Tahoma"/>
          <w:sz w:val="22"/>
          <w:szCs w:val="22"/>
        </w:rPr>
        <w:t xml:space="preserve">a seule autorité </w:t>
      </w:r>
      <w:r w:rsidRPr="00A94DB0">
        <w:rPr>
          <w:rFonts w:ascii="Tahoma" w:hAnsi="Tahoma" w:cs="Tahoma"/>
          <w:sz w:val="22"/>
          <w:szCs w:val="22"/>
        </w:rPr>
        <w:t>du</w:t>
      </w:r>
      <w:r w:rsidR="00C718CD" w:rsidRPr="00A94DB0">
        <w:rPr>
          <w:rFonts w:ascii="Tahoma" w:hAnsi="Tahoma" w:cs="Tahoma"/>
          <w:sz w:val="22"/>
          <w:szCs w:val="22"/>
        </w:rPr>
        <w:t xml:space="preserve"> chef de l’état</w:t>
      </w:r>
      <w:r w:rsidRPr="00A94DB0">
        <w:rPr>
          <w:rFonts w:ascii="Tahoma" w:hAnsi="Tahoma" w:cs="Tahoma"/>
          <w:sz w:val="22"/>
          <w:szCs w:val="22"/>
        </w:rPr>
        <w:t xml:space="preserve">. </w:t>
      </w:r>
      <w:r w:rsidR="000F62F2" w:rsidRPr="00A94DB0">
        <w:rPr>
          <w:rFonts w:ascii="Tahoma" w:hAnsi="Tahoma" w:cs="Tahoma"/>
          <w:sz w:val="22"/>
          <w:szCs w:val="22"/>
        </w:rPr>
        <w:t xml:space="preserve">A noter que l’actuel ministre de l’Intérieur, M. Kamel </w:t>
      </w:r>
      <w:proofErr w:type="spellStart"/>
      <w:r w:rsidR="000F62F2" w:rsidRPr="00A94DB0">
        <w:rPr>
          <w:rFonts w:ascii="Tahoma" w:hAnsi="Tahoma" w:cs="Tahoma"/>
          <w:sz w:val="22"/>
          <w:szCs w:val="22"/>
        </w:rPr>
        <w:t>Feki</w:t>
      </w:r>
      <w:proofErr w:type="spellEnd"/>
      <w:r w:rsidR="000F62F2" w:rsidRPr="00A94DB0">
        <w:rPr>
          <w:rFonts w:ascii="Tahoma" w:hAnsi="Tahoma" w:cs="Tahoma"/>
          <w:sz w:val="22"/>
          <w:szCs w:val="22"/>
        </w:rPr>
        <w:t>, ancien préfet de Tunis</w:t>
      </w:r>
      <w:r w:rsidR="00824259" w:rsidRPr="00A94DB0">
        <w:rPr>
          <w:rFonts w:ascii="Tahoma" w:hAnsi="Tahoma" w:cs="Tahoma"/>
          <w:sz w:val="22"/>
          <w:szCs w:val="22"/>
        </w:rPr>
        <w:t xml:space="preserve">, </w:t>
      </w:r>
      <w:r w:rsidR="000F62F2" w:rsidRPr="00A94DB0">
        <w:rPr>
          <w:rFonts w:ascii="Tahoma" w:hAnsi="Tahoma" w:cs="Tahoma"/>
          <w:sz w:val="22"/>
          <w:szCs w:val="22"/>
        </w:rPr>
        <w:t xml:space="preserve">est </w:t>
      </w:r>
      <w:r w:rsidR="00E2446B" w:rsidRPr="00A94DB0">
        <w:rPr>
          <w:rFonts w:ascii="Tahoma" w:hAnsi="Tahoma" w:cs="Tahoma"/>
          <w:sz w:val="22"/>
          <w:szCs w:val="22"/>
        </w:rPr>
        <w:t>connu pour sa proximité avec le</w:t>
      </w:r>
      <w:r w:rsidR="000F62F2" w:rsidRPr="00A94DB0">
        <w:rPr>
          <w:rFonts w:ascii="Tahoma" w:hAnsi="Tahoma" w:cs="Tahoma"/>
          <w:sz w:val="22"/>
          <w:szCs w:val="22"/>
        </w:rPr>
        <w:t xml:space="preserve"> président</w:t>
      </w:r>
      <w:r w:rsidR="00942FD7" w:rsidRPr="00A94DB0">
        <w:rPr>
          <w:rStyle w:val="Appelnotedebasdep"/>
          <w:rFonts w:ascii="Tahoma" w:hAnsi="Tahoma" w:cs="Tahoma"/>
          <w:sz w:val="22"/>
          <w:szCs w:val="22"/>
        </w:rPr>
        <w:footnoteReference w:id="12"/>
      </w:r>
      <w:r w:rsidR="000F62F2" w:rsidRPr="00A94DB0">
        <w:rPr>
          <w:rFonts w:ascii="Tahoma" w:hAnsi="Tahoma" w:cs="Tahoma"/>
          <w:sz w:val="22"/>
          <w:szCs w:val="22"/>
        </w:rPr>
        <w:t xml:space="preserve">. </w:t>
      </w:r>
    </w:p>
    <w:p w:rsidR="002D287E" w:rsidRPr="00A94DB0" w:rsidRDefault="00A124B8" w:rsidP="00C61499">
      <w:pPr>
        <w:pStyle w:val="NormalWeb"/>
        <w:ind w:firstLine="708"/>
        <w:jc w:val="both"/>
        <w:rPr>
          <w:rFonts w:ascii="Tahoma" w:hAnsi="Tahoma" w:cs="Tahoma"/>
          <w:sz w:val="22"/>
          <w:szCs w:val="22"/>
        </w:rPr>
      </w:pPr>
      <w:r w:rsidRPr="00A94DB0">
        <w:rPr>
          <w:rFonts w:ascii="Tahoma" w:hAnsi="Tahoma" w:cs="Tahoma"/>
          <w:sz w:val="22"/>
          <w:szCs w:val="22"/>
        </w:rPr>
        <w:t>Les cas documentés</w:t>
      </w:r>
      <w:r w:rsidR="00942FD7" w:rsidRPr="00A94DB0">
        <w:rPr>
          <w:rStyle w:val="Appelnotedebasdep"/>
          <w:rFonts w:ascii="Tahoma" w:hAnsi="Tahoma" w:cs="Tahoma"/>
          <w:sz w:val="22"/>
          <w:szCs w:val="22"/>
        </w:rPr>
        <w:footnoteReference w:id="13"/>
      </w:r>
      <w:r w:rsidRPr="00A94DB0">
        <w:rPr>
          <w:rFonts w:ascii="Tahoma" w:hAnsi="Tahoma" w:cs="Tahoma"/>
          <w:sz w:val="22"/>
          <w:szCs w:val="22"/>
        </w:rPr>
        <w:t xml:space="preserve"> par Alkarama</w:t>
      </w:r>
      <w:r w:rsidR="00DB2493" w:rsidRPr="00A94DB0">
        <w:rPr>
          <w:rFonts w:ascii="Tahoma" w:hAnsi="Tahoma" w:cs="Tahoma"/>
          <w:sz w:val="22"/>
          <w:szCs w:val="22"/>
        </w:rPr>
        <w:t xml:space="preserve"> depuis le dernier examen de la Tunisie à ce jour,</w:t>
      </w:r>
      <w:r w:rsidRPr="00A94DB0">
        <w:rPr>
          <w:rFonts w:ascii="Tahoma" w:hAnsi="Tahoma" w:cs="Tahoma"/>
          <w:sz w:val="22"/>
          <w:szCs w:val="22"/>
        </w:rPr>
        <w:t xml:space="preserve"> </w:t>
      </w:r>
      <w:r w:rsidR="00DB2493" w:rsidRPr="00A94DB0">
        <w:rPr>
          <w:rFonts w:ascii="Tahoma" w:hAnsi="Tahoma" w:cs="Tahoma"/>
          <w:sz w:val="22"/>
          <w:szCs w:val="22"/>
        </w:rPr>
        <w:t>ont montré</w:t>
      </w:r>
      <w:r w:rsidRPr="00A94DB0">
        <w:rPr>
          <w:rFonts w:ascii="Tahoma" w:hAnsi="Tahoma" w:cs="Tahoma"/>
          <w:sz w:val="22"/>
          <w:szCs w:val="22"/>
        </w:rPr>
        <w:t xml:space="preserve"> que cette mesure, régu</w:t>
      </w:r>
      <w:r w:rsidR="00C718CD" w:rsidRPr="00A94DB0">
        <w:rPr>
          <w:rFonts w:ascii="Tahoma" w:hAnsi="Tahoma" w:cs="Tahoma"/>
          <w:sz w:val="22"/>
          <w:szCs w:val="22"/>
        </w:rPr>
        <w:t xml:space="preserve">lièrement invoquée pour tenter </w:t>
      </w:r>
      <w:r w:rsidRPr="00A94DB0">
        <w:rPr>
          <w:rFonts w:ascii="Tahoma" w:hAnsi="Tahoma" w:cs="Tahoma"/>
          <w:sz w:val="22"/>
          <w:szCs w:val="22"/>
        </w:rPr>
        <w:t>de justifier des</w:t>
      </w:r>
      <w:r w:rsidR="00C61499">
        <w:rPr>
          <w:rFonts w:ascii="Tahoma" w:hAnsi="Tahoma" w:cs="Tahoma"/>
          <w:sz w:val="22"/>
          <w:szCs w:val="22"/>
        </w:rPr>
        <w:t xml:space="preserve"> privations arbitraires de liberté concernant d’anciens ministres ou responsables politiques</w:t>
      </w:r>
      <w:r w:rsidRPr="00A94DB0">
        <w:rPr>
          <w:rFonts w:ascii="Tahoma" w:hAnsi="Tahoma" w:cs="Tahoma"/>
          <w:sz w:val="22"/>
          <w:szCs w:val="22"/>
        </w:rPr>
        <w:t>, est utilisée en violation totale des principes de proportionnalité et de nécessité.</w:t>
      </w:r>
    </w:p>
    <w:p w:rsidR="003E0FC2" w:rsidRPr="00A94DB0" w:rsidRDefault="002D287E" w:rsidP="003D5B32">
      <w:pPr>
        <w:ind w:firstLine="708"/>
        <w:jc w:val="both"/>
        <w:rPr>
          <w:rFonts w:ascii="Tahoma" w:hAnsi="Tahoma" w:cs="Tahoma"/>
          <w:sz w:val="22"/>
          <w:szCs w:val="22"/>
        </w:rPr>
      </w:pPr>
      <w:r w:rsidRPr="00A94DB0">
        <w:rPr>
          <w:rFonts w:ascii="Tahoma" w:hAnsi="Tahoma" w:cs="Tahoma"/>
          <w:sz w:val="22"/>
          <w:szCs w:val="22"/>
        </w:rPr>
        <w:t>Enfin</w:t>
      </w:r>
      <w:r w:rsidR="005E158B" w:rsidRPr="00A94DB0">
        <w:rPr>
          <w:rFonts w:ascii="Tahoma" w:hAnsi="Tahoma" w:cs="Tahoma"/>
          <w:sz w:val="22"/>
          <w:szCs w:val="22"/>
        </w:rPr>
        <w:t>,</w:t>
      </w:r>
      <w:r w:rsidRPr="00A94DB0">
        <w:rPr>
          <w:rFonts w:ascii="Tahoma" w:hAnsi="Tahoma" w:cs="Tahoma"/>
          <w:sz w:val="22"/>
          <w:szCs w:val="22"/>
        </w:rPr>
        <w:t xml:space="preserve"> contrairement à ce qu’indique l’État partie, il est rare</w:t>
      </w:r>
      <w:r w:rsidR="00C718CD" w:rsidRPr="00A94DB0">
        <w:rPr>
          <w:rFonts w:ascii="Tahoma" w:hAnsi="Tahoma" w:cs="Tahoma"/>
          <w:sz w:val="22"/>
          <w:szCs w:val="22"/>
        </w:rPr>
        <w:t>,</w:t>
      </w:r>
      <w:r w:rsidRPr="00A94DB0">
        <w:rPr>
          <w:rFonts w:ascii="Tahoma" w:hAnsi="Tahoma" w:cs="Tahoma"/>
          <w:sz w:val="22"/>
          <w:szCs w:val="22"/>
        </w:rPr>
        <w:t xml:space="preserve"> voire impossible</w:t>
      </w:r>
      <w:r w:rsidR="00C718CD" w:rsidRPr="00A94DB0">
        <w:rPr>
          <w:rFonts w:ascii="Tahoma" w:hAnsi="Tahoma" w:cs="Tahoma"/>
          <w:sz w:val="22"/>
          <w:szCs w:val="22"/>
        </w:rPr>
        <w:t>,</w:t>
      </w:r>
      <w:r w:rsidRPr="00A94DB0">
        <w:rPr>
          <w:rFonts w:ascii="Tahoma" w:hAnsi="Tahoma" w:cs="Tahoma"/>
          <w:sz w:val="22"/>
          <w:szCs w:val="22"/>
        </w:rPr>
        <w:t xml:space="preserve"> de constater que « </w:t>
      </w:r>
      <w:r w:rsidRPr="00A94DB0">
        <w:rPr>
          <w:rFonts w:ascii="Tahoma" w:hAnsi="Tahoma" w:cs="Tahoma"/>
          <w:i/>
          <w:iCs/>
          <w:sz w:val="22"/>
          <w:szCs w:val="22"/>
        </w:rPr>
        <w:t xml:space="preserve">lorsque des transgressions sont portées à l'attention des autorités </w:t>
      </w:r>
      <w:r w:rsidRPr="00A94DB0">
        <w:rPr>
          <w:rFonts w:ascii="Tahoma" w:hAnsi="Tahoma" w:cs="Tahoma"/>
          <w:i/>
          <w:iCs/>
          <w:sz w:val="22"/>
          <w:szCs w:val="22"/>
        </w:rPr>
        <w:lastRenderedPageBreak/>
        <w:t>compétentes, des enquêtes sont lancées, les auteurs sont poursuivis et des mesures appropriées sont prises</w:t>
      </w:r>
      <w:r w:rsidR="00A10B07" w:rsidRPr="00A94DB0">
        <w:rPr>
          <w:rStyle w:val="Appelnotedebasdep"/>
          <w:rFonts w:ascii="Tahoma" w:hAnsi="Tahoma" w:cs="Tahoma"/>
          <w:sz w:val="22"/>
          <w:szCs w:val="22"/>
        </w:rPr>
        <w:footnoteReference w:id="14"/>
      </w:r>
      <w:r w:rsidRPr="00A94DB0">
        <w:rPr>
          <w:rFonts w:ascii="Tahoma" w:hAnsi="Tahoma" w:cs="Tahoma"/>
          <w:sz w:val="22"/>
          <w:szCs w:val="22"/>
        </w:rPr>
        <w:t xml:space="preserve"> ». </w:t>
      </w:r>
    </w:p>
    <w:p w:rsidR="003E0FC2" w:rsidRPr="00A94DB0" w:rsidRDefault="003E0FC2" w:rsidP="00A124B8">
      <w:pPr>
        <w:jc w:val="both"/>
        <w:rPr>
          <w:rFonts w:ascii="Tahoma" w:hAnsi="Tahoma" w:cs="Tahoma"/>
          <w:sz w:val="22"/>
          <w:szCs w:val="22"/>
        </w:rPr>
      </w:pPr>
    </w:p>
    <w:p w:rsidR="005E158B" w:rsidRPr="00A94DB0" w:rsidRDefault="005E158B" w:rsidP="00C718CD">
      <w:pPr>
        <w:ind w:firstLine="708"/>
        <w:jc w:val="both"/>
        <w:rPr>
          <w:rFonts w:ascii="Tahoma" w:hAnsi="Tahoma" w:cs="Tahoma"/>
          <w:sz w:val="22"/>
          <w:szCs w:val="22"/>
        </w:rPr>
      </w:pPr>
      <w:r w:rsidRPr="00A94DB0">
        <w:rPr>
          <w:rFonts w:ascii="Tahoma" w:hAnsi="Tahoma" w:cs="Tahoma"/>
          <w:sz w:val="22"/>
          <w:szCs w:val="22"/>
        </w:rPr>
        <w:t xml:space="preserve">En ce qui concerne la mise en œuvre des recommandations finales </w:t>
      </w:r>
      <w:r w:rsidR="00A669D7" w:rsidRPr="00A94DB0">
        <w:rPr>
          <w:rFonts w:ascii="Tahoma" w:hAnsi="Tahoma" w:cs="Tahoma"/>
          <w:sz w:val="22"/>
          <w:szCs w:val="22"/>
        </w:rPr>
        <w:t>concernant</w:t>
      </w:r>
      <w:r w:rsidRPr="00A94DB0">
        <w:rPr>
          <w:rFonts w:ascii="Tahoma" w:hAnsi="Tahoma" w:cs="Tahoma"/>
          <w:sz w:val="22"/>
          <w:szCs w:val="22"/>
        </w:rPr>
        <w:t xml:space="preserve"> la loi </w:t>
      </w:r>
      <w:r w:rsidR="00A669D7" w:rsidRPr="00A94DB0">
        <w:rPr>
          <w:rFonts w:ascii="Tahoma" w:hAnsi="Tahoma" w:cs="Tahoma"/>
          <w:sz w:val="22"/>
          <w:szCs w:val="22"/>
        </w:rPr>
        <w:t>n° 26/2015 relative à la lutte contre le terrorisme,</w:t>
      </w:r>
      <w:r w:rsidRPr="00A94DB0">
        <w:rPr>
          <w:rFonts w:ascii="Tahoma" w:hAnsi="Tahoma" w:cs="Tahoma"/>
          <w:sz w:val="22"/>
          <w:szCs w:val="22"/>
        </w:rPr>
        <w:t xml:space="preserve"> il est regrettable de constater que l’État partie se contente </w:t>
      </w:r>
      <w:r w:rsidR="00FA5AA8" w:rsidRPr="00A94DB0">
        <w:rPr>
          <w:rFonts w:ascii="Tahoma" w:hAnsi="Tahoma" w:cs="Tahoma"/>
          <w:sz w:val="22"/>
          <w:szCs w:val="22"/>
        </w:rPr>
        <w:t xml:space="preserve">uniquement </w:t>
      </w:r>
      <w:r w:rsidRPr="00A94DB0">
        <w:rPr>
          <w:rFonts w:ascii="Tahoma" w:hAnsi="Tahoma" w:cs="Tahoma"/>
          <w:sz w:val="22"/>
          <w:szCs w:val="22"/>
        </w:rPr>
        <w:t xml:space="preserve">de fournir quelques informations relatives à la procédure S17, largement instrumentalisée et étrangement utilisée </w:t>
      </w:r>
      <w:r w:rsidR="00C718CD" w:rsidRPr="00A94DB0">
        <w:rPr>
          <w:rFonts w:ascii="Tahoma" w:hAnsi="Tahoma" w:cs="Tahoma"/>
          <w:sz w:val="22"/>
          <w:szCs w:val="22"/>
        </w:rPr>
        <w:t xml:space="preserve">principalement </w:t>
      </w:r>
      <w:r w:rsidRPr="00A94DB0">
        <w:rPr>
          <w:rFonts w:ascii="Tahoma" w:hAnsi="Tahoma" w:cs="Tahoma"/>
          <w:sz w:val="22"/>
          <w:szCs w:val="22"/>
        </w:rPr>
        <w:t>contre des membres de l’opposition politique tunisienne</w:t>
      </w:r>
      <w:r w:rsidR="00A10B07" w:rsidRPr="00A94DB0">
        <w:rPr>
          <w:rStyle w:val="Appelnotedebasdep"/>
          <w:rFonts w:ascii="Tahoma" w:hAnsi="Tahoma" w:cs="Tahoma"/>
          <w:sz w:val="22"/>
          <w:szCs w:val="22"/>
        </w:rPr>
        <w:footnoteReference w:id="15"/>
      </w:r>
      <w:r w:rsidR="00C718CD" w:rsidRPr="00A94DB0">
        <w:rPr>
          <w:rFonts w:ascii="Tahoma" w:hAnsi="Tahoma" w:cs="Tahoma"/>
          <w:sz w:val="22"/>
          <w:szCs w:val="22"/>
        </w:rPr>
        <w:t xml:space="preserve"> et en particulier les membres et dirigeants politiques d’</w:t>
      </w:r>
      <w:proofErr w:type="spellStart"/>
      <w:r w:rsidR="00C718CD" w:rsidRPr="00A94DB0">
        <w:rPr>
          <w:rFonts w:ascii="Tahoma" w:hAnsi="Tahoma" w:cs="Tahoma"/>
          <w:sz w:val="22"/>
          <w:szCs w:val="22"/>
        </w:rPr>
        <w:t>E</w:t>
      </w:r>
      <w:r w:rsidR="00CE2BEA" w:rsidRPr="00A94DB0">
        <w:rPr>
          <w:rFonts w:ascii="Tahoma" w:hAnsi="Tahoma" w:cs="Tahoma"/>
          <w:sz w:val="22"/>
          <w:szCs w:val="22"/>
        </w:rPr>
        <w:t>nn</w:t>
      </w:r>
      <w:r w:rsidR="00C718CD" w:rsidRPr="00A94DB0">
        <w:rPr>
          <w:rFonts w:ascii="Tahoma" w:hAnsi="Tahoma" w:cs="Tahoma"/>
          <w:sz w:val="22"/>
          <w:szCs w:val="22"/>
        </w:rPr>
        <w:t>ahda</w:t>
      </w:r>
      <w:proofErr w:type="spellEnd"/>
      <w:r w:rsidR="00C718CD" w:rsidRPr="00A94DB0">
        <w:rPr>
          <w:rFonts w:ascii="Tahoma" w:hAnsi="Tahoma" w:cs="Tahoma"/>
          <w:sz w:val="22"/>
          <w:szCs w:val="22"/>
        </w:rPr>
        <w:t>.</w:t>
      </w:r>
    </w:p>
    <w:p w:rsidR="005E158B" w:rsidRPr="00A94DB0" w:rsidRDefault="005E158B" w:rsidP="00DE2701">
      <w:pPr>
        <w:jc w:val="both"/>
        <w:rPr>
          <w:rFonts w:ascii="Tahoma" w:hAnsi="Tahoma" w:cs="Tahoma"/>
          <w:sz w:val="22"/>
          <w:szCs w:val="22"/>
        </w:rPr>
      </w:pPr>
    </w:p>
    <w:p w:rsidR="00FA5AA8" w:rsidRPr="00A94DB0" w:rsidRDefault="00FA5AA8" w:rsidP="003D5B32">
      <w:pPr>
        <w:ind w:firstLine="708"/>
        <w:jc w:val="both"/>
        <w:rPr>
          <w:rFonts w:ascii="Tahoma" w:hAnsi="Tahoma" w:cs="Tahoma"/>
          <w:sz w:val="22"/>
          <w:szCs w:val="22"/>
        </w:rPr>
      </w:pPr>
      <w:r w:rsidRPr="00A94DB0">
        <w:rPr>
          <w:rFonts w:ascii="Tahoma" w:hAnsi="Tahoma" w:cs="Tahoma"/>
          <w:sz w:val="22"/>
          <w:szCs w:val="22"/>
        </w:rPr>
        <w:t>L</w:t>
      </w:r>
      <w:r w:rsidR="00F44C0C" w:rsidRPr="00A94DB0">
        <w:rPr>
          <w:rFonts w:ascii="Tahoma" w:hAnsi="Tahoma" w:cs="Tahoma"/>
          <w:sz w:val="22"/>
          <w:szCs w:val="22"/>
        </w:rPr>
        <w:t xml:space="preserve">’État partie </w:t>
      </w:r>
      <w:r w:rsidRPr="00A94DB0">
        <w:rPr>
          <w:rFonts w:ascii="Tahoma" w:hAnsi="Tahoma" w:cs="Tahoma"/>
          <w:sz w:val="22"/>
          <w:szCs w:val="22"/>
        </w:rPr>
        <w:t>n’apporte aucune précision sur les mesures adoptées pour veiller à ce que toute restriction des droits des personnes soupçonnées ou accusées de terrorisme ne soit pas arbitraire et qu'elle soit légale, nécessaire et appropriée.</w:t>
      </w:r>
    </w:p>
    <w:p w:rsidR="00FA5AA8" w:rsidRPr="00A94DB0" w:rsidRDefault="00FA5AA8" w:rsidP="007C440B">
      <w:pPr>
        <w:jc w:val="both"/>
        <w:rPr>
          <w:rFonts w:ascii="Tahoma" w:hAnsi="Tahoma" w:cs="Tahoma"/>
          <w:sz w:val="22"/>
          <w:szCs w:val="22"/>
        </w:rPr>
      </w:pPr>
    </w:p>
    <w:p w:rsidR="00FA5AA8" w:rsidRPr="00A94DB0" w:rsidRDefault="00FA5AA8" w:rsidP="003D5B32">
      <w:pPr>
        <w:ind w:firstLine="708"/>
        <w:jc w:val="both"/>
        <w:rPr>
          <w:rFonts w:ascii="Tahoma" w:hAnsi="Tahoma" w:cs="Tahoma"/>
          <w:sz w:val="22"/>
          <w:szCs w:val="22"/>
        </w:rPr>
      </w:pPr>
      <w:r w:rsidRPr="00A94DB0">
        <w:rPr>
          <w:rFonts w:ascii="Tahoma" w:hAnsi="Tahoma" w:cs="Tahoma"/>
          <w:sz w:val="22"/>
          <w:szCs w:val="22"/>
        </w:rPr>
        <w:t xml:space="preserve">Cela est d’autant plus regrettable que la ladite loi suscitait des inquiétudes en ce qu’elle contient, d’une part, une définition vague et imprécise du terrorisme, et, d’autre part, </w:t>
      </w:r>
      <w:r w:rsidR="0099590D" w:rsidRPr="00A94DB0">
        <w:rPr>
          <w:rFonts w:ascii="Tahoma" w:hAnsi="Tahoma" w:cs="Tahoma"/>
          <w:sz w:val="22"/>
          <w:szCs w:val="22"/>
        </w:rPr>
        <w:t>en raison de</w:t>
      </w:r>
      <w:r w:rsidR="00AF6ADF" w:rsidRPr="00A94DB0">
        <w:rPr>
          <w:rFonts w:ascii="Tahoma" w:hAnsi="Tahoma" w:cs="Tahoma"/>
          <w:sz w:val="22"/>
          <w:szCs w:val="22"/>
        </w:rPr>
        <w:t xml:space="preserve"> son </w:t>
      </w:r>
      <w:r w:rsidR="005E158B" w:rsidRPr="00A94DB0">
        <w:rPr>
          <w:rFonts w:ascii="Tahoma" w:hAnsi="Tahoma" w:cs="Tahoma"/>
          <w:sz w:val="22"/>
          <w:szCs w:val="22"/>
        </w:rPr>
        <w:t xml:space="preserve">utilisation abusive </w:t>
      </w:r>
      <w:r w:rsidR="00F44C0C" w:rsidRPr="00A94DB0">
        <w:rPr>
          <w:rFonts w:ascii="Tahoma" w:hAnsi="Tahoma" w:cs="Tahoma"/>
          <w:sz w:val="22"/>
          <w:szCs w:val="22"/>
        </w:rPr>
        <w:t xml:space="preserve">par les autorités tunisiennes </w:t>
      </w:r>
      <w:r w:rsidR="005E158B" w:rsidRPr="00A94DB0">
        <w:rPr>
          <w:rFonts w:ascii="Tahoma" w:hAnsi="Tahoma" w:cs="Tahoma"/>
          <w:sz w:val="22"/>
          <w:szCs w:val="22"/>
        </w:rPr>
        <w:t>pour criminaliser des comportements liés à l'exercice du droit à la liberté d'expression ou de réunion pacifique</w:t>
      </w:r>
      <w:r w:rsidR="00A10B07" w:rsidRPr="00A94DB0">
        <w:rPr>
          <w:rStyle w:val="Appelnotedebasdep"/>
          <w:rFonts w:ascii="Tahoma" w:hAnsi="Tahoma" w:cs="Tahoma"/>
          <w:sz w:val="22"/>
          <w:szCs w:val="22"/>
        </w:rPr>
        <w:footnoteReference w:id="16"/>
      </w:r>
      <w:r w:rsidR="005E158B" w:rsidRPr="00A94DB0">
        <w:rPr>
          <w:rFonts w:ascii="Tahoma" w:hAnsi="Tahoma" w:cs="Tahoma"/>
          <w:sz w:val="22"/>
          <w:szCs w:val="22"/>
        </w:rPr>
        <w:t>.</w:t>
      </w:r>
      <w:r w:rsidR="00F44C0C" w:rsidRPr="00A94DB0">
        <w:rPr>
          <w:rFonts w:ascii="Tahoma" w:hAnsi="Tahoma" w:cs="Tahoma"/>
          <w:sz w:val="22"/>
          <w:szCs w:val="22"/>
        </w:rPr>
        <w:t xml:space="preserve"> </w:t>
      </w:r>
    </w:p>
    <w:p w:rsidR="00CE3897" w:rsidRPr="00A94DB0" w:rsidRDefault="00CE3897" w:rsidP="007C440B">
      <w:pPr>
        <w:jc w:val="both"/>
        <w:rPr>
          <w:rFonts w:ascii="Tahoma" w:hAnsi="Tahoma" w:cs="Tahoma"/>
          <w:sz w:val="22"/>
          <w:szCs w:val="22"/>
        </w:rPr>
      </w:pPr>
    </w:p>
    <w:p w:rsidR="00DA4D15" w:rsidRPr="00A94DB0" w:rsidRDefault="00FA5AA8" w:rsidP="005F51CB">
      <w:pPr>
        <w:ind w:firstLine="708"/>
        <w:jc w:val="both"/>
        <w:rPr>
          <w:rFonts w:ascii="Tahoma" w:hAnsi="Tahoma" w:cs="Tahoma"/>
          <w:sz w:val="22"/>
          <w:szCs w:val="22"/>
        </w:rPr>
      </w:pPr>
      <w:r w:rsidRPr="00A94DB0">
        <w:rPr>
          <w:rFonts w:ascii="Tahoma" w:hAnsi="Tahoma" w:cs="Tahoma"/>
          <w:sz w:val="22"/>
          <w:szCs w:val="22"/>
        </w:rPr>
        <w:t>En tout état de cause, il convient de noter que l’</w:t>
      </w:r>
      <w:r w:rsidR="003D5B32" w:rsidRPr="00A94DB0">
        <w:rPr>
          <w:rFonts w:ascii="Tahoma" w:hAnsi="Tahoma" w:cs="Tahoma"/>
          <w:sz w:val="22"/>
          <w:szCs w:val="22"/>
        </w:rPr>
        <w:t>État</w:t>
      </w:r>
      <w:r w:rsidRPr="00A94DB0">
        <w:rPr>
          <w:rFonts w:ascii="Tahoma" w:hAnsi="Tahoma" w:cs="Tahoma"/>
          <w:sz w:val="22"/>
          <w:szCs w:val="22"/>
        </w:rPr>
        <w:t xml:space="preserve"> partie n’a pris aucune mesure pour implémenter les recommandations formulées par le Comité dans le cadre de la législation antiterroriste. Cette dernière est toujours invoquée pour justifier des arrestations, détentions </w:t>
      </w:r>
      <w:r w:rsidR="00C718CD" w:rsidRPr="00A94DB0">
        <w:rPr>
          <w:rFonts w:ascii="Tahoma" w:hAnsi="Tahoma" w:cs="Tahoma"/>
          <w:sz w:val="22"/>
          <w:szCs w:val="22"/>
        </w:rPr>
        <w:t>arbitraires et des condamnations à la suite de procès inéquitables.</w:t>
      </w:r>
    </w:p>
    <w:p w:rsidR="00DA4D15" w:rsidRPr="00A94DB0" w:rsidRDefault="00DA4D15" w:rsidP="00DA4D15">
      <w:pPr>
        <w:ind w:firstLine="708"/>
        <w:jc w:val="both"/>
        <w:rPr>
          <w:rFonts w:ascii="Tahoma" w:hAnsi="Tahoma" w:cs="Tahoma"/>
          <w:sz w:val="22"/>
          <w:szCs w:val="22"/>
        </w:rPr>
      </w:pPr>
    </w:p>
    <w:p w:rsidR="00DA4D15" w:rsidRPr="00A94DB0" w:rsidRDefault="007C440B" w:rsidP="00DA4D15">
      <w:pPr>
        <w:ind w:firstLine="708"/>
        <w:jc w:val="both"/>
        <w:rPr>
          <w:rFonts w:ascii="Tahoma" w:hAnsi="Tahoma" w:cs="Tahoma"/>
          <w:sz w:val="22"/>
          <w:szCs w:val="22"/>
        </w:rPr>
      </w:pPr>
      <w:r w:rsidRPr="00A94DB0">
        <w:rPr>
          <w:rFonts w:ascii="Tahoma" w:hAnsi="Tahoma" w:cs="Tahoma"/>
          <w:sz w:val="22"/>
          <w:szCs w:val="22"/>
        </w:rPr>
        <w:t>La récente privation de liberté de M. Rached GHANNOUCHI</w:t>
      </w:r>
      <w:r w:rsidR="00CB649F" w:rsidRPr="00A94DB0">
        <w:rPr>
          <w:rStyle w:val="Appelnotedebasdep"/>
          <w:rFonts w:ascii="Tahoma" w:hAnsi="Tahoma" w:cs="Tahoma"/>
          <w:sz w:val="22"/>
          <w:szCs w:val="22"/>
        </w:rPr>
        <w:footnoteReference w:id="17"/>
      </w:r>
      <w:r w:rsidRPr="00A94DB0">
        <w:rPr>
          <w:rFonts w:ascii="Tahoma" w:hAnsi="Tahoma" w:cs="Tahoma"/>
          <w:sz w:val="22"/>
          <w:szCs w:val="22"/>
        </w:rPr>
        <w:t xml:space="preserve">, président du parlement tunisien et chef du mouvement politique de l’opposition, </w:t>
      </w:r>
      <w:proofErr w:type="spellStart"/>
      <w:r w:rsidRPr="00A94DB0">
        <w:rPr>
          <w:rFonts w:ascii="Tahoma" w:hAnsi="Tahoma" w:cs="Tahoma"/>
          <w:sz w:val="22"/>
          <w:szCs w:val="22"/>
        </w:rPr>
        <w:t>Ennahda</w:t>
      </w:r>
      <w:proofErr w:type="spellEnd"/>
      <w:r w:rsidRPr="00A94DB0">
        <w:rPr>
          <w:rFonts w:ascii="Tahoma" w:hAnsi="Tahoma" w:cs="Tahoma"/>
          <w:sz w:val="22"/>
          <w:szCs w:val="22"/>
        </w:rPr>
        <w:t xml:space="preserve">, condamné le 15 mai dernier, à un an de prison sous prétexte d’« apologie </w:t>
      </w:r>
      <w:r w:rsidR="00AB1B0C" w:rsidRPr="00A94DB0">
        <w:rPr>
          <w:rFonts w:ascii="Tahoma" w:hAnsi="Tahoma" w:cs="Tahoma"/>
          <w:sz w:val="22"/>
          <w:szCs w:val="22"/>
        </w:rPr>
        <w:t>du</w:t>
      </w:r>
      <w:r w:rsidRPr="00A94DB0">
        <w:rPr>
          <w:rFonts w:ascii="Tahoma" w:hAnsi="Tahoma" w:cs="Tahoma"/>
          <w:sz w:val="22"/>
          <w:szCs w:val="22"/>
        </w:rPr>
        <w:t xml:space="preserve"> terrorisme » illustre </w:t>
      </w:r>
      <w:r w:rsidR="001F0E05" w:rsidRPr="00A94DB0">
        <w:rPr>
          <w:rFonts w:ascii="Tahoma" w:hAnsi="Tahoma" w:cs="Tahoma"/>
          <w:sz w:val="22"/>
          <w:szCs w:val="22"/>
        </w:rPr>
        <w:t>le recours abusif de</w:t>
      </w:r>
      <w:r w:rsidR="00C718CD" w:rsidRPr="00A94DB0">
        <w:rPr>
          <w:rFonts w:ascii="Tahoma" w:hAnsi="Tahoma" w:cs="Tahoma"/>
          <w:sz w:val="22"/>
          <w:szCs w:val="22"/>
        </w:rPr>
        <w:t>s autorités tunisiennes à la législation antiterroriste</w:t>
      </w:r>
      <w:r w:rsidR="001F0E05" w:rsidRPr="00A94DB0">
        <w:rPr>
          <w:rFonts w:ascii="Tahoma" w:hAnsi="Tahoma" w:cs="Tahoma"/>
          <w:sz w:val="22"/>
          <w:szCs w:val="22"/>
        </w:rPr>
        <w:t>.</w:t>
      </w:r>
      <w:r w:rsidR="00AB1B0C" w:rsidRPr="00A94DB0">
        <w:rPr>
          <w:rFonts w:ascii="Tahoma" w:hAnsi="Tahoma" w:cs="Tahoma"/>
          <w:sz w:val="22"/>
          <w:szCs w:val="22"/>
        </w:rPr>
        <w:t xml:space="preserve"> </w:t>
      </w:r>
    </w:p>
    <w:p w:rsidR="00DA4D15" w:rsidRPr="00A94DB0" w:rsidRDefault="00DA4D15" w:rsidP="00DA4D15">
      <w:pPr>
        <w:ind w:firstLine="708"/>
        <w:jc w:val="both"/>
        <w:rPr>
          <w:rFonts w:ascii="Tahoma" w:hAnsi="Tahoma" w:cs="Tahoma"/>
          <w:sz w:val="22"/>
          <w:szCs w:val="22"/>
        </w:rPr>
      </w:pPr>
    </w:p>
    <w:p w:rsidR="00A669D7" w:rsidRDefault="00AB1B0C" w:rsidP="00DA4D15">
      <w:pPr>
        <w:ind w:firstLine="708"/>
        <w:jc w:val="both"/>
        <w:rPr>
          <w:rFonts w:ascii="Tahoma" w:hAnsi="Tahoma" w:cs="Tahoma"/>
          <w:sz w:val="22"/>
          <w:szCs w:val="22"/>
        </w:rPr>
      </w:pPr>
      <w:r w:rsidRPr="00A94DB0">
        <w:rPr>
          <w:rFonts w:ascii="Tahoma" w:hAnsi="Tahoma" w:cs="Tahoma"/>
          <w:sz w:val="22"/>
          <w:szCs w:val="22"/>
        </w:rPr>
        <w:t>Pour rappel,</w:t>
      </w:r>
      <w:r w:rsidR="00A669D7" w:rsidRPr="00A94DB0">
        <w:rPr>
          <w:rFonts w:ascii="Tahoma" w:hAnsi="Tahoma" w:cs="Tahoma"/>
          <w:sz w:val="22"/>
          <w:szCs w:val="22"/>
        </w:rPr>
        <w:t xml:space="preserve"> l’article 30 de la loi </w:t>
      </w:r>
      <w:r w:rsidRPr="00A94DB0">
        <w:rPr>
          <w:rFonts w:ascii="Tahoma" w:hAnsi="Tahoma" w:cs="Tahoma"/>
          <w:sz w:val="22"/>
          <w:szCs w:val="22"/>
        </w:rPr>
        <w:t xml:space="preserve">antiterroriste </w:t>
      </w:r>
      <w:r w:rsidR="00A669D7" w:rsidRPr="00A94DB0">
        <w:rPr>
          <w:rFonts w:ascii="Tahoma" w:hAnsi="Tahoma" w:cs="Tahoma"/>
          <w:sz w:val="22"/>
          <w:szCs w:val="22"/>
        </w:rPr>
        <w:t xml:space="preserve">incrimine l’« apologie </w:t>
      </w:r>
      <w:r w:rsidRPr="00A94DB0">
        <w:rPr>
          <w:rFonts w:ascii="Tahoma" w:hAnsi="Tahoma" w:cs="Tahoma"/>
          <w:sz w:val="22"/>
          <w:szCs w:val="22"/>
        </w:rPr>
        <w:t>du</w:t>
      </w:r>
      <w:r w:rsidR="00A669D7" w:rsidRPr="00A94DB0">
        <w:rPr>
          <w:rFonts w:ascii="Tahoma" w:hAnsi="Tahoma" w:cs="Tahoma"/>
          <w:sz w:val="22"/>
          <w:szCs w:val="22"/>
        </w:rPr>
        <w:t xml:space="preserve"> terrorisme » sans définir clairement ce crime </w:t>
      </w:r>
      <w:r w:rsidR="00A74F55" w:rsidRPr="00A94DB0">
        <w:rPr>
          <w:rFonts w:ascii="Tahoma" w:hAnsi="Tahoma" w:cs="Tahoma"/>
          <w:sz w:val="22"/>
          <w:szCs w:val="22"/>
        </w:rPr>
        <w:t>ce qui permet aux autorités d</w:t>
      </w:r>
      <w:r w:rsidR="00C718CD" w:rsidRPr="00A94DB0">
        <w:rPr>
          <w:rFonts w:ascii="Tahoma" w:hAnsi="Tahoma" w:cs="Tahoma"/>
          <w:sz w:val="22"/>
          <w:szCs w:val="22"/>
        </w:rPr>
        <w:t xml:space="preserve">’arrêter et de poursuivre </w:t>
      </w:r>
      <w:r w:rsidR="00A669D7" w:rsidRPr="00A94DB0">
        <w:rPr>
          <w:rFonts w:ascii="Tahoma" w:hAnsi="Tahoma" w:cs="Tahoma"/>
          <w:sz w:val="22"/>
          <w:szCs w:val="22"/>
        </w:rPr>
        <w:t xml:space="preserve">des actes pacifiques </w:t>
      </w:r>
      <w:r w:rsidR="0057157E" w:rsidRPr="00A94DB0">
        <w:rPr>
          <w:rFonts w:ascii="Tahoma" w:hAnsi="Tahoma" w:cs="Tahoma"/>
          <w:sz w:val="22"/>
          <w:szCs w:val="22"/>
        </w:rPr>
        <w:t>relevant de l’exercice des libertés fondamentales et en particulier de l</w:t>
      </w:r>
      <w:r w:rsidR="00A669D7" w:rsidRPr="00A94DB0">
        <w:rPr>
          <w:rFonts w:ascii="Tahoma" w:hAnsi="Tahoma" w:cs="Tahoma"/>
          <w:sz w:val="22"/>
          <w:szCs w:val="22"/>
        </w:rPr>
        <w:t>a liberté d’opinion et d’expression.</w:t>
      </w:r>
      <w:r w:rsidR="00A669D7" w:rsidRPr="003D5B32">
        <w:rPr>
          <w:rFonts w:ascii="Tahoma" w:hAnsi="Tahoma" w:cs="Tahoma"/>
          <w:sz w:val="22"/>
          <w:szCs w:val="22"/>
        </w:rPr>
        <w:t xml:space="preserve"> </w:t>
      </w:r>
    </w:p>
    <w:p w:rsidR="00AE31D8" w:rsidRPr="003D5B32" w:rsidRDefault="00AE31D8" w:rsidP="003D5B32">
      <w:pPr>
        <w:ind w:firstLine="360"/>
        <w:jc w:val="both"/>
        <w:rPr>
          <w:rFonts w:ascii="Tahoma" w:hAnsi="Tahoma" w:cs="Tahoma"/>
          <w:sz w:val="22"/>
          <w:szCs w:val="22"/>
        </w:rPr>
      </w:pPr>
    </w:p>
    <w:p w:rsidR="005C0070" w:rsidRPr="003D5B32" w:rsidRDefault="005C0070" w:rsidP="007C440B">
      <w:pPr>
        <w:jc w:val="both"/>
        <w:rPr>
          <w:rFonts w:ascii="Tahoma" w:hAnsi="Tahoma" w:cs="Tahoma"/>
          <w:sz w:val="22"/>
          <w:szCs w:val="22"/>
        </w:rPr>
      </w:pPr>
    </w:p>
    <w:p w:rsidR="00A669D7" w:rsidRDefault="00A669D7" w:rsidP="007C440B">
      <w:pPr>
        <w:jc w:val="both"/>
        <w:rPr>
          <w:rFonts w:ascii="Tahoma" w:hAnsi="Tahoma" w:cs="Tahoma"/>
          <w:sz w:val="22"/>
          <w:szCs w:val="22"/>
        </w:rPr>
      </w:pPr>
    </w:p>
    <w:p w:rsidR="00AE31D8" w:rsidRPr="003D5B32" w:rsidRDefault="00AE31D8" w:rsidP="007C440B">
      <w:pPr>
        <w:jc w:val="both"/>
        <w:rPr>
          <w:rFonts w:ascii="Tahoma" w:hAnsi="Tahoma" w:cs="Tahoma"/>
          <w:sz w:val="22"/>
          <w:szCs w:val="22"/>
        </w:rPr>
      </w:pPr>
    </w:p>
    <w:p w:rsidR="00A669D7" w:rsidRPr="003D5B32" w:rsidRDefault="00A669D7" w:rsidP="007C440B">
      <w:pPr>
        <w:jc w:val="both"/>
        <w:rPr>
          <w:rFonts w:ascii="Tahoma" w:hAnsi="Tahoma" w:cs="Tahoma"/>
          <w:sz w:val="22"/>
          <w:szCs w:val="22"/>
        </w:rPr>
      </w:pPr>
    </w:p>
    <w:p w:rsidR="00A669D7" w:rsidRPr="003D5B32" w:rsidRDefault="00A669D7" w:rsidP="007C440B">
      <w:pPr>
        <w:jc w:val="both"/>
        <w:rPr>
          <w:rFonts w:ascii="Tahoma" w:hAnsi="Tahoma" w:cs="Tahoma"/>
          <w:sz w:val="22"/>
          <w:szCs w:val="22"/>
        </w:rPr>
      </w:pPr>
    </w:p>
    <w:sectPr w:rsidR="00A669D7" w:rsidRPr="003D5B32" w:rsidSect="008C1270">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41926" w:rsidRDefault="00041926" w:rsidP="00DE2701">
      <w:r>
        <w:separator/>
      </w:r>
    </w:p>
  </w:endnote>
  <w:endnote w:type="continuationSeparator" w:id="0">
    <w:p w:rsidR="00041926" w:rsidRDefault="00041926" w:rsidP="00DE2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572668836"/>
      <w:docPartObj>
        <w:docPartGallery w:val="Page Numbers (Bottom of Page)"/>
        <w:docPartUnique/>
      </w:docPartObj>
    </w:sdtPr>
    <w:sdtContent>
      <w:p w:rsidR="008C1270" w:rsidRDefault="008C1270" w:rsidP="006D25CC">
        <w:pPr>
          <w:pStyle w:val="Pieddepage"/>
          <w:framePr w:wrap="none" w:vAnchor="text" w:hAnchor="margin" w:xAlign="outside"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8C1270" w:rsidRDefault="008C1270" w:rsidP="008C1270">
    <w:pPr>
      <w:pStyle w:val="Pieddepag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72980" w:rsidRDefault="00F72980" w:rsidP="008C1270">
    <w:pPr>
      <w:pStyle w:val="Pieddepage"/>
      <w:ind w:right="360" w:firstLine="360"/>
    </w:pPr>
  </w:p>
  <w:p w:rsidR="00F72980" w:rsidRDefault="00F7298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2D0" w:rsidRDefault="00B802D0" w:rsidP="00B802D0">
    <w:pPr>
      <w:pStyle w:val="NormalWeb"/>
      <w:jc w:val="center"/>
      <w:rPr>
        <w:rFonts w:ascii="Calibri" w:hAnsi="Calibri" w:cs="Calibri"/>
        <w:sz w:val="18"/>
        <w:szCs w:val="18"/>
      </w:rPr>
    </w:pPr>
    <w:r>
      <w:rPr>
        <w:rFonts w:ascii="Calibri" w:hAnsi="Calibri" w:cs="Calibri"/>
        <w:sz w:val="18"/>
        <w:szCs w:val="18"/>
      </w:rPr>
      <w:t xml:space="preserve">Alkarama, 2 bis Chemin des Vignes, CH-1209 </w:t>
    </w:r>
    <w:proofErr w:type="spellStart"/>
    <w:r>
      <w:rPr>
        <w:rFonts w:ascii="Calibri" w:hAnsi="Calibri" w:cs="Calibri"/>
        <w:sz w:val="18"/>
        <w:szCs w:val="18"/>
      </w:rPr>
      <w:t>Genève</w:t>
    </w:r>
    <w:proofErr w:type="spellEnd"/>
    <w:r>
      <w:rPr>
        <w:rFonts w:ascii="Calibri" w:hAnsi="Calibri" w:cs="Calibri"/>
        <w:sz w:val="18"/>
        <w:szCs w:val="18"/>
      </w:rPr>
      <w:t xml:space="preserve">, Suisse </w:t>
    </w:r>
  </w:p>
  <w:p w:rsidR="00B802D0" w:rsidRPr="007E387F" w:rsidRDefault="00B802D0" w:rsidP="00B802D0">
    <w:pPr>
      <w:pStyle w:val="NormalWeb"/>
      <w:jc w:val="center"/>
      <w:rPr>
        <w:rFonts w:ascii="Calibri" w:hAnsi="Calibri" w:cs="Calibri"/>
        <w:sz w:val="18"/>
        <w:szCs w:val="18"/>
      </w:rPr>
    </w:pPr>
    <w:proofErr w:type="spellStart"/>
    <w:r>
      <w:rPr>
        <w:rFonts w:ascii="Calibri" w:hAnsi="Calibri" w:cs="Calibri"/>
        <w:sz w:val="18"/>
        <w:szCs w:val="18"/>
      </w:rPr>
      <w:t>Téléphone</w:t>
    </w:r>
    <w:proofErr w:type="spellEnd"/>
    <w:r>
      <w:rPr>
        <w:rFonts w:ascii="Calibri" w:hAnsi="Calibri" w:cs="Calibri"/>
        <w:sz w:val="18"/>
        <w:szCs w:val="18"/>
      </w:rPr>
      <w:t xml:space="preserve"> : +41 22 734 1006,</w:t>
    </w:r>
    <w:r>
      <w:rPr>
        <w:rFonts w:ascii="Calibri" w:hAnsi="Calibri" w:cs="Calibri"/>
        <w:sz w:val="18"/>
        <w:szCs w:val="18"/>
      </w:rPr>
      <w:br/>
      <w:t xml:space="preserve">Email : </w:t>
    </w:r>
    <w:r>
      <w:rPr>
        <w:rFonts w:ascii="Calibri" w:hAnsi="Calibri" w:cs="Calibri"/>
        <w:color w:val="0260BF"/>
        <w:sz w:val="18"/>
        <w:szCs w:val="18"/>
      </w:rPr>
      <w:t>info@alkarama.org</w:t>
    </w:r>
    <w:r>
      <w:rPr>
        <w:rFonts w:ascii="Calibri" w:hAnsi="Calibri" w:cs="Calibri"/>
        <w:color w:val="0260BF"/>
        <w:sz w:val="18"/>
        <w:szCs w:val="18"/>
      </w:rPr>
      <w:br/>
    </w:r>
    <w:r>
      <w:rPr>
        <w:rFonts w:ascii="Calibri" w:hAnsi="Calibri" w:cs="Calibri"/>
        <w:sz w:val="18"/>
        <w:szCs w:val="18"/>
      </w:rPr>
      <w:t xml:space="preserve">Site internet : </w:t>
    </w:r>
    <w:r>
      <w:rPr>
        <w:rFonts w:ascii="Calibri" w:hAnsi="Calibri" w:cs="Calibri"/>
        <w:color w:val="0260BF"/>
        <w:sz w:val="18"/>
        <w:szCs w:val="18"/>
      </w:rPr>
      <w:t>hMps://www.alkarama.org/</w:t>
    </w:r>
  </w:p>
  <w:p w:rsidR="00B802D0" w:rsidRDefault="00B802D0" w:rsidP="00B802D0">
    <w:pPr>
      <w:pStyle w:val="Pieddepage"/>
    </w:pPr>
  </w:p>
  <w:p w:rsidR="00B802D0" w:rsidRDefault="00B802D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41926" w:rsidRDefault="00041926" w:rsidP="00DE2701">
      <w:r>
        <w:separator/>
      </w:r>
    </w:p>
  </w:footnote>
  <w:footnote w:type="continuationSeparator" w:id="0">
    <w:p w:rsidR="00041926" w:rsidRDefault="00041926" w:rsidP="00DE2701">
      <w:r>
        <w:continuationSeparator/>
      </w:r>
    </w:p>
  </w:footnote>
  <w:footnote w:id="1">
    <w:p w:rsidR="008A7703" w:rsidRDefault="00C809D4" w:rsidP="00C809D4">
      <w:pPr>
        <w:pStyle w:val="Notedebasdepage"/>
        <w:jc w:val="both"/>
      </w:pPr>
      <w:r>
        <w:rPr>
          <w:rStyle w:val="Appelnotedebasdep"/>
        </w:rPr>
        <w:footnoteRef/>
      </w:r>
      <w:r>
        <w:t xml:space="preserve"> </w:t>
      </w:r>
      <w:hyperlink r:id="rId1" w:history="1">
        <w:r w:rsidR="008A7703" w:rsidRPr="006D25CC">
          <w:rPr>
            <w:rStyle w:val="Lienhypertexte"/>
          </w:rPr>
          <w:t>https://www.ohchr.org/fr/press-releases/2022/02/dissolution-tunisias-high-judicial-council-seriously-%20undermines-rule-law</w:t>
        </w:r>
      </w:hyperlink>
    </w:p>
  </w:footnote>
  <w:footnote w:id="2">
    <w:p w:rsidR="008A7703" w:rsidRDefault="00C809D4" w:rsidP="00C809D4">
      <w:pPr>
        <w:pStyle w:val="Notedebasdepage"/>
        <w:jc w:val="both"/>
      </w:pPr>
      <w:r>
        <w:rPr>
          <w:rStyle w:val="Appelnotedebasdep"/>
        </w:rPr>
        <w:footnoteRef/>
      </w:r>
      <w:r>
        <w:t xml:space="preserve"> </w:t>
      </w:r>
      <w:hyperlink r:id="rId2" w:history="1">
        <w:r w:rsidR="008A7703" w:rsidRPr="006D25CC">
          <w:rPr>
            <w:rStyle w:val="Lienhypertexte"/>
          </w:rPr>
          <w:t>https://www.france24.com/fr/afrique/20220602-en-tunisie-le-pr%C3%A9sident-ka%C3%AFs-sa%C3%AFed-%20limoge-57-juges-qu-il-accuse-de-corruption</w:t>
        </w:r>
      </w:hyperlink>
    </w:p>
  </w:footnote>
  <w:footnote w:id="3">
    <w:p w:rsidR="00855FD1" w:rsidRDefault="00855FD1" w:rsidP="00855FD1">
      <w:pPr>
        <w:pStyle w:val="Notedebasdepage"/>
        <w:jc w:val="both"/>
      </w:pPr>
      <w:r>
        <w:rPr>
          <w:rStyle w:val="Appelnotedebasdep"/>
        </w:rPr>
        <w:footnoteRef/>
      </w:r>
      <w:r>
        <w:t xml:space="preserve"> </w:t>
      </w:r>
      <w:hyperlink r:id="rId3" w:history="1">
        <w:r w:rsidRPr="006D25CC">
          <w:rPr>
            <w:rStyle w:val="Lienhypertexte"/>
          </w:rPr>
          <w:t>https://www.alkarama.org/fr/articles/tunisie-le-rapporteur-special-sur-lindependance-des-juges-et-des-avocats-de-lonu-saisi-de</w:t>
        </w:r>
      </w:hyperlink>
    </w:p>
  </w:footnote>
  <w:footnote w:id="4">
    <w:p w:rsidR="00DF2712" w:rsidRDefault="00DF2712" w:rsidP="007F3226">
      <w:pPr>
        <w:pStyle w:val="Notedebasdepage"/>
        <w:jc w:val="both"/>
      </w:pPr>
      <w:r>
        <w:rPr>
          <w:rStyle w:val="Appelnotedebasdep"/>
        </w:rPr>
        <w:footnoteRef/>
      </w:r>
      <w:r>
        <w:t xml:space="preserve"> </w:t>
      </w:r>
      <w:hyperlink r:id="rId4" w:history="1">
        <w:r w:rsidRPr="006D25CC">
          <w:rPr>
            <w:rStyle w:val="Lienhypertexte"/>
          </w:rPr>
          <w:t>https://www.france24.com/fr/afrique/20220810-tunisie-la-justice-suspend-la-r%C3%A9vocation-des-juges-%20d%C3%A9cid%C3%A9e-par-ka%C3%AFs-sa%C3%AFed</w:t>
        </w:r>
      </w:hyperlink>
    </w:p>
  </w:footnote>
  <w:footnote w:id="5">
    <w:p w:rsidR="00DF2712" w:rsidRDefault="00DF2712" w:rsidP="00DF2712">
      <w:pPr>
        <w:pStyle w:val="Notedebasdepage"/>
        <w:jc w:val="both"/>
      </w:pPr>
      <w:r>
        <w:rPr>
          <w:rStyle w:val="Appelnotedebasdep"/>
        </w:rPr>
        <w:footnoteRef/>
      </w:r>
      <w:r>
        <w:t xml:space="preserve"> </w:t>
      </w:r>
      <w:hyperlink r:id="rId5" w:history="1">
        <w:r w:rsidRPr="006D25CC">
          <w:rPr>
            <w:rStyle w:val="Lienhypertexte"/>
          </w:rPr>
          <w:t>https://www.aa.com.tr/fr/politique/minist%C3%A8re-tunisien-de-la-justice-les-juges-%20r%C3%A9voqu%C3%A9s-sont-toujours-passibles-de-poursuites-judiciaires/2661153</w:t>
        </w:r>
      </w:hyperlink>
    </w:p>
  </w:footnote>
  <w:footnote w:id="6">
    <w:p w:rsidR="00DF2712" w:rsidRDefault="00DF2712" w:rsidP="00DF2712">
      <w:pPr>
        <w:pStyle w:val="Notedebasdepage"/>
        <w:jc w:val="both"/>
      </w:pPr>
      <w:r>
        <w:rPr>
          <w:rStyle w:val="Appelnotedebasdep"/>
        </w:rPr>
        <w:footnoteRef/>
      </w:r>
      <w:r>
        <w:t xml:space="preserve"> </w:t>
      </w:r>
      <w:hyperlink r:id="rId6" w:history="1">
        <w:r w:rsidRPr="006D25CC">
          <w:rPr>
            <w:rStyle w:val="Lienhypertexte"/>
          </w:rPr>
          <w:t>https://www.aa.com.tr/fr/afrique/tunisie-les-magistrats-appellent-%C3%A0-la-r%C3%A9int%C3%A9gration-%20de-leurs-coll%C3%A8gues-r%C3%A9voqu%C3%A9s-/2912078</w:t>
        </w:r>
      </w:hyperlink>
    </w:p>
  </w:footnote>
  <w:footnote w:id="7">
    <w:p w:rsidR="00F715E4" w:rsidRPr="006964F0" w:rsidRDefault="00F715E4" w:rsidP="00F715E4">
      <w:pPr>
        <w:pStyle w:val="Notedebasdepage"/>
        <w:jc w:val="both"/>
      </w:pPr>
      <w:r>
        <w:rPr>
          <w:rStyle w:val="Appelnotedebasdep"/>
        </w:rPr>
        <w:footnoteRef/>
      </w:r>
      <w:r>
        <w:t xml:space="preserve"> </w:t>
      </w:r>
      <w:r>
        <w:tab/>
      </w:r>
      <w:r w:rsidRPr="006964F0">
        <w:t xml:space="preserve">Décret présidentiel n° 2021-117 du 22 septembre 2021, relatif aux mesures exceptionnelles, chapitre II, article 4, </w:t>
      </w:r>
      <w:hyperlink r:id="rId7" w:history="1">
        <w:r w:rsidRPr="006964F0">
          <w:t>https://www.leaders.com.tn/article/32442-officiel-le-texte-integral-du-decret-presidentiel-n-n-2021-117-du-22-septembre-2021-relatif-aux-mesures-exceptionnelles</w:t>
        </w:r>
      </w:hyperlink>
      <w:r w:rsidRPr="006964F0">
        <w:t>, « </w:t>
      </w:r>
      <w:r w:rsidRPr="006964F0">
        <w:rPr>
          <w:i/>
          <w:iCs/>
        </w:rPr>
        <w:t>Les textes législatifs sont pris sous forme de décret-loi, ils sont promulgués par le Président de la République  qui ordonne leur publication au Journal officiel de la République tunisienne</w:t>
      </w:r>
      <w:r w:rsidRPr="006964F0">
        <w:t xml:space="preserve"> (…). »</w:t>
      </w:r>
    </w:p>
  </w:footnote>
  <w:footnote w:id="8">
    <w:p w:rsidR="00D7725D" w:rsidRPr="00410E02" w:rsidRDefault="00D7725D">
      <w:pPr>
        <w:pStyle w:val="Notedebasdepage"/>
      </w:pPr>
      <w:r>
        <w:rPr>
          <w:rStyle w:val="Appelnotedebasdep"/>
        </w:rPr>
        <w:footnoteRef/>
      </w:r>
      <w:r w:rsidRPr="00410E02">
        <w:t xml:space="preserve"> CCPR/C/TUN/CO/6, para. 30, a). </w:t>
      </w:r>
    </w:p>
  </w:footnote>
  <w:footnote w:id="9">
    <w:p w:rsidR="006D168F" w:rsidRDefault="006D168F" w:rsidP="006D168F">
      <w:pPr>
        <w:pStyle w:val="Notedebasdepage"/>
        <w:jc w:val="both"/>
      </w:pPr>
      <w:r>
        <w:rPr>
          <w:rStyle w:val="Appelnotedebasdep"/>
        </w:rPr>
        <w:footnoteRef/>
      </w:r>
      <w:r>
        <w:t xml:space="preserve"> Décret présidentiel n°2023-47 du 30 janvier 2023, portant prorogation de l’état d’urgence, </w:t>
      </w:r>
      <w:hyperlink r:id="rId8" w:history="1">
        <w:r w:rsidRPr="006D25CC">
          <w:rPr>
            <w:rStyle w:val="Lienhypertexte"/>
          </w:rPr>
          <w:t>https://www.joradp.dz/FTP/jo-francais/2023/F2023003.pdf</w:t>
        </w:r>
      </w:hyperlink>
    </w:p>
    <w:p w:rsidR="006D168F" w:rsidRDefault="006D168F">
      <w:pPr>
        <w:pStyle w:val="Notedebasdepage"/>
      </w:pPr>
    </w:p>
  </w:footnote>
  <w:footnote w:id="10">
    <w:p w:rsidR="00942FD7" w:rsidRDefault="00942FD7">
      <w:pPr>
        <w:pStyle w:val="Notedebasdepage"/>
      </w:pPr>
      <w:r>
        <w:rPr>
          <w:rStyle w:val="Appelnotedebasdep"/>
        </w:rPr>
        <w:footnoteRef/>
      </w:r>
      <w:r>
        <w:t xml:space="preserve"> </w:t>
      </w:r>
      <w:r w:rsidRPr="003E0FC2">
        <w:t>CCPR/C/TUN/FCO/6, para. 14</w:t>
      </w:r>
      <w:r>
        <w:t>.</w:t>
      </w:r>
    </w:p>
  </w:footnote>
  <w:footnote w:id="11">
    <w:p w:rsidR="00942FD7" w:rsidRDefault="00942FD7">
      <w:pPr>
        <w:pStyle w:val="Notedebasdepage"/>
      </w:pPr>
      <w:r>
        <w:rPr>
          <w:rStyle w:val="Appelnotedebasdep"/>
        </w:rPr>
        <w:footnoteRef/>
      </w:r>
      <w:r>
        <w:t xml:space="preserve"> </w:t>
      </w:r>
      <w:r w:rsidRPr="003E0FC2">
        <w:t xml:space="preserve">CCPR/C/TUN/FCO/6, para. </w:t>
      </w:r>
      <w:r>
        <w:t>15.</w:t>
      </w:r>
    </w:p>
  </w:footnote>
  <w:footnote w:id="12">
    <w:p w:rsidR="00942FD7" w:rsidRDefault="00942FD7" w:rsidP="00EC798F">
      <w:pPr>
        <w:pStyle w:val="Notedebasdepage"/>
        <w:jc w:val="both"/>
      </w:pPr>
      <w:r>
        <w:rPr>
          <w:rStyle w:val="Appelnotedebasdep"/>
        </w:rPr>
        <w:footnoteRef/>
      </w:r>
      <w:r>
        <w:t xml:space="preserve"> </w:t>
      </w:r>
      <w:hyperlink r:id="rId9" w:history="1">
        <w:r w:rsidRPr="006D25CC">
          <w:rPr>
            <w:rStyle w:val="Lienhypertexte"/>
          </w:rPr>
          <w:t>https://www.lemonde.fr/afrique/article/2023/03/20/en-tunisie-kamel-feki-remplace-l-influent-taoufik-charfeddine-au-ministere-de-l-interieur_6166215_3212.html</w:t>
        </w:r>
      </w:hyperlink>
    </w:p>
  </w:footnote>
  <w:footnote w:id="13">
    <w:p w:rsidR="00942FD7" w:rsidRDefault="00942FD7" w:rsidP="00EC798F">
      <w:pPr>
        <w:pStyle w:val="Notedebasdepage"/>
        <w:jc w:val="both"/>
      </w:pPr>
      <w:r>
        <w:rPr>
          <w:rStyle w:val="Appelnotedebasdep"/>
        </w:rPr>
        <w:footnoteRef/>
      </w:r>
      <w:r>
        <w:t xml:space="preserve">  </w:t>
      </w:r>
      <w:hyperlink r:id="rId10" w:history="1">
        <w:r w:rsidRPr="006D25CC">
          <w:rPr>
            <w:rStyle w:val="Lienhypertexte"/>
          </w:rPr>
          <w:t>https://www.alkarama.org/fr/articles/tunisie-le-groupe-de-travail-sur-la-detention-arbitraire-saisi-des-cas-danouar-maarouf-et</w:t>
        </w:r>
      </w:hyperlink>
    </w:p>
  </w:footnote>
  <w:footnote w:id="14">
    <w:p w:rsidR="00A10B07" w:rsidRDefault="00A10B07">
      <w:pPr>
        <w:pStyle w:val="Notedebasdepage"/>
      </w:pPr>
      <w:r>
        <w:rPr>
          <w:rStyle w:val="Appelnotedebasdep"/>
        </w:rPr>
        <w:footnoteRef/>
      </w:r>
      <w:r>
        <w:t xml:space="preserve"> CCPR/C/TUN/FCO/6, para. 18.</w:t>
      </w:r>
    </w:p>
  </w:footnote>
  <w:footnote w:id="15">
    <w:p w:rsidR="00A10B07" w:rsidRDefault="00A10B07" w:rsidP="00EC798F">
      <w:pPr>
        <w:pStyle w:val="Notedebasdepage"/>
        <w:jc w:val="both"/>
      </w:pPr>
      <w:r>
        <w:rPr>
          <w:rStyle w:val="Appelnotedebasdep"/>
        </w:rPr>
        <w:footnoteRef/>
      </w:r>
      <w:r>
        <w:t xml:space="preserve"> </w:t>
      </w:r>
      <w:hyperlink r:id="rId11" w:history="1">
        <w:r w:rsidRPr="006D25CC">
          <w:rPr>
            <w:rStyle w:val="Lienhypertexte"/>
          </w:rPr>
          <w:t>https://www.aa.com.tr/fr/afrique/tunisie-des-peines-de-trois-%C3%A0-six-mois-de-prison-dans-laffaire-de-la%C3%A9roport/2590368</w:t>
        </w:r>
      </w:hyperlink>
    </w:p>
  </w:footnote>
  <w:footnote w:id="16">
    <w:p w:rsidR="00A10B07" w:rsidRDefault="00A10B07">
      <w:pPr>
        <w:pStyle w:val="Notedebasdepage"/>
      </w:pPr>
      <w:r>
        <w:rPr>
          <w:rStyle w:val="Appelnotedebasdep"/>
        </w:rPr>
        <w:footnoteRef/>
      </w:r>
      <w:r>
        <w:t xml:space="preserve"> CCPR/C/TUN/CO/6, para. 31, b).</w:t>
      </w:r>
    </w:p>
  </w:footnote>
  <w:footnote w:id="17">
    <w:p w:rsidR="00CB649F" w:rsidRDefault="00CB649F" w:rsidP="00DA19D8">
      <w:pPr>
        <w:pStyle w:val="Notedebasdepage"/>
        <w:jc w:val="both"/>
      </w:pPr>
      <w:r>
        <w:rPr>
          <w:rStyle w:val="Appelnotedebasdep"/>
        </w:rPr>
        <w:footnoteRef/>
      </w:r>
      <w:r>
        <w:t xml:space="preserve"> </w:t>
      </w:r>
      <w:hyperlink r:id="rId12" w:history="1">
        <w:r w:rsidRPr="006D25CC">
          <w:rPr>
            <w:rStyle w:val="Lienhypertexte"/>
          </w:rPr>
          <w:t>https://www.alkarama.org/fr/articles/tunisie-le-cas-de-m-rached-ghannouchi-president-du-parlement-tunisien-soumis-au-groupe-de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83853704"/>
      <w:docPartObj>
        <w:docPartGallery w:val="Page Numbers (Top of Page)"/>
        <w:docPartUnique/>
      </w:docPartObj>
    </w:sdtPr>
    <w:sdtContent>
      <w:p w:rsidR="00DA5E59" w:rsidRDefault="00DA5E59" w:rsidP="006D25CC">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DA5E59" w:rsidRDefault="00DA5E59" w:rsidP="00DA5E59">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80610390"/>
      <w:docPartObj>
        <w:docPartGallery w:val="Page Numbers (Top of Page)"/>
        <w:docPartUnique/>
      </w:docPartObj>
    </w:sdtPr>
    <w:sdtContent>
      <w:p w:rsidR="00DA5E59" w:rsidRDefault="00DA5E59" w:rsidP="006D25CC">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5</w:t>
        </w:r>
        <w:r>
          <w:rPr>
            <w:rStyle w:val="Numrodepage"/>
          </w:rPr>
          <w:fldChar w:fldCharType="end"/>
        </w:r>
      </w:p>
    </w:sdtContent>
  </w:sdt>
  <w:p w:rsidR="00DE2701" w:rsidRDefault="00DE2701" w:rsidP="00DA5E59">
    <w:pPr>
      <w:pStyle w:val="En-tte"/>
      <w:ind w:right="360"/>
    </w:pPr>
  </w:p>
  <w:p w:rsidR="00DE2701" w:rsidRDefault="00DE2701" w:rsidP="00DE2701">
    <w:pPr>
      <w:pStyle w:val="En-tte"/>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2D0" w:rsidRDefault="00B802D0" w:rsidP="00B802D0">
    <w:pPr>
      <w:pStyle w:val="En-tte"/>
      <w:jc w:val="center"/>
    </w:pPr>
    <w:r w:rsidRPr="0006548A">
      <w:rPr>
        <w:noProof/>
        <w:lang w:val="fr-CH" w:eastAsia="fr-CH"/>
      </w:rPr>
      <w:drawing>
        <wp:inline distT="0" distB="0" distL="0" distR="0" wp14:anchorId="13D09585" wp14:editId="4404BB99">
          <wp:extent cx="1580445" cy="1289015"/>
          <wp:effectExtent l="0" t="0" r="0" b="0"/>
          <wp:docPr id="1898791807" name="Image 1898791807" descr="C:\Users\RLO-MASHREQ\Desktop\Logo-Alkarama2016_200px_trans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LO-MASHREQ\Desktop\Logo-Alkarama2016_200px_transp.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4917" cy="1292663"/>
                  </a:xfrm>
                  <a:prstGeom prst="rect">
                    <a:avLst/>
                  </a:prstGeom>
                  <a:noFill/>
                  <a:ln>
                    <a:noFill/>
                  </a:ln>
                </pic:spPr>
              </pic:pic>
            </a:graphicData>
          </a:graphic>
        </wp:inline>
      </w:drawing>
    </w:r>
    <w:r w:rsidR="00410E02">
      <w:t xml:space="preserve">         </w:t>
    </w:r>
    <w:r w:rsidR="00410E02" w:rsidRPr="00BE3ADE">
      <w:rPr>
        <w:noProof/>
        <w:lang w:val="fr-CH" w:eastAsia="fr-CH"/>
      </w:rPr>
      <w:drawing>
        <wp:inline distT="0" distB="0" distL="0" distR="0" wp14:anchorId="28FDD302" wp14:editId="2C94A987">
          <wp:extent cx="1079770" cy="1079770"/>
          <wp:effectExtent l="0" t="0" r="0" b="0"/>
          <wp:docPr id="222128515" name="Image 222128515" descr="C:\Users\Rachid\Desktop\logo avtt-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chid\Desktop\logo avtt-0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7184" cy="108718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53183"/>
    <w:multiLevelType w:val="hybridMultilevel"/>
    <w:tmpl w:val="F510F1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4A3F1140"/>
    <w:multiLevelType w:val="hybridMultilevel"/>
    <w:tmpl w:val="0332CFF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88285090">
    <w:abstractNumId w:val="1"/>
  </w:num>
  <w:num w:numId="2" w16cid:durableId="324016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701"/>
    <w:rsid w:val="00023660"/>
    <w:rsid w:val="000339AE"/>
    <w:rsid w:val="00041926"/>
    <w:rsid w:val="000741EC"/>
    <w:rsid w:val="000E0D13"/>
    <w:rsid w:val="000E2EC2"/>
    <w:rsid w:val="000F62F2"/>
    <w:rsid w:val="00112C4B"/>
    <w:rsid w:val="00181C8F"/>
    <w:rsid w:val="001945F1"/>
    <w:rsid w:val="001D04DD"/>
    <w:rsid w:val="001D5EA6"/>
    <w:rsid w:val="001E6539"/>
    <w:rsid w:val="001F0E05"/>
    <w:rsid w:val="0022107A"/>
    <w:rsid w:val="00253CA7"/>
    <w:rsid w:val="002757E0"/>
    <w:rsid w:val="002D287E"/>
    <w:rsid w:val="002D569E"/>
    <w:rsid w:val="00315DED"/>
    <w:rsid w:val="003D5B32"/>
    <w:rsid w:val="003E0FC2"/>
    <w:rsid w:val="00410E02"/>
    <w:rsid w:val="00433941"/>
    <w:rsid w:val="00434B0B"/>
    <w:rsid w:val="004612AA"/>
    <w:rsid w:val="00464C8F"/>
    <w:rsid w:val="00475559"/>
    <w:rsid w:val="005149CE"/>
    <w:rsid w:val="00531FB5"/>
    <w:rsid w:val="00546C0E"/>
    <w:rsid w:val="005534F4"/>
    <w:rsid w:val="00554A86"/>
    <w:rsid w:val="0057157E"/>
    <w:rsid w:val="00581166"/>
    <w:rsid w:val="005C0070"/>
    <w:rsid w:val="005C35B6"/>
    <w:rsid w:val="005E158B"/>
    <w:rsid w:val="005E7C07"/>
    <w:rsid w:val="005F51CB"/>
    <w:rsid w:val="00665183"/>
    <w:rsid w:val="00681BE9"/>
    <w:rsid w:val="006A6BDD"/>
    <w:rsid w:val="006D168F"/>
    <w:rsid w:val="006E6206"/>
    <w:rsid w:val="00763B0C"/>
    <w:rsid w:val="00767FB7"/>
    <w:rsid w:val="007B25DC"/>
    <w:rsid w:val="007C440B"/>
    <w:rsid w:val="007E387F"/>
    <w:rsid w:val="007F3226"/>
    <w:rsid w:val="00824259"/>
    <w:rsid w:val="008245AB"/>
    <w:rsid w:val="00827975"/>
    <w:rsid w:val="008529EC"/>
    <w:rsid w:val="00855FD1"/>
    <w:rsid w:val="008A6CBC"/>
    <w:rsid w:val="008A7703"/>
    <w:rsid w:val="008C1270"/>
    <w:rsid w:val="008D0CAB"/>
    <w:rsid w:val="008E6487"/>
    <w:rsid w:val="0091440F"/>
    <w:rsid w:val="00920EBC"/>
    <w:rsid w:val="0092401C"/>
    <w:rsid w:val="00936AB4"/>
    <w:rsid w:val="00942FD7"/>
    <w:rsid w:val="00965E62"/>
    <w:rsid w:val="00985C38"/>
    <w:rsid w:val="0099590D"/>
    <w:rsid w:val="009F2D35"/>
    <w:rsid w:val="00A014FD"/>
    <w:rsid w:val="00A10B07"/>
    <w:rsid w:val="00A124B8"/>
    <w:rsid w:val="00A46630"/>
    <w:rsid w:val="00A669D7"/>
    <w:rsid w:val="00A74F55"/>
    <w:rsid w:val="00A94DB0"/>
    <w:rsid w:val="00AA2F53"/>
    <w:rsid w:val="00AB1B0C"/>
    <w:rsid w:val="00AD478F"/>
    <w:rsid w:val="00AE31D8"/>
    <w:rsid w:val="00AF0530"/>
    <w:rsid w:val="00AF62CA"/>
    <w:rsid w:val="00AF6ADF"/>
    <w:rsid w:val="00B062E5"/>
    <w:rsid w:val="00B15D78"/>
    <w:rsid w:val="00B506E1"/>
    <w:rsid w:val="00B802D0"/>
    <w:rsid w:val="00BA25CD"/>
    <w:rsid w:val="00BF5489"/>
    <w:rsid w:val="00C05DCB"/>
    <w:rsid w:val="00C31175"/>
    <w:rsid w:val="00C61499"/>
    <w:rsid w:val="00C718CD"/>
    <w:rsid w:val="00C809D4"/>
    <w:rsid w:val="00CB649F"/>
    <w:rsid w:val="00CE2BEA"/>
    <w:rsid w:val="00CE3897"/>
    <w:rsid w:val="00CE4725"/>
    <w:rsid w:val="00CF1283"/>
    <w:rsid w:val="00D44C7A"/>
    <w:rsid w:val="00D506BB"/>
    <w:rsid w:val="00D7725D"/>
    <w:rsid w:val="00D8471A"/>
    <w:rsid w:val="00DA19D8"/>
    <w:rsid w:val="00DA4D15"/>
    <w:rsid w:val="00DA5E59"/>
    <w:rsid w:val="00DB2493"/>
    <w:rsid w:val="00DC3441"/>
    <w:rsid w:val="00DE2701"/>
    <w:rsid w:val="00DF22CE"/>
    <w:rsid w:val="00DF2712"/>
    <w:rsid w:val="00E20C6B"/>
    <w:rsid w:val="00E2446B"/>
    <w:rsid w:val="00E5526E"/>
    <w:rsid w:val="00E85C7A"/>
    <w:rsid w:val="00EB0201"/>
    <w:rsid w:val="00EC798F"/>
    <w:rsid w:val="00EE451C"/>
    <w:rsid w:val="00EF2F05"/>
    <w:rsid w:val="00EF627A"/>
    <w:rsid w:val="00F44C0C"/>
    <w:rsid w:val="00F715E4"/>
    <w:rsid w:val="00F72980"/>
    <w:rsid w:val="00F73AD0"/>
    <w:rsid w:val="00F90E4F"/>
    <w:rsid w:val="00F973F7"/>
    <w:rsid w:val="00FA5AA8"/>
    <w:rsid w:val="00FA712B"/>
    <w:rsid w:val="00FF51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28603B-8F40-C54D-9BC4-0058BC698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E2701"/>
    <w:pPr>
      <w:tabs>
        <w:tab w:val="center" w:pos="4536"/>
        <w:tab w:val="right" w:pos="9072"/>
      </w:tabs>
    </w:pPr>
  </w:style>
  <w:style w:type="character" w:customStyle="1" w:styleId="En-tteCar">
    <w:name w:val="En-tête Car"/>
    <w:basedOn w:val="Policepardfaut"/>
    <w:link w:val="En-tte"/>
    <w:uiPriority w:val="99"/>
    <w:rsid w:val="00DE2701"/>
  </w:style>
  <w:style w:type="paragraph" w:styleId="Pieddepage">
    <w:name w:val="footer"/>
    <w:basedOn w:val="Normal"/>
    <w:link w:val="PieddepageCar"/>
    <w:uiPriority w:val="99"/>
    <w:unhideWhenUsed/>
    <w:rsid w:val="00DE2701"/>
    <w:pPr>
      <w:tabs>
        <w:tab w:val="center" w:pos="4536"/>
        <w:tab w:val="right" w:pos="9072"/>
      </w:tabs>
    </w:pPr>
  </w:style>
  <w:style w:type="character" w:customStyle="1" w:styleId="PieddepageCar">
    <w:name w:val="Pied de page Car"/>
    <w:basedOn w:val="Policepardfaut"/>
    <w:link w:val="Pieddepage"/>
    <w:uiPriority w:val="99"/>
    <w:rsid w:val="00DE2701"/>
  </w:style>
  <w:style w:type="paragraph" w:styleId="Notedebasdepage">
    <w:name w:val="footnote text"/>
    <w:basedOn w:val="Normal"/>
    <w:link w:val="NotedebasdepageCar"/>
    <w:uiPriority w:val="99"/>
    <w:semiHidden/>
    <w:unhideWhenUsed/>
    <w:rsid w:val="00F73AD0"/>
    <w:rPr>
      <w:sz w:val="20"/>
      <w:szCs w:val="20"/>
    </w:rPr>
  </w:style>
  <w:style w:type="character" w:customStyle="1" w:styleId="NotedebasdepageCar">
    <w:name w:val="Note de bas de page Car"/>
    <w:basedOn w:val="Policepardfaut"/>
    <w:link w:val="Notedebasdepage"/>
    <w:uiPriority w:val="99"/>
    <w:semiHidden/>
    <w:rsid w:val="00F73AD0"/>
    <w:rPr>
      <w:sz w:val="20"/>
      <w:szCs w:val="20"/>
    </w:rPr>
  </w:style>
  <w:style w:type="character" w:styleId="Lienhypertexte">
    <w:name w:val="Hyperlink"/>
    <w:uiPriority w:val="99"/>
    <w:unhideWhenUsed/>
    <w:rsid w:val="00F73AD0"/>
    <w:rPr>
      <w:color w:val="0000FF"/>
      <w:u w:val="single"/>
    </w:rPr>
  </w:style>
  <w:style w:type="character" w:styleId="Appelnotedebasdep">
    <w:name w:val="footnote reference"/>
    <w:aliases w:val="Footnote number"/>
    <w:uiPriority w:val="99"/>
    <w:rsid w:val="00F73AD0"/>
    <w:rPr>
      <w:vertAlign w:val="superscript"/>
    </w:rPr>
  </w:style>
  <w:style w:type="character" w:customStyle="1" w:styleId="Mentionnonrsolue1">
    <w:name w:val="Mention non résolue1"/>
    <w:basedOn w:val="Policepardfaut"/>
    <w:uiPriority w:val="99"/>
    <w:semiHidden/>
    <w:unhideWhenUsed/>
    <w:rsid w:val="00CF1283"/>
    <w:rPr>
      <w:color w:val="605E5C"/>
      <w:shd w:val="clear" w:color="auto" w:fill="E1DFDD"/>
    </w:rPr>
  </w:style>
  <w:style w:type="character" w:styleId="Lienhypertextesuivivisit">
    <w:name w:val="FollowedHyperlink"/>
    <w:basedOn w:val="Policepardfaut"/>
    <w:uiPriority w:val="99"/>
    <w:semiHidden/>
    <w:unhideWhenUsed/>
    <w:rsid w:val="000F62F2"/>
    <w:rPr>
      <w:color w:val="954F72" w:themeColor="followedHyperlink"/>
      <w:u w:val="single"/>
    </w:rPr>
  </w:style>
  <w:style w:type="paragraph" w:styleId="NormalWeb">
    <w:name w:val="Normal (Web)"/>
    <w:basedOn w:val="Normal"/>
    <w:uiPriority w:val="99"/>
    <w:unhideWhenUsed/>
    <w:rsid w:val="003E0FC2"/>
    <w:pPr>
      <w:spacing w:before="100" w:beforeAutospacing="1" w:after="100" w:afterAutospacing="1"/>
    </w:pPr>
    <w:rPr>
      <w:rFonts w:ascii="Times New Roman" w:eastAsia="Times New Roman" w:hAnsi="Times New Roman" w:cs="Times New Roman"/>
      <w:kern w:val="0"/>
      <w:lang w:eastAsia="fr-FR"/>
      <w14:ligatures w14:val="none"/>
    </w:rPr>
  </w:style>
  <w:style w:type="paragraph" w:styleId="Paragraphedeliste">
    <w:name w:val="List Paragraph"/>
    <w:basedOn w:val="Normal"/>
    <w:uiPriority w:val="34"/>
    <w:qFormat/>
    <w:rsid w:val="00433941"/>
    <w:pPr>
      <w:ind w:left="720"/>
      <w:contextualSpacing/>
    </w:pPr>
  </w:style>
  <w:style w:type="character" w:styleId="Numrodepage">
    <w:name w:val="page number"/>
    <w:basedOn w:val="Policepardfaut"/>
    <w:uiPriority w:val="99"/>
    <w:semiHidden/>
    <w:unhideWhenUsed/>
    <w:rsid w:val="00BF5489"/>
  </w:style>
  <w:style w:type="character" w:customStyle="1" w:styleId="Mentionnonrsolue2">
    <w:name w:val="Mention non résolue2"/>
    <w:basedOn w:val="Policepardfaut"/>
    <w:uiPriority w:val="99"/>
    <w:semiHidden/>
    <w:unhideWhenUsed/>
    <w:rsid w:val="00855F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34580">
      <w:bodyDiv w:val="1"/>
      <w:marLeft w:val="0"/>
      <w:marRight w:val="0"/>
      <w:marTop w:val="0"/>
      <w:marBottom w:val="0"/>
      <w:divBdr>
        <w:top w:val="none" w:sz="0" w:space="0" w:color="auto"/>
        <w:left w:val="none" w:sz="0" w:space="0" w:color="auto"/>
        <w:bottom w:val="none" w:sz="0" w:space="0" w:color="auto"/>
        <w:right w:val="none" w:sz="0" w:space="0" w:color="auto"/>
      </w:divBdr>
      <w:divsChild>
        <w:div w:id="1315835938">
          <w:marLeft w:val="0"/>
          <w:marRight w:val="0"/>
          <w:marTop w:val="0"/>
          <w:marBottom w:val="0"/>
          <w:divBdr>
            <w:top w:val="none" w:sz="0" w:space="0" w:color="auto"/>
            <w:left w:val="none" w:sz="0" w:space="0" w:color="auto"/>
            <w:bottom w:val="none" w:sz="0" w:space="0" w:color="auto"/>
            <w:right w:val="none" w:sz="0" w:space="0" w:color="auto"/>
          </w:divBdr>
          <w:divsChild>
            <w:div w:id="752974378">
              <w:marLeft w:val="0"/>
              <w:marRight w:val="0"/>
              <w:marTop w:val="0"/>
              <w:marBottom w:val="0"/>
              <w:divBdr>
                <w:top w:val="none" w:sz="0" w:space="0" w:color="auto"/>
                <w:left w:val="none" w:sz="0" w:space="0" w:color="auto"/>
                <w:bottom w:val="none" w:sz="0" w:space="0" w:color="auto"/>
                <w:right w:val="none" w:sz="0" w:space="0" w:color="auto"/>
              </w:divBdr>
              <w:divsChild>
                <w:div w:id="1480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11094">
      <w:bodyDiv w:val="1"/>
      <w:marLeft w:val="0"/>
      <w:marRight w:val="0"/>
      <w:marTop w:val="0"/>
      <w:marBottom w:val="0"/>
      <w:divBdr>
        <w:top w:val="none" w:sz="0" w:space="0" w:color="auto"/>
        <w:left w:val="none" w:sz="0" w:space="0" w:color="auto"/>
        <w:bottom w:val="none" w:sz="0" w:space="0" w:color="auto"/>
        <w:right w:val="none" w:sz="0" w:space="0" w:color="auto"/>
      </w:divBdr>
      <w:divsChild>
        <w:div w:id="2004118662">
          <w:marLeft w:val="0"/>
          <w:marRight w:val="0"/>
          <w:marTop w:val="0"/>
          <w:marBottom w:val="0"/>
          <w:divBdr>
            <w:top w:val="none" w:sz="0" w:space="0" w:color="auto"/>
            <w:left w:val="none" w:sz="0" w:space="0" w:color="auto"/>
            <w:bottom w:val="none" w:sz="0" w:space="0" w:color="auto"/>
            <w:right w:val="none" w:sz="0" w:space="0" w:color="auto"/>
          </w:divBdr>
          <w:divsChild>
            <w:div w:id="148794365">
              <w:marLeft w:val="0"/>
              <w:marRight w:val="0"/>
              <w:marTop w:val="0"/>
              <w:marBottom w:val="0"/>
              <w:divBdr>
                <w:top w:val="none" w:sz="0" w:space="0" w:color="auto"/>
                <w:left w:val="none" w:sz="0" w:space="0" w:color="auto"/>
                <w:bottom w:val="none" w:sz="0" w:space="0" w:color="auto"/>
                <w:right w:val="none" w:sz="0" w:space="0" w:color="auto"/>
              </w:divBdr>
              <w:divsChild>
                <w:div w:id="10073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264638">
      <w:bodyDiv w:val="1"/>
      <w:marLeft w:val="0"/>
      <w:marRight w:val="0"/>
      <w:marTop w:val="0"/>
      <w:marBottom w:val="0"/>
      <w:divBdr>
        <w:top w:val="none" w:sz="0" w:space="0" w:color="auto"/>
        <w:left w:val="none" w:sz="0" w:space="0" w:color="auto"/>
        <w:bottom w:val="none" w:sz="0" w:space="0" w:color="auto"/>
        <w:right w:val="none" w:sz="0" w:space="0" w:color="auto"/>
      </w:divBdr>
      <w:divsChild>
        <w:div w:id="129908294">
          <w:marLeft w:val="0"/>
          <w:marRight w:val="0"/>
          <w:marTop w:val="0"/>
          <w:marBottom w:val="0"/>
          <w:divBdr>
            <w:top w:val="none" w:sz="0" w:space="0" w:color="auto"/>
            <w:left w:val="none" w:sz="0" w:space="0" w:color="auto"/>
            <w:bottom w:val="none" w:sz="0" w:space="0" w:color="auto"/>
            <w:right w:val="none" w:sz="0" w:space="0" w:color="auto"/>
          </w:divBdr>
          <w:divsChild>
            <w:div w:id="1955552716">
              <w:marLeft w:val="0"/>
              <w:marRight w:val="0"/>
              <w:marTop w:val="0"/>
              <w:marBottom w:val="0"/>
              <w:divBdr>
                <w:top w:val="none" w:sz="0" w:space="0" w:color="auto"/>
                <w:left w:val="none" w:sz="0" w:space="0" w:color="auto"/>
                <w:bottom w:val="none" w:sz="0" w:space="0" w:color="auto"/>
                <w:right w:val="none" w:sz="0" w:space="0" w:color="auto"/>
              </w:divBdr>
              <w:divsChild>
                <w:div w:id="191562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58658">
      <w:bodyDiv w:val="1"/>
      <w:marLeft w:val="0"/>
      <w:marRight w:val="0"/>
      <w:marTop w:val="0"/>
      <w:marBottom w:val="0"/>
      <w:divBdr>
        <w:top w:val="none" w:sz="0" w:space="0" w:color="auto"/>
        <w:left w:val="none" w:sz="0" w:space="0" w:color="auto"/>
        <w:bottom w:val="none" w:sz="0" w:space="0" w:color="auto"/>
        <w:right w:val="none" w:sz="0" w:space="0" w:color="auto"/>
      </w:divBdr>
      <w:divsChild>
        <w:div w:id="560672311">
          <w:marLeft w:val="0"/>
          <w:marRight w:val="0"/>
          <w:marTop w:val="0"/>
          <w:marBottom w:val="0"/>
          <w:divBdr>
            <w:top w:val="none" w:sz="0" w:space="0" w:color="auto"/>
            <w:left w:val="none" w:sz="0" w:space="0" w:color="auto"/>
            <w:bottom w:val="none" w:sz="0" w:space="0" w:color="auto"/>
            <w:right w:val="none" w:sz="0" w:space="0" w:color="auto"/>
          </w:divBdr>
          <w:divsChild>
            <w:div w:id="2043506159">
              <w:marLeft w:val="0"/>
              <w:marRight w:val="0"/>
              <w:marTop w:val="0"/>
              <w:marBottom w:val="0"/>
              <w:divBdr>
                <w:top w:val="none" w:sz="0" w:space="0" w:color="auto"/>
                <w:left w:val="none" w:sz="0" w:space="0" w:color="auto"/>
                <w:bottom w:val="none" w:sz="0" w:space="0" w:color="auto"/>
                <w:right w:val="none" w:sz="0" w:space="0" w:color="auto"/>
              </w:divBdr>
              <w:divsChild>
                <w:div w:id="180304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960716">
      <w:bodyDiv w:val="1"/>
      <w:marLeft w:val="0"/>
      <w:marRight w:val="0"/>
      <w:marTop w:val="0"/>
      <w:marBottom w:val="0"/>
      <w:divBdr>
        <w:top w:val="none" w:sz="0" w:space="0" w:color="auto"/>
        <w:left w:val="none" w:sz="0" w:space="0" w:color="auto"/>
        <w:bottom w:val="none" w:sz="0" w:space="0" w:color="auto"/>
        <w:right w:val="none" w:sz="0" w:space="0" w:color="auto"/>
      </w:divBdr>
      <w:divsChild>
        <w:div w:id="1463421399">
          <w:marLeft w:val="0"/>
          <w:marRight w:val="0"/>
          <w:marTop w:val="0"/>
          <w:marBottom w:val="0"/>
          <w:divBdr>
            <w:top w:val="none" w:sz="0" w:space="0" w:color="auto"/>
            <w:left w:val="none" w:sz="0" w:space="0" w:color="auto"/>
            <w:bottom w:val="none" w:sz="0" w:space="0" w:color="auto"/>
            <w:right w:val="none" w:sz="0" w:space="0" w:color="auto"/>
          </w:divBdr>
          <w:divsChild>
            <w:div w:id="873351142">
              <w:marLeft w:val="0"/>
              <w:marRight w:val="0"/>
              <w:marTop w:val="0"/>
              <w:marBottom w:val="0"/>
              <w:divBdr>
                <w:top w:val="none" w:sz="0" w:space="0" w:color="auto"/>
                <w:left w:val="none" w:sz="0" w:space="0" w:color="auto"/>
                <w:bottom w:val="none" w:sz="0" w:space="0" w:color="auto"/>
                <w:right w:val="none" w:sz="0" w:space="0" w:color="auto"/>
              </w:divBdr>
              <w:divsChild>
                <w:div w:id="97707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497490">
      <w:bodyDiv w:val="1"/>
      <w:marLeft w:val="0"/>
      <w:marRight w:val="0"/>
      <w:marTop w:val="0"/>
      <w:marBottom w:val="0"/>
      <w:divBdr>
        <w:top w:val="none" w:sz="0" w:space="0" w:color="auto"/>
        <w:left w:val="none" w:sz="0" w:space="0" w:color="auto"/>
        <w:bottom w:val="none" w:sz="0" w:space="0" w:color="auto"/>
        <w:right w:val="none" w:sz="0" w:space="0" w:color="auto"/>
      </w:divBdr>
      <w:divsChild>
        <w:div w:id="1571308983">
          <w:marLeft w:val="0"/>
          <w:marRight w:val="0"/>
          <w:marTop w:val="0"/>
          <w:marBottom w:val="0"/>
          <w:divBdr>
            <w:top w:val="none" w:sz="0" w:space="0" w:color="auto"/>
            <w:left w:val="none" w:sz="0" w:space="0" w:color="auto"/>
            <w:bottom w:val="none" w:sz="0" w:space="0" w:color="auto"/>
            <w:right w:val="none" w:sz="0" w:space="0" w:color="auto"/>
          </w:divBdr>
          <w:divsChild>
            <w:div w:id="390034673">
              <w:marLeft w:val="0"/>
              <w:marRight w:val="0"/>
              <w:marTop w:val="0"/>
              <w:marBottom w:val="0"/>
              <w:divBdr>
                <w:top w:val="none" w:sz="0" w:space="0" w:color="auto"/>
                <w:left w:val="none" w:sz="0" w:space="0" w:color="auto"/>
                <w:bottom w:val="none" w:sz="0" w:space="0" w:color="auto"/>
                <w:right w:val="none" w:sz="0" w:space="0" w:color="auto"/>
              </w:divBdr>
              <w:divsChild>
                <w:div w:id="23431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8010">
      <w:bodyDiv w:val="1"/>
      <w:marLeft w:val="0"/>
      <w:marRight w:val="0"/>
      <w:marTop w:val="0"/>
      <w:marBottom w:val="0"/>
      <w:divBdr>
        <w:top w:val="none" w:sz="0" w:space="0" w:color="auto"/>
        <w:left w:val="none" w:sz="0" w:space="0" w:color="auto"/>
        <w:bottom w:val="none" w:sz="0" w:space="0" w:color="auto"/>
        <w:right w:val="none" w:sz="0" w:space="0" w:color="auto"/>
      </w:divBdr>
      <w:divsChild>
        <w:div w:id="566913967">
          <w:marLeft w:val="0"/>
          <w:marRight w:val="0"/>
          <w:marTop w:val="0"/>
          <w:marBottom w:val="0"/>
          <w:divBdr>
            <w:top w:val="none" w:sz="0" w:space="0" w:color="auto"/>
            <w:left w:val="none" w:sz="0" w:space="0" w:color="auto"/>
            <w:bottom w:val="none" w:sz="0" w:space="0" w:color="auto"/>
            <w:right w:val="none" w:sz="0" w:space="0" w:color="auto"/>
          </w:divBdr>
          <w:divsChild>
            <w:div w:id="1389766159">
              <w:marLeft w:val="0"/>
              <w:marRight w:val="0"/>
              <w:marTop w:val="0"/>
              <w:marBottom w:val="0"/>
              <w:divBdr>
                <w:top w:val="none" w:sz="0" w:space="0" w:color="auto"/>
                <w:left w:val="none" w:sz="0" w:space="0" w:color="auto"/>
                <w:bottom w:val="none" w:sz="0" w:space="0" w:color="auto"/>
                <w:right w:val="none" w:sz="0" w:space="0" w:color="auto"/>
              </w:divBdr>
              <w:divsChild>
                <w:div w:id="124383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222391">
      <w:bodyDiv w:val="1"/>
      <w:marLeft w:val="0"/>
      <w:marRight w:val="0"/>
      <w:marTop w:val="0"/>
      <w:marBottom w:val="0"/>
      <w:divBdr>
        <w:top w:val="none" w:sz="0" w:space="0" w:color="auto"/>
        <w:left w:val="none" w:sz="0" w:space="0" w:color="auto"/>
        <w:bottom w:val="none" w:sz="0" w:space="0" w:color="auto"/>
        <w:right w:val="none" w:sz="0" w:space="0" w:color="auto"/>
      </w:divBdr>
      <w:divsChild>
        <w:div w:id="1542940377">
          <w:marLeft w:val="0"/>
          <w:marRight w:val="0"/>
          <w:marTop w:val="0"/>
          <w:marBottom w:val="0"/>
          <w:divBdr>
            <w:top w:val="none" w:sz="0" w:space="0" w:color="auto"/>
            <w:left w:val="none" w:sz="0" w:space="0" w:color="auto"/>
            <w:bottom w:val="none" w:sz="0" w:space="0" w:color="auto"/>
            <w:right w:val="none" w:sz="0" w:space="0" w:color="auto"/>
          </w:divBdr>
          <w:divsChild>
            <w:div w:id="2047637188">
              <w:marLeft w:val="0"/>
              <w:marRight w:val="0"/>
              <w:marTop w:val="0"/>
              <w:marBottom w:val="0"/>
              <w:divBdr>
                <w:top w:val="none" w:sz="0" w:space="0" w:color="auto"/>
                <w:left w:val="none" w:sz="0" w:space="0" w:color="auto"/>
                <w:bottom w:val="none" w:sz="0" w:space="0" w:color="auto"/>
                <w:right w:val="none" w:sz="0" w:space="0" w:color="auto"/>
              </w:divBdr>
              <w:divsChild>
                <w:div w:id="57050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239393">
      <w:bodyDiv w:val="1"/>
      <w:marLeft w:val="0"/>
      <w:marRight w:val="0"/>
      <w:marTop w:val="0"/>
      <w:marBottom w:val="0"/>
      <w:divBdr>
        <w:top w:val="none" w:sz="0" w:space="0" w:color="auto"/>
        <w:left w:val="none" w:sz="0" w:space="0" w:color="auto"/>
        <w:bottom w:val="none" w:sz="0" w:space="0" w:color="auto"/>
        <w:right w:val="none" w:sz="0" w:space="0" w:color="auto"/>
      </w:divBdr>
      <w:divsChild>
        <w:div w:id="1661469622">
          <w:marLeft w:val="0"/>
          <w:marRight w:val="0"/>
          <w:marTop w:val="0"/>
          <w:marBottom w:val="0"/>
          <w:divBdr>
            <w:top w:val="none" w:sz="0" w:space="0" w:color="auto"/>
            <w:left w:val="none" w:sz="0" w:space="0" w:color="auto"/>
            <w:bottom w:val="none" w:sz="0" w:space="0" w:color="auto"/>
            <w:right w:val="none" w:sz="0" w:space="0" w:color="auto"/>
          </w:divBdr>
          <w:divsChild>
            <w:div w:id="2097436300">
              <w:marLeft w:val="0"/>
              <w:marRight w:val="0"/>
              <w:marTop w:val="0"/>
              <w:marBottom w:val="0"/>
              <w:divBdr>
                <w:top w:val="none" w:sz="0" w:space="0" w:color="auto"/>
                <w:left w:val="none" w:sz="0" w:space="0" w:color="auto"/>
                <w:bottom w:val="none" w:sz="0" w:space="0" w:color="auto"/>
                <w:right w:val="none" w:sz="0" w:space="0" w:color="auto"/>
              </w:divBdr>
              <w:divsChild>
                <w:div w:id="324359314">
                  <w:marLeft w:val="0"/>
                  <w:marRight w:val="0"/>
                  <w:marTop w:val="0"/>
                  <w:marBottom w:val="0"/>
                  <w:divBdr>
                    <w:top w:val="none" w:sz="0" w:space="0" w:color="auto"/>
                    <w:left w:val="none" w:sz="0" w:space="0" w:color="auto"/>
                    <w:bottom w:val="none" w:sz="0" w:space="0" w:color="auto"/>
                    <w:right w:val="none" w:sz="0" w:space="0" w:color="auto"/>
                  </w:divBdr>
                </w:div>
              </w:divsChild>
            </w:div>
            <w:div w:id="1987009575">
              <w:marLeft w:val="0"/>
              <w:marRight w:val="0"/>
              <w:marTop w:val="0"/>
              <w:marBottom w:val="0"/>
              <w:divBdr>
                <w:top w:val="none" w:sz="0" w:space="0" w:color="auto"/>
                <w:left w:val="none" w:sz="0" w:space="0" w:color="auto"/>
                <w:bottom w:val="none" w:sz="0" w:space="0" w:color="auto"/>
                <w:right w:val="none" w:sz="0" w:space="0" w:color="auto"/>
              </w:divBdr>
              <w:divsChild>
                <w:div w:id="126603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983797">
          <w:marLeft w:val="0"/>
          <w:marRight w:val="0"/>
          <w:marTop w:val="0"/>
          <w:marBottom w:val="0"/>
          <w:divBdr>
            <w:top w:val="none" w:sz="0" w:space="0" w:color="auto"/>
            <w:left w:val="none" w:sz="0" w:space="0" w:color="auto"/>
            <w:bottom w:val="none" w:sz="0" w:space="0" w:color="auto"/>
            <w:right w:val="none" w:sz="0" w:space="0" w:color="auto"/>
          </w:divBdr>
          <w:divsChild>
            <w:div w:id="803427811">
              <w:marLeft w:val="0"/>
              <w:marRight w:val="0"/>
              <w:marTop w:val="0"/>
              <w:marBottom w:val="0"/>
              <w:divBdr>
                <w:top w:val="none" w:sz="0" w:space="0" w:color="auto"/>
                <w:left w:val="none" w:sz="0" w:space="0" w:color="auto"/>
                <w:bottom w:val="none" w:sz="0" w:space="0" w:color="auto"/>
                <w:right w:val="none" w:sz="0" w:space="0" w:color="auto"/>
              </w:divBdr>
              <w:divsChild>
                <w:div w:id="1834638160">
                  <w:marLeft w:val="0"/>
                  <w:marRight w:val="0"/>
                  <w:marTop w:val="0"/>
                  <w:marBottom w:val="0"/>
                  <w:divBdr>
                    <w:top w:val="none" w:sz="0" w:space="0" w:color="auto"/>
                    <w:left w:val="none" w:sz="0" w:space="0" w:color="auto"/>
                    <w:bottom w:val="none" w:sz="0" w:space="0" w:color="auto"/>
                    <w:right w:val="none" w:sz="0" w:space="0" w:color="auto"/>
                  </w:divBdr>
                </w:div>
              </w:divsChild>
            </w:div>
            <w:div w:id="774179397">
              <w:marLeft w:val="0"/>
              <w:marRight w:val="0"/>
              <w:marTop w:val="0"/>
              <w:marBottom w:val="0"/>
              <w:divBdr>
                <w:top w:val="none" w:sz="0" w:space="0" w:color="auto"/>
                <w:left w:val="none" w:sz="0" w:space="0" w:color="auto"/>
                <w:bottom w:val="none" w:sz="0" w:space="0" w:color="auto"/>
                <w:right w:val="none" w:sz="0" w:space="0" w:color="auto"/>
              </w:divBdr>
              <w:divsChild>
                <w:div w:id="289211174">
                  <w:marLeft w:val="0"/>
                  <w:marRight w:val="0"/>
                  <w:marTop w:val="0"/>
                  <w:marBottom w:val="0"/>
                  <w:divBdr>
                    <w:top w:val="none" w:sz="0" w:space="0" w:color="auto"/>
                    <w:left w:val="none" w:sz="0" w:space="0" w:color="auto"/>
                    <w:bottom w:val="none" w:sz="0" w:space="0" w:color="auto"/>
                    <w:right w:val="none" w:sz="0" w:space="0" w:color="auto"/>
                  </w:divBdr>
                </w:div>
                <w:div w:id="1253705169">
                  <w:marLeft w:val="0"/>
                  <w:marRight w:val="0"/>
                  <w:marTop w:val="0"/>
                  <w:marBottom w:val="0"/>
                  <w:divBdr>
                    <w:top w:val="none" w:sz="0" w:space="0" w:color="auto"/>
                    <w:left w:val="none" w:sz="0" w:space="0" w:color="auto"/>
                    <w:bottom w:val="none" w:sz="0" w:space="0" w:color="auto"/>
                    <w:right w:val="none" w:sz="0" w:space="0" w:color="auto"/>
                  </w:divBdr>
                </w:div>
              </w:divsChild>
            </w:div>
            <w:div w:id="1601596398">
              <w:marLeft w:val="0"/>
              <w:marRight w:val="0"/>
              <w:marTop w:val="0"/>
              <w:marBottom w:val="0"/>
              <w:divBdr>
                <w:top w:val="none" w:sz="0" w:space="0" w:color="auto"/>
                <w:left w:val="none" w:sz="0" w:space="0" w:color="auto"/>
                <w:bottom w:val="none" w:sz="0" w:space="0" w:color="auto"/>
                <w:right w:val="none" w:sz="0" w:space="0" w:color="auto"/>
              </w:divBdr>
              <w:divsChild>
                <w:div w:id="26496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87222">
      <w:bodyDiv w:val="1"/>
      <w:marLeft w:val="0"/>
      <w:marRight w:val="0"/>
      <w:marTop w:val="0"/>
      <w:marBottom w:val="0"/>
      <w:divBdr>
        <w:top w:val="none" w:sz="0" w:space="0" w:color="auto"/>
        <w:left w:val="none" w:sz="0" w:space="0" w:color="auto"/>
        <w:bottom w:val="none" w:sz="0" w:space="0" w:color="auto"/>
        <w:right w:val="none" w:sz="0" w:space="0" w:color="auto"/>
      </w:divBdr>
      <w:divsChild>
        <w:div w:id="1226180797">
          <w:marLeft w:val="0"/>
          <w:marRight w:val="0"/>
          <w:marTop w:val="0"/>
          <w:marBottom w:val="0"/>
          <w:divBdr>
            <w:top w:val="none" w:sz="0" w:space="0" w:color="auto"/>
            <w:left w:val="none" w:sz="0" w:space="0" w:color="auto"/>
            <w:bottom w:val="none" w:sz="0" w:space="0" w:color="auto"/>
            <w:right w:val="none" w:sz="0" w:space="0" w:color="auto"/>
          </w:divBdr>
          <w:divsChild>
            <w:div w:id="570039657">
              <w:marLeft w:val="0"/>
              <w:marRight w:val="0"/>
              <w:marTop w:val="0"/>
              <w:marBottom w:val="0"/>
              <w:divBdr>
                <w:top w:val="none" w:sz="0" w:space="0" w:color="auto"/>
                <w:left w:val="none" w:sz="0" w:space="0" w:color="auto"/>
                <w:bottom w:val="none" w:sz="0" w:space="0" w:color="auto"/>
                <w:right w:val="none" w:sz="0" w:space="0" w:color="auto"/>
              </w:divBdr>
              <w:divsChild>
                <w:div w:id="3521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003167">
      <w:bodyDiv w:val="1"/>
      <w:marLeft w:val="0"/>
      <w:marRight w:val="0"/>
      <w:marTop w:val="0"/>
      <w:marBottom w:val="0"/>
      <w:divBdr>
        <w:top w:val="none" w:sz="0" w:space="0" w:color="auto"/>
        <w:left w:val="none" w:sz="0" w:space="0" w:color="auto"/>
        <w:bottom w:val="none" w:sz="0" w:space="0" w:color="auto"/>
        <w:right w:val="none" w:sz="0" w:space="0" w:color="auto"/>
      </w:divBdr>
      <w:divsChild>
        <w:div w:id="623779864">
          <w:marLeft w:val="0"/>
          <w:marRight w:val="0"/>
          <w:marTop w:val="0"/>
          <w:marBottom w:val="0"/>
          <w:divBdr>
            <w:top w:val="none" w:sz="0" w:space="0" w:color="auto"/>
            <w:left w:val="none" w:sz="0" w:space="0" w:color="auto"/>
            <w:bottom w:val="none" w:sz="0" w:space="0" w:color="auto"/>
            <w:right w:val="none" w:sz="0" w:space="0" w:color="auto"/>
          </w:divBdr>
          <w:divsChild>
            <w:div w:id="1716269954">
              <w:marLeft w:val="0"/>
              <w:marRight w:val="0"/>
              <w:marTop w:val="0"/>
              <w:marBottom w:val="0"/>
              <w:divBdr>
                <w:top w:val="none" w:sz="0" w:space="0" w:color="auto"/>
                <w:left w:val="none" w:sz="0" w:space="0" w:color="auto"/>
                <w:bottom w:val="none" w:sz="0" w:space="0" w:color="auto"/>
                <w:right w:val="none" w:sz="0" w:space="0" w:color="auto"/>
              </w:divBdr>
              <w:divsChild>
                <w:div w:id="133641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119320">
      <w:bodyDiv w:val="1"/>
      <w:marLeft w:val="0"/>
      <w:marRight w:val="0"/>
      <w:marTop w:val="0"/>
      <w:marBottom w:val="0"/>
      <w:divBdr>
        <w:top w:val="none" w:sz="0" w:space="0" w:color="auto"/>
        <w:left w:val="none" w:sz="0" w:space="0" w:color="auto"/>
        <w:bottom w:val="none" w:sz="0" w:space="0" w:color="auto"/>
        <w:right w:val="none" w:sz="0" w:space="0" w:color="auto"/>
      </w:divBdr>
      <w:divsChild>
        <w:div w:id="1185826425">
          <w:marLeft w:val="0"/>
          <w:marRight w:val="0"/>
          <w:marTop w:val="0"/>
          <w:marBottom w:val="0"/>
          <w:divBdr>
            <w:top w:val="none" w:sz="0" w:space="0" w:color="auto"/>
            <w:left w:val="none" w:sz="0" w:space="0" w:color="auto"/>
            <w:bottom w:val="none" w:sz="0" w:space="0" w:color="auto"/>
            <w:right w:val="none" w:sz="0" w:space="0" w:color="auto"/>
          </w:divBdr>
        </w:div>
      </w:divsChild>
    </w:div>
    <w:div w:id="1073313786">
      <w:bodyDiv w:val="1"/>
      <w:marLeft w:val="0"/>
      <w:marRight w:val="0"/>
      <w:marTop w:val="0"/>
      <w:marBottom w:val="0"/>
      <w:divBdr>
        <w:top w:val="none" w:sz="0" w:space="0" w:color="auto"/>
        <w:left w:val="none" w:sz="0" w:space="0" w:color="auto"/>
        <w:bottom w:val="none" w:sz="0" w:space="0" w:color="auto"/>
        <w:right w:val="none" w:sz="0" w:space="0" w:color="auto"/>
      </w:divBdr>
      <w:divsChild>
        <w:div w:id="1856113109">
          <w:marLeft w:val="0"/>
          <w:marRight w:val="0"/>
          <w:marTop w:val="0"/>
          <w:marBottom w:val="0"/>
          <w:divBdr>
            <w:top w:val="none" w:sz="0" w:space="0" w:color="auto"/>
            <w:left w:val="none" w:sz="0" w:space="0" w:color="auto"/>
            <w:bottom w:val="none" w:sz="0" w:space="0" w:color="auto"/>
            <w:right w:val="none" w:sz="0" w:space="0" w:color="auto"/>
          </w:divBdr>
          <w:divsChild>
            <w:div w:id="882255410">
              <w:marLeft w:val="0"/>
              <w:marRight w:val="0"/>
              <w:marTop w:val="0"/>
              <w:marBottom w:val="0"/>
              <w:divBdr>
                <w:top w:val="none" w:sz="0" w:space="0" w:color="auto"/>
                <w:left w:val="none" w:sz="0" w:space="0" w:color="auto"/>
                <w:bottom w:val="none" w:sz="0" w:space="0" w:color="auto"/>
                <w:right w:val="none" w:sz="0" w:space="0" w:color="auto"/>
              </w:divBdr>
              <w:divsChild>
                <w:div w:id="168336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78572">
      <w:bodyDiv w:val="1"/>
      <w:marLeft w:val="0"/>
      <w:marRight w:val="0"/>
      <w:marTop w:val="0"/>
      <w:marBottom w:val="0"/>
      <w:divBdr>
        <w:top w:val="none" w:sz="0" w:space="0" w:color="auto"/>
        <w:left w:val="none" w:sz="0" w:space="0" w:color="auto"/>
        <w:bottom w:val="none" w:sz="0" w:space="0" w:color="auto"/>
        <w:right w:val="none" w:sz="0" w:space="0" w:color="auto"/>
      </w:divBdr>
      <w:divsChild>
        <w:div w:id="122701567">
          <w:marLeft w:val="0"/>
          <w:marRight w:val="0"/>
          <w:marTop w:val="0"/>
          <w:marBottom w:val="0"/>
          <w:divBdr>
            <w:top w:val="none" w:sz="0" w:space="0" w:color="auto"/>
            <w:left w:val="none" w:sz="0" w:space="0" w:color="auto"/>
            <w:bottom w:val="none" w:sz="0" w:space="0" w:color="auto"/>
            <w:right w:val="none" w:sz="0" w:space="0" w:color="auto"/>
          </w:divBdr>
        </w:div>
      </w:divsChild>
    </w:div>
    <w:div w:id="1380473224">
      <w:bodyDiv w:val="1"/>
      <w:marLeft w:val="0"/>
      <w:marRight w:val="0"/>
      <w:marTop w:val="0"/>
      <w:marBottom w:val="0"/>
      <w:divBdr>
        <w:top w:val="none" w:sz="0" w:space="0" w:color="auto"/>
        <w:left w:val="none" w:sz="0" w:space="0" w:color="auto"/>
        <w:bottom w:val="none" w:sz="0" w:space="0" w:color="auto"/>
        <w:right w:val="none" w:sz="0" w:space="0" w:color="auto"/>
      </w:divBdr>
      <w:divsChild>
        <w:div w:id="118840715">
          <w:marLeft w:val="0"/>
          <w:marRight w:val="0"/>
          <w:marTop w:val="0"/>
          <w:marBottom w:val="0"/>
          <w:divBdr>
            <w:top w:val="none" w:sz="0" w:space="0" w:color="auto"/>
            <w:left w:val="none" w:sz="0" w:space="0" w:color="auto"/>
            <w:bottom w:val="none" w:sz="0" w:space="0" w:color="auto"/>
            <w:right w:val="none" w:sz="0" w:space="0" w:color="auto"/>
          </w:divBdr>
          <w:divsChild>
            <w:div w:id="1735084494">
              <w:marLeft w:val="0"/>
              <w:marRight w:val="0"/>
              <w:marTop w:val="0"/>
              <w:marBottom w:val="0"/>
              <w:divBdr>
                <w:top w:val="none" w:sz="0" w:space="0" w:color="auto"/>
                <w:left w:val="none" w:sz="0" w:space="0" w:color="auto"/>
                <w:bottom w:val="none" w:sz="0" w:space="0" w:color="auto"/>
                <w:right w:val="none" w:sz="0" w:space="0" w:color="auto"/>
              </w:divBdr>
              <w:divsChild>
                <w:div w:id="11919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327482">
      <w:bodyDiv w:val="1"/>
      <w:marLeft w:val="0"/>
      <w:marRight w:val="0"/>
      <w:marTop w:val="0"/>
      <w:marBottom w:val="0"/>
      <w:divBdr>
        <w:top w:val="none" w:sz="0" w:space="0" w:color="auto"/>
        <w:left w:val="none" w:sz="0" w:space="0" w:color="auto"/>
        <w:bottom w:val="none" w:sz="0" w:space="0" w:color="auto"/>
        <w:right w:val="none" w:sz="0" w:space="0" w:color="auto"/>
      </w:divBdr>
    </w:div>
    <w:div w:id="1715999751">
      <w:bodyDiv w:val="1"/>
      <w:marLeft w:val="0"/>
      <w:marRight w:val="0"/>
      <w:marTop w:val="0"/>
      <w:marBottom w:val="0"/>
      <w:divBdr>
        <w:top w:val="none" w:sz="0" w:space="0" w:color="auto"/>
        <w:left w:val="none" w:sz="0" w:space="0" w:color="auto"/>
        <w:bottom w:val="none" w:sz="0" w:space="0" w:color="auto"/>
        <w:right w:val="none" w:sz="0" w:space="0" w:color="auto"/>
      </w:divBdr>
      <w:divsChild>
        <w:div w:id="760026106">
          <w:marLeft w:val="0"/>
          <w:marRight w:val="0"/>
          <w:marTop w:val="0"/>
          <w:marBottom w:val="0"/>
          <w:divBdr>
            <w:top w:val="none" w:sz="0" w:space="0" w:color="auto"/>
            <w:left w:val="none" w:sz="0" w:space="0" w:color="auto"/>
            <w:bottom w:val="none" w:sz="0" w:space="0" w:color="auto"/>
            <w:right w:val="none" w:sz="0" w:space="0" w:color="auto"/>
          </w:divBdr>
          <w:divsChild>
            <w:div w:id="487287927">
              <w:marLeft w:val="0"/>
              <w:marRight w:val="0"/>
              <w:marTop w:val="0"/>
              <w:marBottom w:val="0"/>
              <w:divBdr>
                <w:top w:val="none" w:sz="0" w:space="0" w:color="auto"/>
                <w:left w:val="none" w:sz="0" w:space="0" w:color="auto"/>
                <w:bottom w:val="none" w:sz="0" w:space="0" w:color="auto"/>
                <w:right w:val="none" w:sz="0" w:space="0" w:color="auto"/>
              </w:divBdr>
              <w:divsChild>
                <w:div w:id="29649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05469">
      <w:bodyDiv w:val="1"/>
      <w:marLeft w:val="0"/>
      <w:marRight w:val="0"/>
      <w:marTop w:val="0"/>
      <w:marBottom w:val="0"/>
      <w:divBdr>
        <w:top w:val="none" w:sz="0" w:space="0" w:color="auto"/>
        <w:left w:val="none" w:sz="0" w:space="0" w:color="auto"/>
        <w:bottom w:val="none" w:sz="0" w:space="0" w:color="auto"/>
        <w:right w:val="none" w:sz="0" w:space="0" w:color="auto"/>
      </w:divBdr>
      <w:divsChild>
        <w:div w:id="568922326">
          <w:marLeft w:val="0"/>
          <w:marRight w:val="0"/>
          <w:marTop w:val="0"/>
          <w:marBottom w:val="0"/>
          <w:divBdr>
            <w:top w:val="none" w:sz="0" w:space="0" w:color="auto"/>
            <w:left w:val="none" w:sz="0" w:space="0" w:color="auto"/>
            <w:bottom w:val="none" w:sz="0" w:space="0" w:color="auto"/>
            <w:right w:val="none" w:sz="0" w:space="0" w:color="auto"/>
          </w:divBdr>
          <w:divsChild>
            <w:div w:id="307588338">
              <w:marLeft w:val="0"/>
              <w:marRight w:val="0"/>
              <w:marTop w:val="0"/>
              <w:marBottom w:val="0"/>
              <w:divBdr>
                <w:top w:val="none" w:sz="0" w:space="0" w:color="auto"/>
                <w:left w:val="none" w:sz="0" w:space="0" w:color="auto"/>
                <w:bottom w:val="none" w:sz="0" w:space="0" w:color="auto"/>
                <w:right w:val="none" w:sz="0" w:space="0" w:color="auto"/>
              </w:divBdr>
              <w:divsChild>
                <w:div w:id="13246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joradp.dz/FTP/jo-francais/2023/F2023003.pdf" TargetMode="External"/><Relationship Id="rId3" Type="http://schemas.openxmlformats.org/officeDocument/2006/relationships/hyperlink" Target="https://www.alkarama.org/fr/articles/tunisie-le-rapporteur-special-sur-lindependance-des-juges-et-des-avocats-de-lonu-saisi-de" TargetMode="External"/><Relationship Id="rId7" Type="http://schemas.openxmlformats.org/officeDocument/2006/relationships/hyperlink" Target="https://www.leaders.com.tn/article/32442-officiel-le-texte-integral-du-decret-presidentiel-n-n-2021-117-du-22-septembre-2021-relatif-aux-mesures-exceptionnelles" TargetMode="External"/><Relationship Id="rId12" Type="http://schemas.openxmlformats.org/officeDocument/2006/relationships/hyperlink" Target="https://www.alkarama.org/fr/articles/tunisie-le-cas-de-m-rached-ghannouchi-president-du-parlement-tunisien-soumis-au-groupe-de" TargetMode="External"/><Relationship Id="rId2" Type="http://schemas.openxmlformats.org/officeDocument/2006/relationships/hyperlink" Target="https://www.france24.com/fr/afrique/20220602-en-tunisie-le-pr%C3%A9sident-ka%C3%AFs-sa%C3%AFed-%20limoge-57-juges-qu-il-accuse-de-corruption" TargetMode="External"/><Relationship Id="rId1" Type="http://schemas.openxmlformats.org/officeDocument/2006/relationships/hyperlink" Target="https://www.ohchr.org/fr/press-releases/2022/02/dissolution-tunisias-high-judicial-council-seriously-%20undermines-rule-law" TargetMode="External"/><Relationship Id="rId6" Type="http://schemas.openxmlformats.org/officeDocument/2006/relationships/hyperlink" Target="https://www.aa.com.tr/fr/afrique/tunisie-les-magistrats-appellent-%C3%A0-la-r%C3%A9int%C3%A9gration-%20de-leurs-coll%C3%A8gues-r%C3%A9voqu%C3%A9s-/2912078" TargetMode="External"/><Relationship Id="rId11" Type="http://schemas.openxmlformats.org/officeDocument/2006/relationships/hyperlink" Target="https://www.aa.com.tr/fr/afrique/tunisie-des-peines-de-trois-%C3%A0-six-mois-de-prison-dans-laffaire-de-la%C3%A9roport/2590368" TargetMode="External"/><Relationship Id="rId5" Type="http://schemas.openxmlformats.org/officeDocument/2006/relationships/hyperlink" Target="https://www.aa.com.tr/fr/politique/minist%C3%A8re-tunisien-de-la-justice-les-juges-%20r%C3%A9voqu%C3%A9s-sont-toujours-passibles-de-poursuites-judiciaires/2661153" TargetMode="External"/><Relationship Id="rId10" Type="http://schemas.openxmlformats.org/officeDocument/2006/relationships/hyperlink" Target="https://www.alkarama.org/fr/articles/tunisie-le-groupe-de-travail-sur-la-detention-arbitraire-saisi-des-cas-danouar-maarouf-et" TargetMode="External"/><Relationship Id="rId4" Type="http://schemas.openxmlformats.org/officeDocument/2006/relationships/hyperlink" Target="https://www.france24.com/fr/afrique/20220810-tunisie-la-justice-suspend-la-r%C3%A9vocation-des-juges-%20d%C3%A9cid%C3%A9e-par-ka%C3%AFs-sa%C3%AFed" TargetMode="External"/><Relationship Id="rId9" Type="http://schemas.openxmlformats.org/officeDocument/2006/relationships/hyperlink" Target="https://www.lemonde.fr/afrique/article/2023/03/20/en-tunisie-kamel-feki-remplace-l-influent-taoufik-charfeddine-au-ministere-de-l-interieur_6166215_3212.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5A75A-096F-40B6-AA11-EB2E7F380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1552</Words>
  <Characters>8537</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şüheda dinç</dc:creator>
  <cp:keywords/>
  <dc:description/>
  <cp:lastModifiedBy>şüheda dinç</cp:lastModifiedBy>
  <cp:revision>8</cp:revision>
  <dcterms:created xsi:type="dcterms:W3CDTF">2023-12-18T16:06:00Z</dcterms:created>
  <dcterms:modified xsi:type="dcterms:W3CDTF">2023-12-18T17:06:00Z</dcterms:modified>
</cp:coreProperties>
</file>