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44183" w14:textId="1E2FF051" w:rsidR="000E4C3F" w:rsidRPr="00A61CED" w:rsidRDefault="000F48F2">
      <w:pPr>
        <w:rPr>
          <w:lang w:val="en-US"/>
        </w:rPr>
      </w:pPr>
      <w:r w:rsidRPr="00BE1E43">
        <w:rPr>
          <w:noProof/>
          <w:lang w:val="es-ES" w:eastAsia="es-ES"/>
        </w:rPr>
        <w:drawing>
          <wp:anchor distT="0" distB="0" distL="114300" distR="114300" simplePos="0" relativeHeight="251657728" behindDoc="1" locked="0" layoutInCell="1" allowOverlap="1" wp14:anchorId="010D12E8" wp14:editId="35F39FF9">
            <wp:simplePos x="0" y="0"/>
            <wp:positionH relativeFrom="column">
              <wp:posOffset>2031157</wp:posOffset>
            </wp:positionH>
            <wp:positionV relativeFrom="paragraph">
              <wp:posOffset>117734</wp:posOffset>
            </wp:positionV>
            <wp:extent cx="957245" cy="450376"/>
            <wp:effectExtent l="0" t="0" r="0" b="6985"/>
            <wp:wrapNone/>
            <wp:docPr id="21" name="Picture 2" descr="C:\Users\lenovo1\Desktop\Beto\F. Impulso\escrito empresa\logo fundacion impul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lenovo1\Desktop\Beto\F. Impulso\escrito empresa\logo fundacion impuls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7245" cy="450376"/>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1552" behindDoc="0" locked="0" layoutInCell="1" allowOverlap="1" wp14:anchorId="0700A593" wp14:editId="0795760D">
            <wp:simplePos x="0" y="0"/>
            <wp:positionH relativeFrom="column">
              <wp:posOffset>4091305</wp:posOffset>
            </wp:positionH>
            <wp:positionV relativeFrom="paragraph">
              <wp:posOffset>115570</wp:posOffset>
            </wp:positionV>
            <wp:extent cx="989330" cy="436245"/>
            <wp:effectExtent l="0" t="0" r="1270" b="1905"/>
            <wp:wrapNone/>
            <wp:docPr id="228774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77494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89330" cy="436245"/>
                    </a:xfrm>
                    <a:prstGeom prst="rect">
                      <a:avLst/>
                    </a:prstGeom>
                  </pic:spPr>
                </pic:pic>
              </a:graphicData>
            </a:graphic>
            <wp14:sizeRelH relativeFrom="page">
              <wp14:pctWidth>0</wp14:pctWidth>
            </wp14:sizeRelH>
            <wp14:sizeRelV relativeFrom="page">
              <wp14:pctHeight>0</wp14:pctHeight>
            </wp14:sizeRelV>
          </wp:anchor>
        </w:drawing>
      </w:r>
      <w:r w:rsidR="00FF542C" w:rsidRPr="00FF542C">
        <w:rPr>
          <w:rFonts w:ascii="Arial" w:hAnsi="Arial" w:cs="Arial"/>
          <w:b/>
          <w:bCs/>
          <w:noProof/>
          <w:sz w:val="28"/>
          <w:szCs w:val="28"/>
          <w:lang w:val="es-ES" w:eastAsia="es-ES"/>
        </w:rPr>
        <mc:AlternateContent>
          <mc:Choice Requires="wps">
            <w:drawing>
              <wp:anchor distT="0" distB="0" distL="114300" distR="114300" simplePos="0" relativeHeight="251670528" behindDoc="0" locked="0" layoutInCell="1" allowOverlap="1" wp14:anchorId="67FEA9CB" wp14:editId="1701CFEB">
                <wp:simplePos x="0" y="0"/>
                <wp:positionH relativeFrom="column">
                  <wp:posOffset>2990471</wp:posOffset>
                </wp:positionH>
                <wp:positionV relativeFrom="paragraph">
                  <wp:posOffset>460375</wp:posOffset>
                </wp:positionV>
                <wp:extent cx="1139825" cy="415290"/>
                <wp:effectExtent l="0" t="0" r="3175" b="381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415290"/>
                        </a:xfrm>
                        <a:prstGeom prst="rect">
                          <a:avLst/>
                        </a:prstGeom>
                        <a:solidFill>
                          <a:srgbClr val="FFFFFF"/>
                        </a:solidFill>
                        <a:ln w="9525">
                          <a:noFill/>
                          <a:miter lim="800000"/>
                          <a:headEnd/>
                          <a:tailEnd/>
                        </a:ln>
                      </wps:spPr>
                      <wps:txbx>
                        <w:txbxContent>
                          <w:p w14:paraId="1085A060" w14:textId="594CE9C6" w:rsidR="00FF542C" w:rsidRPr="00FF542C" w:rsidRDefault="00FF542C" w:rsidP="00FF542C">
                            <w:pPr>
                              <w:jc w:val="center"/>
                              <w:rPr>
                                <w:rFonts w:ascii="Arial" w:hAnsi="Arial" w:cs="Arial"/>
                                <w:b/>
                                <w:bCs/>
                                <w:sz w:val="10"/>
                                <w:szCs w:val="28"/>
                              </w:rPr>
                            </w:pPr>
                            <w:r w:rsidRPr="00FF542C">
                              <w:rPr>
                                <w:rFonts w:ascii="Arial" w:hAnsi="Arial" w:cs="Arial"/>
                                <w:b/>
                                <w:bCs/>
                                <w:sz w:val="10"/>
                                <w:szCs w:val="28"/>
                              </w:rPr>
                              <w:t>AGRUPACIÓN CUIDADORAS Y CUIDADORES INFORMALES DE ARICA Y PARINACOTA</w:t>
                            </w:r>
                          </w:p>
                          <w:p w14:paraId="19ED7AEF" w14:textId="282973D1" w:rsidR="00FF542C" w:rsidRPr="00FF542C" w:rsidRDefault="00FF542C" w:rsidP="00FF542C">
                            <w:pPr>
                              <w:jc w:val="center"/>
                              <w:rPr>
                                <w:sz w:val="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EA9CB" id="_x0000_t202" coordsize="21600,21600" o:spt="202" path="m,l,21600r21600,l21600,xe">
                <v:stroke joinstyle="miter"/>
                <v:path gradientshapeok="t" o:connecttype="rect"/>
              </v:shapetype>
              <v:shape id="Cuadro de texto 2" o:spid="_x0000_s1026" type="#_x0000_t202" style="position:absolute;margin-left:235.45pt;margin-top:36.25pt;width:89.75pt;height:3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" stroked="f">
                <v:textbox>
                  <w:txbxContent>
                    <w:p w14:paraId="1085A060" w14:textId="594CE9C6" w:rsidR="00FF542C" w:rsidRPr="00FF542C" w:rsidRDefault="00FF542C" w:rsidP="00FF542C">
                      <w:pPr>
                        <w:jc w:val="center"/>
                        <w:rPr>
                          <w:rFonts w:ascii="Arial" w:hAnsi="Arial" w:cs="Arial"/>
                          <w:b/>
                          <w:bCs/>
                          <w:sz w:val="10"/>
                          <w:szCs w:val="28"/>
                        </w:rPr>
                      </w:pPr>
                      <w:r w:rsidRPr="00FF542C">
                        <w:rPr>
                          <w:rFonts w:ascii="Arial" w:hAnsi="Arial" w:cs="Arial"/>
                          <w:b/>
                          <w:bCs/>
                          <w:sz w:val="10"/>
                          <w:szCs w:val="28"/>
                        </w:rPr>
                        <w:t>AGRUPACIÓN CUIDADORAS Y CUIDADORES INFORMALES DE ARICA Y PARINACOTA</w:t>
                      </w:r>
                    </w:p>
                    <w:p w14:paraId="19ED7AEF" w14:textId="282973D1" w:rsidR="00FF542C" w:rsidRPr="00FF542C" w:rsidRDefault="00FF542C" w:rsidP="00FF542C">
                      <w:pPr>
                        <w:jc w:val="center"/>
                        <w:rPr>
                          <w:sz w:val="6"/>
                        </w:rPr>
                      </w:pPr>
                    </w:p>
                  </w:txbxContent>
                </v:textbox>
              </v:shape>
            </w:pict>
          </mc:Fallback>
        </mc:AlternateContent>
      </w:r>
      <w:r w:rsidR="00FF542C">
        <w:rPr>
          <w:rFonts w:ascii="Arial" w:hAnsi="Arial" w:cs="Arial"/>
          <w:b/>
          <w:bCs/>
          <w:noProof/>
          <w:sz w:val="28"/>
          <w:szCs w:val="28"/>
          <w:lang w:val="es-ES" w:eastAsia="es-ES"/>
        </w:rPr>
        <w:drawing>
          <wp:anchor distT="0" distB="0" distL="114300" distR="114300" simplePos="0" relativeHeight="251668480" behindDoc="0" locked="0" layoutInCell="1" allowOverlap="1" wp14:anchorId="777DF546" wp14:editId="205006BE">
            <wp:simplePos x="0" y="0"/>
            <wp:positionH relativeFrom="column">
              <wp:posOffset>3323045</wp:posOffset>
            </wp:positionH>
            <wp:positionV relativeFrom="paragraph">
              <wp:posOffset>37845</wp:posOffset>
            </wp:positionV>
            <wp:extent cx="480695" cy="421005"/>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695" cy="421005"/>
                    </a:xfrm>
                    <a:prstGeom prst="rect">
                      <a:avLst/>
                    </a:prstGeom>
                    <a:noFill/>
                  </pic:spPr>
                </pic:pic>
              </a:graphicData>
            </a:graphic>
            <wp14:sizeRelH relativeFrom="page">
              <wp14:pctWidth>0</wp14:pctWidth>
            </wp14:sizeRelH>
            <wp14:sizeRelV relativeFrom="page">
              <wp14:pctHeight>0</wp14:pctHeight>
            </wp14:sizeRelV>
          </wp:anchor>
        </w:drawing>
      </w:r>
      <w:r w:rsidR="00FF542C">
        <w:rPr>
          <w:noProof/>
          <w:lang w:val="es-ES" w:eastAsia="es-ES"/>
        </w:rPr>
        <w:drawing>
          <wp:anchor distT="0" distB="0" distL="114300" distR="114300" simplePos="0" relativeHeight="251663360" behindDoc="0" locked="0" layoutInCell="1" allowOverlap="1" wp14:anchorId="7624209D" wp14:editId="2E0E9D0D">
            <wp:simplePos x="0" y="0"/>
            <wp:positionH relativeFrom="column">
              <wp:posOffset>1234654</wp:posOffset>
            </wp:positionH>
            <wp:positionV relativeFrom="paragraph">
              <wp:posOffset>64246</wp:posOffset>
            </wp:positionV>
            <wp:extent cx="701675" cy="670560"/>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01675" cy="670560"/>
                    </a:xfrm>
                    <a:prstGeom prst="rect">
                      <a:avLst/>
                    </a:prstGeom>
                  </pic:spPr>
                </pic:pic>
              </a:graphicData>
            </a:graphic>
            <wp14:sizeRelH relativeFrom="page">
              <wp14:pctWidth>0</wp14:pctWidth>
            </wp14:sizeRelH>
            <wp14:sizeRelV relativeFrom="page">
              <wp14:pctHeight>0</wp14:pctHeight>
            </wp14:sizeRelV>
          </wp:anchor>
        </w:drawing>
      </w:r>
      <w:r w:rsidR="005F6B20">
        <w:rPr>
          <w:noProof/>
          <w:lang w:val="es-ES" w:eastAsia="es-ES"/>
        </w:rPr>
        <w:drawing>
          <wp:inline distT="0" distB="0" distL="0" distR="0" wp14:anchorId="7C35C420" wp14:editId="7F9E4961">
            <wp:extent cx="1235033" cy="563521"/>
            <wp:effectExtent l="0" t="0" r="3810" b="0"/>
            <wp:docPr id="164447177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clrChange>
                        <a:clrFrom>
                          <a:srgbClr val="F7F7F7"/>
                        </a:clrFrom>
                        <a:clrTo>
                          <a:srgbClr val="F7F7F7">
                            <a:alpha val="0"/>
                          </a:srgbClr>
                        </a:clrTo>
                      </a:clrChange>
                      <a:extLst>
                        <a:ext uri="{28A0092B-C50C-407E-A947-70E740481C1C}">
                          <a14:useLocalDpi xmlns:a14="http://schemas.microsoft.com/office/drawing/2010/main" val="0"/>
                        </a:ext>
                      </a:extLst>
                    </a:blip>
                    <a:srcRect/>
                    <a:stretch>
                      <a:fillRect/>
                    </a:stretch>
                  </pic:blipFill>
                  <pic:spPr bwMode="auto">
                    <a:xfrm>
                      <a:off x="0" y="0"/>
                      <a:ext cx="1268017" cy="578571"/>
                    </a:xfrm>
                    <a:prstGeom prst="rect">
                      <a:avLst/>
                    </a:prstGeom>
                    <a:noFill/>
                  </pic:spPr>
                </pic:pic>
              </a:graphicData>
            </a:graphic>
          </wp:inline>
        </w:drawing>
      </w:r>
      <w:r w:rsidR="007231B6" w:rsidRPr="00A61CED">
        <w:rPr>
          <w:lang w:val="en-US"/>
        </w:rPr>
        <w:t xml:space="preserve">   </w:t>
      </w:r>
      <w:r w:rsidR="006338AA" w:rsidRPr="00A61CED">
        <w:rPr>
          <w:lang w:val="en-US"/>
        </w:rPr>
        <w:t xml:space="preserve">  </w:t>
      </w:r>
    </w:p>
    <w:p w14:paraId="0C8C593B" w14:textId="25E00516" w:rsidR="00E76356" w:rsidRPr="00A61CED" w:rsidRDefault="00DC2449">
      <w:pPr>
        <w:rPr>
          <w:rFonts w:ascii="Arial" w:hAnsi="Arial" w:cs="Arial"/>
          <w:b/>
          <w:bCs/>
          <w:sz w:val="28"/>
          <w:szCs w:val="28"/>
          <w:lang w:val="en-US"/>
        </w:rPr>
      </w:pPr>
      <w:r w:rsidRPr="00A61CED">
        <w:rPr>
          <w:rFonts w:ascii="Arial" w:hAnsi="Arial" w:cs="Arial"/>
          <w:b/>
          <w:bCs/>
          <w:sz w:val="28"/>
          <w:szCs w:val="28"/>
          <w:lang w:val="en-US"/>
        </w:rPr>
        <w:t xml:space="preserve">   </w:t>
      </w:r>
    </w:p>
    <w:p w14:paraId="7AF7F9C4" w14:textId="77777777" w:rsidR="00077273" w:rsidRPr="00077273" w:rsidRDefault="00077273" w:rsidP="00077273">
      <w:pPr>
        <w:pStyle w:val="NoSpacing"/>
        <w:rPr>
          <w:rFonts w:ascii="Arial" w:hAnsi="Arial" w:cs="Arial"/>
          <w:lang w:val="en-US" w:eastAsia="es-ES"/>
        </w:rPr>
      </w:pPr>
      <w:r w:rsidRPr="00077273">
        <w:rPr>
          <w:rFonts w:ascii="Arial" w:hAnsi="Arial" w:cs="Arial"/>
          <w:lang w:val="en-US" w:eastAsia="es-ES"/>
        </w:rPr>
        <w:t>Observatory of Regional Public Policies</w:t>
      </w:r>
    </w:p>
    <w:p w14:paraId="1635CE30" w14:textId="0EB9E94F" w:rsidR="00077273" w:rsidRPr="00077273" w:rsidRDefault="008672FE" w:rsidP="00077273">
      <w:pPr>
        <w:pStyle w:val="NoSpacing"/>
        <w:rPr>
          <w:rFonts w:ascii="Arial" w:hAnsi="Arial" w:cs="Arial"/>
          <w:lang w:val="en-US" w:eastAsia="es-ES"/>
        </w:rPr>
      </w:pPr>
      <w:r w:rsidRPr="00077273">
        <w:rPr>
          <w:rFonts w:ascii="Arial" w:hAnsi="Arial" w:cs="Arial"/>
          <w:lang w:val="en-US" w:eastAsia="es-ES"/>
        </w:rPr>
        <w:t>Organization</w:t>
      </w:r>
      <w:r w:rsidR="00077273" w:rsidRPr="00077273">
        <w:rPr>
          <w:rFonts w:ascii="Arial" w:hAnsi="Arial" w:cs="Arial"/>
          <w:lang w:val="en-US" w:eastAsia="es-ES"/>
        </w:rPr>
        <w:t xml:space="preserve"> of Deaf Youth and Adults of Arica</w:t>
      </w:r>
    </w:p>
    <w:p w14:paraId="2933D630" w14:textId="77777777" w:rsidR="00077273" w:rsidRPr="00077273" w:rsidRDefault="00077273" w:rsidP="00077273">
      <w:pPr>
        <w:pStyle w:val="NoSpacing"/>
        <w:rPr>
          <w:rFonts w:ascii="Arial" w:hAnsi="Arial" w:cs="Arial"/>
          <w:lang w:val="en-US" w:eastAsia="es-ES"/>
        </w:rPr>
      </w:pPr>
      <w:r w:rsidRPr="00077273">
        <w:rPr>
          <w:rFonts w:ascii="Arial" w:hAnsi="Arial" w:cs="Arial"/>
          <w:lang w:val="en-US" w:eastAsia="es-ES"/>
        </w:rPr>
        <w:t>Municipal Council on Disability</w:t>
      </w:r>
    </w:p>
    <w:p w14:paraId="44ACC59B" w14:textId="77777777" w:rsidR="00077273" w:rsidRPr="00077273" w:rsidRDefault="00077273" w:rsidP="00077273">
      <w:pPr>
        <w:pStyle w:val="NoSpacing"/>
        <w:rPr>
          <w:rFonts w:ascii="Arial" w:hAnsi="Arial" w:cs="Arial"/>
          <w:lang w:val="en-US" w:eastAsia="es-ES"/>
        </w:rPr>
      </w:pPr>
      <w:r w:rsidRPr="00077273">
        <w:rPr>
          <w:rFonts w:ascii="Arial" w:hAnsi="Arial" w:cs="Arial"/>
          <w:lang w:val="en-US" w:eastAsia="es-ES"/>
        </w:rPr>
        <w:t>Regional Council on Disability</w:t>
      </w:r>
    </w:p>
    <w:p w14:paraId="3325A0CE" w14:textId="7E3BB915" w:rsidR="00077273" w:rsidRPr="00077273" w:rsidRDefault="00077273" w:rsidP="00077273">
      <w:pPr>
        <w:spacing w:before="100" w:beforeAutospacing="1" w:after="100" w:afterAutospacing="1" w:line="240" w:lineRule="auto"/>
        <w:rPr>
          <w:rFonts w:ascii="Arial" w:eastAsia="Times New Roman" w:hAnsi="Arial" w:cs="Arial"/>
          <w:kern w:val="0"/>
          <w:sz w:val="40"/>
          <w:szCs w:val="24"/>
          <w:lang w:val="en-US" w:eastAsia="es-ES"/>
          <w14:ligatures w14:val="none"/>
        </w:rPr>
      </w:pPr>
      <w:r w:rsidRPr="00077273">
        <w:rPr>
          <w:rFonts w:ascii="Arial" w:eastAsia="Times New Roman" w:hAnsi="Arial" w:cs="Arial"/>
          <w:b/>
          <w:bCs/>
          <w:kern w:val="0"/>
          <w:sz w:val="40"/>
          <w:szCs w:val="24"/>
          <w:lang w:val="en-US" w:eastAsia="es-ES"/>
          <w14:ligatures w14:val="none"/>
        </w:rPr>
        <w:t>Alternative Report on Compliance with the Convention on the Rights of Persons with Disabilities by the State of Chile in Arica</w:t>
      </w:r>
    </w:p>
    <w:p w14:paraId="6DB36175" w14:textId="77777777" w:rsidR="00077273" w:rsidRDefault="00077273" w:rsidP="00077273">
      <w:pPr>
        <w:pStyle w:val="NoSpacing"/>
        <w:rPr>
          <w:b/>
          <w:bCs/>
          <w:lang w:val="en-US" w:eastAsia="es-ES"/>
        </w:rPr>
      </w:pPr>
    </w:p>
    <w:p w14:paraId="15AEC1E3" w14:textId="77777777" w:rsidR="00077273" w:rsidRDefault="00077273" w:rsidP="00077273">
      <w:pPr>
        <w:pStyle w:val="NoSpacing"/>
        <w:rPr>
          <w:b/>
          <w:bCs/>
          <w:lang w:val="en-US" w:eastAsia="es-ES"/>
        </w:rPr>
      </w:pPr>
    </w:p>
    <w:p w14:paraId="6C50E905" w14:textId="77777777" w:rsidR="00077273" w:rsidRDefault="00077273" w:rsidP="00077273">
      <w:pPr>
        <w:pStyle w:val="NoSpacing"/>
        <w:rPr>
          <w:b/>
          <w:bCs/>
          <w:lang w:val="en-US" w:eastAsia="es-ES"/>
        </w:rPr>
      </w:pPr>
    </w:p>
    <w:p w14:paraId="7708508F" w14:textId="77777777" w:rsidR="00077273" w:rsidRDefault="00077273" w:rsidP="00077273">
      <w:pPr>
        <w:pStyle w:val="NoSpacing"/>
        <w:rPr>
          <w:b/>
          <w:bCs/>
          <w:lang w:val="en-US" w:eastAsia="es-ES"/>
        </w:rPr>
      </w:pPr>
    </w:p>
    <w:p w14:paraId="150785F2" w14:textId="77777777" w:rsidR="00077273" w:rsidRDefault="00077273" w:rsidP="00077273">
      <w:pPr>
        <w:pStyle w:val="NoSpacing"/>
        <w:rPr>
          <w:b/>
          <w:bCs/>
          <w:lang w:val="en-US" w:eastAsia="es-ES"/>
        </w:rPr>
      </w:pPr>
    </w:p>
    <w:p w14:paraId="5CAA6277" w14:textId="77777777" w:rsidR="00077273" w:rsidRDefault="00077273" w:rsidP="00077273">
      <w:pPr>
        <w:pStyle w:val="NoSpacing"/>
        <w:rPr>
          <w:b/>
          <w:bCs/>
          <w:lang w:val="en-US" w:eastAsia="es-ES"/>
        </w:rPr>
      </w:pPr>
    </w:p>
    <w:p w14:paraId="0F9048FF" w14:textId="77777777" w:rsidR="00077273" w:rsidRDefault="00077273" w:rsidP="00077273">
      <w:pPr>
        <w:pStyle w:val="NoSpacing"/>
        <w:rPr>
          <w:b/>
          <w:bCs/>
          <w:lang w:val="en-US" w:eastAsia="es-ES"/>
        </w:rPr>
      </w:pPr>
    </w:p>
    <w:p w14:paraId="2D4D2957" w14:textId="77777777" w:rsidR="00077273" w:rsidRDefault="00077273" w:rsidP="00077273">
      <w:pPr>
        <w:pStyle w:val="NoSpacing"/>
        <w:rPr>
          <w:b/>
          <w:bCs/>
          <w:lang w:val="en-US" w:eastAsia="es-ES"/>
        </w:rPr>
      </w:pPr>
    </w:p>
    <w:p w14:paraId="0437CC1F" w14:textId="77777777" w:rsidR="00077273" w:rsidRDefault="00077273" w:rsidP="00077273">
      <w:pPr>
        <w:pStyle w:val="NoSpacing"/>
        <w:rPr>
          <w:b/>
          <w:bCs/>
          <w:lang w:val="en-US" w:eastAsia="es-ES"/>
        </w:rPr>
      </w:pPr>
    </w:p>
    <w:p w14:paraId="6B9E68BF" w14:textId="77777777" w:rsidR="00077273" w:rsidRDefault="00077273" w:rsidP="00077273">
      <w:pPr>
        <w:pStyle w:val="NoSpacing"/>
        <w:rPr>
          <w:b/>
          <w:bCs/>
          <w:lang w:val="en-US" w:eastAsia="es-ES"/>
        </w:rPr>
      </w:pPr>
    </w:p>
    <w:p w14:paraId="37255D06" w14:textId="77777777" w:rsidR="00077273" w:rsidRDefault="00077273" w:rsidP="00077273">
      <w:pPr>
        <w:pStyle w:val="NoSpacing"/>
        <w:rPr>
          <w:b/>
          <w:bCs/>
          <w:lang w:val="en-US" w:eastAsia="es-ES"/>
        </w:rPr>
      </w:pPr>
    </w:p>
    <w:p w14:paraId="2F6E8FEA" w14:textId="77777777" w:rsidR="00077273" w:rsidRDefault="00077273" w:rsidP="00077273">
      <w:pPr>
        <w:pStyle w:val="NoSpacing"/>
        <w:rPr>
          <w:b/>
          <w:bCs/>
          <w:lang w:val="en-US" w:eastAsia="es-ES"/>
        </w:rPr>
      </w:pPr>
    </w:p>
    <w:p w14:paraId="3F93CA97" w14:textId="77777777" w:rsidR="00077273" w:rsidRDefault="00077273" w:rsidP="00077273">
      <w:pPr>
        <w:pStyle w:val="NoSpacing"/>
        <w:rPr>
          <w:b/>
          <w:bCs/>
          <w:lang w:val="en-US" w:eastAsia="es-ES"/>
        </w:rPr>
      </w:pPr>
    </w:p>
    <w:p w14:paraId="23CFE0BE" w14:textId="77777777" w:rsidR="00077273" w:rsidRDefault="00077273" w:rsidP="00077273">
      <w:pPr>
        <w:pStyle w:val="NoSpacing"/>
        <w:rPr>
          <w:b/>
          <w:bCs/>
          <w:lang w:val="en-US" w:eastAsia="es-ES"/>
        </w:rPr>
      </w:pPr>
    </w:p>
    <w:p w14:paraId="78EDA359" w14:textId="77777777" w:rsidR="00077273" w:rsidRDefault="00077273" w:rsidP="00077273">
      <w:pPr>
        <w:pStyle w:val="NoSpacing"/>
        <w:rPr>
          <w:b/>
          <w:bCs/>
          <w:lang w:val="en-US" w:eastAsia="es-ES"/>
        </w:rPr>
      </w:pPr>
    </w:p>
    <w:p w14:paraId="4FA094BA" w14:textId="77777777" w:rsidR="00077273" w:rsidRDefault="00077273" w:rsidP="00077273">
      <w:pPr>
        <w:pStyle w:val="NoSpacing"/>
        <w:rPr>
          <w:b/>
          <w:bCs/>
          <w:lang w:val="en-US" w:eastAsia="es-ES"/>
        </w:rPr>
      </w:pPr>
    </w:p>
    <w:p w14:paraId="5E768619" w14:textId="77777777" w:rsidR="00077273" w:rsidRDefault="00077273" w:rsidP="00077273">
      <w:pPr>
        <w:pStyle w:val="NoSpacing"/>
        <w:rPr>
          <w:b/>
          <w:bCs/>
          <w:lang w:val="en-US" w:eastAsia="es-ES"/>
        </w:rPr>
      </w:pPr>
    </w:p>
    <w:p w14:paraId="040367D2" w14:textId="77777777" w:rsidR="00077273" w:rsidRDefault="00077273" w:rsidP="00077273">
      <w:pPr>
        <w:pStyle w:val="NoSpacing"/>
        <w:rPr>
          <w:b/>
          <w:bCs/>
          <w:lang w:val="en-US" w:eastAsia="es-ES"/>
        </w:rPr>
      </w:pPr>
    </w:p>
    <w:p w14:paraId="4596BBFA" w14:textId="77777777" w:rsidR="00077273" w:rsidRPr="00077273" w:rsidRDefault="00077273" w:rsidP="00077273">
      <w:pPr>
        <w:pStyle w:val="NoSpacing"/>
        <w:rPr>
          <w:lang w:val="en-US" w:eastAsia="es-ES"/>
        </w:rPr>
      </w:pPr>
      <w:r w:rsidRPr="00077273">
        <w:rPr>
          <w:b/>
          <w:bCs/>
          <w:lang w:val="en-US" w:eastAsia="es-ES"/>
        </w:rPr>
        <w:t>Prepared by:</w:t>
      </w:r>
      <w:r w:rsidRPr="00077273">
        <w:rPr>
          <w:lang w:val="en-US" w:eastAsia="es-ES"/>
        </w:rPr>
        <w:t xml:space="preserve"> Iván Godoy-Flores</w:t>
      </w:r>
    </w:p>
    <w:p w14:paraId="42B6480D" w14:textId="77777777" w:rsidR="00077273" w:rsidRPr="00077273" w:rsidRDefault="00077273" w:rsidP="00077273">
      <w:pPr>
        <w:pStyle w:val="NoSpacing"/>
        <w:rPr>
          <w:lang w:val="en-US" w:eastAsia="es-ES"/>
        </w:rPr>
      </w:pPr>
      <w:r w:rsidRPr="00077273">
        <w:rPr>
          <w:lang w:val="en-US" w:eastAsia="es-ES"/>
        </w:rPr>
        <w:t>igodoyflores@gmail.com</w:t>
      </w:r>
    </w:p>
    <w:p w14:paraId="65F6F994" w14:textId="77777777" w:rsidR="00077273" w:rsidRPr="00077273" w:rsidRDefault="00077273" w:rsidP="00077273">
      <w:pPr>
        <w:pStyle w:val="NoSpacing"/>
        <w:rPr>
          <w:lang w:val="en-US" w:eastAsia="es-ES"/>
        </w:rPr>
      </w:pPr>
      <w:r w:rsidRPr="00077273">
        <w:rPr>
          <w:lang w:val="en-US" w:eastAsia="es-ES"/>
        </w:rPr>
        <w:t>+56991553555</w:t>
      </w:r>
    </w:p>
    <w:p w14:paraId="4ED1A152" w14:textId="77777777" w:rsidR="00077273" w:rsidRPr="00077273" w:rsidRDefault="00077273" w:rsidP="00077273">
      <w:pPr>
        <w:pStyle w:val="NoSpacing"/>
        <w:rPr>
          <w:lang w:val="en-US" w:eastAsia="es-ES"/>
        </w:rPr>
      </w:pPr>
      <w:r>
        <w:fldChar w:fldCharType="begin"/>
      </w:r>
      <w:r w:rsidRPr="00A61CED">
        <w:rPr>
          <w:lang w:val="en-US"/>
        </w:rPr>
        <w:instrText>HYPERLINK "http://observatorioppr.cl" \t "_blank"</w:instrText>
      </w:r>
      <w:r>
        <w:fldChar w:fldCharType="separate"/>
      </w:r>
      <w:r w:rsidRPr="00077273">
        <w:rPr>
          <w:color w:val="0000FF"/>
          <w:u w:val="single"/>
          <w:lang w:val="en-US" w:eastAsia="es-ES"/>
        </w:rPr>
        <w:t>http://observatorioppr.cl</w:t>
      </w:r>
      <w:r>
        <w:fldChar w:fldCharType="end"/>
      </w:r>
    </w:p>
    <w:p w14:paraId="5B26989C" w14:textId="77777777" w:rsidR="00077273" w:rsidRDefault="00077273" w:rsidP="00077273">
      <w:pPr>
        <w:pStyle w:val="NoSpacing"/>
        <w:rPr>
          <w:lang w:val="en-US" w:eastAsia="es-ES"/>
        </w:rPr>
      </w:pPr>
      <w:r w:rsidRPr="00077273">
        <w:rPr>
          <w:lang w:val="en-US" w:eastAsia="es-ES"/>
        </w:rPr>
        <w:t>18 July 2026</w:t>
      </w:r>
    </w:p>
    <w:p w14:paraId="11B284A3" w14:textId="77777777" w:rsidR="00077273" w:rsidRDefault="00077273" w:rsidP="00077273">
      <w:pPr>
        <w:pStyle w:val="NoSpacing"/>
        <w:rPr>
          <w:lang w:val="en-US" w:eastAsia="es-ES"/>
        </w:rPr>
      </w:pPr>
    </w:p>
    <w:p w14:paraId="08970E2D" w14:textId="77777777" w:rsidR="00077273" w:rsidRDefault="00077273" w:rsidP="00077273">
      <w:pPr>
        <w:pStyle w:val="NoSpacing"/>
        <w:rPr>
          <w:lang w:val="en-US" w:eastAsia="es-ES"/>
        </w:rPr>
      </w:pPr>
    </w:p>
    <w:p w14:paraId="2607873A" w14:textId="77777777" w:rsidR="00077273" w:rsidRDefault="00077273" w:rsidP="00077273">
      <w:pPr>
        <w:pStyle w:val="NoSpacing"/>
        <w:rPr>
          <w:lang w:val="en-US" w:eastAsia="es-ES"/>
        </w:rPr>
      </w:pPr>
    </w:p>
    <w:p w14:paraId="09DB7C5D" w14:textId="77777777" w:rsidR="00077273" w:rsidRDefault="00077273" w:rsidP="00077273">
      <w:pPr>
        <w:pStyle w:val="NoSpacing"/>
        <w:rPr>
          <w:lang w:val="en-US" w:eastAsia="es-ES"/>
        </w:rPr>
      </w:pPr>
    </w:p>
    <w:p w14:paraId="443EA96B" w14:textId="77777777" w:rsidR="00077273" w:rsidRDefault="00077273" w:rsidP="00077273">
      <w:pPr>
        <w:pStyle w:val="NoSpacing"/>
        <w:rPr>
          <w:lang w:val="en-US" w:eastAsia="es-ES"/>
        </w:rPr>
      </w:pPr>
    </w:p>
    <w:p w14:paraId="35704686" w14:textId="77777777" w:rsidR="00632230" w:rsidRDefault="00632230" w:rsidP="00077273">
      <w:pPr>
        <w:pStyle w:val="NoSpacing"/>
        <w:rPr>
          <w:lang w:val="en-US" w:eastAsia="es-ES"/>
        </w:rPr>
      </w:pPr>
    </w:p>
    <w:p w14:paraId="2F4E40DF" w14:textId="77777777" w:rsidR="00632230" w:rsidRPr="00077273" w:rsidRDefault="00632230" w:rsidP="00077273">
      <w:pPr>
        <w:pStyle w:val="NoSpacing"/>
        <w:rPr>
          <w:lang w:val="en-US" w:eastAsia="es-ES"/>
        </w:rPr>
      </w:pPr>
    </w:p>
    <w:p w14:paraId="72B97FFF"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n-US" w:eastAsia="es-ES"/>
          <w14:ligatures w14:val="none"/>
        </w:rPr>
      </w:pPr>
      <w:r w:rsidRPr="00077273">
        <w:rPr>
          <w:rFonts w:ascii="Arial" w:eastAsia="Times New Roman" w:hAnsi="Arial" w:cs="Arial"/>
          <w:b/>
          <w:bCs/>
          <w:kern w:val="0"/>
          <w:sz w:val="27"/>
          <w:szCs w:val="27"/>
          <w:lang w:val="en-US" w:eastAsia="es-ES"/>
          <w14:ligatures w14:val="none"/>
        </w:rPr>
        <w:lastRenderedPageBreak/>
        <w:t>Executive Summary</w:t>
      </w:r>
    </w:p>
    <w:p w14:paraId="517045FB" w14:textId="32F6391A" w:rsidR="00077273" w:rsidRPr="00077273" w:rsidRDefault="00077273" w:rsidP="00077273">
      <w:pPr>
        <w:numPr>
          <w:ilvl w:val="0"/>
          <w:numId w:val="1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This report, led by Dr</w:t>
      </w:r>
      <w:r>
        <w:rPr>
          <w:rFonts w:ascii="Arial" w:eastAsia="Times New Roman" w:hAnsi="Arial" w:cs="Arial"/>
          <w:kern w:val="0"/>
          <w:sz w:val="24"/>
          <w:szCs w:val="24"/>
          <w:lang w:val="en-US" w:eastAsia="es-ES"/>
          <w14:ligatures w14:val="none"/>
        </w:rPr>
        <w:t>.</w:t>
      </w:r>
      <w:r w:rsidRPr="00077273">
        <w:rPr>
          <w:rFonts w:ascii="Arial" w:eastAsia="Times New Roman" w:hAnsi="Arial" w:cs="Arial"/>
          <w:kern w:val="0"/>
          <w:sz w:val="24"/>
          <w:szCs w:val="24"/>
          <w:lang w:val="en-US" w:eastAsia="es-ES"/>
          <w14:ligatures w14:val="none"/>
        </w:rPr>
        <w:t xml:space="preserve"> Iván Godoy-Flores alongside </w:t>
      </w:r>
      <w:proofErr w:type="spellStart"/>
      <w:r w:rsidRPr="00077273">
        <w:rPr>
          <w:rFonts w:ascii="Arial" w:eastAsia="Times New Roman" w:hAnsi="Arial" w:cs="Arial"/>
          <w:kern w:val="0"/>
          <w:sz w:val="24"/>
          <w:szCs w:val="24"/>
          <w:lang w:val="en-US" w:eastAsia="es-ES"/>
          <w14:ligatures w14:val="none"/>
        </w:rPr>
        <w:t>organisations</w:t>
      </w:r>
      <w:proofErr w:type="spellEnd"/>
      <w:r w:rsidRPr="00077273">
        <w:rPr>
          <w:rFonts w:ascii="Arial" w:eastAsia="Times New Roman" w:hAnsi="Arial" w:cs="Arial"/>
          <w:kern w:val="0"/>
          <w:sz w:val="24"/>
          <w:szCs w:val="24"/>
          <w:lang w:val="en-US" w:eastAsia="es-ES"/>
          <w14:ligatures w14:val="none"/>
        </w:rPr>
        <w:t xml:space="preserve"> from Arica and the National Institute for Human Rights (INDH), presents a diagnostic assessment of the population with disabilities, demonstrating systematic state neglect and critical gaps in data, infrastructure, and public policy. At an institutional level, it condemns the ineffectiveness of non-binding advisory councils, the weakening of </w:t>
      </w:r>
      <w:proofErr w:type="spellStart"/>
      <w:r w:rsidRPr="00077273">
        <w:rPr>
          <w:rFonts w:ascii="Arial" w:eastAsia="Times New Roman" w:hAnsi="Arial" w:cs="Arial"/>
          <w:kern w:val="0"/>
          <w:sz w:val="24"/>
          <w:szCs w:val="24"/>
          <w:lang w:val="en-US" w:eastAsia="es-ES"/>
          <w14:ligatures w14:val="none"/>
        </w:rPr>
        <w:t>programmes</w:t>
      </w:r>
      <w:proofErr w:type="spellEnd"/>
      <w:r w:rsidRPr="00077273">
        <w:rPr>
          <w:rFonts w:ascii="Arial" w:eastAsia="Times New Roman" w:hAnsi="Arial" w:cs="Arial"/>
          <w:kern w:val="0"/>
          <w:sz w:val="24"/>
          <w:szCs w:val="24"/>
          <w:lang w:val="en-US" w:eastAsia="es-ES"/>
          <w14:ligatures w14:val="none"/>
        </w:rPr>
        <w:t xml:space="preserve"> for independent and autonomous living for disabled individuals, and the urgent need to grant regulatory and supervisory powers to the National Disability Service (SENADIS). Additionally, the State is failing to comply with Law 20,422 by maintaining public services without universal accessibility or trained personnel, thereby perpetuating discriminatory and </w:t>
      </w:r>
      <w:proofErr w:type="spellStart"/>
      <w:r w:rsidRPr="00077273">
        <w:rPr>
          <w:rFonts w:ascii="Arial" w:eastAsia="Times New Roman" w:hAnsi="Arial" w:cs="Arial"/>
          <w:kern w:val="0"/>
          <w:sz w:val="24"/>
          <w:szCs w:val="24"/>
          <w:lang w:val="en-US" w:eastAsia="es-ES"/>
          <w14:ligatures w14:val="none"/>
        </w:rPr>
        <w:t>infantilising</w:t>
      </w:r>
      <w:proofErr w:type="spellEnd"/>
      <w:r w:rsidRPr="00077273">
        <w:rPr>
          <w:rFonts w:ascii="Arial" w:eastAsia="Times New Roman" w:hAnsi="Arial" w:cs="Arial"/>
          <w:kern w:val="0"/>
          <w:sz w:val="24"/>
          <w:szCs w:val="24"/>
          <w:lang w:val="en-US" w:eastAsia="es-ES"/>
          <w14:ligatures w14:val="none"/>
        </w:rPr>
        <w:t xml:space="preserve"> practices.</w:t>
      </w:r>
    </w:p>
    <w:p w14:paraId="5B39A132" w14:textId="77777777" w:rsidR="00077273" w:rsidRPr="00077273" w:rsidRDefault="00077273" w:rsidP="00077273">
      <w:pPr>
        <w:numPr>
          <w:ilvl w:val="0"/>
          <w:numId w:val="1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The urban infrastructure and public transport system in Arica exacerbate the exclusion of individuals with reduced mobility and visual or hearing impairments. Failures in universal architectural accessibility extend to beaches, municipal buildings, universities, and healthcare </w:t>
      </w:r>
      <w:proofErr w:type="spellStart"/>
      <w:r w:rsidRPr="00077273">
        <w:rPr>
          <w:rFonts w:ascii="Arial" w:eastAsia="Times New Roman" w:hAnsi="Arial" w:cs="Arial"/>
          <w:kern w:val="0"/>
          <w:sz w:val="24"/>
          <w:szCs w:val="24"/>
          <w:lang w:val="en-US" w:eastAsia="es-ES"/>
          <w14:ligatures w14:val="none"/>
        </w:rPr>
        <w:t>centres</w:t>
      </w:r>
      <w:proofErr w:type="spellEnd"/>
      <w:r w:rsidRPr="00077273">
        <w:rPr>
          <w:rFonts w:ascii="Arial" w:eastAsia="Times New Roman" w:hAnsi="Arial" w:cs="Arial"/>
          <w:kern w:val="0"/>
          <w:sz w:val="24"/>
          <w:szCs w:val="24"/>
          <w:lang w:val="en-US" w:eastAsia="es-ES"/>
          <w14:ligatures w14:val="none"/>
        </w:rPr>
        <w:t>.</w:t>
      </w:r>
    </w:p>
    <w:p w14:paraId="4CE9F466" w14:textId="77777777" w:rsidR="00077273" w:rsidRPr="00077273" w:rsidRDefault="00077273" w:rsidP="00077273">
      <w:pPr>
        <w:numPr>
          <w:ilvl w:val="0"/>
          <w:numId w:val="1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shortage of institutional interpreters and the lack of ethical regulation governing private sign language services leave the Deaf community vulnerable, leading to extortionate fees, missed medical appointments, and exclusion from social benefits.</w:t>
      </w:r>
    </w:p>
    <w:p w14:paraId="4651C2D9" w14:textId="77777777" w:rsidR="00077273" w:rsidRPr="00077273" w:rsidRDefault="00077273" w:rsidP="00077273">
      <w:pPr>
        <w:numPr>
          <w:ilvl w:val="0"/>
          <w:numId w:val="1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In employment and education, Law 21,015 on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Inclusion has recorded minimal progress due to a lack of penalties, the non-existence of workshops following graduation from special education schools, and prejudices that </w:t>
      </w:r>
      <w:proofErr w:type="spellStart"/>
      <w:r w:rsidRPr="00077273">
        <w:rPr>
          <w:rFonts w:ascii="Arial" w:eastAsia="Times New Roman" w:hAnsi="Arial" w:cs="Arial"/>
          <w:kern w:val="0"/>
          <w:sz w:val="24"/>
          <w:szCs w:val="24"/>
          <w:lang w:val="en-US" w:eastAsia="es-ES"/>
          <w14:ligatures w14:val="none"/>
        </w:rPr>
        <w:t>marginalise</w:t>
      </w:r>
      <w:proofErr w:type="spellEnd"/>
      <w:r w:rsidRPr="00077273">
        <w:rPr>
          <w:rFonts w:ascii="Arial" w:eastAsia="Times New Roman" w:hAnsi="Arial" w:cs="Arial"/>
          <w:kern w:val="0"/>
          <w:sz w:val="24"/>
          <w:szCs w:val="24"/>
          <w:lang w:val="en-US" w:eastAsia="es-ES"/>
          <w14:ligatures w14:val="none"/>
        </w:rPr>
        <w:t xml:space="preserve"> qualified applicants. Furthermore, the social protection and healthcare systems display severe methodological flaws: </w:t>
      </w:r>
      <w:proofErr w:type="spellStart"/>
      <w:r w:rsidRPr="00077273">
        <w:rPr>
          <w:rFonts w:ascii="Arial" w:eastAsia="Times New Roman" w:hAnsi="Arial" w:cs="Arial"/>
          <w:kern w:val="0"/>
          <w:sz w:val="24"/>
          <w:szCs w:val="24"/>
          <w:lang w:val="en-US" w:eastAsia="es-ES"/>
          <w14:ligatures w14:val="none"/>
        </w:rPr>
        <w:t>standardised</w:t>
      </w:r>
      <w:proofErr w:type="spellEnd"/>
      <w:r w:rsidRPr="00077273">
        <w:rPr>
          <w:rFonts w:ascii="Arial" w:eastAsia="Times New Roman" w:hAnsi="Arial" w:cs="Arial"/>
          <w:kern w:val="0"/>
          <w:sz w:val="24"/>
          <w:szCs w:val="24"/>
          <w:lang w:val="en-US" w:eastAsia="es-ES"/>
          <w14:ligatures w14:val="none"/>
        </w:rPr>
        <w:t xml:space="preserve"> instruments such as the IVADEC or the Primary Healthcare (APS) assessment framework restrict technical aids and economic stipends exclusively to bedbound patients, rendering other high-dependency realities invisible and leaving carers helpless. The report concludes that, to achieve genuine inclusion, the Chilean system must abandon bureaucratic welfare dependency and transition towards effective inspection, the funding of reasonable adjustments, and a public policy design with regional relevance and a fundamental rights approach. Although the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Inclusion Law and its amendments aim to promote the workforce integration of persons with disabilities or invalidity pension recipients, its implementation has been ineffective.</w:t>
      </w:r>
    </w:p>
    <w:p w14:paraId="49ACD7D9"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s-ES" w:eastAsia="es-ES"/>
          <w14:ligatures w14:val="none"/>
        </w:rPr>
      </w:pPr>
      <w:proofErr w:type="spellStart"/>
      <w:r w:rsidRPr="00077273">
        <w:rPr>
          <w:rFonts w:ascii="Arial" w:eastAsia="Times New Roman" w:hAnsi="Arial" w:cs="Arial"/>
          <w:b/>
          <w:bCs/>
          <w:kern w:val="0"/>
          <w:sz w:val="27"/>
          <w:szCs w:val="27"/>
          <w:lang w:val="es-ES" w:eastAsia="es-ES"/>
          <w14:ligatures w14:val="none"/>
        </w:rPr>
        <w:t>Introduction</w:t>
      </w:r>
      <w:proofErr w:type="spellEnd"/>
    </w:p>
    <w:p w14:paraId="06E17195" w14:textId="77777777" w:rsidR="00077273" w:rsidRPr="00077273" w:rsidRDefault="00077273" w:rsidP="00077273">
      <w:pPr>
        <w:numPr>
          <w:ilvl w:val="0"/>
          <w:numId w:val="15"/>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This report was prepared by Dr Iván Godoy-Flores, Director of the Observatory of Regional Public Policies based in the city of Arica, with the active participation of representatives from at least ten </w:t>
      </w:r>
      <w:proofErr w:type="spellStart"/>
      <w:r w:rsidRPr="00077273">
        <w:rPr>
          <w:rFonts w:ascii="Arial" w:eastAsia="Times New Roman" w:hAnsi="Arial" w:cs="Arial"/>
          <w:kern w:val="0"/>
          <w:sz w:val="24"/>
          <w:szCs w:val="24"/>
          <w:lang w:val="en-US" w:eastAsia="es-ES"/>
          <w14:ligatures w14:val="none"/>
        </w:rPr>
        <w:t>organisations</w:t>
      </w:r>
      <w:proofErr w:type="spellEnd"/>
      <w:r w:rsidRPr="00077273">
        <w:rPr>
          <w:rFonts w:ascii="Arial" w:eastAsia="Times New Roman" w:hAnsi="Arial" w:cs="Arial"/>
          <w:kern w:val="0"/>
          <w:sz w:val="24"/>
          <w:szCs w:val="24"/>
          <w:lang w:val="en-US" w:eastAsia="es-ES"/>
          <w14:ligatures w14:val="none"/>
        </w:rPr>
        <w:t xml:space="preserve"> representing persons with disabilities. </w:t>
      </w:r>
      <w:r w:rsidRPr="00077273">
        <w:rPr>
          <w:rFonts w:ascii="Arial" w:eastAsia="Times New Roman" w:hAnsi="Arial" w:cs="Arial"/>
          <w:kern w:val="0"/>
          <w:sz w:val="24"/>
          <w:szCs w:val="24"/>
          <w:lang w:val="es-ES" w:eastAsia="es-ES"/>
          <w14:ligatures w14:val="none"/>
        </w:rPr>
        <w:t xml:space="preserve">The Municipal Council on Disability </w:t>
      </w:r>
      <w:proofErr w:type="spellStart"/>
      <w:r w:rsidRPr="00077273">
        <w:rPr>
          <w:rFonts w:ascii="Arial" w:eastAsia="Times New Roman" w:hAnsi="Arial" w:cs="Arial"/>
          <w:kern w:val="0"/>
          <w:sz w:val="24"/>
          <w:szCs w:val="24"/>
          <w:lang w:val="es-ES" w:eastAsia="es-ES"/>
          <w14:ligatures w14:val="none"/>
        </w:rPr>
        <w:t>brings</w:t>
      </w:r>
      <w:proofErr w:type="spellEnd"/>
      <w:r w:rsidRPr="00077273">
        <w:rPr>
          <w:rFonts w:ascii="Arial" w:eastAsia="Times New Roman" w:hAnsi="Arial" w:cs="Arial"/>
          <w:kern w:val="0"/>
          <w:sz w:val="24"/>
          <w:szCs w:val="24"/>
          <w:lang w:val="es-ES" w:eastAsia="es-ES"/>
          <w14:ligatures w14:val="none"/>
        </w:rPr>
        <w:t xml:space="preserve"> </w:t>
      </w:r>
      <w:proofErr w:type="spellStart"/>
      <w:r w:rsidRPr="00077273">
        <w:rPr>
          <w:rFonts w:ascii="Arial" w:eastAsia="Times New Roman" w:hAnsi="Arial" w:cs="Arial"/>
          <w:kern w:val="0"/>
          <w:sz w:val="24"/>
          <w:szCs w:val="24"/>
          <w:lang w:val="es-ES" w:eastAsia="es-ES"/>
          <w14:ligatures w14:val="none"/>
        </w:rPr>
        <w:t>together</w:t>
      </w:r>
      <w:proofErr w:type="spellEnd"/>
      <w:r w:rsidRPr="00077273">
        <w:rPr>
          <w:rFonts w:ascii="Arial" w:eastAsia="Times New Roman" w:hAnsi="Arial" w:cs="Arial"/>
          <w:kern w:val="0"/>
          <w:sz w:val="24"/>
          <w:szCs w:val="24"/>
          <w:lang w:val="es-ES" w:eastAsia="es-ES"/>
          <w14:ligatures w14:val="none"/>
        </w:rPr>
        <w:t xml:space="preserve"> the </w:t>
      </w:r>
      <w:proofErr w:type="spellStart"/>
      <w:r w:rsidRPr="00077273">
        <w:rPr>
          <w:rFonts w:ascii="Arial" w:eastAsia="Times New Roman" w:hAnsi="Arial" w:cs="Arial"/>
          <w:kern w:val="0"/>
          <w:sz w:val="24"/>
          <w:szCs w:val="24"/>
          <w:lang w:val="es-ES" w:eastAsia="es-ES"/>
          <w14:ligatures w14:val="none"/>
        </w:rPr>
        <w:t>following</w:t>
      </w:r>
      <w:proofErr w:type="spellEnd"/>
      <w:r w:rsidRPr="00077273">
        <w:rPr>
          <w:rFonts w:ascii="Arial" w:eastAsia="Times New Roman" w:hAnsi="Arial" w:cs="Arial"/>
          <w:kern w:val="0"/>
          <w:sz w:val="24"/>
          <w:szCs w:val="24"/>
          <w:lang w:val="es-ES" w:eastAsia="es-ES"/>
          <w14:ligatures w14:val="none"/>
        </w:rPr>
        <w:t xml:space="preserve"> </w:t>
      </w:r>
      <w:proofErr w:type="spellStart"/>
      <w:r w:rsidRPr="00077273">
        <w:rPr>
          <w:rFonts w:ascii="Arial" w:eastAsia="Times New Roman" w:hAnsi="Arial" w:cs="Arial"/>
          <w:kern w:val="0"/>
          <w:sz w:val="24"/>
          <w:szCs w:val="24"/>
          <w:lang w:val="es-ES" w:eastAsia="es-ES"/>
          <w14:ligatures w14:val="none"/>
        </w:rPr>
        <w:t>organisations</w:t>
      </w:r>
      <w:proofErr w:type="spellEnd"/>
      <w:r w:rsidRPr="00077273">
        <w:rPr>
          <w:rFonts w:ascii="Arial" w:eastAsia="Times New Roman" w:hAnsi="Arial" w:cs="Arial"/>
          <w:kern w:val="0"/>
          <w:sz w:val="24"/>
          <w:szCs w:val="24"/>
          <w:lang w:val="es-ES" w:eastAsia="es-ES"/>
          <w14:ligatures w14:val="none"/>
        </w:rPr>
        <w:t xml:space="preserve">: </w:t>
      </w:r>
      <w:r w:rsidRPr="00077273">
        <w:rPr>
          <w:rFonts w:ascii="Arial" w:eastAsia="Times New Roman" w:hAnsi="Arial" w:cs="Arial"/>
          <w:i/>
          <w:iCs/>
          <w:kern w:val="0"/>
          <w:sz w:val="24"/>
          <w:szCs w:val="24"/>
          <w:lang w:val="es-ES" w:eastAsia="es-ES"/>
          <w14:ligatures w14:val="none"/>
        </w:rPr>
        <w:t>Movimiento TEA por siempre</w:t>
      </w:r>
      <w:r w:rsidRPr="00077273">
        <w:rPr>
          <w:rFonts w:ascii="Arial" w:eastAsia="Times New Roman" w:hAnsi="Arial" w:cs="Arial"/>
          <w:kern w:val="0"/>
          <w:sz w:val="24"/>
          <w:szCs w:val="24"/>
          <w:lang w:val="es-ES" w:eastAsia="es-ES"/>
          <w14:ligatures w14:val="none"/>
        </w:rPr>
        <w:t xml:space="preserve">, </w:t>
      </w:r>
      <w:r w:rsidRPr="00077273">
        <w:rPr>
          <w:rFonts w:ascii="Arial" w:eastAsia="Times New Roman" w:hAnsi="Arial" w:cs="Arial"/>
          <w:i/>
          <w:iCs/>
          <w:kern w:val="0"/>
          <w:sz w:val="24"/>
          <w:szCs w:val="24"/>
          <w:lang w:val="es-ES" w:eastAsia="es-ES"/>
          <w14:ligatures w14:val="none"/>
        </w:rPr>
        <w:t>Agrupación de Cuidadoras Esperanza</w:t>
      </w:r>
      <w:r w:rsidRPr="00077273">
        <w:rPr>
          <w:rFonts w:ascii="Arial" w:eastAsia="Times New Roman" w:hAnsi="Arial" w:cs="Arial"/>
          <w:kern w:val="0"/>
          <w:sz w:val="24"/>
          <w:szCs w:val="24"/>
          <w:lang w:val="es-ES" w:eastAsia="es-ES"/>
          <w14:ligatures w14:val="none"/>
        </w:rPr>
        <w:t xml:space="preserve">, </w:t>
      </w:r>
      <w:r w:rsidRPr="00077273">
        <w:rPr>
          <w:rFonts w:ascii="Arial" w:eastAsia="Times New Roman" w:hAnsi="Arial" w:cs="Arial"/>
          <w:i/>
          <w:iCs/>
          <w:kern w:val="0"/>
          <w:sz w:val="24"/>
          <w:szCs w:val="24"/>
          <w:lang w:val="es-ES" w:eastAsia="es-ES"/>
          <w14:ligatures w14:val="none"/>
        </w:rPr>
        <w:t xml:space="preserve">Agrupación Cuidadoras y </w:t>
      </w:r>
      <w:r w:rsidRPr="00077273">
        <w:rPr>
          <w:rFonts w:ascii="Arial" w:eastAsia="Times New Roman" w:hAnsi="Arial" w:cs="Arial"/>
          <w:i/>
          <w:iCs/>
          <w:kern w:val="0"/>
          <w:sz w:val="24"/>
          <w:szCs w:val="24"/>
          <w:lang w:val="es-ES" w:eastAsia="es-ES"/>
          <w14:ligatures w14:val="none"/>
        </w:rPr>
        <w:lastRenderedPageBreak/>
        <w:t>Cuidadores Informales de Arica y Parinacota</w:t>
      </w:r>
      <w:r w:rsidRPr="00077273">
        <w:rPr>
          <w:rFonts w:ascii="Arial" w:eastAsia="Times New Roman" w:hAnsi="Arial" w:cs="Arial"/>
          <w:kern w:val="0"/>
          <w:sz w:val="24"/>
          <w:szCs w:val="24"/>
          <w:lang w:val="es-ES" w:eastAsia="es-ES"/>
          <w14:ligatures w14:val="none"/>
        </w:rPr>
        <w:t xml:space="preserve">, </w:t>
      </w:r>
      <w:r w:rsidRPr="00077273">
        <w:rPr>
          <w:rFonts w:ascii="Arial" w:eastAsia="Times New Roman" w:hAnsi="Arial" w:cs="Arial"/>
          <w:i/>
          <w:iCs/>
          <w:kern w:val="0"/>
          <w:sz w:val="24"/>
          <w:szCs w:val="24"/>
          <w:lang w:val="es-ES" w:eastAsia="es-ES"/>
          <w14:ligatures w14:val="none"/>
        </w:rPr>
        <w:t>Agrupación de Personas con Parkinson</w:t>
      </w:r>
      <w:r w:rsidRPr="00077273">
        <w:rPr>
          <w:rFonts w:ascii="Arial" w:eastAsia="Times New Roman" w:hAnsi="Arial" w:cs="Arial"/>
          <w:kern w:val="0"/>
          <w:sz w:val="24"/>
          <w:szCs w:val="24"/>
          <w:lang w:val="es-ES" w:eastAsia="es-ES"/>
          <w14:ligatures w14:val="none"/>
        </w:rPr>
        <w:t xml:space="preserve">, and </w:t>
      </w:r>
      <w:r w:rsidRPr="00077273">
        <w:rPr>
          <w:rFonts w:ascii="Arial" w:eastAsia="Times New Roman" w:hAnsi="Arial" w:cs="Arial"/>
          <w:i/>
          <w:iCs/>
          <w:kern w:val="0"/>
          <w:sz w:val="24"/>
          <w:szCs w:val="24"/>
          <w:lang w:val="es-ES" w:eastAsia="es-ES"/>
          <w14:ligatures w14:val="none"/>
        </w:rPr>
        <w:t>Asociación Ojos del Sol</w:t>
      </w:r>
      <w:r w:rsidRPr="00077273">
        <w:rPr>
          <w:rFonts w:ascii="Arial" w:eastAsia="Times New Roman" w:hAnsi="Arial" w:cs="Arial"/>
          <w:kern w:val="0"/>
          <w:sz w:val="24"/>
          <w:szCs w:val="24"/>
          <w:lang w:val="es-ES" w:eastAsia="es-ES"/>
          <w14:ligatures w14:val="none"/>
        </w:rPr>
        <w:t xml:space="preserve">. </w:t>
      </w:r>
      <w:r w:rsidRPr="00077273">
        <w:rPr>
          <w:rFonts w:ascii="Arial" w:eastAsia="Times New Roman" w:hAnsi="Arial" w:cs="Arial"/>
          <w:kern w:val="0"/>
          <w:sz w:val="24"/>
          <w:szCs w:val="24"/>
          <w:lang w:val="en-US" w:eastAsia="es-ES"/>
          <w14:ligatures w14:val="none"/>
        </w:rPr>
        <w:t xml:space="preserve">For their part, </w:t>
      </w:r>
      <w:r w:rsidRPr="00077273">
        <w:rPr>
          <w:rFonts w:ascii="Arial" w:eastAsia="Times New Roman" w:hAnsi="Arial" w:cs="Arial"/>
          <w:i/>
          <w:iCs/>
          <w:kern w:val="0"/>
          <w:sz w:val="24"/>
          <w:szCs w:val="24"/>
          <w:lang w:val="en-US" w:eastAsia="es-ES"/>
          <w14:ligatures w14:val="none"/>
        </w:rPr>
        <w:t xml:space="preserve">Fundación </w:t>
      </w:r>
      <w:proofErr w:type="spellStart"/>
      <w:r w:rsidRPr="00077273">
        <w:rPr>
          <w:rFonts w:ascii="Arial" w:eastAsia="Times New Roman" w:hAnsi="Arial" w:cs="Arial"/>
          <w:i/>
          <w:iCs/>
          <w:kern w:val="0"/>
          <w:sz w:val="24"/>
          <w:szCs w:val="24"/>
          <w:lang w:val="en-US" w:eastAsia="es-ES"/>
          <w14:ligatures w14:val="none"/>
        </w:rPr>
        <w:t>Impulso</w:t>
      </w:r>
      <w:proofErr w:type="spellEnd"/>
      <w:r w:rsidRPr="00077273">
        <w:rPr>
          <w:rFonts w:ascii="Arial" w:eastAsia="Times New Roman" w:hAnsi="Arial" w:cs="Arial"/>
          <w:kern w:val="0"/>
          <w:sz w:val="24"/>
          <w:szCs w:val="24"/>
          <w:lang w:val="en-US" w:eastAsia="es-ES"/>
          <w14:ligatures w14:val="none"/>
        </w:rPr>
        <w:t xml:space="preserve"> and the NGO </w:t>
      </w:r>
      <w:proofErr w:type="spellStart"/>
      <w:r w:rsidRPr="00077273">
        <w:rPr>
          <w:rFonts w:ascii="Arial" w:eastAsia="Times New Roman" w:hAnsi="Arial" w:cs="Arial"/>
          <w:i/>
          <w:iCs/>
          <w:kern w:val="0"/>
          <w:sz w:val="24"/>
          <w:szCs w:val="24"/>
          <w:lang w:val="en-US" w:eastAsia="es-ES"/>
          <w14:ligatures w14:val="none"/>
        </w:rPr>
        <w:t>Maymuru</w:t>
      </w:r>
      <w:proofErr w:type="spellEnd"/>
      <w:r w:rsidRPr="00077273">
        <w:rPr>
          <w:rFonts w:ascii="Arial" w:eastAsia="Times New Roman" w:hAnsi="Arial" w:cs="Arial"/>
          <w:kern w:val="0"/>
          <w:sz w:val="24"/>
          <w:szCs w:val="24"/>
          <w:lang w:val="en-US" w:eastAsia="es-ES"/>
          <w14:ligatures w14:val="none"/>
        </w:rPr>
        <w:t xml:space="preserve"> belong to the Regional Council on Disability, alongside the </w:t>
      </w:r>
      <w:proofErr w:type="spellStart"/>
      <w:r w:rsidRPr="00077273">
        <w:rPr>
          <w:rFonts w:ascii="Arial" w:eastAsia="Times New Roman" w:hAnsi="Arial" w:cs="Arial"/>
          <w:kern w:val="0"/>
          <w:sz w:val="24"/>
          <w:szCs w:val="24"/>
          <w:lang w:val="en-US" w:eastAsia="es-ES"/>
          <w14:ligatures w14:val="none"/>
        </w:rPr>
        <w:t>Organisation</w:t>
      </w:r>
      <w:proofErr w:type="spellEnd"/>
      <w:r w:rsidRPr="00077273">
        <w:rPr>
          <w:rFonts w:ascii="Arial" w:eastAsia="Times New Roman" w:hAnsi="Arial" w:cs="Arial"/>
          <w:kern w:val="0"/>
          <w:sz w:val="24"/>
          <w:szCs w:val="24"/>
          <w:lang w:val="en-US" w:eastAsia="es-ES"/>
          <w14:ligatures w14:val="none"/>
        </w:rPr>
        <w:t xml:space="preserve"> of Deaf Youth and Adults of Arica (OJASA).</w:t>
      </w:r>
    </w:p>
    <w:p w14:paraId="11CF1B20" w14:textId="77777777" w:rsidR="00077273" w:rsidRPr="00077273" w:rsidRDefault="00077273" w:rsidP="00077273">
      <w:pPr>
        <w:numPr>
          <w:ilvl w:val="0"/>
          <w:numId w:val="15"/>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Methodologically, the study </w:t>
      </w:r>
      <w:proofErr w:type="spellStart"/>
      <w:r w:rsidRPr="00077273">
        <w:rPr>
          <w:rFonts w:ascii="Arial" w:eastAsia="Times New Roman" w:hAnsi="Arial" w:cs="Arial"/>
          <w:kern w:val="0"/>
          <w:sz w:val="24"/>
          <w:szCs w:val="24"/>
          <w:lang w:val="en-US" w:eastAsia="es-ES"/>
          <w14:ligatures w14:val="none"/>
        </w:rPr>
        <w:t>utilised</w:t>
      </w:r>
      <w:proofErr w:type="spellEnd"/>
      <w:r w:rsidRPr="00077273">
        <w:rPr>
          <w:rFonts w:ascii="Arial" w:eastAsia="Times New Roman" w:hAnsi="Arial" w:cs="Arial"/>
          <w:kern w:val="0"/>
          <w:sz w:val="24"/>
          <w:szCs w:val="24"/>
          <w:lang w:val="en-US" w:eastAsia="es-ES"/>
          <w14:ligatures w14:val="none"/>
        </w:rPr>
        <w:t xml:space="preserve"> interviews, audio recordings, questionnaires, and focus groups to address the </w:t>
      </w:r>
      <w:proofErr w:type="spellStart"/>
      <w:r w:rsidRPr="00077273">
        <w:rPr>
          <w:rFonts w:ascii="Arial" w:eastAsia="Times New Roman" w:hAnsi="Arial" w:cs="Arial"/>
          <w:kern w:val="0"/>
          <w:sz w:val="24"/>
          <w:szCs w:val="24"/>
          <w:lang w:val="en-US" w:eastAsia="es-ES"/>
          <w14:ligatures w14:val="none"/>
        </w:rPr>
        <w:t>prioritised</w:t>
      </w:r>
      <w:proofErr w:type="spellEnd"/>
      <w:r w:rsidRPr="00077273">
        <w:rPr>
          <w:rFonts w:ascii="Arial" w:eastAsia="Times New Roman" w:hAnsi="Arial" w:cs="Arial"/>
          <w:kern w:val="0"/>
          <w:sz w:val="24"/>
          <w:szCs w:val="24"/>
          <w:lang w:val="en-US" w:eastAsia="es-ES"/>
          <w14:ligatures w14:val="none"/>
        </w:rPr>
        <w:t xml:space="preserve"> issues affecting the local population. Estimates were provided by residents of the area who represent the affected population.</w:t>
      </w:r>
    </w:p>
    <w:p w14:paraId="515064BA" w14:textId="77777777" w:rsidR="00077273" w:rsidRPr="00077273" w:rsidRDefault="00077273" w:rsidP="00077273">
      <w:pPr>
        <w:numPr>
          <w:ilvl w:val="0"/>
          <w:numId w:val="15"/>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Acknowledgement:</w:t>
      </w:r>
      <w:r w:rsidRPr="00077273">
        <w:rPr>
          <w:rFonts w:ascii="Arial" w:eastAsia="Times New Roman" w:hAnsi="Arial" w:cs="Arial"/>
          <w:kern w:val="0"/>
          <w:sz w:val="24"/>
          <w:szCs w:val="24"/>
          <w:lang w:val="en-US" w:eastAsia="es-ES"/>
          <w14:ligatures w14:val="none"/>
        </w:rPr>
        <w:t xml:space="preserve"> This report would not have been possible without the constant support of Paula </w:t>
      </w:r>
      <w:proofErr w:type="spellStart"/>
      <w:r w:rsidRPr="00077273">
        <w:rPr>
          <w:rFonts w:ascii="Arial" w:eastAsia="Times New Roman" w:hAnsi="Arial" w:cs="Arial"/>
          <w:kern w:val="0"/>
          <w:sz w:val="24"/>
          <w:szCs w:val="24"/>
          <w:lang w:val="en-US" w:eastAsia="es-ES"/>
          <w14:ligatures w14:val="none"/>
        </w:rPr>
        <w:t>Sívori</w:t>
      </w:r>
      <w:proofErr w:type="spellEnd"/>
      <w:r w:rsidRPr="00077273">
        <w:rPr>
          <w:rFonts w:ascii="Arial" w:eastAsia="Times New Roman" w:hAnsi="Arial" w:cs="Arial"/>
          <w:kern w:val="0"/>
          <w:sz w:val="24"/>
          <w:szCs w:val="24"/>
          <w:lang w:val="en-US" w:eastAsia="es-ES"/>
          <w14:ligatures w14:val="none"/>
        </w:rPr>
        <w:t xml:space="preserve"> and Ximena </w:t>
      </w:r>
      <w:proofErr w:type="spellStart"/>
      <w:r w:rsidRPr="00077273">
        <w:rPr>
          <w:rFonts w:ascii="Arial" w:eastAsia="Times New Roman" w:hAnsi="Arial" w:cs="Arial"/>
          <w:kern w:val="0"/>
          <w:sz w:val="24"/>
          <w:szCs w:val="24"/>
          <w:lang w:val="en-US" w:eastAsia="es-ES"/>
          <w14:ligatures w14:val="none"/>
        </w:rPr>
        <w:t>Ostria</w:t>
      </w:r>
      <w:proofErr w:type="spellEnd"/>
      <w:r w:rsidRPr="00077273">
        <w:rPr>
          <w:rFonts w:ascii="Arial" w:eastAsia="Times New Roman" w:hAnsi="Arial" w:cs="Arial"/>
          <w:kern w:val="0"/>
          <w:sz w:val="24"/>
          <w:szCs w:val="24"/>
          <w:lang w:val="en-US" w:eastAsia="es-ES"/>
          <w14:ligatures w14:val="none"/>
        </w:rPr>
        <w:t>, human rights promotion professionals from the regional office of the National Institute for Human Rights (INDH) in Arica and Parinacota.</w:t>
      </w:r>
    </w:p>
    <w:p w14:paraId="14352610" w14:textId="77777777" w:rsidR="00077273" w:rsidRPr="00077273" w:rsidRDefault="00077273" w:rsidP="00077273">
      <w:pPr>
        <w:numPr>
          <w:ilvl w:val="0"/>
          <w:numId w:val="15"/>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Inter-American Convention on the Elimination of All Forms of Discrimination against Persons with Disabilities and the Convention on the Rights of Persons with Disabilities, ratified by Chile in 2002 and 2008 respectively, mandate that the State promote, respect, protect, and guarantee the rights enshrined in these instruments.</w:t>
      </w:r>
    </w:p>
    <w:p w14:paraId="5601FC44"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n-US" w:eastAsia="es-ES"/>
          <w14:ligatures w14:val="none"/>
        </w:rPr>
      </w:pPr>
      <w:r w:rsidRPr="00077273">
        <w:rPr>
          <w:rFonts w:ascii="Arial" w:eastAsia="Times New Roman" w:hAnsi="Arial" w:cs="Arial"/>
          <w:b/>
          <w:bCs/>
          <w:kern w:val="0"/>
          <w:sz w:val="27"/>
          <w:szCs w:val="27"/>
          <w:lang w:val="en-US" w:eastAsia="es-ES"/>
          <w14:ligatures w14:val="none"/>
        </w:rPr>
        <w:t>Population with Disabilities: Diagnostic Assessment of Arica</w:t>
      </w:r>
    </w:p>
    <w:p w14:paraId="2537AF58"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9. Institutional Framework, Data, and Public Policies</w:t>
      </w:r>
    </w:p>
    <w:p w14:paraId="644E995C"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The disability sector in the country faces a severe information gap; there are no continuous statistical data, only isolated reports from certain years, and the current Census does not break down data by specific type of disability. Although the National Survey on Disability and Dependency (ENDIX) provides background information, it relies on a random sample of 50,000 individuals, which is insufficient for a comprehensive </w:t>
      </w:r>
      <w:proofErr w:type="spellStart"/>
      <w:r w:rsidRPr="00077273">
        <w:rPr>
          <w:rFonts w:ascii="Arial" w:eastAsia="Times New Roman" w:hAnsi="Arial" w:cs="Arial"/>
          <w:kern w:val="0"/>
          <w:sz w:val="24"/>
          <w:szCs w:val="24"/>
          <w:lang w:val="en-US" w:eastAsia="es-ES"/>
          <w14:ligatures w14:val="none"/>
        </w:rPr>
        <w:t>characterisation</w:t>
      </w:r>
      <w:proofErr w:type="spellEnd"/>
      <w:r w:rsidRPr="00077273">
        <w:rPr>
          <w:rFonts w:ascii="Arial" w:eastAsia="Times New Roman" w:hAnsi="Arial" w:cs="Arial"/>
          <w:kern w:val="0"/>
          <w:sz w:val="24"/>
          <w:szCs w:val="24"/>
          <w:lang w:val="en-US" w:eastAsia="es-ES"/>
          <w14:ligatures w14:val="none"/>
        </w:rPr>
        <w:t xml:space="preserve"> of all realities. In terms of governance, Civil Society Councils (COSOC) as well as municipal and regional councils lack binding powers. Although they raise awareness of systemic issues before public bodies, the management of agencies such as the National Disability Service (SENADIS) is constrained by its current structure, budget, lack of staff training, and a deficiency in leadership commitment from the regional directorate. Consequently, there is an urgent need to transform SENADIS into a Sub-secretariat equipped with supervisory powers and the authority to formulate public policies and their regulatory instruments.</w:t>
      </w:r>
    </w:p>
    <w:p w14:paraId="365E48D2" w14:textId="77777777" w:rsidR="00077273" w:rsidRDefault="00077273" w:rsidP="00077273">
      <w:pPr>
        <w:numPr>
          <w:ilvl w:val="0"/>
          <w:numId w:val="16"/>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Furthermore, there is a noticeable weakening of public policy, evidenced by the discontinuation of </w:t>
      </w:r>
      <w:proofErr w:type="spellStart"/>
      <w:r w:rsidRPr="00077273">
        <w:rPr>
          <w:rFonts w:ascii="Arial" w:eastAsia="Times New Roman" w:hAnsi="Arial" w:cs="Arial"/>
          <w:kern w:val="0"/>
          <w:sz w:val="24"/>
          <w:szCs w:val="24"/>
          <w:lang w:val="en-US" w:eastAsia="es-ES"/>
          <w14:ligatures w14:val="none"/>
        </w:rPr>
        <w:t>programmes</w:t>
      </w:r>
      <w:proofErr w:type="spellEnd"/>
      <w:r w:rsidRPr="00077273">
        <w:rPr>
          <w:rFonts w:ascii="Arial" w:eastAsia="Times New Roman" w:hAnsi="Arial" w:cs="Arial"/>
          <w:kern w:val="0"/>
          <w:sz w:val="24"/>
          <w:szCs w:val="24"/>
          <w:lang w:val="en-US" w:eastAsia="es-ES"/>
          <w14:ligatures w14:val="none"/>
        </w:rPr>
        <w:t xml:space="preserve"> aimed at transitioning to independent living. Similarly, regulatory frameworks like the TEA Law (Autism Spectrum Law) exhibit legal loopholes by focusing exclusively on childhood and adolescence, neglecting the adult population or those diagnosed in adulthood. Nevertheless, inadequate school training and classroom adaptation for children and adolescents with ASD persist.</w:t>
      </w:r>
    </w:p>
    <w:p w14:paraId="2AF95C02"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p>
    <w:p w14:paraId="5A1C776E"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lastRenderedPageBreak/>
        <w:t>11. Inspection, Legal Gaps, and Non-Compliance with Regulations</w:t>
      </w:r>
    </w:p>
    <w:p w14:paraId="111E9A52"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State systematically breaches Articles 2 and 8 of Law 20,422, which mandate guaranteeing equal opportunities for persons with disabilities. The law stipulates that the State must establish anti-discrimination measures, including accessibility requirements, necessary adjustments, and the prevention of harassment. These necessary adjustments encompass modifications to the physical, social, and attitudinal environment to address the specific needs of disabled individuals. These problems manifest not only in the private sector but also within public services, where state agents demonstrate deficient training and sensitivity regarding disability and accessibility matters.</w:t>
      </w:r>
    </w:p>
    <w:p w14:paraId="5E12E9B8" w14:textId="77777777" w:rsidR="00077273" w:rsidRPr="00077273" w:rsidRDefault="00077273" w:rsidP="00077273">
      <w:pPr>
        <w:numPr>
          <w:ilvl w:val="0"/>
          <w:numId w:val="17"/>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This failure perpetuates the </w:t>
      </w:r>
      <w:proofErr w:type="spellStart"/>
      <w:r w:rsidRPr="00077273">
        <w:rPr>
          <w:rFonts w:ascii="Arial" w:eastAsia="Times New Roman" w:hAnsi="Arial" w:cs="Arial"/>
          <w:kern w:val="0"/>
          <w:sz w:val="24"/>
          <w:szCs w:val="24"/>
          <w:lang w:val="en-US" w:eastAsia="es-ES"/>
          <w14:ligatures w14:val="none"/>
        </w:rPr>
        <w:t>infantilisation</w:t>
      </w:r>
      <w:proofErr w:type="spellEnd"/>
      <w:r w:rsidRPr="00077273">
        <w:rPr>
          <w:rFonts w:ascii="Arial" w:eastAsia="Times New Roman" w:hAnsi="Arial" w:cs="Arial"/>
          <w:kern w:val="0"/>
          <w:sz w:val="24"/>
          <w:szCs w:val="24"/>
          <w:lang w:val="en-US" w:eastAsia="es-ES"/>
          <w14:ligatures w14:val="none"/>
        </w:rPr>
        <w:t xml:space="preserve"> of disability and a lack of community awareness. A critical example is Law 21,015 on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Inclusion: the obligation to hire a 1% quota of persons with disabilities is unmet—recording only a 40% advancement of the total requirement. Despite proposals to increase this quota to 2%, the absence of effective sanctions prevents progress against discriminatory practices.</w:t>
      </w:r>
    </w:p>
    <w:p w14:paraId="169D1EF3" w14:textId="77777777" w:rsidR="00077273" w:rsidRPr="00077273" w:rsidRDefault="00077273" w:rsidP="00077273">
      <w:pPr>
        <w:numPr>
          <w:ilvl w:val="0"/>
          <w:numId w:val="17"/>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Current legislation also fails to allocate guaranteed financial resources for training or reasonable adjustments. Although there have been </w:t>
      </w:r>
      <w:proofErr w:type="spellStart"/>
      <w:r w:rsidRPr="00077273">
        <w:rPr>
          <w:rFonts w:ascii="Arial" w:eastAsia="Times New Roman" w:hAnsi="Arial" w:cs="Arial"/>
          <w:kern w:val="0"/>
          <w:sz w:val="24"/>
          <w:szCs w:val="24"/>
          <w:lang w:val="en-US" w:eastAsia="es-ES"/>
          <w14:ligatures w14:val="none"/>
        </w:rPr>
        <w:t>favourable</w:t>
      </w:r>
      <w:proofErr w:type="spellEnd"/>
      <w:r w:rsidRPr="00077273">
        <w:rPr>
          <w:rFonts w:ascii="Arial" w:eastAsia="Times New Roman" w:hAnsi="Arial" w:cs="Arial"/>
          <w:kern w:val="0"/>
          <w:sz w:val="24"/>
          <w:szCs w:val="24"/>
          <w:lang w:val="en-US" w:eastAsia="es-ES"/>
          <w14:ligatures w14:val="none"/>
        </w:rPr>
        <w:t xml:space="preserve"> judicial rulings—such as the constitutional protection injunction (</w:t>
      </w:r>
      <w:proofErr w:type="spellStart"/>
      <w:r w:rsidRPr="00077273">
        <w:rPr>
          <w:rFonts w:ascii="Arial" w:eastAsia="Times New Roman" w:hAnsi="Arial" w:cs="Arial"/>
          <w:i/>
          <w:iCs/>
          <w:kern w:val="0"/>
          <w:sz w:val="24"/>
          <w:szCs w:val="24"/>
          <w:lang w:val="en-US" w:eastAsia="es-ES"/>
          <w14:ligatures w14:val="none"/>
        </w:rPr>
        <w:t>recurso</w:t>
      </w:r>
      <w:proofErr w:type="spellEnd"/>
      <w:r w:rsidRPr="00077273">
        <w:rPr>
          <w:rFonts w:ascii="Arial" w:eastAsia="Times New Roman" w:hAnsi="Arial" w:cs="Arial"/>
          <w:i/>
          <w:iCs/>
          <w:kern w:val="0"/>
          <w:sz w:val="24"/>
          <w:szCs w:val="24"/>
          <w:lang w:val="en-US" w:eastAsia="es-ES"/>
          <w14:ligatures w14:val="none"/>
        </w:rPr>
        <w:t xml:space="preserve"> de </w:t>
      </w:r>
      <w:proofErr w:type="spellStart"/>
      <w:r w:rsidRPr="00077273">
        <w:rPr>
          <w:rFonts w:ascii="Arial" w:eastAsia="Times New Roman" w:hAnsi="Arial" w:cs="Arial"/>
          <w:i/>
          <w:iCs/>
          <w:kern w:val="0"/>
          <w:sz w:val="24"/>
          <w:szCs w:val="24"/>
          <w:lang w:val="en-US" w:eastAsia="es-ES"/>
          <w14:ligatures w14:val="none"/>
        </w:rPr>
        <w:t>protección</w:t>
      </w:r>
      <w:proofErr w:type="spellEnd"/>
      <w:r w:rsidRPr="00077273">
        <w:rPr>
          <w:rFonts w:ascii="Arial" w:eastAsia="Times New Roman" w:hAnsi="Arial" w:cs="Arial"/>
          <w:kern w:val="0"/>
          <w:sz w:val="24"/>
          <w:szCs w:val="24"/>
          <w:lang w:val="en-US" w:eastAsia="es-ES"/>
          <w14:ligatures w14:val="none"/>
        </w:rPr>
        <w:t xml:space="preserve">) won by the Deaf community against television channels, where the Court </w:t>
      </w:r>
      <w:proofErr w:type="spellStart"/>
      <w:r w:rsidRPr="00077273">
        <w:rPr>
          <w:rFonts w:ascii="Arial" w:eastAsia="Times New Roman" w:hAnsi="Arial" w:cs="Arial"/>
          <w:kern w:val="0"/>
          <w:sz w:val="24"/>
          <w:szCs w:val="24"/>
          <w:lang w:val="en-US" w:eastAsia="es-ES"/>
          <w14:ligatures w14:val="none"/>
        </w:rPr>
        <w:t>recognised</w:t>
      </w:r>
      <w:proofErr w:type="spellEnd"/>
      <w:r w:rsidRPr="00077273">
        <w:rPr>
          <w:rFonts w:ascii="Arial" w:eastAsia="Times New Roman" w:hAnsi="Arial" w:cs="Arial"/>
          <w:kern w:val="0"/>
          <w:sz w:val="24"/>
          <w:szCs w:val="24"/>
          <w:lang w:val="en-US" w:eastAsia="es-ES"/>
          <w14:ligatures w14:val="none"/>
        </w:rPr>
        <w:t xml:space="preserve"> the breach of law even in the absence of an active enforcement regulation—the average institutional response to citizen complaints remains </w:t>
      </w:r>
      <w:proofErr w:type="spellStart"/>
      <w:r w:rsidRPr="00077273">
        <w:rPr>
          <w:rFonts w:ascii="Arial" w:eastAsia="Times New Roman" w:hAnsi="Arial" w:cs="Arial"/>
          <w:kern w:val="0"/>
          <w:sz w:val="24"/>
          <w:szCs w:val="24"/>
          <w:lang w:val="en-US" w:eastAsia="es-ES"/>
          <w14:ligatures w14:val="none"/>
        </w:rPr>
        <w:t>characterised</w:t>
      </w:r>
      <w:proofErr w:type="spellEnd"/>
      <w:r w:rsidRPr="00077273">
        <w:rPr>
          <w:rFonts w:ascii="Arial" w:eastAsia="Times New Roman" w:hAnsi="Arial" w:cs="Arial"/>
          <w:kern w:val="0"/>
          <w:sz w:val="24"/>
          <w:szCs w:val="24"/>
          <w:lang w:val="en-US" w:eastAsia="es-ES"/>
          <w14:ligatures w14:val="none"/>
        </w:rPr>
        <w:t xml:space="preserve"> by bureaucratic delay. This is worsened by the fact that affected individuals frequently tend not to </w:t>
      </w:r>
      <w:proofErr w:type="spellStart"/>
      <w:r w:rsidRPr="00077273">
        <w:rPr>
          <w:rFonts w:ascii="Arial" w:eastAsia="Times New Roman" w:hAnsi="Arial" w:cs="Arial"/>
          <w:kern w:val="0"/>
          <w:sz w:val="24"/>
          <w:szCs w:val="24"/>
          <w:lang w:val="en-US" w:eastAsia="es-ES"/>
          <w14:ligatures w14:val="none"/>
        </w:rPr>
        <w:t>formalise</w:t>
      </w:r>
      <w:proofErr w:type="spellEnd"/>
      <w:r w:rsidRPr="00077273">
        <w:rPr>
          <w:rFonts w:ascii="Arial" w:eastAsia="Times New Roman" w:hAnsi="Arial" w:cs="Arial"/>
          <w:kern w:val="0"/>
          <w:sz w:val="24"/>
          <w:szCs w:val="24"/>
          <w:lang w:val="en-US" w:eastAsia="es-ES"/>
          <w14:ligatures w14:val="none"/>
        </w:rPr>
        <w:t xml:space="preserve"> their complaints.</w:t>
      </w:r>
    </w:p>
    <w:p w14:paraId="24B9015B"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14. Environmental Barriers, Accessibility, and Infrastructure</w:t>
      </w:r>
    </w:p>
    <w:p w14:paraId="6875D8EC"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Structural deficiencies are aggravated in regional and rural zones, given that the majority of technical reports are drafted with a focus on the central region of the country. In the city of Arica, the urban environment is ill-prepared for visual impairment and reduced mobility: streets suffer from severe deterioration, roundabouts lack accessible crossings, and traffic lights lack audible signals, forcing wheelchair users, for example, to travel on the vehicle carriageway. The same applies to public toilets within state services; the vast majority of public offices lack universal design.</w:t>
      </w:r>
    </w:p>
    <w:p w14:paraId="0C0FBFE9" w14:textId="77777777" w:rsidR="00077273" w:rsidRPr="00077273" w:rsidRDefault="00077273" w:rsidP="00077273">
      <w:pPr>
        <w:numPr>
          <w:ilvl w:val="0"/>
          <w:numId w:val="18"/>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Public and institutional infrastructure also infringes upon fundamental rights. Reports indicate municipal traffic offices located in basements that block access to obtaining driving </w:t>
      </w:r>
      <w:proofErr w:type="spellStart"/>
      <w:r w:rsidRPr="00077273">
        <w:rPr>
          <w:rFonts w:ascii="Arial" w:eastAsia="Times New Roman" w:hAnsi="Arial" w:cs="Arial"/>
          <w:kern w:val="0"/>
          <w:sz w:val="24"/>
          <w:szCs w:val="24"/>
          <w:lang w:val="en-US" w:eastAsia="es-ES"/>
          <w14:ligatures w14:val="none"/>
        </w:rPr>
        <w:t>licences</w:t>
      </w:r>
      <w:proofErr w:type="spellEnd"/>
      <w:r w:rsidRPr="00077273">
        <w:rPr>
          <w:rFonts w:ascii="Arial" w:eastAsia="Times New Roman" w:hAnsi="Arial" w:cs="Arial"/>
          <w:kern w:val="0"/>
          <w:sz w:val="24"/>
          <w:szCs w:val="24"/>
          <w:lang w:val="en-US" w:eastAsia="es-ES"/>
          <w14:ligatures w14:val="none"/>
        </w:rPr>
        <w:t>, unreachable hospital information kiosks (</w:t>
      </w:r>
      <w:proofErr w:type="spellStart"/>
      <w:r w:rsidRPr="00077273">
        <w:rPr>
          <w:rFonts w:ascii="Arial" w:eastAsia="Times New Roman" w:hAnsi="Arial" w:cs="Arial"/>
          <w:i/>
          <w:iCs/>
          <w:kern w:val="0"/>
          <w:sz w:val="24"/>
          <w:szCs w:val="24"/>
          <w:lang w:val="en-US" w:eastAsia="es-ES"/>
          <w14:ligatures w14:val="none"/>
        </w:rPr>
        <w:t>tótems</w:t>
      </w:r>
      <w:proofErr w:type="spellEnd"/>
      <w:r w:rsidRPr="00077273">
        <w:rPr>
          <w:rFonts w:ascii="Arial" w:eastAsia="Times New Roman" w:hAnsi="Arial" w:cs="Arial"/>
          <w:kern w:val="0"/>
          <w:sz w:val="24"/>
          <w:szCs w:val="24"/>
          <w:lang w:val="en-US" w:eastAsia="es-ES"/>
          <w14:ligatures w14:val="none"/>
        </w:rPr>
        <w:t xml:space="preserve">), and Primary Healthcare </w:t>
      </w:r>
      <w:proofErr w:type="spellStart"/>
      <w:r w:rsidRPr="00077273">
        <w:rPr>
          <w:rFonts w:ascii="Arial" w:eastAsia="Times New Roman" w:hAnsi="Arial" w:cs="Arial"/>
          <w:kern w:val="0"/>
          <w:sz w:val="24"/>
          <w:szCs w:val="24"/>
          <w:lang w:val="en-US" w:eastAsia="es-ES"/>
          <w14:ligatures w14:val="none"/>
        </w:rPr>
        <w:t>Centres</w:t>
      </w:r>
      <w:proofErr w:type="spellEnd"/>
      <w:r w:rsidRPr="00077273">
        <w:rPr>
          <w:rFonts w:ascii="Arial" w:eastAsia="Times New Roman" w:hAnsi="Arial" w:cs="Arial"/>
          <w:kern w:val="0"/>
          <w:sz w:val="24"/>
          <w:szCs w:val="24"/>
          <w:lang w:val="en-US" w:eastAsia="es-ES"/>
          <w14:ligatures w14:val="none"/>
        </w:rPr>
        <w:t xml:space="preserve"> (CESFAM) or public buildings with doors too narrow to accommodate sports wheelchairs. Added to this is the obstruction of public spaces by vehicles parked on pavements—as occurs at the </w:t>
      </w:r>
      <w:proofErr w:type="spellStart"/>
      <w:r w:rsidRPr="00077273">
        <w:rPr>
          <w:rFonts w:ascii="Arial" w:eastAsia="Times New Roman" w:hAnsi="Arial" w:cs="Arial"/>
          <w:kern w:val="0"/>
          <w:sz w:val="24"/>
          <w:szCs w:val="24"/>
          <w:lang w:val="en-US" w:eastAsia="es-ES"/>
          <w14:ligatures w14:val="none"/>
        </w:rPr>
        <w:t>Bertín</w:t>
      </w:r>
      <w:proofErr w:type="spellEnd"/>
      <w:r w:rsidRPr="00077273">
        <w:rPr>
          <w:rFonts w:ascii="Arial" w:eastAsia="Times New Roman" w:hAnsi="Arial" w:cs="Arial"/>
          <w:kern w:val="0"/>
          <w:sz w:val="24"/>
          <w:szCs w:val="24"/>
          <w:lang w:val="en-US" w:eastAsia="es-ES"/>
          <w14:ligatures w14:val="none"/>
        </w:rPr>
        <w:t xml:space="preserve"> Soto CESFAM and at Chinchorro and Las Machas </w:t>
      </w:r>
      <w:r w:rsidRPr="00077273">
        <w:rPr>
          <w:rFonts w:ascii="Arial" w:eastAsia="Times New Roman" w:hAnsi="Arial" w:cs="Arial"/>
          <w:kern w:val="0"/>
          <w:sz w:val="24"/>
          <w:szCs w:val="24"/>
          <w:lang w:val="en-US" w:eastAsia="es-ES"/>
          <w14:ligatures w14:val="none"/>
        </w:rPr>
        <w:lastRenderedPageBreak/>
        <w:t>beaches—completely blocking pedestrian traffic, wheelchair users, and blind individuals.</w:t>
      </w:r>
    </w:p>
    <w:p w14:paraId="53420FE1" w14:textId="77777777" w:rsidR="00077273" w:rsidRPr="00077273" w:rsidRDefault="00077273" w:rsidP="00077273">
      <w:pPr>
        <w:numPr>
          <w:ilvl w:val="0"/>
          <w:numId w:val="18"/>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Public officials trained in sign language communication are exceedingly scarce, which has frequently resulted in the non-recognition and disrespect of Deaf individuals.</w:t>
      </w:r>
    </w:p>
    <w:p w14:paraId="28681A75" w14:textId="77777777" w:rsidR="00077273" w:rsidRPr="00077273" w:rsidRDefault="00077273" w:rsidP="00077273">
      <w:pPr>
        <w:numPr>
          <w:ilvl w:val="0"/>
          <w:numId w:val="18"/>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Regarding public transport access, negotiations with authorities consistently fail because the service is neither publicly owned nor compliant with accessibility standards. According to testimonies from those affected, inspections are rare and complaints almost never result in a penalty.</w:t>
      </w:r>
    </w:p>
    <w:p w14:paraId="3CCBCDAD" w14:textId="77777777" w:rsidR="00077273" w:rsidRPr="00077273" w:rsidRDefault="00077273" w:rsidP="00077273">
      <w:pPr>
        <w:numPr>
          <w:ilvl w:val="0"/>
          <w:numId w:val="18"/>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Public services largely lack signage indicating ramp access, as seen at the Municipality of Arica and the University of Tarapacá. Where these ramps do exist, they frequently fail to meet legal standards. In Chile, ramp regulations are defined by the Universal Accessibility Law (Law 20,422) and detailed in Article 4.1.7 of the General Ordinance of Urbanism and Constructions (OGUC), which requires pedestrian ramps to be non-slip, have a minimum width of 1.20 </w:t>
      </w:r>
      <w:proofErr w:type="spellStart"/>
      <w:r w:rsidRPr="00077273">
        <w:rPr>
          <w:rFonts w:ascii="Arial" w:eastAsia="Times New Roman" w:hAnsi="Arial" w:cs="Arial"/>
          <w:kern w:val="0"/>
          <w:sz w:val="24"/>
          <w:szCs w:val="24"/>
          <w:lang w:val="en-US" w:eastAsia="es-ES"/>
          <w14:ligatures w14:val="none"/>
        </w:rPr>
        <w:t>metres</w:t>
      </w:r>
      <w:proofErr w:type="spellEnd"/>
      <w:r w:rsidRPr="00077273">
        <w:rPr>
          <w:rFonts w:ascii="Arial" w:eastAsia="Times New Roman" w:hAnsi="Arial" w:cs="Arial"/>
          <w:kern w:val="0"/>
          <w:sz w:val="24"/>
          <w:szCs w:val="24"/>
          <w:lang w:val="en-US" w:eastAsia="es-ES"/>
          <w14:ligatures w14:val="none"/>
        </w:rPr>
        <w:t>, and a maximum gradient varying between 8% and 12% depending on their length.</w:t>
      </w:r>
    </w:p>
    <w:p w14:paraId="719E3126"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19. Carers: Healthcare, Education, and Other Public Services</w:t>
      </w:r>
    </w:p>
    <w:p w14:paraId="5CD06DB2"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The current assessment system suffers from severe methodological flaws. </w:t>
      </w:r>
      <w:proofErr w:type="spellStart"/>
      <w:r w:rsidRPr="00077273">
        <w:rPr>
          <w:rFonts w:ascii="Arial" w:eastAsia="Times New Roman" w:hAnsi="Arial" w:cs="Arial"/>
          <w:kern w:val="0"/>
          <w:sz w:val="24"/>
          <w:szCs w:val="24"/>
          <w:lang w:val="en-US" w:eastAsia="es-ES"/>
          <w14:ligatures w14:val="none"/>
        </w:rPr>
        <w:t>Standardised</w:t>
      </w:r>
      <w:proofErr w:type="spellEnd"/>
      <w:r w:rsidRPr="00077273">
        <w:rPr>
          <w:rFonts w:ascii="Arial" w:eastAsia="Times New Roman" w:hAnsi="Arial" w:cs="Arial"/>
          <w:kern w:val="0"/>
          <w:sz w:val="24"/>
          <w:szCs w:val="24"/>
          <w:lang w:val="en-US" w:eastAsia="es-ES"/>
          <w14:ligatures w14:val="none"/>
        </w:rPr>
        <w:t xml:space="preserve"> instruments like the IVADEC do not differentiate responses according to the type of disability, leading to erroneous diagnoses, particularly for invisible or invalidating disabilities. Furthermore, the dependency assessment tool used in Primary Healthcare (APS) is poorly designed, as it restricts financial stipends solely to carers of bedbound individuals. Despite these shortcomings being repeatedly raised at working groups, authorities have failed to implement the necessary adjustments. On the other hand, technical aids are not guaranteed by right; instead, they depend on a competitive application system and a lengthy project funding queue. Carers report ill-treatment, long waits without priority access for disabled individuals, and a lack of recognition of their carer credentials at the Juan Noé Crevani Regional Hospital, with similar cases reported in Family Courts and the Municipality of Arica.</w:t>
      </w:r>
    </w:p>
    <w:p w14:paraId="430D3F46" w14:textId="77777777" w:rsidR="00077273" w:rsidRPr="00077273" w:rsidRDefault="00077273" w:rsidP="00077273">
      <w:pPr>
        <w:numPr>
          <w:ilvl w:val="0"/>
          <w:numId w:val="19"/>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In the educational and healthcare sectors, the absence of reasonable adjustments forces the </w:t>
      </w:r>
      <w:proofErr w:type="spellStart"/>
      <w:r w:rsidRPr="00077273">
        <w:rPr>
          <w:rFonts w:ascii="Arial" w:eastAsia="Times New Roman" w:hAnsi="Arial" w:cs="Arial"/>
          <w:kern w:val="0"/>
          <w:sz w:val="24"/>
          <w:szCs w:val="24"/>
          <w:lang w:val="en-US" w:eastAsia="es-ES"/>
          <w14:ligatures w14:val="none"/>
        </w:rPr>
        <w:t>judicialisation</w:t>
      </w:r>
      <w:proofErr w:type="spellEnd"/>
      <w:r w:rsidRPr="00077273">
        <w:rPr>
          <w:rFonts w:ascii="Arial" w:eastAsia="Times New Roman" w:hAnsi="Arial" w:cs="Arial"/>
          <w:kern w:val="0"/>
          <w:sz w:val="24"/>
          <w:szCs w:val="24"/>
          <w:lang w:val="en-US" w:eastAsia="es-ES"/>
          <w14:ligatures w14:val="none"/>
        </w:rPr>
        <w:t xml:space="preserve"> of cases. The School Integration </w:t>
      </w:r>
      <w:proofErr w:type="spellStart"/>
      <w:r w:rsidRPr="00077273">
        <w:rPr>
          <w:rFonts w:ascii="Arial" w:eastAsia="Times New Roman" w:hAnsi="Arial" w:cs="Arial"/>
          <w:kern w:val="0"/>
          <w:sz w:val="24"/>
          <w:szCs w:val="24"/>
          <w:lang w:val="en-US" w:eastAsia="es-ES"/>
          <w14:ligatures w14:val="none"/>
        </w:rPr>
        <w:t>Programme</w:t>
      </w:r>
      <w:proofErr w:type="spellEnd"/>
      <w:r w:rsidRPr="00077273">
        <w:rPr>
          <w:rFonts w:ascii="Arial" w:eastAsia="Times New Roman" w:hAnsi="Arial" w:cs="Arial"/>
          <w:kern w:val="0"/>
          <w:sz w:val="24"/>
          <w:szCs w:val="24"/>
          <w:lang w:val="en-US" w:eastAsia="es-ES"/>
          <w14:ligatures w14:val="none"/>
        </w:rPr>
        <w:t xml:space="preserve"> (PIE) is restricted almost exclusively to the Local Public Education Service (SLEP), whereas private schools offer a meagre two or three places per classroom, forcing families to privately fund tutors.</w:t>
      </w:r>
    </w:p>
    <w:p w14:paraId="6E4132B3" w14:textId="77777777" w:rsidR="00077273" w:rsidRPr="00077273" w:rsidRDefault="00077273" w:rsidP="00077273">
      <w:pPr>
        <w:numPr>
          <w:ilvl w:val="0"/>
          <w:numId w:val="19"/>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Finally, the daily reality of carers is defined by a severe shortage of time and low technical training. In the banking sector, entities like Banco Estado engage in institutional arbitrariness and discrimination: despite having signed up to the Carers Law following SENADIS mediation, treatment varies wildly between branches, to the extent of groundlessly demanding a declaration of civil interdiction before serving individuals with Down's syndrome or autism.</w:t>
      </w:r>
    </w:p>
    <w:p w14:paraId="5642E7CD"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n-US" w:eastAsia="es-ES"/>
          <w14:ligatures w14:val="none"/>
        </w:rPr>
      </w:pPr>
      <w:r w:rsidRPr="00077273">
        <w:rPr>
          <w:rFonts w:ascii="Arial" w:eastAsia="Times New Roman" w:hAnsi="Arial" w:cs="Arial"/>
          <w:b/>
          <w:bCs/>
          <w:kern w:val="0"/>
          <w:sz w:val="27"/>
          <w:szCs w:val="27"/>
          <w:lang w:val="en-US" w:eastAsia="es-ES"/>
          <w14:ligatures w14:val="none"/>
        </w:rPr>
        <w:lastRenderedPageBreak/>
        <w:t>Landmark Cases</w:t>
      </w:r>
    </w:p>
    <w:p w14:paraId="5FC3772A"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22. Ethical Crisis, Ill-treatment, and Lack of Regulation in Interpretation for Deaf Persons</w:t>
      </w:r>
    </w:p>
    <w:p w14:paraId="68BF8256"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Deaf community faces acute vulnerability due to a complete absence of regulation and oversight of sign language interpreters. It is repeatedly reported that many of these professionals charge extortionate fees for a single administrative procedure. This situation is further compounded by breaches of professional ethics and neutrality, with systematic violations of user confidentiality.</w:t>
      </w:r>
    </w:p>
    <w:p w14:paraId="15F815A8" w14:textId="77777777" w:rsidR="00077273" w:rsidRPr="00077273" w:rsidRDefault="00077273" w:rsidP="00077273">
      <w:pPr>
        <w:numPr>
          <w:ilvl w:val="0"/>
          <w:numId w:val="20"/>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Furthermore, many interpreters stand accused of engaging in acts of discrimination, abuse, and psychological violence. Testimonies show that users are disrespected, scolded, intimidated, coerced, and frequently subjected to </w:t>
      </w:r>
      <w:proofErr w:type="spellStart"/>
      <w:r w:rsidRPr="00077273">
        <w:rPr>
          <w:rFonts w:ascii="Arial" w:eastAsia="Times New Roman" w:hAnsi="Arial" w:cs="Arial"/>
          <w:kern w:val="0"/>
          <w:sz w:val="24"/>
          <w:szCs w:val="24"/>
          <w:lang w:val="en-US" w:eastAsia="es-ES"/>
          <w14:ligatures w14:val="none"/>
        </w:rPr>
        <w:t>infantilisation</w:t>
      </w:r>
      <w:proofErr w:type="spellEnd"/>
      <w:r w:rsidRPr="00077273">
        <w:rPr>
          <w:rFonts w:ascii="Arial" w:eastAsia="Times New Roman" w:hAnsi="Arial" w:cs="Arial"/>
          <w:kern w:val="0"/>
          <w:sz w:val="24"/>
          <w:szCs w:val="24"/>
          <w:lang w:val="en-US" w:eastAsia="es-ES"/>
          <w14:ligatures w14:val="none"/>
        </w:rPr>
        <w:t xml:space="preserve"> as adult Deaf individuals. Professionals take advantage of the literacy barriers affecting a segment of this population, charging disproportionate amounts for simple procedures. Meanwhile, current legislation fails to offer an adequate protective framework for regulated interpreters.</w:t>
      </w:r>
    </w:p>
    <w:p w14:paraId="69637D89"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24. Institutional Violence and Barriers in Public Service Delivery</w:t>
      </w:r>
    </w:p>
    <w:p w14:paraId="28D3D0C1"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Public and healthcare services in Arica are </w:t>
      </w:r>
      <w:proofErr w:type="spellStart"/>
      <w:r w:rsidRPr="00077273">
        <w:rPr>
          <w:rFonts w:ascii="Arial" w:eastAsia="Times New Roman" w:hAnsi="Arial" w:cs="Arial"/>
          <w:kern w:val="0"/>
          <w:sz w:val="24"/>
          <w:szCs w:val="24"/>
          <w:lang w:val="en-US" w:eastAsia="es-ES"/>
          <w14:ligatures w14:val="none"/>
        </w:rPr>
        <w:t>characterised</w:t>
      </w:r>
      <w:proofErr w:type="spellEnd"/>
      <w:r w:rsidRPr="00077273">
        <w:rPr>
          <w:rFonts w:ascii="Arial" w:eastAsia="Times New Roman" w:hAnsi="Arial" w:cs="Arial"/>
          <w:kern w:val="0"/>
          <w:sz w:val="24"/>
          <w:szCs w:val="24"/>
          <w:lang w:val="en-US" w:eastAsia="es-ES"/>
          <w14:ligatures w14:val="none"/>
        </w:rPr>
        <w:t xml:space="preserve"> by a profound lack of empathy, discrimination, and mistreatment by officials. The healthcare workforce, in particular, fails to make efforts to establish effective communication, occasionally imposing medical instructions aggressively and without considering the patient's needs. A critical reflection of this institutional unpreparedness occurs during police procedures; cases are reported where Carabineros, during identity checks, insist on communicating verbally even after the individual has explicitly stated their deafness. At an administrative level, indirect employment and pension violations are also observed, such as the salary reduction of a worker after 30 years of service simply because their spouse obtained a disability pension, demonstrating a punitive and discriminatory institutional approach.</w:t>
      </w:r>
    </w:p>
    <w:p w14:paraId="60FC49BD" w14:textId="77777777" w:rsidR="00077273" w:rsidRPr="00077273" w:rsidRDefault="00077273" w:rsidP="00077273">
      <w:pPr>
        <w:numPr>
          <w:ilvl w:val="0"/>
          <w:numId w:val="21"/>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Illiteracy and reading difficulties affecting many Deaf individuals severely limit their autonomy, forcing them to rely on constant accompaniment for everyday tasks. Although the Juan Noé Crevani Regional Hospital employs two interpreters, coverage is insufficient, particularly at front-desk reception areas and outside the facilitators' working hours, which are restricted to 08:00 to 17:00. Technological alternatives, such as video-call services with remote interpreters, do not solve the problem, as their interface represents a highly complex barrier for many users.</w:t>
      </w:r>
    </w:p>
    <w:p w14:paraId="49A5B864" w14:textId="77777777" w:rsidR="00077273" w:rsidRPr="00077273" w:rsidRDefault="00077273" w:rsidP="00077273">
      <w:pPr>
        <w:numPr>
          <w:ilvl w:val="0"/>
          <w:numId w:val="21"/>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This communication gap directly impacts healthcare access and state benefits:</w:t>
      </w:r>
    </w:p>
    <w:p w14:paraId="759FC145" w14:textId="77777777" w:rsidR="00077273" w:rsidRPr="00077273" w:rsidRDefault="00077273" w:rsidP="00077273">
      <w:pPr>
        <w:numPr>
          <w:ilvl w:val="0"/>
          <w:numId w:val="22"/>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lastRenderedPageBreak/>
        <w:t>Loss of medical care:</w:t>
      </w:r>
      <w:r w:rsidRPr="00077273">
        <w:rPr>
          <w:rFonts w:ascii="Arial" w:eastAsia="Times New Roman" w:hAnsi="Arial" w:cs="Arial"/>
          <w:kern w:val="0"/>
          <w:sz w:val="24"/>
          <w:szCs w:val="24"/>
          <w:lang w:val="en-US" w:eastAsia="es-ES"/>
          <w14:ligatures w14:val="none"/>
        </w:rPr>
        <w:t xml:space="preserve"> The health system manages appointment scheduling through voice telephone calls, which cannot be heard or answered, causing the systematic loss of medical appointments.</w:t>
      </w:r>
    </w:p>
    <w:p w14:paraId="0CC67851" w14:textId="77777777" w:rsidR="00077273" w:rsidRPr="00077273" w:rsidRDefault="00077273" w:rsidP="00077273">
      <w:pPr>
        <w:numPr>
          <w:ilvl w:val="0"/>
          <w:numId w:val="22"/>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Exclusion from social benefits:</w:t>
      </w:r>
      <w:r w:rsidRPr="00077273">
        <w:rPr>
          <w:rFonts w:ascii="Arial" w:eastAsia="Times New Roman" w:hAnsi="Arial" w:cs="Arial"/>
          <w:kern w:val="0"/>
          <w:sz w:val="24"/>
          <w:szCs w:val="24"/>
          <w:lang w:val="en-US" w:eastAsia="es-ES"/>
          <w14:ligatures w14:val="none"/>
        </w:rPr>
        <w:t xml:space="preserve"> The absence of accessible information prevents the Deaf community from applying for essential subsidies, such as exemptions or assistance for water bills or local municipal waste collection charges.</w:t>
      </w:r>
    </w:p>
    <w:p w14:paraId="350285D5" w14:textId="77777777" w:rsidR="00077273" w:rsidRPr="00077273" w:rsidRDefault="00077273" w:rsidP="00077273">
      <w:pPr>
        <w:spacing w:before="100" w:beforeAutospacing="1" w:after="100" w:afterAutospacing="1" w:line="240" w:lineRule="auto"/>
        <w:outlineLvl w:val="3"/>
        <w:rPr>
          <w:rFonts w:ascii="Arial" w:eastAsia="Times New Roman" w:hAnsi="Arial" w:cs="Arial"/>
          <w:b/>
          <w:bCs/>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 xml:space="preserve">27. Economic </w:t>
      </w:r>
      <w:proofErr w:type="spellStart"/>
      <w:r w:rsidRPr="00077273">
        <w:rPr>
          <w:rFonts w:ascii="Arial" w:eastAsia="Times New Roman" w:hAnsi="Arial" w:cs="Arial"/>
          <w:b/>
          <w:bCs/>
          <w:kern w:val="0"/>
          <w:sz w:val="24"/>
          <w:szCs w:val="24"/>
          <w:lang w:val="en-US" w:eastAsia="es-ES"/>
          <w14:ligatures w14:val="none"/>
        </w:rPr>
        <w:t>Precariety</w:t>
      </w:r>
      <w:proofErr w:type="spellEnd"/>
      <w:r w:rsidRPr="00077273">
        <w:rPr>
          <w:rFonts w:ascii="Arial" w:eastAsia="Times New Roman" w:hAnsi="Arial" w:cs="Arial"/>
          <w:b/>
          <w:bCs/>
          <w:kern w:val="0"/>
          <w:sz w:val="24"/>
          <w:szCs w:val="24"/>
          <w:lang w:val="en-US" w:eastAsia="es-ES"/>
          <w14:ligatures w14:val="none"/>
        </w:rPr>
        <w:t xml:space="preserve"> and Residential Barriers</w:t>
      </w:r>
    </w:p>
    <w:p w14:paraId="3CD4FE04" w14:textId="77777777" w:rsidR="00077273" w:rsidRPr="00077273" w:rsidRDefault="00077273" w:rsidP="00077273">
      <w:p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The economic survival of independent Deaf individuals is highly complex due to low pension amounts and barriers to entering the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market. This </w:t>
      </w:r>
      <w:proofErr w:type="spellStart"/>
      <w:r w:rsidRPr="00077273">
        <w:rPr>
          <w:rFonts w:ascii="Arial" w:eastAsia="Times New Roman" w:hAnsi="Arial" w:cs="Arial"/>
          <w:kern w:val="0"/>
          <w:sz w:val="24"/>
          <w:szCs w:val="24"/>
          <w:lang w:val="en-US" w:eastAsia="es-ES"/>
          <w14:ligatures w14:val="none"/>
        </w:rPr>
        <w:t>precariety</w:t>
      </w:r>
      <w:proofErr w:type="spellEnd"/>
      <w:r w:rsidRPr="00077273">
        <w:rPr>
          <w:rFonts w:ascii="Arial" w:eastAsia="Times New Roman" w:hAnsi="Arial" w:cs="Arial"/>
          <w:kern w:val="0"/>
          <w:sz w:val="24"/>
          <w:szCs w:val="24"/>
          <w:lang w:val="en-US" w:eastAsia="es-ES"/>
          <w14:ligatures w14:val="none"/>
        </w:rPr>
        <w:t xml:space="preserve"> is illustrated by individuals living alone in apartment buildings under co-ownership rules, who must autonomously cover basic service charges, utility bills, and municipal waste fees out of minimal incomes, without targeted support frameworks or cushions to offset the local cost of living.</w:t>
      </w:r>
    </w:p>
    <w:p w14:paraId="5221BDC9"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bCs/>
          <w:kern w:val="0"/>
          <w:sz w:val="24"/>
          <w:szCs w:val="24"/>
          <w:lang w:val="en-US" w:eastAsia="es-ES"/>
          <w14:ligatures w14:val="none"/>
        </w:rPr>
        <w:t xml:space="preserve">Discriminatory Practices in the </w:t>
      </w:r>
      <w:proofErr w:type="spellStart"/>
      <w:r w:rsidRPr="00077273">
        <w:rPr>
          <w:rFonts w:ascii="Arial" w:eastAsia="Times New Roman" w:hAnsi="Arial" w:cs="Arial"/>
          <w:b/>
          <w:bCs/>
          <w:kern w:val="0"/>
          <w:sz w:val="24"/>
          <w:szCs w:val="24"/>
          <w:lang w:val="en-US" w:eastAsia="es-ES"/>
          <w14:ligatures w14:val="none"/>
        </w:rPr>
        <w:t>Labour</w:t>
      </w:r>
      <w:proofErr w:type="spellEnd"/>
      <w:r w:rsidRPr="00077273">
        <w:rPr>
          <w:rFonts w:ascii="Arial" w:eastAsia="Times New Roman" w:hAnsi="Arial" w:cs="Arial"/>
          <w:b/>
          <w:bCs/>
          <w:kern w:val="0"/>
          <w:sz w:val="24"/>
          <w:szCs w:val="24"/>
          <w:lang w:val="en-US" w:eastAsia="es-ES"/>
          <w14:ligatures w14:val="none"/>
        </w:rPr>
        <w:t xml:space="preserve"> Market:</w:t>
      </w:r>
      <w:r w:rsidRPr="00077273">
        <w:rPr>
          <w:rFonts w:ascii="Arial" w:eastAsia="Times New Roman" w:hAnsi="Arial" w:cs="Arial"/>
          <w:kern w:val="0"/>
          <w:sz w:val="24"/>
          <w:szCs w:val="24"/>
          <w:lang w:val="en-US" w:eastAsia="es-ES"/>
          <w14:ligatures w14:val="none"/>
        </w:rPr>
        <w:t xml:space="preserve"> The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market frequently engages in discriminatory practices, dismissing workers under biased criteria such as "slowness" or without any apparent justification, failing to value the contributions of disabled individuals to civil society. The same occurs during job interviews, as was the case for Claudio Orellana, who was excluded mid-interview due to his visual impairment. Another example is Donovan Tobon Ríos, a 35-year-old from Arica who lives with his family and has an intellectual disability. For four years he has sought employment; his immense desire to work, be useful, and earn a living through his own effort has been to no avail. Donovan has enrolled in various training courses with the National Training and Employment Service (SENCE), completed specific </w:t>
      </w:r>
      <w:proofErr w:type="spellStart"/>
      <w:r w:rsidRPr="00077273">
        <w:rPr>
          <w:rFonts w:ascii="Arial" w:eastAsia="Times New Roman" w:hAnsi="Arial" w:cs="Arial"/>
          <w:kern w:val="0"/>
          <w:sz w:val="24"/>
          <w:szCs w:val="24"/>
          <w:lang w:val="en-US" w:eastAsia="es-ES"/>
          <w14:ligatures w14:val="none"/>
        </w:rPr>
        <w:t>programmes</w:t>
      </w:r>
      <w:proofErr w:type="spellEnd"/>
      <w:r w:rsidRPr="00077273">
        <w:rPr>
          <w:rFonts w:ascii="Arial" w:eastAsia="Times New Roman" w:hAnsi="Arial" w:cs="Arial"/>
          <w:kern w:val="0"/>
          <w:sz w:val="24"/>
          <w:szCs w:val="24"/>
          <w:lang w:val="en-US" w:eastAsia="es-ES"/>
          <w14:ligatures w14:val="none"/>
        </w:rPr>
        <w:t xml:space="preserve"> for persons with disabilities, attended classes, studied, and finished every workshop with outstanding marks, yet without results. He has visited job fairs, knocked on the doors of the Municipal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Information Office (OMIL), and submitted his CV to dozens of local firms in Arica, only to receive a standard "we will call you" that never </w:t>
      </w:r>
      <w:proofErr w:type="spellStart"/>
      <w:r w:rsidRPr="00077273">
        <w:rPr>
          <w:rFonts w:ascii="Arial" w:eastAsia="Times New Roman" w:hAnsi="Arial" w:cs="Arial"/>
          <w:kern w:val="0"/>
          <w:sz w:val="24"/>
          <w:szCs w:val="24"/>
          <w:lang w:val="en-US" w:eastAsia="es-ES"/>
          <w14:ligatures w14:val="none"/>
        </w:rPr>
        <w:t>materialises</w:t>
      </w:r>
      <w:proofErr w:type="spellEnd"/>
      <w:r w:rsidRPr="00077273">
        <w:rPr>
          <w:rFonts w:ascii="Arial" w:eastAsia="Times New Roman" w:hAnsi="Arial" w:cs="Arial"/>
          <w:kern w:val="0"/>
          <w:sz w:val="24"/>
          <w:szCs w:val="24"/>
          <w:lang w:val="en-US" w:eastAsia="es-ES"/>
          <w14:ligatures w14:val="none"/>
        </w:rPr>
        <w:t>. This ordeal has caused dejection, anxiety, and a blow to Donovan's morale, yet he persists in trying to find the opportunity he waits for, but which the community has failed to deliver due to deep-seated fears and social prejudices.</w:t>
      </w:r>
    </w:p>
    <w:p w14:paraId="737ABC28"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kern w:val="0"/>
          <w:sz w:val="24"/>
          <w:szCs w:val="24"/>
          <w:lang w:val="en-US" w:eastAsia="es-ES"/>
          <w14:ligatures w14:val="none"/>
        </w:rPr>
        <w:t xml:space="preserve">The testimony of Sheila Sánchez </w:t>
      </w:r>
      <w:proofErr w:type="spellStart"/>
      <w:r w:rsidRPr="00077273">
        <w:rPr>
          <w:rFonts w:ascii="Arial" w:eastAsia="Times New Roman" w:hAnsi="Arial" w:cs="Arial"/>
          <w:b/>
          <w:kern w:val="0"/>
          <w:sz w:val="24"/>
          <w:szCs w:val="24"/>
          <w:lang w:val="en-US" w:eastAsia="es-ES"/>
          <w14:ligatures w14:val="none"/>
        </w:rPr>
        <w:t>Copaja</w:t>
      </w:r>
      <w:proofErr w:type="spellEnd"/>
      <w:r w:rsidRPr="00077273">
        <w:rPr>
          <w:rFonts w:ascii="Arial" w:eastAsia="Times New Roman" w:hAnsi="Arial" w:cs="Arial"/>
          <w:kern w:val="0"/>
          <w:sz w:val="24"/>
          <w:szCs w:val="24"/>
          <w:lang w:val="en-US" w:eastAsia="es-ES"/>
          <w14:ligatures w14:val="none"/>
        </w:rPr>
        <w:t xml:space="preserve"> exposes the profound structural barriers and systematic discrimination faced by the population with disabilities in Chile, </w:t>
      </w:r>
      <w:proofErr w:type="spellStart"/>
      <w:r w:rsidRPr="00077273">
        <w:rPr>
          <w:rFonts w:ascii="Arial" w:eastAsia="Times New Roman" w:hAnsi="Arial" w:cs="Arial"/>
          <w:kern w:val="0"/>
          <w:sz w:val="24"/>
          <w:szCs w:val="24"/>
          <w:lang w:val="en-US" w:eastAsia="es-ES"/>
          <w14:ligatures w14:val="none"/>
        </w:rPr>
        <w:t>analysed</w:t>
      </w:r>
      <w:proofErr w:type="spellEnd"/>
      <w:r w:rsidRPr="00077273">
        <w:rPr>
          <w:rFonts w:ascii="Arial" w:eastAsia="Times New Roman" w:hAnsi="Arial" w:cs="Arial"/>
          <w:kern w:val="0"/>
          <w:sz w:val="24"/>
          <w:szCs w:val="24"/>
          <w:lang w:val="en-US" w:eastAsia="es-ES"/>
          <w14:ligatures w14:val="none"/>
        </w:rPr>
        <w:t xml:space="preserve"> through the experience of a professional living with quadriplegia. Despite her academic success, she has had to bypass social prejudices that wrongly link physical disability with intellectual limitations, suffering unfair dismissal and media paternalism during a campaign for the Constitutional Convention that was only made possible by quota laws.</w:t>
      </w:r>
    </w:p>
    <w:p w14:paraId="46913933"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Deficiencies in accessibility and infrastructure remain critical, evidenced by the absence of adapted </w:t>
      </w:r>
      <w:proofErr w:type="spellStart"/>
      <w:r w:rsidRPr="00077273">
        <w:rPr>
          <w:rFonts w:ascii="Arial" w:eastAsia="Times New Roman" w:hAnsi="Arial" w:cs="Arial"/>
          <w:kern w:val="0"/>
          <w:sz w:val="24"/>
          <w:szCs w:val="24"/>
          <w:lang w:val="en-US" w:eastAsia="es-ES"/>
          <w14:ligatures w14:val="none"/>
        </w:rPr>
        <w:t>gynaecological</w:t>
      </w:r>
      <w:proofErr w:type="spellEnd"/>
      <w:r w:rsidRPr="00077273">
        <w:rPr>
          <w:rFonts w:ascii="Arial" w:eastAsia="Times New Roman" w:hAnsi="Arial" w:cs="Arial"/>
          <w:kern w:val="0"/>
          <w:sz w:val="24"/>
          <w:szCs w:val="24"/>
          <w:lang w:val="en-US" w:eastAsia="es-ES"/>
          <w14:ligatures w14:val="none"/>
        </w:rPr>
        <w:t xml:space="preserve"> couches, public and institutional </w:t>
      </w:r>
      <w:r w:rsidRPr="00077273">
        <w:rPr>
          <w:rFonts w:ascii="Arial" w:eastAsia="Times New Roman" w:hAnsi="Arial" w:cs="Arial"/>
          <w:kern w:val="0"/>
          <w:sz w:val="24"/>
          <w:szCs w:val="24"/>
          <w:lang w:val="en-US" w:eastAsia="es-ES"/>
          <w14:ligatures w14:val="none"/>
        </w:rPr>
        <w:lastRenderedPageBreak/>
        <w:t>offices located in basements, and state information channels that exclude deaf and blind individuals by lacking appropriate technology. Similarly, the social protection system suffers from severe design flaws: the Social Registry of Households (</w:t>
      </w:r>
      <w:r w:rsidRPr="00077273">
        <w:rPr>
          <w:rFonts w:ascii="Arial" w:eastAsia="Times New Roman" w:hAnsi="Arial" w:cs="Arial"/>
          <w:i/>
          <w:iCs/>
          <w:kern w:val="0"/>
          <w:sz w:val="24"/>
          <w:szCs w:val="24"/>
          <w:lang w:val="en-US" w:eastAsia="es-ES"/>
          <w14:ligatures w14:val="none"/>
        </w:rPr>
        <w:t xml:space="preserve">Registro Social de </w:t>
      </w:r>
      <w:proofErr w:type="spellStart"/>
      <w:r w:rsidRPr="00077273">
        <w:rPr>
          <w:rFonts w:ascii="Arial" w:eastAsia="Times New Roman" w:hAnsi="Arial" w:cs="Arial"/>
          <w:i/>
          <w:iCs/>
          <w:kern w:val="0"/>
          <w:sz w:val="24"/>
          <w:szCs w:val="24"/>
          <w:lang w:val="en-US" w:eastAsia="es-ES"/>
          <w14:ligatures w14:val="none"/>
        </w:rPr>
        <w:t>Hogares</w:t>
      </w:r>
      <w:proofErr w:type="spellEnd"/>
      <w:r w:rsidRPr="00077273">
        <w:rPr>
          <w:rFonts w:ascii="Arial" w:eastAsia="Times New Roman" w:hAnsi="Arial" w:cs="Arial"/>
          <w:kern w:val="0"/>
          <w:sz w:val="24"/>
          <w:szCs w:val="24"/>
          <w:lang w:val="en-US" w:eastAsia="es-ES"/>
          <w14:ligatures w14:val="none"/>
        </w:rPr>
        <w:t>) debars working professionals from applying for technical aids, which already face a high regional deficit.</w:t>
      </w:r>
    </w:p>
    <w:p w14:paraId="4C4C3E4E"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Collectively, there is a condemnation of the persistent non-compliance with the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Inclusion Law in both the private and public sectors, alongside the total abandonment of young people graduating from special education schools who are left without further training options. In the financial sector, entities such as Banco Estado act arbitrarily by demanding civil interdiction for individuals with cognitive disabilities. Finally, domiciliary healthcare </w:t>
      </w:r>
      <w:proofErr w:type="spellStart"/>
      <w:r w:rsidRPr="00077273">
        <w:rPr>
          <w:rFonts w:ascii="Arial" w:eastAsia="Times New Roman" w:hAnsi="Arial" w:cs="Arial"/>
          <w:kern w:val="0"/>
          <w:sz w:val="24"/>
          <w:szCs w:val="24"/>
          <w:lang w:val="en-US" w:eastAsia="es-ES"/>
          <w14:ligatures w14:val="none"/>
        </w:rPr>
        <w:t>programmes</w:t>
      </w:r>
      <w:proofErr w:type="spellEnd"/>
      <w:r w:rsidRPr="00077273">
        <w:rPr>
          <w:rFonts w:ascii="Arial" w:eastAsia="Times New Roman" w:hAnsi="Arial" w:cs="Arial"/>
          <w:kern w:val="0"/>
          <w:sz w:val="24"/>
          <w:szCs w:val="24"/>
          <w:lang w:val="en-US" w:eastAsia="es-ES"/>
          <w14:ligatures w14:val="none"/>
        </w:rPr>
        <w:t xml:space="preserve"> and economic stipends for carers fail due to a deficient assessment instrument that restricts benefits solely to bedbound patients, rendering other high-dependency realities invisible and preventing full autonomy.</w:t>
      </w:r>
    </w:p>
    <w:p w14:paraId="23FF1BF1"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b/>
          <w:kern w:val="0"/>
          <w:sz w:val="24"/>
          <w:szCs w:val="24"/>
          <w:lang w:val="en-US" w:eastAsia="es-ES"/>
          <w14:ligatures w14:val="none"/>
        </w:rPr>
        <w:t>The testimony of Ruth Rodríguez</w:t>
      </w:r>
      <w:r w:rsidRPr="00077273">
        <w:rPr>
          <w:rFonts w:ascii="Arial" w:eastAsia="Times New Roman" w:hAnsi="Arial" w:cs="Arial"/>
          <w:kern w:val="0"/>
          <w:sz w:val="24"/>
          <w:szCs w:val="24"/>
          <w:lang w:val="en-US" w:eastAsia="es-ES"/>
          <w14:ligatures w14:val="none"/>
        </w:rPr>
        <w:t xml:space="preserve"> exposes the institutional violence and state neglect faced by individuals with severe dependency when transitioning to adulthood in Arica, illustrated by the case of </w:t>
      </w:r>
      <w:proofErr w:type="spellStart"/>
      <w:r w:rsidRPr="00077273">
        <w:rPr>
          <w:rFonts w:ascii="Arial" w:eastAsia="Times New Roman" w:hAnsi="Arial" w:cs="Arial"/>
          <w:kern w:val="0"/>
          <w:sz w:val="24"/>
          <w:szCs w:val="24"/>
          <w:lang w:val="en-US" w:eastAsia="es-ES"/>
          <w14:ligatures w14:val="none"/>
        </w:rPr>
        <w:t>Aleney</w:t>
      </w:r>
      <w:proofErr w:type="spellEnd"/>
      <w:r w:rsidRPr="00077273">
        <w:rPr>
          <w:rFonts w:ascii="Arial" w:eastAsia="Times New Roman" w:hAnsi="Arial" w:cs="Arial"/>
          <w:kern w:val="0"/>
          <w:sz w:val="24"/>
          <w:szCs w:val="24"/>
          <w:lang w:val="en-US" w:eastAsia="es-ES"/>
          <w14:ligatures w14:val="none"/>
        </w:rPr>
        <w:t xml:space="preserve"> Paco Rodríguez. In 2024, after </w:t>
      </w:r>
      <w:proofErr w:type="spellStart"/>
      <w:r w:rsidRPr="00077273">
        <w:rPr>
          <w:rFonts w:ascii="Arial" w:eastAsia="Times New Roman" w:hAnsi="Arial" w:cs="Arial"/>
          <w:kern w:val="0"/>
          <w:sz w:val="24"/>
          <w:szCs w:val="24"/>
          <w:lang w:val="en-US" w:eastAsia="es-ES"/>
          <w14:ligatures w14:val="none"/>
        </w:rPr>
        <w:t>Aleney</w:t>
      </w:r>
      <w:proofErr w:type="spellEnd"/>
      <w:r w:rsidRPr="00077273">
        <w:rPr>
          <w:rFonts w:ascii="Arial" w:eastAsia="Times New Roman" w:hAnsi="Arial" w:cs="Arial"/>
          <w:kern w:val="0"/>
          <w:sz w:val="24"/>
          <w:szCs w:val="24"/>
          <w:lang w:val="en-US" w:eastAsia="es-ES"/>
          <w14:ligatures w14:val="none"/>
        </w:rPr>
        <w:t xml:space="preserve"> did not vote due to her inability to express a political will, the Second Local Police Court issued a detention order against her, caused by a total lack of data integration between the Civil Registry, COMPIN, and the electoral service (SERVEL). Despite the mother's prior efforts to log justifications with SENADIS, the state support network failed by offering solutions well past the deadline, forcing her to attend a non-accessible court alone to overturn the sentence.</w:t>
      </w:r>
    </w:p>
    <w:p w14:paraId="0CDFABB8" w14:textId="77777777" w:rsidR="00077273" w:rsidRPr="00077273" w:rsidRDefault="00077273" w:rsidP="00077273">
      <w:pPr>
        <w:numPr>
          <w:ilvl w:val="0"/>
          <w:numId w:val="23"/>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This episode highlights a wider crisis in adulthood for those with severe disabilities after leaving special education schools and being discharged from institutions like </w:t>
      </w:r>
      <w:proofErr w:type="spellStart"/>
      <w:r w:rsidRPr="00077273">
        <w:rPr>
          <w:rFonts w:ascii="Arial" w:eastAsia="Times New Roman" w:hAnsi="Arial" w:cs="Arial"/>
          <w:kern w:val="0"/>
          <w:sz w:val="24"/>
          <w:szCs w:val="24"/>
          <w:lang w:val="en-US" w:eastAsia="es-ES"/>
          <w14:ligatures w14:val="none"/>
        </w:rPr>
        <w:t>Teletón</w:t>
      </w:r>
      <w:proofErr w:type="spellEnd"/>
      <w:r w:rsidRPr="00077273">
        <w:rPr>
          <w:rFonts w:ascii="Arial" w:eastAsia="Times New Roman" w:hAnsi="Arial" w:cs="Arial"/>
          <w:kern w:val="0"/>
          <w:sz w:val="24"/>
          <w:szCs w:val="24"/>
          <w:lang w:val="en-US" w:eastAsia="es-ES"/>
          <w14:ligatures w14:val="none"/>
        </w:rPr>
        <w:t xml:space="preserve"> at the age of 21. Upon referral to the primary care bedbound </w:t>
      </w:r>
      <w:proofErr w:type="spellStart"/>
      <w:r w:rsidRPr="00077273">
        <w:rPr>
          <w:rFonts w:ascii="Arial" w:eastAsia="Times New Roman" w:hAnsi="Arial" w:cs="Arial"/>
          <w:kern w:val="0"/>
          <w:sz w:val="24"/>
          <w:szCs w:val="24"/>
          <w:lang w:val="en-US" w:eastAsia="es-ES"/>
          <w14:ligatures w14:val="none"/>
        </w:rPr>
        <w:t>programme</w:t>
      </w:r>
      <w:proofErr w:type="spellEnd"/>
      <w:r w:rsidRPr="00077273">
        <w:rPr>
          <w:rFonts w:ascii="Arial" w:eastAsia="Times New Roman" w:hAnsi="Arial" w:cs="Arial"/>
          <w:kern w:val="0"/>
          <w:sz w:val="24"/>
          <w:szCs w:val="24"/>
          <w:lang w:val="en-US" w:eastAsia="es-ES"/>
          <w14:ligatures w14:val="none"/>
        </w:rPr>
        <w:t>, users encounter a saturated system that limits check-ups to once a year, neglecting continuous physiotherapy and stimulation.</w:t>
      </w:r>
    </w:p>
    <w:p w14:paraId="169CBBE4" w14:textId="77777777" w:rsidR="00791E07" w:rsidRPr="00791E07" w:rsidRDefault="00077273" w:rsidP="00791E07">
      <w:pPr>
        <w:numPr>
          <w:ilvl w:val="0"/>
          <w:numId w:val="23"/>
        </w:numPr>
        <w:spacing w:before="100" w:beforeAutospacing="1" w:after="100" w:afterAutospacing="1" w:line="240" w:lineRule="auto"/>
        <w:rPr>
          <w:lang w:val="en-US"/>
        </w:rPr>
      </w:pPr>
      <w:r w:rsidRPr="00077273">
        <w:rPr>
          <w:rFonts w:ascii="Arial" w:eastAsia="Times New Roman" w:hAnsi="Arial" w:cs="Arial"/>
          <w:kern w:val="0"/>
          <w:sz w:val="24"/>
          <w:szCs w:val="24"/>
          <w:lang w:val="en-US" w:eastAsia="es-ES"/>
          <w14:ligatures w14:val="none"/>
        </w:rPr>
        <w:t>The absence of ongoing rehabilitation leads to a loss of motor skills and an increase in musculoskeletal deformities, forcing families to pay for private therapies that most cannot afford. This lack of protection compromises the dignity of young adults and overburdens the mental health of primary carers, who age in total defenselessness and urgently demand public policies that guarantee dignified and continuous development as subjects of rights.</w:t>
      </w:r>
    </w:p>
    <w:p w14:paraId="19DE4969" w14:textId="77777777" w:rsidR="00791E07" w:rsidRPr="00A61CED" w:rsidRDefault="00791E07" w:rsidP="00791E07">
      <w:pPr>
        <w:spacing w:before="100" w:beforeAutospacing="1" w:after="100" w:afterAutospacing="1" w:line="240" w:lineRule="auto"/>
        <w:ind w:left="720"/>
        <w:rPr>
          <w:lang w:val="en-US"/>
        </w:rPr>
      </w:pPr>
    </w:p>
    <w:p w14:paraId="45AFE450" w14:textId="15E0E309" w:rsidR="00077273" w:rsidRPr="00A61CED" w:rsidRDefault="00077273" w:rsidP="00791E07">
      <w:pPr>
        <w:numPr>
          <w:ilvl w:val="0"/>
          <w:numId w:val="23"/>
        </w:numPr>
        <w:spacing w:before="100" w:beforeAutospacing="1" w:after="100" w:afterAutospacing="1" w:line="240" w:lineRule="auto"/>
        <w:rPr>
          <w:lang w:val="en-US"/>
        </w:rPr>
      </w:pPr>
      <w:r w:rsidRPr="00791E07">
        <w:rPr>
          <w:rFonts w:ascii="Arial" w:eastAsia="Times New Roman" w:hAnsi="Arial" w:cs="Arial"/>
          <w:b/>
          <w:kern w:val="0"/>
          <w:sz w:val="24"/>
          <w:szCs w:val="24"/>
          <w:lang w:val="en-US" w:eastAsia="es-ES"/>
          <w14:ligatures w14:val="none"/>
        </w:rPr>
        <w:t>Angélica Farias Buch</w:t>
      </w:r>
      <w:r w:rsidRPr="00791E07">
        <w:rPr>
          <w:rFonts w:ascii="Arial" w:eastAsia="Times New Roman" w:hAnsi="Arial" w:cs="Arial"/>
          <w:kern w:val="0"/>
          <w:sz w:val="24"/>
          <w:szCs w:val="24"/>
          <w:lang w:val="en-US" w:eastAsia="es-ES"/>
          <w14:ligatures w14:val="none"/>
        </w:rPr>
        <w:t>, who lives with multiple disabilities, has had to face the apathy of the public health system and medical negligence since she was a minor. Waiting lists and delays in her surgeries further complicated her health status and quality of life. Angélica's case reveals the total failure of the State to uphold public healthcare, an issue that is severely compounded for persons with disabilities from an early age.</w:t>
      </w:r>
    </w:p>
    <w:p w14:paraId="07D6B372"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s-ES" w:eastAsia="es-ES"/>
          <w14:ligatures w14:val="none"/>
        </w:rPr>
      </w:pPr>
      <w:proofErr w:type="spellStart"/>
      <w:r w:rsidRPr="00077273">
        <w:rPr>
          <w:rFonts w:ascii="Arial" w:eastAsia="Times New Roman" w:hAnsi="Arial" w:cs="Arial"/>
          <w:b/>
          <w:bCs/>
          <w:kern w:val="0"/>
          <w:sz w:val="27"/>
          <w:szCs w:val="27"/>
          <w:lang w:val="es-ES" w:eastAsia="es-ES"/>
          <w14:ligatures w14:val="none"/>
        </w:rPr>
        <w:lastRenderedPageBreak/>
        <w:t>Conclusions</w:t>
      </w:r>
      <w:proofErr w:type="spellEnd"/>
    </w:p>
    <w:p w14:paraId="52AEE2D9" w14:textId="77777777" w:rsidR="00077273" w:rsidRPr="00077273" w:rsidRDefault="00077273" w:rsidP="00077273">
      <w:pPr>
        <w:numPr>
          <w:ilvl w:val="0"/>
          <w:numId w:val="2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In Chile, Law 20,422 establishes norms designed to ensure equal opportunities and social inclusion for this group, promoting universal accessibility and the elimination of barriers that hinder their participation in society (Law 20,422, 2010). Despite this regulatory framework, 17% of Chileans continue to face obstacles related to physical accessibility, employment inclusion, education, and access to information, which limits the full exercise of their rights (</w:t>
      </w:r>
      <w:r w:rsidRPr="00077273">
        <w:rPr>
          <w:rFonts w:ascii="Arial" w:eastAsia="Times New Roman" w:hAnsi="Arial" w:cs="Arial"/>
          <w:i/>
          <w:iCs/>
          <w:kern w:val="0"/>
          <w:sz w:val="24"/>
          <w:szCs w:val="24"/>
          <w:lang w:val="en-US" w:eastAsia="es-ES"/>
          <w14:ligatures w14:val="none"/>
        </w:rPr>
        <w:t xml:space="preserve">¿Cuál es </w:t>
      </w:r>
      <w:proofErr w:type="spellStart"/>
      <w:r w:rsidRPr="00077273">
        <w:rPr>
          <w:rFonts w:ascii="Arial" w:eastAsia="Times New Roman" w:hAnsi="Arial" w:cs="Arial"/>
          <w:i/>
          <w:iCs/>
          <w:kern w:val="0"/>
          <w:sz w:val="24"/>
          <w:szCs w:val="24"/>
          <w:lang w:val="en-US" w:eastAsia="es-ES"/>
          <w14:ligatures w14:val="none"/>
        </w:rPr>
        <w:t>tu</w:t>
      </w:r>
      <w:proofErr w:type="spellEnd"/>
      <w:r w:rsidRPr="00077273">
        <w:rPr>
          <w:rFonts w:ascii="Arial" w:eastAsia="Times New Roman" w:hAnsi="Arial" w:cs="Arial"/>
          <w:i/>
          <w:iCs/>
          <w:kern w:val="0"/>
          <w:sz w:val="24"/>
          <w:szCs w:val="24"/>
          <w:lang w:val="en-US" w:eastAsia="es-ES"/>
          <w14:ligatures w14:val="none"/>
        </w:rPr>
        <w:t xml:space="preserve"> </w:t>
      </w:r>
      <w:proofErr w:type="spellStart"/>
      <w:r w:rsidRPr="00077273">
        <w:rPr>
          <w:rFonts w:ascii="Arial" w:eastAsia="Times New Roman" w:hAnsi="Arial" w:cs="Arial"/>
          <w:i/>
          <w:iCs/>
          <w:kern w:val="0"/>
          <w:sz w:val="24"/>
          <w:szCs w:val="24"/>
          <w:lang w:val="en-US" w:eastAsia="es-ES"/>
          <w14:ligatures w14:val="none"/>
        </w:rPr>
        <w:t>huella</w:t>
      </w:r>
      <w:proofErr w:type="spellEnd"/>
      <w:r w:rsidRPr="00077273">
        <w:rPr>
          <w:rFonts w:ascii="Arial" w:eastAsia="Times New Roman" w:hAnsi="Arial" w:cs="Arial"/>
          <w:kern w:val="0"/>
          <w:sz w:val="24"/>
          <w:szCs w:val="24"/>
          <w:lang w:val="en-US" w:eastAsia="es-ES"/>
          <w14:ligatures w14:val="none"/>
        </w:rPr>
        <w:t>, 2024).</w:t>
      </w:r>
    </w:p>
    <w:p w14:paraId="1A416EC8" w14:textId="77777777" w:rsidR="00077273" w:rsidRPr="00077273" w:rsidRDefault="00077273" w:rsidP="00077273">
      <w:pPr>
        <w:numPr>
          <w:ilvl w:val="0"/>
          <w:numId w:val="2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 xml:space="preserve">Despite the </w:t>
      </w:r>
      <w:proofErr w:type="spellStart"/>
      <w:r w:rsidRPr="00077273">
        <w:rPr>
          <w:rFonts w:ascii="Arial" w:eastAsia="Times New Roman" w:hAnsi="Arial" w:cs="Arial"/>
          <w:kern w:val="0"/>
          <w:sz w:val="24"/>
          <w:szCs w:val="24"/>
          <w:lang w:val="en-US" w:eastAsia="es-ES"/>
          <w14:ligatures w14:val="none"/>
        </w:rPr>
        <w:t>Labour</w:t>
      </w:r>
      <w:proofErr w:type="spellEnd"/>
      <w:r w:rsidRPr="00077273">
        <w:rPr>
          <w:rFonts w:ascii="Arial" w:eastAsia="Times New Roman" w:hAnsi="Arial" w:cs="Arial"/>
          <w:kern w:val="0"/>
          <w:sz w:val="24"/>
          <w:szCs w:val="24"/>
          <w:lang w:val="en-US" w:eastAsia="es-ES"/>
          <w14:ligatures w14:val="none"/>
        </w:rPr>
        <w:t xml:space="preserve"> Inclusion Law, which compels companies with more than 100 workers to maintain a 1% quota for persons with disabilities, progress is minimal. According to the latest MILE report, barely 1.2% of the Chilean workforce consists of persons with disabilities.</w:t>
      </w:r>
    </w:p>
    <w:p w14:paraId="5B43C13A" w14:textId="77777777" w:rsidR="00077273" w:rsidRPr="00077273" w:rsidRDefault="00077273" w:rsidP="00077273">
      <w:pPr>
        <w:numPr>
          <w:ilvl w:val="0"/>
          <w:numId w:val="2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gaps in the system demonstrate that inclusion has failed to consolidate its core principle: to give each person what they need. The current outlook demands a profound restructuring that moves away from bureaucratic welfare dependency towards effective inspection, the funding of reasonable adjustments, and the design of public policies with regional relevance and a fundamental rights approach.</w:t>
      </w:r>
    </w:p>
    <w:p w14:paraId="5158AE5A" w14:textId="77777777" w:rsidR="00077273" w:rsidRPr="00077273" w:rsidRDefault="00077273" w:rsidP="00077273">
      <w:pPr>
        <w:numPr>
          <w:ilvl w:val="0"/>
          <w:numId w:val="2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The low level of training and awareness among public officials in general persists across almost all state services.</w:t>
      </w:r>
    </w:p>
    <w:p w14:paraId="52259C32" w14:textId="77777777" w:rsidR="00077273" w:rsidRPr="00077273" w:rsidRDefault="00077273" w:rsidP="00077273">
      <w:pPr>
        <w:numPr>
          <w:ilvl w:val="0"/>
          <w:numId w:val="24"/>
        </w:numPr>
        <w:spacing w:before="100" w:beforeAutospacing="1" w:after="100" w:afterAutospacing="1" w:line="240" w:lineRule="auto"/>
        <w:rPr>
          <w:rFonts w:ascii="Arial" w:eastAsia="Times New Roman" w:hAnsi="Arial" w:cs="Arial"/>
          <w:kern w:val="0"/>
          <w:sz w:val="24"/>
          <w:szCs w:val="24"/>
          <w:lang w:val="en-US" w:eastAsia="es-ES"/>
          <w14:ligatures w14:val="none"/>
        </w:rPr>
      </w:pPr>
      <w:r w:rsidRPr="00077273">
        <w:rPr>
          <w:rFonts w:ascii="Arial" w:eastAsia="Times New Roman" w:hAnsi="Arial" w:cs="Arial"/>
          <w:kern w:val="0"/>
          <w:sz w:val="24"/>
          <w:szCs w:val="24"/>
          <w:lang w:val="en-US" w:eastAsia="es-ES"/>
          <w14:ligatures w14:val="none"/>
        </w:rPr>
        <w:t>Thank you for your attention.</w:t>
      </w:r>
    </w:p>
    <w:p w14:paraId="07E5FA6A" w14:textId="77777777" w:rsidR="00077273" w:rsidRPr="00077273" w:rsidRDefault="00077273" w:rsidP="00077273">
      <w:pPr>
        <w:spacing w:before="100" w:beforeAutospacing="1" w:after="100" w:afterAutospacing="1" w:line="240" w:lineRule="auto"/>
        <w:outlineLvl w:val="2"/>
        <w:rPr>
          <w:rFonts w:ascii="Arial" w:eastAsia="Times New Roman" w:hAnsi="Arial" w:cs="Arial"/>
          <w:b/>
          <w:bCs/>
          <w:kern w:val="0"/>
          <w:sz w:val="27"/>
          <w:szCs w:val="27"/>
          <w:lang w:val="es-ES" w:eastAsia="es-ES"/>
          <w14:ligatures w14:val="none"/>
        </w:rPr>
      </w:pPr>
      <w:proofErr w:type="spellStart"/>
      <w:r w:rsidRPr="00077273">
        <w:rPr>
          <w:rFonts w:ascii="Arial" w:eastAsia="Times New Roman" w:hAnsi="Arial" w:cs="Arial"/>
          <w:b/>
          <w:bCs/>
          <w:kern w:val="0"/>
          <w:sz w:val="27"/>
          <w:szCs w:val="27"/>
          <w:lang w:val="es-ES" w:eastAsia="es-ES"/>
          <w14:ligatures w14:val="none"/>
        </w:rPr>
        <w:t>References</w:t>
      </w:r>
      <w:proofErr w:type="spellEnd"/>
    </w:p>
    <w:p w14:paraId="7FF96CAD" w14:textId="7C7AEBC7" w:rsidR="00A12CEF" w:rsidRPr="00077273" w:rsidRDefault="00DA08CA" w:rsidP="00DA08CA">
      <w:pPr>
        <w:ind w:left="567" w:hanging="567"/>
        <w:jc w:val="both"/>
        <w:rPr>
          <w:rFonts w:ascii="Arial" w:hAnsi="Arial" w:cs="Arial"/>
          <w:szCs w:val="24"/>
        </w:rPr>
      </w:pPr>
      <w:r w:rsidRPr="00077273">
        <w:rPr>
          <w:rFonts w:ascii="Arial" w:hAnsi="Arial" w:cs="Arial"/>
          <w:szCs w:val="24"/>
        </w:rPr>
        <w:t>Convención Americana sobre Derechos Humanos (1969). Costa Rica, 22 de noviembre de 1969.</w:t>
      </w:r>
    </w:p>
    <w:p w14:paraId="6694FB55" w14:textId="7CD4F525" w:rsidR="00DA08CA" w:rsidRPr="00077273" w:rsidRDefault="00DA08CA" w:rsidP="00DA08CA">
      <w:pPr>
        <w:ind w:left="567" w:hanging="567"/>
        <w:jc w:val="both"/>
        <w:rPr>
          <w:rFonts w:ascii="Arial" w:hAnsi="Arial" w:cs="Arial"/>
          <w:szCs w:val="24"/>
        </w:rPr>
      </w:pPr>
      <w:r w:rsidRPr="00077273">
        <w:rPr>
          <w:rFonts w:ascii="Arial" w:hAnsi="Arial" w:cs="Arial"/>
          <w:szCs w:val="24"/>
        </w:rPr>
        <w:t>Convención sobre los derechos de las personas con discapacidad. Ratificada por Chile en 2008.</w:t>
      </w:r>
    </w:p>
    <w:p w14:paraId="61FA9566" w14:textId="77777777" w:rsidR="000A0B52" w:rsidRPr="00077273" w:rsidRDefault="00DA08CA" w:rsidP="000A0B52">
      <w:pPr>
        <w:ind w:left="567" w:hanging="567"/>
        <w:jc w:val="both"/>
        <w:rPr>
          <w:rFonts w:ascii="Arial" w:hAnsi="Arial" w:cs="Arial"/>
          <w:bCs/>
          <w:szCs w:val="24"/>
          <w:lang w:val="es-ES"/>
        </w:rPr>
      </w:pPr>
      <w:r w:rsidRPr="00077273">
        <w:rPr>
          <w:rFonts w:ascii="Arial" w:hAnsi="Arial" w:cs="Arial"/>
          <w:szCs w:val="24"/>
        </w:rPr>
        <w:t>Convención interamericana para la eliminación de todas las formas de discriminación contra las personas con discapacidad. Ratificada por Chile en 2002.</w:t>
      </w:r>
      <w:r w:rsidR="000A0B52" w:rsidRPr="00077273">
        <w:rPr>
          <w:rFonts w:ascii="Arial" w:hAnsi="Arial" w:cs="Arial"/>
          <w:bCs/>
          <w:szCs w:val="24"/>
          <w:lang w:val="es-ES"/>
        </w:rPr>
        <w:t xml:space="preserve"> </w:t>
      </w:r>
    </w:p>
    <w:p w14:paraId="14A9996E" w14:textId="65424DB5" w:rsidR="000A0B52" w:rsidRPr="00077273" w:rsidRDefault="000A0B52" w:rsidP="000A0B52">
      <w:pPr>
        <w:ind w:left="567" w:hanging="567"/>
        <w:jc w:val="both"/>
        <w:rPr>
          <w:rFonts w:ascii="Arial" w:hAnsi="Arial" w:cs="Arial"/>
          <w:bCs/>
          <w:szCs w:val="24"/>
          <w:lang w:val="es-ES"/>
        </w:rPr>
      </w:pPr>
      <w:r w:rsidRPr="00077273">
        <w:rPr>
          <w:rFonts w:ascii="Arial" w:hAnsi="Arial" w:cs="Arial"/>
          <w:bCs/>
          <w:szCs w:val="24"/>
          <w:lang w:val="es-ES"/>
        </w:rPr>
        <w:t>Decreto Supremo 50 (2015) – Modifica decreto supremo Nº 47, de 1992, Ordenanza General de Urbanismo y Construcciones, en el sentido de actualizar sus normas a las disposiciones de la ley Nº 20.422, sobre igualdad de oportunidades e inclusión social de personas con discapacidad. Biblioteca del Congreso Nacional de Chile.</w:t>
      </w:r>
    </w:p>
    <w:p w14:paraId="0910865B" w14:textId="77777777" w:rsidR="000A0B52" w:rsidRPr="00077273" w:rsidRDefault="000A0B52" w:rsidP="000A0B52">
      <w:pPr>
        <w:ind w:left="567" w:hanging="567"/>
        <w:jc w:val="both"/>
        <w:rPr>
          <w:rFonts w:ascii="Arial" w:hAnsi="Arial" w:cs="Arial"/>
          <w:bCs/>
          <w:szCs w:val="24"/>
          <w:lang w:val="es-ES"/>
        </w:rPr>
      </w:pPr>
      <w:r w:rsidRPr="00077273">
        <w:rPr>
          <w:rFonts w:ascii="Arial" w:hAnsi="Arial" w:cs="Arial"/>
          <w:bCs/>
          <w:szCs w:val="24"/>
          <w:lang w:val="es-ES"/>
        </w:rPr>
        <w:t>Ley 21.015. (2017). Ley de Inclusión Laboral y sus modificaciones. Incentiva la inclusión de personas con discapacidad al mundo laboral. Biblioteca del Congreso Nacional de Chile.</w:t>
      </w:r>
    </w:p>
    <w:p w14:paraId="59FF0608" w14:textId="77777777" w:rsidR="000A0B52" w:rsidRPr="00077273" w:rsidRDefault="000A0B52" w:rsidP="000A0B52">
      <w:pPr>
        <w:ind w:left="567" w:hanging="567"/>
        <w:jc w:val="both"/>
        <w:rPr>
          <w:rFonts w:ascii="Arial" w:hAnsi="Arial" w:cs="Arial"/>
          <w:bCs/>
          <w:szCs w:val="24"/>
          <w:lang w:val="es-ES"/>
        </w:rPr>
      </w:pPr>
      <w:r w:rsidRPr="00077273">
        <w:rPr>
          <w:rFonts w:ascii="Arial" w:hAnsi="Arial" w:cs="Arial"/>
          <w:bCs/>
          <w:szCs w:val="24"/>
          <w:lang w:val="es-ES"/>
        </w:rPr>
        <w:t>Ley 20.422 (2010). Establece normas sobre igualdad de oportunidades e inclusión social de personas con discapacidad. Biblioteca del Congreso Nacional de Chile.</w:t>
      </w:r>
    </w:p>
    <w:p w14:paraId="5127BEF1" w14:textId="5AA73ADF" w:rsidR="00DA08CA" w:rsidRPr="005A42E0" w:rsidRDefault="00DA08CA" w:rsidP="00DA08CA">
      <w:pPr>
        <w:ind w:left="567" w:hanging="567"/>
        <w:jc w:val="both"/>
        <w:rPr>
          <w:rFonts w:ascii="Arial" w:hAnsi="Arial" w:cs="Arial"/>
          <w:sz w:val="24"/>
          <w:szCs w:val="24"/>
        </w:rPr>
      </w:pPr>
    </w:p>
    <w:sectPr w:rsidR="00DA08CA" w:rsidRPr="005A42E0" w:rsidSect="00B93FA7">
      <w:headerReference w:type="default" r:id="rId12"/>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811C1" w14:textId="77777777" w:rsidR="00E073D3" w:rsidRDefault="00E073D3" w:rsidP="00B93FA7">
      <w:pPr>
        <w:spacing w:after="0" w:line="240" w:lineRule="auto"/>
      </w:pPr>
      <w:r>
        <w:separator/>
      </w:r>
    </w:p>
  </w:endnote>
  <w:endnote w:type="continuationSeparator" w:id="0">
    <w:p w14:paraId="107DCBAF" w14:textId="77777777" w:rsidR="00E073D3" w:rsidRDefault="00E073D3" w:rsidP="00B93F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82EE4" w14:textId="77777777" w:rsidR="00E073D3" w:rsidRDefault="00E073D3" w:rsidP="00B93FA7">
      <w:pPr>
        <w:spacing w:after="0" w:line="240" w:lineRule="auto"/>
      </w:pPr>
      <w:r>
        <w:separator/>
      </w:r>
    </w:p>
  </w:footnote>
  <w:footnote w:type="continuationSeparator" w:id="0">
    <w:p w14:paraId="13ED1CA0" w14:textId="77777777" w:rsidR="00E073D3" w:rsidRDefault="00E073D3" w:rsidP="00B93F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253736"/>
      <w:docPartObj>
        <w:docPartGallery w:val="Page Numbers (Top of Page)"/>
        <w:docPartUnique/>
      </w:docPartObj>
    </w:sdtPr>
    <w:sdtEndPr/>
    <w:sdtContent>
      <w:p w14:paraId="293DDD05" w14:textId="6906DA19" w:rsidR="00B93FA7" w:rsidRDefault="00B93FA7">
        <w:pPr>
          <w:pStyle w:val="Header"/>
          <w:jc w:val="right"/>
        </w:pPr>
        <w:r>
          <w:fldChar w:fldCharType="begin"/>
        </w:r>
        <w:r>
          <w:instrText>PAGE   \* MERGEFORMAT</w:instrText>
        </w:r>
        <w:r>
          <w:fldChar w:fldCharType="separate"/>
        </w:r>
        <w:r w:rsidR="00632230" w:rsidRPr="00632230">
          <w:rPr>
            <w:noProof/>
            <w:lang w:val="es-ES"/>
          </w:rPr>
          <w:t>9</w:t>
        </w:r>
        <w:r>
          <w:fldChar w:fldCharType="end"/>
        </w:r>
      </w:p>
    </w:sdtContent>
  </w:sdt>
  <w:p w14:paraId="6EA0012F" w14:textId="77777777" w:rsidR="00B93FA7" w:rsidRDefault="00B93F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432EC"/>
    <w:multiLevelType w:val="hybridMultilevel"/>
    <w:tmpl w:val="85D6CAC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9150F5C"/>
    <w:multiLevelType w:val="hybridMultilevel"/>
    <w:tmpl w:val="EA381A1C"/>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AB313E0"/>
    <w:multiLevelType w:val="multilevel"/>
    <w:tmpl w:val="A30CA1E2"/>
    <w:lvl w:ilvl="0">
      <w:start w:val="28"/>
      <w:numFmt w:val="decimal"/>
      <w:lvlText w:val="%1."/>
      <w:lvlJc w:val="left"/>
      <w:pPr>
        <w:tabs>
          <w:tab w:val="num" w:pos="720"/>
        </w:tabs>
        <w:ind w:left="720" w:hanging="360"/>
      </w:pPr>
      <w:rPr>
        <w:rFonts w:ascii="Arial" w:hAnsi="Arial" w:cs="Arial" w:hint="default"/>
        <w:sz w:val="24"/>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613D54"/>
    <w:multiLevelType w:val="hybridMultilevel"/>
    <w:tmpl w:val="F15E4E1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071043A"/>
    <w:multiLevelType w:val="multilevel"/>
    <w:tmpl w:val="97F0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74D56"/>
    <w:multiLevelType w:val="multilevel"/>
    <w:tmpl w:val="303E13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61555"/>
    <w:multiLevelType w:val="hybridMultilevel"/>
    <w:tmpl w:val="212AC5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49225B8"/>
    <w:multiLevelType w:val="hybridMultilevel"/>
    <w:tmpl w:val="5F861F50"/>
    <w:lvl w:ilvl="0" w:tplc="34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310583"/>
    <w:multiLevelType w:val="multilevel"/>
    <w:tmpl w:val="62DCED8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8A0ACC"/>
    <w:multiLevelType w:val="hybridMultilevel"/>
    <w:tmpl w:val="CC96181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40235066"/>
    <w:multiLevelType w:val="hybridMultilevel"/>
    <w:tmpl w:val="3D2AE83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42516A5A"/>
    <w:multiLevelType w:val="multilevel"/>
    <w:tmpl w:val="8D80FA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DA66C3"/>
    <w:multiLevelType w:val="hybridMultilevel"/>
    <w:tmpl w:val="4106F16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4B24780F"/>
    <w:multiLevelType w:val="hybridMultilevel"/>
    <w:tmpl w:val="4D4A7E7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02E29DD"/>
    <w:multiLevelType w:val="hybridMultilevel"/>
    <w:tmpl w:val="95D20474"/>
    <w:lvl w:ilvl="0" w:tplc="3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547C62F9"/>
    <w:multiLevelType w:val="hybridMultilevel"/>
    <w:tmpl w:val="7C9CD1D8"/>
    <w:lvl w:ilvl="0" w:tplc="340A000F">
      <w:start w:val="1"/>
      <w:numFmt w:val="decimal"/>
      <w:lvlText w:val="%1."/>
      <w:lvlJc w:val="left"/>
      <w:pPr>
        <w:ind w:left="3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4FE22B7"/>
    <w:multiLevelType w:val="multilevel"/>
    <w:tmpl w:val="1960B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2E6E5F"/>
    <w:multiLevelType w:val="multilevel"/>
    <w:tmpl w:val="E048CC5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EB6871"/>
    <w:multiLevelType w:val="multilevel"/>
    <w:tmpl w:val="F31048BE"/>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261E79"/>
    <w:multiLevelType w:val="multilevel"/>
    <w:tmpl w:val="61989DF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1A62DC7"/>
    <w:multiLevelType w:val="multilevel"/>
    <w:tmpl w:val="B4D0463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0C00AB"/>
    <w:multiLevelType w:val="multilevel"/>
    <w:tmpl w:val="7F0461F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CF4BAA"/>
    <w:multiLevelType w:val="multilevel"/>
    <w:tmpl w:val="D5304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513E5F"/>
    <w:multiLevelType w:val="multilevel"/>
    <w:tmpl w:val="24CC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0520315">
    <w:abstractNumId w:val="16"/>
  </w:num>
  <w:num w:numId="2" w16cid:durableId="422920132">
    <w:abstractNumId w:val="22"/>
  </w:num>
  <w:num w:numId="3" w16cid:durableId="1392726454">
    <w:abstractNumId w:val="9"/>
  </w:num>
  <w:num w:numId="4" w16cid:durableId="599064689">
    <w:abstractNumId w:val="1"/>
  </w:num>
  <w:num w:numId="5" w16cid:durableId="1597012948">
    <w:abstractNumId w:val="14"/>
  </w:num>
  <w:num w:numId="6" w16cid:durableId="652370283">
    <w:abstractNumId w:val="0"/>
  </w:num>
  <w:num w:numId="7" w16cid:durableId="592326696">
    <w:abstractNumId w:val="13"/>
  </w:num>
  <w:num w:numId="8" w16cid:durableId="1992369503">
    <w:abstractNumId w:val="10"/>
  </w:num>
  <w:num w:numId="9" w16cid:durableId="225647627">
    <w:abstractNumId w:val="3"/>
  </w:num>
  <w:num w:numId="10" w16cid:durableId="449786754">
    <w:abstractNumId w:val="6"/>
  </w:num>
  <w:num w:numId="11" w16cid:durableId="1543664627">
    <w:abstractNumId w:val="7"/>
  </w:num>
  <w:num w:numId="12" w16cid:durableId="755975256">
    <w:abstractNumId w:val="15"/>
  </w:num>
  <w:num w:numId="13" w16cid:durableId="539633020">
    <w:abstractNumId w:val="12"/>
  </w:num>
  <w:num w:numId="14" w16cid:durableId="1171989275">
    <w:abstractNumId w:val="4"/>
  </w:num>
  <w:num w:numId="15" w16cid:durableId="75135418">
    <w:abstractNumId w:val="5"/>
  </w:num>
  <w:num w:numId="16" w16cid:durableId="1842305826">
    <w:abstractNumId w:val="21"/>
  </w:num>
  <w:num w:numId="17" w16cid:durableId="1829007635">
    <w:abstractNumId w:val="17"/>
  </w:num>
  <w:num w:numId="18" w16cid:durableId="693657033">
    <w:abstractNumId w:val="19"/>
  </w:num>
  <w:num w:numId="19" w16cid:durableId="1339188891">
    <w:abstractNumId w:val="11"/>
  </w:num>
  <w:num w:numId="20" w16cid:durableId="80879777">
    <w:abstractNumId w:val="8"/>
  </w:num>
  <w:num w:numId="21" w16cid:durableId="375351761">
    <w:abstractNumId w:val="20"/>
  </w:num>
  <w:num w:numId="22" w16cid:durableId="447545847">
    <w:abstractNumId w:val="23"/>
  </w:num>
  <w:num w:numId="23" w16cid:durableId="682628211">
    <w:abstractNumId w:val="2"/>
  </w:num>
  <w:num w:numId="24" w16cid:durableId="16468149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1B6"/>
    <w:rsid w:val="00004E6F"/>
    <w:rsid w:val="0003006E"/>
    <w:rsid w:val="0004189E"/>
    <w:rsid w:val="00077273"/>
    <w:rsid w:val="00084162"/>
    <w:rsid w:val="00085021"/>
    <w:rsid w:val="000A0B52"/>
    <w:rsid w:val="000E4C3F"/>
    <w:rsid w:val="000F48F2"/>
    <w:rsid w:val="00102F45"/>
    <w:rsid w:val="001546AC"/>
    <w:rsid w:val="00176A48"/>
    <w:rsid w:val="001829CF"/>
    <w:rsid w:val="00236544"/>
    <w:rsid w:val="00253C75"/>
    <w:rsid w:val="00280DF8"/>
    <w:rsid w:val="00292850"/>
    <w:rsid w:val="002B5BDC"/>
    <w:rsid w:val="002C6A51"/>
    <w:rsid w:val="002C79C0"/>
    <w:rsid w:val="002F7CCC"/>
    <w:rsid w:val="003022E7"/>
    <w:rsid w:val="00317E28"/>
    <w:rsid w:val="00326A32"/>
    <w:rsid w:val="00334D29"/>
    <w:rsid w:val="00367BAC"/>
    <w:rsid w:val="003B60D4"/>
    <w:rsid w:val="003F5D6D"/>
    <w:rsid w:val="0041094E"/>
    <w:rsid w:val="00423D53"/>
    <w:rsid w:val="004D77A7"/>
    <w:rsid w:val="004F4AFB"/>
    <w:rsid w:val="00504B62"/>
    <w:rsid w:val="005237F3"/>
    <w:rsid w:val="00565075"/>
    <w:rsid w:val="00565DB7"/>
    <w:rsid w:val="005845A3"/>
    <w:rsid w:val="005A42E0"/>
    <w:rsid w:val="005A6066"/>
    <w:rsid w:val="005E15F2"/>
    <w:rsid w:val="005F31B4"/>
    <w:rsid w:val="005F6B20"/>
    <w:rsid w:val="0063187F"/>
    <w:rsid w:val="00632230"/>
    <w:rsid w:val="006338AA"/>
    <w:rsid w:val="007231B6"/>
    <w:rsid w:val="007252B6"/>
    <w:rsid w:val="007629FC"/>
    <w:rsid w:val="00791E07"/>
    <w:rsid w:val="007E0C93"/>
    <w:rsid w:val="00806DFF"/>
    <w:rsid w:val="00850278"/>
    <w:rsid w:val="008672FE"/>
    <w:rsid w:val="0089200B"/>
    <w:rsid w:val="0089692A"/>
    <w:rsid w:val="009278BB"/>
    <w:rsid w:val="0098051A"/>
    <w:rsid w:val="009B791F"/>
    <w:rsid w:val="009E308B"/>
    <w:rsid w:val="00A05E7F"/>
    <w:rsid w:val="00A12CEF"/>
    <w:rsid w:val="00A235C7"/>
    <w:rsid w:val="00A25FDE"/>
    <w:rsid w:val="00A61CED"/>
    <w:rsid w:val="00A97F77"/>
    <w:rsid w:val="00AB2D22"/>
    <w:rsid w:val="00AE6085"/>
    <w:rsid w:val="00B50F58"/>
    <w:rsid w:val="00B72BF2"/>
    <w:rsid w:val="00B75B8F"/>
    <w:rsid w:val="00B75D66"/>
    <w:rsid w:val="00B9382C"/>
    <w:rsid w:val="00B93FA7"/>
    <w:rsid w:val="00BB7B62"/>
    <w:rsid w:val="00BD1805"/>
    <w:rsid w:val="00C132B7"/>
    <w:rsid w:val="00C5393D"/>
    <w:rsid w:val="00C86022"/>
    <w:rsid w:val="00CA2B4B"/>
    <w:rsid w:val="00CC3BA9"/>
    <w:rsid w:val="00D13336"/>
    <w:rsid w:val="00D366F2"/>
    <w:rsid w:val="00D81B8D"/>
    <w:rsid w:val="00DA08CA"/>
    <w:rsid w:val="00DA3F43"/>
    <w:rsid w:val="00DB1CC2"/>
    <w:rsid w:val="00DB4C3D"/>
    <w:rsid w:val="00DC2449"/>
    <w:rsid w:val="00DD304A"/>
    <w:rsid w:val="00DE06EB"/>
    <w:rsid w:val="00E073D3"/>
    <w:rsid w:val="00E17B4F"/>
    <w:rsid w:val="00E23D84"/>
    <w:rsid w:val="00E72678"/>
    <w:rsid w:val="00E76356"/>
    <w:rsid w:val="00EE341C"/>
    <w:rsid w:val="00EF047A"/>
    <w:rsid w:val="00F31B81"/>
    <w:rsid w:val="00F3640D"/>
    <w:rsid w:val="00F77978"/>
    <w:rsid w:val="00FB3FB4"/>
    <w:rsid w:val="00FC1D98"/>
    <w:rsid w:val="00FF542C"/>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11E14A"/>
  <w15:docId w15:val="{DA1D36E2-9314-4F99-BDDE-E6D223E1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31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231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231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231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231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231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31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31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31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31B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231B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231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231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231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231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31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31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31B6"/>
    <w:rPr>
      <w:rFonts w:eastAsiaTheme="majorEastAsia" w:cstheme="majorBidi"/>
      <w:color w:val="272727" w:themeColor="text1" w:themeTint="D8"/>
    </w:rPr>
  </w:style>
  <w:style w:type="paragraph" w:styleId="Title">
    <w:name w:val="Title"/>
    <w:basedOn w:val="Normal"/>
    <w:next w:val="Normal"/>
    <w:link w:val="TitleChar"/>
    <w:uiPriority w:val="10"/>
    <w:qFormat/>
    <w:rsid w:val="007231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31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31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31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31B6"/>
    <w:pPr>
      <w:spacing w:before="160"/>
      <w:jc w:val="center"/>
    </w:pPr>
    <w:rPr>
      <w:i/>
      <w:iCs/>
      <w:color w:val="404040" w:themeColor="text1" w:themeTint="BF"/>
    </w:rPr>
  </w:style>
  <w:style w:type="character" w:customStyle="1" w:styleId="QuoteChar">
    <w:name w:val="Quote Char"/>
    <w:basedOn w:val="DefaultParagraphFont"/>
    <w:link w:val="Quote"/>
    <w:uiPriority w:val="29"/>
    <w:rsid w:val="007231B6"/>
    <w:rPr>
      <w:i/>
      <w:iCs/>
      <w:color w:val="404040" w:themeColor="text1" w:themeTint="BF"/>
    </w:rPr>
  </w:style>
  <w:style w:type="paragraph" w:styleId="ListParagraph">
    <w:name w:val="List Paragraph"/>
    <w:basedOn w:val="Normal"/>
    <w:uiPriority w:val="34"/>
    <w:qFormat/>
    <w:rsid w:val="007231B6"/>
    <w:pPr>
      <w:ind w:left="720"/>
      <w:contextualSpacing/>
    </w:pPr>
  </w:style>
  <w:style w:type="character" w:styleId="IntenseEmphasis">
    <w:name w:val="Intense Emphasis"/>
    <w:basedOn w:val="DefaultParagraphFont"/>
    <w:uiPriority w:val="21"/>
    <w:qFormat/>
    <w:rsid w:val="007231B6"/>
    <w:rPr>
      <w:i/>
      <w:iCs/>
      <w:color w:val="2F5496" w:themeColor="accent1" w:themeShade="BF"/>
    </w:rPr>
  </w:style>
  <w:style w:type="paragraph" w:styleId="IntenseQuote">
    <w:name w:val="Intense Quote"/>
    <w:basedOn w:val="Normal"/>
    <w:next w:val="Normal"/>
    <w:link w:val="IntenseQuoteChar"/>
    <w:uiPriority w:val="30"/>
    <w:qFormat/>
    <w:rsid w:val="007231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231B6"/>
    <w:rPr>
      <w:i/>
      <w:iCs/>
      <w:color w:val="2F5496" w:themeColor="accent1" w:themeShade="BF"/>
    </w:rPr>
  </w:style>
  <w:style w:type="character" w:styleId="IntenseReference">
    <w:name w:val="Intense Reference"/>
    <w:basedOn w:val="DefaultParagraphFont"/>
    <w:uiPriority w:val="32"/>
    <w:qFormat/>
    <w:rsid w:val="007231B6"/>
    <w:rPr>
      <w:b/>
      <w:bCs/>
      <w:smallCaps/>
      <w:color w:val="2F5496" w:themeColor="accent1" w:themeShade="BF"/>
      <w:spacing w:val="5"/>
    </w:rPr>
  </w:style>
  <w:style w:type="character" w:styleId="Hyperlink">
    <w:name w:val="Hyperlink"/>
    <w:basedOn w:val="DefaultParagraphFont"/>
    <w:uiPriority w:val="99"/>
    <w:unhideWhenUsed/>
    <w:rsid w:val="00280DF8"/>
    <w:rPr>
      <w:color w:val="0563C1" w:themeColor="hyperlink"/>
      <w:u w:val="single"/>
    </w:rPr>
  </w:style>
  <w:style w:type="character" w:customStyle="1" w:styleId="Mencinsinresolver1">
    <w:name w:val="Mención sin resolver1"/>
    <w:basedOn w:val="DefaultParagraphFont"/>
    <w:uiPriority w:val="99"/>
    <w:semiHidden/>
    <w:unhideWhenUsed/>
    <w:rsid w:val="00280DF8"/>
    <w:rPr>
      <w:color w:val="605E5C"/>
      <w:shd w:val="clear" w:color="auto" w:fill="E1DFDD"/>
    </w:rPr>
  </w:style>
  <w:style w:type="paragraph" w:styleId="NoSpacing">
    <w:name w:val="No Spacing"/>
    <w:uiPriority w:val="1"/>
    <w:qFormat/>
    <w:rsid w:val="00280DF8"/>
    <w:pPr>
      <w:spacing w:after="0" w:line="240" w:lineRule="auto"/>
    </w:pPr>
  </w:style>
  <w:style w:type="paragraph" w:styleId="Header">
    <w:name w:val="header"/>
    <w:basedOn w:val="Normal"/>
    <w:link w:val="HeaderChar"/>
    <w:uiPriority w:val="99"/>
    <w:unhideWhenUsed/>
    <w:rsid w:val="00B93FA7"/>
    <w:pPr>
      <w:tabs>
        <w:tab w:val="center" w:pos="4419"/>
        <w:tab w:val="right" w:pos="8838"/>
      </w:tabs>
      <w:spacing w:after="0" w:line="240" w:lineRule="auto"/>
    </w:pPr>
  </w:style>
  <w:style w:type="character" w:customStyle="1" w:styleId="HeaderChar">
    <w:name w:val="Header Char"/>
    <w:basedOn w:val="DefaultParagraphFont"/>
    <w:link w:val="Header"/>
    <w:uiPriority w:val="99"/>
    <w:rsid w:val="00B93FA7"/>
  </w:style>
  <w:style w:type="paragraph" w:styleId="Footer">
    <w:name w:val="footer"/>
    <w:basedOn w:val="Normal"/>
    <w:link w:val="FooterChar"/>
    <w:uiPriority w:val="99"/>
    <w:unhideWhenUsed/>
    <w:rsid w:val="00B93FA7"/>
    <w:pPr>
      <w:tabs>
        <w:tab w:val="center" w:pos="4419"/>
        <w:tab w:val="right" w:pos="8838"/>
      </w:tabs>
      <w:spacing w:after="0" w:line="240" w:lineRule="auto"/>
    </w:pPr>
  </w:style>
  <w:style w:type="character" w:customStyle="1" w:styleId="FooterChar">
    <w:name w:val="Footer Char"/>
    <w:basedOn w:val="DefaultParagraphFont"/>
    <w:link w:val="Footer"/>
    <w:uiPriority w:val="99"/>
    <w:rsid w:val="00B93FA7"/>
  </w:style>
  <w:style w:type="paragraph" w:styleId="BalloonText">
    <w:name w:val="Balloon Text"/>
    <w:basedOn w:val="Normal"/>
    <w:link w:val="BalloonTextChar"/>
    <w:uiPriority w:val="99"/>
    <w:semiHidden/>
    <w:unhideWhenUsed/>
    <w:rsid w:val="00BD18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805"/>
    <w:rPr>
      <w:rFonts w:ascii="Tahoma" w:hAnsi="Tahoma" w:cs="Tahoma"/>
      <w:sz w:val="16"/>
      <w:szCs w:val="16"/>
    </w:rPr>
  </w:style>
  <w:style w:type="character" w:styleId="CommentReference">
    <w:name w:val="annotation reference"/>
    <w:basedOn w:val="DefaultParagraphFont"/>
    <w:uiPriority w:val="99"/>
    <w:semiHidden/>
    <w:unhideWhenUsed/>
    <w:rsid w:val="00F31B81"/>
    <w:rPr>
      <w:sz w:val="16"/>
      <w:szCs w:val="16"/>
    </w:rPr>
  </w:style>
  <w:style w:type="paragraph" w:styleId="CommentText">
    <w:name w:val="annotation text"/>
    <w:basedOn w:val="Normal"/>
    <w:link w:val="CommentTextChar"/>
    <w:uiPriority w:val="99"/>
    <w:semiHidden/>
    <w:unhideWhenUsed/>
    <w:rsid w:val="00F31B81"/>
    <w:pPr>
      <w:spacing w:line="240" w:lineRule="auto"/>
    </w:pPr>
    <w:rPr>
      <w:sz w:val="20"/>
      <w:szCs w:val="20"/>
    </w:rPr>
  </w:style>
  <w:style w:type="character" w:customStyle="1" w:styleId="CommentTextChar">
    <w:name w:val="Comment Text Char"/>
    <w:basedOn w:val="DefaultParagraphFont"/>
    <w:link w:val="CommentText"/>
    <w:uiPriority w:val="99"/>
    <w:semiHidden/>
    <w:rsid w:val="00F31B81"/>
    <w:rPr>
      <w:sz w:val="20"/>
      <w:szCs w:val="20"/>
    </w:rPr>
  </w:style>
  <w:style w:type="paragraph" w:styleId="CommentSubject">
    <w:name w:val="annotation subject"/>
    <w:basedOn w:val="CommentText"/>
    <w:next w:val="CommentText"/>
    <w:link w:val="CommentSubjectChar"/>
    <w:uiPriority w:val="99"/>
    <w:semiHidden/>
    <w:unhideWhenUsed/>
    <w:rsid w:val="00F31B81"/>
    <w:rPr>
      <w:b/>
      <w:bCs/>
    </w:rPr>
  </w:style>
  <w:style w:type="character" w:customStyle="1" w:styleId="CommentSubjectChar">
    <w:name w:val="Comment Subject Char"/>
    <w:basedOn w:val="CommentTextChar"/>
    <w:link w:val="CommentSubject"/>
    <w:uiPriority w:val="99"/>
    <w:semiHidden/>
    <w:rsid w:val="00F31B81"/>
    <w:rPr>
      <w:b/>
      <w:bCs/>
      <w:sz w:val="20"/>
      <w:szCs w:val="20"/>
    </w:rPr>
  </w:style>
  <w:style w:type="paragraph" w:styleId="Revision">
    <w:name w:val="Revision"/>
    <w:hidden/>
    <w:uiPriority w:val="99"/>
    <w:semiHidden/>
    <w:rsid w:val="00F31B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368528">
      <w:bodyDiv w:val="1"/>
      <w:marLeft w:val="0"/>
      <w:marRight w:val="0"/>
      <w:marTop w:val="0"/>
      <w:marBottom w:val="0"/>
      <w:divBdr>
        <w:top w:val="none" w:sz="0" w:space="0" w:color="auto"/>
        <w:left w:val="none" w:sz="0" w:space="0" w:color="auto"/>
        <w:bottom w:val="none" w:sz="0" w:space="0" w:color="auto"/>
        <w:right w:val="none" w:sz="0" w:space="0" w:color="auto"/>
      </w:divBdr>
    </w:div>
    <w:div w:id="972557475">
      <w:bodyDiv w:val="1"/>
      <w:marLeft w:val="0"/>
      <w:marRight w:val="0"/>
      <w:marTop w:val="0"/>
      <w:marBottom w:val="0"/>
      <w:divBdr>
        <w:top w:val="none" w:sz="0" w:space="0" w:color="auto"/>
        <w:left w:val="none" w:sz="0" w:space="0" w:color="auto"/>
        <w:bottom w:val="none" w:sz="0" w:space="0" w:color="auto"/>
        <w:right w:val="none" w:sz="0" w:space="0" w:color="auto"/>
      </w:divBdr>
      <w:divsChild>
        <w:div w:id="665520659">
          <w:marLeft w:val="0"/>
          <w:marRight w:val="0"/>
          <w:marTop w:val="0"/>
          <w:marBottom w:val="0"/>
          <w:divBdr>
            <w:top w:val="none" w:sz="0" w:space="0" w:color="auto"/>
            <w:left w:val="none" w:sz="0" w:space="0" w:color="auto"/>
            <w:bottom w:val="none" w:sz="0" w:space="0" w:color="auto"/>
            <w:right w:val="none" w:sz="0" w:space="0" w:color="auto"/>
          </w:divBdr>
          <w:divsChild>
            <w:div w:id="617301615">
              <w:marLeft w:val="0"/>
              <w:marRight w:val="0"/>
              <w:marTop w:val="0"/>
              <w:marBottom w:val="0"/>
              <w:divBdr>
                <w:top w:val="none" w:sz="0" w:space="0" w:color="auto"/>
                <w:left w:val="none" w:sz="0" w:space="0" w:color="auto"/>
                <w:bottom w:val="none" w:sz="0" w:space="0" w:color="auto"/>
                <w:right w:val="none" w:sz="0" w:space="0" w:color="auto"/>
              </w:divBdr>
              <w:divsChild>
                <w:div w:id="110241209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700011665">
          <w:marLeft w:val="0"/>
          <w:marRight w:val="0"/>
          <w:marTop w:val="0"/>
          <w:marBottom w:val="0"/>
          <w:divBdr>
            <w:top w:val="none" w:sz="0" w:space="0" w:color="auto"/>
            <w:left w:val="none" w:sz="0" w:space="0" w:color="auto"/>
            <w:bottom w:val="none" w:sz="0" w:space="0" w:color="auto"/>
            <w:right w:val="none" w:sz="0" w:space="0" w:color="auto"/>
          </w:divBdr>
          <w:divsChild>
            <w:div w:id="824708972">
              <w:marLeft w:val="0"/>
              <w:marRight w:val="0"/>
              <w:marTop w:val="0"/>
              <w:marBottom w:val="0"/>
              <w:divBdr>
                <w:top w:val="none" w:sz="0" w:space="0" w:color="auto"/>
                <w:left w:val="none" w:sz="0" w:space="0" w:color="auto"/>
                <w:bottom w:val="none" w:sz="0" w:space="0" w:color="auto"/>
                <w:right w:val="none" w:sz="0" w:space="0" w:color="auto"/>
              </w:divBdr>
              <w:divsChild>
                <w:div w:id="26673553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46687589">
          <w:marLeft w:val="0"/>
          <w:marRight w:val="0"/>
          <w:marTop w:val="0"/>
          <w:marBottom w:val="0"/>
          <w:divBdr>
            <w:top w:val="none" w:sz="0" w:space="0" w:color="auto"/>
            <w:left w:val="none" w:sz="0" w:space="0" w:color="auto"/>
            <w:bottom w:val="none" w:sz="0" w:space="0" w:color="auto"/>
            <w:right w:val="none" w:sz="0" w:space="0" w:color="auto"/>
          </w:divBdr>
          <w:divsChild>
            <w:div w:id="1242447246">
              <w:marLeft w:val="0"/>
              <w:marRight w:val="0"/>
              <w:marTop w:val="0"/>
              <w:marBottom w:val="0"/>
              <w:divBdr>
                <w:top w:val="none" w:sz="0" w:space="0" w:color="auto"/>
                <w:left w:val="none" w:sz="0" w:space="0" w:color="auto"/>
                <w:bottom w:val="none" w:sz="0" w:space="0" w:color="auto"/>
                <w:right w:val="none" w:sz="0" w:space="0" w:color="auto"/>
              </w:divBdr>
            </w:div>
          </w:divsChild>
        </w:div>
        <w:div w:id="1066882951">
          <w:marLeft w:val="0"/>
          <w:marRight w:val="0"/>
          <w:marTop w:val="0"/>
          <w:marBottom w:val="0"/>
          <w:divBdr>
            <w:top w:val="none" w:sz="0" w:space="0" w:color="auto"/>
            <w:left w:val="none" w:sz="0" w:space="0" w:color="auto"/>
            <w:bottom w:val="none" w:sz="0" w:space="0" w:color="auto"/>
            <w:right w:val="none" w:sz="0" w:space="0" w:color="auto"/>
          </w:divBdr>
          <w:divsChild>
            <w:div w:id="67464321">
              <w:marLeft w:val="0"/>
              <w:marRight w:val="0"/>
              <w:marTop w:val="0"/>
              <w:marBottom w:val="0"/>
              <w:divBdr>
                <w:top w:val="none" w:sz="0" w:space="0" w:color="auto"/>
                <w:left w:val="none" w:sz="0" w:space="0" w:color="auto"/>
                <w:bottom w:val="none" w:sz="0" w:space="0" w:color="auto"/>
                <w:right w:val="none" w:sz="0" w:space="0" w:color="auto"/>
              </w:divBdr>
              <w:divsChild>
                <w:div w:id="1940600119">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68053863">
          <w:marLeft w:val="0"/>
          <w:marRight w:val="0"/>
          <w:marTop w:val="0"/>
          <w:marBottom w:val="0"/>
          <w:divBdr>
            <w:top w:val="none" w:sz="0" w:space="0" w:color="auto"/>
            <w:left w:val="none" w:sz="0" w:space="0" w:color="auto"/>
            <w:bottom w:val="none" w:sz="0" w:space="0" w:color="auto"/>
            <w:right w:val="none" w:sz="0" w:space="0" w:color="auto"/>
          </w:divBdr>
          <w:divsChild>
            <w:div w:id="1072237071">
              <w:marLeft w:val="0"/>
              <w:marRight w:val="0"/>
              <w:marTop w:val="0"/>
              <w:marBottom w:val="0"/>
              <w:divBdr>
                <w:top w:val="none" w:sz="0" w:space="0" w:color="auto"/>
                <w:left w:val="none" w:sz="0" w:space="0" w:color="auto"/>
                <w:bottom w:val="none" w:sz="0" w:space="0" w:color="auto"/>
                <w:right w:val="none" w:sz="0" w:space="0" w:color="auto"/>
              </w:divBdr>
              <w:divsChild>
                <w:div w:id="1351446637">
                  <w:marLeft w:val="0"/>
                  <w:marRight w:val="0"/>
                  <w:marTop w:val="0"/>
                  <w:marBottom w:val="0"/>
                  <w:divBdr>
                    <w:top w:val="none" w:sz="0" w:space="0" w:color="auto"/>
                    <w:left w:val="none" w:sz="0" w:space="0" w:color="auto"/>
                    <w:bottom w:val="none" w:sz="0" w:space="0" w:color="auto"/>
                    <w:right w:val="none" w:sz="0" w:space="0" w:color="auto"/>
                  </w:divBdr>
                  <w:divsChild>
                    <w:div w:id="887961412">
                      <w:marLeft w:val="0"/>
                      <w:marRight w:val="0"/>
                      <w:marTop w:val="0"/>
                      <w:marBottom w:val="0"/>
                      <w:divBdr>
                        <w:top w:val="none" w:sz="0" w:space="0" w:color="auto"/>
                        <w:left w:val="none" w:sz="0" w:space="0" w:color="auto"/>
                        <w:bottom w:val="none" w:sz="0" w:space="0" w:color="auto"/>
                        <w:right w:val="none" w:sz="0" w:space="0" w:color="auto"/>
                      </w:divBdr>
                      <w:divsChild>
                        <w:div w:id="925266229">
                          <w:marLeft w:val="0"/>
                          <w:marRight w:val="0"/>
                          <w:marTop w:val="0"/>
                          <w:marBottom w:val="0"/>
                          <w:divBdr>
                            <w:top w:val="none" w:sz="0" w:space="0" w:color="auto"/>
                            <w:left w:val="none" w:sz="0" w:space="0" w:color="auto"/>
                            <w:bottom w:val="none" w:sz="0" w:space="0" w:color="auto"/>
                            <w:right w:val="none" w:sz="0" w:space="0" w:color="auto"/>
                          </w:divBdr>
                          <w:divsChild>
                            <w:div w:id="44761233">
                              <w:marLeft w:val="0"/>
                              <w:marRight w:val="0"/>
                              <w:marTop w:val="0"/>
                              <w:marBottom w:val="0"/>
                              <w:divBdr>
                                <w:top w:val="none" w:sz="0" w:space="0" w:color="auto"/>
                                <w:left w:val="none" w:sz="0" w:space="0" w:color="auto"/>
                                <w:bottom w:val="none" w:sz="0" w:space="0" w:color="auto"/>
                                <w:right w:val="none" w:sz="0" w:space="0" w:color="auto"/>
                              </w:divBdr>
                            </w:div>
                            <w:div w:id="116471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2026-07-20T07:10:31+00:00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A766E1D-D7A6-4043-8FA4-877F1A6A07EC}"/>
</file>

<file path=customXml/itemProps2.xml><?xml version="1.0" encoding="utf-8"?>
<ds:datastoreItem xmlns:ds="http://schemas.openxmlformats.org/officeDocument/2006/customXml" ds:itemID="{0A63C6CC-CD66-4C3B-A8D2-54A0921B59EC}"/>
</file>

<file path=customXml/itemProps3.xml><?xml version="1.0" encoding="utf-8"?>
<ds:datastoreItem xmlns:ds="http://schemas.openxmlformats.org/officeDocument/2006/customXml" ds:itemID="{33764013-4B75-4665-BDB0-5AA63E967BCA}"/>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3258</Words>
  <Characters>19815</Characters>
  <Application>Microsoft Office Word</Application>
  <DocSecurity>4</DocSecurity>
  <Lines>373</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Revisor</dc:creator>
  <cp:lastModifiedBy>Jorge Araya</cp:lastModifiedBy>
  <cp:revision>2</cp:revision>
  <cp:lastPrinted>2025-08-07T18:11:00Z</cp:lastPrinted>
  <dcterms:created xsi:type="dcterms:W3CDTF">2026-07-20T07:10:00Z</dcterms:created>
  <dcterms:modified xsi:type="dcterms:W3CDTF">2026-07-20T07:10:00Z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