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FB76C3" w14:textId="77777777" w:rsidR="00445140" w:rsidRPr="00F95325" w:rsidRDefault="00445140" w:rsidP="00024322">
      <w:pPr>
        <w:pStyle w:val="BasicParagraph"/>
        <w:widowControl w:val="0"/>
        <w:ind w:left="-284" w:firstLine="284"/>
        <w:rPr>
          <w:rFonts w:ascii="Helvetica Light" w:hAnsi="Helvetica Light" w:cs="Helvetica"/>
          <w:color w:val="FFFFFF"/>
          <w:sz w:val="48"/>
          <w:szCs w:val="48"/>
        </w:rPr>
      </w:pPr>
    </w:p>
    <w:p w14:paraId="533EAE36" w14:textId="0D19E88F" w:rsidR="00EE3C84" w:rsidRPr="00F95325" w:rsidRDefault="00EE3C84" w:rsidP="00024322">
      <w:pPr>
        <w:pStyle w:val="BasicParagraph"/>
        <w:widowControl w:val="0"/>
        <w:ind w:left="-284" w:firstLine="284"/>
        <w:rPr>
          <w:rFonts w:ascii="Helvetica Light" w:hAnsi="Helvetica Light" w:cs="Helvetica"/>
          <w:color w:val="FFFFFF"/>
          <w:sz w:val="48"/>
          <w:szCs w:val="48"/>
        </w:rPr>
      </w:pPr>
      <w:r w:rsidRPr="00F95325">
        <w:rPr>
          <w:rFonts w:ascii="Helvetica Light" w:hAnsi="Helvetica Light"/>
          <w:noProof/>
          <w:sz w:val="48"/>
          <w:szCs w:val="48"/>
        </w:rPr>
        <mc:AlternateContent>
          <mc:Choice Requires="wps">
            <w:drawing>
              <wp:anchor distT="0" distB="0" distL="114300" distR="114300" simplePos="0" relativeHeight="251658240" behindDoc="1" locked="0" layoutInCell="1" allowOverlap="1" wp14:anchorId="5AC371C0" wp14:editId="650165B5">
                <wp:simplePos x="0" y="0"/>
                <wp:positionH relativeFrom="page">
                  <wp:align>left</wp:align>
                </wp:positionH>
                <wp:positionV relativeFrom="paragraph">
                  <wp:posOffset>-2167255</wp:posOffset>
                </wp:positionV>
                <wp:extent cx="4824248" cy="12093677"/>
                <wp:effectExtent l="0" t="0" r="14605" b="22225"/>
                <wp:wrapNone/>
                <wp:docPr id="4" name="Rectangle 4"/>
                <wp:cNvGraphicFramePr/>
                <a:graphic xmlns:a="http://schemas.openxmlformats.org/drawingml/2006/main">
                  <a:graphicData uri="http://schemas.microsoft.com/office/word/2010/wordprocessingShape">
                    <wps:wsp>
                      <wps:cNvSpPr/>
                      <wps:spPr>
                        <a:xfrm>
                          <a:off x="0" y="0"/>
                          <a:ext cx="4824248" cy="12093677"/>
                        </a:xfrm>
                        <a:prstGeom prst="rect">
                          <a:avLst/>
                        </a:prstGeom>
                        <a:solidFill>
                          <a:srgbClr val="2C166F"/>
                        </a:solidFill>
                        <a:ln>
                          <a:solidFill>
                            <a:srgbClr val="2C166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dh="http://schemas.microsoft.com/office/word/2020/wordml/sdtdatahash">
            <w:pict>
              <v:rect w14:anchorId="7C076CF4" id="Rectangle 4" o:spid="_x0000_s1026" style="position:absolute;margin-left:0;margin-top:-170.65pt;width:379.85pt;height:952.25pt;z-index:-25165824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" fillcolor="#2c166f" strokecolor="#2c166f" strokeweight="2pt">
                <w10:wrap anchorx="page"/>
              </v:rect>
            </w:pict>
          </mc:Fallback>
        </mc:AlternateContent>
      </w:r>
      <w:r w:rsidRPr="00F95325">
        <w:rPr>
          <w:rFonts w:ascii="Helvetica Light" w:hAnsi="Helvetica Light" w:cs="Helvetica"/>
          <w:color w:val="FFFFFF"/>
          <w:sz w:val="48"/>
          <w:szCs w:val="48"/>
        </w:rPr>
        <w:t xml:space="preserve">Joint Submission to the </w:t>
      </w:r>
    </w:p>
    <w:p w14:paraId="26AE335F" w14:textId="646CB408" w:rsidR="00EE3C84" w:rsidRPr="00F95325" w:rsidRDefault="00FC70FC" w:rsidP="00024322">
      <w:pPr>
        <w:widowControl w:val="0"/>
        <w:rPr>
          <w:rFonts w:ascii="Helvetica Light" w:hAnsi="Helvetica Light" w:cs="Helvetica"/>
          <w:color w:val="FFFFFF"/>
          <w:sz w:val="48"/>
          <w:szCs w:val="48"/>
        </w:rPr>
      </w:pPr>
      <w:r w:rsidRPr="00F95325">
        <w:rPr>
          <w:rFonts w:ascii="Helvetica Light" w:hAnsi="Helvetica Light" w:cs="Helvetica"/>
          <w:color w:val="FFFFFF"/>
          <w:sz w:val="48"/>
          <w:szCs w:val="48"/>
        </w:rPr>
        <w:t>Committee against Torture</w:t>
      </w:r>
    </w:p>
    <w:p w14:paraId="03F5909E" w14:textId="6C3839BB" w:rsidR="00EE3C84" w:rsidRPr="00F95325" w:rsidRDefault="00EE3C84" w:rsidP="00024322">
      <w:pPr>
        <w:widowControl w:val="0"/>
        <w:ind w:left="-284" w:hanging="142"/>
        <w:rPr>
          <w:rFonts w:ascii="Helvetica Light" w:hAnsi="Helvetica Light" w:cs="Helvetica"/>
          <w:color w:val="FFFFFF"/>
          <w:sz w:val="48"/>
          <w:szCs w:val="48"/>
        </w:rPr>
      </w:pPr>
    </w:p>
    <w:p w14:paraId="343C3920" w14:textId="3C6543D9" w:rsidR="00EE3C84" w:rsidRPr="00F95325" w:rsidRDefault="00EE3C84" w:rsidP="00024322">
      <w:pPr>
        <w:widowControl w:val="0"/>
        <w:ind w:left="-284" w:hanging="142"/>
        <w:rPr>
          <w:rFonts w:ascii="Helvetica Light" w:hAnsi="Helvetica Light" w:cs="Helvetica"/>
          <w:color w:val="FFFFFF"/>
          <w:sz w:val="48"/>
          <w:szCs w:val="48"/>
        </w:rPr>
      </w:pPr>
    </w:p>
    <w:p w14:paraId="05685BF7" w14:textId="620EF519" w:rsidR="00EE3C84" w:rsidRPr="00F95325" w:rsidRDefault="00EE3C84" w:rsidP="00024322">
      <w:pPr>
        <w:widowControl w:val="0"/>
        <w:ind w:left="-284" w:hanging="142"/>
        <w:rPr>
          <w:rFonts w:ascii="Helvetica Light" w:hAnsi="Helvetica Light" w:cs="Helvetica"/>
          <w:color w:val="FFFFFF"/>
          <w:sz w:val="48"/>
          <w:szCs w:val="48"/>
        </w:rPr>
      </w:pPr>
    </w:p>
    <w:p w14:paraId="0F9CD652" w14:textId="28359EAD" w:rsidR="00EE3C84" w:rsidRPr="00F95325" w:rsidRDefault="009D494D" w:rsidP="00024322">
      <w:pPr>
        <w:widowControl w:val="0"/>
        <w:ind w:left="-284" w:hanging="142"/>
        <w:rPr>
          <w:rFonts w:ascii="Helvetica Light" w:hAnsi="Helvetica Light" w:cs="Helvetica"/>
          <w:color w:val="FFFFFF"/>
          <w:sz w:val="48"/>
          <w:szCs w:val="48"/>
        </w:rPr>
      </w:pPr>
      <w:r w:rsidRPr="00F95325">
        <w:rPr>
          <w:noProof/>
        </w:rPr>
        <w:drawing>
          <wp:anchor distT="0" distB="0" distL="114300" distR="114300" simplePos="0" relativeHeight="251658244" behindDoc="1" locked="0" layoutInCell="1" allowOverlap="1" wp14:anchorId="515F01AC" wp14:editId="092BCDF2">
            <wp:simplePos x="0" y="0"/>
            <wp:positionH relativeFrom="column">
              <wp:posOffset>4073525</wp:posOffset>
            </wp:positionH>
            <wp:positionV relativeFrom="paragraph">
              <wp:posOffset>3556635</wp:posOffset>
            </wp:positionV>
            <wp:extent cx="2096770" cy="866775"/>
            <wp:effectExtent l="0" t="0" r="0" b="9525"/>
            <wp:wrapNone/>
            <wp:docPr id="2" name="image2.jpg"/>
            <wp:cNvGraphicFramePr/>
            <a:graphic xmlns:a="http://schemas.openxmlformats.org/drawingml/2006/main">
              <a:graphicData uri="http://schemas.openxmlformats.org/drawingml/2006/picture">
                <pic:pic xmlns:pic="http://schemas.openxmlformats.org/drawingml/2006/picture">
                  <pic:nvPicPr>
                    <pic:cNvPr id="5" name="image2.jpg"/>
                    <pic:cNvPicPr/>
                  </pic:nvPicPr>
                  <pic:blipFill>
                    <a:blip r:embed="rId11"/>
                    <a:srcRect/>
                    <a:stretch>
                      <a:fillRect/>
                    </a:stretch>
                  </pic:blipFill>
                  <pic:spPr>
                    <a:xfrm>
                      <a:off x="0" y="0"/>
                      <a:ext cx="2096770" cy="866775"/>
                    </a:xfrm>
                    <a:prstGeom prst="rect">
                      <a:avLst/>
                    </a:prstGeom>
                    <a:ln/>
                  </pic:spPr>
                </pic:pic>
              </a:graphicData>
            </a:graphic>
            <wp14:sizeRelH relativeFrom="margin">
              <wp14:pctWidth>0</wp14:pctWidth>
            </wp14:sizeRelH>
            <wp14:sizeRelV relativeFrom="margin">
              <wp14:pctHeight>0</wp14:pctHeight>
            </wp14:sizeRelV>
          </wp:anchor>
        </w:drawing>
      </w:r>
      <w:r w:rsidRPr="00F95325">
        <w:rPr>
          <w:rFonts w:ascii="Helvetica" w:hAnsi="Helvetica" w:cs="Helvetica"/>
          <w:b/>
          <w:bCs/>
          <w:noProof/>
          <w:color w:val="FFFFFF"/>
          <w:sz w:val="72"/>
          <w:szCs w:val="72"/>
        </w:rPr>
        <w:drawing>
          <wp:anchor distT="0" distB="0" distL="114300" distR="114300" simplePos="0" relativeHeight="251658243" behindDoc="0" locked="0" layoutInCell="1" allowOverlap="1" wp14:anchorId="466112C5" wp14:editId="6D9BB2EB">
            <wp:simplePos x="0" y="0"/>
            <wp:positionH relativeFrom="column">
              <wp:posOffset>4060190</wp:posOffset>
            </wp:positionH>
            <wp:positionV relativeFrom="paragraph">
              <wp:posOffset>257175</wp:posOffset>
            </wp:positionV>
            <wp:extent cx="2077720" cy="754380"/>
            <wp:effectExtent l="0" t="0" r="5080" b="0"/>
            <wp:wrapSquare wrapText="bothSides"/>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77720" cy="754380"/>
                    </a:xfrm>
                    <a:prstGeom prst="rect">
                      <a:avLst/>
                    </a:prstGeom>
                  </pic:spPr>
                </pic:pic>
              </a:graphicData>
            </a:graphic>
            <wp14:sizeRelH relativeFrom="page">
              <wp14:pctWidth>0</wp14:pctWidth>
            </wp14:sizeRelH>
            <wp14:sizeRelV relativeFrom="page">
              <wp14:pctHeight>0</wp14:pctHeight>
            </wp14:sizeRelV>
          </wp:anchor>
        </w:drawing>
      </w:r>
      <w:r w:rsidRPr="00F95325">
        <w:rPr>
          <w:rFonts w:ascii="Helvetica" w:hAnsi="Helvetica" w:cs="Helvetica"/>
          <w:b/>
          <w:bCs/>
          <w:noProof/>
          <w:color w:val="FFFFFF"/>
          <w:sz w:val="72"/>
          <w:szCs w:val="72"/>
        </w:rPr>
        <w:drawing>
          <wp:anchor distT="0" distB="0" distL="114300" distR="114300" simplePos="0" relativeHeight="251658242" behindDoc="0" locked="0" layoutInCell="1" allowOverlap="1" wp14:anchorId="410E6CFB" wp14:editId="6A80E345">
            <wp:simplePos x="0" y="0"/>
            <wp:positionH relativeFrom="column">
              <wp:posOffset>4075430</wp:posOffset>
            </wp:positionH>
            <wp:positionV relativeFrom="paragraph">
              <wp:posOffset>1811020</wp:posOffset>
            </wp:positionV>
            <wp:extent cx="1997710" cy="1123950"/>
            <wp:effectExtent l="0" t="0" r="2540" b="0"/>
            <wp:wrapSquare wrapText="bothSides"/>
            <wp:docPr id="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sv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97710" cy="1123950"/>
                    </a:xfrm>
                    <a:prstGeom prst="rect">
                      <a:avLst/>
                    </a:prstGeom>
                  </pic:spPr>
                </pic:pic>
              </a:graphicData>
            </a:graphic>
            <wp14:sizeRelH relativeFrom="page">
              <wp14:pctWidth>0</wp14:pctWidth>
            </wp14:sizeRelH>
            <wp14:sizeRelV relativeFrom="page">
              <wp14:pctHeight>0</wp14:pctHeight>
            </wp14:sizeRelV>
          </wp:anchor>
        </w:drawing>
      </w:r>
    </w:p>
    <w:p w14:paraId="3DDCDE3B" w14:textId="4CED1E98" w:rsidR="00EE3C84" w:rsidRPr="00F95325" w:rsidRDefault="00EE3C84" w:rsidP="00024322">
      <w:pPr>
        <w:pStyle w:val="BasicParagraph"/>
        <w:widowControl w:val="0"/>
        <w:tabs>
          <w:tab w:val="left" w:pos="709"/>
        </w:tabs>
        <w:spacing w:line="240" w:lineRule="auto"/>
        <w:ind w:left="426" w:firstLine="567"/>
        <w:rPr>
          <w:rFonts w:ascii="Helvetica" w:hAnsi="Helvetica" w:cs="Helvetica"/>
          <w:b/>
          <w:bCs/>
          <w:color w:val="FFFFFF"/>
          <w:sz w:val="72"/>
          <w:szCs w:val="72"/>
        </w:rPr>
      </w:pPr>
      <w:r w:rsidRPr="00F95325">
        <w:rPr>
          <w:rFonts w:ascii="Helvetica Light" w:hAnsi="Helvetica Light" w:cs="Helvetica"/>
          <w:noProof/>
          <w:color w:val="FFFFFF"/>
          <w:sz w:val="48"/>
          <w:szCs w:val="48"/>
        </w:rPr>
        <mc:AlternateContent>
          <mc:Choice Requires="wps">
            <w:drawing>
              <wp:anchor distT="0" distB="0" distL="114300" distR="114300" simplePos="0" relativeHeight="251658241" behindDoc="0" locked="0" layoutInCell="1" allowOverlap="1" wp14:anchorId="03ABAF4F" wp14:editId="7CC85540">
                <wp:simplePos x="0" y="0"/>
                <wp:positionH relativeFrom="column">
                  <wp:posOffset>87630</wp:posOffset>
                </wp:positionH>
                <wp:positionV relativeFrom="paragraph">
                  <wp:posOffset>40640</wp:posOffset>
                </wp:positionV>
                <wp:extent cx="0" cy="2922270"/>
                <wp:effectExtent l="76200" t="0" r="88900" b="36830"/>
                <wp:wrapNone/>
                <wp:docPr id="5" name="Straight Connector 5"/>
                <wp:cNvGraphicFramePr/>
                <a:graphic xmlns:a="http://schemas.openxmlformats.org/drawingml/2006/main">
                  <a:graphicData uri="http://schemas.microsoft.com/office/word/2010/wordprocessingShape">
                    <wps:wsp>
                      <wps:cNvCnPr/>
                      <wps:spPr>
                        <a:xfrm>
                          <a:off x="0" y="0"/>
                          <a:ext cx="0" cy="2922270"/>
                        </a:xfrm>
                        <a:prstGeom prst="line">
                          <a:avLst/>
                        </a:prstGeom>
                        <a:ln w="1587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arto="http://schemas.microsoft.com/office/word/2006/arto" xmlns:w16sdtdh="http://schemas.microsoft.com/office/word/2020/wordml/sdtdatahash">
            <w:pict>
              <v:line w14:anchorId="091996AB" id="Straight Connector 5" o:spid="_x0000_s1026" style="position:absolute;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9pt,3.2pt" to="6.9pt,23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" strokecolor="white [3212]" strokeweight="12.5pt"/>
            </w:pict>
          </mc:Fallback>
        </mc:AlternateContent>
      </w:r>
    </w:p>
    <w:p w14:paraId="5D46534D" w14:textId="5620E9E6" w:rsidR="00EE3C84" w:rsidRPr="00F95325" w:rsidRDefault="00EE3C84" w:rsidP="00024322">
      <w:pPr>
        <w:widowControl w:val="0"/>
        <w:ind w:left="-284" w:firstLine="284"/>
        <w:rPr>
          <w:rFonts w:ascii="Helvetica" w:hAnsi="Helvetica" w:cs="Helvetica"/>
          <w:b/>
          <w:bCs/>
          <w:color w:val="FFFFFF"/>
          <w:sz w:val="72"/>
          <w:szCs w:val="72"/>
        </w:rPr>
      </w:pPr>
    </w:p>
    <w:p w14:paraId="6DF690F4" w14:textId="53F99864" w:rsidR="00EE3C84" w:rsidRPr="00F95325" w:rsidRDefault="000B52C5" w:rsidP="00024322">
      <w:pPr>
        <w:pStyle w:val="BasicParagraph"/>
        <w:widowControl w:val="0"/>
        <w:ind w:firstLine="993"/>
        <w:rPr>
          <w:rFonts w:ascii="Helvetica Light" w:hAnsi="Helvetica Light" w:cs="Helvetica"/>
          <w:color w:val="FFFFFF"/>
          <w:sz w:val="36"/>
          <w:szCs w:val="36"/>
        </w:rPr>
      </w:pPr>
      <w:r w:rsidRPr="00F95325">
        <w:rPr>
          <w:rFonts w:ascii="Helvetica Light" w:hAnsi="Helvetica Light" w:cs="Helvetica"/>
          <w:color w:val="FFFFFF"/>
          <w:sz w:val="36"/>
          <w:szCs w:val="36"/>
        </w:rPr>
        <w:t>71</w:t>
      </w:r>
      <w:r w:rsidRPr="00F95325">
        <w:rPr>
          <w:rFonts w:ascii="Helvetica Light" w:hAnsi="Helvetica Light" w:cs="Helvetica"/>
          <w:color w:val="FFFFFF"/>
          <w:sz w:val="36"/>
          <w:szCs w:val="36"/>
          <w:vertAlign w:val="superscript"/>
        </w:rPr>
        <w:t>st</w:t>
      </w:r>
      <w:r w:rsidRPr="00F95325">
        <w:rPr>
          <w:rFonts w:ascii="Helvetica Light" w:hAnsi="Helvetica Light" w:cs="Helvetica"/>
          <w:color w:val="FFFFFF"/>
          <w:sz w:val="36"/>
          <w:szCs w:val="36"/>
        </w:rPr>
        <w:t xml:space="preserve"> </w:t>
      </w:r>
      <w:r w:rsidR="00EE3C84" w:rsidRPr="00F95325">
        <w:rPr>
          <w:rFonts w:ascii="Helvetica Light" w:hAnsi="Helvetica Light" w:cs="Helvetica"/>
          <w:color w:val="FFFFFF"/>
          <w:sz w:val="36"/>
          <w:szCs w:val="36"/>
        </w:rPr>
        <w:t>Session</w:t>
      </w:r>
      <w:r w:rsidR="00EE3C84" w:rsidRPr="00F95325">
        <w:rPr>
          <w:rFonts w:ascii="Helvetica Light" w:hAnsi="Helvetica Light" w:cs="Helvetica"/>
          <w:color w:val="FFFFFF"/>
          <w:sz w:val="36"/>
          <w:szCs w:val="36"/>
        </w:rPr>
        <w:softHyphen/>
      </w:r>
    </w:p>
    <w:p w14:paraId="25548D19" w14:textId="105D2A24" w:rsidR="006916AD" w:rsidRPr="00F95325" w:rsidRDefault="006916AD" w:rsidP="00024322">
      <w:pPr>
        <w:pStyle w:val="BasicParagraph"/>
        <w:widowControl w:val="0"/>
        <w:ind w:firstLine="993"/>
        <w:rPr>
          <w:rFonts w:ascii="Helvetica Light" w:hAnsi="Helvetica Light" w:cs="Helvetica"/>
          <w:color w:val="FFFFFF"/>
          <w:sz w:val="36"/>
          <w:szCs w:val="36"/>
        </w:rPr>
      </w:pPr>
      <w:r w:rsidRPr="00F95325">
        <w:rPr>
          <w:rFonts w:ascii="Helvetica Light" w:hAnsi="Helvetica Light" w:cs="Helvetica"/>
          <w:color w:val="FFFFFF"/>
          <w:sz w:val="36"/>
          <w:szCs w:val="36"/>
        </w:rPr>
        <w:t>12 – 30 July 2021</w:t>
      </w:r>
    </w:p>
    <w:p w14:paraId="2723D4A2" w14:textId="684D8F6A" w:rsidR="00EE3C84" w:rsidRPr="00F95325" w:rsidRDefault="00DF6F5F" w:rsidP="00024322">
      <w:pPr>
        <w:pStyle w:val="BasicParagraph"/>
        <w:widowControl w:val="0"/>
        <w:ind w:firstLine="993"/>
        <w:rPr>
          <w:rFonts w:ascii="Helvetica Light" w:hAnsi="Helvetica Light" w:cs="Helvetica"/>
          <w:color w:val="FFFFFF"/>
          <w:sz w:val="36"/>
          <w:szCs w:val="36"/>
        </w:rPr>
      </w:pPr>
      <w:r w:rsidRPr="00F95325">
        <w:rPr>
          <w:rFonts w:ascii="Helvetica Light" w:hAnsi="Helvetica Light" w:cs="Helvetica"/>
          <w:color w:val="FFFFFF"/>
          <w:sz w:val="36"/>
          <w:szCs w:val="36"/>
        </w:rPr>
        <w:t>Fourth period</w:t>
      </w:r>
      <w:r w:rsidR="00414F30" w:rsidRPr="00F95325">
        <w:rPr>
          <w:rFonts w:ascii="Helvetica Light" w:hAnsi="Helvetica Light" w:cs="Helvetica"/>
          <w:color w:val="FFFFFF"/>
          <w:sz w:val="36"/>
          <w:szCs w:val="36"/>
        </w:rPr>
        <w:t>ic</w:t>
      </w:r>
      <w:r w:rsidRPr="00F95325">
        <w:rPr>
          <w:rFonts w:ascii="Helvetica Light" w:hAnsi="Helvetica Light" w:cs="Helvetica"/>
          <w:color w:val="FFFFFF"/>
          <w:sz w:val="36"/>
          <w:szCs w:val="36"/>
        </w:rPr>
        <w:t xml:space="preserve"> </w:t>
      </w:r>
      <w:r w:rsidR="00414F30" w:rsidRPr="00F95325">
        <w:rPr>
          <w:rFonts w:ascii="Helvetica Light" w:hAnsi="Helvetica Light" w:cs="Helvetica"/>
          <w:color w:val="FFFFFF"/>
          <w:sz w:val="36"/>
          <w:szCs w:val="36"/>
        </w:rPr>
        <w:t>report</w:t>
      </w:r>
    </w:p>
    <w:p w14:paraId="24A10539" w14:textId="652E7A9D" w:rsidR="00EE3C84" w:rsidRPr="00F95325" w:rsidRDefault="00EE3C84" w:rsidP="00024322">
      <w:pPr>
        <w:pStyle w:val="BasicParagraph"/>
        <w:widowControl w:val="0"/>
        <w:ind w:firstLine="993"/>
        <w:rPr>
          <w:rFonts w:ascii="Helvetica Light" w:hAnsi="Helvetica Light" w:cs="Helvetica"/>
          <w:color w:val="FFFFFF"/>
          <w:sz w:val="36"/>
          <w:szCs w:val="36"/>
        </w:rPr>
      </w:pPr>
    </w:p>
    <w:p w14:paraId="0A32CA5C" w14:textId="3C8851D7" w:rsidR="00EE3C84" w:rsidRPr="00F95325" w:rsidRDefault="00EE3C84" w:rsidP="00024322">
      <w:pPr>
        <w:pStyle w:val="BasicParagraph"/>
        <w:widowControl w:val="0"/>
        <w:ind w:firstLine="993"/>
        <w:rPr>
          <w:rFonts w:ascii="Helvetica Light" w:hAnsi="Helvetica Light" w:cs="Helvetica"/>
          <w:color w:val="FFFFFF"/>
          <w:sz w:val="36"/>
          <w:szCs w:val="36"/>
        </w:rPr>
      </w:pPr>
    </w:p>
    <w:p w14:paraId="191670C8" w14:textId="0A060D6B" w:rsidR="00EE3C84" w:rsidRPr="00F95325" w:rsidRDefault="00EE3C84" w:rsidP="00024322">
      <w:pPr>
        <w:pStyle w:val="BasicParagraph"/>
        <w:widowControl w:val="0"/>
        <w:ind w:firstLine="993"/>
        <w:rPr>
          <w:rFonts w:ascii="Helvetica Light" w:hAnsi="Helvetica Light" w:cs="Helvetica"/>
          <w:b/>
          <w:bCs/>
          <w:color w:val="FFFFFF"/>
          <w:sz w:val="48"/>
          <w:szCs w:val="48"/>
        </w:rPr>
      </w:pPr>
    </w:p>
    <w:p w14:paraId="78CB4521" w14:textId="1704473A" w:rsidR="008D3872" w:rsidRPr="00F95325" w:rsidRDefault="008D3872" w:rsidP="00024322">
      <w:pPr>
        <w:pStyle w:val="BasicParagraph"/>
        <w:widowControl w:val="0"/>
        <w:ind w:firstLine="993"/>
        <w:rPr>
          <w:rFonts w:ascii="Helvetica Light" w:hAnsi="Helvetica Light" w:cs="Helvetica"/>
          <w:b/>
          <w:bCs/>
          <w:color w:val="FFFFFF"/>
          <w:sz w:val="48"/>
          <w:szCs w:val="48"/>
        </w:rPr>
      </w:pPr>
    </w:p>
    <w:p w14:paraId="240083A9" w14:textId="545C83FB" w:rsidR="00EE3C84" w:rsidRPr="00F95325" w:rsidRDefault="00EE3C84" w:rsidP="00024322">
      <w:pPr>
        <w:pStyle w:val="BasicParagraph"/>
        <w:widowControl w:val="0"/>
        <w:rPr>
          <w:rFonts w:ascii="Helvetica Light" w:hAnsi="Helvetica Light" w:cs="Helvetica"/>
          <w:b/>
          <w:bCs/>
          <w:color w:val="FFFFFF"/>
          <w:sz w:val="48"/>
          <w:szCs w:val="48"/>
        </w:rPr>
      </w:pPr>
      <w:r w:rsidRPr="00F95325">
        <w:rPr>
          <w:rFonts w:ascii="Helvetica Light" w:hAnsi="Helvetica Light" w:cs="Helvetica"/>
          <w:b/>
          <w:bCs/>
          <w:color w:val="FFFFFF"/>
          <w:sz w:val="48"/>
          <w:szCs w:val="48"/>
        </w:rPr>
        <w:t>BELGIUM</w:t>
      </w:r>
    </w:p>
    <w:p w14:paraId="430798CD" w14:textId="3896FB04" w:rsidR="006C0F36" w:rsidRPr="00F95325" w:rsidRDefault="006C0F36" w:rsidP="00024322">
      <w:pPr>
        <w:pStyle w:val="BasicParagraph"/>
        <w:widowControl w:val="0"/>
        <w:rPr>
          <w:rFonts w:ascii="Helvetica Light" w:hAnsi="Helvetica Light" w:cs="Helvetica"/>
          <w:b/>
          <w:bCs/>
          <w:color w:val="FFFFFF"/>
          <w:sz w:val="48"/>
          <w:szCs w:val="48"/>
        </w:rPr>
      </w:pPr>
    </w:p>
    <w:p w14:paraId="2D9FC384" w14:textId="135ED90B" w:rsidR="00EE3C84" w:rsidRPr="00F95325" w:rsidRDefault="00EE3C84" w:rsidP="00024322">
      <w:pPr>
        <w:pStyle w:val="BasicParagraph"/>
        <w:widowControl w:val="0"/>
        <w:spacing w:after="120"/>
        <w:rPr>
          <w:rFonts w:ascii="Helvetica Light" w:hAnsi="Helvetica Light" w:cs="Helvetica"/>
          <w:color w:val="FFFFFF"/>
          <w:sz w:val="28"/>
          <w:szCs w:val="28"/>
        </w:rPr>
      </w:pPr>
      <w:r w:rsidRPr="00F95325">
        <w:rPr>
          <w:rFonts w:ascii="Helvetica Light" w:hAnsi="Helvetica Light" w:cs="Helvetica"/>
          <w:color w:val="FFFFFF"/>
          <w:sz w:val="28"/>
          <w:szCs w:val="28"/>
        </w:rPr>
        <w:t>NANSEN</w:t>
      </w:r>
    </w:p>
    <w:p w14:paraId="41E065DF" w14:textId="76D716F4" w:rsidR="00EE3C84" w:rsidRPr="00F95325" w:rsidRDefault="00EE3C84" w:rsidP="00024322">
      <w:pPr>
        <w:pStyle w:val="BasicParagraph"/>
        <w:widowControl w:val="0"/>
        <w:spacing w:after="120"/>
        <w:rPr>
          <w:rFonts w:ascii="Helvetica Light" w:hAnsi="Helvetica Light" w:cs="Helvetica"/>
          <w:color w:val="FFFFFF"/>
          <w:sz w:val="28"/>
          <w:szCs w:val="28"/>
        </w:rPr>
      </w:pPr>
      <w:r w:rsidRPr="00F95325">
        <w:rPr>
          <w:rFonts w:ascii="Helvetica Light" w:hAnsi="Helvetica Light" w:cs="Helvetica"/>
          <w:color w:val="FFFFFF"/>
          <w:sz w:val="28"/>
          <w:szCs w:val="28"/>
        </w:rPr>
        <w:t>European Network on Statelessness</w:t>
      </w:r>
    </w:p>
    <w:p w14:paraId="180ABE85" w14:textId="5ECFB64D" w:rsidR="00CA7CFD" w:rsidRPr="00F95325" w:rsidRDefault="00EE3C84" w:rsidP="00024322">
      <w:pPr>
        <w:pStyle w:val="BasicParagraph"/>
        <w:widowControl w:val="0"/>
        <w:spacing w:after="120"/>
        <w:rPr>
          <w:rFonts w:ascii="Helvetica Light" w:hAnsi="Helvetica Light" w:cs="Helvetica"/>
          <w:color w:val="FFFFFF"/>
          <w:sz w:val="28"/>
          <w:szCs w:val="28"/>
        </w:rPr>
      </w:pPr>
      <w:r w:rsidRPr="00F95325">
        <w:rPr>
          <w:rFonts w:ascii="Helvetica Light" w:hAnsi="Helvetica Light" w:cs="Helvetica"/>
          <w:color w:val="FFFFFF"/>
          <w:sz w:val="28"/>
          <w:szCs w:val="28"/>
        </w:rPr>
        <w:t>Institute on Statelessness and Inclusio</w:t>
      </w:r>
      <w:r w:rsidR="00CA7CFD" w:rsidRPr="00F95325">
        <w:rPr>
          <w:rFonts w:ascii="Helvetica Light" w:hAnsi="Helvetica Light" w:cs="Helvetica"/>
          <w:color w:val="FFFFFF"/>
          <w:sz w:val="28"/>
          <w:szCs w:val="28"/>
        </w:rPr>
        <w:t>n</w:t>
      </w:r>
    </w:p>
    <w:p w14:paraId="5FD47A94" w14:textId="77777777" w:rsidR="00CA7CFD" w:rsidRPr="00F95325" w:rsidRDefault="00CA7CFD" w:rsidP="00024322">
      <w:pPr>
        <w:pStyle w:val="BasicParagraph"/>
        <w:widowControl w:val="0"/>
        <w:spacing w:after="120"/>
        <w:rPr>
          <w:rFonts w:ascii="Helvetica Light" w:hAnsi="Helvetica Light" w:cs="Helvetica"/>
          <w:color w:val="FFFFFF"/>
          <w:sz w:val="28"/>
          <w:szCs w:val="28"/>
        </w:rPr>
      </w:pPr>
    </w:p>
    <w:p w14:paraId="0C9AAB38" w14:textId="5738A92D" w:rsidR="00CA7CFD" w:rsidRPr="00F95325" w:rsidRDefault="004A72E1" w:rsidP="00024322">
      <w:pPr>
        <w:pStyle w:val="BasicParagraph"/>
        <w:widowControl w:val="0"/>
        <w:spacing w:after="120"/>
        <w:rPr>
          <w:rFonts w:ascii="Helvetica Light" w:hAnsi="Helvetica Light"/>
          <w:b/>
          <w:bCs/>
          <w:sz w:val="36"/>
          <w:szCs w:val="36"/>
        </w:rPr>
      </w:pPr>
      <w:r w:rsidRPr="00F95325">
        <w:rPr>
          <w:rFonts w:ascii="Helvetica Light" w:hAnsi="Helvetica Light" w:cs="Helvetica"/>
          <w:color w:val="FFFFFF"/>
          <w:sz w:val="28"/>
          <w:szCs w:val="28"/>
        </w:rPr>
        <w:t>14 June 2021</w:t>
      </w:r>
    </w:p>
    <w:p w14:paraId="1AEE100F" w14:textId="77777777" w:rsidR="004A72E1" w:rsidRPr="00F95325" w:rsidRDefault="004A72E1" w:rsidP="00024322">
      <w:pPr>
        <w:widowControl w:val="0"/>
        <w:rPr>
          <w:rFonts w:ascii="Helvetica Light" w:eastAsiaTheme="minorHAnsi" w:hAnsi="Helvetica Light" w:cs="MinionPro-Regular"/>
          <w:b/>
          <w:bCs/>
          <w:color w:val="000000"/>
          <w:sz w:val="36"/>
          <w:szCs w:val="36"/>
        </w:rPr>
      </w:pPr>
      <w:r w:rsidRPr="00F95325">
        <w:rPr>
          <w:rFonts w:ascii="Helvetica Light" w:hAnsi="Helvetica Light"/>
          <w:b/>
          <w:bCs/>
          <w:sz w:val="36"/>
          <w:szCs w:val="36"/>
        </w:rPr>
        <w:br w:type="page"/>
      </w:r>
    </w:p>
    <w:p w14:paraId="5AE931EB" w14:textId="0864C2CB" w:rsidR="00EE3C84" w:rsidRPr="00F95325" w:rsidRDefault="00EE3C84" w:rsidP="00024322">
      <w:pPr>
        <w:pStyle w:val="BasicParagraph"/>
        <w:widowControl w:val="0"/>
        <w:rPr>
          <w:rFonts w:ascii="Helvetica Light" w:hAnsi="Helvetica Light"/>
          <w:b/>
          <w:bCs/>
          <w:sz w:val="36"/>
          <w:szCs w:val="36"/>
        </w:rPr>
      </w:pPr>
      <w:r w:rsidRPr="00F95325">
        <w:rPr>
          <w:rFonts w:ascii="Helvetica Light" w:hAnsi="Helvetica Light"/>
          <w:b/>
          <w:bCs/>
          <w:sz w:val="36"/>
          <w:szCs w:val="36"/>
        </w:rPr>
        <w:lastRenderedPageBreak/>
        <w:t xml:space="preserve">Joint Submission </w:t>
      </w:r>
      <w:r w:rsidR="00186C39" w:rsidRPr="00F95325">
        <w:rPr>
          <w:rFonts w:ascii="Helvetica Light" w:hAnsi="Helvetica Light"/>
          <w:b/>
          <w:bCs/>
          <w:sz w:val="36"/>
          <w:szCs w:val="36"/>
        </w:rPr>
        <w:t>for the 71</w:t>
      </w:r>
      <w:r w:rsidR="00186C39" w:rsidRPr="00F95325">
        <w:rPr>
          <w:rFonts w:ascii="Helvetica Light" w:hAnsi="Helvetica Light"/>
          <w:b/>
          <w:bCs/>
          <w:sz w:val="36"/>
          <w:szCs w:val="36"/>
          <w:vertAlign w:val="superscript"/>
        </w:rPr>
        <w:t>st</w:t>
      </w:r>
      <w:r w:rsidR="00186C39" w:rsidRPr="00F95325">
        <w:rPr>
          <w:rFonts w:ascii="Helvetica Light" w:hAnsi="Helvetica Light"/>
          <w:b/>
          <w:bCs/>
          <w:sz w:val="36"/>
          <w:szCs w:val="36"/>
        </w:rPr>
        <w:t xml:space="preserve"> session</w:t>
      </w:r>
    </w:p>
    <w:p w14:paraId="3F2CDC1D" w14:textId="79992C20" w:rsidR="00EE3C84" w:rsidRPr="00F95325" w:rsidRDefault="00186C39" w:rsidP="00024322">
      <w:pPr>
        <w:widowControl w:val="0"/>
        <w:spacing w:line="360" w:lineRule="auto"/>
        <w:rPr>
          <w:rFonts w:ascii="Helvetica Light" w:hAnsi="Helvetica Light"/>
          <w:b/>
          <w:bCs/>
          <w:sz w:val="36"/>
          <w:szCs w:val="36"/>
        </w:rPr>
      </w:pPr>
      <w:r w:rsidRPr="00F95325">
        <w:rPr>
          <w:rFonts w:ascii="Helvetica Light" w:hAnsi="Helvetica Light"/>
          <w:b/>
          <w:bCs/>
          <w:sz w:val="36"/>
          <w:szCs w:val="36"/>
        </w:rPr>
        <w:t>of</w:t>
      </w:r>
      <w:r w:rsidR="004D0D37" w:rsidRPr="00F95325">
        <w:rPr>
          <w:rFonts w:ascii="Helvetica Light" w:hAnsi="Helvetica Light"/>
          <w:b/>
          <w:bCs/>
          <w:sz w:val="36"/>
          <w:szCs w:val="36"/>
        </w:rPr>
        <w:t xml:space="preserve"> the Committee against Torture</w:t>
      </w:r>
      <w:r w:rsidR="00EE3C84" w:rsidRPr="00F95325">
        <w:rPr>
          <w:rFonts w:ascii="Helvetica Light" w:hAnsi="Helvetica Light"/>
          <w:b/>
          <w:bCs/>
          <w:sz w:val="36"/>
          <w:szCs w:val="36"/>
        </w:rPr>
        <w:t xml:space="preserve"> </w:t>
      </w:r>
    </w:p>
    <w:p w14:paraId="58B34E55" w14:textId="6FEA81B7" w:rsidR="00EE3C84" w:rsidRPr="00F95325" w:rsidRDefault="00BA7BF2" w:rsidP="00024322">
      <w:pPr>
        <w:widowControl w:val="0"/>
        <w:spacing w:line="276" w:lineRule="auto"/>
        <w:rPr>
          <w:rFonts w:ascii="Helvetica Light" w:hAnsi="Helvetica Light"/>
          <w:sz w:val="36"/>
          <w:szCs w:val="36"/>
        </w:rPr>
      </w:pPr>
      <w:r w:rsidRPr="00F95325">
        <w:rPr>
          <w:rFonts w:ascii="Helvetica Light" w:hAnsi="Helvetica Light"/>
          <w:sz w:val="36"/>
          <w:szCs w:val="36"/>
        </w:rPr>
        <w:t>on the right</w:t>
      </w:r>
      <w:r w:rsidR="00BA2D93" w:rsidRPr="00F95325">
        <w:rPr>
          <w:rFonts w:ascii="Helvetica Light" w:hAnsi="Helvetica Light"/>
          <w:sz w:val="36"/>
          <w:szCs w:val="36"/>
        </w:rPr>
        <w:t>s</w:t>
      </w:r>
      <w:r w:rsidRPr="00F95325">
        <w:rPr>
          <w:rFonts w:ascii="Helvetica Light" w:hAnsi="Helvetica Light"/>
          <w:sz w:val="36"/>
          <w:szCs w:val="36"/>
        </w:rPr>
        <w:t xml:space="preserve"> </w:t>
      </w:r>
      <w:r w:rsidR="00BA2D93" w:rsidRPr="00F95325">
        <w:rPr>
          <w:rFonts w:ascii="Helvetica Light" w:hAnsi="Helvetica Light"/>
          <w:sz w:val="36"/>
          <w:szCs w:val="36"/>
        </w:rPr>
        <w:t>of stateless persons</w:t>
      </w:r>
      <w:r w:rsidR="0058239F" w:rsidRPr="00F95325">
        <w:t xml:space="preserve"> </w:t>
      </w:r>
      <w:r w:rsidR="0058239F" w:rsidRPr="00F95325">
        <w:rPr>
          <w:rFonts w:ascii="Helvetica Light" w:hAnsi="Helvetica Light"/>
          <w:sz w:val="36"/>
          <w:szCs w:val="36"/>
        </w:rPr>
        <w:t>and human rights challenges pertaining to statelessness</w:t>
      </w:r>
    </w:p>
    <w:p w14:paraId="209A03B2" w14:textId="77777777" w:rsidR="00EE3C84" w:rsidRPr="00F95325" w:rsidRDefault="00EE3C84" w:rsidP="00024322">
      <w:pPr>
        <w:widowControl w:val="0"/>
        <w:rPr>
          <w:rFonts w:ascii="Helvetica" w:hAnsi="Helvetica"/>
          <w:b/>
          <w:bCs/>
          <w:color w:val="2C166F"/>
          <w:sz w:val="48"/>
          <w:szCs w:val="48"/>
        </w:rPr>
      </w:pPr>
    </w:p>
    <w:p w14:paraId="0162ACEB" w14:textId="6235CCBE" w:rsidR="00EE3C84" w:rsidRPr="00F95325" w:rsidRDefault="00EE3C84" w:rsidP="00024322">
      <w:pPr>
        <w:widowControl w:val="0"/>
        <w:jc w:val="right"/>
        <w:rPr>
          <w:rFonts w:eastAsia="Times New Roman" w:cstheme="minorHAnsi"/>
          <w:sz w:val="22"/>
          <w:lang w:eastAsia="zh-CN"/>
        </w:rPr>
      </w:pPr>
      <w:r w:rsidRPr="00F95325">
        <w:rPr>
          <w:rFonts w:ascii="Helvetica" w:hAnsi="Helvetica"/>
          <w:b/>
          <w:bCs/>
          <w:color w:val="2C166F"/>
          <w:sz w:val="48"/>
          <w:szCs w:val="48"/>
        </w:rPr>
        <w:t>BELGIUM</w:t>
      </w:r>
    </w:p>
    <w:p w14:paraId="5D3653F3" w14:textId="7994DD48" w:rsidR="00EE3C84" w:rsidRPr="00F95325" w:rsidRDefault="00EE3C84" w:rsidP="00024322">
      <w:pPr>
        <w:widowControl w:val="0"/>
        <w:jc w:val="right"/>
        <w:rPr>
          <w:rFonts w:eastAsia="Times New Roman" w:cstheme="minorHAnsi"/>
          <w:sz w:val="22"/>
          <w:lang w:eastAsia="zh-CN"/>
        </w:rPr>
      </w:pPr>
    </w:p>
    <w:p w14:paraId="5EFA123C" w14:textId="77777777" w:rsidR="00EB5A46" w:rsidRPr="00F95325" w:rsidRDefault="00EB5A46" w:rsidP="00024322">
      <w:pPr>
        <w:widowControl w:val="0"/>
        <w:jc w:val="right"/>
        <w:rPr>
          <w:rFonts w:eastAsia="Times New Roman" w:cstheme="minorHAnsi"/>
          <w:sz w:val="22"/>
          <w:lang w:eastAsia="zh-CN"/>
        </w:rPr>
      </w:pPr>
    </w:p>
    <w:p w14:paraId="6472A81F" w14:textId="5DCF8DDD" w:rsidR="00D15B68" w:rsidRPr="00F95325" w:rsidRDefault="00DE3ED1" w:rsidP="00024322">
      <w:pPr>
        <w:widowControl w:val="0"/>
        <w:rPr>
          <w:rFonts w:ascii="Helvetica" w:hAnsi="Helvetica"/>
          <w:b/>
          <w:bCs/>
          <w:color w:val="2C166F"/>
          <w:sz w:val="28"/>
          <w:szCs w:val="16"/>
        </w:rPr>
      </w:pPr>
      <w:r w:rsidRPr="00F95325">
        <w:rPr>
          <w:rFonts w:ascii="Helvetica" w:hAnsi="Helvetica"/>
          <w:b/>
          <w:bCs/>
          <w:color w:val="2C166F"/>
          <w:sz w:val="28"/>
          <w:szCs w:val="16"/>
        </w:rPr>
        <w:t xml:space="preserve">Introduction </w:t>
      </w:r>
    </w:p>
    <w:p w14:paraId="6472A820" w14:textId="77777777" w:rsidR="00D15B68" w:rsidRPr="00F95325" w:rsidRDefault="00D15B68" w:rsidP="00024322">
      <w:pPr>
        <w:widowControl w:val="0"/>
        <w:tabs>
          <w:tab w:val="left" w:pos="220"/>
          <w:tab w:val="left" w:pos="720"/>
        </w:tabs>
        <w:autoSpaceDE w:val="0"/>
        <w:autoSpaceDN w:val="0"/>
        <w:adjustRightInd w:val="0"/>
        <w:jc w:val="both"/>
        <w:rPr>
          <w:rFonts w:ascii="Calibri" w:hAnsi="Calibri" w:cs="Calibri"/>
          <w:sz w:val="22"/>
          <w:szCs w:val="22"/>
        </w:rPr>
      </w:pPr>
    </w:p>
    <w:p w14:paraId="6B19DD85" w14:textId="03D4E3B1" w:rsidR="003111FE" w:rsidRPr="00F95325" w:rsidRDefault="009C1FF3" w:rsidP="00024322">
      <w:pPr>
        <w:pStyle w:val="NormalWeb"/>
        <w:widowControl w:val="0"/>
        <w:numPr>
          <w:ilvl w:val="0"/>
          <w:numId w:val="1"/>
        </w:numPr>
        <w:tabs>
          <w:tab w:val="left" w:pos="567"/>
        </w:tabs>
        <w:spacing w:before="0" w:beforeAutospacing="0" w:after="0" w:afterAutospacing="0"/>
        <w:ind w:left="567"/>
        <w:jc w:val="both"/>
        <w:textAlignment w:val="baseline"/>
        <w:rPr>
          <w:rFonts w:ascii="Calibri" w:hAnsi="Calibri" w:cs="Calibri"/>
          <w:sz w:val="22"/>
          <w:szCs w:val="22"/>
        </w:rPr>
      </w:pPr>
      <w:r w:rsidRPr="00F95325">
        <w:rPr>
          <w:rFonts w:asciiTheme="majorHAnsi" w:hAnsiTheme="majorHAnsi" w:cstheme="majorHAnsi"/>
          <w:sz w:val="22"/>
          <w:szCs w:val="22"/>
          <w:shd w:val="clear" w:color="auto" w:fill="FFFFFF"/>
        </w:rPr>
        <w:t>NANSEN,</w:t>
      </w:r>
      <w:r w:rsidR="00157388" w:rsidRPr="00F95325">
        <w:rPr>
          <w:rStyle w:val="FootnoteReference"/>
          <w:rFonts w:asciiTheme="majorHAnsi" w:hAnsiTheme="majorHAnsi" w:cstheme="majorHAnsi"/>
          <w:sz w:val="22"/>
          <w:szCs w:val="22"/>
          <w:shd w:val="clear" w:color="auto" w:fill="FFFFFF"/>
        </w:rPr>
        <w:footnoteReference w:id="2"/>
      </w:r>
      <w:r w:rsidRPr="00F95325">
        <w:rPr>
          <w:rFonts w:asciiTheme="majorHAnsi" w:hAnsiTheme="majorHAnsi" w:cstheme="majorHAnsi"/>
          <w:sz w:val="22"/>
          <w:szCs w:val="22"/>
          <w:shd w:val="clear" w:color="auto" w:fill="FFFFFF"/>
        </w:rPr>
        <w:t xml:space="preserve"> the </w:t>
      </w:r>
      <w:r w:rsidRPr="00F95325">
        <w:rPr>
          <w:rFonts w:ascii="Calibri" w:hAnsi="Calibri" w:cs="Calibri"/>
          <w:sz w:val="22"/>
          <w:szCs w:val="22"/>
        </w:rPr>
        <w:t>European Network on Statelessness (</w:t>
      </w:r>
      <w:r w:rsidRPr="00F95325">
        <w:rPr>
          <w:rFonts w:ascii="Calibri" w:hAnsi="Calibri" w:cs="Calibri"/>
          <w:b/>
          <w:bCs/>
          <w:sz w:val="22"/>
          <w:szCs w:val="22"/>
        </w:rPr>
        <w:t>ENS</w:t>
      </w:r>
      <w:r w:rsidRPr="00F95325">
        <w:rPr>
          <w:rFonts w:ascii="Calibri" w:hAnsi="Calibri" w:cs="Calibri"/>
          <w:sz w:val="22"/>
          <w:szCs w:val="22"/>
        </w:rPr>
        <w:t>)</w:t>
      </w:r>
      <w:r w:rsidR="00157388" w:rsidRPr="00F95325">
        <w:rPr>
          <w:rFonts w:ascii="Calibri" w:hAnsi="Calibri" w:cs="Calibri"/>
          <w:bCs/>
          <w:sz w:val="22"/>
          <w:szCs w:val="22"/>
          <w:vertAlign w:val="superscript"/>
        </w:rPr>
        <w:footnoteReference w:id="3"/>
      </w:r>
      <w:r w:rsidRPr="00F95325">
        <w:rPr>
          <w:rFonts w:ascii="Calibri" w:hAnsi="Calibri" w:cs="Calibri"/>
          <w:sz w:val="22"/>
          <w:szCs w:val="22"/>
        </w:rPr>
        <w:t xml:space="preserve"> and the</w:t>
      </w:r>
      <w:r w:rsidRPr="00F95325">
        <w:rPr>
          <w:rFonts w:ascii="Calibri" w:hAnsi="Calibri" w:cs="Calibri"/>
          <w:bCs/>
          <w:sz w:val="22"/>
          <w:szCs w:val="22"/>
        </w:rPr>
        <w:t xml:space="preserve"> </w:t>
      </w:r>
      <w:r w:rsidR="00DE3ED1" w:rsidRPr="00F95325">
        <w:rPr>
          <w:rFonts w:ascii="Calibri" w:hAnsi="Calibri" w:cs="Calibri"/>
          <w:sz w:val="22"/>
          <w:szCs w:val="22"/>
        </w:rPr>
        <w:t>Institute on Statelessness and Inclusion (</w:t>
      </w:r>
      <w:r w:rsidR="00DE3ED1" w:rsidRPr="00F95325">
        <w:rPr>
          <w:rFonts w:ascii="Calibri" w:hAnsi="Calibri" w:cs="Calibri"/>
          <w:b/>
          <w:bCs/>
          <w:sz w:val="22"/>
          <w:szCs w:val="22"/>
        </w:rPr>
        <w:t>ISI</w:t>
      </w:r>
      <w:r w:rsidR="00DE3ED1" w:rsidRPr="00F95325">
        <w:rPr>
          <w:rFonts w:ascii="Calibri" w:hAnsi="Calibri" w:cs="Calibri"/>
          <w:sz w:val="22"/>
          <w:szCs w:val="22"/>
        </w:rPr>
        <w:t>)</w:t>
      </w:r>
      <w:r w:rsidR="00157388" w:rsidRPr="00F95325">
        <w:rPr>
          <w:vertAlign w:val="superscript"/>
        </w:rPr>
        <w:footnoteReference w:id="4"/>
      </w:r>
      <w:r w:rsidR="00026096" w:rsidRPr="00F95325">
        <w:rPr>
          <w:rFonts w:ascii="Calibri" w:hAnsi="Calibri" w:cs="Calibri"/>
          <w:sz w:val="22"/>
          <w:szCs w:val="22"/>
        </w:rPr>
        <w:t xml:space="preserve"> </w:t>
      </w:r>
      <w:r w:rsidR="00D36CF5" w:rsidRPr="00F95325">
        <w:rPr>
          <w:rFonts w:ascii="Calibri" w:hAnsi="Calibri" w:cs="Calibri"/>
          <w:sz w:val="22"/>
          <w:szCs w:val="22"/>
        </w:rPr>
        <w:t>welcome the opportunity to make this</w:t>
      </w:r>
      <w:r w:rsidR="00DE3ED1" w:rsidRPr="00F95325">
        <w:rPr>
          <w:rFonts w:ascii="Calibri" w:hAnsi="Calibri" w:cs="Calibri"/>
          <w:sz w:val="22"/>
          <w:szCs w:val="22"/>
        </w:rPr>
        <w:t xml:space="preserve"> joint submission to the </w:t>
      </w:r>
      <w:r w:rsidR="00112044" w:rsidRPr="00F95325">
        <w:rPr>
          <w:rFonts w:ascii="Calibri" w:hAnsi="Calibri" w:cs="Calibri"/>
          <w:sz w:val="22"/>
          <w:szCs w:val="22"/>
        </w:rPr>
        <w:t>Committee against Torture</w:t>
      </w:r>
      <w:r w:rsidR="00CB6AD0" w:rsidRPr="00F95325">
        <w:rPr>
          <w:rFonts w:ascii="Calibri" w:hAnsi="Calibri" w:cs="Calibri"/>
          <w:sz w:val="22"/>
          <w:szCs w:val="22"/>
        </w:rPr>
        <w:t xml:space="preserve"> (hereinafter the “Committee”)</w:t>
      </w:r>
      <w:r w:rsidR="00DE3ED1" w:rsidRPr="00F95325">
        <w:rPr>
          <w:rFonts w:ascii="Calibri" w:hAnsi="Calibri" w:cs="Calibri"/>
          <w:sz w:val="22"/>
          <w:szCs w:val="22"/>
        </w:rPr>
        <w:t>, on the right</w:t>
      </w:r>
      <w:r w:rsidR="0058239F" w:rsidRPr="00F95325">
        <w:rPr>
          <w:rFonts w:ascii="Calibri" w:hAnsi="Calibri" w:cs="Calibri"/>
          <w:sz w:val="22"/>
          <w:szCs w:val="22"/>
        </w:rPr>
        <w:t xml:space="preserve">s of stateless persons </w:t>
      </w:r>
      <w:r w:rsidR="00DE3ED1" w:rsidRPr="00F95325">
        <w:rPr>
          <w:rFonts w:ascii="Calibri" w:hAnsi="Calibri" w:cs="Calibri"/>
          <w:sz w:val="22"/>
          <w:szCs w:val="22"/>
        </w:rPr>
        <w:t xml:space="preserve">and human rights challenges pertaining to statelessness in </w:t>
      </w:r>
      <w:r w:rsidR="00B77494" w:rsidRPr="00F95325">
        <w:rPr>
          <w:rFonts w:ascii="Calibri" w:hAnsi="Calibri" w:cs="Calibri"/>
          <w:sz w:val="22"/>
          <w:szCs w:val="22"/>
        </w:rPr>
        <w:t>Belgium</w:t>
      </w:r>
      <w:r w:rsidR="00DE3ED1" w:rsidRPr="00F95325">
        <w:rPr>
          <w:rFonts w:ascii="Calibri" w:hAnsi="Calibri" w:cs="Calibri"/>
          <w:sz w:val="22"/>
          <w:szCs w:val="22"/>
        </w:rPr>
        <w:t xml:space="preserve">. </w:t>
      </w:r>
      <w:r w:rsidR="003111FE" w:rsidRPr="00F95325">
        <w:rPr>
          <w:rFonts w:ascii="Calibri" w:hAnsi="Calibri" w:cs="Calibri"/>
          <w:sz w:val="22"/>
          <w:szCs w:val="22"/>
        </w:rPr>
        <w:t>The submission focuses on:</w:t>
      </w:r>
    </w:p>
    <w:p w14:paraId="5A542157" w14:textId="77777777" w:rsidR="003111FE" w:rsidRPr="00F95325" w:rsidRDefault="003111FE" w:rsidP="00024322">
      <w:pPr>
        <w:pStyle w:val="ListParagraph"/>
        <w:widowControl w:val="0"/>
        <w:rPr>
          <w:rFonts w:ascii="Calibri" w:hAnsi="Calibri" w:cs="Calibri"/>
          <w:sz w:val="22"/>
          <w:szCs w:val="22"/>
        </w:rPr>
      </w:pPr>
    </w:p>
    <w:p w14:paraId="72C4C588" w14:textId="71AF3F65" w:rsidR="003111FE" w:rsidRPr="00F95325" w:rsidRDefault="003111FE" w:rsidP="00024322">
      <w:pPr>
        <w:pStyle w:val="NormalWeb"/>
        <w:widowControl w:val="0"/>
        <w:numPr>
          <w:ilvl w:val="1"/>
          <w:numId w:val="1"/>
        </w:numPr>
        <w:tabs>
          <w:tab w:val="left" w:pos="567"/>
        </w:tabs>
        <w:spacing w:before="0" w:beforeAutospacing="0" w:after="0" w:afterAutospacing="0"/>
        <w:jc w:val="both"/>
        <w:textAlignment w:val="baseline"/>
        <w:rPr>
          <w:rFonts w:ascii="Calibri" w:hAnsi="Calibri" w:cs="Calibri"/>
          <w:sz w:val="22"/>
          <w:szCs w:val="22"/>
        </w:rPr>
      </w:pPr>
      <w:r w:rsidRPr="00F95325">
        <w:rPr>
          <w:rFonts w:ascii="Calibri" w:hAnsi="Calibri" w:cs="Calibri"/>
          <w:sz w:val="22"/>
          <w:szCs w:val="22"/>
        </w:rPr>
        <w:t>Liberty and security of the person and arbitrary detention</w:t>
      </w:r>
    </w:p>
    <w:p w14:paraId="6B20036B" w14:textId="0A4B7C66" w:rsidR="00391325" w:rsidRPr="00F95325" w:rsidRDefault="00391325" w:rsidP="00024322">
      <w:pPr>
        <w:pStyle w:val="NormalWeb"/>
        <w:widowControl w:val="0"/>
        <w:numPr>
          <w:ilvl w:val="1"/>
          <w:numId w:val="1"/>
        </w:numPr>
        <w:tabs>
          <w:tab w:val="left" w:pos="567"/>
        </w:tabs>
        <w:spacing w:before="0" w:beforeAutospacing="0" w:after="0" w:afterAutospacing="0"/>
        <w:jc w:val="both"/>
        <w:textAlignment w:val="baseline"/>
        <w:rPr>
          <w:rFonts w:ascii="Calibri" w:hAnsi="Calibri" w:cs="Calibri"/>
          <w:sz w:val="22"/>
          <w:szCs w:val="22"/>
        </w:rPr>
      </w:pPr>
      <w:r w:rsidRPr="00F95325">
        <w:rPr>
          <w:rFonts w:ascii="Calibri" w:hAnsi="Calibri" w:cs="Calibri"/>
          <w:sz w:val="22"/>
          <w:szCs w:val="22"/>
        </w:rPr>
        <w:t>Deprivation of nationality on national security grounds</w:t>
      </w:r>
    </w:p>
    <w:p w14:paraId="09CDFC7B" w14:textId="77777777" w:rsidR="004F7576" w:rsidRPr="00F95325" w:rsidRDefault="004F7576" w:rsidP="00024322">
      <w:pPr>
        <w:pStyle w:val="NormalWeb"/>
        <w:widowControl w:val="0"/>
        <w:numPr>
          <w:ilvl w:val="1"/>
          <w:numId w:val="1"/>
        </w:numPr>
        <w:tabs>
          <w:tab w:val="left" w:pos="567"/>
        </w:tabs>
        <w:spacing w:before="0" w:beforeAutospacing="0" w:after="0" w:afterAutospacing="0"/>
        <w:jc w:val="both"/>
        <w:textAlignment w:val="baseline"/>
        <w:rPr>
          <w:rFonts w:ascii="Calibri" w:hAnsi="Calibri" w:cs="Calibri"/>
          <w:sz w:val="22"/>
          <w:szCs w:val="22"/>
        </w:rPr>
      </w:pPr>
      <w:r w:rsidRPr="00F95325">
        <w:rPr>
          <w:rFonts w:ascii="Calibri" w:hAnsi="Calibri" w:cs="Calibri"/>
          <w:sz w:val="22"/>
          <w:szCs w:val="22"/>
        </w:rPr>
        <w:t>Statelessness determination and the rights of stateless persons</w:t>
      </w:r>
    </w:p>
    <w:p w14:paraId="12F1E199" w14:textId="77777777" w:rsidR="00AD10A0" w:rsidRPr="00F95325" w:rsidRDefault="00AD10A0" w:rsidP="00024322">
      <w:pPr>
        <w:pStyle w:val="ListParagraph"/>
        <w:widowControl w:val="0"/>
        <w:rPr>
          <w:rFonts w:asciiTheme="majorHAnsi" w:hAnsiTheme="majorHAnsi" w:cstheme="majorHAnsi"/>
          <w:sz w:val="22"/>
          <w:szCs w:val="22"/>
        </w:rPr>
      </w:pPr>
    </w:p>
    <w:p w14:paraId="2341A7D6" w14:textId="149106BD" w:rsidR="001A3D6C" w:rsidRPr="00F95325" w:rsidRDefault="003111FE" w:rsidP="00024322">
      <w:pPr>
        <w:pStyle w:val="ListParagraph"/>
        <w:widowControl w:val="0"/>
        <w:numPr>
          <w:ilvl w:val="0"/>
          <w:numId w:val="1"/>
        </w:numPr>
        <w:tabs>
          <w:tab w:val="left" w:pos="220"/>
          <w:tab w:val="left" w:pos="567"/>
        </w:tabs>
        <w:autoSpaceDE w:val="0"/>
        <w:autoSpaceDN w:val="0"/>
        <w:adjustRightInd w:val="0"/>
        <w:ind w:left="567"/>
        <w:jc w:val="both"/>
        <w:rPr>
          <w:rFonts w:ascii="Calibri" w:hAnsi="Calibri" w:cs="Calibri"/>
          <w:sz w:val="22"/>
          <w:szCs w:val="22"/>
        </w:rPr>
      </w:pPr>
      <w:r w:rsidRPr="00F95325">
        <w:rPr>
          <w:rFonts w:ascii="Calibri" w:hAnsi="Calibri" w:cs="Calibri"/>
          <w:sz w:val="22"/>
          <w:szCs w:val="22"/>
        </w:rPr>
        <w:t>The submission provides additional information ahead of the consideration of Belgium’s fourth periodic report at the Committee’s 71</w:t>
      </w:r>
      <w:r w:rsidRPr="00F95325">
        <w:rPr>
          <w:rFonts w:ascii="Calibri" w:hAnsi="Calibri" w:cs="Calibri"/>
          <w:sz w:val="22"/>
          <w:szCs w:val="22"/>
          <w:vertAlign w:val="superscript"/>
        </w:rPr>
        <w:t>st</w:t>
      </w:r>
      <w:r w:rsidRPr="00F95325">
        <w:rPr>
          <w:rFonts w:ascii="Calibri" w:hAnsi="Calibri" w:cs="Calibri"/>
          <w:sz w:val="22"/>
          <w:szCs w:val="22"/>
        </w:rPr>
        <w:t xml:space="preserve"> Session in July 2021, particularly as</w:t>
      </w:r>
      <w:r w:rsidR="00B04866" w:rsidRPr="00F95325">
        <w:rPr>
          <w:rFonts w:ascii="Calibri" w:hAnsi="Calibri" w:cs="Calibri"/>
          <w:sz w:val="22"/>
          <w:szCs w:val="22"/>
        </w:rPr>
        <w:t xml:space="preserve"> it relates to and affects stateless people and the right to a nationality</w:t>
      </w:r>
      <w:r w:rsidR="005C0558" w:rsidRPr="00F95325">
        <w:rPr>
          <w:rFonts w:ascii="Calibri" w:hAnsi="Calibri" w:cs="Calibri"/>
          <w:sz w:val="22"/>
          <w:szCs w:val="22"/>
        </w:rPr>
        <w:t>, taking into account the list of issues and Belgium’s reply to the list of issue</w:t>
      </w:r>
      <w:r w:rsidR="00D07519" w:rsidRPr="00F95325">
        <w:rPr>
          <w:rFonts w:ascii="Calibri" w:hAnsi="Calibri" w:cs="Calibri"/>
          <w:sz w:val="22"/>
          <w:szCs w:val="22"/>
        </w:rPr>
        <w:t>s</w:t>
      </w:r>
      <w:r w:rsidRPr="00F95325">
        <w:rPr>
          <w:rFonts w:ascii="Calibri" w:hAnsi="Calibri" w:cs="Calibri"/>
          <w:sz w:val="22"/>
          <w:szCs w:val="22"/>
        </w:rPr>
        <w:t>.</w:t>
      </w:r>
      <w:r w:rsidR="00B04866" w:rsidRPr="00F95325">
        <w:rPr>
          <w:rFonts w:ascii="Calibri" w:hAnsi="Calibri" w:cs="Calibri"/>
          <w:sz w:val="22"/>
          <w:szCs w:val="22"/>
        </w:rPr>
        <w:t xml:space="preserve"> </w:t>
      </w:r>
      <w:r w:rsidR="001A3D6C" w:rsidRPr="00F95325">
        <w:rPr>
          <w:rFonts w:ascii="Calibri" w:hAnsi="Calibri" w:cs="Calibri"/>
          <w:bCs/>
          <w:sz w:val="22"/>
          <w:szCs w:val="22"/>
        </w:rPr>
        <w:t xml:space="preserve">This submission partially draws on information and analysis from ENS’s Statelessness Index, which covers </w:t>
      </w:r>
      <w:r w:rsidR="001A3D6C" w:rsidRPr="00F95325">
        <w:rPr>
          <w:rFonts w:ascii="Calibri" w:hAnsi="Calibri" w:cs="Calibri"/>
          <w:sz w:val="22"/>
          <w:szCs w:val="22"/>
        </w:rPr>
        <w:t>Belgium</w:t>
      </w:r>
      <w:r w:rsidR="001A3D6C" w:rsidRPr="00F95325">
        <w:rPr>
          <w:rFonts w:ascii="Calibri" w:hAnsi="Calibri" w:cs="Calibri"/>
          <w:bCs/>
          <w:sz w:val="22"/>
          <w:szCs w:val="22"/>
        </w:rPr>
        <w:t>.</w:t>
      </w:r>
      <w:r w:rsidR="001A3D6C" w:rsidRPr="00F95325">
        <w:rPr>
          <w:rStyle w:val="FootnoteReference"/>
          <w:rFonts w:ascii="Calibri" w:hAnsi="Calibri" w:cs="Calibri"/>
          <w:bCs/>
          <w:sz w:val="22"/>
          <w:szCs w:val="22"/>
        </w:rPr>
        <w:footnoteReference w:id="5"/>
      </w:r>
    </w:p>
    <w:p w14:paraId="63563902" w14:textId="77777777" w:rsidR="001A3D6C" w:rsidRPr="00F95325" w:rsidRDefault="001A3D6C" w:rsidP="00024322">
      <w:pPr>
        <w:pStyle w:val="ListParagraph"/>
        <w:widowControl w:val="0"/>
        <w:tabs>
          <w:tab w:val="left" w:pos="220"/>
          <w:tab w:val="left" w:pos="567"/>
        </w:tabs>
        <w:autoSpaceDE w:val="0"/>
        <w:autoSpaceDN w:val="0"/>
        <w:adjustRightInd w:val="0"/>
        <w:ind w:left="567"/>
        <w:jc w:val="both"/>
        <w:rPr>
          <w:rFonts w:ascii="Calibri" w:hAnsi="Calibri" w:cs="Calibri"/>
          <w:sz w:val="22"/>
          <w:szCs w:val="22"/>
        </w:rPr>
      </w:pPr>
    </w:p>
    <w:p w14:paraId="7D463DD1" w14:textId="62CF282D" w:rsidR="00940C99" w:rsidRPr="00F95325" w:rsidRDefault="00942A7D" w:rsidP="00024322">
      <w:pPr>
        <w:pStyle w:val="ListParagraph"/>
        <w:widowControl w:val="0"/>
        <w:numPr>
          <w:ilvl w:val="0"/>
          <w:numId w:val="1"/>
        </w:numPr>
        <w:tabs>
          <w:tab w:val="left" w:pos="220"/>
          <w:tab w:val="left" w:pos="567"/>
        </w:tabs>
        <w:autoSpaceDE w:val="0"/>
        <w:autoSpaceDN w:val="0"/>
        <w:adjustRightInd w:val="0"/>
        <w:ind w:left="567"/>
        <w:jc w:val="both"/>
        <w:rPr>
          <w:rFonts w:ascii="Calibri" w:hAnsi="Calibri" w:cs="Calibri"/>
          <w:sz w:val="22"/>
          <w:szCs w:val="22"/>
        </w:rPr>
      </w:pPr>
      <w:r w:rsidRPr="00F95325">
        <w:rPr>
          <w:rFonts w:ascii="Calibri" w:hAnsi="Calibri" w:cs="Calibri"/>
          <w:sz w:val="22"/>
          <w:szCs w:val="22"/>
        </w:rPr>
        <w:t xml:space="preserve">In light of Belgium’s obligations under the </w:t>
      </w:r>
      <w:r w:rsidR="007169D3" w:rsidRPr="00F95325">
        <w:rPr>
          <w:rFonts w:ascii="Calibri" w:hAnsi="Calibri" w:cs="Calibri"/>
          <w:sz w:val="22"/>
          <w:szCs w:val="22"/>
        </w:rPr>
        <w:t>Convention against Torture and Other Cruel Inhuman or Degrading Treatment or Punishment (hereinafter “Convention</w:t>
      </w:r>
      <w:r w:rsidR="004E6560" w:rsidRPr="00F95325">
        <w:rPr>
          <w:rFonts w:ascii="Calibri" w:hAnsi="Calibri" w:cs="Calibri"/>
          <w:sz w:val="22"/>
          <w:szCs w:val="22"/>
        </w:rPr>
        <w:t xml:space="preserve"> against Torture</w:t>
      </w:r>
      <w:r w:rsidR="007169D3" w:rsidRPr="00F95325">
        <w:rPr>
          <w:rFonts w:ascii="Calibri" w:hAnsi="Calibri" w:cs="Calibri"/>
          <w:sz w:val="22"/>
          <w:szCs w:val="22"/>
        </w:rPr>
        <w:t>”)</w:t>
      </w:r>
      <w:r w:rsidRPr="00F95325">
        <w:rPr>
          <w:rFonts w:ascii="Calibri" w:hAnsi="Calibri" w:cs="Calibri"/>
          <w:sz w:val="22"/>
          <w:szCs w:val="22"/>
        </w:rPr>
        <w:t xml:space="preserve"> and the importance of eradicating statelessness as expressed by UNHCR’s </w:t>
      </w:r>
      <w:r w:rsidRPr="00F95325">
        <w:rPr>
          <w:rFonts w:ascii="Calibri" w:hAnsi="Calibri" w:cs="Calibri"/>
          <w:sz w:val="22"/>
          <w:szCs w:val="22"/>
        </w:rPr>
        <w:lastRenderedPageBreak/>
        <w:t>#IBelong campaign,</w:t>
      </w:r>
      <w:r w:rsidR="00584080" w:rsidRPr="00F95325">
        <w:rPr>
          <w:rStyle w:val="FootnoteReference"/>
          <w:rFonts w:ascii="Calibri" w:hAnsi="Calibri" w:cs="Calibri"/>
          <w:sz w:val="22"/>
          <w:szCs w:val="22"/>
        </w:rPr>
        <w:footnoteReference w:id="6"/>
      </w:r>
      <w:r w:rsidRPr="00F95325">
        <w:rPr>
          <w:rFonts w:ascii="Calibri" w:hAnsi="Calibri" w:cs="Calibri"/>
          <w:sz w:val="22"/>
          <w:szCs w:val="22"/>
        </w:rPr>
        <w:t xml:space="preserve"> the submitting organisations hope the Committee will raise these matters and address recommendations to </w:t>
      </w:r>
      <w:r w:rsidR="0068665F" w:rsidRPr="00F95325">
        <w:rPr>
          <w:rFonts w:ascii="Calibri" w:hAnsi="Calibri" w:cs="Calibri"/>
          <w:sz w:val="22"/>
          <w:szCs w:val="22"/>
        </w:rPr>
        <w:t>Belgium</w:t>
      </w:r>
      <w:r w:rsidRPr="00F95325">
        <w:rPr>
          <w:rFonts w:ascii="Calibri" w:hAnsi="Calibri" w:cs="Calibri"/>
          <w:sz w:val="22"/>
          <w:szCs w:val="22"/>
        </w:rPr>
        <w:t xml:space="preserve"> to further prevent and reduce statelessnes</w:t>
      </w:r>
      <w:r w:rsidR="0068665F" w:rsidRPr="00F95325">
        <w:rPr>
          <w:rFonts w:ascii="Calibri" w:hAnsi="Calibri" w:cs="Calibri"/>
          <w:sz w:val="22"/>
          <w:szCs w:val="22"/>
        </w:rPr>
        <w:t>s.</w:t>
      </w:r>
      <w:r w:rsidR="001A3D6C" w:rsidRPr="00F95325">
        <w:rPr>
          <w:rFonts w:ascii="Calibri" w:hAnsi="Calibri" w:cs="Calibri"/>
          <w:bCs/>
          <w:sz w:val="22"/>
          <w:szCs w:val="22"/>
        </w:rPr>
        <w:t xml:space="preserve"> </w:t>
      </w:r>
      <w:r w:rsidR="00CD4218">
        <w:rPr>
          <w:rFonts w:ascii="Calibri" w:hAnsi="Calibri" w:cs="Calibri"/>
          <w:bCs/>
          <w:sz w:val="22"/>
          <w:szCs w:val="22"/>
        </w:rPr>
        <w:t xml:space="preserve">Further information on </w:t>
      </w:r>
      <w:r w:rsidR="009435AC">
        <w:rPr>
          <w:rFonts w:ascii="Calibri" w:hAnsi="Calibri" w:cs="Calibri"/>
          <w:bCs/>
          <w:sz w:val="22"/>
          <w:szCs w:val="22"/>
        </w:rPr>
        <w:t xml:space="preserve">the legal framework and </w:t>
      </w:r>
      <w:r w:rsidR="00003FE8">
        <w:rPr>
          <w:rFonts w:ascii="Calibri" w:hAnsi="Calibri" w:cs="Calibri"/>
          <w:bCs/>
          <w:sz w:val="22"/>
          <w:szCs w:val="22"/>
        </w:rPr>
        <w:t xml:space="preserve">the </w:t>
      </w:r>
      <w:r w:rsidR="009435AC">
        <w:rPr>
          <w:rFonts w:ascii="Calibri" w:hAnsi="Calibri" w:cs="Calibri"/>
          <w:bCs/>
          <w:sz w:val="22"/>
          <w:szCs w:val="22"/>
        </w:rPr>
        <w:t xml:space="preserve">situation of stateless </w:t>
      </w:r>
      <w:r w:rsidR="00003FE8">
        <w:rPr>
          <w:rFonts w:ascii="Calibri" w:hAnsi="Calibri" w:cs="Calibri"/>
          <w:bCs/>
          <w:sz w:val="22"/>
          <w:szCs w:val="22"/>
        </w:rPr>
        <w:t>people</w:t>
      </w:r>
      <w:r w:rsidR="009435AC">
        <w:rPr>
          <w:rFonts w:ascii="Calibri" w:hAnsi="Calibri" w:cs="Calibri"/>
          <w:bCs/>
          <w:sz w:val="22"/>
          <w:szCs w:val="22"/>
        </w:rPr>
        <w:t xml:space="preserve"> in Belgium is provided in Annex I.</w:t>
      </w:r>
    </w:p>
    <w:p w14:paraId="31C91288" w14:textId="77777777" w:rsidR="0068665F" w:rsidRPr="00F95325" w:rsidRDefault="0068665F" w:rsidP="00024322">
      <w:pPr>
        <w:pStyle w:val="NormalWeb"/>
        <w:widowControl w:val="0"/>
        <w:tabs>
          <w:tab w:val="left" w:pos="567"/>
        </w:tabs>
        <w:spacing w:before="0" w:beforeAutospacing="0" w:after="0" w:afterAutospacing="0"/>
        <w:jc w:val="both"/>
        <w:textAlignment w:val="baseline"/>
        <w:rPr>
          <w:rFonts w:ascii="Calibri" w:hAnsi="Calibri" w:cs="Calibri"/>
          <w:sz w:val="22"/>
          <w:szCs w:val="22"/>
        </w:rPr>
      </w:pPr>
    </w:p>
    <w:p w14:paraId="6472A82F" w14:textId="796F37E0" w:rsidR="00D15B68" w:rsidRPr="00F95325" w:rsidRDefault="00DE3ED1" w:rsidP="00024322">
      <w:pPr>
        <w:widowControl w:val="0"/>
        <w:autoSpaceDE w:val="0"/>
        <w:autoSpaceDN w:val="0"/>
        <w:adjustRightInd w:val="0"/>
        <w:jc w:val="both"/>
        <w:rPr>
          <w:rFonts w:ascii="Helvetica" w:hAnsi="Helvetica"/>
          <w:b/>
          <w:bCs/>
          <w:color w:val="2C166F"/>
          <w:sz w:val="28"/>
          <w:szCs w:val="16"/>
        </w:rPr>
      </w:pPr>
      <w:r w:rsidRPr="00F95325">
        <w:rPr>
          <w:rFonts w:ascii="Helvetica" w:hAnsi="Helvetica"/>
          <w:b/>
          <w:bCs/>
          <w:color w:val="2C166F"/>
          <w:sz w:val="28"/>
          <w:szCs w:val="16"/>
        </w:rPr>
        <w:t xml:space="preserve">International Obligations </w:t>
      </w:r>
    </w:p>
    <w:p w14:paraId="6472A830" w14:textId="77777777" w:rsidR="00D15B68" w:rsidRPr="00F95325" w:rsidRDefault="00D15B68" w:rsidP="00024322">
      <w:pPr>
        <w:widowControl w:val="0"/>
        <w:autoSpaceDE w:val="0"/>
        <w:autoSpaceDN w:val="0"/>
        <w:adjustRightInd w:val="0"/>
        <w:jc w:val="both"/>
        <w:rPr>
          <w:rFonts w:ascii="Calibri" w:hAnsi="Calibri" w:cs="Calibri"/>
          <w:sz w:val="22"/>
          <w:szCs w:val="22"/>
        </w:rPr>
      </w:pPr>
    </w:p>
    <w:p w14:paraId="71244A00" w14:textId="72BD38C6" w:rsidR="002A0B92" w:rsidRPr="00F95325" w:rsidRDefault="002A0B92" w:rsidP="007D3FB2">
      <w:pPr>
        <w:pStyle w:val="ListParagraph"/>
        <w:widowControl w:val="0"/>
        <w:numPr>
          <w:ilvl w:val="0"/>
          <w:numId w:val="1"/>
        </w:numPr>
        <w:jc w:val="both"/>
        <w:rPr>
          <w:rFonts w:asciiTheme="majorHAnsi" w:hAnsiTheme="majorHAnsi" w:cstheme="majorHAnsi"/>
          <w:sz w:val="22"/>
        </w:rPr>
      </w:pPr>
      <w:r w:rsidRPr="00F95325">
        <w:rPr>
          <w:rFonts w:asciiTheme="majorHAnsi" w:hAnsiTheme="majorHAnsi" w:cstheme="majorHAnsi"/>
          <w:sz w:val="22"/>
          <w:szCs w:val="22"/>
        </w:rPr>
        <w:t xml:space="preserve">Belgium has acceded to </w:t>
      </w:r>
      <w:r w:rsidR="0004175C">
        <w:rPr>
          <w:rFonts w:asciiTheme="majorHAnsi" w:hAnsiTheme="majorHAnsi" w:cstheme="majorHAnsi"/>
          <w:sz w:val="22"/>
          <w:szCs w:val="22"/>
        </w:rPr>
        <w:t xml:space="preserve">the </w:t>
      </w:r>
      <w:r w:rsidR="0004175C" w:rsidRPr="0004175C">
        <w:rPr>
          <w:rFonts w:asciiTheme="majorHAnsi" w:hAnsiTheme="majorHAnsi" w:cstheme="majorHAnsi"/>
          <w:sz w:val="22"/>
          <w:szCs w:val="22"/>
        </w:rPr>
        <w:t xml:space="preserve">Convention against Torture </w:t>
      </w:r>
      <w:r w:rsidR="0004175C">
        <w:rPr>
          <w:rFonts w:asciiTheme="majorHAnsi" w:hAnsiTheme="majorHAnsi" w:cstheme="majorHAnsi"/>
          <w:sz w:val="22"/>
          <w:szCs w:val="22"/>
        </w:rPr>
        <w:t xml:space="preserve">and to </w:t>
      </w:r>
      <w:r w:rsidRPr="00F95325">
        <w:rPr>
          <w:rFonts w:asciiTheme="majorHAnsi" w:hAnsiTheme="majorHAnsi" w:cstheme="majorHAnsi"/>
          <w:sz w:val="22"/>
          <w:szCs w:val="22"/>
        </w:rPr>
        <w:t>most relevant human rights treaties</w:t>
      </w:r>
      <w:r w:rsidR="0004175C">
        <w:rPr>
          <w:rFonts w:asciiTheme="majorHAnsi" w:hAnsiTheme="majorHAnsi" w:cstheme="majorHAnsi"/>
          <w:sz w:val="22"/>
          <w:szCs w:val="22"/>
        </w:rPr>
        <w:t>. It</w:t>
      </w:r>
      <w:r w:rsidRPr="00F95325">
        <w:rPr>
          <w:rFonts w:asciiTheme="majorHAnsi" w:hAnsiTheme="majorHAnsi" w:cstheme="majorHAnsi"/>
          <w:sz w:val="22"/>
          <w:szCs w:val="22"/>
        </w:rPr>
        <w:t xml:space="preserve"> </w:t>
      </w:r>
      <w:r w:rsidR="00C82E7E">
        <w:rPr>
          <w:rFonts w:asciiTheme="majorHAnsi" w:hAnsiTheme="majorHAnsi" w:cstheme="majorHAnsi"/>
          <w:sz w:val="22"/>
          <w:szCs w:val="22"/>
        </w:rPr>
        <w:t xml:space="preserve">therefore </w:t>
      </w:r>
      <w:r w:rsidRPr="00F95325">
        <w:rPr>
          <w:rFonts w:asciiTheme="majorHAnsi" w:hAnsiTheme="majorHAnsi" w:cstheme="majorHAnsi"/>
          <w:sz w:val="22"/>
          <w:szCs w:val="22"/>
        </w:rPr>
        <w:t xml:space="preserve">has a clear obligation to protect the rights, liberty and security of stateless people on its territory, including through </w:t>
      </w:r>
      <w:r w:rsidR="00625313">
        <w:rPr>
          <w:rFonts w:asciiTheme="majorHAnsi" w:hAnsiTheme="majorHAnsi" w:cstheme="majorHAnsi"/>
          <w:sz w:val="22"/>
          <w:szCs w:val="22"/>
        </w:rPr>
        <w:t xml:space="preserve">the prohibition of </w:t>
      </w:r>
      <w:r w:rsidR="00625313" w:rsidRPr="00B94FD7">
        <w:rPr>
          <w:rFonts w:asciiTheme="majorHAnsi" w:hAnsiTheme="majorHAnsi" w:cstheme="majorHAnsi"/>
          <w:sz w:val="22"/>
        </w:rPr>
        <w:t>torture or cruel, inhuman or degrading treatment or punishment</w:t>
      </w:r>
      <w:r w:rsidR="00625313">
        <w:rPr>
          <w:rFonts w:asciiTheme="majorHAnsi" w:hAnsiTheme="majorHAnsi" w:cstheme="majorHAnsi"/>
          <w:sz w:val="22"/>
        </w:rPr>
        <w:t>,</w:t>
      </w:r>
      <w:r w:rsidR="00625313" w:rsidRPr="00F95325">
        <w:rPr>
          <w:rFonts w:asciiTheme="majorHAnsi" w:hAnsiTheme="majorHAnsi" w:cstheme="majorHAnsi"/>
          <w:sz w:val="22"/>
          <w:szCs w:val="22"/>
        </w:rPr>
        <w:t xml:space="preserve"> </w:t>
      </w:r>
      <w:r w:rsidRPr="00F95325">
        <w:rPr>
          <w:rFonts w:asciiTheme="majorHAnsi" w:hAnsiTheme="majorHAnsi" w:cstheme="majorHAnsi"/>
          <w:sz w:val="22"/>
          <w:szCs w:val="22"/>
        </w:rPr>
        <w:t>the prevention of</w:t>
      </w:r>
      <w:r w:rsidRPr="00F95325">
        <w:rPr>
          <w:rFonts w:asciiTheme="majorHAnsi" w:eastAsia="Times New Roman" w:hAnsiTheme="majorHAnsi" w:cstheme="majorHAnsi"/>
          <w:sz w:val="22"/>
          <w:szCs w:val="22"/>
          <w:lang w:eastAsia="zh-CN"/>
        </w:rPr>
        <w:t xml:space="preserve"> arbitrary detention of stateless persons</w:t>
      </w:r>
      <w:r w:rsidR="00E72965">
        <w:rPr>
          <w:rFonts w:asciiTheme="majorHAnsi" w:eastAsia="Times New Roman" w:hAnsiTheme="majorHAnsi" w:cstheme="majorHAnsi"/>
          <w:sz w:val="22"/>
          <w:szCs w:val="22"/>
          <w:lang w:eastAsia="zh-CN"/>
        </w:rPr>
        <w:t>,</w:t>
      </w:r>
      <w:r w:rsidRPr="00F95325">
        <w:rPr>
          <w:rFonts w:asciiTheme="majorHAnsi" w:eastAsia="Times New Roman" w:hAnsiTheme="majorHAnsi" w:cstheme="majorHAnsi"/>
          <w:sz w:val="22"/>
          <w:szCs w:val="22"/>
          <w:lang w:eastAsia="zh-CN"/>
        </w:rPr>
        <w:t xml:space="preserve"> and arbitrary deprivation of nationality on national security grounds.</w:t>
      </w:r>
    </w:p>
    <w:p w14:paraId="50BFEAF1" w14:textId="1DBB636A" w:rsidR="00B94FD7" w:rsidRDefault="00B94FD7" w:rsidP="00024322">
      <w:pPr>
        <w:pStyle w:val="ListParagraph"/>
        <w:widowControl w:val="0"/>
        <w:ind w:left="501"/>
        <w:jc w:val="both"/>
        <w:rPr>
          <w:rFonts w:asciiTheme="majorHAnsi" w:hAnsiTheme="majorHAnsi" w:cstheme="majorHAnsi"/>
          <w:sz w:val="22"/>
        </w:rPr>
      </w:pPr>
    </w:p>
    <w:p w14:paraId="1A0CD574" w14:textId="50FCDEED" w:rsidR="0001327B" w:rsidRDefault="00F81646" w:rsidP="007D3FB2">
      <w:pPr>
        <w:pStyle w:val="ListParagraph"/>
        <w:widowControl w:val="0"/>
        <w:numPr>
          <w:ilvl w:val="0"/>
          <w:numId w:val="1"/>
        </w:numPr>
        <w:jc w:val="both"/>
        <w:rPr>
          <w:rFonts w:asciiTheme="majorHAnsi" w:hAnsiTheme="majorHAnsi" w:cstheme="majorHAnsi"/>
          <w:sz w:val="22"/>
        </w:rPr>
      </w:pPr>
      <w:r w:rsidRPr="00A52EB9">
        <w:rPr>
          <w:rFonts w:asciiTheme="majorHAnsi" w:hAnsiTheme="majorHAnsi" w:cstheme="majorHAnsi"/>
          <w:sz w:val="22"/>
        </w:rPr>
        <w:t xml:space="preserve">Through several recommendations </w:t>
      </w:r>
      <w:r w:rsidR="00C31938" w:rsidRPr="00A52EB9">
        <w:rPr>
          <w:rFonts w:asciiTheme="majorHAnsi" w:hAnsiTheme="majorHAnsi" w:cstheme="majorHAnsi"/>
          <w:sz w:val="22"/>
        </w:rPr>
        <w:t>made to other States, the</w:t>
      </w:r>
      <w:r w:rsidRPr="00A52EB9">
        <w:rPr>
          <w:rFonts w:asciiTheme="majorHAnsi" w:hAnsiTheme="majorHAnsi" w:cstheme="majorHAnsi"/>
          <w:sz w:val="22"/>
        </w:rPr>
        <w:t xml:space="preserve"> Committee </w:t>
      </w:r>
      <w:r w:rsidR="00C31938" w:rsidRPr="00A52EB9">
        <w:rPr>
          <w:rFonts w:asciiTheme="majorHAnsi" w:hAnsiTheme="majorHAnsi" w:cstheme="majorHAnsi"/>
          <w:sz w:val="22"/>
        </w:rPr>
        <w:t xml:space="preserve">has </w:t>
      </w:r>
      <w:r w:rsidR="00DD37A0" w:rsidRPr="00A52EB9">
        <w:rPr>
          <w:rFonts w:asciiTheme="majorHAnsi" w:hAnsiTheme="majorHAnsi" w:cstheme="majorHAnsi"/>
          <w:sz w:val="22"/>
        </w:rPr>
        <w:t xml:space="preserve">demonstrated the </w:t>
      </w:r>
      <w:r w:rsidR="00D3766F" w:rsidRPr="00A52EB9">
        <w:rPr>
          <w:rFonts w:asciiTheme="majorHAnsi" w:hAnsiTheme="majorHAnsi" w:cstheme="majorHAnsi"/>
          <w:sz w:val="22"/>
        </w:rPr>
        <w:t xml:space="preserve">importance of considering the impact of </w:t>
      </w:r>
      <w:r w:rsidR="0001327B" w:rsidRPr="00A52EB9">
        <w:rPr>
          <w:rFonts w:asciiTheme="majorHAnsi" w:hAnsiTheme="majorHAnsi" w:cstheme="majorHAnsi"/>
          <w:sz w:val="22"/>
        </w:rPr>
        <w:t xml:space="preserve">statelessness and nationality </w:t>
      </w:r>
      <w:r w:rsidR="00D3766F" w:rsidRPr="00A52EB9">
        <w:rPr>
          <w:rFonts w:asciiTheme="majorHAnsi" w:hAnsiTheme="majorHAnsi" w:cstheme="majorHAnsi"/>
          <w:sz w:val="22"/>
        </w:rPr>
        <w:t>in</w:t>
      </w:r>
      <w:r w:rsidR="001E7F87" w:rsidRPr="00A52EB9">
        <w:rPr>
          <w:rFonts w:asciiTheme="majorHAnsi" w:hAnsiTheme="majorHAnsi" w:cstheme="majorHAnsi"/>
          <w:sz w:val="22"/>
        </w:rPr>
        <w:t xml:space="preserve"> assessing States’ international obligations under the </w:t>
      </w:r>
      <w:r w:rsidR="00D3766F" w:rsidRPr="00A52EB9">
        <w:rPr>
          <w:rFonts w:asciiTheme="majorHAnsi" w:hAnsiTheme="majorHAnsi" w:cstheme="majorHAnsi"/>
          <w:sz w:val="22"/>
        </w:rPr>
        <w:t>Convention against Torture</w:t>
      </w:r>
      <w:r w:rsidR="00E73A06" w:rsidRPr="00A52EB9">
        <w:rPr>
          <w:rFonts w:asciiTheme="majorHAnsi" w:hAnsiTheme="majorHAnsi" w:cstheme="majorHAnsi"/>
          <w:sz w:val="22"/>
        </w:rPr>
        <w:t>, particularly in the context of forced displacement and non-refoulement</w:t>
      </w:r>
      <w:r w:rsidR="001E7F87" w:rsidRPr="00A52EB9">
        <w:rPr>
          <w:rFonts w:asciiTheme="majorHAnsi" w:hAnsiTheme="majorHAnsi" w:cstheme="majorHAnsi"/>
          <w:sz w:val="22"/>
        </w:rPr>
        <w:t xml:space="preserve">. It has recommended Romania </w:t>
      </w:r>
      <w:r w:rsidR="00976886" w:rsidRPr="00A52EB9">
        <w:rPr>
          <w:rFonts w:asciiTheme="majorHAnsi" w:hAnsiTheme="majorHAnsi" w:cstheme="majorHAnsi"/>
          <w:sz w:val="22"/>
        </w:rPr>
        <w:t>consider establishing a statelessness determination procedure</w:t>
      </w:r>
      <w:r w:rsidR="00DB5D6E" w:rsidRPr="00A52EB9">
        <w:rPr>
          <w:rFonts w:asciiTheme="majorHAnsi" w:hAnsiTheme="majorHAnsi" w:cstheme="majorHAnsi"/>
          <w:sz w:val="22"/>
        </w:rPr>
        <w:t>,</w:t>
      </w:r>
      <w:r w:rsidR="00976886">
        <w:rPr>
          <w:rStyle w:val="FootnoteReference"/>
          <w:rFonts w:asciiTheme="majorHAnsi" w:hAnsiTheme="majorHAnsi" w:cstheme="majorHAnsi"/>
          <w:sz w:val="22"/>
        </w:rPr>
        <w:footnoteReference w:id="7"/>
      </w:r>
      <w:r w:rsidR="0001327B" w:rsidRPr="00A52EB9">
        <w:rPr>
          <w:rFonts w:asciiTheme="majorHAnsi" w:hAnsiTheme="majorHAnsi" w:cstheme="majorHAnsi"/>
          <w:sz w:val="22"/>
        </w:rPr>
        <w:t xml:space="preserve"> </w:t>
      </w:r>
      <w:r w:rsidR="00A52EB9" w:rsidRPr="00A52EB9">
        <w:rPr>
          <w:rFonts w:asciiTheme="majorHAnsi" w:hAnsiTheme="majorHAnsi" w:cstheme="majorHAnsi"/>
          <w:sz w:val="22"/>
        </w:rPr>
        <w:t xml:space="preserve">and </w:t>
      </w:r>
      <w:r w:rsidR="00DB5D6E" w:rsidRPr="00A52EB9">
        <w:rPr>
          <w:rFonts w:asciiTheme="majorHAnsi" w:hAnsiTheme="majorHAnsi" w:cstheme="majorHAnsi"/>
          <w:sz w:val="22"/>
        </w:rPr>
        <w:t xml:space="preserve">North Macedonia </w:t>
      </w:r>
      <w:r w:rsidR="00B62404" w:rsidRPr="00A52EB9">
        <w:rPr>
          <w:rFonts w:asciiTheme="majorHAnsi" w:hAnsiTheme="majorHAnsi" w:cstheme="majorHAnsi"/>
          <w:sz w:val="22"/>
        </w:rPr>
        <w:t xml:space="preserve">and New Zealand </w:t>
      </w:r>
      <w:r w:rsidR="00DB5D6E" w:rsidRPr="00A52EB9">
        <w:rPr>
          <w:rFonts w:asciiTheme="majorHAnsi" w:hAnsiTheme="majorHAnsi" w:cstheme="majorHAnsi"/>
          <w:sz w:val="22"/>
        </w:rPr>
        <w:t xml:space="preserve">adopt </w:t>
      </w:r>
      <w:r w:rsidR="0001327B" w:rsidRPr="00A52EB9">
        <w:rPr>
          <w:rFonts w:asciiTheme="majorHAnsi" w:hAnsiTheme="majorHAnsi" w:cstheme="majorHAnsi"/>
          <w:sz w:val="22"/>
        </w:rPr>
        <w:t>measures to ensure that stateless persons whose asylum claims have been refused</w:t>
      </w:r>
      <w:r w:rsidR="00B42EFE" w:rsidRPr="00A52EB9">
        <w:rPr>
          <w:rFonts w:asciiTheme="majorHAnsi" w:hAnsiTheme="majorHAnsi" w:cstheme="majorHAnsi"/>
          <w:sz w:val="22"/>
        </w:rPr>
        <w:t xml:space="preserve"> </w:t>
      </w:r>
      <w:r w:rsidR="0001327B" w:rsidRPr="00A52EB9">
        <w:rPr>
          <w:rFonts w:asciiTheme="majorHAnsi" w:hAnsiTheme="majorHAnsi" w:cstheme="majorHAnsi"/>
          <w:sz w:val="22"/>
        </w:rPr>
        <w:t>are not held in detention indefinitely</w:t>
      </w:r>
      <w:r w:rsidR="00A52EB9" w:rsidRPr="00A52EB9">
        <w:rPr>
          <w:rFonts w:asciiTheme="majorHAnsi" w:hAnsiTheme="majorHAnsi" w:cstheme="majorHAnsi"/>
          <w:sz w:val="22"/>
        </w:rPr>
        <w:t>.</w:t>
      </w:r>
      <w:r w:rsidR="00B42EFE">
        <w:rPr>
          <w:rStyle w:val="FootnoteReference"/>
          <w:rFonts w:asciiTheme="majorHAnsi" w:hAnsiTheme="majorHAnsi" w:cstheme="majorHAnsi"/>
          <w:sz w:val="22"/>
        </w:rPr>
        <w:footnoteReference w:id="8"/>
      </w:r>
      <w:r w:rsidR="00A52EB9" w:rsidRPr="00A52EB9">
        <w:rPr>
          <w:rFonts w:asciiTheme="majorHAnsi" w:hAnsiTheme="majorHAnsi" w:cstheme="majorHAnsi"/>
          <w:sz w:val="22"/>
        </w:rPr>
        <w:t xml:space="preserve"> It noted that obstacles to birth registration in Montenegro, in particular for Roma, </w:t>
      </w:r>
      <w:proofErr w:type="spellStart"/>
      <w:r w:rsidR="00A52EB9" w:rsidRPr="00A52EB9">
        <w:rPr>
          <w:rFonts w:asciiTheme="majorHAnsi" w:hAnsiTheme="majorHAnsi" w:cstheme="majorHAnsi"/>
          <w:sz w:val="22"/>
        </w:rPr>
        <w:t>Ashkali</w:t>
      </w:r>
      <w:proofErr w:type="spellEnd"/>
      <w:r w:rsidR="00A52EB9" w:rsidRPr="00A52EB9">
        <w:rPr>
          <w:rFonts w:asciiTheme="majorHAnsi" w:hAnsiTheme="majorHAnsi" w:cstheme="majorHAnsi"/>
          <w:sz w:val="22"/>
        </w:rPr>
        <w:t xml:space="preserve"> and Egyptians, put them at risk of statelessness and recommended the establishment of a simplified and accessible procedure for birth registration.</w:t>
      </w:r>
      <w:r w:rsidR="00A52EB9">
        <w:rPr>
          <w:rStyle w:val="FootnoteReference"/>
          <w:rFonts w:asciiTheme="majorHAnsi" w:hAnsiTheme="majorHAnsi" w:cstheme="majorHAnsi"/>
          <w:sz w:val="22"/>
        </w:rPr>
        <w:footnoteReference w:id="9"/>
      </w:r>
      <w:r w:rsidR="00A52EB9" w:rsidRPr="00A52EB9">
        <w:rPr>
          <w:rFonts w:asciiTheme="majorHAnsi" w:hAnsiTheme="majorHAnsi" w:cstheme="majorHAnsi"/>
          <w:sz w:val="22"/>
        </w:rPr>
        <w:t xml:space="preserve"> </w:t>
      </w:r>
      <w:r w:rsidR="005C760C">
        <w:rPr>
          <w:rFonts w:asciiTheme="majorHAnsi" w:hAnsiTheme="majorHAnsi" w:cstheme="majorHAnsi"/>
          <w:sz w:val="22"/>
        </w:rPr>
        <w:t>The Committee also recommended that Bolivia should e</w:t>
      </w:r>
      <w:r w:rsidR="005C760C" w:rsidRPr="0001327B">
        <w:rPr>
          <w:rFonts w:asciiTheme="majorHAnsi" w:hAnsiTheme="majorHAnsi" w:cstheme="majorHAnsi"/>
          <w:sz w:val="22"/>
        </w:rPr>
        <w:t xml:space="preserve">stablish </w:t>
      </w:r>
      <w:r w:rsidR="00CB76DC">
        <w:rPr>
          <w:rFonts w:asciiTheme="majorHAnsi" w:hAnsiTheme="majorHAnsi" w:cstheme="majorHAnsi"/>
          <w:sz w:val="22"/>
        </w:rPr>
        <w:t xml:space="preserve">a framework </w:t>
      </w:r>
      <w:r w:rsidR="005C760C" w:rsidRPr="0001327B">
        <w:rPr>
          <w:rFonts w:asciiTheme="majorHAnsi" w:hAnsiTheme="majorHAnsi" w:cstheme="majorHAnsi"/>
          <w:sz w:val="22"/>
        </w:rPr>
        <w:t>to determine whether a person is stateless in order to ensure that the State is fulfilling the international commitments assumed under the Convention relating to the Status of Stateless Persons (1954</w:t>
      </w:r>
      <w:r w:rsidR="00B26CA1">
        <w:rPr>
          <w:rFonts w:asciiTheme="majorHAnsi" w:hAnsiTheme="majorHAnsi" w:cstheme="majorHAnsi"/>
          <w:sz w:val="22"/>
        </w:rPr>
        <w:t xml:space="preserve"> Convention</w:t>
      </w:r>
      <w:r w:rsidR="005C760C" w:rsidRPr="0001327B">
        <w:rPr>
          <w:rFonts w:asciiTheme="majorHAnsi" w:hAnsiTheme="majorHAnsi" w:cstheme="majorHAnsi"/>
          <w:sz w:val="22"/>
        </w:rPr>
        <w:t>)</w:t>
      </w:r>
      <w:r w:rsidR="002456CC">
        <w:rPr>
          <w:rFonts w:asciiTheme="majorHAnsi" w:hAnsiTheme="majorHAnsi" w:cstheme="majorHAnsi"/>
          <w:sz w:val="22"/>
        </w:rPr>
        <w:t xml:space="preserve">, and grant its </w:t>
      </w:r>
      <w:r w:rsidR="002456CC" w:rsidRPr="0001327B">
        <w:rPr>
          <w:rFonts w:asciiTheme="majorHAnsi" w:hAnsiTheme="majorHAnsi" w:cstheme="majorHAnsi"/>
          <w:sz w:val="22"/>
        </w:rPr>
        <w:t>nationality</w:t>
      </w:r>
      <w:r w:rsidR="002456CC">
        <w:rPr>
          <w:rFonts w:asciiTheme="majorHAnsi" w:hAnsiTheme="majorHAnsi" w:cstheme="majorHAnsi"/>
          <w:sz w:val="22"/>
        </w:rPr>
        <w:t xml:space="preserve"> </w:t>
      </w:r>
      <w:r w:rsidR="002456CC" w:rsidRPr="0001327B">
        <w:rPr>
          <w:rFonts w:asciiTheme="majorHAnsi" w:hAnsiTheme="majorHAnsi" w:cstheme="majorHAnsi"/>
          <w:sz w:val="22"/>
        </w:rPr>
        <w:t>to persons who were not born on Bolivian territory but who would otherwise be stateless.</w:t>
      </w:r>
      <w:r w:rsidR="002456CC">
        <w:rPr>
          <w:rFonts w:asciiTheme="majorHAnsi" w:hAnsiTheme="majorHAnsi" w:cstheme="majorHAnsi"/>
          <w:sz w:val="22"/>
        </w:rPr>
        <w:t xml:space="preserve"> It noted that Bolivia</w:t>
      </w:r>
      <w:r w:rsidR="0001327B" w:rsidRPr="0001327B">
        <w:rPr>
          <w:rFonts w:asciiTheme="majorHAnsi" w:hAnsiTheme="majorHAnsi" w:cstheme="majorHAnsi"/>
          <w:sz w:val="22"/>
        </w:rPr>
        <w:t xml:space="preserve"> </w:t>
      </w:r>
      <w:r w:rsidR="00B353E5">
        <w:rPr>
          <w:rFonts w:asciiTheme="majorHAnsi" w:hAnsiTheme="majorHAnsi" w:cstheme="majorHAnsi"/>
          <w:sz w:val="22"/>
        </w:rPr>
        <w:t xml:space="preserve">should </w:t>
      </w:r>
      <w:r w:rsidR="002456CC">
        <w:rPr>
          <w:rFonts w:asciiTheme="majorHAnsi" w:hAnsiTheme="majorHAnsi" w:cstheme="majorHAnsi"/>
          <w:sz w:val="22"/>
        </w:rPr>
        <w:t>particularly</w:t>
      </w:r>
      <w:r w:rsidR="0001327B" w:rsidRPr="0001327B">
        <w:rPr>
          <w:rFonts w:asciiTheme="majorHAnsi" w:hAnsiTheme="majorHAnsi" w:cstheme="majorHAnsi"/>
          <w:sz w:val="22"/>
        </w:rPr>
        <w:t xml:space="preserve"> ensure that people are not wrongfully </w:t>
      </w:r>
      <w:r w:rsidR="002456CC">
        <w:rPr>
          <w:rFonts w:asciiTheme="majorHAnsi" w:hAnsiTheme="majorHAnsi" w:cstheme="majorHAnsi"/>
          <w:sz w:val="22"/>
        </w:rPr>
        <w:t>returned</w:t>
      </w:r>
      <w:r w:rsidR="0001327B" w:rsidRPr="0001327B">
        <w:rPr>
          <w:rFonts w:asciiTheme="majorHAnsi" w:hAnsiTheme="majorHAnsi" w:cstheme="majorHAnsi"/>
          <w:sz w:val="22"/>
        </w:rPr>
        <w:t xml:space="preserve"> at the border and that persons in need of international protection are identified, especially in the context of mixed migration flows.</w:t>
      </w:r>
      <w:r w:rsidR="00D879A8">
        <w:rPr>
          <w:rStyle w:val="FootnoteReference"/>
          <w:rFonts w:asciiTheme="majorHAnsi" w:hAnsiTheme="majorHAnsi" w:cstheme="majorHAnsi"/>
          <w:sz w:val="22"/>
        </w:rPr>
        <w:footnoteReference w:id="10"/>
      </w:r>
    </w:p>
    <w:p w14:paraId="15EB74B9" w14:textId="77777777" w:rsidR="0059531F" w:rsidRPr="00F95325" w:rsidRDefault="0059531F" w:rsidP="00024322">
      <w:pPr>
        <w:pStyle w:val="ListParagraph"/>
        <w:widowControl w:val="0"/>
        <w:rPr>
          <w:rFonts w:asciiTheme="majorHAnsi" w:hAnsiTheme="majorHAnsi" w:cstheme="majorHAnsi"/>
          <w:sz w:val="22"/>
          <w:szCs w:val="22"/>
        </w:rPr>
      </w:pPr>
    </w:p>
    <w:p w14:paraId="51ACAB07" w14:textId="6037FA77" w:rsidR="009A3A91" w:rsidRPr="00F95325" w:rsidRDefault="00DF0A11" w:rsidP="007D3FB2">
      <w:pPr>
        <w:pStyle w:val="ListParagraph"/>
        <w:widowControl w:val="0"/>
        <w:numPr>
          <w:ilvl w:val="0"/>
          <w:numId w:val="1"/>
        </w:numPr>
        <w:jc w:val="both"/>
        <w:rPr>
          <w:rFonts w:asciiTheme="majorHAnsi" w:hAnsiTheme="majorHAnsi" w:cstheme="majorHAnsi"/>
          <w:sz w:val="22"/>
        </w:rPr>
      </w:pPr>
      <w:r>
        <w:rPr>
          <w:rFonts w:asciiTheme="majorHAnsi" w:hAnsiTheme="majorHAnsi" w:cstheme="majorHAnsi"/>
          <w:sz w:val="22"/>
          <w:szCs w:val="22"/>
        </w:rPr>
        <w:t>Furthermore, t</w:t>
      </w:r>
      <w:r w:rsidR="0059531F" w:rsidRPr="00F95325">
        <w:rPr>
          <w:rFonts w:asciiTheme="majorHAnsi" w:hAnsiTheme="majorHAnsi" w:cstheme="majorHAnsi"/>
          <w:sz w:val="22"/>
          <w:szCs w:val="22"/>
        </w:rPr>
        <w:t xml:space="preserve">he right to liberty and </w:t>
      </w:r>
      <w:r w:rsidR="000F6280" w:rsidRPr="00F95325">
        <w:rPr>
          <w:rFonts w:asciiTheme="majorHAnsi" w:hAnsiTheme="majorHAnsi" w:cstheme="majorHAnsi"/>
          <w:sz w:val="22"/>
          <w:szCs w:val="22"/>
        </w:rPr>
        <w:t xml:space="preserve">security of the person is enshrined in </w:t>
      </w:r>
      <w:r w:rsidR="00CA3BA9" w:rsidRPr="00F95325">
        <w:rPr>
          <w:rFonts w:asciiTheme="majorHAnsi" w:hAnsiTheme="majorHAnsi" w:cstheme="majorHAnsi"/>
          <w:sz w:val="22"/>
          <w:szCs w:val="22"/>
        </w:rPr>
        <w:t xml:space="preserve">Articles 3 and 9 of </w:t>
      </w:r>
      <w:r w:rsidR="00EA5D9E" w:rsidRPr="00F95325">
        <w:rPr>
          <w:rFonts w:asciiTheme="majorHAnsi" w:hAnsiTheme="majorHAnsi" w:cstheme="majorHAnsi"/>
          <w:sz w:val="22"/>
          <w:szCs w:val="22"/>
        </w:rPr>
        <w:t xml:space="preserve">the Universal Declaration of Human Rights </w:t>
      </w:r>
      <w:r w:rsidR="000F6280" w:rsidRPr="00F95325">
        <w:rPr>
          <w:rFonts w:asciiTheme="majorHAnsi" w:hAnsiTheme="majorHAnsi" w:cstheme="majorHAnsi"/>
          <w:sz w:val="22"/>
          <w:szCs w:val="22"/>
        </w:rPr>
        <w:t>(</w:t>
      </w:r>
      <w:r w:rsidR="00CA3BA9" w:rsidRPr="00F95325">
        <w:rPr>
          <w:rFonts w:asciiTheme="majorHAnsi" w:hAnsiTheme="majorHAnsi" w:cstheme="majorHAnsi"/>
          <w:sz w:val="22"/>
          <w:szCs w:val="22"/>
        </w:rPr>
        <w:t>UDHR</w:t>
      </w:r>
      <w:r w:rsidR="000F6280" w:rsidRPr="00F95325">
        <w:rPr>
          <w:rFonts w:asciiTheme="majorHAnsi" w:hAnsiTheme="majorHAnsi" w:cstheme="majorHAnsi"/>
          <w:sz w:val="22"/>
          <w:szCs w:val="22"/>
        </w:rPr>
        <w:t xml:space="preserve">), </w:t>
      </w:r>
      <w:r w:rsidR="00CA3BA9" w:rsidRPr="00F95325">
        <w:rPr>
          <w:rFonts w:asciiTheme="majorHAnsi" w:hAnsiTheme="majorHAnsi" w:cstheme="majorHAnsi"/>
          <w:sz w:val="22"/>
          <w:szCs w:val="22"/>
        </w:rPr>
        <w:t>Article 9(1) of the</w:t>
      </w:r>
      <w:r w:rsidR="00EA5D9E" w:rsidRPr="00F95325">
        <w:rPr>
          <w:rFonts w:asciiTheme="majorHAnsi" w:hAnsiTheme="majorHAnsi" w:cstheme="majorHAnsi"/>
          <w:sz w:val="22"/>
          <w:szCs w:val="22"/>
        </w:rPr>
        <w:t xml:space="preserve"> </w:t>
      </w:r>
      <w:r w:rsidR="002F56FD" w:rsidRPr="00F95325">
        <w:rPr>
          <w:rFonts w:asciiTheme="majorHAnsi" w:hAnsiTheme="majorHAnsi" w:cstheme="majorHAnsi"/>
          <w:sz w:val="22"/>
          <w:szCs w:val="22"/>
        </w:rPr>
        <w:t>International Covenant on Civil and Political Rights</w:t>
      </w:r>
      <w:r w:rsidR="00361FEF" w:rsidRPr="00F95325">
        <w:rPr>
          <w:rFonts w:asciiTheme="majorHAnsi" w:hAnsiTheme="majorHAnsi" w:cstheme="majorHAnsi"/>
          <w:sz w:val="22"/>
          <w:szCs w:val="22"/>
        </w:rPr>
        <w:t xml:space="preserve"> (ICCPR)</w:t>
      </w:r>
      <w:r w:rsidR="000F6280" w:rsidRPr="00F95325">
        <w:rPr>
          <w:rFonts w:asciiTheme="majorHAnsi" w:hAnsiTheme="majorHAnsi" w:cstheme="majorHAnsi"/>
          <w:sz w:val="22"/>
          <w:szCs w:val="22"/>
        </w:rPr>
        <w:t xml:space="preserve">, </w:t>
      </w:r>
      <w:r w:rsidR="00CA3BA9" w:rsidRPr="00F95325">
        <w:rPr>
          <w:rFonts w:ascii="Calibri" w:eastAsia="Times New Roman" w:hAnsi="Calibri" w:cs="Calibri"/>
          <w:sz w:val="22"/>
          <w:szCs w:val="22"/>
          <w:lang w:eastAsia="zh-CN"/>
        </w:rPr>
        <w:t xml:space="preserve">Article 37 of </w:t>
      </w:r>
      <w:r w:rsidR="00EA5D9E" w:rsidRPr="00F95325">
        <w:rPr>
          <w:rFonts w:asciiTheme="majorHAnsi" w:hAnsiTheme="majorHAnsi" w:cstheme="majorHAnsi"/>
          <w:sz w:val="22"/>
          <w:szCs w:val="22"/>
        </w:rPr>
        <w:t xml:space="preserve">the </w:t>
      </w:r>
      <w:r w:rsidR="00C26D6F" w:rsidRPr="00F95325">
        <w:rPr>
          <w:rFonts w:ascii="Calibri" w:eastAsia="Times New Roman" w:hAnsi="Calibri" w:cs="Calibri"/>
          <w:sz w:val="22"/>
          <w:szCs w:val="22"/>
          <w:lang w:eastAsia="zh-CN"/>
        </w:rPr>
        <w:t>Convention on the Rights of the Child</w:t>
      </w:r>
      <w:r w:rsidR="000F6280" w:rsidRPr="00F95325">
        <w:rPr>
          <w:rFonts w:ascii="Calibri" w:eastAsia="Times New Roman" w:hAnsi="Calibri" w:cs="Calibri"/>
          <w:sz w:val="22"/>
          <w:szCs w:val="22"/>
          <w:lang w:eastAsia="zh-CN"/>
        </w:rPr>
        <w:t xml:space="preserve"> (</w:t>
      </w:r>
      <w:r w:rsidR="00CA3BA9" w:rsidRPr="00F95325">
        <w:rPr>
          <w:rFonts w:ascii="Calibri" w:eastAsia="Times New Roman" w:hAnsi="Calibri" w:cs="Calibri"/>
          <w:sz w:val="22"/>
          <w:szCs w:val="22"/>
          <w:lang w:eastAsia="zh-CN"/>
        </w:rPr>
        <w:t>CRC</w:t>
      </w:r>
      <w:r w:rsidR="000F6280" w:rsidRPr="00F95325">
        <w:rPr>
          <w:rFonts w:ascii="Calibri" w:eastAsia="Times New Roman" w:hAnsi="Calibri" w:cs="Calibri"/>
          <w:sz w:val="22"/>
          <w:szCs w:val="22"/>
          <w:lang w:eastAsia="zh-CN"/>
        </w:rPr>
        <w:t xml:space="preserve">), </w:t>
      </w:r>
      <w:r w:rsidR="00CA3BA9" w:rsidRPr="00F95325">
        <w:rPr>
          <w:rFonts w:ascii="Calibri" w:eastAsia="Times New Roman" w:hAnsi="Calibri" w:cs="Calibri"/>
          <w:sz w:val="22"/>
          <w:szCs w:val="22"/>
          <w:lang w:eastAsia="zh-CN"/>
        </w:rPr>
        <w:t xml:space="preserve">Article 16(1) of </w:t>
      </w:r>
      <w:r w:rsidR="000F6280" w:rsidRPr="00F95325">
        <w:rPr>
          <w:rFonts w:ascii="Calibri" w:eastAsia="Times New Roman" w:hAnsi="Calibri" w:cs="Calibri"/>
          <w:sz w:val="22"/>
          <w:szCs w:val="22"/>
          <w:lang w:eastAsia="zh-CN"/>
        </w:rPr>
        <w:t xml:space="preserve">the </w:t>
      </w:r>
      <w:r w:rsidR="00277058" w:rsidRPr="00F95325">
        <w:rPr>
          <w:rFonts w:ascii="Calibri" w:eastAsia="Times New Roman" w:hAnsi="Calibri" w:cs="Calibri"/>
          <w:sz w:val="22"/>
          <w:szCs w:val="22"/>
          <w:lang w:eastAsia="zh-CN"/>
        </w:rPr>
        <w:t>International Convention on the Protection of the Rights of All Migrant Workers and Members of Their Families</w:t>
      </w:r>
      <w:r w:rsidR="00361FEF" w:rsidRPr="00F95325">
        <w:rPr>
          <w:rFonts w:ascii="Calibri" w:eastAsia="Times New Roman" w:hAnsi="Calibri" w:cs="Calibri"/>
          <w:sz w:val="22"/>
          <w:szCs w:val="22"/>
          <w:lang w:eastAsia="zh-CN"/>
        </w:rPr>
        <w:t xml:space="preserve"> (</w:t>
      </w:r>
      <w:r w:rsidR="001B6E8C" w:rsidRPr="00F95325">
        <w:rPr>
          <w:rFonts w:ascii="Calibri" w:eastAsia="Times New Roman" w:hAnsi="Calibri" w:cs="Calibri"/>
          <w:sz w:val="22"/>
          <w:szCs w:val="22"/>
          <w:lang w:eastAsia="zh-CN"/>
        </w:rPr>
        <w:t>CRMW)</w:t>
      </w:r>
      <w:r w:rsidR="000F6280" w:rsidRPr="00F95325">
        <w:rPr>
          <w:rFonts w:ascii="Calibri" w:eastAsia="Times New Roman" w:hAnsi="Calibri" w:cs="Calibri"/>
          <w:sz w:val="22"/>
          <w:szCs w:val="22"/>
          <w:lang w:eastAsia="zh-CN"/>
        </w:rPr>
        <w:t xml:space="preserve">, </w:t>
      </w:r>
      <w:r w:rsidR="00361FEF" w:rsidRPr="00F95325">
        <w:rPr>
          <w:rFonts w:ascii="Calibri" w:eastAsia="Times New Roman" w:hAnsi="Calibri" w:cs="Calibri"/>
          <w:sz w:val="22"/>
          <w:szCs w:val="22"/>
          <w:lang w:eastAsia="zh-CN"/>
        </w:rPr>
        <w:t xml:space="preserve">Article 14 of </w:t>
      </w:r>
      <w:r w:rsidR="000F6280" w:rsidRPr="00F95325">
        <w:rPr>
          <w:rFonts w:ascii="Calibri" w:eastAsia="Times New Roman" w:hAnsi="Calibri" w:cs="Calibri"/>
          <w:sz w:val="22"/>
          <w:szCs w:val="22"/>
          <w:lang w:eastAsia="zh-CN"/>
        </w:rPr>
        <w:t xml:space="preserve">the </w:t>
      </w:r>
      <w:r w:rsidR="002D0C3E" w:rsidRPr="00F95325">
        <w:rPr>
          <w:rFonts w:ascii="Calibri" w:eastAsia="Times New Roman" w:hAnsi="Calibri" w:cs="Calibri"/>
          <w:sz w:val="22"/>
          <w:szCs w:val="22"/>
          <w:lang w:eastAsia="zh-CN"/>
        </w:rPr>
        <w:t>Convention of the Rights of Persons with Disabilities</w:t>
      </w:r>
      <w:r w:rsidR="002D58F9" w:rsidRPr="00F95325">
        <w:rPr>
          <w:rFonts w:ascii="Calibri" w:eastAsia="Times New Roman" w:hAnsi="Calibri" w:cs="Calibri"/>
          <w:sz w:val="22"/>
          <w:szCs w:val="22"/>
          <w:lang w:eastAsia="zh-CN"/>
        </w:rPr>
        <w:t xml:space="preserve"> (CRPD)</w:t>
      </w:r>
      <w:r w:rsidR="000F6280" w:rsidRPr="00F95325">
        <w:rPr>
          <w:rFonts w:ascii="Calibri" w:eastAsia="Times New Roman" w:hAnsi="Calibri" w:cs="Calibri"/>
          <w:sz w:val="22"/>
          <w:szCs w:val="22"/>
          <w:lang w:eastAsia="zh-CN"/>
        </w:rPr>
        <w:t xml:space="preserve">, </w:t>
      </w:r>
      <w:r w:rsidR="00361FEF" w:rsidRPr="00F95325">
        <w:rPr>
          <w:rFonts w:ascii="Calibri" w:eastAsia="Times New Roman" w:hAnsi="Calibri" w:cs="Calibri"/>
          <w:sz w:val="22"/>
          <w:szCs w:val="22"/>
          <w:lang w:eastAsia="zh-CN"/>
        </w:rPr>
        <w:t xml:space="preserve">Article 5 of </w:t>
      </w:r>
      <w:r w:rsidR="000F6280" w:rsidRPr="00F95325">
        <w:rPr>
          <w:rFonts w:ascii="Calibri" w:eastAsia="Times New Roman" w:hAnsi="Calibri" w:cs="Calibri"/>
          <w:sz w:val="22"/>
          <w:szCs w:val="22"/>
          <w:lang w:eastAsia="zh-CN"/>
        </w:rPr>
        <w:t xml:space="preserve">the </w:t>
      </w:r>
      <w:r w:rsidR="006F13D7" w:rsidRPr="00F95325">
        <w:rPr>
          <w:rFonts w:ascii="Calibri" w:eastAsia="Times New Roman" w:hAnsi="Calibri" w:cs="Calibri"/>
          <w:sz w:val="22"/>
          <w:szCs w:val="22"/>
          <w:lang w:eastAsia="zh-CN"/>
        </w:rPr>
        <w:t>European Convention on Human Rights</w:t>
      </w:r>
      <w:r w:rsidR="000F6280" w:rsidRPr="00F95325">
        <w:rPr>
          <w:rFonts w:ascii="Calibri" w:eastAsia="Times New Roman" w:hAnsi="Calibri" w:cs="Calibri"/>
          <w:sz w:val="22"/>
          <w:szCs w:val="22"/>
          <w:lang w:eastAsia="zh-CN"/>
        </w:rPr>
        <w:t xml:space="preserve"> (</w:t>
      </w:r>
      <w:r w:rsidR="00361FEF" w:rsidRPr="00F95325">
        <w:rPr>
          <w:rFonts w:ascii="Calibri" w:eastAsia="Times New Roman" w:hAnsi="Calibri" w:cs="Calibri"/>
          <w:sz w:val="22"/>
          <w:szCs w:val="22"/>
          <w:lang w:eastAsia="zh-CN"/>
        </w:rPr>
        <w:t>ECHR</w:t>
      </w:r>
      <w:r w:rsidR="000F6280" w:rsidRPr="00F95325">
        <w:rPr>
          <w:rFonts w:ascii="Calibri" w:eastAsia="Times New Roman" w:hAnsi="Calibri" w:cs="Calibri"/>
          <w:sz w:val="22"/>
          <w:szCs w:val="22"/>
          <w:lang w:eastAsia="zh-CN"/>
        </w:rPr>
        <w:t xml:space="preserve">), </w:t>
      </w:r>
      <w:r w:rsidR="00B5323A" w:rsidRPr="00F95325">
        <w:rPr>
          <w:rFonts w:ascii="Calibri" w:eastAsia="Times New Roman" w:hAnsi="Calibri" w:cs="Calibri"/>
          <w:sz w:val="22"/>
          <w:szCs w:val="22"/>
          <w:lang w:eastAsia="zh-CN"/>
        </w:rPr>
        <w:t xml:space="preserve">and </w:t>
      </w:r>
      <w:r w:rsidR="002D58F9" w:rsidRPr="00F95325">
        <w:rPr>
          <w:rFonts w:ascii="Calibri" w:eastAsia="Times New Roman" w:hAnsi="Calibri" w:cs="Calibri"/>
          <w:sz w:val="22"/>
          <w:szCs w:val="22"/>
          <w:lang w:eastAsia="zh-CN"/>
        </w:rPr>
        <w:t xml:space="preserve">Article 6 of </w:t>
      </w:r>
      <w:r w:rsidR="000F6280" w:rsidRPr="00F95325">
        <w:rPr>
          <w:rFonts w:ascii="Calibri" w:eastAsia="Times New Roman" w:hAnsi="Calibri" w:cs="Calibri"/>
          <w:sz w:val="22"/>
          <w:szCs w:val="22"/>
          <w:lang w:eastAsia="zh-CN"/>
        </w:rPr>
        <w:t xml:space="preserve">the Charter of Fundamental Rights of the </w:t>
      </w:r>
      <w:r w:rsidR="009052BE" w:rsidRPr="00F95325">
        <w:rPr>
          <w:rFonts w:ascii="Calibri" w:eastAsia="Times New Roman" w:hAnsi="Calibri" w:cs="Calibri"/>
          <w:sz w:val="22"/>
          <w:szCs w:val="22"/>
          <w:lang w:eastAsia="zh-CN"/>
        </w:rPr>
        <w:t>European Union</w:t>
      </w:r>
      <w:r w:rsidR="00255E7A" w:rsidRPr="00F95325">
        <w:rPr>
          <w:rFonts w:ascii="Calibri" w:eastAsia="Times New Roman" w:hAnsi="Calibri" w:cs="Calibri"/>
          <w:sz w:val="22"/>
          <w:szCs w:val="22"/>
          <w:lang w:eastAsia="zh-CN"/>
        </w:rPr>
        <w:t>, among others</w:t>
      </w:r>
      <w:r w:rsidR="000F6280" w:rsidRPr="00F95325">
        <w:rPr>
          <w:rFonts w:ascii="Calibri" w:eastAsia="Times New Roman" w:hAnsi="Calibri" w:cs="Calibri"/>
          <w:sz w:val="22"/>
          <w:szCs w:val="22"/>
          <w:lang w:eastAsia="zh-CN"/>
        </w:rPr>
        <w:t>. The H</w:t>
      </w:r>
      <w:r w:rsidR="00456ADC" w:rsidRPr="00F95325">
        <w:rPr>
          <w:rFonts w:ascii="Calibri" w:eastAsia="Times New Roman" w:hAnsi="Calibri" w:cs="Calibri"/>
          <w:sz w:val="22"/>
          <w:szCs w:val="22"/>
          <w:lang w:eastAsia="zh-CN"/>
        </w:rPr>
        <w:t>uman Rights Committee’s</w:t>
      </w:r>
      <w:r w:rsidR="000F6280" w:rsidRPr="00F95325">
        <w:rPr>
          <w:rFonts w:ascii="Calibri" w:eastAsia="Times New Roman" w:hAnsi="Calibri" w:cs="Calibri"/>
          <w:sz w:val="22"/>
          <w:szCs w:val="22"/>
          <w:lang w:eastAsia="zh-CN"/>
        </w:rPr>
        <w:t xml:space="preserve"> General Comment No. 35 (para. 18) stipulates that </w:t>
      </w:r>
      <w:r w:rsidR="006E3A35">
        <w:rPr>
          <w:rFonts w:ascii="Calibri" w:eastAsia="Times New Roman" w:hAnsi="Calibri" w:cs="Calibri"/>
          <w:sz w:val="22"/>
          <w:szCs w:val="22"/>
          <w:lang w:eastAsia="zh-CN"/>
        </w:rPr>
        <w:t>“</w:t>
      </w:r>
      <w:r w:rsidR="00456ADC" w:rsidRPr="00F95325">
        <w:rPr>
          <w:rFonts w:ascii="Calibri" w:eastAsia="Times New Roman" w:hAnsi="Calibri" w:cs="Calibri"/>
          <w:sz w:val="22"/>
          <w:szCs w:val="22"/>
          <w:lang w:eastAsia="zh-CN"/>
        </w:rPr>
        <w:t>t</w:t>
      </w:r>
      <w:r w:rsidR="000F6280" w:rsidRPr="00F95325">
        <w:rPr>
          <w:rFonts w:ascii="Calibri" w:eastAsia="Times New Roman" w:hAnsi="Calibri" w:cs="Calibri"/>
          <w:sz w:val="22"/>
          <w:szCs w:val="22"/>
          <w:lang w:eastAsia="zh-CN"/>
        </w:rPr>
        <w:t xml:space="preserve">he inability of a State party to carry out the expulsion of an individual because of statelessness or other obstacles does not justify </w:t>
      </w:r>
      <w:r w:rsidR="000F6280" w:rsidRPr="00F95325">
        <w:rPr>
          <w:rFonts w:ascii="Calibri" w:eastAsia="Times New Roman" w:hAnsi="Calibri" w:cs="Calibri"/>
          <w:sz w:val="22"/>
          <w:szCs w:val="22"/>
          <w:lang w:eastAsia="zh-CN"/>
        </w:rPr>
        <w:lastRenderedPageBreak/>
        <w:t>indefinite detention</w:t>
      </w:r>
      <w:r w:rsidR="006E3A35">
        <w:rPr>
          <w:rFonts w:ascii="Calibri" w:eastAsia="Times New Roman" w:hAnsi="Calibri" w:cs="Calibri"/>
          <w:sz w:val="22"/>
          <w:szCs w:val="22"/>
          <w:lang w:eastAsia="zh-CN"/>
        </w:rPr>
        <w:t>”</w:t>
      </w:r>
      <w:r w:rsidR="000F6280" w:rsidRPr="00F95325">
        <w:rPr>
          <w:rFonts w:ascii="Calibri" w:eastAsia="Times New Roman" w:hAnsi="Calibri" w:cs="Calibri"/>
          <w:sz w:val="22"/>
          <w:szCs w:val="22"/>
          <w:lang w:eastAsia="zh-CN"/>
        </w:rPr>
        <w:t xml:space="preserve">. </w:t>
      </w:r>
    </w:p>
    <w:p w14:paraId="682A0FCB" w14:textId="77777777" w:rsidR="009A3A91" w:rsidRPr="00F95325" w:rsidRDefault="009A3A91" w:rsidP="00024322">
      <w:pPr>
        <w:pStyle w:val="ListParagraph"/>
        <w:widowControl w:val="0"/>
        <w:rPr>
          <w:rFonts w:asciiTheme="majorHAnsi" w:hAnsiTheme="majorHAnsi" w:cstheme="majorHAnsi"/>
          <w:sz w:val="22"/>
        </w:rPr>
      </w:pPr>
    </w:p>
    <w:p w14:paraId="6A295D1C" w14:textId="50FE54D5" w:rsidR="009A3A91" w:rsidRPr="00F95325" w:rsidRDefault="009A3A91" w:rsidP="007D3FB2">
      <w:pPr>
        <w:pStyle w:val="ListParagraph"/>
        <w:widowControl w:val="0"/>
        <w:numPr>
          <w:ilvl w:val="0"/>
          <w:numId w:val="1"/>
        </w:numPr>
        <w:jc w:val="both"/>
        <w:rPr>
          <w:rFonts w:asciiTheme="majorHAnsi" w:hAnsiTheme="majorHAnsi" w:cstheme="majorHAnsi"/>
          <w:sz w:val="22"/>
        </w:rPr>
      </w:pPr>
      <w:r w:rsidRPr="00F95325">
        <w:rPr>
          <w:rFonts w:asciiTheme="majorHAnsi" w:hAnsiTheme="majorHAnsi" w:cstheme="majorHAnsi"/>
          <w:sz w:val="22"/>
        </w:rPr>
        <w:t xml:space="preserve">The prohibition of arbitrary deprivation of nationality </w:t>
      </w:r>
      <w:r w:rsidRPr="00F95325">
        <w:rPr>
          <w:rFonts w:asciiTheme="majorHAnsi" w:eastAsia="Times New Roman" w:hAnsiTheme="majorHAnsi" w:cstheme="majorHAnsi"/>
          <w:sz w:val="22"/>
          <w:szCs w:val="22"/>
          <w:lang w:eastAsia="zh-CN"/>
        </w:rPr>
        <w:t xml:space="preserve">is set out in Article 15(2) </w:t>
      </w:r>
      <w:r w:rsidR="007943C1" w:rsidRPr="00F95325">
        <w:rPr>
          <w:rFonts w:asciiTheme="majorHAnsi" w:eastAsia="Times New Roman" w:hAnsiTheme="majorHAnsi" w:cstheme="majorHAnsi"/>
          <w:sz w:val="22"/>
          <w:szCs w:val="22"/>
          <w:lang w:eastAsia="zh-CN"/>
        </w:rPr>
        <w:t xml:space="preserve">UDHR </w:t>
      </w:r>
      <w:r w:rsidRPr="00F95325">
        <w:rPr>
          <w:rFonts w:asciiTheme="majorHAnsi" w:eastAsia="Times New Roman" w:hAnsiTheme="majorHAnsi" w:cstheme="majorHAnsi"/>
          <w:sz w:val="22"/>
          <w:szCs w:val="22"/>
          <w:lang w:eastAsia="zh-CN"/>
        </w:rPr>
        <w:t xml:space="preserve">and is subsequently enshrined in different international and regional legal instruments. Article 18(1)(a) </w:t>
      </w:r>
      <w:r w:rsidR="002D4DEE" w:rsidRPr="00F95325">
        <w:rPr>
          <w:rFonts w:asciiTheme="majorHAnsi" w:eastAsia="Times New Roman" w:hAnsiTheme="majorHAnsi" w:cstheme="majorHAnsi"/>
          <w:sz w:val="22"/>
          <w:szCs w:val="22"/>
          <w:lang w:eastAsia="zh-CN"/>
        </w:rPr>
        <w:t>CRPD</w:t>
      </w:r>
      <w:r w:rsidRPr="00F95325">
        <w:rPr>
          <w:rFonts w:asciiTheme="majorHAnsi" w:eastAsia="Times New Roman" w:hAnsiTheme="majorHAnsi" w:cstheme="majorHAnsi"/>
          <w:sz w:val="22"/>
          <w:szCs w:val="22"/>
          <w:lang w:eastAsia="zh-CN"/>
        </w:rPr>
        <w:t xml:space="preserve"> obliges States Parties to ensure that persons with disabilities “have the right to acquire and change a nationality and </w:t>
      </w:r>
      <w:r w:rsidR="007F3585" w:rsidRPr="00F95325">
        <w:rPr>
          <w:rFonts w:asciiTheme="majorHAnsi" w:eastAsia="Times New Roman" w:hAnsiTheme="majorHAnsi" w:cstheme="majorHAnsi"/>
          <w:sz w:val="22"/>
          <w:szCs w:val="22"/>
          <w:lang w:eastAsia="zh-CN"/>
        </w:rPr>
        <w:t>are not deprived of their nationality arbitrarily or on the basis of disability</w:t>
      </w:r>
      <w:r w:rsidR="00CC43E8" w:rsidRPr="00F95325">
        <w:rPr>
          <w:rFonts w:asciiTheme="majorHAnsi" w:eastAsia="Times New Roman" w:hAnsiTheme="majorHAnsi" w:cstheme="majorHAnsi"/>
          <w:sz w:val="22"/>
          <w:szCs w:val="22"/>
          <w:lang w:eastAsia="zh-CN"/>
        </w:rPr>
        <w:t>”</w:t>
      </w:r>
      <w:r w:rsidR="007F3585" w:rsidRPr="00F95325">
        <w:rPr>
          <w:rFonts w:asciiTheme="majorHAnsi" w:eastAsia="Times New Roman" w:hAnsiTheme="majorHAnsi" w:cstheme="majorHAnsi"/>
          <w:sz w:val="22"/>
          <w:szCs w:val="22"/>
          <w:lang w:eastAsia="zh-CN"/>
        </w:rPr>
        <w:t xml:space="preserve">. Article 9(1) of </w:t>
      </w:r>
      <w:r w:rsidR="008D140A" w:rsidRPr="00F95325">
        <w:rPr>
          <w:rFonts w:asciiTheme="majorHAnsi" w:eastAsia="Times New Roman" w:hAnsiTheme="majorHAnsi" w:cstheme="majorHAnsi"/>
          <w:sz w:val="22"/>
          <w:szCs w:val="22"/>
          <w:lang w:eastAsia="zh-CN"/>
        </w:rPr>
        <w:t xml:space="preserve">the Convention on the Elimination of All Forms of Discrimination against Women </w:t>
      </w:r>
      <w:r w:rsidR="002D4DEE" w:rsidRPr="00F95325">
        <w:rPr>
          <w:rFonts w:asciiTheme="majorHAnsi" w:eastAsia="Times New Roman" w:hAnsiTheme="majorHAnsi" w:cstheme="majorHAnsi"/>
          <w:sz w:val="22"/>
          <w:szCs w:val="22"/>
          <w:lang w:eastAsia="zh-CN"/>
        </w:rPr>
        <w:t xml:space="preserve">(CEDAW) </w:t>
      </w:r>
      <w:r w:rsidR="007F3585" w:rsidRPr="00F95325">
        <w:rPr>
          <w:rFonts w:asciiTheme="majorHAnsi" w:eastAsia="Times New Roman" w:hAnsiTheme="majorHAnsi" w:cstheme="majorHAnsi"/>
          <w:sz w:val="22"/>
          <w:szCs w:val="22"/>
          <w:lang w:eastAsia="zh-CN"/>
        </w:rPr>
        <w:t>also provides that “States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r w:rsidR="00CC43E8" w:rsidRPr="00F95325">
        <w:rPr>
          <w:rFonts w:asciiTheme="majorHAnsi" w:eastAsia="Times New Roman" w:hAnsiTheme="majorHAnsi" w:cstheme="majorHAnsi"/>
          <w:sz w:val="22"/>
          <w:szCs w:val="22"/>
          <w:lang w:eastAsia="zh-CN"/>
        </w:rPr>
        <w:t>”</w:t>
      </w:r>
      <w:r w:rsidR="007F3585" w:rsidRPr="00F95325">
        <w:rPr>
          <w:rFonts w:asciiTheme="majorHAnsi" w:eastAsia="Times New Roman" w:hAnsiTheme="majorHAnsi" w:cstheme="majorHAnsi"/>
          <w:sz w:val="22"/>
          <w:szCs w:val="22"/>
          <w:lang w:eastAsia="zh-CN"/>
        </w:rPr>
        <w:t xml:space="preserve">. Article 7 CRC </w:t>
      </w:r>
      <w:r w:rsidR="000E494D" w:rsidRPr="00F95325">
        <w:rPr>
          <w:rFonts w:asciiTheme="majorHAnsi" w:eastAsia="Times New Roman" w:hAnsiTheme="majorHAnsi" w:cstheme="majorHAnsi"/>
          <w:sz w:val="22"/>
          <w:szCs w:val="22"/>
          <w:lang w:eastAsia="zh-CN"/>
        </w:rPr>
        <w:t>sets</w:t>
      </w:r>
      <w:r w:rsidR="007F3585" w:rsidRPr="00F95325">
        <w:rPr>
          <w:rFonts w:asciiTheme="majorHAnsi" w:eastAsia="Times New Roman" w:hAnsiTheme="majorHAnsi" w:cstheme="majorHAnsi"/>
          <w:sz w:val="22"/>
          <w:szCs w:val="22"/>
          <w:lang w:eastAsia="zh-CN"/>
        </w:rPr>
        <w:t xml:space="preserve"> out child</w:t>
      </w:r>
      <w:r w:rsidR="006E0D2B" w:rsidRPr="00F95325">
        <w:rPr>
          <w:rFonts w:asciiTheme="majorHAnsi" w:eastAsia="Times New Roman" w:hAnsiTheme="majorHAnsi" w:cstheme="majorHAnsi"/>
          <w:sz w:val="22"/>
          <w:szCs w:val="22"/>
          <w:lang w:eastAsia="zh-CN"/>
        </w:rPr>
        <w:t>ren’s</w:t>
      </w:r>
      <w:r w:rsidR="007F3585" w:rsidRPr="00F95325">
        <w:rPr>
          <w:rFonts w:asciiTheme="majorHAnsi" w:eastAsia="Times New Roman" w:hAnsiTheme="majorHAnsi" w:cstheme="majorHAnsi"/>
          <w:sz w:val="22"/>
          <w:szCs w:val="22"/>
          <w:lang w:eastAsia="zh-CN"/>
        </w:rPr>
        <w:t xml:space="preserve"> right to acquire a nationality, </w:t>
      </w:r>
      <w:r w:rsidR="000E494D" w:rsidRPr="00F95325">
        <w:rPr>
          <w:rFonts w:asciiTheme="majorHAnsi" w:eastAsia="Times New Roman" w:hAnsiTheme="majorHAnsi" w:cstheme="majorHAnsi"/>
          <w:sz w:val="22"/>
          <w:szCs w:val="22"/>
          <w:lang w:eastAsia="zh-CN"/>
        </w:rPr>
        <w:t xml:space="preserve">and </w:t>
      </w:r>
      <w:r w:rsidR="007F3585" w:rsidRPr="00F95325">
        <w:rPr>
          <w:rFonts w:asciiTheme="majorHAnsi" w:eastAsia="Times New Roman" w:hAnsiTheme="majorHAnsi" w:cstheme="majorHAnsi"/>
          <w:sz w:val="22"/>
          <w:szCs w:val="22"/>
          <w:lang w:eastAsia="zh-CN"/>
        </w:rPr>
        <w:t xml:space="preserve">Article 8(1) provides that </w:t>
      </w:r>
      <w:r w:rsidR="001A6E76" w:rsidRPr="00F95325">
        <w:rPr>
          <w:rFonts w:asciiTheme="majorHAnsi" w:eastAsia="Times New Roman" w:hAnsiTheme="majorHAnsi" w:cstheme="majorHAnsi"/>
          <w:sz w:val="22"/>
          <w:szCs w:val="22"/>
          <w:lang w:eastAsia="zh-CN"/>
        </w:rPr>
        <w:t>S</w:t>
      </w:r>
      <w:r w:rsidR="007F3585" w:rsidRPr="00F95325">
        <w:rPr>
          <w:rFonts w:asciiTheme="majorHAnsi" w:eastAsia="Times New Roman" w:hAnsiTheme="majorHAnsi" w:cstheme="majorHAnsi"/>
          <w:sz w:val="22"/>
          <w:szCs w:val="22"/>
          <w:lang w:eastAsia="zh-CN"/>
        </w:rPr>
        <w:t>tates “undertake to respect the right of the child to preserve his or her identity, including nationality</w:t>
      </w:r>
      <w:r w:rsidR="001A01D4" w:rsidRPr="00F95325">
        <w:rPr>
          <w:rFonts w:asciiTheme="majorHAnsi" w:eastAsia="Times New Roman" w:hAnsiTheme="majorHAnsi" w:cstheme="majorHAnsi"/>
          <w:sz w:val="22"/>
          <w:szCs w:val="22"/>
          <w:lang w:eastAsia="zh-CN"/>
        </w:rPr>
        <w:t>,</w:t>
      </w:r>
      <w:r w:rsidR="006471F4" w:rsidRPr="00F95325">
        <w:rPr>
          <w:rFonts w:asciiTheme="majorHAnsi" w:eastAsia="Times New Roman" w:hAnsiTheme="majorHAnsi" w:cstheme="majorHAnsi"/>
          <w:sz w:val="22"/>
          <w:szCs w:val="22"/>
          <w:lang w:eastAsia="zh-CN"/>
        </w:rPr>
        <w:t xml:space="preserve"> </w:t>
      </w:r>
      <w:r w:rsidR="007F3585" w:rsidRPr="00F95325">
        <w:rPr>
          <w:rFonts w:asciiTheme="majorHAnsi" w:eastAsia="Times New Roman" w:hAnsiTheme="majorHAnsi" w:cstheme="majorHAnsi"/>
          <w:sz w:val="22"/>
          <w:szCs w:val="22"/>
          <w:lang w:eastAsia="zh-CN"/>
        </w:rPr>
        <w:t>[…] without unlawful interference</w:t>
      </w:r>
      <w:r w:rsidR="006471F4" w:rsidRPr="00F95325">
        <w:rPr>
          <w:rFonts w:asciiTheme="majorHAnsi" w:eastAsia="Times New Roman" w:hAnsiTheme="majorHAnsi" w:cstheme="majorHAnsi"/>
          <w:sz w:val="22"/>
          <w:szCs w:val="22"/>
          <w:lang w:eastAsia="zh-CN"/>
        </w:rPr>
        <w:t>”</w:t>
      </w:r>
      <w:r w:rsidR="007F3585" w:rsidRPr="00F95325">
        <w:rPr>
          <w:rFonts w:asciiTheme="majorHAnsi" w:eastAsia="Times New Roman" w:hAnsiTheme="majorHAnsi" w:cstheme="majorHAnsi"/>
          <w:sz w:val="22"/>
          <w:szCs w:val="22"/>
          <w:lang w:eastAsia="zh-CN"/>
        </w:rPr>
        <w:t>. The UN General Assembly has reiterated the importance of the prohibition of arbitrary deprivation of nationality by noting that it constitutes a “fundamental principle of international law</w:t>
      </w:r>
      <w:r w:rsidR="009F162D" w:rsidRPr="00F95325">
        <w:rPr>
          <w:rFonts w:asciiTheme="majorHAnsi" w:eastAsia="Times New Roman" w:hAnsiTheme="majorHAnsi" w:cstheme="majorHAnsi"/>
          <w:sz w:val="22"/>
          <w:szCs w:val="22"/>
          <w:lang w:eastAsia="zh-CN"/>
        </w:rPr>
        <w:t>”</w:t>
      </w:r>
      <w:r w:rsidR="007F3585" w:rsidRPr="00F95325">
        <w:rPr>
          <w:rFonts w:asciiTheme="majorHAnsi" w:eastAsia="Times New Roman" w:hAnsiTheme="majorHAnsi" w:cstheme="majorHAnsi"/>
          <w:sz w:val="22"/>
          <w:szCs w:val="22"/>
          <w:lang w:eastAsia="zh-CN"/>
        </w:rPr>
        <w:t xml:space="preserve">. Furthermore, the European Court of Human Rights has held that arbitrary denial or revocation of </w:t>
      </w:r>
      <w:r w:rsidR="009F162D" w:rsidRPr="00F95325">
        <w:rPr>
          <w:rFonts w:asciiTheme="majorHAnsi" w:eastAsia="Times New Roman" w:hAnsiTheme="majorHAnsi" w:cstheme="majorHAnsi"/>
          <w:sz w:val="22"/>
          <w:szCs w:val="22"/>
          <w:lang w:eastAsia="zh-CN"/>
        </w:rPr>
        <w:t>nationality</w:t>
      </w:r>
      <w:r w:rsidR="007F3585" w:rsidRPr="00F95325">
        <w:rPr>
          <w:rFonts w:asciiTheme="majorHAnsi" w:eastAsia="Times New Roman" w:hAnsiTheme="majorHAnsi" w:cstheme="majorHAnsi"/>
          <w:sz w:val="22"/>
          <w:szCs w:val="22"/>
          <w:lang w:eastAsia="zh-CN"/>
        </w:rPr>
        <w:t xml:space="preserve"> might, in certain circumstances, raise an issue under Article 8 of the ECHR because of the impact of such a denial on the private life of the individual.</w:t>
      </w:r>
      <w:r w:rsidR="007B0FDF" w:rsidRPr="00F95325">
        <w:rPr>
          <w:rStyle w:val="FootnoteReference"/>
          <w:rFonts w:asciiTheme="majorHAnsi" w:eastAsia="Times New Roman" w:hAnsiTheme="majorHAnsi" w:cstheme="majorHAnsi"/>
          <w:sz w:val="22"/>
          <w:szCs w:val="22"/>
          <w:lang w:eastAsia="zh-CN"/>
        </w:rPr>
        <w:footnoteReference w:id="11"/>
      </w:r>
    </w:p>
    <w:p w14:paraId="34DF00AB" w14:textId="77777777" w:rsidR="009A3A91" w:rsidRPr="00F95325" w:rsidRDefault="009A3A91" w:rsidP="00024322">
      <w:pPr>
        <w:widowControl w:val="0"/>
        <w:jc w:val="both"/>
        <w:rPr>
          <w:rFonts w:asciiTheme="majorHAnsi" w:hAnsiTheme="majorHAnsi" w:cstheme="majorHAnsi"/>
          <w:sz w:val="22"/>
        </w:rPr>
      </w:pPr>
    </w:p>
    <w:p w14:paraId="20AE467F" w14:textId="0FAA0527" w:rsidR="004E6560" w:rsidRPr="00F95325" w:rsidRDefault="000F6280" w:rsidP="007D3FB2">
      <w:pPr>
        <w:pStyle w:val="ListParagraph"/>
        <w:widowControl w:val="0"/>
        <w:numPr>
          <w:ilvl w:val="0"/>
          <w:numId w:val="1"/>
        </w:numPr>
        <w:jc w:val="both"/>
        <w:rPr>
          <w:rFonts w:asciiTheme="majorHAnsi" w:hAnsiTheme="majorHAnsi" w:cstheme="majorHAnsi"/>
          <w:sz w:val="22"/>
        </w:rPr>
      </w:pPr>
      <w:r w:rsidRPr="00F95325">
        <w:rPr>
          <w:rFonts w:asciiTheme="majorHAnsi" w:hAnsiTheme="majorHAnsi" w:cstheme="majorHAnsi"/>
          <w:sz w:val="22"/>
          <w:szCs w:val="22"/>
        </w:rPr>
        <w:t xml:space="preserve">The </w:t>
      </w:r>
      <w:r w:rsidR="002C5FF0" w:rsidRPr="00F95325">
        <w:rPr>
          <w:rFonts w:asciiTheme="majorHAnsi" w:hAnsiTheme="majorHAnsi" w:cstheme="majorHAnsi"/>
          <w:sz w:val="22"/>
          <w:szCs w:val="22"/>
        </w:rPr>
        <w:t xml:space="preserve">principle of </w:t>
      </w:r>
      <w:r w:rsidRPr="00F95325">
        <w:rPr>
          <w:rFonts w:asciiTheme="majorHAnsi" w:hAnsiTheme="majorHAnsi" w:cstheme="majorHAnsi"/>
          <w:sz w:val="22"/>
          <w:szCs w:val="22"/>
        </w:rPr>
        <w:t xml:space="preserve">prohibition </w:t>
      </w:r>
      <w:r w:rsidR="00AA7164" w:rsidRPr="00F95325">
        <w:rPr>
          <w:rFonts w:asciiTheme="majorHAnsi" w:hAnsiTheme="majorHAnsi" w:cstheme="majorHAnsi"/>
          <w:sz w:val="22"/>
          <w:szCs w:val="22"/>
        </w:rPr>
        <w:t>against tortur</w:t>
      </w:r>
      <w:r w:rsidR="004E6560" w:rsidRPr="00F95325">
        <w:rPr>
          <w:rFonts w:asciiTheme="majorHAnsi" w:hAnsiTheme="majorHAnsi" w:cstheme="majorHAnsi"/>
          <w:sz w:val="22"/>
          <w:szCs w:val="22"/>
        </w:rPr>
        <w:t xml:space="preserve">e </w:t>
      </w:r>
      <w:r w:rsidR="00764504" w:rsidRPr="00F95325">
        <w:rPr>
          <w:rFonts w:asciiTheme="majorHAnsi" w:hAnsiTheme="majorHAnsi" w:cstheme="majorHAnsi"/>
          <w:sz w:val="22"/>
          <w:szCs w:val="22"/>
        </w:rPr>
        <w:t>or other</w:t>
      </w:r>
      <w:r w:rsidR="002C5FF0" w:rsidRPr="00F95325">
        <w:rPr>
          <w:rFonts w:asciiTheme="majorHAnsi" w:hAnsiTheme="majorHAnsi" w:cstheme="majorHAnsi"/>
          <w:sz w:val="22"/>
          <w:szCs w:val="22"/>
        </w:rPr>
        <w:t xml:space="preserve"> inhuman and degrading treatment</w:t>
      </w:r>
      <w:r w:rsidR="00C56F82" w:rsidRPr="00F95325">
        <w:rPr>
          <w:rFonts w:asciiTheme="majorHAnsi" w:hAnsiTheme="majorHAnsi" w:cstheme="majorHAnsi"/>
          <w:sz w:val="22"/>
          <w:szCs w:val="22"/>
        </w:rPr>
        <w:t>, as</w:t>
      </w:r>
      <w:r w:rsidR="004E6560" w:rsidRPr="00F95325">
        <w:rPr>
          <w:rFonts w:asciiTheme="majorHAnsi" w:hAnsiTheme="majorHAnsi" w:cstheme="majorHAnsi"/>
          <w:sz w:val="22"/>
          <w:szCs w:val="22"/>
        </w:rPr>
        <w:t xml:space="preserve"> established in</w:t>
      </w:r>
      <w:r w:rsidR="00F84406" w:rsidRPr="00F95325">
        <w:rPr>
          <w:rFonts w:asciiTheme="majorHAnsi" w:hAnsiTheme="majorHAnsi" w:cstheme="majorHAnsi"/>
          <w:sz w:val="22"/>
          <w:szCs w:val="22"/>
        </w:rPr>
        <w:t xml:space="preserve"> </w:t>
      </w:r>
      <w:r w:rsidR="0059531F" w:rsidRPr="00F95325">
        <w:rPr>
          <w:rFonts w:asciiTheme="majorHAnsi" w:eastAsia="Times New Roman" w:hAnsiTheme="majorHAnsi" w:cstheme="majorHAnsi"/>
          <w:sz w:val="22"/>
          <w:szCs w:val="22"/>
          <w:lang w:eastAsia="zh-CN"/>
        </w:rPr>
        <w:t xml:space="preserve">the Convention against Torture, </w:t>
      </w:r>
      <w:r w:rsidR="007F3585" w:rsidRPr="00F95325">
        <w:rPr>
          <w:rFonts w:asciiTheme="majorHAnsi" w:eastAsia="Times New Roman" w:hAnsiTheme="majorHAnsi" w:cstheme="majorHAnsi"/>
          <w:sz w:val="22"/>
          <w:szCs w:val="22"/>
          <w:lang w:eastAsia="zh-CN"/>
        </w:rPr>
        <w:t xml:space="preserve">is also enshrined in </w:t>
      </w:r>
      <w:r w:rsidR="0059531F" w:rsidRPr="00F95325">
        <w:rPr>
          <w:rFonts w:asciiTheme="majorHAnsi" w:eastAsia="Times New Roman" w:hAnsiTheme="majorHAnsi" w:cstheme="majorHAnsi"/>
          <w:sz w:val="22"/>
          <w:szCs w:val="22"/>
          <w:lang w:eastAsia="zh-CN"/>
        </w:rPr>
        <w:t>the UDHR (Article 5), the ICCPR (Article 7), the CRC (Article 37(a)), the ECHR (Article 3), the Charter of Fundamental Rights of the E</w:t>
      </w:r>
      <w:r w:rsidR="00C56F82" w:rsidRPr="00F95325">
        <w:rPr>
          <w:rFonts w:asciiTheme="majorHAnsi" w:eastAsia="Times New Roman" w:hAnsiTheme="majorHAnsi" w:cstheme="majorHAnsi"/>
          <w:sz w:val="22"/>
          <w:szCs w:val="22"/>
          <w:lang w:eastAsia="zh-CN"/>
        </w:rPr>
        <w:t>uropean Union</w:t>
      </w:r>
      <w:r w:rsidR="0059531F" w:rsidRPr="00F95325">
        <w:rPr>
          <w:rFonts w:asciiTheme="majorHAnsi" w:eastAsia="Times New Roman" w:hAnsiTheme="majorHAnsi" w:cstheme="majorHAnsi"/>
          <w:sz w:val="22"/>
          <w:szCs w:val="22"/>
          <w:lang w:eastAsia="zh-CN"/>
        </w:rPr>
        <w:t xml:space="preserve"> (Article 4</w:t>
      </w:r>
      <w:r w:rsidR="00C56F82" w:rsidRPr="00F95325">
        <w:rPr>
          <w:rFonts w:asciiTheme="majorHAnsi" w:eastAsia="Times New Roman" w:hAnsiTheme="majorHAnsi" w:cstheme="majorHAnsi"/>
          <w:sz w:val="22"/>
          <w:szCs w:val="22"/>
          <w:lang w:eastAsia="zh-CN"/>
        </w:rPr>
        <w:t>)</w:t>
      </w:r>
      <w:r w:rsidR="0059531F" w:rsidRPr="00F95325">
        <w:rPr>
          <w:rFonts w:asciiTheme="majorHAnsi" w:eastAsia="Times New Roman" w:hAnsiTheme="majorHAnsi" w:cstheme="majorHAnsi"/>
          <w:sz w:val="22"/>
          <w:szCs w:val="22"/>
          <w:lang w:eastAsia="zh-CN"/>
        </w:rPr>
        <w:t>, and the Geneva Conventions (Common Article 3). The Committee against Torture also states that the prohibition against torture is a fundamental principle of customary international law.</w:t>
      </w:r>
      <w:r w:rsidR="0059531F" w:rsidRPr="00F95325">
        <w:rPr>
          <w:rStyle w:val="FootnoteReference"/>
          <w:rFonts w:asciiTheme="majorHAnsi" w:eastAsia="Times New Roman" w:hAnsiTheme="majorHAnsi" w:cstheme="majorHAnsi"/>
          <w:sz w:val="22"/>
          <w:szCs w:val="22"/>
          <w:lang w:eastAsia="zh-CN"/>
        </w:rPr>
        <w:footnoteReference w:id="12"/>
      </w:r>
    </w:p>
    <w:p w14:paraId="263CBED8" w14:textId="77777777" w:rsidR="00B65B57" w:rsidRPr="00F95325" w:rsidRDefault="00B65B57" w:rsidP="00024322">
      <w:pPr>
        <w:pStyle w:val="NormalWeb"/>
        <w:widowControl w:val="0"/>
        <w:tabs>
          <w:tab w:val="left" w:pos="567"/>
        </w:tabs>
        <w:spacing w:before="0" w:beforeAutospacing="0" w:after="0" w:afterAutospacing="0"/>
        <w:ind w:left="1080"/>
        <w:jc w:val="both"/>
        <w:textAlignment w:val="baseline"/>
        <w:rPr>
          <w:rFonts w:ascii="Calibri" w:hAnsi="Calibri" w:cs="Calibri"/>
          <w:sz w:val="22"/>
          <w:szCs w:val="22"/>
        </w:rPr>
      </w:pPr>
    </w:p>
    <w:p w14:paraId="03722D74" w14:textId="77777777" w:rsidR="00B65B57" w:rsidRPr="00F95325" w:rsidRDefault="00B65B57" w:rsidP="00024322">
      <w:pPr>
        <w:widowControl w:val="0"/>
        <w:autoSpaceDE w:val="0"/>
        <w:autoSpaceDN w:val="0"/>
        <w:adjustRightInd w:val="0"/>
        <w:jc w:val="both"/>
        <w:rPr>
          <w:rFonts w:ascii="Helvetica" w:hAnsi="Helvetica"/>
          <w:b/>
          <w:bCs/>
          <w:color w:val="2C166F"/>
          <w:sz w:val="28"/>
          <w:szCs w:val="16"/>
        </w:rPr>
      </w:pPr>
      <w:r w:rsidRPr="00F95325">
        <w:rPr>
          <w:rFonts w:ascii="Helvetica" w:hAnsi="Helvetica"/>
          <w:b/>
          <w:bCs/>
          <w:color w:val="2C166F"/>
          <w:sz w:val="28"/>
          <w:szCs w:val="16"/>
        </w:rPr>
        <w:t>Previous recommendations</w:t>
      </w:r>
      <w:r>
        <w:rPr>
          <w:rFonts w:ascii="Helvetica" w:hAnsi="Helvetica"/>
          <w:b/>
          <w:bCs/>
          <w:color w:val="2C166F"/>
          <w:sz w:val="28"/>
          <w:szCs w:val="16"/>
        </w:rPr>
        <w:t xml:space="preserve"> by human rights bodies</w:t>
      </w:r>
    </w:p>
    <w:p w14:paraId="4E466B78" w14:textId="77777777" w:rsidR="00B65B57" w:rsidRPr="00F95325" w:rsidRDefault="00B65B57" w:rsidP="00024322">
      <w:pPr>
        <w:pStyle w:val="ListParagraph"/>
        <w:widowControl w:val="0"/>
        <w:tabs>
          <w:tab w:val="left" w:pos="220"/>
          <w:tab w:val="left" w:pos="720"/>
        </w:tabs>
        <w:autoSpaceDE w:val="0"/>
        <w:autoSpaceDN w:val="0"/>
        <w:adjustRightInd w:val="0"/>
        <w:ind w:left="501"/>
        <w:jc w:val="both"/>
        <w:rPr>
          <w:rFonts w:ascii="Calibri" w:hAnsi="Calibri" w:cs="Calibri"/>
          <w:b/>
          <w:bCs/>
          <w:sz w:val="22"/>
          <w:szCs w:val="22"/>
        </w:rPr>
      </w:pPr>
    </w:p>
    <w:p w14:paraId="7E95BA80" w14:textId="77777777" w:rsidR="00B65B57" w:rsidRPr="00F95325" w:rsidRDefault="00B65B57" w:rsidP="007D3FB2">
      <w:pPr>
        <w:widowControl w:val="0"/>
        <w:numPr>
          <w:ilvl w:val="0"/>
          <w:numId w:val="1"/>
        </w:numPr>
        <w:tabs>
          <w:tab w:val="left" w:pos="220"/>
          <w:tab w:val="left" w:pos="720"/>
        </w:tabs>
        <w:autoSpaceDE w:val="0"/>
        <w:autoSpaceDN w:val="0"/>
        <w:adjustRightInd w:val="0"/>
        <w:contextualSpacing/>
        <w:jc w:val="both"/>
        <w:rPr>
          <w:rFonts w:ascii="Calibri" w:hAnsi="Calibri" w:cs="Calibri"/>
          <w:sz w:val="22"/>
          <w:szCs w:val="22"/>
        </w:rPr>
      </w:pPr>
      <w:r w:rsidRPr="00F95325">
        <w:rPr>
          <w:rFonts w:ascii="Calibri" w:hAnsi="Calibri" w:cs="Calibri"/>
          <w:sz w:val="22"/>
          <w:szCs w:val="22"/>
        </w:rPr>
        <w:t>Belgium was previously reviewed during the 11</w:t>
      </w:r>
      <w:r w:rsidRPr="00F95325">
        <w:rPr>
          <w:rFonts w:ascii="Calibri" w:hAnsi="Calibri" w:cs="Calibri"/>
          <w:sz w:val="22"/>
          <w:szCs w:val="22"/>
          <w:vertAlign w:val="superscript"/>
        </w:rPr>
        <w:t>th</w:t>
      </w:r>
      <w:r w:rsidRPr="00F95325">
        <w:rPr>
          <w:rFonts w:ascii="Calibri" w:hAnsi="Calibri" w:cs="Calibri"/>
          <w:sz w:val="22"/>
          <w:szCs w:val="22"/>
        </w:rPr>
        <w:t>, 24</w:t>
      </w:r>
      <w:r w:rsidRPr="00F95325">
        <w:rPr>
          <w:rFonts w:ascii="Calibri" w:hAnsi="Calibri" w:cs="Calibri"/>
          <w:sz w:val="22"/>
          <w:szCs w:val="22"/>
          <w:vertAlign w:val="superscript"/>
        </w:rPr>
        <w:t>th</w:t>
      </w:r>
      <w:r w:rsidRPr="00F95325">
        <w:rPr>
          <w:rFonts w:ascii="Calibri" w:hAnsi="Calibri" w:cs="Calibri"/>
          <w:sz w:val="22"/>
          <w:szCs w:val="22"/>
        </w:rPr>
        <w:t xml:space="preserve"> and 38</w:t>
      </w:r>
      <w:r w:rsidRPr="00F95325">
        <w:rPr>
          <w:rFonts w:ascii="Calibri" w:hAnsi="Calibri" w:cs="Calibri"/>
          <w:sz w:val="22"/>
          <w:szCs w:val="22"/>
          <w:vertAlign w:val="superscript"/>
        </w:rPr>
        <w:t>th</w:t>
      </w:r>
      <w:r w:rsidRPr="00F95325">
        <w:rPr>
          <w:rFonts w:ascii="Calibri" w:hAnsi="Calibri" w:cs="Calibri"/>
          <w:sz w:val="22"/>
          <w:szCs w:val="22"/>
        </w:rPr>
        <w:t xml:space="preserve"> sessions of the Universal Periodic Review, in </w:t>
      </w:r>
      <w:r w:rsidRPr="00F95325">
        <w:rPr>
          <w:rFonts w:ascii="Calibri" w:eastAsia="Times New Roman" w:hAnsi="Calibri" w:cs="Calibri"/>
          <w:sz w:val="22"/>
          <w:szCs w:val="22"/>
          <w:lang w:eastAsia="zh-CN"/>
        </w:rPr>
        <w:t xml:space="preserve">2011, 2016 and 2021 </w:t>
      </w:r>
      <w:r w:rsidRPr="00F95325">
        <w:rPr>
          <w:rFonts w:ascii="Calibri" w:hAnsi="Calibri" w:cs="Calibri"/>
          <w:sz w:val="22"/>
          <w:szCs w:val="22"/>
        </w:rPr>
        <w:t xml:space="preserve">respectively. In the second cycle, the Office of the United Nations High Commissioner for Refugees </w:t>
      </w:r>
      <w:r w:rsidRPr="008A750C">
        <w:rPr>
          <w:rFonts w:ascii="Calibri" w:hAnsi="Calibri" w:cs="Calibri"/>
          <w:sz w:val="22"/>
          <w:szCs w:val="22"/>
        </w:rPr>
        <w:t>(UNHCR)</w:t>
      </w:r>
      <w:r w:rsidRPr="00F95325">
        <w:rPr>
          <w:rFonts w:ascii="Calibri" w:hAnsi="Calibri" w:cs="Calibri"/>
          <w:sz w:val="22"/>
          <w:szCs w:val="22"/>
        </w:rPr>
        <w:t xml:space="preserve"> recommended that Belgium should (</w:t>
      </w:r>
      <w:proofErr w:type="spellStart"/>
      <w:r w:rsidRPr="00F95325">
        <w:rPr>
          <w:rFonts w:ascii="Calibri" w:hAnsi="Calibri" w:cs="Calibri"/>
          <w:sz w:val="22"/>
          <w:szCs w:val="22"/>
        </w:rPr>
        <w:t>i</w:t>
      </w:r>
      <w:proofErr w:type="spellEnd"/>
      <w:r w:rsidRPr="00F95325">
        <w:rPr>
          <w:rFonts w:ascii="Calibri" w:hAnsi="Calibri" w:cs="Calibri"/>
          <w:sz w:val="22"/>
          <w:szCs w:val="22"/>
        </w:rPr>
        <w:t>) adopt a specific, accessible, fair and effective procedure for the recognition of statelessness, or improve the existing procedure, in accordance with the 1954 Convention relating to the Status of Stateless Persons (“1954 Convention”) and the guiding principles of UNHCR, (ii) grant a residence permit to recognised stateless persons in Belgium, (iii) grant a temporary residence permit to applicants pending the statelessness determination procedure, and (iv) issue travel documents to all stateless persons lawfully residing in Belgium.</w:t>
      </w:r>
      <w:r w:rsidRPr="00F95325">
        <w:rPr>
          <w:rStyle w:val="FootnoteReference"/>
          <w:rFonts w:ascii="Calibri" w:hAnsi="Calibri" w:cs="Calibri"/>
          <w:sz w:val="22"/>
          <w:szCs w:val="22"/>
        </w:rPr>
        <w:footnoteReference w:id="13"/>
      </w:r>
      <w:r w:rsidRPr="00F95325">
        <w:rPr>
          <w:rFonts w:ascii="Calibri" w:hAnsi="Calibri" w:cs="Calibri"/>
          <w:sz w:val="22"/>
          <w:szCs w:val="22"/>
        </w:rPr>
        <w:t xml:space="preserve"> </w:t>
      </w:r>
    </w:p>
    <w:p w14:paraId="5120AD85" w14:textId="77777777" w:rsidR="00B65B57" w:rsidRPr="00F95325" w:rsidRDefault="00B65B57" w:rsidP="00024322">
      <w:pPr>
        <w:pStyle w:val="ListParagraph"/>
        <w:widowControl w:val="0"/>
        <w:rPr>
          <w:rFonts w:ascii="Calibri" w:hAnsi="Calibri" w:cs="Calibri"/>
          <w:sz w:val="22"/>
          <w:szCs w:val="22"/>
        </w:rPr>
      </w:pPr>
    </w:p>
    <w:p w14:paraId="6DADAC3E" w14:textId="77777777" w:rsidR="00B65B57" w:rsidRPr="00F95325" w:rsidRDefault="00B65B57" w:rsidP="007D3FB2">
      <w:pPr>
        <w:widowControl w:val="0"/>
        <w:numPr>
          <w:ilvl w:val="0"/>
          <w:numId w:val="1"/>
        </w:numPr>
        <w:tabs>
          <w:tab w:val="left" w:pos="220"/>
          <w:tab w:val="left" w:pos="720"/>
        </w:tabs>
        <w:autoSpaceDE w:val="0"/>
        <w:autoSpaceDN w:val="0"/>
        <w:adjustRightInd w:val="0"/>
        <w:contextualSpacing/>
        <w:jc w:val="both"/>
        <w:rPr>
          <w:rFonts w:ascii="Calibri" w:hAnsi="Calibri" w:cs="Calibri"/>
          <w:sz w:val="22"/>
          <w:szCs w:val="22"/>
        </w:rPr>
      </w:pPr>
      <w:r w:rsidRPr="00F95325">
        <w:rPr>
          <w:rFonts w:ascii="Calibri" w:hAnsi="Calibri" w:cs="Calibri"/>
          <w:sz w:val="22"/>
          <w:szCs w:val="22"/>
        </w:rPr>
        <w:t>In 2019, the Committee on the Rights of the Child welcomed Belgium’s efforts to accede to the 1961 Convention on the Reduction of Statelessness (“1961 Convention”).</w:t>
      </w:r>
      <w:r w:rsidRPr="00F95325">
        <w:rPr>
          <w:rStyle w:val="FootnoteReference"/>
          <w:rFonts w:ascii="Calibri" w:hAnsi="Calibri" w:cs="Calibri"/>
          <w:sz w:val="22"/>
          <w:szCs w:val="22"/>
        </w:rPr>
        <w:footnoteReference w:id="14"/>
      </w:r>
      <w:r w:rsidRPr="00F95325">
        <w:rPr>
          <w:rFonts w:ascii="Calibri" w:hAnsi="Calibri" w:cs="Calibri"/>
          <w:sz w:val="22"/>
          <w:szCs w:val="22"/>
        </w:rPr>
        <w:t xml:space="preserve"> The  </w:t>
      </w:r>
      <w:r w:rsidRPr="00F95325">
        <w:rPr>
          <w:rFonts w:ascii="Calibri" w:hAnsi="Calibri" w:cs="Calibri"/>
          <w:sz w:val="22"/>
          <w:szCs w:val="22"/>
        </w:rPr>
        <w:lastRenderedPageBreak/>
        <w:t>Human  Rights  Committee recommended that Belgium adopt  legislation  to grant  nationality  or residence permits to persons recognised as stateless.</w:t>
      </w:r>
      <w:r w:rsidRPr="00F95325">
        <w:rPr>
          <w:rStyle w:val="FootnoteReference"/>
          <w:rFonts w:ascii="Calibri" w:hAnsi="Calibri" w:cs="Calibri"/>
          <w:sz w:val="22"/>
          <w:szCs w:val="22"/>
        </w:rPr>
        <w:footnoteReference w:id="15"/>
      </w:r>
    </w:p>
    <w:p w14:paraId="3AB5BA10" w14:textId="77777777" w:rsidR="00B65B57" w:rsidRPr="00F95325" w:rsidRDefault="00B65B57" w:rsidP="00024322">
      <w:pPr>
        <w:widowControl w:val="0"/>
        <w:jc w:val="both"/>
        <w:rPr>
          <w:rFonts w:ascii="Calibri" w:hAnsi="Calibri" w:cs="Calibri"/>
          <w:sz w:val="22"/>
          <w:szCs w:val="22"/>
        </w:rPr>
      </w:pPr>
    </w:p>
    <w:p w14:paraId="68AFD53F" w14:textId="77777777" w:rsidR="00B65B57" w:rsidRPr="00F95325" w:rsidRDefault="00B65B57" w:rsidP="007D3FB2">
      <w:pPr>
        <w:pStyle w:val="ListParagraph"/>
        <w:widowControl w:val="0"/>
        <w:numPr>
          <w:ilvl w:val="0"/>
          <w:numId w:val="1"/>
        </w:numPr>
        <w:jc w:val="both"/>
        <w:rPr>
          <w:rFonts w:asciiTheme="majorHAnsi" w:eastAsia="Times New Roman" w:hAnsiTheme="majorHAnsi" w:cstheme="majorHAnsi"/>
          <w:sz w:val="22"/>
          <w:szCs w:val="22"/>
          <w:lang w:eastAsia="fr-FR"/>
        </w:rPr>
      </w:pPr>
      <w:r w:rsidRPr="00F95325">
        <w:rPr>
          <w:rFonts w:asciiTheme="majorHAnsi" w:hAnsiTheme="majorHAnsi" w:cstheme="majorHAnsi"/>
          <w:sz w:val="22"/>
          <w:szCs w:val="22"/>
        </w:rPr>
        <w:t xml:space="preserve">In 2012, UNHCR </w:t>
      </w:r>
      <w:r>
        <w:rPr>
          <w:rFonts w:asciiTheme="majorHAnsi" w:hAnsiTheme="majorHAnsi" w:cstheme="majorHAnsi"/>
          <w:sz w:val="22"/>
          <w:szCs w:val="22"/>
        </w:rPr>
        <w:t xml:space="preserve">also </w:t>
      </w:r>
      <w:r w:rsidRPr="00F95325">
        <w:rPr>
          <w:rFonts w:asciiTheme="majorHAnsi" w:hAnsiTheme="majorHAnsi" w:cstheme="majorHAnsi"/>
          <w:sz w:val="22"/>
          <w:szCs w:val="22"/>
        </w:rPr>
        <w:t xml:space="preserve">made important recommendations to Belgium as part of its mapping study on statelessness in Belgium. In 2014, UNHCR issued </w:t>
      </w:r>
      <w:r>
        <w:rPr>
          <w:rFonts w:asciiTheme="majorHAnsi" w:hAnsiTheme="majorHAnsi" w:cstheme="majorHAnsi"/>
          <w:sz w:val="22"/>
          <w:szCs w:val="22"/>
        </w:rPr>
        <w:t>its</w:t>
      </w:r>
      <w:r w:rsidRPr="00F95325">
        <w:rPr>
          <w:rFonts w:asciiTheme="majorHAnsi" w:hAnsiTheme="majorHAnsi" w:cstheme="majorHAnsi"/>
          <w:sz w:val="22"/>
          <w:szCs w:val="22"/>
        </w:rPr>
        <w:t xml:space="preserve"> Handbook on Protection of Stateless Persons</w:t>
      </w:r>
      <w:r w:rsidRPr="00F95325">
        <w:rPr>
          <w:rStyle w:val="FootnoteReference"/>
          <w:rFonts w:asciiTheme="majorHAnsi" w:hAnsiTheme="majorHAnsi" w:cstheme="majorHAnsi"/>
          <w:sz w:val="22"/>
          <w:szCs w:val="22"/>
        </w:rPr>
        <w:footnoteReference w:id="16"/>
      </w:r>
      <w:r w:rsidRPr="00F95325">
        <w:rPr>
          <w:rFonts w:asciiTheme="majorHAnsi" w:hAnsiTheme="majorHAnsi" w:cstheme="majorHAnsi"/>
          <w:sz w:val="22"/>
          <w:szCs w:val="22"/>
        </w:rPr>
        <w:t xml:space="preserve"> </w:t>
      </w:r>
      <w:r w:rsidRPr="00F95325">
        <w:rPr>
          <w:rFonts w:asciiTheme="majorHAnsi" w:eastAsia="Times New Roman" w:hAnsiTheme="majorHAnsi" w:cstheme="majorHAnsi"/>
          <w:sz w:val="22"/>
          <w:szCs w:val="22"/>
          <w:lang w:eastAsia="fr-FR"/>
        </w:rPr>
        <w:t>intended to guide government officials, judges and practitioners, as well as others involved in addressing both statelessness determination and the development and implementation of law and policies relating to the protection of stateless persons. UNHCR’s most recent recommendations to Belgium highlight the need to strengthen the protection of stateless persons, including by granting a temporary residence permit to applicants pending the statelessness determination procedure (</w:t>
      </w:r>
      <w:r w:rsidRPr="00022B8C">
        <w:rPr>
          <w:rFonts w:asciiTheme="majorHAnsi" w:eastAsia="Times New Roman" w:hAnsiTheme="majorHAnsi" w:cstheme="majorHAnsi"/>
          <w:sz w:val="22"/>
          <w:szCs w:val="22"/>
          <w:lang w:eastAsia="fr-FR"/>
        </w:rPr>
        <w:t>SDP</w:t>
      </w:r>
      <w:r w:rsidRPr="00F95325">
        <w:rPr>
          <w:rFonts w:asciiTheme="majorHAnsi" w:eastAsia="Times New Roman" w:hAnsiTheme="majorHAnsi" w:cstheme="majorHAnsi"/>
          <w:sz w:val="22"/>
          <w:szCs w:val="22"/>
          <w:lang w:eastAsia="fr-FR"/>
        </w:rPr>
        <w:t>), a resident permit to recognised stateless persons, and introducing an SDP in law with full procedural safeguards.</w:t>
      </w:r>
      <w:r w:rsidRPr="00F95325">
        <w:rPr>
          <w:rStyle w:val="FootnoteReference"/>
          <w:rFonts w:asciiTheme="majorHAnsi" w:eastAsia="Times New Roman" w:hAnsiTheme="majorHAnsi" w:cstheme="majorHAnsi"/>
          <w:sz w:val="22"/>
          <w:szCs w:val="22"/>
          <w:lang w:eastAsia="fr-FR"/>
        </w:rPr>
        <w:footnoteReference w:id="17"/>
      </w:r>
    </w:p>
    <w:p w14:paraId="3C94BF22" w14:textId="77777777" w:rsidR="00B65B57" w:rsidRPr="00F95325" w:rsidRDefault="00B65B57" w:rsidP="00024322">
      <w:pPr>
        <w:widowControl w:val="0"/>
        <w:tabs>
          <w:tab w:val="left" w:pos="220"/>
          <w:tab w:val="left" w:pos="720"/>
        </w:tabs>
        <w:autoSpaceDE w:val="0"/>
        <w:autoSpaceDN w:val="0"/>
        <w:adjustRightInd w:val="0"/>
        <w:ind w:left="501"/>
        <w:contextualSpacing/>
        <w:jc w:val="both"/>
        <w:rPr>
          <w:rFonts w:ascii="Calibri" w:hAnsi="Calibri" w:cs="Calibri"/>
          <w:b/>
          <w:bCs/>
          <w:sz w:val="22"/>
          <w:szCs w:val="22"/>
        </w:rPr>
      </w:pPr>
    </w:p>
    <w:p w14:paraId="479F78FE" w14:textId="6680BF01" w:rsidR="001F3A95" w:rsidRPr="00F95325" w:rsidRDefault="001F3A95" w:rsidP="00024322">
      <w:pPr>
        <w:widowControl w:val="0"/>
        <w:autoSpaceDE w:val="0"/>
        <w:autoSpaceDN w:val="0"/>
        <w:adjustRightInd w:val="0"/>
        <w:rPr>
          <w:rFonts w:ascii="Helvetica" w:hAnsi="Helvetica"/>
          <w:b/>
          <w:bCs/>
          <w:color w:val="2C166F"/>
          <w:sz w:val="28"/>
          <w:szCs w:val="16"/>
        </w:rPr>
      </w:pPr>
      <w:r w:rsidRPr="00F95325">
        <w:rPr>
          <w:rFonts w:ascii="Helvetica" w:hAnsi="Helvetica"/>
          <w:b/>
          <w:bCs/>
          <w:color w:val="2C166F"/>
          <w:sz w:val="28"/>
          <w:szCs w:val="16"/>
        </w:rPr>
        <w:t xml:space="preserve">ISSUE </w:t>
      </w:r>
      <w:r w:rsidR="004F7576" w:rsidRPr="00F95325">
        <w:rPr>
          <w:rFonts w:ascii="Helvetica" w:hAnsi="Helvetica"/>
          <w:b/>
          <w:bCs/>
          <w:color w:val="2C166F"/>
          <w:sz w:val="28"/>
          <w:szCs w:val="16"/>
        </w:rPr>
        <w:t>1</w:t>
      </w:r>
      <w:r w:rsidRPr="00F95325">
        <w:rPr>
          <w:rFonts w:ascii="Helvetica" w:hAnsi="Helvetica"/>
          <w:b/>
          <w:bCs/>
          <w:color w:val="2C166F"/>
          <w:sz w:val="28"/>
          <w:szCs w:val="16"/>
        </w:rPr>
        <w:t xml:space="preserve"> –</w:t>
      </w:r>
      <w:r w:rsidR="00A767BA" w:rsidRPr="00F95325">
        <w:rPr>
          <w:rFonts w:ascii="Helvetica" w:hAnsi="Helvetica"/>
          <w:b/>
          <w:bCs/>
          <w:color w:val="2C166F"/>
          <w:sz w:val="28"/>
          <w:szCs w:val="16"/>
        </w:rPr>
        <w:t xml:space="preserve"> Liberty and security of the person and arbitrary detention</w:t>
      </w:r>
    </w:p>
    <w:p w14:paraId="29C05950" w14:textId="532F25E8" w:rsidR="001F3A95" w:rsidRPr="00F95325" w:rsidRDefault="001F3A95" w:rsidP="00024322">
      <w:pPr>
        <w:widowControl w:val="0"/>
        <w:autoSpaceDE w:val="0"/>
        <w:autoSpaceDN w:val="0"/>
        <w:adjustRightInd w:val="0"/>
        <w:jc w:val="both"/>
        <w:rPr>
          <w:rFonts w:ascii="Calibri" w:hAnsi="Calibri" w:cs="Calibri"/>
          <w:sz w:val="22"/>
          <w:szCs w:val="22"/>
        </w:rPr>
      </w:pPr>
    </w:p>
    <w:p w14:paraId="2D44BE50" w14:textId="04D994FA" w:rsidR="00AB2346" w:rsidRPr="00F95325" w:rsidRDefault="00AB2346" w:rsidP="007D3FB2">
      <w:pPr>
        <w:pStyle w:val="SIBodyText"/>
        <w:widowControl w:val="0"/>
        <w:numPr>
          <w:ilvl w:val="0"/>
          <w:numId w:val="1"/>
        </w:numPr>
        <w:spacing w:line="240" w:lineRule="auto"/>
        <w:jc w:val="both"/>
        <w:rPr>
          <w:rFonts w:asciiTheme="majorHAnsi" w:hAnsiTheme="majorHAnsi" w:cstheme="majorHAnsi"/>
          <w:sz w:val="22"/>
        </w:rPr>
      </w:pPr>
      <w:r w:rsidRPr="00F95325">
        <w:rPr>
          <w:rFonts w:asciiTheme="majorHAnsi" w:hAnsiTheme="majorHAnsi" w:cstheme="majorHAnsi"/>
          <w:sz w:val="22"/>
        </w:rPr>
        <w:t>Stateless people face a heightened risk of arbitrary detention particularly where procedural safeguards to identify and determine statelessness and related barriers to removal are lacking.</w:t>
      </w:r>
      <w:r w:rsidRPr="00F95325">
        <w:rPr>
          <w:rStyle w:val="FootnoteReference"/>
          <w:rFonts w:asciiTheme="majorHAnsi" w:hAnsiTheme="majorHAnsi" w:cstheme="majorHAnsi"/>
          <w:sz w:val="22"/>
        </w:rPr>
        <w:footnoteReference w:id="18"/>
      </w:r>
      <w:r w:rsidR="0095784C" w:rsidRPr="00F95325">
        <w:t xml:space="preserve"> </w:t>
      </w:r>
      <w:r w:rsidR="0095784C" w:rsidRPr="00F95325">
        <w:rPr>
          <w:rFonts w:asciiTheme="majorHAnsi" w:hAnsiTheme="majorHAnsi" w:cstheme="majorHAnsi"/>
          <w:sz w:val="22"/>
        </w:rPr>
        <w:t>Moreover, arbitrary and disproportionately lengthy detention can ensue when the particular vulnerabilities of stateless people are not addressed.</w:t>
      </w:r>
      <w:r w:rsidR="0095784C" w:rsidRPr="00F95325">
        <w:rPr>
          <w:rStyle w:val="FootnoteReference"/>
          <w:rFonts w:asciiTheme="majorHAnsi" w:hAnsiTheme="majorHAnsi" w:cstheme="majorHAnsi"/>
          <w:sz w:val="22"/>
        </w:rPr>
        <w:footnoteReference w:id="19"/>
      </w:r>
    </w:p>
    <w:p w14:paraId="4145C706" w14:textId="46D49D56" w:rsidR="00AB2346" w:rsidRPr="00F95325" w:rsidRDefault="00AB2346" w:rsidP="007D3FB2">
      <w:pPr>
        <w:pStyle w:val="SIBodyText"/>
        <w:widowControl w:val="0"/>
        <w:numPr>
          <w:ilvl w:val="0"/>
          <w:numId w:val="1"/>
        </w:numPr>
        <w:spacing w:line="240" w:lineRule="auto"/>
        <w:jc w:val="both"/>
        <w:rPr>
          <w:rFonts w:asciiTheme="majorHAnsi" w:hAnsiTheme="majorHAnsi" w:cstheme="majorHAnsi"/>
          <w:sz w:val="22"/>
        </w:rPr>
      </w:pPr>
      <w:r w:rsidRPr="00F95325">
        <w:rPr>
          <w:rFonts w:asciiTheme="majorHAnsi" w:hAnsiTheme="majorHAnsi" w:cstheme="majorHAnsi"/>
          <w:sz w:val="22"/>
        </w:rPr>
        <w:t>In Belgium, there is no dedicated mechanism in place to identify stateless persons or persons at risk of statelessness in detention</w:t>
      </w:r>
      <w:r w:rsidR="00403CD3" w:rsidRPr="00F95325">
        <w:rPr>
          <w:rFonts w:asciiTheme="majorHAnsi" w:hAnsiTheme="majorHAnsi" w:cstheme="majorHAnsi"/>
          <w:sz w:val="22"/>
        </w:rPr>
        <w:t>, yet t</w:t>
      </w:r>
      <w:r w:rsidR="004E37DE" w:rsidRPr="00F95325">
        <w:rPr>
          <w:rFonts w:asciiTheme="majorHAnsi" w:hAnsiTheme="majorHAnsi" w:cstheme="majorHAnsi"/>
          <w:sz w:val="22"/>
        </w:rPr>
        <w:t>here is systematic detention of people seeking international protection at the border, including on grounds of statelessness.</w:t>
      </w:r>
      <w:r w:rsidR="00C55549" w:rsidRPr="00F95325">
        <w:rPr>
          <w:rStyle w:val="FootnoteReference"/>
          <w:rFonts w:asciiTheme="majorHAnsi" w:hAnsiTheme="majorHAnsi" w:cstheme="majorHAnsi"/>
          <w:sz w:val="22"/>
        </w:rPr>
        <w:footnoteReference w:id="20"/>
      </w:r>
      <w:r w:rsidR="004E37DE" w:rsidRPr="00F95325">
        <w:rPr>
          <w:rFonts w:asciiTheme="majorHAnsi" w:hAnsiTheme="majorHAnsi" w:cstheme="majorHAnsi"/>
          <w:sz w:val="22"/>
        </w:rPr>
        <w:t xml:space="preserve"> </w:t>
      </w:r>
      <w:r w:rsidR="00C270EA" w:rsidRPr="00F95325">
        <w:rPr>
          <w:rFonts w:asciiTheme="majorHAnsi" w:hAnsiTheme="majorHAnsi" w:cstheme="majorHAnsi"/>
          <w:sz w:val="22"/>
        </w:rPr>
        <w:t xml:space="preserve">There is evidence that </w:t>
      </w:r>
      <w:r w:rsidR="00FA61F3" w:rsidRPr="00F95325">
        <w:rPr>
          <w:rFonts w:asciiTheme="majorHAnsi" w:hAnsiTheme="majorHAnsi" w:cstheme="majorHAnsi"/>
          <w:sz w:val="22"/>
        </w:rPr>
        <w:t xml:space="preserve">some </w:t>
      </w:r>
      <w:r w:rsidR="00C270EA" w:rsidRPr="00F95325">
        <w:rPr>
          <w:rFonts w:asciiTheme="majorHAnsi" w:hAnsiTheme="majorHAnsi" w:cstheme="majorHAnsi"/>
          <w:sz w:val="22"/>
        </w:rPr>
        <w:t xml:space="preserve">stateless persons are </w:t>
      </w:r>
      <w:r w:rsidR="0065725D" w:rsidRPr="00F95325">
        <w:rPr>
          <w:rFonts w:asciiTheme="majorHAnsi" w:hAnsiTheme="majorHAnsi" w:cstheme="majorHAnsi"/>
          <w:sz w:val="22"/>
        </w:rPr>
        <w:t xml:space="preserve">being </w:t>
      </w:r>
      <w:r w:rsidR="00C270EA" w:rsidRPr="00F95325">
        <w:rPr>
          <w:rFonts w:asciiTheme="majorHAnsi" w:hAnsiTheme="majorHAnsi" w:cstheme="majorHAnsi"/>
          <w:sz w:val="22"/>
        </w:rPr>
        <w:t>detained (</w:t>
      </w:r>
      <w:r w:rsidR="00FA61F3" w:rsidRPr="00F95325">
        <w:rPr>
          <w:rFonts w:asciiTheme="majorHAnsi" w:hAnsiTheme="majorHAnsi" w:cstheme="majorHAnsi"/>
          <w:sz w:val="22"/>
        </w:rPr>
        <w:t xml:space="preserve">including </w:t>
      </w:r>
      <w:r w:rsidR="00C270EA" w:rsidRPr="00F95325">
        <w:rPr>
          <w:rFonts w:asciiTheme="majorHAnsi" w:hAnsiTheme="majorHAnsi" w:cstheme="majorHAnsi"/>
          <w:sz w:val="22"/>
        </w:rPr>
        <w:t>Kuwaiti Bidoon)</w:t>
      </w:r>
      <w:r w:rsidR="00FA61F3" w:rsidRPr="00F95325">
        <w:rPr>
          <w:rFonts w:asciiTheme="majorHAnsi" w:hAnsiTheme="majorHAnsi" w:cstheme="majorHAnsi"/>
          <w:sz w:val="22"/>
        </w:rPr>
        <w:t>, but data is extremely scarce</w:t>
      </w:r>
      <w:r w:rsidR="0065725D" w:rsidRPr="00F95325">
        <w:rPr>
          <w:rFonts w:asciiTheme="majorHAnsi" w:hAnsiTheme="majorHAnsi" w:cstheme="majorHAnsi"/>
          <w:sz w:val="22"/>
        </w:rPr>
        <w:t xml:space="preserve"> due to the absence of mechanisms to identify stateless persons and collect reliable data</w:t>
      </w:r>
      <w:r w:rsidR="00C270EA" w:rsidRPr="00F95325">
        <w:rPr>
          <w:rFonts w:asciiTheme="majorHAnsi" w:hAnsiTheme="majorHAnsi" w:cstheme="majorHAnsi"/>
          <w:sz w:val="22"/>
        </w:rPr>
        <w:t>.</w:t>
      </w:r>
      <w:r w:rsidRPr="00F95325">
        <w:rPr>
          <w:rFonts w:asciiTheme="majorHAnsi" w:hAnsiTheme="majorHAnsi" w:cstheme="majorHAnsi"/>
          <w:sz w:val="22"/>
        </w:rPr>
        <w:t xml:space="preserve"> </w:t>
      </w:r>
      <w:r w:rsidR="00FA7932" w:rsidRPr="00FA7932">
        <w:rPr>
          <w:rFonts w:asciiTheme="majorHAnsi" w:eastAsiaTheme="minorEastAsia" w:hAnsiTheme="majorHAnsi" w:cstheme="majorHAnsi"/>
          <w:color w:val="auto"/>
          <w:sz w:val="22"/>
          <w:szCs w:val="24"/>
        </w:rPr>
        <w:t>There is no mechanism in place to assess vulnerability prior to the decision to detain and statelessness is not mentioned among the categories of vulnerable persons in immigration law.</w:t>
      </w:r>
      <w:r w:rsidR="00FA7932" w:rsidRPr="00FA7932">
        <w:rPr>
          <w:rFonts w:asciiTheme="majorHAnsi" w:eastAsiaTheme="minorEastAsia" w:hAnsiTheme="majorHAnsi" w:cstheme="majorHAnsi"/>
          <w:color w:val="auto"/>
          <w:sz w:val="22"/>
          <w:szCs w:val="24"/>
          <w:vertAlign w:val="superscript"/>
        </w:rPr>
        <w:footnoteReference w:id="21"/>
      </w:r>
      <w:r w:rsidR="00FA7932" w:rsidRPr="00FA7932">
        <w:rPr>
          <w:rFonts w:asciiTheme="majorHAnsi" w:eastAsiaTheme="minorEastAsia" w:hAnsiTheme="majorHAnsi" w:cstheme="majorHAnsi"/>
          <w:color w:val="auto"/>
          <w:sz w:val="22"/>
          <w:szCs w:val="24"/>
        </w:rPr>
        <w:t xml:space="preserve"> As such, stateless persons may face prolonged periods of detention and/or repeated detention. In practice, no </w:t>
      </w:r>
      <w:r w:rsidR="00FA7932" w:rsidRPr="00FA7932">
        <w:rPr>
          <w:rFonts w:asciiTheme="majorHAnsi" w:eastAsiaTheme="minorEastAsia" w:hAnsiTheme="majorHAnsi" w:cstheme="majorHAnsi"/>
          <w:color w:val="auto"/>
          <w:sz w:val="22"/>
          <w:szCs w:val="24"/>
        </w:rPr>
        <w:lastRenderedPageBreak/>
        <w:t>alternatives are considered prior to detention.</w:t>
      </w:r>
      <w:r w:rsidR="00FA7932" w:rsidRPr="00FA7932">
        <w:rPr>
          <w:rFonts w:asciiTheme="majorHAnsi" w:eastAsiaTheme="minorEastAsia" w:hAnsiTheme="majorHAnsi" w:cstheme="majorHAnsi"/>
          <w:color w:val="auto"/>
          <w:sz w:val="22"/>
          <w:szCs w:val="24"/>
          <w:vertAlign w:val="superscript"/>
        </w:rPr>
        <w:footnoteReference w:id="22"/>
      </w:r>
      <w:r w:rsidR="00FA7932" w:rsidRPr="00FA7932">
        <w:rPr>
          <w:rFonts w:asciiTheme="majorHAnsi" w:eastAsiaTheme="minorEastAsia" w:hAnsiTheme="majorHAnsi" w:cstheme="majorHAnsi"/>
          <w:color w:val="auto"/>
          <w:sz w:val="22"/>
          <w:szCs w:val="24"/>
        </w:rPr>
        <w:t xml:space="preserve"> There is no automatic review of detention, but the person can initiate a procedure before the court</w:t>
      </w:r>
      <w:r w:rsidR="00FA7932" w:rsidRPr="00FA7932">
        <w:rPr>
          <w:rFonts w:eastAsiaTheme="minorEastAsia"/>
          <w:color w:val="auto"/>
          <w:sz w:val="24"/>
          <w:szCs w:val="24"/>
        </w:rPr>
        <w:t xml:space="preserve"> </w:t>
      </w:r>
      <w:r w:rsidR="00FA7932" w:rsidRPr="00FA7932">
        <w:rPr>
          <w:rFonts w:asciiTheme="majorHAnsi" w:eastAsiaTheme="minorEastAsia" w:hAnsiTheme="majorHAnsi" w:cstheme="majorHAnsi"/>
          <w:color w:val="auto"/>
          <w:sz w:val="22"/>
          <w:szCs w:val="24"/>
        </w:rPr>
        <w:t>to challenge detention and has access to legal aid. However, the court can only examine the lawfulness of the detention, and not whether it is an appropriate measure.</w:t>
      </w:r>
      <w:r w:rsidR="00FA7932" w:rsidRPr="00FA7932">
        <w:rPr>
          <w:rFonts w:asciiTheme="majorHAnsi" w:eastAsiaTheme="minorEastAsia" w:hAnsiTheme="majorHAnsi" w:cstheme="majorHAnsi"/>
          <w:color w:val="auto"/>
          <w:sz w:val="22"/>
          <w:szCs w:val="24"/>
          <w:vertAlign w:val="superscript"/>
        </w:rPr>
        <w:footnoteReference w:id="23"/>
      </w:r>
      <w:r w:rsidR="00FA7932" w:rsidRPr="00FA7932">
        <w:rPr>
          <w:rFonts w:asciiTheme="majorHAnsi" w:eastAsiaTheme="minorEastAsia" w:hAnsiTheme="majorHAnsi" w:cstheme="majorHAnsi"/>
          <w:color w:val="auto"/>
          <w:sz w:val="22"/>
          <w:szCs w:val="24"/>
        </w:rPr>
        <w:t xml:space="preserve">  If released from detention, stateless persons will not be granted a temporary residence permit and will likely receive an order to leave the territory. They are not entitled to any protection, except for access to urgent medical care.</w:t>
      </w:r>
      <w:r w:rsidR="00A344BC">
        <w:rPr>
          <w:rFonts w:asciiTheme="majorHAnsi" w:eastAsiaTheme="minorEastAsia" w:hAnsiTheme="majorHAnsi" w:cstheme="majorHAnsi"/>
          <w:color w:val="auto"/>
          <w:sz w:val="22"/>
          <w:szCs w:val="24"/>
        </w:rPr>
        <w:t xml:space="preserve"> </w:t>
      </w:r>
      <w:r w:rsidR="00D709FD">
        <w:rPr>
          <w:rFonts w:asciiTheme="majorHAnsi" w:eastAsiaTheme="minorEastAsia" w:hAnsiTheme="majorHAnsi" w:cstheme="majorHAnsi"/>
          <w:color w:val="auto"/>
          <w:sz w:val="22"/>
          <w:szCs w:val="24"/>
        </w:rPr>
        <w:t>B</w:t>
      </w:r>
      <w:r w:rsidR="00A344BC">
        <w:rPr>
          <w:rFonts w:asciiTheme="majorHAnsi" w:eastAsiaTheme="minorEastAsia" w:hAnsiTheme="majorHAnsi" w:cstheme="majorHAnsi"/>
          <w:color w:val="auto"/>
          <w:sz w:val="22"/>
          <w:szCs w:val="24"/>
        </w:rPr>
        <w:t xml:space="preserve">efore </w:t>
      </w:r>
      <w:r w:rsidR="004860CC">
        <w:rPr>
          <w:rFonts w:asciiTheme="majorHAnsi" w:eastAsiaTheme="minorEastAsia" w:hAnsiTheme="majorHAnsi" w:cstheme="majorHAnsi"/>
          <w:color w:val="auto"/>
          <w:sz w:val="22"/>
          <w:szCs w:val="24"/>
        </w:rPr>
        <w:t>the c</w:t>
      </w:r>
      <w:r w:rsidR="00A344BC">
        <w:rPr>
          <w:rFonts w:asciiTheme="majorHAnsi" w:eastAsiaTheme="minorEastAsia" w:hAnsiTheme="majorHAnsi" w:cstheme="majorHAnsi"/>
          <w:color w:val="auto"/>
          <w:sz w:val="22"/>
          <w:szCs w:val="24"/>
        </w:rPr>
        <w:t xml:space="preserve">ourt, they can </w:t>
      </w:r>
      <w:r w:rsidR="00D709FD">
        <w:rPr>
          <w:rFonts w:asciiTheme="majorHAnsi" w:eastAsiaTheme="minorEastAsia" w:hAnsiTheme="majorHAnsi" w:cstheme="majorHAnsi"/>
          <w:color w:val="auto"/>
          <w:sz w:val="22"/>
          <w:szCs w:val="24"/>
        </w:rPr>
        <w:t>claim</w:t>
      </w:r>
      <w:r w:rsidR="00A344BC">
        <w:rPr>
          <w:rFonts w:asciiTheme="majorHAnsi" w:eastAsiaTheme="minorEastAsia" w:hAnsiTheme="majorHAnsi" w:cstheme="majorHAnsi"/>
          <w:color w:val="auto"/>
          <w:sz w:val="22"/>
          <w:szCs w:val="24"/>
        </w:rPr>
        <w:t xml:space="preserve"> </w:t>
      </w:r>
      <w:r w:rsidR="00C5008D">
        <w:rPr>
          <w:rFonts w:asciiTheme="majorHAnsi" w:eastAsiaTheme="minorEastAsia" w:hAnsiTheme="majorHAnsi" w:cstheme="majorHAnsi"/>
          <w:color w:val="auto"/>
          <w:sz w:val="22"/>
          <w:szCs w:val="24"/>
        </w:rPr>
        <w:t>financial support</w:t>
      </w:r>
      <w:r w:rsidR="00D709FD">
        <w:rPr>
          <w:rFonts w:asciiTheme="majorHAnsi" w:eastAsiaTheme="minorEastAsia" w:hAnsiTheme="majorHAnsi" w:cstheme="majorHAnsi"/>
          <w:color w:val="auto"/>
          <w:sz w:val="22"/>
          <w:szCs w:val="24"/>
        </w:rPr>
        <w:t xml:space="preserve"> equivalent to social assistance.</w:t>
      </w:r>
      <w:r w:rsidR="00FA7932" w:rsidRPr="00FA7932">
        <w:rPr>
          <w:rFonts w:asciiTheme="majorHAnsi" w:eastAsiaTheme="minorEastAsia" w:hAnsiTheme="majorHAnsi" w:cstheme="majorHAnsi"/>
          <w:color w:val="auto"/>
          <w:sz w:val="22"/>
          <w:szCs w:val="24"/>
          <w:vertAlign w:val="superscript"/>
        </w:rPr>
        <w:footnoteReference w:id="24"/>
      </w:r>
    </w:p>
    <w:p w14:paraId="25BF9671" w14:textId="4A93710F" w:rsidR="005E57A3" w:rsidRPr="00F95325" w:rsidRDefault="0024293F" w:rsidP="007D3FB2">
      <w:pPr>
        <w:pStyle w:val="SIBodyText"/>
        <w:widowControl w:val="0"/>
        <w:numPr>
          <w:ilvl w:val="0"/>
          <w:numId w:val="1"/>
        </w:numPr>
        <w:spacing w:line="240" w:lineRule="auto"/>
        <w:jc w:val="both"/>
        <w:rPr>
          <w:rFonts w:asciiTheme="majorHAnsi" w:hAnsiTheme="majorHAnsi" w:cstheme="majorHAnsi"/>
          <w:sz w:val="22"/>
        </w:rPr>
      </w:pPr>
      <w:r>
        <w:rPr>
          <w:rFonts w:asciiTheme="majorHAnsi" w:hAnsiTheme="majorHAnsi" w:cstheme="majorHAnsi"/>
          <w:sz w:val="22"/>
        </w:rPr>
        <w:t>It is welcome that t</w:t>
      </w:r>
      <w:r w:rsidR="005E57A3" w:rsidRPr="00F95325">
        <w:rPr>
          <w:rFonts w:asciiTheme="majorHAnsi" w:hAnsiTheme="majorHAnsi" w:cstheme="majorHAnsi"/>
          <w:sz w:val="22"/>
        </w:rPr>
        <w:t>he new Belgian Government pledged in 2020 to make alternatives to detention more effective, limit the duration of detention and improve detention and return procedures.</w:t>
      </w:r>
      <w:r w:rsidR="007F3345" w:rsidRPr="007F3345">
        <w:rPr>
          <w:rFonts w:asciiTheme="majorHAnsi" w:hAnsiTheme="majorHAnsi" w:cstheme="majorHAnsi"/>
          <w:sz w:val="22"/>
        </w:rPr>
        <w:t xml:space="preserve"> Another pledge relates to the situation </w:t>
      </w:r>
      <w:r w:rsidR="0002394F">
        <w:rPr>
          <w:rFonts w:asciiTheme="majorHAnsi" w:hAnsiTheme="majorHAnsi" w:cstheme="majorHAnsi"/>
          <w:sz w:val="22"/>
        </w:rPr>
        <w:t xml:space="preserve">of a </w:t>
      </w:r>
      <w:r w:rsidR="007F3345" w:rsidRPr="007F3345">
        <w:rPr>
          <w:rFonts w:asciiTheme="majorHAnsi" w:hAnsiTheme="majorHAnsi" w:cstheme="majorHAnsi"/>
          <w:sz w:val="22"/>
        </w:rPr>
        <w:t>“very limited group of people who, against their will, cannot return to their country of origin, even voluntarily, such as some stateless persons”</w:t>
      </w:r>
      <w:r w:rsidR="0002394F">
        <w:rPr>
          <w:rFonts w:asciiTheme="majorHAnsi" w:hAnsiTheme="majorHAnsi" w:cstheme="majorHAnsi"/>
          <w:sz w:val="22"/>
        </w:rPr>
        <w:t>.</w:t>
      </w:r>
      <w:r w:rsidR="00772C8D" w:rsidRPr="00F95325">
        <w:rPr>
          <w:rStyle w:val="FootnoteReference"/>
          <w:rFonts w:asciiTheme="majorHAnsi" w:hAnsiTheme="majorHAnsi" w:cstheme="majorHAnsi"/>
          <w:sz w:val="22"/>
        </w:rPr>
        <w:footnoteReference w:id="25"/>
      </w:r>
      <w:r w:rsidR="004B3823">
        <w:rPr>
          <w:rFonts w:asciiTheme="majorHAnsi" w:hAnsiTheme="majorHAnsi" w:cstheme="majorHAnsi"/>
          <w:sz w:val="22"/>
        </w:rPr>
        <w:t>D</w:t>
      </w:r>
    </w:p>
    <w:p w14:paraId="00C2CBD1" w14:textId="3B5CFF1A" w:rsidR="00BA0F1E" w:rsidRPr="00F95325" w:rsidRDefault="00DE71DC" w:rsidP="007D3FB2">
      <w:pPr>
        <w:pStyle w:val="SIBodyText"/>
        <w:widowControl w:val="0"/>
        <w:numPr>
          <w:ilvl w:val="0"/>
          <w:numId w:val="1"/>
        </w:numPr>
        <w:spacing w:line="240" w:lineRule="auto"/>
        <w:jc w:val="both"/>
        <w:rPr>
          <w:rFonts w:asciiTheme="majorHAnsi" w:hAnsiTheme="majorHAnsi" w:cstheme="majorHAnsi"/>
          <w:sz w:val="22"/>
        </w:rPr>
      </w:pPr>
      <w:r w:rsidRPr="00F95325">
        <w:rPr>
          <w:rFonts w:asciiTheme="majorHAnsi" w:hAnsiTheme="majorHAnsi" w:cstheme="majorHAnsi"/>
          <w:sz w:val="22"/>
        </w:rPr>
        <w:t>The Belgian Government should take steps to protect stateless people from arbitrary detention, including introducing a mechanism to identify (risk of) statelessness during the decision to detain, implementing a thorough assessment of vulnerability,</w:t>
      </w:r>
      <w:r w:rsidRPr="00F95325">
        <w:rPr>
          <w:rStyle w:val="FootnoteReference"/>
          <w:rFonts w:asciiTheme="majorHAnsi" w:hAnsiTheme="majorHAnsi" w:cstheme="majorHAnsi"/>
          <w:sz w:val="22"/>
        </w:rPr>
        <w:footnoteReference w:id="26"/>
      </w:r>
      <w:r w:rsidRPr="00F95325">
        <w:rPr>
          <w:rFonts w:asciiTheme="majorHAnsi" w:hAnsiTheme="majorHAnsi" w:cstheme="majorHAnsi"/>
          <w:sz w:val="22"/>
        </w:rPr>
        <w:t xml:space="preserve"> and ensuring the appropriateness of alternative measures in each individual case.</w:t>
      </w:r>
      <w:r w:rsidRPr="00F95325">
        <w:rPr>
          <w:rStyle w:val="FootnoteReference"/>
          <w:rFonts w:asciiTheme="majorHAnsi" w:hAnsiTheme="majorHAnsi" w:cstheme="majorHAnsi"/>
          <w:sz w:val="22"/>
        </w:rPr>
        <w:footnoteReference w:id="27"/>
      </w:r>
      <w:r w:rsidRPr="00F95325">
        <w:t xml:space="preserve"> </w:t>
      </w:r>
      <w:r w:rsidR="00A048D5" w:rsidRPr="00F95325">
        <w:rPr>
          <w:rFonts w:asciiTheme="majorHAnsi" w:hAnsiTheme="majorHAnsi" w:cstheme="majorHAnsi"/>
          <w:sz w:val="22"/>
        </w:rPr>
        <w:t xml:space="preserve">As noted by the Committee in its </w:t>
      </w:r>
      <w:r w:rsidR="00DE011E" w:rsidRPr="00F95325">
        <w:rPr>
          <w:rFonts w:asciiTheme="majorHAnsi" w:hAnsiTheme="majorHAnsi" w:cstheme="majorHAnsi"/>
          <w:sz w:val="22"/>
        </w:rPr>
        <w:t>General comment No. 4(2017) on the implementation of article 3 of the Convention in the context of article 22</w:t>
      </w:r>
      <w:r w:rsidR="00BA0F1E" w:rsidRPr="00F95325">
        <w:rPr>
          <w:rFonts w:asciiTheme="majorHAnsi" w:hAnsiTheme="majorHAnsi" w:cstheme="majorHAnsi"/>
          <w:sz w:val="22"/>
        </w:rPr>
        <w:t>:</w:t>
      </w:r>
    </w:p>
    <w:p w14:paraId="442744CA" w14:textId="166D6E92" w:rsidR="0023065A" w:rsidRDefault="00A63D78" w:rsidP="00F01F5E">
      <w:pPr>
        <w:pStyle w:val="SIBodyText"/>
        <w:widowControl w:val="0"/>
        <w:spacing w:after="0" w:line="240" w:lineRule="auto"/>
        <w:ind w:left="851" w:right="368"/>
        <w:jc w:val="both"/>
        <w:rPr>
          <w:rFonts w:asciiTheme="majorHAnsi" w:hAnsiTheme="majorHAnsi" w:cstheme="majorHAnsi"/>
          <w:sz w:val="22"/>
        </w:rPr>
      </w:pPr>
      <w:r w:rsidRPr="00F95325">
        <w:rPr>
          <w:rFonts w:asciiTheme="majorHAnsi" w:hAnsiTheme="majorHAnsi" w:cstheme="majorHAnsi"/>
          <w:i/>
          <w:iCs/>
          <w:sz w:val="22"/>
        </w:rPr>
        <w:t>“</w:t>
      </w:r>
      <w:r w:rsidR="00A048D5" w:rsidRPr="00F95325">
        <w:rPr>
          <w:rFonts w:asciiTheme="majorHAnsi" w:hAnsiTheme="majorHAnsi" w:cstheme="majorHAnsi"/>
          <w:i/>
          <w:iCs/>
          <w:sz w:val="22"/>
        </w:rPr>
        <w:t>Article  3  of  the  Convention</w:t>
      </w:r>
      <w:r w:rsidR="00814A44" w:rsidRPr="00F95325">
        <w:rPr>
          <w:rFonts w:asciiTheme="majorHAnsi" w:hAnsiTheme="majorHAnsi" w:cstheme="majorHAnsi"/>
          <w:i/>
          <w:iCs/>
          <w:sz w:val="22"/>
        </w:rPr>
        <w:t xml:space="preserve"> […]</w:t>
      </w:r>
      <w:r w:rsidR="00A048D5" w:rsidRPr="00F95325">
        <w:rPr>
          <w:rFonts w:asciiTheme="majorHAnsi" w:hAnsiTheme="majorHAnsi" w:cstheme="majorHAnsi"/>
          <w:i/>
          <w:iCs/>
          <w:sz w:val="22"/>
        </w:rPr>
        <w:t xml:space="preserve">  should  be  without  prejudice  to  article  16  (2)  of  the  Convention,  in  particular where  a  person  to  be  removed  would  enjoy  additional  protection,  under  international instruments or national law, not to be deported to a State where the</w:t>
      </w:r>
      <w:r w:rsidR="00BA0F1E" w:rsidRPr="00F95325">
        <w:rPr>
          <w:rFonts w:asciiTheme="majorHAnsi" w:hAnsiTheme="majorHAnsi" w:cstheme="majorHAnsi"/>
          <w:i/>
          <w:iCs/>
          <w:sz w:val="22"/>
        </w:rPr>
        <w:t xml:space="preserve"> </w:t>
      </w:r>
      <w:r w:rsidR="00A048D5" w:rsidRPr="00F95325">
        <w:rPr>
          <w:rFonts w:asciiTheme="majorHAnsi" w:hAnsiTheme="majorHAnsi" w:cstheme="majorHAnsi"/>
          <w:i/>
          <w:iCs/>
          <w:sz w:val="22"/>
        </w:rPr>
        <w:t>person would face the risk of cruel, inhuman or degrading treatment or punishment</w:t>
      </w:r>
      <w:r w:rsidR="00BA0F1E" w:rsidRPr="00F95325">
        <w:rPr>
          <w:rFonts w:asciiTheme="majorHAnsi" w:hAnsiTheme="majorHAnsi" w:cstheme="majorHAnsi"/>
          <w:i/>
          <w:iCs/>
          <w:sz w:val="22"/>
        </w:rPr>
        <w:t>”</w:t>
      </w:r>
      <w:r w:rsidR="00BA0F1E" w:rsidRPr="00F95325">
        <w:rPr>
          <w:rFonts w:asciiTheme="majorHAnsi" w:hAnsiTheme="majorHAnsi" w:cstheme="majorHAnsi"/>
          <w:sz w:val="22"/>
        </w:rPr>
        <w:t>.</w:t>
      </w:r>
      <w:r w:rsidR="00BA0F1E" w:rsidRPr="00F95325">
        <w:rPr>
          <w:rStyle w:val="FootnoteReference"/>
          <w:rFonts w:asciiTheme="majorHAnsi" w:hAnsiTheme="majorHAnsi" w:cstheme="majorHAnsi"/>
          <w:sz w:val="22"/>
        </w:rPr>
        <w:footnoteReference w:id="28"/>
      </w:r>
    </w:p>
    <w:p w14:paraId="7F378711" w14:textId="798FA6D9" w:rsidR="00024322" w:rsidRDefault="00024322" w:rsidP="00024322">
      <w:pPr>
        <w:pStyle w:val="SIBodyText"/>
        <w:widowControl w:val="0"/>
        <w:spacing w:after="0" w:line="240" w:lineRule="auto"/>
        <w:ind w:left="1418"/>
        <w:jc w:val="both"/>
        <w:rPr>
          <w:rFonts w:asciiTheme="majorHAnsi" w:hAnsiTheme="majorHAnsi" w:cstheme="majorHAnsi"/>
          <w:sz w:val="22"/>
        </w:rPr>
      </w:pPr>
    </w:p>
    <w:p w14:paraId="55AF968E" w14:textId="278A7809" w:rsidR="00F810DC" w:rsidRPr="00F95325" w:rsidRDefault="00024322" w:rsidP="00024322">
      <w:pPr>
        <w:pStyle w:val="SIBodyText"/>
        <w:widowControl w:val="0"/>
        <w:spacing w:after="0" w:line="240" w:lineRule="auto"/>
        <w:jc w:val="both"/>
        <w:rPr>
          <w:rFonts w:ascii="Helvetica" w:hAnsi="Helvetica"/>
          <w:b/>
          <w:bCs/>
          <w:color w:val="2C166F"/>
          <w:sz w:val="28"/>
          <w:szCs w:val="16"/>
        </w:rPr>
      </w:pPr>
      <w:r w:rsidRPr="00024322">
        <w:rPr>
          <w:rFonts w:ascii="Times New Roman" w:eastAsia="Calibri" w:hAnsi="Times New Roman" w:cs="Times New Roman"/>
          <w:b/>
          <w:bCs/>
          <w:iCs/>
          <w:noProof/>
          <w:color w:val="auto"/>
          <w:sz w:val="22"/>
          <w:szCs w:val="24"/>
        </w:rPr>
        <w:lastRenderedPageBreak/>
        <mc:AlternateContent>
          <mc:Choice Requires="wps">
            <w:drawing>
              <wp:anchor distT="0" distB="0" distL="114300" distR="114300" simplePos="0" relativeHeight="251658247" behindDoc="1" locked="0" layoutInCell="1" allowOverlap="1" wp14:anchorId="400B9439" wp14:editId="1CD4114D">
                <wp:simplePos x="0" y="0"/>
                <wp:positionH relativeFrom="margin">
                  <wp:posOffset>-81023</wp:posOffset>
                </wp:positionH>
                <wp:positionV relativeFrom="paragraph">
                  <wp:posOffset>209453</wp:posOffset>
                </wp:positionV>
                <wp:extent cx="5273675" cy="3524250"/>
                <wp:effectExtent l="0" t="0" r="22225" b="19050"/>
                <wp:wrapTight wrapText="bothSides">
                  <wp:wrapPolygon edited="0">
                    <wp:start x="0" y="0"/>
                    <wp:lineTo x="0" y="21600"/>
                    <wp:lineTo x="21613" y="21600"/>
                    <wp:lineTo x="21613" y="0"/>
                    <wp:lineTo x="0" y="0"/>
                  </wp:wrapPolygon>
                </wp:wrapTight>
                <wp:docPr id="6" name="Πλαίσιο κειμένου 4"/>
                <wp:cNvGraphicFramePr/>
                <a:graphic xmlns:a="http://schemas.openxmlformats.org/drawingml/2006/main">
                  <a:graphicData uri="http://schemas.microsoft.com/office/word/2010/wordprocessingShape">
                    <wps:wsp>
                      <wps:cNvSpPr txBox="1"/>
                      <wps:spPr>
                        <a:xfrm>
                          <a:off x="0" y="0"/>
                          <a:ext cx="5273675" cy="3524250"/>
                        </a:xfrm>
                        <a:prstGeom prst="rect">
                          <a:avLst/>
                        </a:prstGeom>
                        <a:solidFill>
                          <a:sysClr val="window" lastClr="FFFFFF"/>
                        </a:solidFill>
                        <a:ln w="6350">
                          <a:solidFill>
                            <a:prstClr val="black"/>
                          </a:solidFill>
                        </a:ln>
                      </wps:spPr>
                      <wps:txbx>
                        <w:txbxContent>
                          <w:p w14:paraId="42C9ECB9" w14:textId="77777777" w:rsidR="00024322" w:rsidRDefault="00024322" w:rsidP="00024322">
                            <w:pPr>
                              <w:jc w:val="both"/>
                              <w:rPr>
                                <w:rFonts w:asciiTheme="majorHAnsi" w:hAnsiTheme="majorHAnsi" w:cstheme="majorHAnsi"/>
                                <w:b/>
                                <w:bCs/>
                                <w:sz w:val="22"/>
                                <w:szCs w:val="22"/>
                              </w:rPr>
                            </w:pPr>
                            <w:r>
                              <w:rPr>
                                <w:rFonts w:asciiTheme="majorHAnsi" w:hAnsiTheme="majorHAnsi" w:cstheme="majorHAnsi"/>
                                <w:b/>
                                <w:bCs/>
                                <w:sz w:val="22"/>
                                <w:szCs w:val="22"/>
                              </w:rPr>
                              <w:t>Recommendations</w:t>
                            </w:r>
                            <w:r w:rsidRPr="003F720D">
                              <w:rPr>
                                <w:rFonts w:asciiTheme="majorHAnsi" w:hAnsiTheme="majorHAnsi" w:cstheme="majorHAnsi"/>
                                <w:b/>
                                <w:bCs/>
                                <w:sz w:val="22"/>
                                <w:szCs w:val="22"/>
                              </w:rPr>
                              <w:t xml:space="preserve">: </w:t>
                            </w:r>
                          </w:p>
                          <w:p w14:paraId="578B5F3B" w14:textId="77777777" w:rsidR="00024322" w:rsidRPr="003F720D" w:rsidRDefault="00024322" w:rsidP="00024322">
                            <w:pPr>
                              <w:jc w:val="both"/>
                              <w:rPr>
                                <w:rFonts w:asciiTheme="majorHAnsi" w:hAnsiTheme="majorHAnsi" w:cstheme="majorHAnsi"/>
                                <w:b/>
                                <w:bCs/>
                                <w:sz w:val="22"/>
                                <w:szCs w:val="22"/>
                              </w:rPr>
                            </w:pPr>
                          </w:p>
                          <w:p w14:paraId="18D13519" w14:textId="77777777" w:rsidR="00024322" w:rsidRPr="00487B86" w:rsidRDefault="00024322" w:rsidP="00024322">
                            <w:pPr>
                              <w:pStyle w:val="ListParagraph"/>
                              <w:numPr>
                                <w:ilvl w:val="0"/>
                                <w:numId w:val="4"/>
                              </w:numPr>
                              <w:ind w:left="426" w:hanging="426"/>
                              <w:jc w:val="both"/>
                              <w:rPr>
                                <w:rFonts w:asciiTheme="majorHAnsi" w:hAnsiTheme="majorHAnsi" w:cstheme="majorHAnsi"/>
                                <w:b/>
                                <w:bCs/>
                                <w:iCs/>
                                <w:sz w:val="22"/>
                              </w:rPr>
                            </w:pPr>
                            <w:r w:rsidRPr="00487B86">
                              <w:rPr>
                                <w:rFonts w:asciiTheme="majorHAnsi" w:hAnsiTheme="majorHAnsi" w:cstheme="majorHAnsi"/>
                                <w:b/>
                                <w:bCs/>
                                <w:iCs/>
                                <w:sz w:val="22"/>
                              </w:rPr>
                              <w:t xml:space="preserve">Take concrete steps to improve the recording of statelessness, namely by harmonising quantitative data on stateless persons and ensuring that the statistical categories cover the entire stateless population in Belgium, including stateless people in immigration detention and removal procedures. </w:t>
                            </w:r>
                          </w:p>
                          <w:p w14:paraId="2CEED1AE" w14:textId="77777777" w:rsidR="00024322" w:rsidRPr="00487B86" w:rsidRDefault="00024322" w:rsidP="00024322">
                            <w:pPr>
                              <w:pStyle w:val="ListParagraph"/>
                              <w:ind w:left="426" w:hanging="426"/>
                              <w:jc w:val="both"/>
                              <w:rPr>
                                <w:rFonts w:asciiTheme="majorHAnsi" w:hAnsiTheme="majorHAnsi" w:cstheme="majorHAnsi"/>
                                <w:b/>
                                <w:bCs/>
                                <w:iCs/>
                                <w:sz w:val="22"/>
                                <w:szCs w:val="22"/>
                              </w:rPr>
                            </w:pPr>
                          </w:p>
                          <w:p w14:paraId="60EED2A1" w14:textId="77777777" w:rsidR="00024322" w:rsidRPr="00487B86" w:rsidRDefault="00024322" w:rsidP="00024322">
                            <w:pPr>
                              <w:pStyle w:val="ListParagraph"/>
                              <w:numPr>
                                <w:ilvl w:val="0"/>
                                <w:numId w:val="4"/>
                              </w:numPr>
                              <w:ind w:left="426" w:hanging="426"/>
                              <w:jc w:val="both"/>
                              <w:rPr>
                                <w:rFonts w:asciiTheme="majorHAnsi" w:hAnsiTheme="majorHAnsi" w:cstheme="majorHAnsi"/>
                                <w:b/>
                                <w:bCs/>
                                <w:iCs/>
                                <w:sz w:val="22"/>
                                <w:szCs w:val="22"/>
                              </w:rPr>
                            </w:pPr>
                            <w:r w:rsidRPr="00487B86">
                              <w:rPr>
                                <w:rFonts w:asciiTheme="majorHAnsi" w:hAnsiTheme="majorHAnsi" w:cstheme="majorHAnsi"/>
                                <w:b/>
                                <w:bCs/>
                                <w:iCs/>
                                <w:sz w:val="22"/>
                                <w:szCs w:val="22"/>
                              </w:rPr>
                              <w:t xml:space="preserve">Improve the identification of </w:t>
                            </w:r>
                            <w:r>
                              <w:rPr>
                                <w:rFonts w:asciiTheme="majorHAnsi" w:hAnsiTheme="majorHAnsi" w:cstheme="majorHAnsi"/>
                                <w:b/>
                                <w:bCs/>
                                <w:iCs/>
                                <w:sz w:val="22"/>
                                <w:szCs w:val="22"/>
                              </w:rPr>
                              <w:t xml:space="preserve">stateless </w:t>
                            </w:r>
                            <w:r w:rsidRPr="00487B86">
                              <w:rPr>
                                <w:rFonts w:asciiTheme="majorHAnsi" w:hAnsiTheme="majorHAnsi" w:cstheme="majorHAnsi"/>
                                <w:b/>
                                <w:bCs/>
                                <w:iCs/>
                                <w:sz w:val="22"/>
                                <w:szCs w:val="22"/>
                              </w:rPr>
                              <w:t>persons</w:t>
                            </w:r>
                            <w:r>
                              <w:rPr>
                                <w:rFonts w:asciiTheme="majorHAnsi" w:hAnsiTheme="majorHAnsi" w:cstheme="majorHAnsi"/>
                                <w:b/>
                                <w:bCs/>
                                <w:iCs/>
                                <w:sz w:val="22"/>
                                <w:szCs w:val="22"/>
                              </w:rPr>
                              <w:t xml:space="preserve"> and </w:t>
                            </w:r>
                            <w:r w:rsidRPr="00487B86">
                              <w:rPr>
                                <w:rFonts w:asciiTheme="majorHAnsi" w:hAnsiTheme="majorHAnsi" w:cstheme="majorHAnsi"/>
                                <w:b/>
                                <w:bCs/>
                                <w:iCs/>
                                <w:sz w:val="22"/>
                                <w:szCs w:val="22"/>
                              </w:rPr>
                              <w:t xml:space="preserve">persons at risk of statelessness in removal procedures and detention centres, including through staff training, and ensure access to the </w:t>
                            </w:r>
                            <w:r>
                              <w:rPr>
                                <w:rFonts w:asciiTheme="majorHAnsi" w:hAnsiTheme="majorHAnsi" w:cstheme="majorHAnsi"/>
                                <w:b/>
                                <w:bCs/>
                                <w:iCs/>
                                <w:sz w:val="22"/>
                                <w:szCs w:val="22"/>
                              </w:rPr>
                              <w:t>judicial</w:t>
                            </w:r>
                            <w:r w:rsidRPr="00487B86">
                              <w:rPr>
                                <w:rFonts w:asciiTheme="majorHAnsi" w:hAnsiTheme="majorHAnsi" w:cstheme="majorHAnsi"/>
                                <w:b/>
                                <w:bCs/>
                                <w:iCs/>
                                <w:sz w:val="22"/>
                                <w:szCs w:val="22"/>
                              </w:rPr>
                              <w:t xml:space="preserve"> procedure</w:t>
                            </w:r>
                            <w:r>
                              <w:rPr>
                                <w:rFonts w:asciiTheme="majorHAnsi" w:hAnsiTheme="majorHAnsi" w:cstheme="majorHAnsi"/>
                                <w:b/>
                                <w:bCs/>
                                <w:iCs/>
                                <w:sz w:val="22"/>
                                <w:szCs w:val="22"/>
                              </w:rPr>
                              <w:t xml:space="preserve"> to determine statelessness</w:t>
                            </w:r>
                            <w:r w:rsidRPr="00487B86">
                              <w:rPr>
                                <w:rFonts w:asciiTheme="majorHAnsi" w:hAnsiTheme="majorHAnsi" w:cstheme="majorHAnsi"/>
                                <w:b/>
                                <w:bCs/>
                                <w:iCs/>
                                <w:sz w:val="22"/>
                                <w:szCs w:val="22"/>
                              </w:rPr>
                              <w:t>.</w:t>
                            </w:r>
                          </w:p>
                          <w:p w14:paraId="45136333" w14:textId="77777777" w:rsidR="00024322" w:rsidRPr="00487B86" w:rsidRDefault="00024322" w:rsidP="00024322">
                            <w:pPr>
                              <w:pStyle w:val="ListParagraph"/>
                              <w:ind w:left="426" w:hanging="426"/>
                              <w:jc w:val="both"/>
                              <w:rPr>
                                <w:rFonts w:asciiTheme="majorHAnsi" w:hAnsiTheme="majorHAnsi" w:cstheme="majorHAnsi"/>
                                <w:b/>
                                <w:bCs/>
                                <w:iCs/>
                                <w:sz w:val="22"/>
                                <w:szCs w:val="22"/>
                              </w:rPr>
                            </w:pPr>
                          </w:p>
                          <w:p w14:paraId="13D166E9" w14:textId="77777777" w:rsidR="00024322" w:rsidRPr="00487B86" w:rsidRDefault="00024322" w:rsidP="00024322">
                            <w:pPr>
                              <w:pStyle w:val="ListParagraph"/>
                              <w:numPr>
                                <w:ilvl w:val="0"/>
                                <w:numId w:val="4"/>
                              </w:numPr>
                              <w:ind w:left="426" w:hanging="426"/>
                              <w:jc w:val="both"/>
                              <w:rPr>
                                <w:rFonts w:asciiTheme="majorHAnsi" w:hAnsiTheme="majorHAnsi" w:cstheme="majorHAnsi"/>
                                <w:b/>
                                <w:bCs/>
                                <w:iCs/>
                                <w:sz w:val="22"/>
                                <w:szCs w:val="22"/>
                              </w:rPr>
                            </w:pPr>
                            <w:r w:rsidRPr="00487B86">
                              <w:rPr>
                                <w:rFonts w:asciiTheme="majorHAnsi" w:hAnsiTheme="majorHAnsi" w:cstheme="majorHAnsi"/>
                                <w:b/>
                                <w:bCs/>
                                <w:iCs/>
                                <w:sz w:val="22"/>
                                <w:szCs w:val="22"/>
                              </w:rPr>
                              <w:t xml:space="preserve">Take concrete steps to protect stateless people from arbitrary detention, including introducing a mechanism to identify (risks of) statelessness during the decision to detain, and implementing a thorough assessment of vulnerability and appropriateness of alternative measures in each individual case. </w:t>
                            </w:r>
                          </w:p>
                          <w:p w14:paraId="6365A1C7" w14:textId="77777777" w:rsidR="00024322" w:rsidRPr="00487B86" w:rsidRDefault="00024322" w:rsidP="00024322">
                            <w:pPr>
                              <w:pStyle w:val="ListParagraph"/>
                              <w:ind w:left="426" w:hanging="426"/>
                              <w:jc w:val="both"/>
                              <w:rPr>
                                <w:rFonts w:asciiTheme="majorHAnsi" w:hAnsiTheme="majorHAnsi" w:cstheme="majorHAnsi"/>
                                <w:b/>
                                <w:bCs/>
                                <w:iCs/>
                                <w:sz w:val="22"/>
                                <w:szCs w:val="22"/>
                              </w:rPr>
                            </w:pPr>
                          </w:p>
                          <w:p w14:paraId="4CFC44C8" w14:textId="77777777" w:rsidR="00024322" w:rsidRPr="00487B86" w:rsidRDefault="00024322" w:rsidP="00024322">
                            <w:pPr>
                              <w:pStyle w:val="ListParagraph"/>
                              <w:numPr>
                                <w:ilvl w:val="0"/>
                                <w:numId w:val="4"/>
                              </w:numPr>
                              <w:ind w:left="426" w:hanging="426"/>
                              <w:jc w:val="both"/>
                              <w:rPr>
                                <w:rFonts w:asciiTheme="majorHAnsi" w:hAnsiTheme="majorHAnsi" w:cstheme="majorHAnsi"/>
                                <w:b/>
                                <w:bCs/>
                                <w:iCs/>
                                <w:sz w:val="22"/>
                                <w:szCs w:val="22"/>
                              </w:rPr>
                            </w:pPr>
                            <w:r w:rsidRPr="00487B86">
                              <w:rPr>
                                <w:rFonts w:asciiTheme="majorHAnsi" w:hAnsiTheme="majorHAnsi" w:cstheme="majorHAnsi"/>
                                <w:b/>
                                <w:bCs/>
                                <w:iCs/>
                                <w:sz w:val="22"/>
                                <w:szCs w:val="22"/>
                              </w:rPr>
                              <w:t>Ensure that the treatment of stateless persons, including those in immigration detention, fully complies with its international obligations, and that alternatives to detention are implemented to protect against arbitrary detention in all circumstances.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0B9439" id="_x0000_t202" coordsize="21600,21600" o:spt="202" path="m,l,21600r21600,l21600,xe">
                <v:stroke joinstyle="miter"/>
                <v:path gradientshapeok="t" o:connecttype="rect"/>
              </v:shapetype>
              <v:shape id="Πλαίσιο κειμένου 4" o:spid="_x0000_s1026" type="#_x0000_t202" style="position:absolute;left:0;text-align:left;margin-left:-6.4pt;margin-top:16.5pt;width:415.25pt;height:277.5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" fillcolor="window" strokeweight=".5pt">
                <v:textbox>
                  <w:txbxContent>
                    <w:p w14:paraId="42C9ECB9" w14:textId="77777777" w:rsidR="00024322" w:rsidRDefault="00024322" w:rsidP="00024322">
                      <w:pPr>
                        <w:jc w:val="both"/>
                        <w:rPr>
                          <w:rFonts w:asciiTheme="majorHAnsi" w:hAnsiTheme="majorHAnsi" w:cstheme="majorHAnsi"/>
                          <w:b/>
                          <w:bCs/>
                          <w:sz w:val="22"/>
                          <w:szCs w:val="22"/>
                        </w:rPr>
                      </w:pPr>
                      <w:r>
                        <w:rPr>
                          <w:rFonts w:asciiTheme="majorHAnsi" w:hAnsiTheme="majorHAnsi" w:cstheme="majorHAnsi"/>
                          <w:b/>
                          <w:bCs/>
                          <w:sz w:val="22"/>
                          <w:szCs w:val="22"/>
                        </w:rPr>
                        <w:t>Recommendations</w:t>
                      </w:r>
                      <w:r w:rsidRPr="003F720D">
                        <w:rPr>
                          <w:rFonts w:asciiTheme="majorHAnsi" w:hAnsiTheme="majorHAnsi" w:cstheme="majorHAnsi"/>
                          <w:b/>
                          <w:bCs/>
                          <w:sz w:val="22"/>
                          <w:szCs w:val="22"/>
                        </w:rPr>
                        <w:t xml:space="preserve">: </w:t>
                      </w:r>
                    </w:p>
                    <w:p w14:paraId="578B5F3B" w14:textId="77777777" w:rsidR="00024322" w:rsidRPr="003F720D" w:rsidRDefault="00024322" w:rsidP="00024322">
                      <w:pPr>
                        <w:jc w:val="both"/>
                        <w:rPr>
                          <w:rFonts w:asciiTheme="majorHAnsi" w:hAnsiTheme="majorHAnsi" w:cstheme="majorHAnsi"/>
                          <w:b/>
                          <w:bCs/>
                          <w:sz w:val="22"/>
                          <w:szCs w:val="22"/>
                        </w:rPr>
                      </w:pPr>
                    </w:p>
                    <w:p w14:paraId="18D13519" w14:textId="77777777" w:rsidR="00024322" w:rsidRPr="00487B86" w:rsidRDefault="00024322" w:rsidP="00024322">
                      <w:pPr>
                        <w:pStyle w:val="ListParagraph"/>
                        <w:numPr>
                          <w:ilvl w:val="0"/>
                          <w:numId w:val="4"/>
                        </w:numPr>
                        <w:ind w:left="426" w:hanging="426"/>
                        <w:jc w:val="both"/>
                        <w:rPr>
                          <w:rFonts w:asciiTheme="majorHAnsi" w:hAnsiTheme="majorHAnsi" w:cstheme="majorHAnsi"/>
                          <w:b/>
                          <w:bCs/>
                          <w:iCs/>
                          <w:sz w:val="22"/>
                        </w:rPr>
                      </w:pPr>
                      <w:r w:rsidRPr="00487B86">
                        <w:rPr>
                          <w:rFonts w:asciiTheme="majorHAnsi" w:hAnsiTheme="majorHAnsi" w:cstheme="majorHAnsi"/>
                          <w:b/>
                          <w:bCs/>
                          <w:iCs/>
                          <w:sz w:val="22"/>
                        </w:rPr>
                        <w:t xml:space="preserve">Take concrete steps to improve the recording of statelessness, namely by harmonising quantitative data on stateless persons and ensuring that the statistical categories cover the entire stateless population in Belgium, including stateless people in immigration detention and removal procedures. </w:t>
                      </w:r>
                    </w:p>
                    <w:p w14:paraId="2CEED1AE" w14:textId="77777777" w:rsidR="00024322" w:rsidRPr="00487B86" w:rsidRDefault="00024322" w:rsidP="00024322">
                      <w:pPr>
                        <w:pStyle w:val="ListParagraph"/>
                        <w:ind w:left="426" w:hanging="426"/>
                        <w:jc w:val="both"/>
                        <w:rPr>
                          <w:rFonts w:asciiTheme="majorHAnsi" w:hAnsiTheme="majorHAnsi" w:cstheme="majorHAnsi"/>
                          <w:b/>
                          <w:bCs/>
                          <w:iCs/>
                          <w:sz w:val="22"/>
                          <w:szCs w:val="22"/>
                        </w:rPr>
                      </w:pPr>
                    </w:p>
                    <w:p w14:paraId="60EED2A1" w14:textId="77777777" w:rsidR="00024322" w:rsidRPr="00487B86" w:rsidRDefault="00024322" w:rsidP="00024322">
                      <w:pPr>
                        <w:pStyle w:val="ListParagraph"/>
                        <w:numPr>
                          <w:ilvl w:val="0"/>
                          <w:numId w:val="4"/>
                        </w:numPr>
                        <w:ind w:left="426" w:hanging="426"/>
                        <w:jc w:val="both"/>
                        <w:rPr>
                          <w:rFonts w:asciiTheme="majorHAnsi" w:hAnsiTheme="majorHAnsi" w:cstheme="majorHAnsi"/>
                          <w:b/>
                          <w:bCs/>
                          <w:iCs/>
                          <w:sz w:val="22"/>
                          <w:szCs w:val="22"/>
                        </w:rPr>
                      </w:pPr>
                      <w:r w:rsidRPr="00487B86">
                        <w:rPr>
                          <w:rFonts w:asciiTheme="majorHAnsi" w:hAnsiTheme="majorHAnsi" w:cstheme="majorHAnsi"/>
                          <w:b/>
                          <w:bCs/>
                          <w:iCs/>
                          <w:sz w:val="22"/>
                          <w:szCs w:val="22"/>
                        </w:rPr>
                        <w:t xml:space="preserve">Improve the identification of </w:t>
                      </w:r>
                      <w:r>
                        <w:rPr>
                          <w:rFonts w:asciiTheme="majorHAnsi" w:hAnsiTheme="majorHAnsi" w:cstheme="majorHAnsi"/>
                          <w:b/>
                          <w:bCs/>
                          <w:iCs/>
                          <w:sz w:val="22"/>
                          <w:szCs w:val="22"/>
                        </w:rPr>
                        <w:t xml:space="preserve">stateless </w:t>
                      </w:r>
                      <w:r w:rsidRPr="00487B86">
                        <w:rPr>
                          <w:rFonts w:asciiTheme="majorHAnsi" w:hAnsiTheme="majorHAnsi" w:cstheme="majorHAnsi"/>
                          <w:b/>
                          <w:bCs/>
                          <w:iCs/>
                          <w:sz w:val="22"/>
                          <w:szCs w:val="22"/>
                        </w:rPr>
                        <w:t>persons</w:t>
                      </w:r>
                      <w:r>
                        <w:rPr>
                          <w:rFonts w:asciiTheme="majorHAnsi" w:hAnsiTheme="majorHAnsi" w:cstheme="majorHAnsi"/>
                          <w:b/>
                          <w:bCs/>
                          <w:iCs/>
                          <w:sz w:val="22"/>
                          <w:szCs w:val="22"/>
                        </w:rPr>
                        <w:t xml:space="preserve"> and </w:t>
                      </w:r>
                      <w:r w:rsidRPr="00487B86">
                        <w:rPr>
                          <w:rFonts w:asciiTheme="majorHAnsi" w:hAnsiTheme="majorHAnsi" w:cstheme="majorHAnsi"/>
                          <w:b/>
                          <w:bCs/>
                          <w:iCs/>
                          <w:sz w:val="22"/>
                          <w:szCs w:val="22"/>
                        </w:rPr>
                        <w:t xml:space="preserve">persons at risk of statelessness in removal procedures and detention centres, including through staff training, and ensure access to the </w:t>
                      </w:r>
                      <w:r>
                        <w:rPr>
                          <w:rFonts w:asciiTheme="majorHAnsi" w:hAnsiTheme="majorHAnsi" w:cstheme="majorHAnsi"/>
                          <w:b/>
                          <w:bCs/>
                          <w:iCs/>
                          <w:sz w:val="22"/>
                          <w:szCs w:val="22"/>
                        </w:rPr>
                        <w:t>judicial</w:t>
                      </w:r>
                      <w:r w:rsidRPr="00487B86">
                        <w:rPr>
                          <w:rFonts w:asciiTheme="majorHAnsi" w:hAnsiTheme="majorHAnsi" w:cstheme="majorHAnsi"/>
                          <w:b/>
                          <w:bCs/>
                          <w:iCs/>
                          <w:sz w:val="22"/>
                          <w:szCs w:val="22"/>
                        </w:rPr>
                        <w:t xml:space="preserve"> procedure</w:t>
                      </w:r>
                      <w:r>
                        <w:rPr>
                          <w:rFonts w:asciiTheme="majorHAnsi" w:hAnsiTheme="majorHAnsi" w:cstheme="majorHAnsi"/>
                          <w:b/>
                          <w:bCs/>
                          <w:iCs/>
                          <w:sz w:val="22"/>
                          <w:szCs w:val="22"/>
                        </w:rPr>
                        <w:t xml:space="preserve"> to determine statelessness</w:t>
                      </w:r>
                      <w:r w:rsidRPr="00487B86">
                        <w:rPr>
                          <w:rFonts w:asciiTheme="majorHAnsi" w:hAnsiTheme="majorHAnsi" w:cstheme="majorHAnsi"/>
                          <w:b/>
                          <w:bCs/>
                          <w:iCs/>
                          <w:sz w:val="22"/>
                          <w:szCs w:val="22"/>
                        </w:rPr>
                        <w:t>.</w:t>
                      </w:r>
                    </w:p>
                    <w:p w14:paraId="45136333" w14:textId="77777777" w:rsidR="00024322" w:rsidRPr="00487B86" w:rsidRDefault="00024322" w:rsidP="00024322">
                      <w:pPr>
                        <w:pStyle w:val="ListParagraph"/>
                        <w:ind w:left="426" w:hanging="426"/>
                        <w:jc w:val="both"/>
                        <w:rPr>
                          <w:rFonts w:asciiTheme="majorHAnsi" w:hAnsiTheme="majorHAnsi" w:cstheme="majorHAnsi"/>
                          <w:b/>
                          <w:bCs/>
                          <w:iCs/>
                          <w:sz w:val="22"/>
                          <w:szCs w:val="22"/>
                        </w:rPr>
                      </w:pPr>
                    </w:p>
                    <w:p w14:paraId="13D166E9" w14:textId="77777777" w:rsidR="00024322" w:rsidRPr="00487B86" w:rsidRDefault="00024322" w:rsidP="00024322">
                      <w:pPr>
                        <w:pStyle w:val="ListParagraph"/>
                        <w:numPr>
                          <w:ilvl w:val="0"/>
                          <w:numId w:val="4"/>
                        </w:numPr>
                        <w:ind w:left="426" w:hanging="426"/>
                        <w:jc w:val="both"/>
                        <w:rPr>
                          <w:rFonts w:asciiTheme="majorHAnsi" w:hAnsiTheme="majorHAnsi" w:cstheme="majorHAnsi"/>
                          <w:b/>
                          <w:bCs/>
                          <w:iCs/>
                          <w:sz w:val="22"/>
                          <w:szCs w:val="22"/>
                        </w:rPr>
                      </w:pPr>
                      <w:r w:rsidRPr="00487B86">
                        <w:rPr>
                          <w:rFonts w:asciiTheme="majorHAnsi" w:hAnsiTheme="majorHAnsi" w:cstheme="majorHAnsi"/>
                          <w:b/>
                          <w:bCs/>
                          <w:iCs/>
                          <w:sz w:val="22"/>
                          <w:szCs w:val="22"/>
                        </w:rPr>
                        <w:t xml:space="preserve">Take concrete steps to protect stateless people from arbitrary detention, including introducing a mechanism to identify (risks of) statelessness during the decision to detain, and implementing a thorough assessment of vulnerability and appropriateness of alternative measures in each individual case. </w:t>
                      </w:r>
                    </w:p>
                    <w:p w14:paraId="6365A1C7" w14:textId="77777777" w:rsidR="00024322" w:rsidRPr="00487B86" w:rsidRDefault="00024322" w:rsidP="00024322">
                      <w:pPr>
                        <w:pStyle w:val="ListParagraph"/>
                        <w:ind w:left="426" w:hanging="426"/>
                        <w:jc w:val="both"/>
                        <w:rPr>
                          <w:rFonts w:asciiTheme="majorHAnsi" w:hAnsiTheme="majorHAnsi" w:cstheme="majorHAnsi"/>
                          <w:b/>
                          <w:bCs/>
                          <w:iCs/>
                          <w:sz w:val="22"/>
                          <w:szCs w:val="22"/>
                        </w:rPr>
                      </w:pPr>
                    </w:p>
                    <w:p w14:paraId="4CFC44C8" w14:textId="77777777" w:rsidR="00024322" w:rsidRPr="00487B86" w:rsidRDefault="00024322" w:rsidP="00024322">
                      <w:pPr>
                        <w:pStyle w:val="ListParagraph"/>
                        <w:numPr>
                          <w:ilvl w:val="0"/>
                          <w:numId w:val="4"/>
                        </w:numPr>
                        <w:ind w:left="426" w:hanging="426"/>
                        <w:jc w:val="both"/>
                        <w:rPr>
                          <w:rFonts w:asciiTheme="majorHAnsi" w:hAnsiTheme="majorHAnsi" w:cstheme="majorHAnsi"/>
                          <w:b/>
                          <w:bCs/>
                          <w:iCs/>
                          <w:sz w:val="22"/>
                          <w:szCs w:val="22"/>
                        </w:rPr>
                      </w:pPr>
                      <w:r w:rsidRPr="00487B86">
                        <w:rPr>
                          <w:rFonts w:asciiTheme="majorHAnsi" w:hAnsiTheme="majorHAnsi" w:cstheme="majorHAnsi"/>
                          <w:b/>
                          <w:bCs/>
                          <w:iCs/>
                          <w:sz w:val="22"/>
                          <w:szCs w:val="22"/>
                        </w:rPr>
                        <w:t>Ensure that the treatment of stateless persons, including those in immigration detention, fully complies with its international obligations, and that alternatives to detention are implemented to protect against arbitrary detention in all circumstances.</w:t>
                      </w:r>
                    </w:p>
                  </w:txbxContent>
                </v:textbox>
                <w10:wrap type="tight" anchorx="margin"/>
              </v:shape>
            </w:pict>
          </mc:Fallback>
        </mc:AlternateContent>
      </w:r>
    </w:p>
    <w:p w14:paraId="69DBBF8B" w14:textId="162F16CD" w:rsidR="00D2092F" w:rsidRPr="00F95325" w:rsidRDefault="00D2092F" w:rsidP="00024322">
      <w:pPr>
        <w:widowControl w:val="0"/>
        <w:autoSpaceDE w:val="0"/>
        <w:autoSpaceDN w:val="0"/>
        <w:adjustRightInd w:val="0"/>
        <w:rPr>
          <w:rFonts w:ascii="Helvetica" w:hAnsi="Helvetica"/>
          <w:b/>
          <w:bCs/>
          <w:color w:val="2C166F"/>
          <w:sz w:val="28"/>
          <w:szCs w:val="16"/>
        </w:rPr>
      </w:pPr>
      <w:r w:rsidRPr="00F95325">
        <w:rPr>
          <w:rFonts w:ascii="Helvetica" w:hAnsi="Helvetica"/>
          <w:b/>
          <w:bCs/>
          <w:color w:val="2C166F"/>
          <w:sz w:val="28"/>
          <w:szCs w:val="16"/>
        </w:rPr>
        <w:t xml:space="preserve">ISSUE </w:t>
      </w:r>
      <w:r w:rsidR="004F7576" w:rsidRPr="00F95325">
        <w:rPr>
          <w:rFonts w:ascii="Helvetica" w:hAnsi="Helvetica"/>
          <w:b/>
          <w:bCs/>
          <w:color w:val="2C166F"/>
          <w:sz w:val="28"/>
          <w:szCs w:val="16"/>
        </w:rPr>
        <w:t>2</w:t>
      </w:r>
      <w:r w:rsidRPr="00F95325">
        <w:rPr>
          <w:rFonts w:ascii="Helvetica" w:hAnsi="Helvetica"/>
          <w:b/>
          <w:bCs/>
          <w:color w:val="2C166F"/>
          <w:sz w:val="28"/>
          <w:szCs w:val="16"/>
        </w:rPr>
        <w:t xml:space="preserve"> – </w:t>
      </w:r>
      <w:r w:rsidR="00B136E1" w:rsidRPr="00F95325">
        <w:rPr>
          <w:rFonts w:ascii="Helvetica" w:hAnsi="Helvetica"/>
          <w:b/>
          <w:bCs/>
          <w:color w:val="2C166F"/>
          <w:sz w:val="28"/>
          <w:szCs w:val="16"/>
        </w:rPr>
        <w:t xml:space="preserve">Deprivation of nationality on </w:t>
      </w:r>
      <w:r w:rsidR="00A44E71" w:rsidRPr="00F95325">
        <w:rPr>
          <w:rFonts w:ascii="Helvetica" w:hAnsi="Helvetica"/>
          <w:b/>
          <w:bCs/>
          <w:color w:val="2C166F"/>
          <w:sz w:val="28"/>
          <w:szCs w:val="16"/>
        </w:rPr>
        <w:t>national security grounds</w:t>
      </w:r>
    </w:p>
    <w:p w14:paraId="2E50153C" w14:textId="77777777" w:rsidR="00D2092F" w:rsidRPr="00F95325" w:rsidRDefault="00D2092F" w:rsidP="00024322">
      <w:pPr>
        <w:widowControl w:val="0"/>
        <w:autoSpaceDE w:val="0"/>
        <w:autoSpaceDN w:val="0"/>
        <w:adjustRightInd w:val="0"/>
        <w:jc w:val="both"/>
        <w:rPr>
          <w:rFonts w:asciiTheme="majorHAnsi" w:hAnsiTheme="majorHAnsi" w:cstheme="majorHAnsi"/>
          <w:sz w:val="22"/>
          <w:szCs w:val="22"/>
        </w:rPr>
      </w:pPr>
    </w:p>
    <w:p w14:paraId="2020337D" w14:textId="6F3F6F5E" w:rsidR="00D572D2" w:rsidRPr="00F95325" w:rsidRDefault="00D572D2" w:rsidP="007D3FB2">
      <w:pPr>
        <w:pStyle w:val="ListParagraph"/>
        <w:widowControl w:val="0"/>
        <w:numPr>
          <w:ilvl w:val="0"/>
          <w:numId w:val="1"/>
        </w:numPr>
        <w:jc w:val="both"/>
        <w:rPr>
          <w:rFonts w:asciiTheme="majorHAnsi" w:eastAsia="Times New Roman" w:hAnsiTheme="majorHAnsi" w:cs="Times New Roman"/>
          <w:sz w:val="22"/>
          <w:szCs w:val="22"/>
          <w:lang w:eastAsia="zh-CN"/>
        </w:rPr>
      </w:pPr>
      <w:r w:rsidRPr="00F95325">
        <w:rPr>
          <w:rFonts w:asciiTheme="majorHAnsi" w:eastAsia="Times New Roman" w:hAnsiTheme="majorHAnsi" w:cs="Times New Roman"/>
          <w:sz w:val="22"/>
          <w:szCs w:val="22"/>
          <w:lang w:eastAsia="zh-CN"/>
        </w:rPr>
        <w:t xml:space="preserve">Under international law, </w:t>
      </w:r>
      <w:r w:rsidR="00315D88" w:rsidRPr="00F95325">
        <w:rPr>
          <w:rFonts w:asciiTheme="majorHAnsi" w:eastAsia="Times New Roman" w:hAnsiTheme="majorHAnsi" w:cs="Times New Roman"/>
          <w:sz w:val="22"/>
          <w:szCs w:val="22"/>
          <w:lang w:eastAsia="zh-CN"/>
        </w:rPr>
        <w:t>S</w:t>
      </w:r>
      <w:r w:rsidRPr="00F95325">
        <w:rPr>
          <w:rFonts w:asciiTheme="majorHAnsi" w:eastAsia="Times New Roman" w:hAnsiTheme="majorHAnsi" w:cs="Times New Roman"/>
          <w:sz w:val="22"/>
          <w:szCs w:val="22"/>
          <w:lang w:eastAsia="zh-CN"/>
        </w:rPr>
        <w:t xml:space="preserve">tates have traditionally been granted broad discretion in the regulation of nationality matters. </w:t>
      </w:r>
      <w:r w:rsidR="005E5089">
        <w:rPr>
          <w:rFonts w:asciiTheme="majorHAnsi" w:eastAsia="Times New Roman" w:hAnsiTheme="majorHAnsi" w:cs="Times New Roman"/>
          <w:sz w:val="22"/>
          <w:szCs w:val="22"/>
          <w:lang w:eastAsia="zh-CN"/>
        </w:rPr>
        <w:t>However, t</w:t>
      </w:r>
      <w:r w:rsidRPr="00F95325">
        <w:rPr>
          <w:rFonts w:asciiTheme="majorHAnsi" w:eastAsia="Times New Roman" w:hAnsiTheme="majorHAnsi" w:cs="Times New Roman"/>
          <w:sz w:val="22"/>
          <w:szCs w:val="22"/>
          <w:lang w:eastAsia="zh-CN"/>
        </w:rPr>
        <w:t>his is not</w:t>
      </w:r>
      <w:r w:rsidR="005E5089">
        <w:rPr>
          <w:rFonts w:asciiTheme="majorHAnsi" w:eastAsia="Times New Roman" w:hAnsiTheme="majorHAnsi" w:cs="Times New Roman"/>
          <w:sz w:val="22"/>
          <w:szCs w:val="22"/>
          <w:lang w:eastAsia="zh-CN"/>
        </w:rPr>
        <w:t xml:space="preserve"> </w:t>
      </w:r>
      <w:r w:rsidRPr="00F95325">
        <w:rPr>
          <w:rFonts w:asciiTheme="majorHAnsi" w:eastAsia="Times New Roman" w:hAnsiTheme="majorHAnsi" w:cs="Times New Roman"/>
          <w:sz w:val="22"/>
          <w:szCs w:val="22"/>
          <w:lang w:eastAsia="zh-CN"/>
        </w:rPr>
        <w:t>an absolute discretion. States' prerogative in nationality matters has been gradually limited by the evolution of human rights law. The Principles on Deprivation of Nationality as a National Security Measure,</w:t>
      </w:r>
      <w:r w:rsidRPr="00F95325">
        <w:rPr>
          <w:rStyle w:val="FootnoteReference"/>
          <w:rFonts w:asciiTheme="majorHAnsi" w:eastAsia="Times New Roman" w:hAnsiTheme="majorHAnsi" w:cs="Times New Roman"/>
          <w:sz w:val="22"/>
          <w:szCs w:val="22"/>
          <w:lang w:eastAsia="zh-CN"/>
        </w:rPr>
        <w:footnoteReference w:id="29"/>
      </w:r>
      <w:r w:rsidRPr="00F95325">
        <w:rPr>
          <w:rFonts w:asciiTheme="majorHAnsi" w:eastAsia="Times New Roman" w:hAnsiTheme="majorHAnsi" w:cs="Times New Roman"/>
          <w:sz w:val="22"/>
          <w:szCs w:val="22"/>
          <w:lang w:eastAsia="zh-CN"/>
        </w:rPr>
        <w:t xml:space="preserve"> and the UNHCR Guidelines on Statelessness No 5: Loss and Deprivation of Nationality</w:t>
      </w:r>
      <w:r w:rsidR="005E5089">
        <w:rPr>
          <w:rFonts w:asciiTheme="majorHAnsi" w:eastAsia="Times New Roman" w:hAnsiTheme="majorHAnsi" w:cs="Times New Roman"/>
          <w:sz w:val="22"/>
          <w:szCs w:val="22"/>
          <w:lang w:eastAsia="zh-CN"/>
        </w:rPr>
        <w:t>,</w:t>
      </w:r>
      <w:r w:rsidRPr="00F95325">
        <w:rPr>
          <w:rFonts w:asciiTheme="majorHAnsi" w:eastAsia="Times New Roman" w:hAnsiTheme="majorHAnsi" w:cs="Times New Roman"/>
          <w:sz w:val="22"/>
          <w:szCs w:val="22"/>
          <w:lang w:eastAsia="zh-CN"/>
        </w:rPr>
        <w:t xml:space="preserve"> provide important clarification,</w:t>
      </w:r>
      <w:r w:rsidRPr="00F95325">
        <w:rPr>
          <w:rStyle w:val="FootnoteReference"/>
          <w:rFonts w:asciiTheme="majorHAnsi" w:eastAsia="Times New Roman" w:hAnsiTheme="majorHAnsi" w:cs="Times New Roman"/>
          <w:sz w:val="22"/>
          <w:szCs w:val="22"/>
          <w:lang w:eastAsia="zh-CN"/>
        </w:rPr>
        <w:footnoteReference w:id="30"/>
      </w:r>
      <w:r w:rsidRPr="00F95325">
        <w:rPr>
          <w:rFonts w:asciiTheme="majorHAnsi" w:eastAsia="Times New Roman" w:hAnsiTheme="majorHAnsi" w:cs="Times New Roman"/>
          <w:sz w:val="22"/>
          <w:szCs w:val="22"/>
          <w:lang w:eastAsia="zh-CN"/>
        </w:rPr>
        <w:t xml:space="preserve"> respectively from a wider international law perspective and more specifically in relation to the 1961 Convention. </w:t>
      </w:r>
      <w:r w:rsidR="00731370" w:rsidRPr="00F95325">
        <w:rPr>
          <w:rFonts w:asciiTheme="majorHAnsi" w:hAnsiTheme="majorHAnsi" w:cstheme="majorHAnsi"/>
          <w:sz w:val="22"/>
          <w:szCs w:val="22"/>
          <w:lang w:eastAsia="zh-CN"/>
        </w:rPr>
        <w:t xml:space="preserve">Accordingly, </w:t>
      </w:r>
      <w:r w:rsidR="00760219">
        <w:rPr>
          <w:rFonts w:asciiTheme="majorHAnsi" w:hAnsiTheme="majorHAnsi" w:cstheme="majorHAnsi"/>
          <w:sz w:val="22"/>
          <w:szCs w:val="22"/>
          <w:lang w:eastAsia="zh-CN"/>
        </w:rPr>
        <w:t>S</w:t>
      </w:r>
      <w:r w:rsidR="00731370" w:rsidRPr="00F95325">
        <w:rPr>
          <w:rFonts w:asciiTheme="majorHAnsi" w:hAnsiTheme="majorHAnsi" w:cstheme="majorHAnsi"/>
          <w:sz w:val="22"/>
          <w:szCs w:val="22"/>
          <w:lang w:eastAsia="zh-CN"/>
        </w:rPr>
        <w:t xml:space="preserve">tate </w:t>
      </w:r>
      <w:r w:rsidR="00731370" w:rsidRPr="00F95325">
        <w:rPr>
          <w:rFonts w:asciiTheme="majorHAnsi" w:hAnsiTheme="majorHAnsi" w:cstheme="majorHAnsi"/>
          <w:sz w:val="22"/>
          <w:szCs w:val="22"/>
          <w:lang w:eastAsia="zh-CN"/>
        </w:rPr>
        <w:lastRenderedPageBreak/>
        <w:t>discretion in this area is subject to the individual right to nationality,</w:t>
      </w:r>
      <w:r w:rsidR="00731370" w:rsidRPr="00F95325">
        <w:rPr>
          <w:rStyle w:val="FootnoteReference"/>
          <w:rFonts w:asciiTheme="majorHAnsi" w:eastAsia="Times New Roman" w:hAnsiTheme="majorHAnsi" w:cstheme="majorHAnsi"/>
          <w:sz w:val="22"/>
          <w:szCs w:val="22"/>
          <w:lang w:eastAsia="zh-CN"/>
        </w:rPr>
        <w:footnoteReference w:id="31"/>
      </w:r>
      <w:r w:rsidR="00731370" w:rsidRPr="00F95325">
        <w:rPr>
          <w:rFonts w:asciiTheme="majorHAnsi" w:hAnsiTheme="majorHAnsi" w:cstheme="majorHAnsi"/>
          <w:sz w:val="22"/>
          <w:szCs w:val="22"/>
          <w:lang w:eastAsia="zh-CN"/>
        </w:rPr>
        <w:t xml:space="preserve"> the prohibition of arbitrary deprivation of nationality,</w:t>
      </w:r>
      <w:r w:rsidR="00731370" w:rsidRPr="00F95325">
        <w:rPr>
          <w:rStyle w:val="FootnoteReference"/>
          <w:rFonts w:asciiTheme="majorHAnsi" w:eastAsia="Times New Roman" w:hAnsiTheme="majorHAnsi" w:cstheme="majorHAnsi"/>
          <w:sz w:val="22"/>
          <w:szCs w:val="22"/>
          <w:lang w:eastAsia="zh-CN"/>
        </w:rPr>
        <w:footnoteReference w:id="32"/>
      </w:r>
      <w:r w:rsidR="00731370" w:rsidRPr="00F95325">
        <w:rPr>
          <w:rFonts w:asciiTheme="majorHAnsi" w:hAnsiTheme="majorHAnsi" w:cstheme="majorHAnsi"/>
          <w:sz w:val="22"/>
          <w:szCs w:val="22"/>
          <w:lang w:eastAsia="zh-CN"/>
        </w:rPr>
        <w:t xml:space="preserve"> the prohibition of discrimination</w:t>
      </w:r>
      <w:r w:rsidR="00731370" w:rsidRPr="00F95325">
        <w:rPr>
          <w:rStyle w:val="FootnoteReference"/>
          <w:rFonts w:asciiTheme="majorHAnsi" w:eastAsia="Times New Roman" w:hAnsiTheme="majorHAnsi" w:cstheme="majorHAnsi"/>
          <w:sz w:val="22"/>
          <w:szCs w:val="22"/>
          <w:lang w:eastAsia="zh-CN"/>
        </w:rPr>
        <w:footnoteReference w:id="33"/>
      </w:r>
      <w:r w:rsidR="00731370" w:rsidRPr="00F95325">
        <w:rPr>
          <w:rFonts w:asciiTheme="majorHAnsi" w:hAnsiTheme="majorHAnsi" w:cstheme="majorHAnsi"/>
          <w:sz w:val="22"/>
          <w:szCs w:val="22"/>
          <w:lang w:eastAsia="zh-CN"/>
        </w:rPr>
        <w:t xml:space="preserve"> and the obligation to avoid statelessness.</w:t>
      </w:r>
      <w:r w:rsidR="00731370" w:rsidRPr="00F95325">
        <w:rPr>
          <w:rStyle w:val="FootnoteReference"/>
          <w:rFonts w:asciiTheme="majorHAnsi" w:eastAsia="Times New Roman" w:hAnsiTheme="majorHAnsi" w:cstheme="majorHAnsi"/>
          <w:sz w:val="22"/>
          <w:szCs w:val="22"/>
          <w:lang w:eastAsia="zh-CN"/>
        </w:rPr>
        <w:footnoteReference w:id="34"/>
      </w:r>
    </w:p>
    <w:p w14:paraId="196F4B41" w14:textId="77777777" w:rsidR="00D572D2" w:rsidRPr="00F95325" w:rsidRDefault="00D572D2" w:rsidP="00024322">
      <w:pPr>
        <w:pStyle w:val="ListParagraph"/>
        <w:widowControl w:val="0"/>
        <w:ind w:left="501"/>
        <w:jc w:val="both"/>
        <w:rPr>
          <w:rFonts w:asciiTheme="majorHAnsi" w:eastAsia="Times New Roman" w:hAnsiTheme="majorHAnsi" w:cs="Times New Roman"/>
          <w:sz w:val="22"/>
          <w:szCs w:val="22"/>
          <w:lang w:eastAsia="zh-CN"/>
        </w:rPr>
      </w:pPr>
    </w:p>
    <w:p w14:paraId="79BA6829" w14:textId="5E68B8E8" w:rsidR="00D572D2" w:rsidRPr="00F95325" w:rsidRDefault="00EC10EC" w:rsidP="007D3FB2">
      <w:pPr>
        <w:pStyle w:val="ListParagraph"/>
        <w:widowControl w:val="0"/>
        <w:numPr>
          <w:ilvl w:val="0"/>
          <w:numId w:val="1"/>
        </w:numPr>
        <w:jc w:val="both"/>
        <w:rPr>
          <w:rFonts w:asciiTheme="majorHAnsi" w:eastAsia="Times New Roman" w:hAnsiTheme="majorHAnsi" w:cstheme="majorHAnsi"/>
          <w:sz w:val="22"/>
          <w:szCs w:val="22"/>
          <w:lang w:eastAsia="zh-CN"/>
        </w:rPr>
      </w:pPr>
      <w:r w:rsidRPr="00F95325">
        <w:rPr>
          <w:rFonts w:asciiTheme="majorHAnsi" w:eastAsia="Times New Roman" w:hAnsiTheme="majorHAnsi" w:cstheme="majorHAnsi"/>
          <w:sz w:val="22"/>
          <w:szCs w:val="22"/>
          <w:lang w:eastAsia="zh-CN"/>
        </w:rPr>
        <w:t>The Belgian Nationality Code provide</w:t>
      </w:r>
      <w:r w:rsidR="00030ABB" w:rsidRPr="00F95325">
        <w:rPr>
          <w:rFonts w:asciiTheme="majorHAnsi" w:eastAsia="Times New Roman" w:hAnsiTheme="majorHAnsi" w:cstheme="majorHAnsi"/>
          <w:sz w:val="22"/>
          <w:szCs w:val="22"/>
          <w:lang w:eastAsia="zh-CN"/>
        </w:rPr>
        <w:t>s</w:t>
      </w:r>
      <w:r w:rsidRPr="00F95325">
        <w:rPr>
          <w:rFonts w:asciiTheme="majorHAnsi" w:eastAsia="Times New Roman" w:hAnsiTheme="majorHAnsi" w:cstheme="majorHAnsi"/>
          <w:sz w:val="22"/>
          <w:szCs w:val="22"/>
          <w:lang w:eastAsia="zh-CN"/>
        </w:rPr>
        <w:t xml:space="preserve"> for deprivation of nationality on the ground</w:t>
      </w:r>
      <w:r w:rsidR="00E2651E" w:rsidRPr="00F95325">
        <w:rPr>
          <w:rFonts w:asciiTheme="majorHAnsi" w:eastAsia="Times New Roman" w:hAnsiTheme="majorHAnsi" w:cstheme="majorHAnsi"/>
          <w:sz w:val="22"/>
          <w:szCs w:val="22"/>
          <w:lang w:eastAsia="zh-CN"/>
        </w:rPr>
        <w:t xml:space="preserve">s of </w:t>
      </w:r>
      <w:r w:rsidRPr="00F95325">
        <w:rPr>
          <w:rFonts w:asciiTheme="majorHAnsi" w:eastAsia="Times New Roman" w:hAnsiTheme="majorHAnsi" w:cstheme="majorHAnsi"/>
          <w:sz w:val="22"/>
          <w:szCs w:val="22"/>
          <w:lang w:eastAsia="zh-CN"/>
        </w:rPr>
        <w:t xml:space="preserve">serious violation of duties as </w:t>
      </w:r>
      <w:r w:rsidR="002D7792">
        <w:rPr>
          <w:rFonts w:asciiTheme="majorHAnsi" w:eastAsia="Times New Roman" w:hAnsiTheme="majorHAnsi" w:cstheme="majorHAnsi"/>
          <w:sz w:val="22"/>
          <w:szCs w:val="22"/>
          <w:lang w:eastAsia="zh-CN"/>
        </w:rPr>
        <w:t xml:space="preserve">a </w:t>
      </w:r>
      <w:r w:rsidRPr="00F95325">
        <w:rPr>
          <w:rFonts w:asciiTheme="majorHAnsi" w:eastAsia="Times New Roman" w:hAnsiTheme="majorHAnsi" w:cstheme="majorHAnsi"/>
          <w:sz w:val="22"/>
          <w:szCs w:val="22"/>
          <w:lang w:eastAsia="zh-CN"/>
        </w:rPr>
        <w:t>Belgian national</w:t>
      </w:r>
      <w:r w:rsidR="00E2651E" w:rsidRPr="00F95325">
        <w:rPr>
          <w:rFonts w:asciiTheme="majorHAnsi" w:eastAsia="Times New Roman" w:hAnsiTheme="majorHAnsi" w:cstheme="majorHAnsi"/>
          <w:sz w:val="22"/>
          <w:szCs w:val="22"/>
          <w:lang w:eastAsia="zh-CN"/>
        </w:rPr>
        <w:t xml:space="preserve">, </w:t>
      </w:r>
      <w:r w:rsidRPr="00F95325">
        <w:rPr>
          <w:rFonts w:asciiTheme="majorHAnsi" w:eastAsia="Times New Roman" w:hAnsiTheme="majorHAnsi" w:cstheme="majorHAnsi"/>
          <w:sz w:val="22"/>
          <w:szCs w:val="22"/>
          <w:lang w:eastAsia="zh-CN"/>
        </w:rPr>
        <w:t>conviction for certain crimes</w:t>
      </w:r>
      <w:r w:rsidR="000D73AF" w:rsidRPr="00F95325">
        <w:rPr>
          <w:rFonts w:asciiTheme="majorHAnsi" w:eastAsia="Times New Roman" w:hAnsiTheme="majorHAnsi" w:cstheme="majorHAnsi"/>
          <w:sz w:val="22"/>
          <w:szCs w:val="22"/>
          <w:lang w:eastAsia="zh-CN"/>
        </w:rPr>
        <w:t>,</w:t>
      </w:r>
      <w:r w:rsidRPr="00F95325">
        <w:rPr>
          <w:rFonts w:asciiTheme="majorHAnsi" w:eastAsia="Times New Roman" w:hAnsiTheme="majorHAnsi" w:cstheme="majorHAnsi"/>
          <w:sz w:val="22"/>
          <w:szCs w:val="22"/>
          <w:lang w:eastAsia="zh-CN"/>
        </w:rPr>
        <w:t xml:space="preserve"> </w:t>
      </w:r>
      <w:r w:rsidR="005B7050" w:rsidRPr="00F95325">
        <w:rPr>
          <w:rFonts w:asciiTheme="majorHAnsi" w:eastAsia="Times New Roman" w:hAnsiTheme="majorHAnsi" w:cstheme="majorHAnsi"/>
          <w:sz w:val="22"/>
          <w:szCs w:val="22"/>
          <w:lang w:eastAsia="zh-CN"/>
        </w:rPr>
        <w:t xml:space="preserve">fraud, </w:t>
      </w:r>
      <w:r w:rsidR="00B87B70" w:rsidRPr="00F95325">
        <w:rPr>
          <w:rFonts w:asciiTheme="majorHAnsi" w:eastAsia="Times New Roman" w:hAnsiTheme="majorHAnsi" w:cstheme="majorHAnsi"/>
          <w:sz w:val="22"/>
          <w:szCs w:val="22"/>
          <w:lang w:eastAsia="zh-CN"/>
        </w:rPr>
        <w:t xml:space="preserve">or </w:t>
      </w:r>
      <w:r w:rsidRPr="00F95325">
        <w:rPr>
          <w:rFonts w:asciiTheme="majorHAnsi" w:eastAsia="Times New Roman" w:hAnsiTheme="majorHAnsi" w:cstheme="majorHAnsi"/>
          <w:sz w:val="22"/>
          <w:szCs w:val="22"/>
          <w:lang w:eastAsia="zh-CN"/>
        </w:rPr>
        <w:t xml:space="preserve">after </w:t>
      </w:r>
      <w:r w:rsidR="00A2339A" w:rsidRPr="00F95325">
        <w:rPr>
          <w:rFonts w:asciiTheme="majorHAnsi" w:eastAsia="Times New Roman" w:hAnsiTheme="majorHAnsi" w:cstheme="majorHAnsi"/>
          <w:sz w:val="22"/>
          <w:szCs w:val="22"/>
          <w:lang w:eastAsia="zh-CN"/>
        </w:rPr>
        <w:t xml:space="preserve">the </w:t>
      </w:r>
      <w:r w:rsidRPr="00F95325">
        <w:rPr>
          <w:rFonts w:asciiTheme="majorHAnsi" w:eastAsia="Times New Roman" w:hAnsiTheme="majorHAnsi" w:cstheme="majorHAnsi"/>
          <w:sz w:val="22"/>
          <w:szCs w:val="22"/>
          <w:lang w:eastAsia="zh-CN"/>
        </w:rPr>
        <w:t xml:space="preserve">annulment of </w:t>
      </w:r>
      <w:r w:rsidR="00A2339A" w:rsidRPr="00F95325">
        <w:rPr>
          <w:rFonts w:asciiTheme="majorHAnsi" w:eastAsia="Times New Roman" w:hAnsiTheme="majorHAnsi" w:cstheme="majorHAnsi"/>
          <w:sz w:val="22"/>
          <w:szCs w:val="22"/>
          <w:lang w:eastAsia="zh-CN"/>
        </w:rPr>
        <w:t xml:space="preserve">a </w:t>
      </w:r>
      <w:r w:rsidRPr="00F95325">
        <w:rPr>
          <w:rFonts w:asciiTheme="majorHAnsi" w:eastAsia="Times New Roman" w:hAnsiTheme="majorHAnsi" w:cstheme="majorHAnsi"/>
          <w:sz w:val="22"/>
          <w:szCs w:val="22"/>
          <w:lang w:eastAsia="zh-CN"/>
        </w:rPr>
        <w:t xml:space="preserve">marriage of convenience if Belgian nationality </w:t>
      </w:r>
      <w:r w:rsidR="00A2339A" w:rsidRPr="00F95325">
        <w:rPr>
          <w:rFonts w:asciiTheme="majorHAnsi" w:eastAsia="Times New Roman" w:hAnsiTheme="majorHAnsi" w:cstheme="majorHAnsi"/>
          <w:sz w:val="22"/>
          <w:szCs w:val="22"/>
          <w:lang w:eastAsia="zh-CN"/>
        </w:rPr>
        <w:t xml:space="preserve">was </w:t>
      </w:r>
      <w:r w:rsidRPr="00F95325">
        <w:rPr>
          <w:rFonts w:asciiTheme="majorHAnsi" w:eastAsia="Times New Roman" w:hAnsiTheme="majorHAnsi" w:cstheme="majorHAnsi"/>
          <w:sz w:val="22"/>
          <w:szCs w:val="22"/>
          <w:lang w:eastAsia="zh-CN"/>
        </w:rPr>
        <w:t>acquired through marriage</w:t>
      </w:r>
      <w:r w:rsidR="00B87B70" w:rsidRPr="00F95325">
        <w:rPr>
          <w:rFonts w:asciiTheme="majorHAnsi" w:eastAsia="Times New Roman" w:hAnsiTheme="majorHAnsi" w:cstheme="majorHAnsi"/>
          <w:sz w:val="22"/>
          <w:szCs w:val="22"/>
          <w:lang w:eastAsia="zh-CN"/>
        </w:rPr>
        <w:t>.</w:t>
      </w:r>
      <w:r w:rsidR="007D62AC" w:rsidRPr="00F95325">
        <w:rPr>
          <w:rStyle w:val="FootnoteReference"/>
          <w:rFonts w:asciiTheme="majorHAnsi" w:eastAsia="Times New Roman" w:hAnsiTheme="majorHAnsi" w:cstheme="majorHAnsi"/>
          <w:sz w:val="22"/>
          <w:szCs w:val="22"/>
          <w:lang w:eastAsia="zh-CN"/>
        </w:rPr>
        <w:footnoteReference w:id="35"/>
      </w:r>
      <w:r w:rsidR="00B87B70" w:rsidRPr="00F95325">
        <w:rPr>
          <w:rFonts w:asciiTheme="majorHAnsi" w:eastAsia="Times New Roman" w:hAnsiTheme="majorHAnsi" w:cstheme="majorHAnsi"/>
          <w:sz w:val="22"/>
          <w:szCs w:val="22"/>
          <w:lang w:eastAsia="zh-CN"/>
        </w:rPr>
        <w:t xml:space="preserve"> </w:t>
      </w:r>
    </w:p>
    <w:p w14:paraId="4C6EAD69" w14:textId="77777777" w:rsidR="00D572D2" w:rsidRPr="00F95325" w:rsidRDefault="00D572D2" w:rsidP="00024322">
      <w:pPr>
        <w:pStyle w:val="ListParagraph"/>
        <w:widowControl w:val="0"/>
        <w:jc w:val="both"/>
        <w:rPr>
          <w:rFonts w:asciiTheme="majorHAnsi" w:eastAsia="Times New Roman" w:hAnsiTheme="majorHAnsi" w:cstheme="majorHAnsi"/>
          <w:sz w:val="22"/>
          <w:szCs w:val="22"/>
          <w:lang w:eastAsia="zh-CN"/>
        </w:rPr>
      </w:pPr>
    </w:p>
    <w:p w14:paraId="4591DE7B" w14:textId="796482E2" w:rsidR="000422EC" w:rsidRPr="00F95325" w:rsidRDefault="000F6280" w:rsidP="007D3FB2">
      <w:pPr>
        <w:pStyle w:val="ListParagraph"/>
        <w:widowControl w:val="0"/>
        <w:numPr>
          <w:ilvl w:val="0"/>
          <w:numId w:val="1"/>
        </w:numPr>
        <w:jc w:val="both"/>
        <w:rPr>
          <w:rFonts w:asciiTheme="majorHAnsi" w:hAnsiTheme="majorHAnsi" w:cstheme="majorHAnsi"/>
          <w:sz w:val="22"/>
          <w:szCs w:val="22"/>
          <w:lang w:eastAsia="zh-CN"/>
        </w:rPr>
      </w:pPr>
      <w:r w:rsidRPr="00F95325">
        <w:rPr>
          <w:rFonts w:asciiTheme="majorHAnsi" w:eastAsia="Times New Roman" w:hAnsiTheme="majorHAnsi" w:cs="Times New Roman"/>
          <w:sz w:val="22"/>
          <w:szCs w:val="22"/>
          <w:lang w:eastAsia="zh-CN"/>
        </w:rPr>
        <w:t>S</w:t>
      </w:r>
      <w:r w:rsidR="00647D08" w:rsidRPr="00F95325">
        <w:rPr>
          <w:rFonts w:asciiTheme="majorHAnsi" w:eastAsia="Times New Roman" w:hAnsiTheme="majorHAnsi" w:cs="Times New Roman"/>
          <w:sz w:val="22"/>
          <w:szCs w:val="22"/>
          <w:lang w:eastAsia="zh-CN"/>
        </w:rPr>
        <w:t xml:space="preserve">ince January 2013, </w:t>
      </w:r>
      <w:r w:rsidR="00A52616" w:rsidRPr="00F95325">
        <w:rPr>
          <w:rFonts w:asciiTheme="majorHAnsi" w:eastAsia="Times New Roman" w:hAnsiTheme="majorHAnsi" w:cs="Times New Roman"/>
          <w:sz w:val="22"/>
          <w:szCs w:val="22"/>
          <w:lang w:eastAsia="zh-CN"/>
        </w:rPr>
        <w:t>Belgian nationality can be revoked</w:t>
      </w:r>
      <w:r w:rsidR="00647D08" w:rsidRPr="00F95325">
        <w:rPr>
          <w:rFonts w:asciiTheme="majorHAnsi" w:eastAsia="Times New Roman" w:hAnsiTheme="majorHAnsi" w:cs="Times New Roman"/>
          <w:sz w:val="22"/>
          <w:szCs w:val="22"/>
          <w:lang w:eastAsia="zh-CN"/>
        </w:rPr>
        <w:t xml:space="preserve"> if the person concerned has been convicted of one of the crimes included in a list of the most serious crimes stipulated in Article 23/1 (1) of the Belgian Nationality Act.</w:t>
      </w:r>
      <w:r w:rsidR="00647D08" w:rsidRPr="00F95325">
        <w:rPr>
          <w:rFonts w:asciiTheme="majorHAnsi" w:hAnsiTheme="majorHAnsi"/>
          <w:sz w:val="22"/>
          <w:szCs w:val="22"/>
        </w:rPr>
        <w:t xml:space="preserve"> </w:t>
      </w:r>
      <w:r w:rsidR="00647D08" w:rsidRPr="00F95325">
        <w:rPr>
          <w:rFonts w:asciiTheme="majorHAnsi" w:eastAsia="Times New Roman" w:hAnsiTheme="majorHAnsi" w:cs="Times New Roman"/>
          <w:sz w:val="22"/>
          <w:szCs w:val="22"/>
          <w:lang w:eastAsia="zh-CN"/>
        </w:rPr>
        <w:t>The list includes</w:t>
      </w:r>
      <w:r w:rsidR="00AC312A" w:rsidRPr="00F95325">
        <w:rPr>
          <w:rFonts w:asciiTheme="majorHAnsi" w:eastAsia="Times New Roman" w:hAnsiTheme="majorHAnsi" w:cs="Times New Roman"/>
          <w:sz w:val="22"/>
          <w:szCs w:val="22"/>
          <w:lang w:eastAsia="zh-CN"/>
        </w:rPr>
        <w:t>,</w:t>
      </w:r>
      <w:r w:rsidR="00647D08" w:rsidRPr="00F95325">
        <w:rPr>
          <w:rFonts w:asciiTheme="majorHAnsi" w:eastAsia="Times New Roman" w:hAnsiTheme="majorHAnsi" w:cs="Times New Roman"/>
          <w:sz w:val="22"/>
          <w:szCs w:val="22"/>
          <w:lang w:eastAsia="zh-CN"/>
        </w:rPr>
        <w:t xml:space="preserve"> among others</w:t>
      </w:r>
      <w:r w:rsidR="00E32E52" w:rsidRPr="00F95325">
        <w:rPr>
          <w:rFonts w:asciiTheme="majorHAnsi" w:eastAsia="Times New Roman" w:hAnsiTheme="majorHAnsi" w:cs="Times New Roman"/>
          <w:sz w:val="22"/>
          <w:szCs w:val="22"/>
          <w:lang w:eastAsia="zh-CN"/>
        </w:rPr>
        <w:t>,</w:t>
      </w:r>
      <w:r w:rsidR="00647D08" w:rsidRPr="00F95325">
        <w:rPr>
          <w:rFonts w:asciiTheme="majorHAnsi" w:eastAsia="Times New Roman" w:hAnsiTheme="majorHAnsi" w:cs="Times New Roman"/>
          <w:sz w:val="22"/>
          <w:szCs w:val="22"/>
          <w:lang w:eastAsia="zh-CN"/>
        </w:rPr>
        <w:t xml:space="preserve"> </w:t>
      </w:r>
      <w:r w:rsidR="00BE4028" w:rsidRPr="00F95325">
        <w:rPr>
          <w:rFonts w:asciiTheme="majorHAnsi" w:eastAsia="Times New Roman" w:hAnsiTheme="majorHAnsi" w:cs="Times New Roman"/>
          <w:sz w:val="22"/>
          <w:szCs w:val="22"/>
          <w:lang w:eastAsia="zh-CN"/>
        </w:rPr>
        <w:t xml:space="preserve">crimes linked to the violation of the domestic and international security of the State </w:t>
      </w:r>
      <w:r w:rsidR="00AC312A" w:rsidRPr="00F95325">
        <w:rPr>
          <w:rFonts w:asciiTheme="majorHAnsi" w:eastAsia="Times New Roman" w:hAnsiTheme="majorHAnsi" w:cs="Times New Roman"/>
          <w:sz w:val="22"/>
          <w:szCs w:val="22"/>
          <w:lang w:eastAsia="zh-CN"/>
        </w:rPr>
        <w:t>(</w:t>
      </w:r>
      <w:r w:rsidR="00BE4028" w:rsidRPr="00F95325">
        <w:rPr>
          <w:rFonts w:asciiTheme="majorHAnsi" w:eastAsia="Times New Roman" w:hAnsiTheme="majorHAnsi" w:cs="Times New Roman"/>
          <w:sz w:val="22"/>
          <w:szCs w:val="22"/>
          <w:lang w:eastAsia="zh-CN"/>
        </w:rPr>
        <w:t>which includes terrorism</w:t>
      </w:r>
      <w:r w:rsidR="00AC312A" w:rsidRPr="00F95325">
        <w:rPr>
          <w:rFonts w:asciiTheme="majorHAnsi" w:eastAsia="Times New Roman" w:hAnsiTheme="majorHAnsi" w:cs="Times New Roman"/>
          <w:sz w:val="22"/>
          <w:szCs w:val="22"/>
          <w:lang w:eastAsia="zh-CN"/>
        </w:rPr>
        <w:t>)</w:t>
      </w:r>
      <w:r w:rsidR="00BE4028" w:rsidRPr="00F95325">
        <w:rPr>
          <w:rFonts w:asciiTheme="majorHAnsi" w:eastAsia="Times New Roman" w:hAnsiTheme="majorHAnsi" w:cs="Times New Roman"/>
          <w:sz w:val="22"/>
          <w:szCs w:val="22"/>
          <w:lang w:eastAsia="zh-CN"/>
        </w:rPr>
        <w:t xml:space="preserve">, </w:t>
      </w:r>
      <w:r w:rsidR="00647D08" w:rsidRPr="00F95325">
        <w:rPr>
          <w:rFonts w:asciiTheme="majorHAnsi" w:eastAsia="Times New Roman" w:hAnsiTheme="majorHAnsi" w:cs="Times New Roman"/>
          <w:sz w:val="22"/>
          <w:szCs w:val="22"/>
          <w:lang w:eastAsia="zh-CN"/>
        </w:rPr>
        <w:t xml:space="preserve">attempts to kill the King or overthrow the </w:t>
      </w:r>
      <w:r w:rsidR="002D7792">
        <w:rPr>
          <w:rFonts w:asciiTheme="majorHAnsi" w:eastAsia="Times New Roman" w:hAnsiTheme="majorHAnsi" w:cs="Times New Roman"/>
          <w:sz w:val="22"/>
          <w:szCs w:val="22"/>
          <w:lang w:eastAsia="zh-CN"/>
        </w:rPr>
        <w:t>G</w:t>
      </w:r>
      <w:r w:rsidR="00647D08" w:rsidRPr="00F95325">
        <w:rPr>
          <w:rFonts w:asciiTheme="majorHAnsi" w:eastAsia="Times New Roman" w:hAnsiTheme="majorHAnsi" w:cs="Times New Roman"/>
          <w:sz w:val="22"/>
          <w:szCs w:val="22"/>
          <w:lang w:eastAsia="zh-CN"/>
        </w:rPr>
        <w:t>overnment, migrant smuggling</w:t>
      </w:r>
      <w:r w:rsidR="00902A27">
        <w:rPr>
          <w:rFonts w:asciiTheme="majorHAnsi" w:eastAsia="Times New Roman" w:hAnsiTheme="majorHAnsi" w:cs="Times New Roman"/>
          <w:sz w:val="22"/>
          <w:szCs w:val="22"/>
          <w:lang w:eastAsia="zh-CN"/>
        </w:rPr>
        <w:t>,</w:t>
      </w:r>
      <w:r w:rsidR="00647D08" w:rsidRPr="00F95325">
        <w:rPr>
          <w:rFonts w:asciiTheme="majorHAnsi" w:eastAsia="Times New Roman" w:hAnsiTheme="majorHAnsi" w:cs="Times New Roman"/>
          <w:sz w:val="22"/>
          <w:szCs w:val="22"/>
          <w:lang w:eastAsia="zh-CN"/>
        </w:rPr>
        <w:t xml:space="preserve"> and high treason. </w:t>
      </w:r>
      <w:r w:rsidR="00B87B70" w:rsidRPr="00F95325">
        <w:rPr>
          <w:rFonts w:asciiTheme="majorHAnsi" w:eastAsia="Times New Roman" w:hAnsiTheme="majorHAnsi" w:cstheme="majorHAnsi"/>
          <w:sz w:val="22"/>
          <w:szCs w:val="22"/>
          <w:lang w:eastAsia="zh-CN"/>
        </w:rPr>
        <w:t>Article 23</w:t>
      </w:r>
      <w:r w:rsidR="00647D08" w:rsidRPr="00F95325">
        <w:rPr>
          <w:rFonts w:asciiTheme="majorHAnsi" w:eastAsia="Times New Roman" w:hAnsiTheme="majorHAnsi" w:cstheme="majorHAnsi"/>
          <w:sz w:val="22"/>
          <w:szCs w:val="22"/>
          <w:lang w:eastAsia="zh-CN"/>
        </w:rPr>
        <w:t>/2</w:t>
      </w:r>
      <w:r w:rsidR="00B87B70" w:rsidRPr="00F95325">
        <w:rPr>
          <w:rFonts w:asciiTheme="majorHAnsi" w:eastAsia="Times New Roman" w:hAnsiTheme="majorHAnsi" w:cstheme="majorHAnsi"/>
          <w:sz w:val="22"/>
          <w:szCs w:val="22"/>
          <w:lang w:eastAsia="zh-CN"/>
        </w:rPr>
        <w:t xml:space="preserve"> </w:t>
      </w:r>
      <w:r w:rsidR="00D572D2" w:rsidRPr="00F95325">
        <w:rPr>
          <w:rFonts w:asciiTheme="majorHAnsi" w:eastAsia="Times New Roman" w:hAnsiTheme="majorHAnsi" w:cstheme="majorHAnsi"/>
          <w:sz w:val="22"/>
          <w:szCs w:val="22"/>
          <w:lang w:eastAsia="zh-CN"/>
        </w:rPr>
        <w:t xml:space="preserve">of the </w:t>
      </w:r>
      <w:r w:rsidR="005B7050" w:rsidRPr="00F95325">
        <w:rPr>
          <w:rFonts w:asciiTheme="majorHAnsi" w:eastAsia="Times New Roman" w:hAnsiTheme="majorHAnsi" w:cstheme="majorHAnsi"/>
          <w:sz w:val="22"/>
          <w:szCs w:val="22"/>
          <w:lang w:eastAsia="zh-CN"/>
        </w:rPr>
        <w:t>Belgian Nationality</w:t>
      </w:r>
      <w:r w:rsidR="00D572D2" w:rsidRPr="00F95325">
        <w:rPr>
          <w:rFonts w:asciiTheme="majorHAnsi" w:eastAsia="Times New Roman" w:hAnsiTheme="majorHAnsi" w:cstheme="majorHAnsi"/>
          <w:sz w:val="22"/>
          <w:szCs w:val="22"/>
          <w:lang w:eastAsia="zh-CN"/>
        </w:rPr>
        <w:t xml:space="preserve"> Act </w:t>
      </w:r>
      <w:r w:rsidR="00A52616" w:rsidRPr="00F95325">
        <w:rPr>
          <w:rFonts w:asciiTheme="majorHAnsi" w:eastAsia="Times New Roman" w:hAnsiTheme="majorHAnsi" w:cstheme="majorHAnsi"/>
          <w:sz w:val="22"/>
          <w:szCs w:val="22"/>
          <w:lang w:eastAsia="zh-CN"/>
        </w:rPr>
        <w:t xml:space="preserve">further </w:t>
      </w:r>
      <w:r w:rsidR="00E32E52" w:rsidRPr="00F95325">
        <w:rPr>
          <w:rFonts w:asciiTheme="majorHAnsi" w:eastAsia="Times New Roman" w:hAnsiTheme="majorHAnsi" w:cstheme="majorHAnsi"/>
          <w:sz w:val="22"/>
          <w:szCs w:val="22"/>
          <w:lang w:eastAsia="zh-CN"/>
        </w:rPr>
        <w:t xml:space="preserve">expands </w:t>
      </w:r>
      <w:r w:rsidR="00A52616" w:rsidRPr="00F95325">
        <w:rPr>
          <w:rFonts w:asciiTheme="majorHAnsi" w:eastAsia="Times New Roman" w:hAnsiTheme="majorHAnsi" w:cstheme="majorHAnsi"/>
          <w:sz w:val="22"/>
          <w:szCs w:val="22"/>
          <w:lang w:eastAsia="zh-CN"/>
        </w:rPr>
        <w:t xml:space="preserve">deprivation of nationality powers by regulating </w:t>
      </w:r>
      <w:r w:rsidR="007D62AC" w:rsidRPr="00F95325">
        <w:rPr>
          <w:rFonts w:asciiTheme="majorHAnsi" w:eastAsia="Times New Roman" w:hAnsiTheme="majorHAnsi" w:cstheme="majorHAnsi"/>
          <w:sz w:val="22"/>
          <w:szCs w:val="22"/>
          <w:lang w:eastAsia="zh-CN"/>
        </w:rPr>
        <w:t>deprivation of nationality following a</w:t>
      </w:r>
      <w:r w:rsidR="00A2339A" w:rsidRPr="00F95325">
        <w:rPr>
          <w:rFonts w:asciiTheme="majorHAnsi" w:eastAsia="Times New Roman" w:hAnsiTheme="majorHAnsi" w:cstheme="majorHAnsi"/>
          <w:sz w:val="22"/>
          <w:szCs w:val="22"/>
          <w:lang w:eastAsia="zh-CN"/>
        </w:rPr>
        <w:t xml:space="preserve"> </w:t>
      </w:r>
      <w:r w:rsidR="00EC10EC" w:rsidRPr="00F95325">
        <w:rPr>
          <w:rFonts w:asciiTheme="majorHAnsi" w:eastAsia="Times New Roman" w:hAnsiTheme="majorHAnsi" w:cstheme="majorHAnsi"/>
          <w:sz w:val="22"/>
          <w:szCs w:val="22"/>
          <w:lang w:eastAsia="zh-CN"/>
        </w:rPr>
        <w:t xml:space="preserve">conviction for a terrorist </w:t>
      </w:r>
      <w:r w:rsidR="00AD5DF4" w:rsidRPr="00F95325">
        <w:rPr>
          <w:rFonts w:asciiTheme="majorHAnsi" w:eastAsia="Times New Roman" w:hAnsiTheme="majorHAnsi" w:cstheme="majorHAnsi"/>
          <w:sz w:val="22"/>
          <w:szCs w:val="22"/>
          <w:lang w:eastAsia="zh-CN"/>
        </w:rPr>
        <w:t xml:space="preserve">offence </w:t>
      </w:r>
      <w:r w:rsidR="00EC10EC" w:rsidRPr="00F95325">
        <w:rPr>
          <w:rFonts w:asciiTheme="majorHAnsi" w:eastAsia="Times New Roman" w:hAnsiTheme="majorHAnsi" w:cstheme="majorHAnsi"/>
          <w:sz w:val="22"/>
          <w:szCs w:val="22"/>
          <w:lang w:eastAsia="zh-CN"/>
        </w:rPr>
        <w:t>punish</w:t>
      </w:r>
      <w:r w:rsidR="00C3790E" w:rsidRPr="00F95325">
        <w:rPr>
          <w:rFonts w:asciiTheme="majorHAnsi" w:eastAsia="Times New Roman" w:hAnsiTheme="majorHAnsi" w:cstheme="majorHAnsi"/>
          <w:sz w:val="22"/>
          <w:szCs w:val="22"/>
          <w:lang w:eastAsia="zh-CN"/>
        </w:rPr>
        <w:t>ed</w:t>
      </w:r>
      <w:r w:rsidR="00EC10EC" w:rsidRPr="00F95325">
        <w:rPr>
          <w:rFonts w:asciiTheme="majorHAnsi" w:eastAsia="Times New Roman" w:hAnsiTheme="majorHAnsi" w:cstheme="majorHAnsi"/>
          <w:sz w:val="22"/>
          <w:szCs w:val="22"/>
          <w:lang w:eastAsia="zh-CN"/>
        </w:rPr>
        <w:t xml:space="preserve"> by at least </w:t>
      </w:r>
      <w:r w:rsidR="00765230" w:rsidRPr="00F95325">
        <w:rPr>
          <w:rFonts w:asciiTheme="majorHAnsi" w:eastAsia="Times New Roman" w:hAnsiTheme="majorHAnsi" w:cstheme="majorHAnsi"/>
          <w:sz w:val="22"/>
          <w:szCs w:val="22"/>
          <w:lang w:eastAsia="zh-CN"/>
        </w:rPr>
        <w:t>five</w:t>
      </w:r>
      <w:r w:rsidR="00EC10EC" w:rsidRPr="00F95325">
        <w:rPr>
          <w:rFonts w:asciiTheme="majorHAnsi" w:eastAsia="Times New Roman" w:hAnsiTheme="majorHAnsi" w:cstheme="majorHAnsi"/>
          <w:sz w:val="22"/>
          <w:szCs w:val="22"/>
          <w:lang w:eastAsia="zh-CN"/>
        </w:rPr>
        <w:t xml:space="preserve"> years of imprisonment</w:t>
      </w:r>
      <w:r w:rsidR="00C3790E" w:rsidRPr="00F95325">
        <w:rPr>
          <w:rFonts w:asciiTheme="majorHAnsi" w:eastAsia="Times New Roman" w:hAnsiTheme="majorHAnsi" w:cstheme="majorHAnsi"/>
          <w:sz w:val="22"/>
          <w:szCs w:val="22"/>
          <w:lang w:eastAsia="zh-CN"/>
        </w:rPr>
        <w:t>.</w:t>
      </w:r>
      <w:r w:rsidR="0014168B" w:rsidRPr="00F95325">
        <w:rPr>
          <w:rStyle w:val="FootnoteReference"/>
          <w:rFonts w:asciiTheme="majorHAnsi" w:eastAsia="Times New Roman" w:hAnsiTheme="majorHAnsi" w:cstheme="majorHAnsi"/>
          <w:sz w:val="22"/>
          <w:szCs w:val="22"/>
          <w:lang w:eastAsia="zh-CN"/>
        </w:rPr>
        <w:footnoteReference w:id="36"/>
      </w:r>
      <w:r w:rsidR="00C3790E" w:rsidRPr="00F95325">
        <w:rPr>
          <w:rFonts w:asciiTheme="majorHAnsi" w:eastAsia="Times New Roman" w:hAnsiTheme="majorHAnsi" w:cstheme="majorHAnsi"/>
          <w:sz w:val="22"/>
          <w:szCs w:val="22"/>
          <w:lang w:eastAsia="zh-CN"/>
        </w:rPr>
        <w:t xml:space="preserve"> </w:t>
      </w:r>
      <w:r w:rsidR="003E1F3F" w:rsidRPr="00F95325">
        <w:rPr>
          <w:rFonts w:asciiTheme="majorHAnsi" w:hAnsiTheme="majorHAnsi" w:cstheme="majorHAnsi"/>
          <w:sz w:val="22"/>
          <w:szCs w:val="22"/>
          <w:lang w:eastAsia="zh-CN"/>
        </w:rPr>
        <w:t xml:space="preserve">It should be taken into consideration that </w:t>
      </w:r>
      <w:r w:rsidR="003E1F3F" w:rsidRPr="00F95325">
        <w:rPr>
          <w:rFonts w:asciiTheme="majorHAnsi" w:eastAsia="Times New Roman" w:hAnsiTheme="majorHAnsi" w:cstheme="majorHAnsi"/>
          <w:sz w:val="22"/>
          <w:szCs w:val="22"/>
          <w:lang w:eastAsia="zh-CN"/>
        </w:rPr>
        <w:t>in and of itself, deprivation of nationality may cause severe mental suffering, as the identity of the person concerned has been taken away and that person is left in a state of uncertainty. It was recogni</w:t>
      </w:r>
      <w:r w:rsidR="001D5DF0" w:rsidRPr="00F95325">
        <w:rPr>
          <w:rFonts w:asciiTheme="majorHAnsi" w:eastAsia="Times New Roman" w:hAnsiTheme="majorHAnsi" w:cstheme="majorHAnsi"/>
          <w:sz w:val="22"/>
          <w:szCs w:val="22"/>
          <w:lang w:eastAsia="zh-CN"/>
        </w:rPr>
        <w:t>s</w:t>
      </w:r>
      <w:r w:rsidR="003E1F3F" w:rsidRPr="00F95325">
        <w:rPr>
          <w:rFonts w:asciiTheme="majorHAnsi" w:eastAsia="Times New Roman" w:hAnsiTheme="majorHAnsi" w:cstheme="majorHAnsi"/>
          <w:sz w:val="22"/>
          <w:szCs w:val="22"/>
          <w:lang w:eastAsia="zh-CN"/>
        </w:rPr>
        <w:t xml:space="preserve">ed by the </w:t>
      </w:r>
      <w:r w:rsidR="00B47C95" w:rsidRPr="00F95325">
        <w:rPr>
          <w:rFonts w:asciiTheme="majorHAnsi" w:eastAsia="Times New Roman" w:hAnsiTheme="majorHAnsi" w:cstheme="majorHAnsi"/>
          <w:sz w:val="22"/>
          <w:szCs w:val="22"/>
          <w:lang w:eastAsia="zh-CN"/>
        </w:rPr>
        <w:t>Inter-American Court of Human Rights</w:t>
      </w:r>
      <w:r w:rsidR="003E1F3F" w:rsidRPr="00F95325">
        <w:rPr>
          <w:rFonts w:asciiTheme="majorHAnsi" w:eastAsia="Times New Roman" w:hAnsiTheme="majorHAnsi" w:cstheme="majorHAnsi"/>
          <w:sz w:val="22"/>
          <w:szCs w:val="22"/>
          <w:lang w:eastAsia="zh-CN"/>
        </w:rPr>
        <w:t xml:space="preserve"> in Maritza Urrutia v. Guatemala that “the elements of the concept of torture [...] include methods to obliterate the personality of the victim in order to attain certain objectives, such as [...] intimidation or punishment</w:t>
      </w:r>
      <w:r w:rsidR="00707B56" w:rsidRPr="00F95325">
        <w:rPr>
          <w:rFonts w:asciiTheme="majorHAnsi" w:eastAsia="Times New Roman" w:hAnsiTheme="majorHAnsi" w:cstheme="majorHAnsi"/>
          <w:sz w:val="22"/>
          <w:szCs w:val="22"/>
          <w:lang w:eastAsia="zh-CN"/>
        </w:rPr>
        <w:t>”</w:t>
      </w:r>
      <w:r w:rsidR="003E1F3F" w:rsidRPr="00F95325">
        <w:rPr>
          <w:rFonts w:asciiTheme="majorHAnsi" w:eastAsia="Times New Roman" w:hAnsiTheme="majorHAnsi" w:cstheme="majorHAnsi"/>
          <w:sz w:val="22"/>
          <w:szCs w:val="22"/>
          <w:lang w:eastAsia="zh-CN"/>
        </w:rPr>
        <w:t>.</w:t>
      </w:r>
      <w:r w:rsidR="003E1F3F" w:rsidRPr="00F95325">
        <w:rPr>
          <w:rStyle w:val="FootnoteReference"/>
          <w:rFonts w:asciiTheme="majorHAnsi" w:eastAsia="Times New Roman" w:hAnsiTheme="majorHAnsi" w:cstheme="majorHAnsi"/>
          <w:sz w:val="22"/>
          <w:szCs w:val="22"/>
          <w:lang w:eastAsia="zh-CN"/>
        </w:rPr>
        <w:footnoteReference w:id="37"/>
      </w:r>
      <w:r w:rsidR="003E1F3F" w:rsidRPr="00F95325">
        <w:rPr>
          <w:rFonts w:asciiTheme="majorHAnsi" w:eastAsia="Times New Roman" w:hAnsiTheme="majorHAnsi" w:cstheme="majorHAnsi"/>
          <w:sz w:val="22"/>
          <w:szCs w:val="22"/>
          <w:lang w:eastAsia="zh-CN"/>
        </w:rPr>
        <w:t xml:space="preserve"> In Trop v. Dulles, the United States Supreme Court found that denaturali</w:t>
      </w:r>
      <w:r w:rsidR="00B47C95" w:rsidRPr="00F95325">
        <w:rPr>
          <w:rFonts w:asciiTheme="majorHAnsi" w:eastAsia="Times New Roman" w:hAnsiTheme="majorHAnsi" w:cstheme="majorHAnsi"/>
          <w:sz w:val="22"/>
          <w:szCs w:val="22"/>
          <w:lang w:eastAsia="zh-CN"/>
        </w:rPr>
        <w:t>s</w:t>
      </w:r>
      <w:r w:rsidR="003E1F3F" w:rsidRPr="00F95325">
        <w:rPr>
          <w:rFonts w:asciiTheme="majorHAnsi" w:eastAsia="Times New Roman" w:hAnsiTheme="majorHAnsi" w:cstheme="majorHAnsi"/>
          <w:sz w:val="22"/>
          <w:szCs w:val="22"/>
          <w:lang w:eastAsia="zh-CN"/>
        </w:rPr>
        <w:t>ation was cruel and unusual because “the punishment strips the citizen of his status in the national and international political community. […] In short, the expatriate has lost the right to have rights</w:t>
      </w:r>
      <w:r w:rsidR="00707B56" w:rsidRPr="00F95325">
        <w:rPr>
          <w:rFonts w:asciiTheme="majorHAnsi" w:eastAsia="Times New Roman" w:hAnsiTheme="majorHAnsi" w:cstheme="majorHAnsi"/>
          <w:sz w:val="22"/>
          <w:szCs w:val="22"/>
          <w:lang w:eastAsia="zh-CN"/>
        </w:rPr>
        <w:t>”</w:t>
      </w:r>
      <w:r w:rsidR="003E1F3F" w:rsidRPr="00F95325">
        <w:rPr>
          <w:rFonts w:asciiTheme="majorHAnsi" w:eastAsia="Times New Roman" w:hAnsiTheme="majorHAnsi" w:cstheme="majorHAnsi"/>
          <w:sz w:val="22"/>
          <w:szCs w:val="22"/>
          <w:lang w:eastAsia="zh-CN"/>
        </w:rPr>
        <w:t>.</w:t>
      </w:r>
      <w:r w:rsidR="003E1F3F" w:rsidRPr="00F95325">
        <w:rPr>
          <w:rStyle w:val="FootnoteReference"/>
          <w:rFonts w:asciiTheme="majorHAnsi" w:eastAsia="Times New Roman" w:hAnsiTheme="majorHAnsi" w:cstheme="majorHAnsi"/>
          <w:sz w:val="22"/>
          <w:szCs w:val="22"/>
          <w:lang w:eastAsia="zh-CN"/>
        </w:rPr>
        <w:footnoteReference w:id="38"/>
      </w:r>
    </w:p>
    <w:p w14:paraId="0810FD70" w14:textId="77777777" w:rsidR="000422EC" w:rsidRPr="00F95325" w:rsidRDefault="000422EC" w:rsidP="00024322">
      <w:pPr>
        <w:pStyle w:val="ListParagraph"/>
        <w:widowControl w:val="0"/>
        <w:jc w:val="both"/>
        <w:rPr>
          <w:rFonts w:asciiTheme="majorHAnsi" w:eastAsia="Times New Roman" w:hAnsiTheme="majorHAnsi" w:cstheme="majorHAnsi"/>
          <w:sz w:val="22"/>
          <w:szCs w:val="22"/>
          <w:highlight w:val="yellow"/>
          <w:lang w:eastAsia="zh-CN"/>
        </w:rPr>
      </w:pPr>
    </w:p>
    <w:p w14:paraId="4B180C25" w14:textId="0D06DC3B" w:rsidR="00020EDE" w:rsidRPr="00F95325" w:rsidRDefault="00F25263" w:rsidP="007D3FB2">
      <w:pPr>
        <w:pStyle w:val="ListParagraph"/>
        <w:widowControl w:val="0"/>
        <w:numPr>
          <w:ilvl w:val="0"/>
          <w:numId w:val="1"/>
        </w:numPr>
        <w:jc w:val="both"/>
        <w:rPr>
          <w:rFonts w:asciiTheme="majorHAnsi" w:eastAsia="Times New Roman" w:hAnsiTheme="majorHAnsi" w:cstheme="majorHAnsi"/>
          <w:sz w:val="22"/>
          <w:szCs w:val="22"/>
          <w:lang w:eastAsia="zh-CN"/>
        </w:rPr>
      </w:pPr>
      <w:r w:rsidRPr="00F95325">
        <w:rPr>
          <w:rFonts w:asciiTheme="majorHAnsi" w:eastAsia="Times New Roman" w:hAnsiTheme="majorHAnsi" w:cstheme="majorHAnsi"/>
          <w:sz w:val="22"/>
          <w:szCs w:val="22"/>
          <w:lang w:eastAsia="zh-CN"/>
        </w:rPr>
        <w:t>T</w:t>
      </w:r>
      <w:r w:rsidR="00BE4028" w:rsidRPr="00F95325">
        <w:rPr>
          <w:rFonts w:asciiTheme="majorHAnsi" w:eastAsia="Times New Roman" w:hAnsiTheme="majorHAnsi" w:cstheme="majorHAnsi"/>
          <w:sz w:val="22"/>
          <w:szCs w:val="22"/>
          <w:lang w:eastAsia="zh-CN"/>
        </w:rPr>
        <w:t xml:space="preserve">here is a safeguard against statelessness in all provisions permitting deprivation of Belgian nationality, except if nationality was acquired by fraud. In this case, even if the person does not have another nationality, deprivation of nationality will be ordered after the expiry of a reasonable period determined by the Court to allow the person to try and recover their original nationality. </w:t>
      </w:r>
      <w:r w:rsidR="0091714B" w:rsidRPr="00F95325">
        <w:rPr>
          <w:rFonts w:asciiTheme="majorHAnsi" w:eastAsia="Times New Roman" w:hAnsiTheme="majorHAnsi" w:cstheme="majorHAnsi"/>
          <w:sz w:val="22"/>
          <w:szCs w:val="22"/>
          <w:lang w:eastAsia="zh-CN"/>
        </w:rPr>
        <w:t>U</w:t>
      </w:r>
      <w:r w:rsidR="00BE4028" w:rsidRPr="00F95325">
        <w:rPr>
          <w:rFonts w:asciiTheme="majorHAnsi" w:eastAsia="Times New Roman" w:hAnsiTheme="majorHAnsi" w:cstheme="majorHAnsi"/>
          <w:sz w:val="22"/>
          <w:szCs w:val="22"/>
          <w:lang w:eastAsia="zh-CN"/>
        </w:rPr>
        <w:t xml:space="preserve">nder the Belgian Nationality Code, deprivation may not be requested for persons who hold Belgian nationality through one </w:t>
      </w:r>
      <w:r w:rsidR="00BE4028" w:rsidRPr="00F95325">
        <w:rPr>
          <w:rFonts w:asciiTheme="majorHAnsi" w:eastAsia="Times New Roman" w:hAnsiTheme="majorHAnsi" w:cstheme="majorHAnsi"/>
          <w:sz w:val="22"/>
          <w:szCs w:val="22"/>
          <w:lang w:eastAsia="zh-CN"/>
        </w:rPr>
        <w:lastRenderedPageBreak/>
        <w:t>of their parents or who have become Belgian nationals at birth.</w:t>
      </w:r>
      <w:r w:rsidR="00BE4028" w:rsidRPr="00F95325">
        <w:rPr>
          <w:rStyle w:val="FootnoteReference"/>
          <w:rFonts w:asciiTheme="majorHAnsi" w:eastAsia="Times New Roman" w:hAnsiTheme="majorHAnsi" w:cstheme="majorHAnsi"/>
          <w:sz w:val="22"/>
          <w:szCs w:val="22"/>
          <w:lang w:eastAsia="zh-CN"/>
        </w:rPr>
        <w:footnoteReference w:id="39"/>
      </w:r>
      <w:r w:rsidR="00BE4028" w:rsidRPr="00F95325">
        <w:rPr>
          <w:rFonts w:asciiTheme="majorHAnsi" w:eastAsia="Times New Roman" w:hAnsiTheme="majorHAnsi" w:cstheme="majorHAnsi"/>
          <w:sz w:val="22"/>
          <w:szCs w:val="22"/>
          <w:lang w:eastAsia="zh-CN"/>
        </w:rPr>
        <w:t xml:space="preserve"> </w:t>
      </w:r>
    </w:p>
    <w:p w14:paraId="02C49E1A" w14:textId="77777777" w:rsidR="003E1F3F" w:rsidRPr="00F95325" w:rsidRDefault="003E1F3F" w:rsidP="00024322">
      <w:pPr>
        <w:widowControl w:val="0"/>
        <w:jc w:val="both"/>
        <w:rPr>
          <w:rFonts w:asciiTheme="majorHAnsi" w:eastAsia="Times New Roman" w:hAnsiTheme="majorHAnsi" w:cstheme="majorHAnsi"/>
          <w:sz w:val="22"/>
          <w:szCs w:val="22"/>
          <w:lang w:eastAsia="zh-CN"/>
        </w:rPr>
      </w:pPr>
    </w:p>
    <w:p w14:paraId="1162BB4D" w14:textId="422210D3" w:rsidR="00731370" w:rsidRPr="00F95325" w:rsidRDefault="00731370" w:rsidP="007D3FB2">
      <w:pPr>
        <w:pStyle w:val="ListParagraph"/>
        <w:widowControl w:val="0"/>
        <w:numPr>
          <w:ilvl w:val="0"/>
          <w:numId w:val="1"/>
        </w:numPr>
        <w:jc w:val="both"/>
        <w:rPr>
          <w:rFonts w:asciiTheme="majorHAnsi" w:eastAsia="Times New Roman" w:hAnsiTheme="majorHAnsi" w:cstheme="majorHAnsi"/>
          <w:sz w:val="22"/>
          <w:szCs w:val="22"/>
          <w:lang w:eastAsia="zh-CN"/>
        </w:rPr>
      </w:pPr>
      <w:r w:rsidRPr="00F95325">
        <w:rPr>
          <w:rFonts w:asciiTheme="majorHAnsi" w:eastAsia="Times New Roman" w:hAnsiTheme="majorHAnsi" w:cstheme="majorHAnsi"/>
          <w:sz w:val="22"/>
          <w:szCs w:val="22"/>
          <w:lang w:eastAsia="zh-CN"/>
        </w:rPr>
        <w:t>Article 2(2) of the Convention against Torture emphasi</w:t>
      </w:r>
      <w:r w:rsidR="00EF6295" w:rsidRPr="00F95325">
        <w:rPr>
          <w:rFonts w:asciiTheme="majorHAnsi" w:eastAsia="Times New Roman" w:hAnsiTheme="majorHAnsi" w:cstheme="majorHAnsi"/>
          <w:sz w:val="22"/>
          <w:szCs w:val="22"/>
          <w:lang w:eastAsia="zh-CN"/>
        </w:rPr>
        <w:t>s</w:t>
      </w:r>
      <w:r w:rsidRPr="00F95325">
        <w:rPr>
          <w:rFonts w:asciiTheme="majorHAnsi" w:eastAsia="Times New Roman" w:hAnsiTheme="majorHAnsi" w:cstheme="majorHAnsi"/>
          <w:sz w:val="22"/>
          <w:szCs w:val="22"/>
          <w:lang w:eastAsia="zh-CN"/>
        </w:rPr>
        <w:t>es that</w:t>
      </w:r>
      <w:r w:rsidR="00E7268D" w:rsidRPr="00F95325">
        <w:rPr>
          <w:rFonts w:asciiTheme="majorHAnsi" w:eastAsia="Times New Roman" w:hAnsiTheme="majorHAnsi" w:cstheme="majorHAnsi"/>
          <w:sz w:val="22"/>
          <w:szCs w:val="22"/>
          <w:lang w:eastAsia="zh-CN"/>
        </w:rPr>
        <w:t xml:space="preserve"> ‘no exceptional circumstances whatsoever, whether a state of war or a threat of war, internal political instability or any other public emergency, may be invoked as justification of torture’</w:t>
      </w:r>
      <w:r w:rsidR="00BD49D2" w:rsidRPr="00F95325">
        <w:rPr>
          <w:rFonts w:asciiTheme="majorHAnsi" w:eastAsia="Times New Roman" w:hAnsiTheme="majorHAnsi" w:cstheme="majorHAnsi"/>
          <w:sz w:val="22"/>
          <w:szCs w:val="22"/>
          <w:lang w:eastAsia="zh-CN"/>
        </w:rPr>
        <w:t>.</w:t>
      </w:r>
      <w:r w:rsidRPr="00F95325">
        <w:rPr>
          <w:rFonts w:asciiTheme="majorHAnsi" w:eastAsia="Times New Roman" w:hAnsiTheme="majorHAnsi" w:cstheme="majorHAnsi"/>
          <w:sz w:val="22"/>
          <w:szCs w:val="22"/>
          <w:lang w:eastAsia="zh-CN"/>
        </w:rPr>
        <w:t xml:space="preserve"> </w:t>
      </w:r>
      <w:r w:rsidR="00BD49D2" w:rsidRPr="00F95325">
        <w:rPr>
          <w:rFonts w:asciiTheme="majorHAnsi" w:eastAsia="Times New Roman" w:hAnsiTheme="majorHAnsi" w:cstheme="majorHAnsi"/>
          <w:sz w:val="22"/>
          <w:szCs w:val="22"/>
          <w:lang w:eastAsia="zh-CN"/>
        </w:rPr>
        <w:t>The Committee against Torture identi</w:t>
      </w:r>
      <w:r w:rsidR="00140EA0">
        <w:rPr>
          <w:rFonts w:asciiTheme="majorHAnsi" w:eastAsia="Times New Roman" w:hAnsiTheme="majorHAnsi" w:cstheme="majorHAnsi"/>
          <w:sz w:val="22"/>
          <w:szCs w:val="22"/>
          <w:lang w:eastAsia="zh-CN"/>
        </w:rPr>
        <w:t>f</w:t>
      </w:r>
      <w:r w:rsidR="00BD49D2" w:rsidRPr="00F95325">
        <w:rPr>
          <w:rFonts w:asciiTheme="majorHAnsi" w:eastAsia="Times New Roman" w:hAnsiTheme="majorHAnsi" w:cstheme="majorHAnsi"/>
          <w:sz w:val="22"/>
          <w:szCs w:val="22"/>
          <w:lang w:eastAsia="zh-CN"/>
        </w:rPr>
        <w:t>ies threats of terrorist acts or violent crime to be among these exceptional circumstances that cannot constitute justification of torture.</w:t>
      </w:r>
      <w:r w:rsidR="00BD49D2" w:rsidRPr="00F95325">
        <w:rPr>
          <w:rStyle w:val="FootnoteReference"/>
          <w:rFonts w:asciiTheme="majorHAnsi" w:eastAsia="Times New Roman" w:hAnsiTheme="majorHAnsi" w:cstheme="majorHAnsi"/>
          <w:sz w:val="22"/>
          <w:szCs w:val="22"/>
          <w:lang w:eastAsia="zh-CN"/>
        </w:rPr>
        <w:footnoteReference w:id="40"/>
      </w:r>
      <w:r w:rsidR="00BD49D2" w:rsidRPr="00F95325">
        <w:rPr>
          <w:rFonts w:asciiTheme="majorHAnsi" w:hAnsiTheme="majorHAnsi" w:cstheme="majorHAnsi"/>
          <w:sz w:val="22"/>
          <w:szCs w:val="22"/>
        </w:rPr>
        <w:t xml:space="preserve"> </w:t>
      </w:r>
      <w:r w:rsidRPr="00F95325">
        <w:rPr>
          <w:rFonts w:asciiTheme="majorHAnsi" w:eastAsia="Times New Roman" w:hAnsiTheme="majorHAnsi" w:cstheme="majorHAnsi"/>
          <w:sz w:val="22"/>
          <w:szCs w:val="22"/>
          <w:lang w:eastAsia="zh-CN"/>
        </w:rPr>
        <w:t xml:space="preserve">By depriving persons of their nationality, States </w:t>
      </w:r>
      <w:r w:rsidR="00F730E3">
        <w:rPr>
          <w:rFonts w:asciiTheme="majorHAnsi" w:eastAsia="Times New Roman" w:hAnsiTheme="majorHAnsi" w:cstheme="majorHAnsi"/>
          <w:sz w:val="22"/>
          <w:szCs w:val="22"/>
          <w:lang w:eastAsia="zh-CN"/>
        </w:rPr>
        <w:t>may violate</w:t>
      </w:r>
      <w:r w:rsidRPr="00F95325">
        <w:rPr>
          <w:rFonts w:asciiTheme="majorHAnsi" w:eastAsia="Times New Roman" w:hAnsiTheme="majorHAnsi" w:cstheme="majorHAnsi"/>
          <w:sz w:val="22"/>
          <w:szCs w:val="22"/>
          <w:lang w:eastAsia="zh-CN"/>
        </w:rPr>
        <w:t xml:space="preserve"> the absolute and customary prohibition of torture, cruel, </w:t>
      </w:r>
      <w:r w:rsidR="00780C2D" w:rsidRPr="00F95325">
        <w:rPr>
          <w:rFonts w:asciiTheme="majorHAnsi" w:eastAsia="Times New Roman" w:hAnsiTheme="majorHAnsi" w:cstheme="majorHAnsi"/>
          <w:sz w:val="22"/>
          <w:szCs w:val="22"/>
          <w:lang w:eastAsia="zh-CN"/>
        </w:rPr>
        <w:t>inhuman,</w:t>
      </w:r>
      <w:r w:rsidRPr="00F95325">
        <w:rPr>
          <w:rFonts w:asciiTheme="majorHAnsi" w:eastAsia="Times New Roman" w:hAnsiTheme="majorHAnsi" w:cstheme="majorHAnsi"/>
          <w:sz w:val="22"/>
          <w:szCs w:val="22"/>
          <w:lang w:eastAsia="zh-CN"/>
        </w:rPr>
        <w:t xml:space="preserve"> or degrading treatment or punishment. </w:t>
      </w:r>
    </w:p>
    <w:p w14:paraId="0A69C2C6" w14:textId="77777777" w:rsidR="00020EDE" w:rsidRPr="00F95325" w:rsidRDefault="00020EDE" w:rsidP="00024322">
      <w:pPr>
        <w:pStyle w:val="ListParagraph"/>
        <w:widowControl w:val="0"/>
        <w:rPr>
          <w:rFonts w:asciiTheme="majorHAnsi" w:eastAsia="Times New Roman" w:hAnsiTheme="majorHAnsi" w:cstheme="majorHAnsi"/>
          <w:sz w:val="22"/>
          <w:szCs w:val="22"/>
          <w:lang w:eastAsia="zh-CN"/>
        </w:rPr>
      </w:pPr>
    </w:p>
    <w:p w14:paraId="28B557DD" w14:textId="3155B7F7" w:rsidR="00020EDE" w:rsidRPr="00F95325" w:rsidRDefault="00CF3D68" w:rsidP="007D3FB2">
      <w:pPr>
        <w:pStyle w:val="ListParagraph"/>
        <w:widowControl w:val="0"/>
        <w:numPr>
          <w:ilvl w:val="0"/>
          <w:numId w:val="1"/>
        </w:numPr>
        <w:jc w:val="both"/>
        <w:rPr>
          <w:rFonts w:asciiTheme="majorHAnsi" w:eastAsia="Times New Roman" w:hAnsiTheme="majorHAnsi" w:cstheme="majorHAnsi"/>
          <w:sz w:val="22"/>
          <w:szCs w:val="22"/>
          <w:lang w:eastAsia="zh-CN"/>
        </w:rPr>
      </w:pPr>
      <w:r>
        <w:rPr>
          <w:rFonts w:asciiTheme="majorHAnsi" w:eastAsia="Times New Roman" w:hAnsiTheme="majorHAnsi" w:cstheme="majorHAnsi"/>
          <w:sz w:val="22"/>
          <w:szCs w:val="22"/>
          <w:lang w:eastAsia="zh-CN"/>
        </w:rPr>
        <w:t>In practice,</w:t>
      </w:r>
      <w:r w:rsidR="00020EDE" w:rsidRPr="00F95325">
        <w:rPr>
          <w:rFonts w:asciiTheme="majorHAnsi" w:eastAsia="Times New Roman" w:hAnsiTheme="majorHAnsi" w:cstheme="majorHAnsi"/>
          <w:sz w:val="22"/>
          <w:szCs w:val="22"/>
          <w:lang w:eastAsia="zh-CN"/>
        </w:rPr>
        <w:t xml:space="preserve"> </w:t>
      </w:r>
      <w:r w:rsidR="000E20AA">
        <w:rPr>
          <w:rFonts w:asciiTheme="majorHAnsi" w:eastAsia="Times New Roman" w:hAnsiTheme="majorHAnsi" w:cstheme="majorHAnsi"/>
          <w:sz w:val="22"/>
          <w:szCs w:val="22"/>
          <w:lang w:eastAsia="zh-CN"/>
        </w:rPr>
        <w:t>in Belgium,</w:t>
      </w:r>
      <w:r w:rsidR="00020EDE" w:rsidRPr="00F95325">
        <w:rPr>
          <w:rFonts w:asciiTheme="majorHAnsi" w:eastAsia="Times New Roman" w:hAnsiTheme="majorHAnsi" w:cstheme="majorHAnsi"/>
          <w:sz w:val="22"/>
          <w:szCs w:val="22"/>
          <w:lang w:eastAsia="zh-CN"/>
        </w:rPr>
        <w:t xml:space="preserve"> deprivation of nationality is a discriminatory measure</w:t>
      </w:r>
      <w:r w:rsidR="000E20AA">
        <w:rPr>
          <w:rFonts w:asciiTheme="majorHAnsi" w:eastAsia="Times New Roman" w:hAnsiTheme="majorHAnsi" w:cstheme="majorHAnsi"/>
          <w:sz w:val="22"/>
          <w:szCs w:val="22"/>
          <w:lang w:eastAsia="zh-CN"/>
        </w:rPr>
        <w:t xml:space="preserve"> as it</w:t>
      </w:r>
      <w:r w:rsidR="00020EDE" w:rsidRPr="00F95325">
        <w:rPr>
          <w:rFonts w:asciiTheme="majorHAnsi" w:eastAsia="Times New Roman" w:hAnsiTheme="majorHAnsi" w:cstheme="majorHAnsi"/>
          <w:sz w:val="22"/>
          <w:szCs w:val="22"/>
          <w:lang w:eastAsia="zh-CN"/>
        </w:rPr>
        <w:t xml:space="preserve"> does not apply to birthright </w:t>
      </w:r>
      <w:r w:rsidR="000E20AA" w:rsidRPr="00F95325">
        <w:rPr>
          <w:rFonts w:asciiTheme="majorHAnsi" w:eastAsia="Times New Roman" w:hAnsiTheme="majorHAnsi" w:cstheme="majorHAnsi"/>
          <w:sz w:val="22"/>
          <w:szCs w:val="22"/>
          <w:lang w:eastAsia="zh-CN"/>
        </w:rPr>
        <w:t>citizens but</w:t>
      </w:r>
      <w:r w:rsidR="00020EDE" w:rsidRPr="00F95325">
        <w:rPr>
          <w:rFonts w:asciiTheme="majorHAnsi" w:eastAsia="Times New Roman" w:hAnsiTheme="majorHAnsi" w:cstheme="majorHAnsi"/>
          <w:sz w:val="22"/>
          <w:szCs w:val="22"/>
          <w:lang w:eastAsia="zh-CN"/>
        </w:rPr>
        <w:t xml:space="preserve"> is limited to naturalised citizens</w:t>
      </w:r>
      <w:r w:rsidR="006E1804">
        <w:rPr>
          <w:rFonts w:asciiTheme="majorHAnsi" w:eastAsia="Times New Roman" w:hAnsiTheme="majorHAnsi" w:cstheme="majorHAnsi"/>
          <w:sz w:val="22"/>
          <w:szCs w:val="22"/>
          <w:lang w:eastAsia="zh-CN"/>
        </w:rPr>
        <w:t xml:space="preserve">, including </w:t>
      </w:r>
      <w:r w:rsidR="00C44C00">
        <w:rPr>
          <w:rFonts w:asciiTheme="majorHAnsi" w:eastAsia="Times New Roman" w:hAnsiTheme="majorHAnsi" w:cstheme="majorHAnsi"/>
          <w:sz w:val="22"/>
          <w:szCs w:val="22"/>
          <w:lang w:eastAsia="zh-CN"/>
        </w:rPr>
        <w:t>persons</w:t>
      </w:r>
      <w:r w:rsidR="00020EDE" w:rsidRPr="00F95325">
        <w:rPr>
          <w:rFonts w:asciiTheme="majorHAnsi" w:eastAsia="Times New Roman" w:hAnsiTheme="majorHAnsi" w:cstheme="majorHAnsi"/>
          <w:sz w:val="22"/>
          <w:szCs w:val="22"/>
          <w:lang w:eastAsia="zh-CN"/>
        </w:rPr>
        <w:t xml:space="preserve"> with a migrant heritage who are more likely to belong to ethnic, </w:t>
      </w:r>
      <w:r w:rsidR="00780C2D" w:rsidRPr="00F95325">
        <w:rPr>
          <w:rFonts w:asciiTheme="majorHAnsi" w:eastAsia="Times New Roman" w:hAnsiTheme="majorHAnsi" w:cstheme="majorHAnsi"/>
          <w:sz w:val="22"/>
          <w:szCs w:val="22"/>
          <w:lang w:eastAsia="zh-CN"/>
        </w:rPr>
        <w:t>religious,</w:t>
      </w:r>
      <w:r w:rsidR="00020EDE" w:rsidRPr="00F95325">
        <w:rPr>
          <w:rFonts w:asciiTheme="majorHAnsi" w:eastAsia="Times New Roman" w:hAnsiTheme="majorHAnsi" w:cstheme="majorHAnsi"/>
          <w:sz w:val="22"/>
          <w:szCs w:val="22"/>
          <w:lang w:eastAsia="zh-CN"/>
        </w:rPr>
        <w:t xml:space="preserve"> and linguistic minorities. In this regard, the UN Special Rapporteur on racism has stated that: </w:t>
      </w:r>
    </w:p>
    <w:p w14:paraId="4FF87B5F" w14:textId="77777777" w:rsidR="00020EDE" w:rsidRPr="00F95325" w:rsidRDefault="00020EDE" w:rsidP="00024322">
      <w:pPr>
        <w:pStyle w:val="ListParagraph"/>
        <w:widowControl w:val="0"/>
        <w:rPr>
          <w:rFonts w:asciiTheme="majorHAnsi" w:eastAsia="Times New Roman" w:hAnsiTheme="majorHAnsi" w:cstheme="majorHAnsi"/>
          <w:sz w:val="22"/>
          <w:szCs w:val="22"/>
          <w:lang w:eastAsia="zh-CN"/>
        </w:rPr>
      </w:pPr>
    </w:p>
    <w:p w14:paraId="0AA1CD4C" w14:textId="590DF632" w:rsidR="00020EDE" w:rsidRPr="00F95325" w:rsidRDefault="00020EDE" w:rsidP="006B150B">
      <w:pPr>
        <w:pStyle w:val="ListParagraph"/>
        <w:widowControl w:val="0"/>
        <w:ind w:left="851" w:right="368"/>
        <w:jc w:val="both"/>
        <w:rPr>
          <w:rFonts w:asciiTheme="majorHAnsi" w:eastAsia="Times New Roman" w:hAnsiTheme="majorHAnsi" w:cs="Times New Roman"/>
          <w:i/>
          <w:iCs/>
          <w:sz w:val="22"/>
          <w:szCs w:val="22"/>
          <w:lang w:eastAsia="zh-CN"/>
        </w:rPr>
      </w:pPr>
      <w:r w:rsidRPr="00F95325">
        <w:rPr>
          <w:rFonts w:asciiTheme="majorHAnsi" w:eastAsia="Times New Roman" w:hAnsiTheme="majorHAnsi" w:cstheme="majorHAnsi"/>
          <w:i/>
          <w:iCs/>
          <w:sz w:val="22"/>
          <w:szCs w:val="22"/>
          <w:lang w:eastAsia="zh-CN"/>
        </w:rPr>
        <w:t>“States' obligations to ensure equality and non-discrimination with</w:t>
      </w:r>
      <w:r w:rsidRPr="00F95325">
        <w:rPr>
          <w:rFonts w:asciiTheme="majorHAnsi" w:eastAsia="Times New Roman" w:hAnsiTheme="majorHAnsi" w:cs="Times New Roman"/>
          <w:i/>
          <w:iCs/>
          <w:sz w:val="22"/>
          <w:szCs w:val="22"/>
          <w:lang w:eastAsia="zh-CN"/>
        </w:rPr>
        <w:t xml:space="preserve"> regards to the enjoyment of nationality apply with regard to all citizenship deprivation decisions, not only in cases where deprivation of citizenship might result in statelessness.”</w:t>
      </w:r>
      <w:r w:rsidR="008C6203" w:rsidRPr="00F95325">
        <w:rPr>
          <w:rFonts w:asciiTheme="majorHAnsi" w:eastAsia="Times New Roman" w:hAnsiTheme="majorHAnsi" w:cs="Times New Roman"/>
          <w:i/>
          <w:iCs/>
          <w:sz w:val="22"/>
          <w:szCs w:val="22"/>
          <w:lang w:eastAsia="zh-CN"/>
        </w:rPr>
        <w:t xml:space="preserve"> </w:t>
      </w:r>
      <w:r w:rsidRPr="00F95325">
        <w:rPr>
          <w:rStyle w:val="FootnoteReference"/>
          <w:rFonts w:asciiTheme="majorHAnsi" w:eastAsia="Times New Roman" w:hAnsiTheme="majorHAnsi" w:cs="Times New Roman"/>
          <w:sz w:val="22"/>
          <w:szCs w:val="22"/>
          <w:lang w:eastAsia="zh-CN"/>
        </w:rPr>
        <w:footnoteReference w:id="41"/>
      </w:r>
    </w:p>
    <w:p w14:paraId="5BA5E26D" w14:textId="1013576C" w:rsidR="00D2092F" w:rsidRPr="00F95325" w:rsidRDefault="00C44C00" w:rsidP="00024322">
      <w:pPr>
        <w:widowControl w:val="0"/>
        <w:autoSpaceDE w:val="0"/>
        <w:autoSpaceDN w:val="0"/>
        <w:adjustRightInd w:val="0"/>
        <w:jc w:val="both"/>
        <w:rPr>
          <w:rFonts w:asciiTheme="majorHAnsi" w:hAnsiTheme="majorHAnsi" w:cstheme="majorHAnsi"/>
          <w:sz w:val="22"/>
        </w:rPr>
      </w:pPr>
      <w:r w:rsidRPr="00F95325">
        <w:rPr>
          <w:noProof/>
        </w:rPr>
        <mc:AlternateContent>
          <mc:Choice Requires="wps">
            <w:drawing>
              <wp:anchor distT="0" distB="0" distL="114300" distR="114300" simplePos="0" relativeHeight="251658245" behindDoc="0" locked="0" layoutInCell="1" allowOverlap="1" wp14:anchorId="2CC863C6" wp14:editId="7C9725B0">
                <wp:simplePos x="0" y="0"/>
                <wp:positionH relativeFrom="margin">
                  <wp:posOffset>100965</wp:posOffset>
                </wp:positionH>
                <wp:positionV relativeFrom="paragraph">
                  <wp:posOffset>340995</wp:posOffset>
                </wp:positionV>
                <wp:extent cx="5273675" cy="1840230"/>
                <wp:effectExtent l="0" t="0" r="22225" b="26670"/>
                <wp:wrapTopAndBottom/>
                <wp:docPr id="7" name="Πλαίσιο κειμένου 4"/>
                <wp:cNvGraphicFramePr/>
                <a:graphic xmlns:a="http://schemas.openxmlformats.org/drawingml/2006/main">
                  <a:graphicData uri="http://schemas.microsoft.com/office/word/2010/wordprocessingShape">
                    <wps:wsp>
                      <wps:cNvSpPr txBox="1"/>
                      <wps:spPr>
                        <a:xfrm>
                          <a:off x="0" y="0"/>
                          <a:ext cx="5273675" cy="1840230"/>
                        </a:xfrm>
                        <a:prstGeom prst="rect">
                          <a:avLst/>
                        </a:prstGeom>
                        <a:solidFill>
                          <a:sysClr val="window" lastClr="FFFFFF"/>
                        </a:solidFill>
                        <a:ln w="6350">
                          <a:solidFill>
                            <a:prstClr val="black"/>
                          </a:solidFill>
                        </a:ln>
                      </wps:spPr>
                      <wps:txbx>
                        <w:txbxContent>
                          <w:p w14:paraId="456097FA" w14:textId="77777777" w:rsidR="00487B86" w:rsidRDefault="00487B86" w:rsidP="00487B86">
                            <w:pPr>
                              <w:jc w:val="both"/>
                              <w:rPr>
                                <w:rFonts w:asciiTheme="majorHAnsi" w:hAnsiTheme="majorHAnsi" w:cstheme="majorHAnsi"/>
                                <w:b/>
                                <w:bCs/>
                                <w:sz w:val="22"/>
                                <w:szCs w:val="22"/>
                              </w:rPr>
                            </w:pPr>
                            <w:r>
                              <w:rPr>
                                <w:rFonts w:asciiTheme="majorHAnsi" w:hAnsiTheme="majorHAnsi" w:cstheme="majorHAnsi"/>
                                <w:b/>
                                <w:bCs/>
                                <w:sz w:val="22"/>
                                <w:szCs w:val="22"/>
                              </w:rPr>
                              <w:t>Recommendations</w:t>
                            </w:r>
                            <w:r w:rsidRPr="003F720D">
                              <w:rPr>
                                <w:rFonts w:asciiTheme="majorHAnsi" w:hAnsiTheme="majorHAnsi" w:cstheme="majorHAnsi"/>
                                <w:b/>
                                <w:bCs/>
                                <w:sz w:val="22"/>
                                <w:szCs w:val="22"/>
                              </w:rPr>
                              <w:t xml:space="preserve">: </w:t>
                            </w:r>
                          </w:p>
                          <w:p w14:paraId="25B31ACD" w14:textId="77777777" w:rsidR="00487B86" w:rsidRPr="003F720D" w:rsidRDefault="00487B86" w:rsidP="00487B86">
                            <w:pPr>
                              <w:jc w:val="both"/>
                              <w:rPr>
                                <w:rFonts w:asciiTheme="majorHAnsi" w:hAnsiTheme="majorHAnsi" w:cstheme="majorHAnsi"/>
                                <w:b/>
                                <w:bCs/>
                                <w:sz w:val="22"/>
                                <w:szCs w:val="22"/>
                              </w:rPr>
                            </w:pPr>
                          </w:p>
                          <w:p w14:paraId="59EAF532" w14:textId="611C9B46" w:rsidR="00487B86" w:rsidRPr="00487B86" w:rsidRDefault="00487B86" w:rsidP="005B1148">
                            <w:pPr>
                              <w:pStyle w:val="ListParagraph"/>
                              <w:numPr>
                                <w:ilvl w:val="0"/>
                                <w:numId w:val="4"/>
                              </w:numPr>
                              <w:ind w:left="426" w:hanging="426"/>
                              <w:rPr>
                                <w:rFonts w:asciiTheme="majorHAnsi" w:hAnsiTheme="majorHAnsi" w:cstheme="majorHAnsi"/>
                                <w:b/>
                                <w:bCs/>
                                <w:iCs/>
                                <w:sz w:val="22"/>
                              </w:rPr>
                            </w:pPr>
                            <w:r w:rsidRPr="00020EDE">
                              <w:rPr>
                                <w:rFonts w:asciiTheme="majorHAnsi" w:hAnsiTheme="majorHAnsi" w:cstheme="majorHAnsi"/>
                                <w:b/>
                                <w:bCs/>
                                <w:iCs/>
                                <w:sz w:val="22"/>
                              </w:rPr>
                              <w:t xml:space="preserve">Protect everyone’s right to a </w:t>
                            </w:r>
                            <w:r w:rsidR="00A170A0" w:rsidRPr="00020EDE">
                              <w:rPr>
                                <w:rFonts w:asciiTheme="majorHAnsi" w:hAnsiTheme="majorHAnsi" w:cstheme="majorHAnsi"/>
                                <w:b/>
                                <w:bCs/>
                                <w:iCs/>
                                <w:sz w:val="22"/>
                              </w:rPr>
                              <w:t>nationality and</w:t>
                            </w:r>
                            <w:r w:rsidRPr="00020EDE">
                              <w:rPr>
                                <w:rFonts w:asciiTheme="majorHAnsi" w:hAnsiTheme="majorHAnsi" w:cstheme="majorHAnsi"/>
                                <w:b/>
                                <w:bCs/>
                                <w:iCs/>
                                <w:sz w:val="22"/>
                              </w:rPr>
                              <w:t xml:space="preserve"> amend national laws to comply with international obligations which prohibit the arbitrary deprivation of nationality</w:t>
                            </w:r>
                            <w:r w:rsidR="00020EDE" w:rsidRPr="00020EDE">
                              <w:rPr>
                                <w:rFonts w:asciiTheme="majorHAnsi" w:hAnsiTheme="majorHAnsi" w:cstheme="majorHAnsi"/>
                                <w:b/>
                                <w:bCs/>
                                <w:iCs/>
                                <w:sz w:val="22"/>
                              </w:rPr>
                              <w:t xml:space="preserve">, the prohibition </w:t>
                            </w:r>
                            <w:r w:rsidR="00020EDE" w:rsidRPr="00020EDE">
                              <w:rPr>
                                <w:rFonts w:asciiTheme="majorHAnsi" w:eastAsia="Times New Roman" w:hAnsiTheme="majorHAnsi" w:cs="Times New Roman"/>
                                <w:b/>
                                <w:bCs/>
                                <w:sz w:val="22"/>
                                <w:szCs w:val="22"/>
                                <w:lang w:eastAsia="zh-CN"/>
                              </w:rPr>
                              <w:t>of torture and cruel, inhuman or degrading treatment or punishment</w:t>
                            </w:r>
                            <w:r w:rsidR="00020EDE" w:rsidRPr="00020EDE">
                              <w:rPr>
                                <w:rFonts w:asciiTheme="majorHAnsi" w:hAnsiTheme="majorHAnsi" w:cstheme="majorHAnsi"/>
                                <w:b/>
                                <w:bCs/>
                                <w:iCs/>
                                <w:sz w:val="22"/>
                              </w:rPr>
                              <w:t>,</w:t>
                            </w:r>
                            <w:r w:rsidR="00020EDE">
                              <w:rPr>
                                <w:rFonts w:asciiTheme="majorHAnsi" w:hAnsiTheme="majorHAnsi" w:cstheme="majorHAnsi"/>
                                <w:b/>
                                <w:bCs/>
                                <w:iCs/>
                                <w:sz w:val="22"/>
                              </w:rPr>
                              <w:t xml:space="preserve"> </w:t>
                            </w:r>
                            <w:r w:rsidRPr="00020EDE">
                              <w:rPr>
                                <w:rFonts w:asciiTheme="majorHAnsi" w:hAnsiTheme="majorHAnsi" w:cstheme="majorHAnsi"/>
                                <w:b/>
                                <w:bCs/>
                                <w:iCs/>
                                <w:sz w:val="22"/>
                              </w:rPr>
                              <w:t>and discrimination, while ensuring the avoidance of statelessness</w:t>
                            </w:r>
                            <w:r w:rsidRPr="00487B86">
                              <w:rPr>
                                <w:rFonts w:asciiTheme="majorHAnsi" w:hAnsiTheme="majorHAnsi" w:cstheme="majorHAnsi"/>
                                <w:b/>
                                <w:bCs/>
                                <w:iCs/>
                                <w:sz w:val="22"/>
                              </w:rPr>
                              <w:t xml:space="preserve">. </w:t>
                            </w:r>
                          </w:p>
                          <w:p w14:paraId="25CD5974" w14:textId="77777777" w:rsidR="00487B86" w:rsidRPr="00487B86" w:rsidRDefault="00487B86" w:rsidP="008C7C1C">
                            <w:pPr>
                              <w:pStyle w:val="ListParagraph"/>
                              <w:ind w:left="426" w:hanging="426"/>
                              <w:rPr>
                                <w:rFonts w:asciiTheme="majorHAnsi" w:hAnsiTheme="majorHAnsi" w:cstheme="majorHAnsi"/>
                                <w:b/>
                                <w:bCs/>
                                <w:iCs/>
                                <w:sz w:val="22"/>
                              </w:rPr>
                            </w:pPr>
                          </w:p>
                          <w:p w14:paraId="28D4ED93" w14:textId="6C66B99A" w:rsidR="00487B86" w:rsidRPr="00487B86" w:rsidRDefault="00487B86" w:rsidP="005B1148">
                            <w:pPr>
                              <w:pStyle w:val="ListParagraph"/>
                              <w:numPr>
                                <w:ilvl w:val="0"/>
                                <w:numId w:val="4"/>
                              </w:numPr>
                              <w:ind w:left="426" w:hanging="426"/>
                              <w:rPr>
                                <w:rFonts w:asciiTheme="majorHAnsi" w:hAnsiTheme="majorHAnsi" w:cstheme="majorHAnsi"/>
                                <w:b/>
                                <w:bCs/>
                                <w:iCs/>
                                <w:sz w:val="22"/>
                              </w:rPr>
                            </w:pPr>
                            <w:r w:rsidRPr="00487B86">
                              <w:rPr>
                                <w:rFonts w:asciiTheme="majorHAnsi" w:hAnsiTheme="majorHAnsi" w:cstheme="majorHAnsi"/>
                                <w:b/>
                                <w:bCs/>
                                <w:iCs/>
                                <w:sz w:val="22"/>
                              </w:rPr>
                              <w:t xml:space="preserve">Amend the Belgian Nationality Code to bring provisions on deprivation of nationality in line with </w:t>
                            </w:r>
                            <w:r w:rsidR="00C44C00">
                              <w:rPr>
                                <w:rFonts w:asciiTheme="majorHAnsi" w:hAnsiTheme="majorHAnsi" w:cstheme="majorHAnsi"/>
                                <w:b/>
                                <w:bCs/>
                                <w:iCs/>
                                <w:sz w:val="22"/>
                              </w:rPr>
                              <w:t>best practice</w:t>
                            </w:r>
                            <w:r w:rsidR="00736768">
                              <w:rPr>
                                <w:rFonts w:asciiTheme="majorHAnsi" w:hAnsiTheme="majorHAnsi" w:cstheme="majorHAnsi"/>
                                <w:b/>
                                <w:bCs/>
                                <w:iCs/>
                                <w:sz w:val="22"/>
                              </w:rPr>
                              <w:t xml:space="preserve">, </w:t>
                            </w:r>
                            <w:r w:rsidR="00517858">
                              <w:rPr>
                                <w:rFonts w:asciiTheme="majorHAnsi" w:hAnsiTheme="majorHAnsi" w:cstheme="majorHAnsi"/>
                                <w:b/>
                                <w:bCs/>
                                <w:iCs/>
                                <w:sz w:val="22"/>
                              </w:rPr>
                              <w:t>international standards</w:t>
                            </w:r>
                            <w:r w:rsidR="00736768">
                              <w:rPr>
                                <w:rFonts w:asciiTheme="majorHAnsi" w:hAnsiTheme="majorHAnsi" w:cstheme="majorHAnsi"/>
                                <w:b/>
                                <w:bCs/>
                                <w:iCs/>
                                <w:sz w:val="22"/>
                              </w:rPr>
                              <w:t xml:space="preserve"> and the principle of non-discrimination.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C863C6" id="_x0000_s1027" type="#_x0000_t202" style="position:absolute;left:0;text-align:left;margin-left:7.95pt;margin-top:26.85pt;width:415.25pt;height:144.9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" fillcolor="window" strokeweight=".5pt">
                <v:textbox>
                  <w:txbxContent>
                    <w:p w14:paraId="456097FA" w14:textId="77777777" w:rsidR="00487B86" w:rsidRDefault="00487B86" w:rsidP="00487B86">
                      <w:pPr>
                        <w:jc w:val="both"/>
                        <w:rPr>
                          <w:rFonts w:asciiTheme="majorHAnsi" w:hAnsiTheme="majorHAnsi" w:cstheme="majorHAnsi"/>
                          <w:b/>
                          <w:bCs/>
                          <w:sz w:val="22"/>
                          <w:szCs w:val="22"/>
                        </w:rPr>
                      </w:pPr>
                      <w:r>
                        <w:rPr>
                          <w:rFonts w:asciiTheme="majorHAnsi" w:hAnsiTheme="majorHAnsi" w:cstheme="majorHAnsi"/>
                          <w:b/>
                          <w:bCs/>
                          <w:sz w:val="22"/>
                          <w:szCs w:val="22"/>
                        </w:rPr>
                        <w:t>Recommendations</w:t>
                      </w:r>
                      <w:r w:rsidRPr="003F720D">
                        <w:rPr>
                          <w:rFonts w:asciiTheme="majorHAnsi" w:hAnsiTheme="majorHAnsi" w:cstheme="majorHAnsi"/>
                          <w:b/>
                          <w:bCs/>
                          <w:sz w:val="22"/>
                          <w:szCs w:val="22"/>
                        </w:rPr>
                        <w:t xml:space="preserve">: </w:t>
                      </w:r>
                    </w:p>
                    <w:p w14:paraId="25B31ACD" w14:textId="77777777" w:rsidR="00487B86" w:rsidRPr="003F720D" w:rsidRDefault="00487B86" w:rsidP="00487B86">
                      <w:pPr>
                        <w:jc w:val="both"/>
                        <w:rPr>
                          <w:rFonts w:asciiTheme="majorHAnsi" w:hAnsiTheme="majorHAnsi" w:cstheme="majorHAnsi"/>
                          <w:b/>
                          <w:bCs/>
                          <w:sz w:val="22"/>
                          <w:szCs w:val="22"/>
                        </w:rPr>
                      </w:pPr>
                    </w:p>
                    <w:p w14:paraId="59EAF532" w14:textId="611C9B46" w:rsidR="00487B86" w:rsidRPr="00487B86" w:rsidRDefault="00487B86" w:rsidP="005B1148">
                      <w:pPr>
                        <w:pStyle w:val="ListParagraph"/>
                        <w:numPr>
                          <w:ilvl w:val="0"/>
                          <w:numId w:val="4"/>
                        </w:numPr>
                        <w:ind w:left="426" w:hanging="426"/>
                        <w:rPr>
                          <w:rFonts w:asciiTheme="majorHAnsi" w:hAnsiTheme="majorHAnsi" w:cstheme="majorHAnsi"/>
                          <w:b/>
                          <w:bCs/>
                          <w:iCs/>
                          <w:sz w:val="22"/>
                        </w:rPr>
                      </w:pPr>
                      <w:r w:rsidRPr="00020EDE">
                        <w:rPr>
                          <w:rFonts w:asciiTheme="majorHAnsi" w:hAnsiTheme="majorHAnsi" w:cstheme="majorHAnsi"/>
                          <w:b/>
                          <w:bCs/>
                          <w:iCs/>
                          <w:sz w:val="22"/>
                        </w:rPr>
                        <w:t xml:space="preserve">Protect everyone’s right to a </w:t>
                      </w:r>
                      <w:r w:rsidR="00A170A0" w:rsidRPr="00020EDE">
                        <w:rPr>
                          <w:rFonts w:asciiTheme="majorHAnsi" w:hAnsiTheme="majorHAnsi" w:cstheme="majorHAnsi"/>
                          <w:b/>
                          <w:bCs/>
                          <w:iCs/>
                          <w:sz w:val="22"/>
                        </w:rPr>
                        <w:t>nationality and</w:t>
                      </w:r>
                      <w:r w:rsidRPr="00020EDE">
                        <w:rPr>
                          <w:rFonts w:asciiTheme="majorHAnsi" w:hAnsiTheme="majorHAnsi" w:cstheme="majorHAnsi"/>
                          <w:b/>
                          <w:bCs/>
                          <w:iCs/>
                          <w:sz w:val="22"/>
                        </w:rPr>
                        <w:t xml:space="preserve"> amend national laws to comply with international obligations which prohibit the arbitrary deprivation of nationality</w:t>
                      </w:r>
                      <w:r w:rsidR="00020EDE" w:rsidRPr="00020EDE">
                        <w:rPr>
                          <w:rFonts w:asciiTheme="majorHAnsi" w:hAnsiTheme="majorHAnsi" w:cstheme="majorHAnsi"/>
                          <w:b/>
                          <w:bCs/>
                          <w:iCs/>
                          <w:sz w:val="22"/>
                        </w:rPr>
                        <w:t xml:space="preserve">, the prohibition </w:t>
                      </w:r>
                      <w:r w:rsidR="00020EDE" w:rsidRPr="00020EDE">
                        <w:rPr>
                          <w:rFonts w:asciiTheme="majorHAnsi" w:eastAsia="Times New Roman" w:hAnsiTheme="majorHAnsi" w:cs="Times New Roman"/>
                          <w:b/>
                          <w:bCs/>
                          <w:sz w:val="22"/>
                          <w:szCs w:val="22"/>
                          <w:lang w:eastAsia="zh-CN"/>
                        </w:rPr>
                        <w:t>of torture and cruel, inhuman or degrading treatment or punishment</w:t>
                      </w:r>
                      <w:r w:rsidR="00020EDE" w:rsidRPr="00020EDE">
                        <w:rPr>
                          <w:rFonts w:asciiTheme="majorHAnsi" w:hAnsiTheme="majorHAnsi" w:cstheme="majorHAnsi"/>
                          <w:b/>
                          <w:bCs/>
                          <w:iCs/>
                          <w:sz w:val="22"/>
                        </w:rPr>
                        <w:t>,</w:t>
                      </w:r>
                      <w:r w:rsidR="00020EDE">
                        <w:rPr>
                          <w:rFonts w:asciiTheme="majorHAnsi" w:hAnsiTheme="majorHAnsi" w:cstheme="majorHAnsi"/>
                          <w:b/>
                          <w:bCs/>
                          <w:iCs/>
                          <w:sz w:val="22"/>
                        </w:rPr>
                        <w:t xml:space="preserve"> </w:t>
                      </w:r>
                      <w:r w:rsidRPr="00020EDE">
                        <w:rPr>
                          <w:rFonts w:asciiTheme="majorHAnsi" w:hAnsiTheme="majorHAnsi" w:cstheme="majorHAnsi"/>
                          <w:b/>
                          <w:bCs/>
                          <w:iCs/>
                          <w:sz w:val="22"/>
                        </w:rPr>
                        <w:t>and discrimination, while ensuring the avoidance of statelessness</w:t>
                      </w:r>
                      <w:r w:rsidRPr="00487B86">
                        <w:rPr>
                          <w:rFonts w:asciiTheme="majorHAnsi" w:hAnsiTheme="majorHAnsi" w:cstheme="majorHAnsi"/>
                          <w:b/>
                          <w:bCs/>
                          <w:iCs/>
                          <w:sz w:val="22"/>
                        </w:rPr>
                        <w:t xml:space="preserve">. </w:t>
                      </w:r>
                    </w:p>
                    <w:p w14:paraId="25CD5974" w14:textId="77777777" w:rsidR="00487B86" w:rsidRPr="00487B86" w:rsidRDefault="00487B86" w:rsidP="008C7C1C">
                      <w:pPr>
                        <w:pStyle w:val="ListParagraph"/>
                        <w:ind w:left="426" w:hanging="426"/>
                        <w:rPr>
                          <w:rFonts w:asciiTheme="majorHAnsi" w:hAnsiTheme="majorHAnsi" w:cstheme="majorHAnsi"/>
                          <w:b/>
                          <w:bCs/>
                          <w:iCs/>
                          <w:sz w:val="22"/>
                        </w:rPr>
                      </w:pPr>
                    </w:p>
                    <w:p w14:paraId="28D4ED93" w14:textId="6C66B99A" w:rsidR="00487B86" w:rsidRPr="00487B86" w:rsidRDefault="00487B86" w:rsidP="005B1148">
                      <w:pPr>
                        <w:pStyle w:val="ListParagraph"/>
                        <w:numPr>
                          <w:ilvl w:val="0"/>
                          <w:numId w:val="4"/>
                        </w:numPr>
                        <w:ind w:left="426" w:hanging="426"/>
                        <w:rPr>
                          <w:rFonts w:asciiTheme="majorHAnsi" w:hAnsiTheme="majorHAnsi" w:cstheme="majorHAnsi"/>
                          <w:b/>
                          <w:bCs/>
                          <w:iCs/>
                          <w:sz w:val="22"/>
                        </w:rPr>
                      </w:pPr>
                      <w:r w:rsidRPr="00487B86">
                        <w:rPr>
                          <w:rFonts w:asciiTheme="majorHAnsi" w:hAnsiTheme="majorHAnsi" w:cstheme="majorHAnsi"/>
                          <w:b/>
                          <w:bCs/>
                          <w:iCs/>
                          <w:sz w:val="22"/>
                        </w:rPr>
                        <w:t xml:space="preserve">Amend the Belgian Nationality Code to bring provisions on deprivation of nationality in line with </w:t>
                      </w:r>
                      <w:r w:rsidR="00C44C00">
                        <w:rPr>
                          <w:rFonts w:asciiTheme="majorHAnsi" w:hAnsiTheme="majorHAnsi" w:cstheme="majorHAnsi"/>
                          <w:b/>
                          <w:bCs/>
                          <w:iCs/>
                          <w:sz w:val="22"/>
                        </w:rPr>
                        <w:t>best practice</w:t>
                      </w:r>
                      <w:r w:rsidR="00736768">
                        <w:rPr>
                          <w:rFonts w:asciiTheme="majorHAnsi" w:hAnsiTheme="majorHAnsi" w:cstheme="majorHAnsi"/>
                          <w:b/>
                          <w:bCs/>
                          <w:iCs/>
                          <w:sz w:val="22"/>
                        </w:rPr>
                        <w:t xml:space="preserve">, </w:t>
                      </w:r>
                      <w:r w:rsidR="00517858">
                        <w:rPr>
                          <w:rFonts w:asciiTheme="majorHAnsi" w:hAnsiTheme="majorHAnsi" w:cstheme="majorHAnsi"/>
                          <w:b/>
                          <w:bCs/>
                          <w:iCs/>
                          <w:sz w:val="22"/>
                        </w:rPr>
                        <w:t>international standards</w:t>
                      </w:r>
                      <w:r w:rsidR="00736768">
                        <w:rPr>
                          <w:rFonts w:asciiTheme="majorHAnsi" w:hAnsiTheme="majorHAnsi" w:cstheme="majorHAnsi"/>
                          <w:b/>
                          <w:bCs/>
                          <w:iCs/>
                          <w:sz w:val="22"/>
                        </w:rPr>
                        <w:t xml:space="preserve"> and the principle of non-discrimination.</w:t>
                      </w:r>
                    </w:p>
                  </w:txbxContent>
                </v:textbox>
                <w10:wrap type="topAndBottom" anchorx="margin"/>
              </v:shape>
            </w:pict>
          </mc:Fallback>
        </mc:AlternateContent>
      </w:r>
      <w:r w:rsidR="009A687C">
        <w:rPr>
          <w:rFonts w:asciiTheme="majorHAnsi" w:hAnsiTheme="majorHAnsi" w:cstheme="majorHAnsi"/>
          <w:sz w:val="22"/>
        </w:rPr>
        <w:t xml:space="preserve"> </w:t>
      </w:r>
    </w:p>
    <w:p w14:paraId="262CF098" w14:textId="3D9BB85F" w:rsidR="002D48B4" w:rsidRPr="00F95325" w:rsidRDefault="002D48B4" w:rsidP="00024322">
      <w:pPr>
        <w:pStyle w:val="ListParagraph"/>
        <w:widowControl w:val="0"/>
        <w:autoSpaceDE w:val="0"/>
        <w:autoSpaceDN w:val="0"/>
        <w:adjustRightInd w:val="0"/>
        <w:ind w:left="501"/>
        <w:jc w:val="both"/>
        <w:rPr>
          <w:rFonts w:ascii="Calibri" w:hAnsi="Calibri" w:cs="Calibri"/>
          <w:color w:val="000000" w:themeColor="text1"/>
          <w:sz w:val="22"/>
          <w:szCs w:val="22"/>
        </w:rPr>
      </w:pPr>
    </w:p>
    <w:p w14:paraId="6F506182" w14:textId="2831D025" w:rsidR="00A170A0" w:rsidRDefault="00A170A0" w:rsidP="00024322">
      <w:pPr>
        <w:widowControl w:val="0"/>
        <w:rPr>
          <w:rFonts w:ascii="Helvetica" w:hAnsi="Helvetica"/>
          <w:b/>
          <w:bCs/>
          <w:color w:val="2C166F"/>
          <w:sz w:val="28"/>
          <w:szCs w:val="16"/>
        </w:rPr>
      </w:pPr>
    </w:p>
    <w:p w14:paraId="48DB675B" w14:textId="07E4CB1A" w:rsidR="004F7576" w:rsidRPr="00F95325" w:rsidRDefault="004F7576" w:rsidP="00024322">
      <w:pPr>
        <w:widowControl w:val="0"/>
        <w:autoSpaceDE w:val="0"/>
        <w:autoSpaceDN w:val="0"/>
        <w:adjustRightInd w:val="0"/>
        <w:jc w:val="both"/>
        <w:rPr>
          <w:rFonts w:ascii="Helvetica" w:hAnsi="Helvetica"/>
          <w:b/>
          <w:bCs/>
          <w:color w:val="2C166F"/>
          <w:sz w:val="28"/>
          <w:szCs w:val="16"/>
        </w:rPr>
      </w:pPr>
      <w:r w:rsidRPr="00F95325">
        <w:rPr>
          <w:rFonts w:ascii="Helvetica" w:hAnsi="Helvetica"/>
          <w:b/>
          <w:bCs/>
          <w:color w:val="2C166F"/>
          <w:sz w:val="28"/>
          <w:szCs w:val="16"/>
        </w:rPr>
        <w:t>ISSUE 3 – Statelessness determination and the rights of stateless persons in Belgium</w:t>
      </w:r>
    </w:p>
    <w:p w14:paraId="2418F430" w14:textId="42A9EE7E" w:rsidR="004F7576" w:rsidRPr="00F95325" w:rsidRDefault="004F7576" w:rsidP="00024322">
      <w:pPr>
        <w:pStyle w:val="ListParagraph"/>
        <w:widowControl w:val="0"/>
        <w:autoSpaceDE w:val="0"/>
        <w:autoSpaceDN w:val="0"/>
        <w:adjustRightInd w:val="0"/>
        <w:ind w:left="501"/>
        <w:jc w:val="both"/>
        <w:rPr>
          <w:rFonts w:ascii="Calibri" w:hAnsi="Calibri" w:cs="Calibri"/>
          <w:color w:val="F5821F"/>
          <w:sz w:val="22"/>
          <w:szCs w:val="22"/>
        </w:rPr>
      </w:pPr>
    </w:p>
    <w:p w14:paraId="6C5C9F04" w14:textId="3EC160A6" w:rsidR="004F7576" w:rsidRPr="00F95325" w:rsidRDefault="00E14CA6" w:rsidP="007D3FB2">
      <w:pPr>
        <w:pStyle w:val="ListParagraph"/>
        <w:widowControl w:val="0"/>
        <w:numPr>
          <w:ilvl w:val="0"/>
          <w:numId w:val="1"/>
        </w:numPr>
        <w:jc w:val="both"/>
        <w:rPr>
          <w:rFonts w:asciiTheme="majorHAnsi" w:hAnsiTheme="majorHAnsi" w:cstheme="majorHAnsi"/>
          <w:sz w:val="22"/>
          <w:szCs w:val="22"/>
        </w:rPr>
      </w:pPr>
      <w:r>
        <w:rPr>
          <w:rFonts w:asciiTheme="majorHAnsi" w:hAnsiTheme="majorHAnsi" w:cstheme="majorHAnsi"/>
          <w:sz w:val="22"/>
          <w:szCs w:val="22"/>
        </w:rPr>
        <w:t xml:space="preserve">As </w:t>
      </w:r>
      <w:r w:rsidR="00137659">
        <w:rPr>
          <w:rFonts w:asciiTheme="majorHAnsi" w:hAnsiTheme="majorHAnsi" w:cstheme="majorHAnsi"/>
          <w:sz w:val="22"/>
          <w:szCs w:val="22"/>
        </w:rPr>
        <w:t>mentioned</w:t>
      </w:r>
      <w:r w:rsidR="006B4B15">
        <w:rPr>
          <w:rFonts w:asciiTheme="majorHAnsi" w:hAnsiTheme="majorHAnsi" w:cstheme="majorHAnsi"/>
          <w:sz w:val="22"/>
          <w:szCs w:val="22"/>
        </w:rPr>
        <w:t xml:space="preserve"> above</w:t>
      </w:r>
      <w:r w:rsidR="00137659">
        <w:rPr>
          <w:rFonts w:asciiTheme="majorHAnsi" w:hAnsiTheme="majorHAnsi" w:cstheme="majorHAnsi"/>
          <w:sz w:val="22"/>
          <w:szCs w:val="22"/>
        </w:rPr>
        <w:t>, s</w:t>
      </w:r>
      <w:r w:rsidRPr="00E14CA6">
        <w:rPr>
          <w:rFonts w:asciiTheme="majorHAnsi" w:hAnsiTheme="majorHAnsi" w:cstheme="majorHAnsi"/>
          <w:sz w:val="22"/>
          <w:szCs w:val="22"/>
        </w:rPr>
        <w:t xml:space="preserve">tateless people face a heightened risk of arbitrary </w:t>
      </w:r>
      <w:r w:rsidR="009530D4">
        <w:rPr>
          <w:rFonts w:asciiTheme="majorHAnsi" w:hAnsiTheme="majorHAnsi" w:cstheme="majorHAnsi"/>
          <w:sz w:val="22"/>
          <w:szCs w:val="22"/>
        </w:rPr>
        <w:t xml:space="preserve">and lengthy detention, </w:t>
      </w:r>
      <w:r w:rsidR="00F432ED">
        <w:rPr>
          <w:rFonts w:asciiTheme="majorHAnsi" w:hAnsiTheme="majorHAnsi" w:cstheme="majorHAnsi"/>
          <w:sz w:val="22"/>
          <w:szCs w:val="22"/>
        </w:rPr>
        <w:t>particularly</w:t>
      </w:r>
      <w:r w:rsidR="009530D4">
        <w:rPr>
          <w:rFonts w:asciiTheme="majorHAnsi" w:hAnsiTheme="majorHAnsi" w:cstheme="majorHAnsi"/>
          <w:sz w:val="22"/>
          <w:szCs w:val="22"/>
        </w:rPr>
        <w:t xml:space="preserve"> where statelessness is not identified </w:t>
      </w:r>
      <w:r w:rsidR="00F432ED">
        <w:rPr>
          <w:rFonts w:asciiTheme="majorHAnsi" w:hAnsiTheme="majorHAnsi" w:cstheme="majorHAnsi"/>
          <w:sz w:val="22"/>
          <w:szCs w:val="22"/>
        </w:rPr>
        <w:t xml:space="preserve">and the </w:t>
      </w:r>
      <w:r w:rsidR="00831B34">
        <w:rPr>
          <w:rFonts w:asciiTheme="majorHAnsi" w:hAnsiTheme="majorHAnsi" w:cstheme="majorHAnsi"/>
          <w:sz w:val="22"/>
          <w:szCs w:val="22"/>
        </w:rPr>
        <w:t>specific</w:t>
      </w:r>
      <w:r w:rsidRPr="00E14CA6">
        <w:rPr>
          <w:rFonts w:asciiTheme="majorHAnsi" w:hAnsiTheme="majorHAnsi" w:cstheme="majorHAnsi"/>
          <w:sz w:val="22"/>
          <w:szCs w:val="22"/>
        </w:rPr>
        <w:t xml:space="preserve"> vulnerabilities of stateless people are not addressed.</w:t>
      </w:r>
      <w:r>
        <w:rPr>
          <w:rFonts w:asciiTheme="majorHAnsi" w:hAnsiTheme="majorHAnsi" w:cstheme="majorHAnsi"/>
          <w:sz w:val="22"/>
          <w:szCs w:val="22"/>
        </w:rPr>
        <w:t xml:space="preserve"> </w:t>
      </w:r>
      <w:r w:rsidR="004F7576" w:rsidRPr="00F95325">
        <w:rPr>
          <w:rFonts w:asciiTheme="majorHAnsi" w:hAnsiTheme="majorHAnsi" w:cstheme="majorHAnsi"/>
          <w:sz w:val="22"/>
          <w:szCs w:val="22"/>
        </w:rPr>
        <w:t xml:space="preserve">Identifying stateless people in the country </w:t>
      </w:r>
      <w:r w:rsidR="00831B34">
        <w:rPr>
          <w:rFonts w:asciiTheme="majorHAnsi" w:hAnsiTheme="majorHAnsi" w:cstheme="majorHAnsi"/>
          <w:sz w:val="22"/>
          <w:szCs w:val="22"/>
        </w:rPr>
        <w:t xml:space="preserve">and determining </w:t>
      </w:r>
      <w:r w:rsidR="006B4B15">
        <w:rPr>
          <w:rFonts w:asciiTheme="majorHAnsi" w:hAnsiTheme="majorHAnsi" w:cstheme="majorHAnsi"/>
          <w:sz w:val="22"/>
          <w:szCs w:val="22"/>
        </w:rPr>
        <w:t xml:space="preserve">their </w:t>
      </w:r>
      <w:r w:rsidR="00831B34">
        <w:rPr>
          <w:rFonts w:asciiTheme="majorHAnsi" w:hAnsiTheme="majorHAnsi" w:cstheme="majorHAnsi"/>
          <w:sz w:val="22"/>
          <w:szCs w:val="22"/>
        </w:rPr>
        <w:t xml:space="preserve">statelessness </w:t>
      </w:r>
      <w:r w:rsidR="004F7576" w:rsidRPr="00F95325">
        <w:rPr>
          <w:rFonts w:asciiTheme="majorHAnsi" w:hAnsiTheme="majorHAnsi" w:cstheme="majorHAnsi"/>
          <w:sz w:val="22"/>
          <w:szCs w:val="22"/>
        </w:rPr>
        <w:t xml:space="preserve">is </w:t>
      </w:r>
      <w:r w:rsidR="00831B34">
        <w:rPr>
          <w:rFonts w:asciiTheme="majorHAnsi" w:hAnsiTheme="majorHAnsi" w:cstheme="majorHAnsi"/>
          <w:sz w:val="22"/>
          <w:szCs w:val="22"/>
        </w:rPr>
        <w:t xml:space="preserve">therefore </w:t>
      </w:r>
      <w:r w:rsidR="004F7576" w:rsidRPr="00F95325">
        <w:rPr>
          <w:rFonts w:asciiTheme="majorHAnsi" w:hAnsiTheme="majorHAnsi" w:cstheme="majorHAnsi"/>
          <w:sz w:val="22"/>
          <w:szCs w:val="22"/>
        </w:rPr>
        <w:t>the first step to providing adequate protection and enjoyment of the rights enshrined in the 1954 Convention. The co-submitting organisations recommend that this is best fulfilled through a dedicated statelessness determination procedure, in line with UNHCR’s guidelines.</w:t>
      </w:r>
      <w:r w:rsidR="004F7576" w:rsidRPr="00F95325">
        <w:rPr>
          <w:rStyle w:val="FootnoteReference"/>
          <w:rFonts w:asciiTheme="majorHAnsi" w:hAnsiTheme="majorHAnsi" w:cstheme="majorHAnsi"/>
          <w:sz w:val="22"/>
          <w:szCs w:val="22"/>
        </w:rPr>
        <w:footnoteReference w:id="42"/>
      </w:r>
    </w:p>
    <w:p w14:paraId="384D4488" w14:textId="77777777" w:rsidR="004F7576" w:rsidRPr="00F95325" w:rsidRDefault="004F7576" w:rsidP="00024322">
      <w:pPr>
        <w:pStyle w:val="ListParagraph"/>
        <w:widowControl w:val="0"/>
        <w:ind w:left="501"/>
        <w:jc w:val="both"/>
        <w:rPr>
          <w:rFonts w:asciiTheme="majorHAnsi" w:hAnsiTheme="majorHAnsi" w:cstheme="majorHAnsi"/>
          <w:sz w:val="22"/>
          <w:szCs w:val="22"/>
        </w:rPr>
      </w:pPr>
    </w:p>
    <w:p w14:paraId="01E7FE94" w14:textId="77777777" w:rsidR="00820777" w:rsidRPr="00820777" w:rsidRDefault="004F7576" w:rsidP="007D3FB2">
      <w:pPr>
        <w:pStyle w:val="SIBodyText"/>
        <w:widowControl w:val="0"/>
        <w:numPr>
          <w:ilvl w:val="0"/>
          <w:numId w:val="1"/>
        </w:numPr>
        <w:spacing w:after="0" w:line="240" w:lineRule="auto"/>
        <w:jc w:val="both"/>
        <w:rPr>
          <w:rFonts w:asciiTheme="majorHAnsi" w:eastAsia="Times New Roman" w:hAnsiTheme="majorHAnsi" w:cstheme="majorHAnsi"/>
          <w:sz w:val="22"/>
          <w:lang w:eastAsia="fr-FR"/>
        </w:rPr>
      </w:pPr>
      <w:r w:rsidRPr="00820777">
        <w:rPr>
          <w:rFonts w:asciiTheme="majorHAnsi" w:hAnsiTheme="majorHAnsi" w:cstheme="majorHAnsi"/>
          <w:sz w:val="22"/>
        </w:rPr>
        <w:t xml:space="preserve">In Belgium, the judiciary is competent to determine statelessness. Since 2017, a person can be recognised as stateless by one of the family courts established at the six seats of the courts of appeal. </w:t>
      </w:r>
      <w:r w:rsidR="005C29E7" w:rsidRPr="00820777">
        <w:rPr>
          <w:rFonts w:ascii="Calibri" w:hAnsi="Calibri" w:cs="Calibri"/>
          <w:sz w:val="22"/>
        </w:rPr>
        <w:t>The Judiciary Code contains provisions governing the application for statelessness (material and territorial competence of the tribunal, rules of procedure).</w:t>
      </w:r>
      <w:r w:rsidR="005C29E7" w:rsidRPr="00F95325">
        <w:rPr>
          <w:rStyle w:val="FootnoteReference"/>
          <w:rFonts w:ascii="Calibri" w:hAnsi="Calibri" w:cs="Calibri"/>
          <w:sz w:val="22"/>
        </w:rPr>
        <w:footnoteReference w:id="43"/>
      </w:r>
      <w:r w:rsidR="005C29E7" w:rsidRPr="00820777">
        <w:rPr>
          <w:rFonts w:ascii="Calibri" w:hAnsi="Calibri" w:cs="Calibri"/>
          <w:sz w:val="22"/>
        </w:rPr>
        <w:t xml:space="preserve"> However, there are no specific procedural safeguards nor legislation on statelessness determination. </w:t>
      </w:r>
    </w:p>
    <w:p w14:paraId="3C1E152F" w14:textId="77777777" w:rsidR="00820777" w:rsidRDefault="00820777" w:rsidP="00024322">
      <w:pPr>
        <w:pStyle w:val="ListParagraph"/>
        <w:widowControl w:val="0"/>
        <w:rPr>
          <w:rFonts w:asciiTheme="majorHAnsi" w:hAnsiTheme="majorHAnsi" w:cstheme="majorHAnsi"/>
          <w:sz w:val="22"/>
        </w:rPr>
      </w:pPr>
    </w:p>
    <w:p w14:paraId="1C5284AD" w14:textId="4676EA46" w:rsidR="008A1E8F" w:rsidRPr="00820777" w:rsidRDefault="006B4B15" w:rsidP="007D3FB2">
      <w:pPr>
        <w:pStyle w:val="SIBodyText"/>
        <w:widowControl w:val="0"/>
        <w:numPr>
          <w:ilvl w:val="0"/>
          <w:numId w:val="1"/>
        </w:numPr>
        <w:spacing w:after="0" w:line="240" w:lineRule="auto"/>
        <w:jc w:val="both"/>
        <w:rPr>
          <w:rFonts w:asciiTheme="majorHAnsi" w:eastAsia="Times New Roman" w:hAnsiTheme="majorHAnsi" w:cstheme="majorHAnsi"/>
          <w:sz w:val="22"/>
          <w:lang w:eastAsia="fr-FR"/>
        </w:rPr>
      </w:pPr>
      <w:r>
        <w:rPr>
          <w:rFonts w:asciiTheme="majorHAnsi" w:hAnsiTheme="majorHAnsi" w:cstheme="majorHAnsi"/>
          <w:sz w:val="22"/>
        </w:rPr>
        <w:t>The</w:t>
      </w:r>
      <w:r w:rsidR="00B17572">
        <w:rPr>
          <w:rFonts w:asciiTheme="majorHAnsi" w:hAnsiTheme="majorHAnsi" w:cstheme="majorHAnsi"/>
          <w:sz w:val="22"/>
        </w:rPr>
        <w:t xml:space="preserve"> existing</w:t>
      </w:r>
      <w:r w:rsidR="004F7576" w:rsidRPr="00820777">
        <w:rPr>
          <w:rFonts w:asciiTheme="majorHAnsi" w:hAnsiTheme="majorHAnsi" w:cstheme="majorHAnsi"/>
          <w:sz w:val="22"/>
        </w:rPr>
        <w:t xml:space="preserve"> procedure falls short of standards set out in the UNHCR Handbook on Protection of Stateless Persons in a number of areas, </w:t>
      </w:r>
      <w:r>
        <w:rPr>
          <w:rFonts w:asciiTheme="majorHAnsi" w:hAnsiTheme="majorHAnsi" w:cstheme="majorHAnsi"/>
          <w:sz w:val="22"/>
        </w:rPr>
        <w:t>so</w:t>
      </w:r>
      <w:r w:rsidRPr="00820777">
        <w:rPr>
          <w:rFonts w:asciiTheme="majorHAnsi" w:hAnsiTheme="majorHAnsi" w:cstheme="majorHAnsi"/>
          <w:sz w:val="22"/>
        </w:rPr>
        <w:t xml:space="preserve"> </w:t>
      </w:r>
      <w:r w:rsidR="004F7576" w:rsidRPr="00820777">
        <w:rPr>
          <w:rFonts w:asciiTheme="majorHAnsi" w:hAnsiTheme="majorHAnsi" w:cstheme="majorHAnsi"/>
          <w:sz w:val="22"/>
        </w:rPr>
        <w:t xml:space="preserve">cannot be considered a formal statelessness determination procedure. During the procedure, applicants are not protected against removal, and </w:t>
      </w:r>
      <w:r>
        <w:rPr>
          <w:rFonts w:asciiTheme="majorHAnsi" w:hAnsiTheme="majorHAnsi" w:cstheme="majorHAnsi"/>
          <w:sz w:val="22"/>
        </w:rPr>
        <w:t>may be at risk of detention</w:t>
      </w:r>
      <w:r w:rsidR="004F7576" w:rsidRPr="00820777">
        <w:rPr>
          <w:rFonts w:asciiTheme="majorHAnsi" w:hAnsiTheme="majorHAnsi" w:cstheme="majorHAnsi"/>
          <w:sz w:val="22"/>
        </w:rPr>
        <w:t xml:space="preserve">.  As applicants are considered undocumented migrants, they have only limited rights. In the judicial procedure, the burden of proof lies almost entirely with the applicant, and the standard of proof and documents required from the applicant are unclear. Delays in decision-making vary between courts but can be up to 12 to 18 months. If the application is rejected, an appeal can be filed. Legal aid is available both in first instance and in appeal, under the same conditions. </w:t>
      </w:r>
    </w:p>
    <w:p w14:paraId="24B89E84" w14:textId="77777777" w:rsidR="008A1E8F" w:rsidRDefault="008A1E8F" w:rsidP="00024322">
      <w:pPr>
        <w:pStyle w:val="ListParagraph"/>
        <w:widowControl w:val="0"/>
        <w:rPr>
          <w:rFonts w:ascii="Calibri" w:hAnsi="Calibri" w:cs="Calibri"/>
          <w:sz w:val="22"/>
        </w:rPr>
      </w:pPr>
    </w:p>
    <w:p w14:paraId="5CC403DB" w14:textId="1D8A3E84" w:rsidR="004F7576" w:rsidRPr="00F95325" w:rsidRDefault="001D7C98" w:rsidP="007D3FB2">
      <w:pPr>
        <w:pStyle w:val="ListParagraph"/>
        <w:widowControl w:val="0"/>
        <w:numPr>
          <w:ilvl w:val="0"/>
          <w:numId w:val="1"/>
        </w:numPr>
        <w:jc w:val="both"/>
        <w:rPr>
          <w:rFonts w:asciiTheme="majorHAnsi" w:eastAsia="Times New Roman" w:hAnsiTheme="majorHAnsi" w:cstheme="majorHAnsi"/>
          <w:sz w:val="22"/>
          <w:szCs w:val="22"/>
          <w:lang w:eastAsia="fr-FR"/>
        </w:rPr>
      </w:pPr>
      <w:r>
        <w:rPr>
          <w:rFonts w:asciiTheme="majorHAnsi" w:hAnsiTheme="majorHAnsi" w:cstheme="majorHAnsi"/>
          <w:sz w:val="22"/>
          <w:szCs w:val="22"/>
        </w:rPr>
        <w:t>Crucially, r</w:t>
      </w:r>
      <w:r w:rsidRPr="00F95325">
        <w:rPr>
          <w:rFonts w:asciiTheme="majorHAnsi" w:hAnsiTheme="majorHAnsi" w:cstheme="majorHAnsi"/>
          <w:sz w:val="22"/>
          <w:szCs w:val="22"/>
        </w:rPr>
        <w:t>ecognition</w:t>
      </w:r>
      <w:r>
        <w:rPr>
          <w:rFonts w:asciiTheme="majorHAnsi" w:hAnsiTheme="majorHAnsi" w:cstheme="majorHAnsi"/>
          <w:sz w:val="22"/>
          <w:szCs w:val="22"/>
        </w:rPr>
        <w:t xml:space="preserve"> </w:t>
      </w:r>
      <w:r w:rsidR="004F7576" w:rsidRPr="00F95325">
        <w:rPr>
          <w:rFonts w:asciiTheme="majorHAnsi" w:hAnsiTheme="majorHAnsi" w:cstheme="majorHAnsi"/>
          <w:sz w:val="22"/>
          <w:szCs w:val="22"/>
        </w:rPr>
        <w:t>as stateless</w:t>
      </w:r>
      <w:r>
        <w:rPr>
          <w:rFonts w:asciiTheme="majorHAnsi" w:hAnsiTheme="majorHAnsi" w:cstheme="majorHAnsi"/>
          <w:sz w:val="22"/>
          <w:szCs w:val="22"/>
        </w:rPr>
        <w:t xml:space="preserve"> under the judicial procedure</w:t>
      </w:r>
      <w:r w:rsidR="004F7576" w:rsidRPr="00F95325">
        <w:rPr>
          <w:rFonts w:asciiTheme="majorHAnsi" w:hAnsiTheme="majorHAnsi" w:cstheme="majorHAnsi"/>
          <w:sz w:val="22"/>
          <w:szCs w:val="22"/>
        </w:rPr>
        <w:t xml:space="preserve"> does not result in an automatic residence permit and the law does not provide for a procedure for a stateless person to acquire a residence permit. </w:t>
      </w:r>
      <w:r w:rsidR="007C66BF" w:rsidRPr="00F95325">
        <w:rPr>
          <w:rFonts w:ascii="Calibri" w:hAnsi="Calibri" w:cs="Calibri"/>
          <w:sz w:val="22"/>
          <w:szCs w:val="22"/>
        </w:rPr>
        <w:t xml:space="preserve">Persons recognised as stateless by the </w:t>
      </w:r>
      <w:r w:rsidR="00C66F20">
        <w:rPr>
          <w:rFonts w:ascii="Calibri" w:hAnsi="Calibri" w:cs="Calibri"/>
          <w:sz w:val="22"/>
          <w:szCs w:val="22"/>
        </w:rPr>
        <w:t>court</w:t>
      </w:r>
      <w:r w:rsidR="007C66BF" w:rsidRPr="00F95325">
        <w:rPr>
          <w:rFonts w:ascii="Calibri" w:hAnsi="Calibri" w:cs="Calibri"/>
          <w:sz w:val="22"/>
          <w:szCs w:val="22"/>
        </w:rPr>
        <w:t xml:space="preserve"> must apply </w:t>
      </w:r>
      <w:r w:rsidR="00C66F20" w:rsidRPr="00F95325">
        <w:rPr>
          <w:rFonts w:asciiTheme="majorHAnsi" w:hAnsiTheme="majorHAnsi" w:cstheme="majorHAnsi"/>
          <w:sz w:val="22"/>
          <w:szCs w:val="22"/>
        </w:rPr>
        <w:t xml:space="preserve">to the Immigration Office </w:t>
      </w:r>
      <w:r w:rsidR="007C66BF" w:rsidRPr="00F95325">
        <w:rPr>
          <w:rFonts w:ascii="Calibri" w:hAnsi="Calibri" w:cs="Calibri"/>
          <w:sz w:val="22"/>
          <w:szCs w:val="22"/>
        </w:rPr>
        <w:t>for a residence permit on humanitarian grounds</w:t>
      </w:r>
      <w:r w:rsidR="00C66F20">
        <w:rPr>
          <w:rFonts w:ascii="Calibri" w:hAnsi="Calibri" w:cs="Calibri"/>
          <w:sz w:val="22"/>
          <w:szCs w:val="22"/>
        </w:rPr>
        <w:t>.</w:t>
      </w:r>
      <w:r w:rsidR="007C66BF" w:rsidRPr="00F95325">
        <w:rPr>
          <w:rStyle w:val="FootnoteReference"/>
          <w:rFonts w:ascii="Calibri" w:hAnsi="Calibri" w:cs="Calibri"/>
          <w:sz w:val="22"/>
          <w:szCs w:val="22"/>
        </w:rPr>
        <w:footnoteReference w:id="44"/>
      </w:r>
      <w:r w:rsidR="004D491E" w:rsidRPr="00F95325">
        <w:rPr>
          <w:rFonts w:asciiTheme="majorHAnsi" w:hAnsiTheme="majorHAnsi" w:cstheme="majorHAnsi"/>
          <w:sz w:val="22"/>
          <w:szCs w:val="22"/>
        </w:rPr>
        <w:t xml:space="preserve"> </w:t>
      </w:r>
      <w:r w:rsidR="00202D4B">
        <w:rPr>
          <w:rFonts w:asciiTheme="majorHAnsi" w:hAnsiTheme="majorHAnsi" w:cstheme="majorHAnsi"/>
          <w:sz w:val="22"/>
          <w:szCs w:val="22"/>
        </w:rPr>
        <w:t>A</w:t>
      </w:r>
      <w:r w:rsidR="00C91E34" w:rsidRPr="008A1E8F">
        <w:rPr>
          <w:rFonts w:ascii="Calibri" w:hAnsi="Calibri" w:cs="Calibri"/>
          <w:sz w:val="22"/>
          <w:szCs w:val="22"/>
        </w:rPr>
        <w:t xml:space="preserve"> person recognised as stateless under the judicial procedure does not derive any additional rights from this recognition (beyond those accessible to undocumented migrants).</w:t>
      </w:r>
      <w:r w:rsidR="00C91E34">
        <w:rPr>
          <w:rFonts w:ascii="Calibri" w:hAnsi="Calibri" w:cs="Calibri"/>
          <w:sz w:val="22"/>
          <w:szCs w:val="22"/>
        </w:rPr>
        <w:t xml:space="preserve"> </w:t>
      </w:r>
      <w:r w:rsidR="004F7576" w:rsidRPr="00F95325">
        <w:rPr>
          <w:rFonts w:asciiTheme="majorHAnsi" w:hAnsiTheme="majorHAnsi" w:cstheme="majorHAnsi"/>
          <w:sz w:val="22"/>
          <w:szCs w:val="22"/>
        </w:rPr>
        <w:t>There is no right to temporary residence while the application is pending, and the applicant may only access urgent healthcare and is not permitted to work, access housing or social security. Regularisation for recognised stateless persons is generally difficult. An appeal against refusal of a residence permit can be filed before the ‘Council for Immigration Law Litigation (CILL)’, but this is not an effective remedy as CILL may only examine the lawfulness of the decision</w:t>
      </w:r>
      <w:r w:rsidR="00693270">
        <w:rPr>
          <w:rFonts w:asciiTheme="majorHAnsi" w:hAnsiTheme="majorHAnsi" w:cstheme="majorHAnsi"/>
          <w:sz w:val="22"/>
          <w:szCs w:val="22"/>
        </w:rPr>
        <w:t>.</w:t>
      </w:r>
      <w:r w:rsidR="00693270" w:rsidRPr="00693270">
        <w:rPr>
          <w:rFonts w:asciiTheme="majorHAnsi" w:hAnsiTheme="majorHAnsi" w:cstheme="majorHAnsi"/>
          <w:sz w:val="22"/>
        </w:rPr>
        <w:t xml:space="preserve"> </w:t>
      </w:r>
    </w:p>
    <w:p w14:paraId="66D4D37B" w14:textId="00E28A3D" w:rsidR="004F7576" w:rsidRPr="00F95325" w:rsidRDefault="00B116FD" w:rsidP="00024322">
      <w:pPr>
        <w:pStyle w:val="ListParagraph"/>
        <w:widowControl w:val="0"/>
        <w:ind w:left="501"/>
        <w:jc w:val="both"/>
        <w:rPr>
          <w:rFonts w:asciiTheme="majorHAnsi" w:eastAsia="Times New Roman" w:hAnsiTheme="majorHAnsi" w:cstheme="majorHAnsi"/>
          <w:sz w:val="22"/>
          <w:szCs w:val="22"/>
          <w:lang w:eastAsia="fr-FR"/>
        </w:rPr>
      </w:pPr>
      <w:r w:rsidRPr="00B116FD">
        <w:rPr>
          <w:rFonts w:ascii="Calibri" w:hAnsi="Calibri" w:cs="Calibri"/>
          <w:sz w:val="22"/>
          <w:szCs w:val="22"/>
        </w:rPr>
        <w:t xml:space="preserve"> </w:t>
      </w:r>
    </w:p>
    <w:p w14:paraId="0DC1F73E" w14:textId="7D9CE2AA" w:rsidR="004F7576" w:rsidRPr="00AC2713" w:rsidRDefault="004F7576" w:rsidP="007D3FB2">
      <w:pPr>
        <w:pStyle w:val="ListParagraph"/>
        <w:widowControl w:val="0"/>
        <w:numPr>
          <w:ilvl w:val="0"/>
          <w:numId w:val="1"/>
        </w:numPr>
        <w:autoSpaceDE w:val="0"/>
        <w:autoSpaceDN w:val="0"/>
        <w:adjustRightInd w:val="0"/>
        <w:jc w:val="both"/>
        <w:rPr>
          <w:rFonts w:asciiTheme="majorHAnsi" w:hAnsiTheme="majorHAnsi" w:cstheme="majorHAnsi"/>
          <w:sz w:val="22"/>
          <w:szCs w:val="22"/>
        </w:rPr>
      </w:pPr>
      <w:r w:rsidRPr="00AC2713">
        <w:rPr>
          <w:rFonts w:asciiTheme="majorHAnsi" w:hAnsiTheme="majorHAnsi" w:cstheme="majorHAnsi"/>
          <w:sz w:val="22"/>
          <w:szCs w:val="22"/>
        </w:rPr>
        <w:t xml:space="preserve">Stateless asylum seekers are – until determination of their claims – entitled to remain in Belgium, benefit from basic social assistance and have access to a range of other rights. If their asylum claim is refused, they lose the right to reside in Belgium as well as access to most other rights, with the exception of urgent medical care. </w:t>
      </w:r>
      <w:r w:rsidR="008F2CCD" w:rsidRPr="00AC2713">
        <w:rPr>
          <w:rFonts w:asciiTheme="majorHAnsi" w:hAnsiTheme="majorHAnsi" w:cstheme="majorHAnsi"/>
          <w:sz w:val="22"/>
          <w:szCs w:val="22"/>
        </w:rPr>
        <w:t>There is no clear referral mechanism from the asylum procedure to the judicial procedure to determine statelessness</w:t>
      </w:r>
      <w:r w:rsidR="00A5412D" w:rsidRPr="00AC2713">
        <w:rPr>
          <w:rFonts w:asciiTheme="majorHAnsi" w:hAnsiTheme="majorHAnsi" w:cstheme="majorHAnsi"/>
          <w:sz w:val="22"/>
          <w:szCs w:val="22"/>
        </w:rPr>
        <w:t>.</w:t>
      </w:r>
      <w:r w:rsidR="00066244">
        <w:rPr>
          <w:rStyle w:val="FootnoteReference"/>
          <w:rFonts w:asciiTheme="majorHAnsi" w:hAnsiTheme="majorHAnsi" w:cstheme="majorHAnsi"/>
          <w:sz w:val="22"/>
          <w:szCs w:val="22"/>
        </w:rPr>
        <w:footnoteReference w:id="45"/>
      </w:r>
    </w:p>
    <w:p w14:paraId="6536CC07" w14:textId="77777777" w:rsidR="004F7576" w:rsidRPr="00F95325" w:rsidRDefault="004F7576" w:rsidP="00024322">
      <w:pPr>
        <w:pStyle w:val="ListParagraph"/>
        <w:widowControl w:val="0"/>
        <w:rPr>
          <w:rFonts w:asciiTheme="majorHAnsi" w:hAnsiTheme="majorHAnsi" w:cstheme="majorHAnsi"/>
          <w:sz w:val="22"/>
          <w:szCs w:val="22"/>
        </w:rPr>
      </w:pPr>
    </w:p>
    <w:p w14:paraId="1064028D" w14:textId="56B33D33" w:rsidR="00E20581" w:rsidRPr="00B116FD" w:rsidRDefault="004F7576" w:rsidP="007D3FB2">
      <w:pPr>
        <w:pStyle w:val="ListParagraph"/>
        <w:widowControl w:val="0"/>
        <w:numPr>
          <w:ilvl w:val="0"/>
          <w:numId w:val="1"/>
        </w:numPr>
        <w:autoSpaceDE w:val="0"/>
        <w:autoSpaceDN w:val="0"/>
        <w:adjustRightInd w:val="0"/>
        <w:jc w:val="both"/>
        <w:rPr>
          <w:rFonts w:ascii="Calibri" w:hAnsi="Calibri" w:cs="Calibri"/>
          <w:sz w:val="22"/>
          <w:szCs w:val="22"/>
        </w:rPr>
      </w:pPr>
      <w:r w:rsidRPr="00B116FD">
        <w:rPr>
          <w:rFonts w:asciiTheme="majorHAnsi" w:hAnsiTheme="majorHAnsi" w:cstheme="majorHAnsi"/>
          <w:sz w:val="22"/>
          <w:szCs w:val="22"/>
        </w:rPr>
        <w:t xml:space="preserve">A legislative proposal was introduced in 2019 in </w:t>
      </w:r>
      <w:r w:rsidR="00E469D5">
        <w:rPr>
          <w:rFonts w:asciiTheme="majorHAnsi" w:hAnsiTheme="majorHAnsi" w:cstheme="majorHAnsi"/>
          <w:sz w:val="22"/>
          <w:szCs w:val="22"/>
        </w:rPr>
        <w:t>the Belgian P</w:t>
      </w:r>
      <w:r w:rsidRPr="00B116FD">
        <w:rPr>
          <w:rFonts w:asciiTheme="majorHAnsi" w:hAnsiTheme="majorHAnsi" w:cstheme="majorHAnsi"/>
          <w:sz w:val="22"/>
          <w:szCs w:val="22"/>
        </w:rPr>
        <w:t>arliament to establish criteria and a procedure for granting a residence permit to recognised stateless people</w:t>
      </w:r>
      <w:r w:rsidR="005A106E" w:rsidRPr="00B116FD">
        <w:rPr>
          <w:rFonts w:asciiTheme="majorHAnsi" w:hAnsiTheme="majorHAnsi" w:cstheme="majorHAnsi"/>
          <w:sz w:val="22"/>
          <w:szCs w:val="22"/>
        </w:rPr>
        <w:t>, but it has not been adopted.</w:t>
      </w:r>
      <w:r w:rsidR="005A106E">
        <w:rPr>
          <w:rStyle w:val="FootnoteReference"/>
          <w:rFonts w:asciiTheme="majorHAnsi" w:hAnsiTheme="majorHAnsi" w:cstheme="majorHAnsi"/>
          <w:sz w:val="22"/>
          <w:szCs w:val="22"/>
        </w:rPr>
        <w:footnoteReference w:id="46"/>
      </w:r>
      <w:r w:rsidRPr="00B116FD">
        <w:rPr>
          <w:rFonts w:asciiTheme="majorHAnsi" w:hAnsiTheme="majorHAnsi" w:cstheme="majorHAnsi"/>
          <w:sz w:val="22"/>
          <w:szCs w:val="22"/>
        </w:rPr>
        <w:t xml:space="preserve"> The new Belgian Government announced its intention in 2020 to address the issue of residence permits for stateless people and its plans to grant a residence permit to stateless people who are unable to return to their country of origin </w:t>
      </w:r>
      <w:r w:rsidRPr="00B116FD">
        <w:rPr>
          <w:rFonts w:asciiTheme="majorHAnsi" w:hAnsiTheme="majorHAnsi" w:cstheme="majorHAnsi"/>
          <w:sz w:val="22"/>
          <w:szCs w:val="22"/>
        </w:rPr>
        <w:lastRenderedPageBreak/>
        <w:t>for reasons beyond their control.</w:t>
      </w:r>
      <w:r w:rsidR="005A106E">
        <w:rPr>
          <w:rStyle w:val="FootnoteReference"/>
          <w:rFonts w:asciiTheme="majorHAnsi" w:hAnsiTheme="majorHAnsi" w:cstheme="majorHAnsi"/>
          <w:sz w:val="22"/>
          <w:szCs w:val="22"/>
        </w:rPr>
        <w:footnoteReference w:id="47"/>
      </w:r>
      <w:r w:rsidR="00D54A98" w:rsidRPr="00B116FD">
        <w:rPr>
          <w:rFonts w:asciiTheme="majorHAnsi" w:hAnsiTheme="majorHAnsi" w:cstheme="majorHAnsi"/>
          <w:sz w:val="22"/>
          <w:szCs w:val="22"/>
        </w:rPr>
        <w:t xml:space="preserve"> </w:t>
      </w:r>
      <w:r w:rsidRPr="00B116FD">
        <w:rPr>
          <w:rFonts w:asciiTheme="majorHAnsi" w:hAnsiTheme="majorHAnsi" w:cstheme="majorHAnsi"/>
          <w:sz w:val="22"/>
          <w:szCs w:val="22"/>
        </w:rPr>
        <w:t xml:space="preserve">In 2021, </w:t>
      </w:r>
      <w:r w:rsidR="001229FD" w:rsidRPr="00B116FD">
        <w:rPr>
          <w:rFonts w:asciiTheme="majorHAnsi" w:hAnsiTheme="majorHAnsi" w:cstheme="majorHAnsi"/>
          <w:sz w:val="22"/>
          <w:szCs w:val="22"/>
        </w:rPr>
        <w:t xml:space="preserve">the State Secretary for </w:t>
      </w:r>
      <w:r w:rsidR="00E469D5">
        <w:rPr>
          <w:rFonts w:asciiTheme="majorHAnsi" w:hAnsiTheme="majorHAnsi" w:cstheme="majorHAnsi"/>
          <w:sz w:val="22"/>
          <w:szCs w:val="22"/>
        </w:rPr>
        <w:t>A</w:t>
      </w:r>
      <w:r w:rsidR="001229FD" w:rsidRPr="00B116FD">
        <w:rPr>
          <w:rFonts w:asciiTheme="majorHAnsi" w:hAnsiTheme="majorHAnsi" w:cstheme="majorHAnsi"/>
          <w:sz w:val="22"/>
          <w:szCs w:val="22"/>
        </w:rPr>
        <w:t xml:space="preserve">sylum and </w:t>
      </w:r>
      <w:r w:rsidR="00E469D5">
        <w:rPr>
          <w:rFonts w:asciiTheme="majorHAnsi" w:hAnsiTheme="majorHAnsi" w:cstheme="majorHAnsi"/>
          <w:sz w:val="22"/>
          <w:szCs w:val="22"/>
        </w:rPr>
        <w:t>M</w:t>
      </w:r>
      <w:r w:rsidR="001229FD" w:rsidRPr="00B116FD">
        <w:rPr>
          <w:rFonts w:asciiTheme="majorHAnsi" w:hAnsiTheme="majorHAnsi" w:cstheme="majorHAnsi"/>
          <w:sz w:val="22"/>
          <w:szCs w:val="22"/>
        </w:rPr>
        <w:t xml:space="preserve">igration appointed a commission led by two academic experts, </w:t>
      </w:r>
      <w:r w:rsidR="00E469D5">
        <w:rPr>
          <w:rFonts w:asciiTheme="majorHAnsi" w:hAnsiTheme="majorHAnsi" w:cstheme="majorHAnsi"/>
          <w:sz w:val="22"/>
          <w:szCs w:val="22"/>
        </w:rPr>
        <w:t>to consider</w:t>
      </w:r>
      <w:r w:rsidR="001229FD" w:rsidRPr="00B116FD">
        <w:rPr>
          <w:rFonts w:asciiTheme="majorHAnsi" w:hAnsiTheme="majorHAnsi" w:cstheme="majorHAnsi"/>
          <w:sz w:val="22"/>
          <w:szCs w:val="22"/>
        </w:rPr>
        <w:t xml:space="preserve"> the adoption of a new migration code. </w:t>
      </w:r>
      <w:r w:rsidR="00D54A98" w:rsidRPr="00B116FD">
        <w:rPr>
          <w:rFonts w:asciiTheme="majorHAnsi" w:hAnsiTheme="majorHAnsi" w:cstheme="majorHAnsi"/>
          <w:sz w:val="22"/>
          <w:szCs w:val="22"/>
        </w:rPr>
        <w:t>C</w:t>
      </w:r>
      <w:r w:rsidR="001229FD" w:rsidRPr="00B116FD">
        <w:rPr>
          <w:rFonts w:asciiTheme="majorHAnsi" w:hAnsiTheme="majorHAnsi" w:cstheme="majorHAnsi"/>
          <w:sz w:val="22"/>
          <w:szCs w:val="22"/>
        </w:rPr>
        <w:t xml:space="preserve">onsultations </w:t>
      </w:r>
      <w:r w:rsidR="00D54A98" w:rsidRPr="00B116FD">
        <w:rPr>
          <w:rFonts w:asciiTheme="majorHAnsi" w:hAnsiTheme="majorHAnsi" w:cstheme="majorHAnsi"/>
          <w:sz w:val="22"/>
          <w:szCs w:val="22"/>
        </w:rPr>
        <w:t>with</w:t>
      </w:r>
      <w:r w:rsidR="001229FD" w:rsidRPr="00B116FD">
        <w:rPr>
          <w:rFonts w:asciiTheme="majorHAnsi" w:hAnsiTheme="majorHAnsi" w:cstheme="majorHAnsi"/>
          <w:sz w:val="22"/>
          <w:szCs w:val="22"/>
        </w:rPr>
        <w:t xml:space="preserve"> civil society </w:t>
      </w:r>
      <w:r w:rsidR="00D54A98" w:rsidRPr="00B116FD">
        <w:rPr>
          <w:rFonts w:asciiTheme="majorHAnsi" w:hAnsiTheme="majorHAnsi" w:cstheme="majorHAnsi"/>
          <w:sz w:val="22"/>
          <w:szCs w:val="22"/>
        </w:rPr>
        <w:t>are currently under</w:t>
      </w:r>
      <w:r w:rsidR="006D0EE8">
        <w:rPr>
          <w:rFonts w:asciiTheme="majorHAnsi" w:hAnsiTheme="majorHAnsi" w:cstheme="majorHAnsi"/>
          <w:sz w:val="22"/>
          <w:szCs w:val="22"/>
        </w:rPr>
        <w:t xml:space="preserve"> </w:t>
      </w:r>
      <w:r w:rsidR="00D54A98" w:rsidRPr="00B116FD">
        <w:rPr>
          <w:rFonts w:asciiTheme="majorHAnsi" w:hAnsiTheme="majorHAnsi" w:cstheme="majorHAnsi"/>
          <w:sz w:val="22"/>
          <w:szCs w:val="22"/>
        </w:rPr>
        <w:t>way</w:t>
      </w:r>
      <w:r w:rsidR="001526D8" w:rsidRPr="00B116FD">
        <w:rPr>
          <w:rFonts w:asciiTheme="majorHAnsi" w:hAnsiTheme="majorHAnsi" w:cstheme="majorHAnsi"/>
          <w:sz w:val="22"/>
          <w:szCs w:val="22"/>
        </w:rPr>
        <w:t>.</w:t>
      </w:r>
      <w:r w:rsidR="001526D8">
        <w:rPr>
          <w:rStyle w:val="FootnoteReference"/>
          <w:rFonts w:asciiTheme="majorHAnsi" w:hAnsiTheme="majorHAnsi" w:cstheme="majorHAnsi"/>
          <w:sz w:val="22"/>
          <w:szCs w:val="22"/>
        </w:rPr>
        <w:footnoteReference w:id="48"/>
      </w:r>
    </w:p>
    <w:p w14:paraId="150533EA" w14:textId="5BCA7F12" w:rsidR="004F7576" w:rsidRPr="00F95325" w:rsidRDefault="00C364C5" w:rsidP="00024322">
      <w:pPr>
        <w:widowControl w:val="0"/>
        <w:rPr>
          <w:rFonts w:asciiTheme="majorHAnsi" w:hAnsiTheme="majorHAnsi" w:cstheme="majorHAnsi"/>
          <w:color w:val="000000" w:themeColor="text1"/>
          <w:sz w:val="22"/>
          <w:szCs w:val="22"/>
        </w:rPr>
      </w:pPr>
      <w:r w:rsidRPr="00F95325">
        <w:rPr>
          <w:noProof/>
        </w:rPr>
        <mc:AlternateContent>
          <mc:Choice Requires="wps">
            <w:drawing>
              <wp:anchor distT="0" distB="0" distL="114300" distR="114300" simplePos="0" relativeHeight="251658246" behindDoc="0" locked="0" layoutInCell="1" allowOverlap="1" wp14:anchorId="57CA1489" wp14:editId="0F22A7EE">
                <wp:simplePos x="0" y="0"/>
                <wp:positionH relativeFrom="margin">
                  <wp:posOffset>-5080</wp:posOffset>
                </wp:positionH>
                <wp:positionV relativeFrom="paragraph">
                  <wp:posOffset>184785</wp:posOffset>
                </wp:positionV>
                <wp:extent cx="5273675" cy="4576445"/>
                <wp:effectExtent l="0" t="0" r="22225" b="14605"/>
                <wp:wrapTopAndBottom/>
                <wp:docPr id="1" name="Πλαίσιο κειμένου 4"/>
                <wp:cNvGraphicFramePr/>
                <a:graphic xmlns:a="http://schemas.openxmlformats.org/drawingml/2006/main">
                  <a:graphicData uri="http://schemas.microsoft.com/office/word/2010/wordprocessingShape">
                    <wps:wsp>
                      <wps:cNvSpPr txBox="1"/>
                      <wps:spPr>
                        <a:xfrm>
                          <a:off x="0" y="0"/>
                          <a:ext cx="5273675" cy="4576445"/>
                        </a:xfrm>
                        <a:prstGeom prst="rect">
                          <a:avLst/>
                        </a:prstGeom>
                        <a:solidFill>
                          <a:sysClr val="window" lastClr="FFFFFF"/>
                        </a:solidFill>
                        <a:ln w="6350">
                          <a:solidFill>
                            <a:prstClr val="black"/>
                          </a:solidFill>
                        </a:ln>
                      </wps:spPr>
                      <wps:txbx>
                        <w:txbxContent>
                          <w:p w14:paraId="7CAAD7D2" w14:textId="77777777" w:rsidR="004F7576" w:rsidRDefault="004F7576" w:rsidP="004F7576">
                            <w:pPr>
                              <w:jc w:val="both"/>
                              <w:rPr>
                                <w:rFonts w:asciiTheme="majorHAnsi" w:hAnsiTheme="majorHAnsi" w:cstheme="majorHAnsi"/>
                                <w:b/>
                                <w:bCs/>
                                <w:sz w:val="22"/>
                                <w:szCs w:val="22"/>
                              </w:rPr>
                            </w:pPr>
                            <w:r>
                              <w:rPr>
                                <w:rFonts w:asciiTheme="majorHAnsi" w:hAnsiTheme="majorHAnsi" w:cstheme="majorHAnsi"/>
                                <w:b/>
                                <w:bCs/>
                                <w:sz w:val="22"/>
                                <w:szCs w:val="22"/>
                              </w:rPr>
                              <w:t>Recommendations</w:t>
                            </w:r>
                            <w:r w:rsidRPr="003F720D">
                              <w:rPr>
                                <w:rFonts w:asciiTheme="majorHAnsi" w:hAnsiTheme="majorHAnsi" w:cstheme="majorHAnsi"/>
                                <w:b/>
                                <w:bCs/>
                                <w:sz w:val="22"/>
                                <w:szCs w:val="22"/>
                              </w:rPr>
                              <w:t xml:space="preserve">: </w:t>
                            </w:r>
                          </w:p>
                          <w:p w14:paraId="41269A3C" w14:textId="77777777" w:rsidR="004F7576" w:rsidRPr="003F720D" w:rsidRDefault="004F7576" w:rsidP="004F7576">
                            <w:pPr>
                              <w:jc w:val="both"/>
                              <w:rPr>
                                <w:rFonts w:asciiTheme="majorHAnsi" w:hAnsiTheme="majorHAnsi" w:cstheme="majorHAnsi"/>
                                <w:b/>
                                <w:bCs/>
                                <w:sz w:val="22"/>
                                <w:szCs w:val="22"/>
                              </w:rPr>
                            </w:pPr>
                          </w:p>
                          <w:p w14:paraId="00F7CEE3" w14:textId="77777777" w:rsidR="004F7576" w:rsidRPr="00487B86" w:rsidRDefault="004F7576" w:rsidP="005B1148">
                            <w:pPr>
                              <w:pStyle w:val="ListParagraph"/>
                              <w:numPr>
                                <w:ilvl w:val="0"/>
                                <w:numId w:val="4"/>
                              </w:numPr>
                              <w:ind w:left="426" w:hanging="426"/>
                              <w:jc w:val="both"/>
                              <w:rPr>
                                <w:rFonts w:asciiTheme="majorHAnsi" w:hAnsiTheme="majorHAnsi" w:cstheme="majorHAnsi"/>
                                <w:b/>
                                <w:bCs/>
                                <w:iCs/>
                                <w:sz w:val="22"/>
                                <w:szCs w:val="22"/>
                              </w:rPr>
                            </w:pPr>
                            <w:r w:rsidRPr="00487B86">
                              <w:rPr>
                                <w:rFonts w:asciiTheme="majorHAnsi" w:hAnsiTheme="majorHAnsi" w:cstheme="majorHAnsi"/>
                                <w:b/>
                                <w:bCs/>
                                <w:iCs/>
                                <w:sz w:val="22"/>
                                <w:szCs w:val="22"/>
                              </w:rPr>
                              <w:t>Fully promote, respect, protect and fulfil its obligations towards stateless persons and the right to a nationality under international human rights law.</w:t>
                            </w:r>
                          </w:p>
                          <w:p w14:paraId="3DC87AD6" w14:textId="77777777" w:rsidR="004F7576" w:rsidRPr="00487B86" w:rsidRDefault="004F7576" w:rsidP="004F7576">
                            <w:pPr>
                              <w:ind w:left="426" w:hanging="426"/>
                              <w:rPr>
                                <w:rFonts w:asciiTheme="majorHAnsi" w:hAnsiTheme="majorHAnsi" w:cstheme="majorHAnsi"/>
                                <w:b/>
                                <w:bCs/>
                                <w:iCs/>
                                <w:sz w:val="22"/>
                                <w:szCs w:val="22"/>
                              </w:rPr>
                            </w:pPr>
                          </w:p>
                          <w:p w14:paraId="4F1D2934" w14:textId="47FFC3E9" w:rsidR="004F7576" w:rsidRDefault="00E469D5" w:rsidP="005B1148">
                            <w:pPr>
                              <w:pStyle w:val="ListParagraph"/>
                              <w:numPr>
                                <w:ilvl w:val="0"/>
                                <w:numId w:val="4"/>
                              </w:numPr>
                              <w:ind w:left="426" w:hanging="426"/>
                              <w:rPr>
                                <w:rFonts w:asciiTheme="majorHAnsi" w:hAnsiTheme="majorHAnsi" w:cstheme="majorHAnsi"/>
                                <w:b/>
                                <w:bCs/>
                                <w:iCs/>
                                <w:sz w:val="22"/>
                                <w:szCs w:val="22"/>
                              </w:rPr>
                            </w:pPr>
                            <w:r>
                              <w:rPr>
                                <w:rFonts w:asciiTheme="majorHAnsi" w:hAnsiTheme="majorHAnsi" w:cstheme="majorHAnsi"/>
                                <w:b/>
                                <w:bCs/>
                                <w:iCs/>
                                <w:sz w:val="22"/>
                                <w:szCs w:val="22"/>
                              </w:rPr>
                              <w:t>Establish</w:t>
                            </w:r>
                            <w:r w:rsidR="004F7576" w:rsidRPr="00487B86">
                              <w:rPr>
                                <w:rFonts w:asciiTheme="majorHAnsi" w:hAnsiTheme="majorHAnsi" w:cstheme="majorHAnsi"/>
                                <w:b/>
                                <w:bCs/>
                                <w:iCs/>
                                <w:sz w:val="22"/>
                                <w:szCs w:val="22"/>
                              </w:rPr>
                              <w:t xml:space="preserve"> a dedicated statelessness determination procedure and protection status in law and in line with UNHCR guidance and good practice. </w:t>
                            </w:r>
                          </w:p>
                          <w:p w14:paraId="2CC27D71" w14:textId="77777777" w:rsidR="004F7576" w:rsidRPr="004052EC" w:rsidRDefault="004F7576" w:rsidP="004F7576">
                            <w:pPr>
                              <w:pStyle w:val="ListParagraph"/>
                              <w:rPr>
                                <w:rFonts w:asciiTheme="majorHAnsi" w:hAnsiTheme="majorHAnsi" w:cstheme="majorHAnsi"/>
                                <w:b/>
                                <w:bCs/>
                                <w:iCs/>
                                <w:sz w:val="22"/>
                                <w:szCs w:val="22"/>
                              </w:rPr>
                            </w:pPr>
                          </w:p>
                          <w:p w14:paraId="3C5331D1" w14:textId="5804E740" w:rsidR="004F7576" w:rsidRPr="00487B86" w:rsidRDefault="004F7576" w:rsidP="005B1148">
                            <w:pPr>
                              <w:pStyle w:val="ListParagraph"/>
                              <w:numPr>
                                <w:ilvl w:val="0"/>
                                <w:numId w:val="4"/>
                              </w:numPr>
                              <w:ind w:left="426" w:hanging="426"/>
                              <w:rPr>
                                <w:rFonts w:asciiTheme="majorHAnsi" w:hAnsiTheme="majorHAnsi" w:cstheme="majorHAnsi"/>
                                <w:b/>
                                <w:bCs/>
                                <w:iCs/>
                                <w:sz w:val="22"/>
                                <w:szCs w:val="22"/>
                              </w:rPr>
                            </w:pPr>
                            <w:r w:rsidRPr="00487B86">
                              <w:rPr>
                                <w:rFonts w:asciiTheme="majorHAnsi" w:hAnsiTheme="majorHAnsi" w:cstheme="majorHAnsi"/>
                                <w:b/>
                                <w:bCs/>
                                <w:iCs/>
                                <w:sz w:val="22"/>
                                <w:szCs w:val="22"/>
                              </w:rPr>
                              <w:t>Ensure that the procedure is fair, effective</w:t>
                            </w:r>
                            <w:r w:rsidR="00E469D5">
                              <w:rPr>
                                <w:rFonts w:asciiTheme="majorHAnsi" w:hAnsiTheme="majorHAnsi" w:cstheme="majorHAnsi"/>
                                <w:b/>
                                <w:bCs/>
                                <w:iCs/>
                                <w:sz w:val="22"/>
                                <w:szCs w:val="22"/>
                              </w:rPr>
                              <w:t>,</w:t>
                            </w:r>
                            <w:r w:rsidRPr="00487B86">
                              <w:rPr>
                                <w:rFonts w:asciiTheme="majorHAnsi" w:hAnsiTheme="majorHAnsi" w:cstheme="majorHAnsi"/>
                                <w:b/>
                                <w:bCs/>
                                <w:iCs/>
                                <w:sz w:val="22"/>
                                <w:szCs w:val="22"/>
                              </w:rPr>
                              <w:t xml:space="preserve"> and accessible to all persons in </w:t>
                            </w:r>
                            <w:r w:rsidRPr="00487B86">
                              <w:rPr>
                                <w:rFonts w:asciiTheme="majorHAnsi" w:hAnsiTheme="majorHAnsi" w:cstheme="majorHAnsi"/>
                                <w:b/>
                                <w:bCs/>
                                <w:iCs/>
                                <w:sz w:val="22"/>
                                <w:szCs w:val="22"/>
                                <w:lang w:val="en-US"/>
                              </w:rPr>
                              <w:t>Belgium</w:t>
                            </w:r>
                            <w:r w:rsidRPr="00487B86">
                              <w:rPr>
                                <w:rFonts w:asciiTheme="majorHAnsi" w:hAnsiTheme="majorHAnsi" w:cstheme="majorHAnsi"/>
                                <w:b/>
                                <w:bCs/>
                                <w:iCs/>
                                <w:sz w:val="22"/>
                                <w:szCs w:val="22"/>
                              </w:rPr>
                              <w:t xml:space="preserve"> regardless of their legal status. This includes funded access to interpreting services and legal aid. The procedure should comply with international standards of due process and follow procedural safeguards.</w:t>
                            </w:r>
                          </w:p>
                          <w:p w14:paraId="5EAAE9A1" w14:textId="77777777" w:rsidR="004F7576" w:rsidRPr="00487B86" w:rsidRDefault="004F7576" w:rsidP="004F7576">
                            <w:pPr>
                              <w:pStyle w:val="ListParagraph"/>
                              <w:ind w:left="426" w:hanging="426"/>
                              <w:rPr>
                                <w:rFonts w:asciiTheme="majorHAnsi" w:hAnsiTheme="majorHAnsi" w:cstheme="majorHAnsi"/>
                                <w:b/>
                                <w:bCs/>
                                <w:iCs/>
                                <w:sz w:val="22"/>
                                <w:szCs w:val="22"/>
                              </w:rPr>
                            </w:pPr>
                          </w:p>
                          <w:p w14:paraId="5DD1A2FF" w14:textId="33E163C8" w:rsidR="004F7576" w:rsidRDefault="004F7576" w:rsidP="005B1148">
                            <w:pPr>
                              <w:pStyle w:val="ListParagraph"/>
                              <w:numPr>
                                <w:ilvl w:val="0"/>
                                <w:numId w:val="4"/>
                              </w:numPr>
                              <w:ind w:left="426" w:hanging="426"/>
                              <w:rPr>
                                <w:rFonts w:asciiTheme="majorHAnsi" w:hAnsiTheme="majorHAnsi" w:cstheme="majorHAnsi"/>
                                <w:b/>
                                <w:bCs/>
                                <w:iCs/>
                                <w:sz w:val="22"/>
                                <w:szCs w:val="22"/>
                              </w:rPr>
                            </w:pPr>
                            <w:r w:rsidRPr="00487B86">
                              <w:rPr>
                                <w:rFonts w:asciiTheme="majorHAnsi" w:hAnsiTheme="majorHAnsi" w:cstheme="majorHAnsi"/>
                                <w:b/>
                                <w:bCs/>
                                <w:iCs/>
                                <w:sz w:val="22"/>
                                <w:szCs w:val="22"/>
                              </w:rPr>
                              <w:t xml:space="preserve">Amend the Belgian Immigration Act to allow for persons recognised as stateless by the courts to be automatically granted a residence permit, </w:t>
                            </w:r>
                            <w:r>
                              <w:rPr>
                                <w:rFonts w:asciiTheme="majorHAnsi" w:hAnsiTheme="majorHAnsi" w:cstheme="majorHAnsi"/>
                                <w:b/>
                                <w:bCs/>
                                <w:iCs/>
                                <w:sz w:val="22"/>
                                <w:szCs w:val="22"/>
                              </w:rPr>
                              <w:t>effective remedies, and all rights protected under the 1954 Convention</w:t>
                            </w:r>
                            <w:r w:rsidR="00601A92">
                              <w:rPr>
                                <w:rFonts w:asciiTheme="majorHAnsi" w:hAnsiTheme="majorHAnsi" w:cstheme="majorHAnsi"/>
                                <w:b/>
                                <w:bCs/>
                                <w:iCs/>
                                <w:sz w:val="22"/>
                                <w:szCs w:val="22"/>
                              </w:rPr>
                              <w:t xml:space="preserve"> relating to the Status of Stateless Persons</w:t>
                            </w:r>
                            <w:r>
                              <w:rPr>
                                <w:rFonts w:asciiTheme="majorHAnsi" w:hAnsiTheme="majorHAnsi" w:cstheme="majorHAnsi"/>
                                <w:b/>
                                <w:bCs/>
                                <w:iCs/>
                                <w:sz w:val="22"/>
                                <w:szCs w:val="22"/>
                              </w:rPr>
                              <w:t>.</w:t>
                            </w:r>
                          </w:p>
                          <w:p w14:paraId="4E6704DA" w14:textId="77777777" w:rsidR="004F7576" w:rsidRPr="0080543A" w:rsidRDefault="004F7576" w:rsidP="004F7576">
                            <w:pPr>
                              <w:pStyle w:val="ListParagraph"/>
                              <w:ind w:left="426" w:hanging="426"/>
                              <w:rPr>
                                <w:rFonts w:asciiTheme="majorHAnsi" w:hAnsiTheme="majorHAnsi" w:cstheme="majorHAnsi"/>
                                <w:b/>
                                <w:bCs/>
                                <w:iCs/>
                                <w:sz w:val="22"/>
                                <w:szCs w:val="22"/>
                              </w:rPr>
                            </w:pPr>
                          </w:p>
                          <w:p w14:paraId="6131EE78" w14:textId="77375E6F" w:rsidR="004F7576" w:rsidRPr="00374CBB" w:rsidRDefault="004F7576" w:rsidP="005B1148">
                            <w:pPr>
                              <w:pStyle w:val="ListParagraph"/>
                              <w:numPr>
                                <w:ilvl w:val="0"/>
                                <w:numId w:val="4"/>
                              </w:numPr>
                              <w:ind w:left="426" w:hanging="426"/>
                              <w:rPr>
                                <w:rFonts w:asciiTheme="majorHAnsi" w:hAnsiTheme="majorHAnsi" w:cstheme="majorHAnsi"/>
                                <w:b/>
                                <w:bCs/>
                                <w:iCs/>
                                <w:sz w:val="22"/>
                                <w:szCs w:val="22"/>
                              </w:rPr>
                            </w:pPr>
                            <w:r w:rsidRPr="0080543A">
                              <w:rPr>
                                <w:rFonts w:asciiTheme="majorHAnsi" w:hAnsiTheme="majorHAnsi" w:cstheme="majorHAnsi"/>
                                <w:b/>
                                <w:bCs/>
                                <w:iCs/>
                                <w:sz w:val="22"/>
                                <w:szCs w:val="22"/>
                              </w:rPr>
                              <w:t xml:space="preserve">Amend the Belgian Immigration Act </w:t>
                            </w:r>
                            <w:r w:rsidRPr="00487B86">
                              <w:rPr>
                                <w:rFonts w:asciiTheme="majorHAnsi" w:hAnsiTheme="majorHAnsi" w:cstheme="majorHAnsi"/>
                                <w:b/>
                                <w:bCs/>
                                <w:iCs/>
                                <w:sz w:val="22"/>
                                <w:szCs w:val="22"/>
                              </w:rPr>
                              <w:t xml:space="preserve">to allow for persons applying for stateless status to be granted a </w:t>
                            </w:r>
                            <w:r w:rsidRPr="00374CBB">
                              <w:rPr>
                                <w:rFonts w:asciiTheme="majorHAnsi" w:hAnsiTheme="majorHAnsi" w:cstheme="majorHAnsi"/>
                                <w:b/>
                                <w:bCs/>
                                <w:iCs/>
                                <w:sz w:val="22"/>
                                <w:szCs w:val="22"/>
                              </w:rPr>
                              <w:t xml:space="preserve">temporary residence permit </w:t>
                            </w:r>
                            <w:r w:rsidR="00E469D5">
                              <w:rPr>
                                <w:rFonts w:asciiTheme="majorHAnsi" w:hAnsiTheme="majorHAnsi" w:cstheme="majorHAnsi"/>
                                <w:b/>
                                <w:bCs/>
                                <w:iCs/>
                                <w:sz w:val="22"/>
                                <w:szCs w:val="22"/>
                              </w:rPr>
                              <w:t xml:space="preserve">and rights according to the 1954 Convention </w:t>
                            </w:r>
                            <w:r w:rsidRPr="00374CBB">
                              <w:rPr>
                                <w:rFonts w:asciiTheme="majorHAnsi" w:hAnsiTheme="majorHAnsi" w:cstheme="majorHAnsi"/>
                                <w:b/>
                                <w:bCs/>
                                <w:iCs/>
                                <w:sz w:val="22"/>
                                <w:szCs w:val="22"/>
                              </w:rPr>
                              <w:t>during the procedure.</w:t>
                            </w:r>
                          </w:p>
                          <w:p w14:paraId="19236E32" w14:textId="77777777" w:rsidR="00134AE4" w:rsidRPr="00374CBB" w:rsidRDefault="00134AE4" w:rsidP="00134AE4">
                            <w:pPr>
                              <w:pStyle w:val="ListParagraph"/>
                              <w:rPr>
                                <w:rFonts w:asciiTheme="majorHAnsi" w:hAnsiTheme="majorHAnsi" w:cstheme="majorHAnsi"/>
                                <w:b/>
                                <w:bCs/>
                                <w:iCs/>
                                <w:sz w:val="22"/>
                                <w:szCs w:val="22"/>
                              </w:rPr>
                            </w:pPr>
                          </w:p>
                          <w:p w14:paraId="60B7347C" w14:textId="0550BD94" w:rsidR="00EE777A" w:rsidRPr="00374CBB" w:rsidRDefault="0014729C" w:rsidP="0058329C">
                            <w:pPr>
                              <w:pStyle w:val="ListParagraph"/>
                              <w:numPr>
                                <w:ilvl w:val="0"/>
                                <w:numId w:val="4"/>
                              </w:numPr>
                              <w:ind w:left="426" w:hanging="426"/>
                              <w:rPr>
                                <w:rFonts w:asciiTheme="majorHAnsi" w:hAnsiTheme="majorHAnsi" w:cstheme="majorHAnsi"/>
                                <w:b/>
                                <w:bCs/>
                                <w:iCs/>
                                <w:sz w:val="22"/>
                                <w:szCs w:val="22"/>
                              </w:rPr>
                            </w:pPr>
                            <w:r w:rsidRPr="00374CBB">
                              <w:rPr>
                                <w:rFonts w:asciiTheme="majorHAnsi" w:hAnsiTheme="majorHAnsi" w:cstheme="majorHAnsi"/>
                                <w:b/>
                                <w:bCs/>
                                <w:iCs/>
                                <w:sz w:val="22"/>
                                <w:szCs w:val="22"/>
                              </w:rPr>
                              <w:t xml:space="preserve">Provide specialised training </w:t>
                            </w:r>
                            <w:r w:rsidR="002F5397">
                              <w:rPr>
                                <w:rFonts w:asciiTheme="majorHAnsi" w:hAnsiTheme="majorHAnsi" w:cstheme="majorHAnsi"/>
                                <w:b/>
                                <w:bCs/>
                                <w:iCs/>
                                <w:sz w:val="22"/>
                                <w:szCs w:val="22"/>
                              </w:rPr>
                              <w:t>on nationality law</w:t>
                            </w:r>
                            <w:r w:rsidR="00E33BE7">
                              <w:rPr>
                                <w:rFonts w:asciiTheme="majorHAnsi" w:hAnsiTheme="majorHAnsi" w:cstheme="majorHAnsi"/>
                                <w:b/>
                                <w:bCs/>
                                <w:iCs/>
                                <w:sz w:val="22"/>
                                <w:szCs w:val="22"/>
                              </w:rPr>
                              <w:t xml:space="preserve"> and international standards relating to statelessness </w:t>
                            </w:r>
                            <w:r w:rsidR="00187939" w:rsidRPr="00374CBB">
                              <w:rPr>
                                <w:rFonts w:asciiTheme="majorHAnsi" w:hAnsiTheme="majorHAnsi" w:cstheme="majorHAnsi"/>
                                <w:b/>
                                <w:bCs/>
                                <w:iCs/>
                                <w:sz w:val="22"/>
                                <w:szCs w:val="22"/>
                              </w:rPr>
                              <w:t xml:space="preserve">to the judiciary and government bodies responsible for </w:t>
                            </w:r>
                            <w:r w:rsidR="00E469D5">
                              <w:rPr>
                                <w:rFonts w:asciiTheme="majorHAnsi" w:hAnsiTheme="majorHAnsi" w:cstheme="majorHAnsi"/>
                                <w:b/>
                                <w:bCs/>
                                <w:iCs/>
                                <w:sz w:val="22"/>
                                <w:szCs w:val="22"/>
                              </w:rPr>
                              <w:t>determining</w:t>
                            </w:r>
                            <w:r w:rsidRPr="00374CBB">
                              <w:rPr>
                                <w:rFonts w:asciiTheme="majorHAnsi" w:hAnsiTheme="majorHAnsi" w:cstheme="majorHAnsi"/>
                                <w:b/>
                                <w:bCs/>
                                <w:iCs/>
                                <w:sz w:val="22"/>
                                <w:szCs w:val="22"/>
                              </w:rPr>
                              <w:t xml:space="preserve"> </w:t>
                            </w:r>
                            <w:r w:rsidR="00F3201C" w:rsidRPr="00374CBB">
                              <w:rPr>
                                <w:rFonts w:asciiTheme="majorHAnsi" w:hAnsiTheme="majorHAnsi" w:cstheme="majorHAnsi"/>
                                <w:b/>
                                <w:bCs/>
                                <w:iCs/>
                                <w:sz w:val="22"/>
                                <w:szCs w:val="22"/>
                              </w:rPr>
                              <w:t>statelessness</w:t>
                            </w:r>
                            <w:r w:rsidR="00E33BE7">
                              <w:rPr>
                                <w:rFonts w:asciiTheme="majorHAnsi" w:hAnsiTheme="majorHAnsi" w:cstheme="majorHAnsi"/>
                                <w:b/>
                                <w:bCs/>
                                <w:iCs/>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CA1489" id="_x0000_s1028" type="#_x0000_t202" style="position:absolute;margin-left:-.4pt;margin-top:14.55pt;width:415.25pt;height:360.35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" fillcolor="window" strokeweight=".5pt">
                <v:textbox>
                  <w:txbxContent>
                    <w:p w14:paraId="7CAAD7D2" w14:textId="77777777" w:rsidR="004F7576" w:rsidRDefault="004F7576" w:rsidP="004F7576">
                      <w:pPr>
                        <w:jc w:val="both"/>
                        <w:rPr>
                          <w:rFonts w:asciiTheme="majorHAnsi" w:hAnsiTheme="majorHAnsi" w:cstheme="majorHAnsi"/>
                          <w:b/>
                          <w:bCs/>
                          <w:sz w:val="22"/>
                          <w:szCs w:val="22"/>
                        </w:rPr>
                      </w:pPr>
                      <w:r>
                        <w:rPr>
                          <w:rFonts w:asciiTheme="majorHAnsi" w:hAnsiTheme="majorHAnsi" w:cstheme="majorHAnsi"/>
                          <w:b/>
                          <w:bCs/>
                          <w:sz w:val="22"/>
                          <w:szCs w:val="22"/>
                        </w:rPr>
                        <w:t>Recommendations</w:t>
                      </w:r>
                      <w:r w:rsidRPr="003F720D">
                        <w:rPr>
                          <w:rFonts w:asciiTheme="majorHAnsi" w:hAnsiTheme="majorHAnsi" w:cstheme="majorHAnsi"/>
                          <w:b/>
                          <w:bCs/>
                          <w:sz w:val="22"/>
                          <w:szCs w:val="22"/>
                        </w:rPr>
                        <w:t xml:space="preserve">: </w:t>
                      </w:r>
                    </w:p>
                    <w:p w14:paraId="41269A3C" w14:textId="77777777" w:rsidR="004F7576" w:rsidRPr="003F720D" w:rsidRDefault="004F7576" w:rsidP="004F7576">
                      <w:pPr>
                        <w:jc w:val="both"/>
                        <w:rPr>
                          <w:rFonts w:asciiTheme="majorHAnsi" w:hAnsiTheme="majorHAnsi" w:cstheme="majorHAnsi"/>
                          <w:b/>
                          <w:bCs/>
                          <w:sz w:val="22"/>
                          <w:szCs w:val="22"/>
                        </w:rPr>
                      </w:pPr>
                    </w:p>
                    <w:p w14:paraId="00F7CEE3" w14:textId="77777777" w:rsidR="004F7576" w:rsidRPr="00487B86" w:rsidRDefault="004F7576" w:rsidP="005B1148">
                      <w:pPr>
                        <w:pStyle w:val="ListParagraph"/>
                        <w:numPr>
                          <w:ilvl w:val="0"/>
                          <w:numId w:val="4"/>
                        </w:numPr>
                        <w:ind w:left="426" w:hanging="426"/>
                        <w:jc w:val="both"/>
                        <w:rPr>
                          <w:rFonts w:asciiTheme="majorHAnsi" w:hAnsiTheme="majorHAnsi" w:cstheme="majorHAnsi"/>
                          <w:b/>
                          <w:bCs/>
                          <w:iCs/>
                          <w:sz w:val="22"/>
                          <w:szCs w:val="22"/>
                        </w:rPr>
                      </w:pPr>
                      <w:r w:rsidRPr="00487B86">
                        <w:rPr>
                          <w:rFonts w:asciiTheme="majorHAnsi" w:hAnsiTheme="majorHAnsi" w:cstheme="majorHAnsi"/>
                          <w:b/>
                          <w:bCs/>
                          <w:iCs/>
                          <w:sz w:val="22"/>
                          <w:szCs w:val="22"/>
                        </w:rPr>
                        <w:t>Fully promote, respect, protect and fulfil its obligations towards stateless persons and the right to a nationality under international human rights law.</w:t>
                      </w:r>
                    </w:p>
                    <w:p w14:paraId="3DC87AD6" w14:textId="77777777" w:rsidR="004F7576" w:rsidRPr="00487B86" w:rsidRDefault="004F7576" w:rsidP="004F7576">
                      <w:pPr>
                        <w:ind w:left="426" w:hanging="426"/>
                        <w:rPr>
                          <w:rFonts w:asciiTheme="majorHAnsi" w:hAnsiTheme="majorHAnsi" w:cstheme="majorHAnsi"/>
                          <w:b/>
                          <w:bCs/>
                          <w:iCs/>
                          <w:sz w:val="22"/>
                          <w:szCs w:val="22"/>
                        </w:rPr>
                      </w:pPr>
                    </w:p>
                    <w:p w14:paraId="4F1D2934" w14:textId="47FFC3E9" w:rsidR="004F7576" w:rsidRDefault="00E469D5" w:rsidP="005B1148">
                      <w:pPr>
                        <w:pStyle w:val="ListParagraph"/>
                        <w:numPr>
                          <w:ilvl w:val="0"/>
                          <w:numId w:val="4"/>
                        </w:numPr>
                        <w:ind w:left="426" w:hanging="426"/>
                        <w:rPr>
                          <w:rFonts w:asciiTheme="majorHAnsi" w:hAnsiTheme="majorHAnsi" w:cstheme="majorHAnsi"/>
                          <w:b/>
                          <w:bCs/>
                          <w:iCs/>
                          <w:sz w:val="22"/>
                          <w:szCs w:val="22"/>
                        </w:rPr>
                      </w:pPr>
                      <w:r>
                        <w:rPr>
                          <w:rFonts w:asciiTheme="majorHAnsi" w:hAnsiTheme="majorHAnsi" w:cstheme="majorHAnsi"/>
                          <w:b/>
                          <w:bCs/>
                          <w:iCs/>
                          <w:sz w:val="22"/>
                          <w:szCs w:val="22"/>
                        </w:rPr>
                        <w:t>Establish</w:t>
                      </w:r>
                      <w:r w:rsidR="004F7576" w:rsidRPr="00487B86">
                        <w:rPr>
                          <w:rFonts w:asciiTheme="majorHAnsi" w:hAnsiTheme="majorHAnsi" w:cstheme="majorHAnsi"/>
                          <w:b/>
                          <w:bCs/>
                          <w:iCs/>
                          <w:sz w:val="22"/>
                          <w:szCs w:val="22"/>
                        </w:rPr>
                        <w:t xml:space="preserve"> a dedicated statelessness determination procedure and protection status in law and in line with UNHCR guidance and good practice. </w:t>
                      </w:r>
                    </w:p>
                    <w:p w14:paraId="2CC27D71" w14:textId="77777777" w:rsidR="004F7576" w:rsidRPr="004052EC" w:rsidRDefault="004F7576" w:rsidP="004F7576">
                      <w:pPr>
                        <w:pStyle w:val="ListParagraph"/>
                        <w:rPr>
                          <w:rFonts w:asciiTheme="majorHAnsi" w:hAnsiTheme="majorHAnsi" w:cstheme="majorHAnsi"/>
                          <w:b/>
                          <w:bCs/>
                          <w:iCs/>
                          <w:sz w:val="22"/>
                          <w:szCs w:val="22"/>
                        </w:rPr>
                      </w:pPr>
                    </w:p>
                    <w:p w14:paraId="3C5331D1" w14:textId="5804E740" w:rsidR="004F7576" w:rsidRPr="00487B86" w:rsidRDefault="004F7576" w:rsidP="005B1148">
                      <w:pPr>
                        <w:pStyle w:val="ListParagraph"/>
                        <w:numPr>
                          <w:ilvl w:val="0"/>
                          <w:numId w:val="4"/>
                        </w:numPr>
                        <w:ind w:left="426" w:hanging="426"/>
                        <w:rPr>
                          <w:rFonts w:asciiTheme="majorHAnsi" w:hAnsiTheme="majorHAnsi" w:cstheme="majorHAnsi"/>
                          <w:b/>
                          <w:bCs/>
                          <w:iCs/>
                          <w:sz w:val="22"/>
                          <w:szCs w:val="22"/>
                        </w:rPr>
                      </w:pPr>
                      <w:r w:rsidRPr="00487B86">
                        <w:rPr>
                          <w:rFonts w:asciiTheme="majorHAnsi" w:hAnsiTheme="majorHAnsi" w:cstheme="majorHAnsi"/>
                          <w:b/>
                          <w:bCs/>
                          <w:iCs/>
                          <w:sz w:val="22"/>
                          <w:szCs w:val="22"/>
                        </w:rPr>
                        <w:t>Ensure that the procedure is fair, effective</w:t>
                      </w:r>
                      <w:r w:rsidR="00E469D5">
                        <w:rPr>
                          <w:rFonts w:asciiTheme="majorHAnsi" w:hAnsiTheme="majorHAnsi" w:cstheme="majorHAnsi"/>
                          <w:b/>
                          <w:bCs/>
                          <w:iCs/>
                          <w:sz w:val="22"/>
                          <w:szCs w:val="22"/>
                        </w:rPr>
                        <w:t>,</w:t>
                      </w:r>
                      <w:r w:rsidRPr="00487B86">
                        <w:rPr>
                          <w:rFonts w:asciiTheme="majorHAnsi" w:hAnsiTheme="majorHAnsi" w:cstheme="majorHAnsi"/>
                          <w:b/>
                          <w:bCs/>
                          <w:iCs/>
                          <w:sz w:val="22"/>
                          <w:szCs w:val="22"/>
                        </w:rPr>
                        <w:t xml:space="preserve"> and accessible to all persons in </w:t>
                      </w:r>
                      <w:r w:rsidRPr="00487B86">
                        <w:rPr>
                          <w:rFonts w:asciiTheme="majorHAnsi" w:hAnsiTheme="majorHAnsi" w:cstheme="majorHAnsi"/>
                          <w:b/>
                          <w:bCs/>
                          <w:iCs/>
                          <w:sz w:val="22"/>
                          <w:szCs w:val="22"/>
                          <w:lang w:val="en-US"/>
                        </w:rPr>
                        <w:t>Belgium</w:t>
                      </w:r>
                      <w:r w:rsidRPr="00487B86">
                        <w:rPr>
                          <w:rFonts w:asciiTheme="majorHAnsi" w:hAnsiTheme="majorHAnsi" w:cstheme="majorHAnsi"/>
                          <w:b/>
                          <w:bCs/>
                          <w:iCs/>
                          <w:sz w:val="22"/>
                          <w:szCs w:val="22"/>
                        </w:rPr>
                        <w:t xml:space="preserve"> regardless of their legal status. This includes funded access to interpreting services and legal aid. The procedure should comply with international standards of due process and follow procedural safeguards.</w:t>
                      </w:r>
                    </w:p>
                    <w:p w14:paraId="5EAAE9A1" w14:textId="77777777" w:rsidR="004F7576" w:rsidRPr="00487B86" w:rsidRDefault="004F7576" w:rsidP="004F7576">
                      <w:pPr>
                        <w:pStyle w:val="ListParagraph"/>
                        <w:ind w:left="426" w:hanging="426"/>
                        <w:rPr>
                          <w:rFonts w:asciiTheme="majorHAnsi" w:hAnsiTheme="majorHAnsi" w:cstheme="majorHAnsi"/>
                          <w:b/>
                          <w:bCs/>
                          <w:iCs/>
                          <w:sz w:val="22"/>
                          <w:szCs w:val="22"/>
                        </w:rPr>
                      </w:pPr>
                    </w:p>
                    <w:p w14:paraId="5DD1A2FF" w14:textId="33E163C8" w:rsidR="004F7576" w:rsidRDefault="004F7576" w:rsidP="005B1148">
                      <w:pPr>
                        <w:pStyle w:val="ListParagraph"/>
                        <w:numPr>
                          <w:ilvl w:val="0"/>
                          <w:numId w:val="4"/>
                        </w:numPr>
                        <w:ind w:left="426" w:hanging="426"/>
                        <w:rPr>
                          <w:rFonts w:asciiTheme="majorHAnsi" w:hAnsiTheme="majorHAnsi" w:cstheme="majorHAnsi"/>
                          <w:b/>
                          <w:bCs/>
                          <w:iCs/>
                          <w:sz w:val="22"/>
                          <w:szCs w:val="22"/>
                        </w:rPr>
                      </w:pPr>
                      <w:r w:rsidRPr="00487B86">
                        <w:rPr>
                          <w:rFonts w:asciiTheme="majorHAnsi" w:hAnsiTheme="majorHAnsi" w:cstheme="majorHAnsi"/>
                          <w:b/>
                          <w:bCs/>
                          <w:iCs/>
                          <w:sz w:val="22"/>
                          <w:szCs w:val="22"/>
                        </w:rPr>
                        <w:t xml:space="preserve">Amend the Belgian Immigration Act to allow for persons recognised as stateless by the courts to be automatically granted a residence permit, </w:t>
                      </w:r>
                      <w:r>
                        <w:rPr>
                          <w:rFonts w:asciiTheme="majorHAnsi" w:hAnsiTheme="majorHAnsi" w:cstheme="majorHAnsi"/>
                          <w:b/>
                          <w:bCs/>
                          <w:iCs/>
                          <w:sz w:val="22"/>
                          <w:szCs w:val="22"/>
                        </w:rPr>
                        <w:t>effective remedies, and all rights protected under the 1954 Convention</w:t>
                      </w:r>
                      <w:r w:rsidR="00601A92">
                        <w:rPr>
                          <w:rFonts w:asciiTheme="majorHAnsi" w:hAnsiTheme="majorHAnsi" w:cstheme="majorHAnsi"/>
                          <w:b/>
                          <w:bCs/>
                          <w:iCs/>
                          <w:sz w:val="22"/>
                          <w:szCs w:val="22"/>
                        </w:rPr>
                        <w:t xml:space="preserve"> relating to the Status of Stateless Persons</w:t>
                      </w:r>
                      <w:r>
                        <w:rPr>
                          <w:rFonts w:asciiTheme="majorHAnsi" w:hAnsiTheme="majorHAnsi" w:cstheme="majorHAnsi"/>
                          <w:b/>
                          <w:bCs/>
                          <w:iCs/>
                          <w:sz w:val="22"/>
                          <w:szCs w:val="22"/>
                        </w:rPr>
                        <w:t>.</w:t>
                      </w:r>
                    </w:p>
                    <w:p w14:paraId="4E6704DA" w14:textId="77777777" w:rsidR="004F7576" w:rsidRPr="0080543A" w:rsidRDefault="004F7576" w:rsidP="004F7576">
                      <w:pPr>
                        <w:pStyle w:val="ListParagraph"/>
                        <w:ind w:left="426" w:hanging="426"/>
                        <w:rPr>
                          <w:rFonts w:asciiTheme="majorHAnsi" w:hAnsiTheme="majorHAnsi" w:cstheme="majorHAnsi"/>
                          <w:b/>
                          <w:bCs/>
                          <w:iCs/>
                          <w:sz w:val="22"/>
                          <w:szCs w:val="22"/>
                        </w:rPr>
                      </w:pPr>
                    </w:p>
                    <w:p w14:paraId="6131EE78" w14:textId="77375E6F" w:rsidR="004F7576" w:rsidRPr="00374CBB" w:rsidRDefault="004F7576" w:rsidP="005B1148">
                      <w:pPr>
                        <w:pStyle w:val="ListParagraph"/>
                        <w:numPr>
                          <w:ilvl w:val="0"/>
                          <w:numId w:val="4"/>
                        </w:numPr>
                        <w:ind w:left="426" w:hanging="426"/>
                        <w:rPr>
                          <w:rFonts w:asciiTheme="majorHAnsi" w:hAnsiTheme="majorHAnsi" w:cstheme="majorHAnsi"/>
                          <w:b/>
                          <w:bCs/>
                          <w:iCs/>
                          <w:sz w:val="22"/>
                          <w:szCs w:val="22"/>
                        </w:rPr>
                      </w:pPr>
                      <w:r w:rsidRPr="0080543A">
                        <w:rPr>
                          <w:rFonts w:asciiTheme="majorHAnsi" w:hAnsiTheme="majorHAnsi" w:cstheme="majorHAnsi"/>
                          <w:b/>
                          <w:bCs/>
                          <w:iCs/>
                          <w:sz w:val="22"/>
                          <w:szCs w:val="22"/>
                        </w:rPr>
                        <w:t xml:space="preserve">Amend the Belgian Immigration Act </w:t>
                      </w:r>
                      <w:r w:rsidRPr="00487B86">
                        <w:rPr>
                          <w:rFonts w:asciiTheme="majorHAnsi" w:hAnsiTheme="majorHAnsi" w:cstheme="majorHAnsi"/>
                          <w:b/>
                          <w:bCs/>
                          <w:iCs/>
                          <w:sz w:val="22"/>
                          <w:szCs w:val="22"/>
                        </w:rPr>
                        <w:t xml:space="preserve">to allow for persons applying for stateless status to be granted a </w:t>
                      </w:r>
                      <w:r w:rsidRPr="00374CBB">
                        <w:rPr>
                          <w:rFonts w:asciiTheme="majorHAnsi" w:hAnsiTheme="majorHAnsi" w:cstheme="majorHAnsi"/>
                          <w:b/>
                          <w:bCs/>
                          <w:iCs/>
                          <w:sz w:val="22"/>
                          <w:szCs w:val="22"/>
                        </w:rPr>
                        <w:t xml:space="preserve">temporary residence permit </w:t>
                      </w:r>
                      <w:r w:rsidR="00E469D5">
                        <w:rPr>
                          <w:rFonts w:asciiTheme="majorHAnsi" w:hAnsiTheme="majorHAnsi" w:cstheme="majorHAnsi"/>
                          <w:b/>
                          <w:bCs/>
                          <w:iCs/>
                          <w:sz w:val="22"/>
                          <w:szCs w:val="22"/>
                        </w:rPr>
                        <w:t xml:space="preserve">and rights according to the 1954 Convention </w:t>
                      </w:r>
                      <w:r w:rsidRPr="00374CBB">
                        <w:rPr>
                          <w:rFonts w:asciiTheme="majorHAnsi" w:hAnsiTheme="majorHAnsi" w:cstheme="majorHAnsi"/>
                          <w:b/>
                          <w:bCs/>
                          <w:iCs/>
                          <w:sz w:val="22"/>
                          <w:szCs w:val="22"/>
                        </w:rPr>
                        <w:t>during the procedure.</w:t>
                      </w:r>
                    </w:p>
                    <w:p w14:paraId="19236E32" w14:textId="77777777" w:rsidR="00134AE4" w:rsidRPr="00374CBB" w:rsidRDefault="00134AE4" w:rsidP="00134AE4">
                      <w:pPr>
                        <w:pStyle w:val="ListParagraph"/>
                        <w:rPr>
                          <w:rFonts w:asciiTheme="majorHAnsi" w:hAnsiTheme="majorHAnsi" w:cstheme="majorHAnsi"/>
                          <w:b/>
                          <w:bCs/>
                          <w:iCs/>
                          <w:sz w:val="22"/>
                          <w:szCs w:val="22"/>
                        </w:rPr>
                      </w:pPr>
                    </w:p>
                    <w:p w14:paraId="60B7347C" w14:textId="0550BD94" w:rsidR="00EE777A" w:rsidRPr="00374CBB" w:rsidRDefault="0014729C" w:rsidP="0058329C">
                      <w:pPr>
                        <w:pStyle w:val="ListParagraph"/>
                        <w:numPr>
                          <w:ilvl w:val="0"/>
                          <w:numId w:val="4"/>
                        </w:numPr>
                        <w:ind w:left="426" w:hanging="426"/>
                        <w:rPr>
                          <w:rFonts w:asciiTheme="majorHAnsi" w:hAnsiTheme="majorHAnsi" w:cstheme="majorHAnsi"/>
                          <w:b/>
                          <w:bCs/>
                          <w:iCs/>
                          <w:sz w:val="22"/>
                          <w:szCs w:val="22"/>
                        </w:rPr>
                      </w:pPr>
                      <w:r w:rsidRPr="00374CBB">
                        <w:rPr>
                          <w:rFonts w:asciiTheme="majorHAnsi" w:hAnsiTheme="majorHAnsi" w:cstheme="majorHAnsi"/>
                          <w:b/>
                          <w:bCs/>
                          <w:iCs/>
                          <w:sz w:val="22"/>
                          <w:szCs w:val="22"/>
                        </w:rPr>
                        <w:t xml:space="preserve">Provide specialised training </w:t>
                      </w:r>
                      <w:r w:rsidR="002F5397">
                        <w:rPr>
                          <w:rFonts w:asciiTheme="majorHAnsi" w:hAnsiTheme="majorHAnsi" w:cstheme="majorHAnsi"/>
                          <w:b/>
                          <w:bCs/>
                          <w:iCs/>
                          <w:sz w:val="22"/>
                          <w:szCs w:val="22"/>
                        </w:rPr>
                        <w:t>on nationality law</w:t>
                      </w:r>
                      <w:r w:rsidR="00E33BE7">
                        <w:rPr>
                          <w:rFonts w:asciiTheme="majorHAnsi" w:hAnsiTheme="majorHAnsi" w:cstheme="majorHAnsi"/>
                          <w:b/>
                          <w:bCs/>
                          <w:iCs/>
                          <w:sz w:val="22"/>
                          <w:szCs w:val="22"/>
                        </w:rPr>
                        <w:t xml:space="preserve"> and international standards relating to statelessness </w:t>
                      </w:r>
                      <w:r w:rsidR="00187939" w:rsidRPr="00374CBB">
                        <w:rPr>
                          <w:rFonts w:asciiTheme="majorHAnsi" w:hAnsiTheme="majorHAnsi" w:cstheme="majorHAnsi"/>
                          <w:b/>
                          <w:bCs/>
                          <w:iCs/>
                          <w:sz w:val="22"/>
                          <w:szCs w:val="22"/>
                        </w:rPr>
                        <w:t xml:space="preserve">to the judiciary and government bodies responsible for </w:t>
                      </w:r>
                      <w:r w:rsidR="00E469D5">
                        <w:rPr>
                          <w:rFonts w:asciiTheme="majorHAnsi" w:hAnsiTheme="majorHAnsi" w:cstheme="majorHAnsi"/>
                          <w:b/>
                          <w:bCs/>
                          <w:iCs/>
                          <w:sz w:val="22"/>
                          <w:szCs w:val="22"/>
                        </w:rPr>
                        <w:t>determining</w:t>
                      </w:r>
                      <w:r w:rsidRPr="00374CBB">
                        <w:rPr>
                          <w:rFonts w:asciiTheme="majorHAnsi" w:hAnsiTheme="majorHAnsi" w:cstheme="majorHAnsi"/>
                          <w:b/>
                          <w:bCs/>
                          <w:iCs/>
                          <w:sz w:val="22"/>
                          <w:szCs w:val="22"/>
                        </w:rPr>
                        <w:t xml:space="preserve"> </w:t>
                      </w:r>
                      <w:r w:rsidR="00F3201C" w:rsidRPr="00374CBB">
                        <w:rPr>
                          <w:rFonts w:asciiTheme="majorHAnsi" w:hAnsiTheme="majorHAnsi" w:cstheme="majorHAnsi"/>
                          <w:b/>
                          <w:bCs/>
                          <w:iCs/>
                          <w:sz w:val="22"/>
                          <w:szCs w:val="22"/>
                        </w:rPr>
                        <w:t>statelessness</w:t>
                      </w:r>
                      <w:r w:rsidR="00E33BE7">
                        <w:rPr>
                          <w:rFonts w:asciiTheme="majorHAnsi" w:hAnsiTheme="majorHAnsi" w:cstheme="majorHAnsi"/>
                          <w:b/>
                          <w:bCs/>
                          <w:iCs/>
                          <w:sz w:val="22"/>
                          <w:szCs w:val="22"/>
                        </w:rPr>
                        <w:t>.</w:t>
                      </w:r>
                    </w:p>
                  </w:txbxContent>
                </v:textbox>
                <w10:wrap type="topAndBottom" anchorx="margin"/>
              </v:shape>
            </w:pict>
          </mc:Fallback>
        </mc:AlternateContent>
      </w:r>
      <w:r w:rsidR="007B3E03">
        <w:rPr>
          <w:rFonts w:asciiTheme="majorHAnsi" w:hAnsiTheme="majorHAnsi" w:cstheme="majorHAnsi"/>
          <w:color w:val="000000" w:themeColor="text1"/>
          <w:sz w:val="22"/>
          <w:szCs w:val="22"/>
        </w:rPr>
        <w:t xml:space="preserve">  </w:t>
      </w:r>
    </w:p>
    <w:p w14:paraId="14EBE1A0" w14:textId="77777777" w:rsidR="00B116FD" w:rsidRDefault="00B116FD" w:rsidP="00024322">
      <w:pPr>
        <w:widowControl w:val="0"/>
        <w:rPr>
          <w:rFonts w:asciiTheme="majorHAnsi" w:hAnsiTheme="majorHAnsi" w:cstheme="majorHAnsi"/>
          <w:b/>
          <w:bCs/>
          <w:color w:val="000000" w:themeColor="text1"/>
          <w:sz w:val="22"/>
          <w:szCs w:val="22"/>
        </w:rPr>
      </w:pPr>
      <w:r>
        <w:rPr>
          <w:rFonts w:asciiTheme="majorHAnsi" w:hAnsiTheme="majorHAnsi" w:cstheme="majorHAnsi"/>
          <w:b/>
          <w:bCs/>
          <w:color w:val="000000" w:themeColor="text1"/>
          <w:sz w:val="22"/>
          <w:szCs w:val="22"/>
        </w:rPr>
        <w:br w:type="page"/>
      </w:r>
    </w:p>
    <w:p w14:paraId="701EAA8F" w14:textId="3D3427E9" w:rsidR="004F7576" w:rsidRPr="00AE080A" w:rsidRDefault="004F7576" w:rsidP="00024322">
      <w:pPr>
        <w:widowControl w:val="0"/>
        <w:jc w:val="both"/>
        <w:rPr>
          <w:rFonts w:asciiTheme="majorHAnsi" w:hAnsiTheme="majorHAnsi" w:cstheme="majorHAnsi"/>
          <w:b/>
          <w:bCs/>
          <w:color w:val="000000" w:themeColor="text1"/>
          <w:sz w:val="22"/>
          <w:szCs w:val="22"/>
        </w:rPr>
      </w:pPr>
      <w:r w:rsidRPr="00AE080A">
        <w:rPr>
          <w:rFonts w:asciiTheme="majorHAnsi" w:hAnsiTheme="majorHAnsi" w:cstheme="majorHAnsi"/>
          <w:b/>
          <w:bCs/>
          <w:color w:val="000000" w:themeColor="text1"/>
          <w:sz w:val="22"/>
          <w:szCs w:val="22"/>
        </w:rPr>
        <w:lastRenderedPageBreak/>
        <w:t>ANNEX I</w:t>
      </w:r>
    </w:p>
    <w:p w14:paraId="215169F7" w14:textId="4B5AEE1D" w:rsidR="004F7576" w:rsidRPr="00F95325" w:rsidRDefault="004F7576" w:rsidP="00024322">
      <w:pPr>
        <w:widowControl w:val="0"/>
        <w:jc w:val="both"/>
        <w:rPr>
          <w:rFonts w:asciiTheme="majorHAnsi" w:hAnsiTheme="majorHAnsi" w:cstheme="majorHAnsi"/>
          <w:color w:val="000000" w:themeColor="text1"/>
          <w:sz w:val="22"/>
          <w:szCs w:val="22"/>
        </w:rPr>
      </w:pPr>
    </w:p>
    <w:p w14:paraId="5D066F5B" w14:textId="77777777" w:rsidR="004F7576" w:rsidRPr="00F95325" w:rsidRDefault="004F7576" w:rsidP="00024322">
      <w:pPr>
        <w:widowControl w:val="0"/>
        <w:autoSpaceDE w:val="0"/>
        <w:autoSpaceDN w:val="0"/>
        <w:adjustRightInd w:val="0"/>
        <w:jc w:val="both"/>
        <w:rPr>
          <w:rFonts w:ascii="Helvetica" w:hAnsi="Helvetica"/>
          <w:b/>
          <w:bCs/>
          <w:color w:val="2C166F"/>
          <w:sz w:val="28"/>
          <w:szCs w:val="16"/>
        </w:rPr>
      </w:pPr>
      <w:r w:rsidRPr="00F95325">
        <w:rPr>
          <w:rFonts w:ascii="Helvetica" w:hAnsi="Helvetica"/>
          <w:b/>
          <w:bCs/>
          <w:color w:val="2C166F"/>
          <w:sz w:val="28"/>
          <w:szCs w:val="16"/>
        </w:rPr>
        <w:t>Statelessness in Belgium</w:t>
      </w:r>
    </w:p>
    <w:p w14:paraId="5AEAD118" w14:textId="77777777" w:rsidR="004F7576" w:rsidRPr="00F95325" w:rsidRDefault="004F7576" w:rsidP="00024322">
      <w:pPr>
        <w:widowControl w:val="0"/>
        <w:autoSpaceDE w:val="0"/>
        <w:autoSpaceDN w:val="0"/>
        <w:adjustRightInd w:val="0"/>
        <w:jc w:val="both"/>
        <w:rPr>
          <w:rFonts w:ascii="Calibri" w:hAnsi="Calibri" w:cs="Calibri"/>
          <w:b/>
          <w:color w:val="F5821F"/>
          <w:sz w:val="22"/>
          <w:szCs w:val="20"/>
        </w:rPr>
      </w:pPr>
    </w:p>
    <w:p w14:paraId="5087937C" w14:textId="635FE5AC" w:rsidR="004F7576" w:rsidRPr="00F95325" w:rsidRDefault="004F7576" w:rsidP="007D3FB2">
      <w:pPr>
        <w:pStyle w:val="ListParagraph"/>
        <w:widowControl w:val="0"/>
        <w:numPr>
          <w:ilvl w:val="0"/>
          <w:numId w:val="1"/>
        </w:numPr>
        <w:jc w:val="both"/>
        <w:rPr>
          <w:rFonts w:asciiTheme="majorHAnsi" w:hAnsiTheme="majorHAnsi" w:cstheme="majorHAnsi"/>
          <w:sz w:val="22"/>
        </w:rPr>
      </w:pPr>
      <w:r w:rsidRPr="00F95325">
        <w:rPr>
          <w:rFonts w:asciiTheme="majorHAnsi" w:hAnsiTheme="majorHAnsi" w:cstheme="majorHAnsi"/>
          <w:sz w:val="22"/>
          <w:szCs w:val="22"/>
        </w:rPr>
        <w:t xml:space="preserve">Belgium is </w:t>
      </w:r>
      <w:r w:rsidR="00E33BE7">
        <w:rPr>
          <w:rFonts w:asciiTheme="majorHAnsi" w:hAnsiTheme="majorHAnsi" w:cstheme="majorHAnsi"/>
          <w:sz w:val="22"/>
          <w:szCs w:val="22"/>
        </w:rPr>
        <w:t>State</w:t>
      </w:r>
      <w:r w:rsidRPr="00F95325">
        <w:rPr>
          <w:rFonts w:asciiTheme="majorHAnsi" w:hAnsiTheme="majorHAnsi" w:cstheme="majorHAnsi"/>
          <w:sz w:val="22"/>
          <w:szCs w:val="22"/>
        </w:rPr>
        <w:t xml:space="preserve"> party to the 1954 Convention on the Status of Stateless Persons (1954 Convention) and to the 1961 Convention on the Reduction of Statelessness (1961 Convention).</w:t>
      </w:r>
      <w:r w:rsidRPr="00F95325">
        <w:rPr>
          <w:rStyle w:val="FootnoteReference"/>
          <w:rFonts w:asciiTheme="majorHAnsi" w:hAnsiTheme="majorHAnsi" w:cstheme="majorHAnsi"/>
          <w:sz w:val="22"/>
          <w:szCs w:val="22"/>
        </w:rPr>
        <w:footnoteReference w:id="49"/>
      </w:r>
      <w:r w:rsidRPr="00F95325">
        <w:rPr>
          <w:rFonts w:asciiTheme="majorHAnsi" w:hAnsiTheme="majorHAnsi" w:cstheme="majorHAnsi"/>
          <w:sz w:val="22"/>
          <w:szCs w:val="22"/>
        </w:rPr>
        <w:t xml:space="preserve"> </w:t>
      </w:r>
      <w:r w:rsidRPr="00F95325">
        <w:rPr>
          <w:rFonts w:ascii="Calibri" w:hAnsi="Calibri" w:cs="Calibri"/>
          <w:sz w:val="22"/>
          <w:szCs w:val="22"/>
        </w:rPr>
        <w:t>According to Article 1 of the 1954 Convention, “a ‘stateless person’ means a person who is not considered as a national by any State under the operation of its law”. Belgian law does not set out a definition of a stateless person, but since the 1954 Convention has direct effect, the 1954 Convention definition applies.</w:t>
      </w:r>
      <w:r w:rsidRPr="00F95325">
        <w:rPr>
          <w:rFonts w:asciiTheme="majorHAnsi" w:hAnsiTheme="majorHAnsi" w:cstheme="majorHAnsi"/>
          <w:sz w:val="22"/>
        </w:rPr>
        <w:t xml:space="preserve"> </w:t>
      </w:r>
      <w:r w:rsidRPr="00F95325">
        <w:rPr>
          <w:rFonts w:asciiTheme="majorHAnsi" w:hAnsiTheme="majorHAnsi" w:cstheme="majorHAnsi"/>
          <w:sz w:val="22"/>
          <w:szCs w:val="22"/>
        </w:rPr>
        <w:t>Furthermore, Belgium has reservations to the 1961 Convention.</w:t>
      </w:r>
      <w:r w:rsidRPr="00F95325">
        <w:rPr>
          <w:rStyle w:val="FootnoteReference"/>
          <w:rFonts w:asciiTheme="majorHAnsi" w:hAnsiTheme="majorHAnsi" w:cstheme="majorHAnsi"/>
          <w:sz w:val="22"/>
          <w:szCs w:val="22"/>
        </w:rPr>
        <w:footnoteReference w:id="50"/>
      </w:r>
      <w:r w:rsidRPr="00F95325">
        <w:rPr>
          <w:rFonts w:asciiTheme="majorHAnsi" w:hAnsiTheme="majorHAnsi" w:cstheme="majorHAnsi"/>
          <w:sz w:val="22"/>
          <w:szCs w:val="22"/>
        </w:rPr>
        <w:t xml:space="preserve"> Regarding Article 2, Belgium considers that the category of “foundlings” concerns children who are believed to be new-born. Regarding Article 8(3), Belgium reserves the right to deprive a person of Belgian nationality if it was not acquired by virtue of a Belgian individual on the date of birth, or was not granted under the Belgian Nationality Code; in cases of fraud in the acquisition of Belgian nationality, violation of duties as a Belgian citizen, or sentencing of at least five years for a number of criminal offences. </w:t>
      </w:r>
    </w:p>
    <w:p w14:paraId="618D216A" w14:textId="77777777" w:rsidR="009A3A91" w:rsidRPr="00F95325" w:rsidRDefault="009A3A91" w:rsidP="00024322">
      <w:pPr>
        <w:pStyle w:val="ListParagraph"/>
        <w:widowControl w:val="0"/>
        <w:ind w:left="501"/>
        <w:jc w:val="both"/>
        <w:rPr>
          <w:rFonts w:asciiTheme="majorHAnsi" w:hAnsiTheme="majorHAnsi" w:cstheme="majorHAnsi"/>
          <w:sz w:val="22"/>
        </w:rPr>
      </w:pPr>
    </w:p>
    <w:p w14:paraId="60942D63" w14:textId="639313EC" w:rsidR="009A3A91" w:rsidRPr="00F95325" w:rsidRDefault="009A3A91" w:rsidP="007D3FB2">
      <w:pPr>
        <w:pStyle w:val="SIBodyText"/>
        <w:widowControl w:val="0"/>
        <w:numPr>
          <w:ilvl w:val="0"/>
          <w:numId w:val="1"/>
        </w:numPr>
        <w:spacing w:after="0" w:line="240" w:lineRule="auto"/>
        <w:jc w:val="both"/>
        <w:rPr>
          <w:rFonts w:asciiTheme="majorHAnsi" w:hAnsiTheme="majorHAnsi" w:cstheme="majorHAnsi"/>
          <w:sz w:val="22"/>
        </w:rPr>
      </w:pPr>
      <w:r w:rsidRPr="00F95325">
        <w:rPr>
          <w:rFonts w:asciiTheme="majorHAnsi" w:hAnsiTheme="majorHAnsi" w:cstheme="majorHAnsi"/>
          <w:sz w:val="22"/>
        </w:rPr>
        <w:t xml:space="preserve">Belgium is </w:t>
      </w:r>
      <w:r w:rsidR="00231FB5">
        <w:rPr>
          <w:rFonts w:asciiTheme="majorHAnsi" w:hAnsiTheme="majorHAnsi" w:cstheme="majorHAnsi"/>
          <w:sz w:val="22"/>
        </w:rPr>
        <w:t xml:space="preserve">also </w:t>
      </w:r>
      <w:r w:rsidRPr="00F95325">
        <w:rPr>
          <w:rFonts w:asciiTheme="majorHAnsi" w:hAnsiTheme="majorHAnsi" w:cstheme="majorHAnsi"/>
          <w:sz w:val="22"/>
        </w:rPr>
        <w:t>State party to</w:t>
      </w:r>
      <w:r w:rsidR="00231FB5">
        <w:rPr>
          <w:rFonts w:asciiTheme="majorHAnsi" w:hAnsiTheme="majorHAnsi" w:cstheme="majorHAnsi"/>
          <w:sz w:val="22"/>
        </w:rPr>
        <w:t xml:space="preserve"> other </w:t>
      </w:r>
      <w:r w:rsidR="006E4ADB">
        <w:rPr>
          <w:rFonts w:asciiTheme="majorHAnsi" w:hAnsiTheme="majorHAnsi" w:cstheme="majorHAnsi"/>
          <w:sz w:val="22"/>
        </w:rPr>
        <w:t xml:space="preserve">relevant </w:t>
      </w:r>
      <w:r w:rsidR="00231FB5">
        <w:rPr>
          <w:rFonts w:asciiTheme="majorHAnsi" w:hAnsiTheme="majorHAnsi" w:cstheme="majorHAnsi"/>
          <w:sz w:val="22"/>
        </w:rPr>
        <w:t>international and regional instruments</w:t>
      </w:r>
      <w:r w:rsidR="00E53F6A">
        <w:rPr>
          <w:rFonts w:asciiTheme="majorHAnsi" w:hAnsiTheme="majorHAnsi" w:cstheme="majorHAnsi"/>
          <w:sz w:val="22"/>
        </w:rPr>
        <w:t>, including</w:t>
      </w:r>
      <w:r w:rsidRPr="00F95325">
        <w:rPr>
          <w:rFonts w:asciiTheme="majorHAnsi" w:hAnsiTheme="majorHAnsi" w:cstheme="majorHAnsi"/>
          <w:sz w:val="22"/>
        </w:rPr>
        <w:t xml:space="preserve"> the International Covenant on Civil and Political Rights (see Article 24.3), the International Covenant on Economic, Social and Cultural Rights (see Articles 2.2 and 3), the Convention of the Rights of the Child (see Articles 2, 3, 7 and 8), the Convention on the Elimination of All Forms of Discrimination against Women (see Article 9), the International Convention on the Elimination of All Forms of Racial Discrimination (see Article 5(d)(iii)), the Convention on the Rights of Persons with Disabilities (see Article 18) and the International Convention for the Protection of All Persons from Enforced Disappearance (see Article 25). Belgium is also party to regional treaties or declarations, including the 1950 European Convention on Human Rights and Fundamental Freedoms and the European Social Charter. </w:t>
      </w:r>
      <w:r w:rsidR="00770665">
        <w:rPr>
          <w:rFonts w:asciiTheme="majorHAnsi" w:hAnsiTheme="majorHAnsi" w:cstheme="majorHAnsi"/>
          <w:sz w:val="22"/>
        </w:rPr>
        <w:t>H</w:t>
      </w:r>
      <w:r w:rsidRPr="00F95325">
        <w:rPr>
          <w:rFonts w:asciiTheme="majorHAnsi" w:hAnsiTheme="majorHAnsi" w:cstheme="majorHAnsi"/>
          <w:sz w:val="22"/>
        </w:rPr>
        <w:t>owever</w:t>
      </w:r>
      <w:r w:rsidR="00770665">
        <w:rPr>
          <w:rFonts w:asciiTheme="majorHAnsi" w:hAnsiTheme="majorHAnsi" w:cstheme="majorHAnsi"/>
          <w:sz w:val="22"/>
        </w:rPr>
        <w:t>, it is</w:t>
      </w:r>
      <w:r w:rsidRPr="00F95325">
        <w:rPr>
          <w:rFonts w:asciiTheme="majorHAnsi" w:hAnsiTheme="majorHAnsi" w:cstheme="majorHAnsi"/>
          <w:sz w:val="22"/>
        </w:rPr>
        <w:t xml:space="preserve"> not a party to the European Convention on Nationality nor the 2006 Council of Europe Convention on the Avoidance of Statelessness in Relation to State Succession.</w:t>
      </w:r>
    </w:p>
    <w:p w14:paraId="613BDC84" w14:textId="77777777" w:rsidR="004F7576" w:rsidRPr="00F95325" w:rsidRDefault="004F7576" w:rsidP="00024322">
      <w:pPr>
        <w:pStyle w:val="SIBodyText"/>
        <w:widowControl w:val="0"/>
        <w:spacing w:after="0" w:line="240" w:lineRule="auto"/>
        <w:ind w:left="501"/>
        <w:jc w:val="both"/>
        <w:rPr>
          <w:rFonts w:asciiTheme="majorHAnsi" w:hAnsiTheme="majorHAnsi" w:cstheme="majorHAnsi"/>
          <w:sz w:val="22"/>
        </w:rPr>
      </w:pPr>
    </w:p>
    <w:p w14:paraId="7D647A27" w14:textId="180C1424" w:rsidR="004F7576" w:rsidRPr="00F95325" w:rsidRDefault="002A4C90" w:rsidP="007D3FB2">
      <w:pPr>
        <w:pStyle w:val="SIBodyText"/>
        <w:widowControl w:val="0"/>
        <w:numPr>
          <w:ilvl w:val="0"/>
          <w:numId w:val="1"/>
        </w:numPr>
        <w:spacing w:after="0" w:line="240" w:lineRule="auto"/>
        <w:jc w:val="both"/>
        <w:rPr>
          <w:rFonts w:asciiTheme="majorHAnsi" w:hAnsiTheme="majorHAnsi" w:cstheme="majorHAnsi"/>
          <w:sz w:val="22"/>
        </w:rPr>
      </w:pPr>
      <w:r>
        <w:rPr>
          <w:rFonts w:asciiTheme="majorHAnsi" w:hAnsiTheme="majorHAnsi" w:cstheme="majorHAnsi"/>
          <w:sz w:val="22"/>
        </w:rPr>
        <w:t>T</w:t>
      </w:r>
      <w:r w:rsidR="00990051" w:rsidRPr="00F95325">
        <w:rPr>
          <w:rFonts w:asciiTheme="majorHAnsi" w:hAnsiTheme="majorHAnsi" w:cstheme="majorHAnsi"/>
          <w:sz w:val="22"/>
        </w:rPr>
        <w:t xml:space="preserve">he stateless population has never been comprehensively mapped </w:t>
      </w:r>
      <w:r w:rsidR="00990051">
        <w:rPr>
          <w:rFonts w:asciiTheme="majorHAnsi" w:hAnsiTheme="majorHAnsi" w:cstheme="majorHAnsi"/>
          <w:sz w:val="22"/>
        </w:rPr>
        <w:t xml:space="preserve">in Belgium </w:t>
      </w:r>
      <w:r w:rsidR="00990051" w:rsidRPr="00F95325">
        <w:rPr>
          <w:rFonts w:asciiTheme="majorHAnsi" w:hAnsiTheme="majorHAnsi" w:cstheme="majorHAnsi"/>
          <w:sz w:val="22"/>
        </w:rPr>
        <w:t>and available data is fragmented.</w:t>
      </w:r>
      <w:r w:rsidR="00990051" w:rsidRPr="00F95325">
        <w:rPr>
          <w:rStyle w:val="FootnoteReference"/>
          <w:rFonts w:asciiTheme="majorHAnsi" w:hAnsiTheme="majorHAnsi" w:cstheme="majorHAnsi"/>
          <w:sz w:val="22"/>
        </w:rPr>
        <w:footnoteReference w:id="51"/>
      </w:r>
      <w:r w:rsidR="00990051" w:rsidRPr="00F95325">
        <w:rPr>
          <w:rFonts w:asciiTheme="majorHAnsi" w:hAnsiTheme="majorHAnsi" w:cstheme="majorHAnsi"/>
          <w:sz w:val="22"/>
        </w:rPr>
        <w:t xml:space="preserve"> </w:t>
      </w:r>
      <w:r w:rsidR="004F7576" w:rsidRPr="00F95325">
        <w:rPr>
          <w:rFonts w:asciiTheme="majorHAnsi" w:hAnsiTheme="majorHAnsi" w:cstheme="majorHAnsi"/>
          <w:sz w:val="22"/>
        </w:rPr>
        <w:t>Some data on the stateless population in Belgium is available, and UNHCR published a mapping study of statelessness in the country in 2012.</w:t>
      </w:r>
      <w:r w:rsidR="004F7576" w:rsidRPr="00F95325">
        <w:rPr>
          <w:rStyle w:val="FootnoteReference"/>
          <w:rFonts w:asciiTheme="majorHAnsi" w:hAnsiTheme="majorHAnsi" w:cstheme="majorHAnsi"/>
          <w:sz w:val="22"/>
        </w:rPr>
        <w:footnoteReference w:id="52"/>
      </w:r>
      <w:r w:rsidR="004F7576" w:rsidRPr="00F95325">
        <w:rPr>
          <w:rFonts w:asciiTheme="majorHAnsi" w:hAnsiTheme="majorHAnsi" w:cstheme="majorHAnsi"/>
          <w:sz w:val="22"/>
        </w:rPr>
        <w:t xml:space="preserve"> </w:t>
      </w:r>
      <w:r w:rsidR="00770665">
        <w:rPr>
          <w:rFonts w:asciiTheme="majorHAnsi" w:hAnsiTheme="majorHAnsi" w:cstheme="majorHAnsi"/>
          <w:sz w:val="22"/>
        </w:rPr>
        <w:t>The</w:t>
      </w:r>
      <w:r w:rsidR="004F7576" w:rsidRPr="00F95325">
        <w:rPr>
          <w:rFonts w:asciiTheme="majorHAnsi" w:hAnsiTheme="majorHAnsi" w:cstheme="majorHAnsi"/>
          <w:sz w:val="22"/>
        </w:rPr>
        <w:t xml:space="preserve"> Belgian National Registry records people who have been recognised as stateless and issued long-term residence permits in the country, but it also contains categories that may overlap with ‘stateless’ and does not count people awaiting determination of their statelessness, recognised as stateless but not granted a residence permit, stateless people holding a short-term residence permit, nor people recognised as stateless  in the asylum procedure.</w:t>
      </w:r>
    </w:p>
    <w:p w14:paraId="12AF34B7" w14:textId="77777777" w:rsidR="004F7576" w:rsidRPr="00F95325" w:rsidRDefault="004F7576" w:rsidP="00024322">
      <w:pPr>
        <w:pStyle w:val="SIBodyText"/>
        <w:widowControl w:val="0"/>
        <w:spacing w:after="0" w:line="240" w:lineRule="auto"/>
        <w:ind w:left="501"/>
        <w:jc w:val="both"/>
        <w:rPr>
          <w:rFonts w:asciiTheme="majorHAnsi" w:hAnsiTheme="majorHAnsi" w:cstheme="majorHAnsi"/>
          <w:sz w:val="22"/>
        </w:rPr>
      </w:pPr>
    </w:p>
    <w:p w14:paraId="7A6DB003" w14:textId="1F58F50B" w:rsidR="004F7576" w:rsidRPr="001D3B56" w:rsidRDefault="004F7576" w:rsidP="007D3FB2">
      <w:pPr>
        <w:pStyle w:val="SIBodyText"/>
        <w:widowControl w:val="0"/>
        <w:numPr>
          <w:ilvl w:val="0"/>
          <w:numId w:val="1"/>
        </w:numPr>
        <w:spacing w:after="0" w:line="240" w:lineRule="auto"/>
        <w:jc w:val="both"/>
        <w:rPr>
          <w:rFonts w:asciiTheme="majorHAnsi" w:hAnsiTheme="majorHAnsi" w:cstheme="majorHAnsi"/>
          <w:sz w:val="22"/>
        </w:rPr>
      </w:pPr>
      <w:r w:rsidRPr="00F95325">
        <w:rPr>
          <w:rFonts w:asciiTheme="majorHAnsi" w:hAnsiTheme="majorHAnsi" w:cstheme="majorHAnsi"/>
          <w:sz w:val="22"/>
        </w:rPr>
        <w:t xml:space="preserve">According to UNHCR's Mid-Year Trends 2020 Report, 10,933 persons are stateless or at </w:t>
      </w:r>
      <w:r w:rsidRPr="00F95325">
        <w:rPr>
          <w:rFonts w:asciiTheme="majorHAnsi" w:hAnsiTheme="majorHAnsi" w:cstheme="majorHAnsi"/>
          <w:sz w:val="22"/>
        </w:rPr>
        <w:lastRenderedPageBreak/>
        <w:t>risk of statelessness in Belgium.</w:t>
      </w:r>
      <w:r w:rsidRPr="00F95325">
        <w:rPr>
          <w:rStyle w:val="FootnoteReference"/>
          <w:rFonts w:asciiTheme="majorHAnsi" w:hAnsiTheme="majorHAnsi" w:cstheme="majorHAnsi"/>
          <w:sz w:val="22"/>
        </w:rPr>
        <w:footnoteReference w:id="53"/>
      </w:r>
      <w:r w:rsidRPr="00F95325">
        <w:rPr>
          <w:rFonts w:asciiTheme="majorHAnsi" w:hAnsiTheme="majorHAnsi" w:cstheme="majorHAnsi"/>
          <w:sz w:val="22"/>
        </w:rPr>
        <w:t xml:space="preserve"> On 1 January 2020, there were 1,134 people registered as “stateless” in the </w:t>
      </w:r>
      <w:r w:rsidR="00770665">
        <w:rPr>
          <w:rFonts w:asciiTheme="majorHAnsi" w:hAnsiTheme="majorHAnsi" w:cstheme="majorHAnsi"/>
          <w:sz w:val="22"/>
        </w:rPr>
        <w:t>N</w:t>
      </w:r>
      <w:r w:rsidRPr="00F95325">
        <w:rPr>
          <w:rFonts w:asciiTheme="majorHAnsi" w:hAnsiTheme="majorHAnsi" w:cstheme="majorHAnsi"/>
          <w:sz w:val="22"/>
        </w:rPr>
        <w:t xml:space="preserve">ational </w:t>
      </w:r>
      <w:r w:rsidR="00770665">
        <w:rPr>
          <w:rFonts w:asciiTheme="majorHAnsi" w:hAnsiTheme="majorHAnsi" w:cstheme="majorHAnsi"/>
          <w:sz w:val="22"/>
        </w:rPr>
        <w:t>R</w:t>
      </w:r>
      <w:r w:rsidRPr="00F95325">
        <w:rPr>
          <w:rFonts w:asciiTheme="majorHAnsi" w:hAnsiTheme="majorHAnsi" w:cstheme="majorHAnsi"/>
          <w:sz w:val="22"/>
        </w:rPr>
        <w:t>egistry</w:t>
      </w:r>
      <w:r w:rsidR="004849B2">
        <w:rPr>
          <w:rFonts w:asciiTheme="majorHAnsi" w:hAnsiTheme="majorHAnsi" w:cstheme="majorHAnsi"/>
          <w:sz w:val="22"/>
        </w:rPr>
        <w:t>,</w:t>
      </w:r>
      <w:r w:rsidRPr="00F95325">
        <w:rPr>
          <w:rFonts w:asciiTheme="majorHAnsi" w:hAnsiTheme="majorHAnsi" w:cstheme="majorHAnsi"/>
          <w:sz w:val="22"/>
        </w:rPr>
        <w:t xml:space="preserve"> including 183 refugees and 951 stateless persons who have been issued a long-term residence permit</w:t>
      </w:r>
      <w:r w:rsidR="00400D51">
        <w:rPr>
          <w:rFonts w:asciiTheme="majorHAnsi" w:hAnsiTheme="majorHAnsi" w:cstheme="majorHAnsi"/>
          <w:sz w:val="22"/>
        </w:rPr>
        <w:t xml:space="preserve">. </w:t>
      </w:r>
      <w:r w:rsidR="00400D51" w:rsidRPr="00400D51">
        <w:rPr>
          <w:rFonts w:asciiTheme="majorHAnsi" w:hAnsiTheme="majorHAnsi" w:cstheme="majorHAnsi"/>
          <w:sz w:val="22"/>
        </w:rPr>
        <w:t>This number includes people who obtained a residence permit on the basis of statelessness, but also for other reasons</w:t>
      </w:r>
      <w:r w:rsidRPr="00F95325">
        <w:rPr>
          <w:rFonts w:asciiTheme="majorHAnsi" w:hAnsiTheme="majorHAnsi" w:cstheme="majorHAnsi"/>
          <w:sz w:val="22"/>
        </w:rPr>
        <w:t xml:space="preserve"> (</w:t>
      </w:r>
      <w:r w:rsidR="00770665">
        <w:rPr>
          <w:rFonts w:asciiTheme="majorHAnsi" w:hAnsiTheme="majorHAnsi" w:cstheme="majorHAnsi"/>
          <w:sz w:val="22"/>
        </w:rPr>
        <w:t>for example,</w:t>
      </w:r>
      <w:r w:rsidRPr="00F95325">
        <w:rPr>
          <w:rFonts w:asciiTheme="majorHAnsi" w:hAnsiTheme="majorHAnsi" w:cstheme="majorHAnsi"/>
          <w:sz w:val="22"/>
        </w:rPr>
        <w:t xml:space="preserve"> on grounds of family reunification).</w:t>
      </w:r>
      <w:r w:rsidRPr="00F95325">
        <w:rPr>
          <w:rStyle w:val="FootnoteReference"/>
          <w:rFonts w:asciiTheme="majorHAnsi" w:hAnsiTheme="majorHAnsi" w:cstheme="majorHAnsi"/>
          <w:sz w:val="22"/>
        </w:rPr>
        <w:footnoteReference w:id="54"/>
      </w:r>
      <w:r w:rsidRPr="00F95325">
        <w:rPr>
          <w:rFonts w:asciiTheme="majorHAnsi" w:hAnsiTheme="majorHAnsi" w:cstheme="majorHAnsi"/>
          <w:sz w:val="22"/>
        </w:rPr>
        <w:t xml:space="preserve"> On 1 January 2020 there were also 22,518 people registered as </w:t>
      </w:r>
      <w:r w:rsidR="006540F4">
        <w:rPr>
          <w:rFonts w:asciiTheme="majorHAnsi" w:hAnsiTheme="majorHAnsi" w:cstheme="majorHAnsi"/>
          <w:sz w:val="22"/>
        </w:rPr>
        <w:t xml:space="preserve">having </w:t>
      </w:r>
      <w:r w:rsidRPr="00F95325">
        <w:rPr>
          <w:rFonts w:asciiTheme="majorHAnsi" w:hAnsiTheme="majorHAnsi" w:cstheme="majorHAnsi"/>
          <w:sz w:val="22"/>
        </w:rPr>
        <w:t>“undetermined nationality” and 2,772 as “Palestinian authority”, and</w:t>
      </w:r>
      <w:r w:rsidR="002216B2">
        <w:rPr>
          <w:rFonts w:asciiTheme="majorHAnsi" w:hAnsiTheme="majorHAnsi" w:cstheme="majorHAnsi"/>
          <w:sz w:val="22"/>
        </w:rPr>
        <w:t xml:space="preserve"> it</w:t>
      </w:r>
      <w:r w:rsidRPr="00F95325">
        <w:rPr>
          <w:rFonts w:asciiTheme="majorHAnsi" w:hAnsiTheme="majorHAnsi" w:cstheme="majorHAnsi"/>
          <w:sz w:val="22"/>
        </w:rPr>
        <w:t xml:space="preserve"> is likely that some people in these two categories are </w:t>
      </w:r>
      <w:r w:rsidR="00770665">
        <w:rPr>
          <w:rFonts w:asciiTheme="majorHAnsi" w:hAnsiTheme="majorHAnsi" w:cstheme="majorHAnsi"/>
          <w:sz w:val="22"/>
        </w:rPr>
        <w:t xml:space="preserve">stateless or </w:t>
      </w:r>
      <w:r w:rsidRPr="00F95325">
        <w:rPr>
          <w:rFonts w:asciiTheme="majorHAnsi" w:hAnsiTheme="majorHAnsi" w:cstheme="majorHAnsi"/>
          <w:sz w:val="22"/>
        </w:rPr>
        <w:t>at risk of statelessness</w:t>
      </w:r>
      <w:r w:rsidR="00770665">
        <w:rPr>
          <w:rFonts w:asciiTheme="majorHAnsi" w:hAnsiTheme="majorHAnsi" w:cstheme="majorHAnsi"/>
          <w:sz w:val="22"/>
        </w:rPr>
        <w:t>.</w:t>
      </w:r>
      <w:r w:rsidRPr="00F95325">
        <w:t xml:space="preserve"> </w:t>
      </w:r>
      <w:r w:rsidRPr="00F95325">
        <w:rPr>
          <w:rFonts w:asciiTheme="majorHAnsi" w:hAnsiTheme="majorHAnsi" w:cstheme="majorHAnsi"/>
          <w:sz w:val="22"/>
        </w:rPr>
        <w:t>Figures for the number of asylum seekers registered as ‘stateless’ are recorded</w:t>
      </w:r>
      <w:r w:rsidR="00CC0381">
        <w:rPr>
          <w:rFonts w:asciiTheme="majorHAnsi" w:hAnsiTheme="majorHAnsi" w:cstheme="majorHAnsi"/>
          <w:sz w:val="22"/>
        </w:rPr>
        <w:t xml:space="preserve"> and</w:t>
      </w:r>
      <w:r w:rsidRPr="00F95325">
        <w:rPr>
          <w:rFonts w:asciiTheme="majorHAnsi" w:hAnsiTheme="majorHAnsi" w:cstheme="majorHAnsi"/>
          <w:sz w:val="22"/>
        </w:rPr>
        <w:t xml:space="preserve"> published </w:t>
      </w:r>
      <w:r w:rsidR="00CC0381" w:rsidRPr="00F95325">
        <w:rPr>
          <w:rFonts w:asciiTheme="majorHAnsi" w:hAnsiTheme="majorHAnsi" w:cstheme="majorHAnsi"/>
          <w:sz w:val="22"/>
        </w:rPr>
        <w:t xml:space="preserve">monthly </w:t>
      </w:r>
      <w:r w:rsidRPr="00F95325">
        <w:rPr>
          <w:rFonts w:asciiTheme="majorHAnsi" w:hAnsiTheme="majorHAnsi" w:cstheme="majorHAnsi"/>
          <w:sz w:val="22"/>
        </w:rPr>
        <w:t>in line with Eurostat requirements. Data on stateless people held in immigration detention is not routinely collected or published.</w:t>
      </w:r>
    </w:p>
    <w:sectPr w:rsidR="004F7576" w:rsidRPr="001D3B56" w:rsidSect="00CA7CFD">
      <w:headerReference w:type="default" r:id="rId14"/>
      <w:footerReference w:type="even" r:id="rId15"/>
      <w:footerReference w:type="default" r:id="rId16"/>
      <w:headerReference w:type="first" r:id="rId17"/>
      <w:pgSz w:w="11906" w:h="16838" w:code="9"/>
      <w:pgMar w:top="1440" w:right="1800" w:bottom="1440" w:left="1800" w:header="720" w:footer="536" w:gutter="0"/>
      <w:paperSrc w:first="3" w:other="3"/>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811EBD" w14:textId="77777777" w:rsidR="00854135" w:rsidRDefault="00854135">
      <w:r>
        <w:separator/>
      </w:r>
    </w:p>
  </w:endnote>
  <w:endnote w:type="continuationSeparator" w:id="0">
    <w:p w14:paraId="6DF76733" w14:textId="77777777" w:rsidR="00854135" w:rsidRDefault="00854135">
      <w:r>
        <w:continuationSeparator/>
      </w:r>
    </w:p>
  </w:endnote>
  <w:endnote w:type="continuationNotice" w:id="1">
    <w:p w14:paraId="56FE0544" w14:textId="77777777" w:rsidR="00854135" w:rsidRDefault="008541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Lato CE">
    <w:altName w:val="Cambria"/>
    <w:panose1 w:val="020B0604020202020204"/>
    <w:charset w:val="00"/>
    <w:family w:val="swiss"/>
    <w:pitch w:val="variable"/>
    <w:sig w:usb0="E10002FF" w:usb1="5000ECFF" w:usb2="00000021" w:usb3="00000000" w:csb0="0000019F"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Lucida Grande"/>
    <w:panose1 w:val="020B0600040502020204"/>
    <w:charset w:val="00"/>
    <w:family w:val="swiss"/>
    <w:pitch w:val="variable"/>
    <w:sig w:usb0="E1000AEF" w:usb1="5000A1FF" w:usb2="00000000" w:usb3="00000000" w:csb0="000001BF" w:csb1="00000000"/>
  </w:font>
  <w:font w:name="Times">
    <w:altName w:val="Times"/>
    <w:panose1 w:val="02000500000000000000"/>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kzidenz-Grotesk BQ">
    <w:altName w:val="Calibri"/>
    <w:panose1 w:val="020B0604020202020204"/>
    <w:charset w:val="00"/>
    <w:family w:val="swiss"/>
    <w:notTrueType/>
    <w:pitch w:val="default"/>
    <w:sig w:usb0="00000003" w:usb1="00000000" w:usb2="00000000" w:usb3="00000000" w:csb0="00000001" w:csb1="00000000"/>
  </w:font>
  <w:font w:name="MinionPro-Regular">
    <w:altName w:val="Calibri"/>
    <w:panose1 w:val="020B0604020202020204"/>
    <w:charset w:val="4D"/>
    <w:family w:val="auto"/>
    <w:notTrueType/>
    <w:pitch w:val="default"/>
    <w:sig w:usb0="00000003" w:usb1="00000000" w:usb2="00000000" w:usb3="00000000" w:csb0="00000001" w:csb1="00000000"/>
  </w:font>
  <w:font w:name="Helvetica Light">
    <w:altName w:val="HELVETICA LIGHT"/>
    <w:panose1 w:val="020B0403020202020204"/>
    <w:charset w:val="00"/>
    <w:family w:val="swiss"/>
    <w:pitch w:val="variable"/>
    <w:sig w:usb0="800000AF" w:usb1="4000204A" w:usb2="00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72A8B0" w14:textId="77777777" w:rsidR="00D15B68" w:rsidRDefault="00DE3ED1" w:rsidP="00D15B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472A8B1" w14:textId="77777777" w:rsidR="00D15B68" w:rsidRDefault="00D15B68" w:rsidP="00D15B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72A8B2" w14:textId="77777777" w:rsidR="00D15B68" w:rsidRPr="008C7146" w:rsidRDefault="00DE3ED1" w:rsidP="00D15B68">
    <w:pPr>
      <w:pStyle w:val="Footer"/>
      <w:framePr w:wrap="around" w:vAnchor="text" w:hAnchor="margin" w:xAlign="right" w:y="1"/>
      <w:rPr>
        <w:rStyle w:val="PageNumber"/>
        <w:rFonts w:asciiTheme="majorHAnsi" w:hAnsiTheme="majorHAnsi" w:cstheme="majorHAnsi"/>
        <w:sz w:val="22"/>
        <w:szCs w:val="22"/>
      </w:rPr>
    </w:pPr>
    <w:r w:rsidRPr="008C7146">
      <w:rPr>
        <w:rStyle w:val="PageNumber"/>
        <w:rFonts w:asciiTheme="majorHAnsi" w:hAnsiTheme="majorHAnsi" w:cstheme="majorHAnsi"/>
        <w:sz w:val="22"/>
        <w:szCs w:val="22"/>
      </w:rPr>
      <w:fldChar w:fldCharType="begin"/>
    </w:r>
    <w:r w:rsidRPr="008C7146">
      <w:rPr>
        <w:rStyle w:val="PageNumber"/>
        <w:rFonts w:asciiTheme="majorHAnsi" w:hAnsiTheme="majorHAnsi" w:cstheme="majorHAnsi"/>
        <w:sz w:val="22"/>
        <w:szCs w:val="22"/>
      </w:rPr>
      <w:instrText xml:space="preserve">PAGE  </w:instrText>
    </w:r>
    <w:r w:rsidRPr="008C7146">
      <w:rPr>
        <w:rStyle w:val="PageNumber"/>
        <w:rFonts w:asciiTheme="majorHAnsi" w:hAnsiTheme="majorHAnsi" w:cstheme="majorHAnsi"/>
        <w:sz w:val="22"/>
        <w:szCs w:val="22"/>
      </w:rPr>
      <w:fldChar w:fldCharType="separate"/>
    </w:r>
    <w:r w:rsidRPr="008C7146">
      <w:rPr>
        <w:rStyle w:val="PageNumber"/>
        <w:rFonts w:asciiTheme="majorHAnsi" w:hAnsiTheme="majorHAnsi" w:cstheme="majorHAnsi"/>
        <w:noProof/>
        <w:sz w:val="22"/>
        <w:szCs w:val="22"/>
      </w:rPr>
      <w:t>10</w:t>
    </w:r>
    <w:r w:rsidRPr="008C7146">
      <w:rPr>
        <w:rStyle w:val="PageNumber"/>
        <w:rFonts w:asciiTheme="majorHAnsi" w:hAnsiTheme="majorHAnsi" w:cstheme="majorHAnsi"/>
        <w:sz w:val="22"/>
        <w:szCs w:val="22"/>
      </w:rPr>
      <w:fldChar w:fldCharType="end"/>
    </w:r>
  </w:p>
  <w:p w14:paraId="6472A8B3" w14:textId="77777777" w:rsidR="00D15B68" w:rsidRPr="008C7146" w:rsidRDefault="00D15B68" w:rsidP="00D15B68">
    <w:pPr>
      <w:pStyle w:val="Footer"/>
      <w:ind w:right="360"/>
      <w:rPr>
        <w:rFonts w:asciiTheme="majorHAnsi" w:hAnsiTheme="majorHAnsi" w:cstheme="majorHAns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BD7A3C" w14:textId="77777777" w:rsidR="00854135" w:rsidRDefault="00854135" w:rsidP="00D15B68">
      <w:r>
        <w:separator/>
      </w:r>
    </w:p>
  </w:footnote>
  <w:footnote w:type="continuationSeparator" w:id="0">
    <w:p w14:paraId="007879FD" w14:textId="77777777" w:rsidR="00854135" w:rsidRDefault="00854135" w:rsidP="00D15B68">
      <w:r>
        <w:continuationSeparator/>
      </w:r>
    </w:p>
  </w:footnote>
  <w:footnote w:type="continuationNotice" w:id="1">
    <w:p w14:paraId="17C6E57C" w14:textId="77777777" w:rsidR="00854135" w:rsidRDefault="00854135"/>
  </w:footnote>
  <w:footnote w:id="2">
    <w:p w14:paraId="6C0E220C" w14:textId="77777777" w:rsidR="00157388" w:rsidRPr="001C5DA9" w:rsidRDefault="00157388" w:rsidP="00D5763D">
      <w:pPr>
        <w:pStyle w:val="FootnoteText"/>
      </w:pPr>
      <w:r w:rsidRPr="001C5DA9">
        <w:rPr>
          <w:rStyle w:val="FootnoteReference"/>
        </w:rPr>
        <w:footnoteRef/>
      </w:r>
      <w:r w:rsidRPr="001C5DA9">
        <w:t xml:space="preserve"> NANSEN is a centre of independent expertise on refugee law based in Brussels. Its mission is to develop and make available quality legal aid for all those in need of international protection so that their fundamental rights are effectively upheld. To achieve this objective, NANSEN combines technical legal expertise with an interdisciplinary approach to asylum. NANSEN was set up in 2017 by a group of lawyers and academics experienced in the field of refugee, human rights, and migration law. For more information about NANSEN, see: </w:t>
      </w:r>
      <w:hyperlink r:id="rId1" w:history="1">
        <w:r w:rsidRPr="001C5DA9">
          <w:rPr>
            <w:rStyle w:val="Hyperlink"/>
          </w:rPr>
          <w:t>https://nansen-refugee.be/en/</w:t>
        </w:r>
      </w:hyperlink>
      <w:r w:rsidRPr="001C5DA9">
        <w:t>.</w:t>
      </w:r>
    </w:p>
  </w:footnote>
  <w:footnote w:id="3">
    <w:p w14:paraId="1594BBDC" w14:textId="4F349483" w:rsidR="00157388" w:rsidRPr="001C5DA9" w:rsidRDefault="00157388" w:rsidP="00D5763D">
      <w:pPr>
        <w:pStyle w:val="FootnoteText"/>
      </w:pPr>
      <w:r w:rsidRPr="001C5DA9">
        <w:rPr>
          <w:rStyle w:val="FootnoteReference"/>
        </w:rPr>
        <w:footnoteRef/>
      </w:r>
      <w:r w:rsidRPr="001C5DA9">
        <w:t xml:space="preserve"> The European Network on Statelessness (ENS) is a civil society alliance of NGOs, lawyers, academics, and other independent experts committed to addressing statelessness in Europe. Based in London, it currently has over 170 members in 41 European countries. ENS organises its work around three pillars – law and policy development, awareness-raising, and capacity-building. ENS provides expert advice and support to a range of stakeholders, including governments. For more information about the European Network on Statelessness, see: </w:t>
      </w:r>
      <w:hyperlink r:id="rId2" w:history="1">
        <w:r w:rsidRPr="001C5DA9">
          <w:rPr>
            <w:rStyle w:val="Hyperlink"/>
          </w:rPr>
          <w:t>www.statelessness.eu</w:t>
        </w:r>
      </w:hyperlink>
      <w:r w:rsidRPr="001C5DA9">
        <w:t xml:space="preserve">. </w:t>
      </w:r>
    </w:p>
  </w:footnote>
  <w:footnote w:id="4">
    <w:p w14:paraId="424CA1A9" w14:textId="6296C3FB" w:rsidR="00157388" w:rsidRPr="001C5DA9" w:rsidRDefault="00157388" w:rsidP="00D5763D">
      <w:pPr>
        <w:pStyle w:val="FootnoteText"/>
        <w:rPr>
          <w:b/>
          <w:bCs/>
        </w:rPr>
      </w:pPr>
      <w:r w:rsidRPr="001C5DA9">
        <w:rPr>
          <w:rStyle w:val="FootnoteReference"/>
        </w:rPr>
        <w:footnoteRef/>
      </w:r>
      <w:r w:rsidRPr="001C5DA9">
        <w:t xml:space="preserve"> The Institute on Statelessness and Inclusion (ISI) is the first and only human rights NGO dedicated to working on statelessness at the global level. ISI’s mission is to promote inclusive societies by realising and protecting everyone’s right to a nationality. The Institute has made over 70 country specific UPR submissions on the human rights of stateless persons, of which over 20 have been submitted in collaboration with the European Network on Statelessness. ISI has also compiled summaries of the key human rights challenges related to statelessness in all countries under review under the 23</w:t>
      </w:r>
      <w:r w:rsidRPr="001C5DA9">
        <w:rPr>
          <w:vertAlign w:val="superscript"/>
        </w:rPr>
        <w:t>rd</w:t>
      </w:r>
      <w:r w:rsidR="00073DA5" w:rsidRPr="001C5DA9">
        <w:t xml:space="preserve"> </w:t>
      </w:r>
      <w:r w:rsidRPr="001C5DA9">
        <w:t>to the 3</w:t>
      </w:r>
      <w:r w:rsidR="003B4F6E" w:rsidRPr="001C5DA9">
        <w:t>8</w:t>
      </w:r>
      <w:r w:rsidR="003B4F6E" w:rsidRPr="001C5DA9">
        <w:rPr>
          <w:vertAlign w:val="superscript"/>
        </w:rPr>
        <w:t>th</w:t>
      </w:r>
      <w:r w:rsidR="003B4F6E" w:rsidRPr="001C5DA9">
        <w:t xml:space="preserve"> </w:t>
      </w:r>
      <w:r w:rsidRPr="001C5DA9">
        <w:t xml:space="preserve">UPR Sessions. For more information see: </w:t>
      </w:r>
      <w:hyperlink r:id="rId3" w:history="1">
        <w:r w:rsidRPr="001C5DA9">
          <w:rPr>
            <w:rStyle w:val="Hyperlink"/>
          </w:rPr>
          <w:t>www.institutesi.org</w:t>
        </w:r>
      </w:hyperlink>
      <w:r w:rsidR="003D38D1" w:rsidRPr="001C5DA9">
        <w:rPr>
          <w:rStyle w:val="Hyperlink"/>
          <w:color w:val="auto"/>
          <w:u w:val="none"/>
        </w:rPr>
        <w:t>.</w:t>
      </w:r>
    </w:p>
  </w:footnote>
  <w:footnote w:id="5">
    <w:p w14:paraId="3084FFA8" w14:textId="77777777" w:rsidR="001A3D6C" w:rsidRPr="001C5DA9" w:rsidRDefault="001A3D6C" w:rsidP="00D5763D">
      <w:pPr>
        <w:pStyle w:val="FootnoteText"/>
      </w:pPr>
      <w:r w:rsidRPr="001C5DA9">
        <w:rPr>
          <w:rStyle w:val="FootnoteReference"/>
        </w:rPr>
        <w:footnoteRef/>
      </w:r>
      <w:r w:rsidRPr="001C5DA9">
        <w:t xml:space="preserve"> The Statelessness Index on Belgium can be accessed at: </w:t>
      </w:r>
      <w:hyperlink r:id="rId4" w:history="1">
        <w:r w:rsidRPr="001C5DA9">
          <w:rPr>
            <w:rStyle w:val="Hyperlink"/>
          </w:rPr>
          <w:t>https://index.statelessness.eu/country/belgium</w:t>
        </w:r>
      </w:hyperlink>
      <w:r w:rsidRPr="001C5DA9">
        <w:t>.</w:t>
      </w:r>
    </w:p>
  </w:footnote>
  <w:footnote w:id="6">
    <w:p w14:paraId="2A52A3AE" w14:textId="37ED7767" w:rsidR="00584080" w:rsidRPr="001C5DA9" w:rsidRDefault="00584080" w:rsidP="00D5763D">
      <w:pPr>
        <w:pStyle w:val="FootnoteText"/>
      </w:pPr>
      <w:r w:rsidRPr="001C5DA9">
        <w:rPr>
          <w:rStyle w:val="FootnoteReference"/>
        </w:rPr>
        <w:footnoteRef/>
      </w:r>
      <w:r w:rsidRPr="001C5DA9">
        <w:t xml:space="preserve"> </w:t>
      </w:r>
      <w:r w:rsidR="003D38D1" w:rsidRPr="001C5DA9">
        <w:t xml:space="preserve">UNHCR, </w:t>
      </w:r>
      <w:r w:rsidRPr="001C5DA9">
        <w:t>#IBelong Campaign to End Statelessness</w:t>
      </w:r>
      <w:r w:rsidR="003D38D1" w:rsidRPr="001C5DA9">
        <w:t xml:space="preserve"> (</w:t>
      </w:r>
      <w:r w:rsidRPr="001C5DA9">
        <w:t>launched in November 2014</w:t>
      </w:r>
      <w:r w:rsidR="003D38D1" w:rsidRPr="001C5DA9">
        <w:t>)</w:t>
      </w:r>
      <w:r w:rsidRPr="001C5DA9">
        <w:t xml:space="preserve">, </w:t>
      </w:r>
      <w:r w:rsidR="00A62A19" w:rsidRPr="001C5DA9">
        <w:t xml:space="preserve">see: </w:t>
      </w:r>
      <w:hyperlink r:id="rId5" w:history="1">
        <w:r w:rsidR="00A62A19" w:rsidRPr="001C5DA9">
          <w:rPr>
            <w:rStyle w:val="Hyperlink"/>
          </w:rPr>
          <w:t>https://www.unhcr.org/ibelong/</w:t>
        </w:r>
      </w:hyperlink>
      <w:r w:rsidR="003D38D1" w:rsidRPr="001C5DA9">
        <w:t>.</w:t>
      </w:r>
    </w:p>
  </w:footnote>
  <w:footnote w:id="7">
    <w:p w14:paraId="38DBD2C4" w14:textId="457E0F42" w:rsidR="00976886" w:rsidRPr="00976886" w:rsidRDefault="00976886">
      <w:pPr>
        <w:pStyle w:val="FootnoteText"/>
        <w:rPr>
          <w:lang w:val="pt-PT"/>
        </w:rPr>
      </w:pPr>
      <w:r>
        <w:rPr>
          <w:rStyle w:val="FootnoteReference"/>
        </w:rPr>
        <w:footnoteRef/>
      </w:r>
      <w:r>
        <w:t xml:space="preserve"> </w:t>
      </w:r>
      <w:r w:rsidR="00D07775">
        <w:t xml:space="preserve">CAT, </w:t>
      </w:r>
      <w:r w:rsidR="00D07775" w:rsidRPr="00D07775">
        <w:t>Concluding observations on the second periodic report of</w:t>
      </w:r>
      <w:r w:rsidR="00D07775">
        <w:t xml:space="preserve"> </w:t>
      </w:r>
      <w:r w:rsidR="00D07775" w:rsidRPr="00D07775">
        <w:t>Romania</w:t>
      </w:r>
      <w:r w:rsidR="00D07775">
        <w:t xml:space="preserve">, </w:t>
      </w:r>
      <w:r w:rsidR="00FE40C2" w:rsidRPr="00FE40C2">
        <w:t>5 June</w:t>
      </w:r>
      <w:r w:rsidR="00FE40C2">
        <w:t xml:space="preserve"> </w:t>
      </w:r>
      <w:r w:rsidR="00FE40C2" w:rsidRPr="00FE40C2">
        <w:t>2015</w:t>
      </w:r>
      <w:r w:rsidR="00FE40C2">
        <w:t xml:space="preserve">, </w:t>
      </w:r>
      <w:r w:rsidRPr="00976886">
        <w:t>CAT/C/ROU/CO/2</w:t>
      </w:r>
      <w:r w:rsidR="00FE40C2">
        <w:t>.</w:t>
      </w:r>
    </w:p>
  </w:footnote>
  <w:footnote w:id="8">
    <w:p w14:paraId="6404CDFF" w14:textId="468DFF41" w:rsidR="00B42EFE" w:rsidRPr="00DB5D6E" w:rsidRDefault="00B42EFE" w:rsidP="00B62404">
      <w:pPr>
        <w:pStyle w:val="FootnoteText"/>
        <w:rPr>
          <w:lang w:val="pt-PT"/>
        </w:rPr>
      </w:pPr>
      <w:r>
        <w:rPr>
          <w:rStyle w:val="FootnoteReference"/>
        </w:rPr>
        <w:footnoteRef/>
      </w:r>
      <w:r>
        <w:t xml:space="preserve"> </w:t>
      </w:r>
      <w:r w:rsidR="00045075">
        <w:t xml:space="preserve">CAT, </w:t>
      </w:r>
      <w:r w:rsidR="00045075" w:rsidRPr="00045075">
        <w:t>Concluding observations on the third periodic report of</w:t>
      </w:r>
      <w:r w:rsidR="00DB3E3D">
        <w:t xml:space="preserve"> </w:t>
      </w:r>
      <w:r w:rsidR="00045075" w:rsidRPr="00045075">
        <w:t>the former Yugoslav Republic of Macedonia</w:t>
      </w:r>
      <w:r w:rsidR="00045075">
        <w:t xml:space="preserve">, </w:t>
      </w:r>
      <w:r w:rsidR="00045075" w:rsidRPr="00045075">
        <w:t>5</w:t>
      </w:r>
      <w:r w:rsidR="00DB3E3D">
        <w:t xml:space="preserve"> </w:t>
      </w:r>
      <w:r w:rsidR="00045075" w:rsidRPr="00045075">
        <w:t>June 2015</w:t>
      </w:r>
      <w:r w:rsidR="00045075">
        <w:t xml:space="preserve">, </w:t>
      </w:r>
      <w:r w:rsidRPr="00DB5D6E">
        <w:t>CAT/C/MKD/CO/3</w:t>
      </w:r>
      <w:r w:rsidR="00045075">
        <w:t>; and</w:t>
      </w:r>
      <w:r w:rsidR="00DC16A5">
        <w:t xml:space="preserve"> CAT, </w:t>
      </w:r>
      <w:r w:rsidR="00DC16A5" w:rsidRPr="00DC16A5">
        <w:t>Concluding observations on the sixth</w:t>
      </w:r>
      <w:r w:rsidR="00DB3E3D">
        <w:t xml:space="preserve"> </w:t>
      </w:r>
      <w:r w:rsidR="00DC16A5" w:rsidRPr="00DC16A5">
        <w:t>periodic report</w:t>
      </w:r>
      <w:r w:rsidR="00DB3E3D">
        <w:t xml:space="preserve"> </w:t>
      </w:r>
      <w:r w:rsidR="00DC16A5" w:rsidRPr="00DC16A5">
        <w:t>of</w:t>
      </w:r>
      <w:r w:rsidR="00DB3E3D">
        <w:t xml:space="preserve"> </w:t>
      </w:r>
      <w:r w:rsidR="00DC16A5" w:rsidRPr="00DC16A5">
        <w:t>New Zealand</w:t>
      </w:r>
      <w:r w:rsidR="00DC16A5">
        <w:t xml:space="preserve">, </w:t>
      </w:r>
      <w:r w:rsidR="00DC16A5" w:rsidRPr="00DC16A5">
        <w:t>2 June 2015</w:t>
      </w:r>
      <w:r w:rsidR="00DC16A5">
        <w:t xml:space="preserve">, </w:t>
      </w:r>
      <w:r w:rsidR="00B62404">
        <w:t>CAT/C/NZL/CO/6</w:t>
      </w:r>
      <w:r w:rsidR="00DC16A5">
        <w:t>.</w:t>
      </w:r>
    </w:p>
  </w:footnote>
  <w:footnote w:id="9">
    <w:p w14:paraId="094BBC07" w14:textId="64BAF233" w:rsidR="00A52EB9" w:rsidRPr="00A52EB9" w:rsidRDefault="00A52EB9">
      <w:pPr>
        <w:pStyle w:val="FootnoteText"/>
        <w:rPr>
          <w:lang w:val="pt-PT"/>
        </w:rPr>
      </w:pPr>
      <w:r>
        <w:rPr>
          <w:rStyle w:val="FootnoteReference"/>
        </w:rPr>
        <w:footnoteRef/>
      </w:r>
      <w:r>
        <w:t xml:space="preserve"> </w:t>
      </w:r>
      <w:r w:rsidR="00DB3E3D">
        <w:t xml:space="preserve">CAT, </w:t>
      </w:r>
      <w:r w:rsidR="003125C6" w:rsidRPr="003125C6">
        <w:t>Concluding observations on the second periodic report of Montenegro</w:t>
      </w:r>
      <w:r w:rsidR="003125C6">
        <w:t xml:space="preserve">, </w:t>
      </w:r>
      <w:r w:rsidR="003125C6" w:rsidRPr="003125C6">
        <w:t>17 June 2014</w:t>
      </w:r>
      <w:r w:rsidR="003125C6">
        <w:t xml:space="preserve">, </w:t>
      </w:r>
      <w:r w:rsidRPr="00A52EB9">
        <w:t>CAT/C/MNE/CO/2</w:t>
      </w:r>
      <w:r w:rsidR="003125C6">
        <w:t>.</w:t>
      </w:r>
    </w:p>
  </w:footnote>
  <w:footnote w:id="10">
    <w:p w14:paraId="35B979F6" w14:textId="5FC811C7" w:rsidR="00D879A8" w:rsidRPr="00B26CA1" w:rsidRDefault="00D879A8" w:rsidP="00D879A8">
      <w:pPr>
        <w:pStyle w:val="FootnoteText"/>
        <w:rPr>
          <w:lang w:val="pt-PT"/>
        </w:rPr>
      </w:pPr>
      <w:r>
        <w:rPr>
          <w:rStyle w:val="FootnoteReference"/>
        </w:rPr>
        <w:footnoteRef/>
      </w:r>
      <w:r>
        <w:t xml:space="preserve"> </w:t>
      </w:r>
      <w:r w:rsidR="00DB3E3D">
        <w:t xml:space="preserve">CAT, </w:t>
      </w:r>
      <w:r w:rsidR="00DB3E3D" w:rsidRPr="00DB3E3D">
        <w:t xml:space="preserve">Concluding observations on the second periodic report of the </w:t>
      </w:r>
      <w:proofErr w:type="spellStart"/>
      <w:r w:rsidR="00DB3E3D" w:rsidRPr="00DB3E3D">
        <w:t>Plurinational</w:t>
      </w:r>
      <w:proofErr w:type="spellEnd"/>
      <w:r w:rsidR="00DB3E3D" w:rsidRPr="00DB3E3D">
        <w:t xml:space="preserve"> State of Bolivia as approved by the Committee at its fiftieth session</w:t>
      </w:r>
      <w:r w:rsidR="00DB3E3D">
        <w:t xml:space="preserve">, </w:t>
      </w:r>
      <w:r w:rsidR="00DB3E3D" w:rsidRPr="00DB3E3D">
        <w:t>14 June 2013</w:t>
      </w:r>
      <w:r w:rsidR="00DB3E3D">
        <w:t xml:space="preserve">, </w:t>
      </w:r>
      <w:r w:rsidRPr="00B26CA1">
        <w:t>CAT/C/BOL/CO/2</w:t>
      </w:r>
      <w:r w:rsidR="00DB3E3D">
        <w:t>.</w:t>
      </w:r>
    </w:p>
  </w:footnote>
  <w:footnote w:id="11">
    <w:p w14:paraId="777C36AC" w14:textId="53FEB3C6" w:rsidR="007B0FDF" w:rsidRPr="001C5DA9" w:rsidRDefault="007B0FDF" w:rsidP="00D5763D">
      <w:pPr>
        <w:pStyle w:val="FootnoteText"/>
      </w:pPr>
      <w:r w:rsidRPr="001C5DA9">
        <w:rPr>
          <w:rStyle w:val="FootnoteReference"/>
        </w:rPr>
        <w:footnoteRef/>
      </w:r>
      <w:r w:rsidRPr="001C5DA9">
        <w:t xml:space="preserve"> </w:t>
      </w:r>
      <w:r w:rsidR="00F13869" w:rsidRPr="001C5DA9">
        <w:t>E</w:t>
      </w:r>
      <w:r w:rsidR="00C975F2" w:rsidRPr="001C5DA9">
        <w:t xml:space="preserve">.g. European Court of Human Rights, </w:t>
      </w:r>
      <w:r w:rsidR="00660570" w:rsidRPr="001C5DA9">
        <w:rPr>
          <w:i/>
          <w:iCs/>
        </w:rPr>
        <w:t>Ramadan v. Malta</w:t>
      </w:r>
      <w:r w:rsidR="00660570" w:rsidRPr="001C5DA9">
        <w:t xml:space="preserve">, application no. 76136/12, judgment of 21 June 201; </w:t>
      </w:r>
      <w:r w:rsidR="00C975F2" w:rsidRPr="001C5DA9">
        <w:rPr>
          <w:i/>
          <w:iCs/>
        </w:rPr>
        <w:t>Ghoumid and others  v.  France</w:t>
      </w:r>
      <w:r w:rsidR="00C975F2" w:rsidRPr="001C5DA9">
        <w:t xml:space="preserve">, applications no. 52273/16,  52285/16, 52290/16,  52294/16  and 52302/16,  judgment of 25 June 2020; </w:t>
      </w:r>
      <w:r w:rsidR="00682B4F" w:rsidRPr="001C5DA9">
        <w:rPr>
          <w:i/>
          <w:iCs/>
        </w:rPr>
        <w:t>K2</w:t>
      </w:r>
      <w:r w:rsidR="00C975F2" w:rsidRPr="001C5DA9">
        <w:rPr>
          <w:i/>
          <w:iCs/>
        </w:rPr>
        <w:t xml:space="preserve"> </w:t>
      </w:r>
      <w:r w:rsidR="00682B4F" w:rsidRPr="001C5DA9">
        <w:rPr>
          <w:i/>
          <w:iCs/>
        </w:rPr>
        <w:t>v. the United Kingdom</w:t>
      </w:r>
      <w:r w:rsidR="00682B4F" w:rsidRPr="001C5DA9">
        <w:t>, application no. 42387/13, decision of 7 February 2017</w:t>
      </w:r>
      <w:r w:rsidR="00C975F2" w:rsidRPr="001C5DA9">
        <w:t>.</w:t>
      </w:r>
    </w:p>
  </w:footnote>
  <w:footnote w:id="12">
    <w:p w14:paraId="4254786C" w14:textId="6EC48AB2" w:rsidR="0059531F" w:rsidRPr="001C5DA9" w:rsidRDefault="0059531F" w:rsidP="00D5763D">
      <w:pPr>
        <w:pStyle w:val="FootnoteText"/>
        <w:rPr>
          <w:lang w:val="en-US"/>
        </w:rPr>
      </w:pPr>
      <w:r w:rsidRPr="001C5DA9">
        <w:rPr>
          <w:rStyle w:val="FootnoteReference"/>
        </w:rPr>
        <w:footnoteRef/>
      </w:r>
      <w:r w:rsidRPr="001C5DA9">
        <w:t xml:space="preserve"> </w:t>
      </w:r>
      <w:r w:rsidR="008417CB" w:rsidRPr="001C5DA9">
        <w:t xml:space="preserve">UN </w:t>
      </w:r>
      <w:r w:rsidR="0078426F" w:rsidRPr="001C5DA9">
        <w:t>Committee against Torture</w:t>
      </w:r>
      <w:r w:rsidRPr="001C5DA9">
        <w:t>, General Comment No. 2</w:t>
      </w:r>
      <w:r w:rsidR="00E22355" w:rsidRPr="001C5DA9">
        <w:t>: I</w:t>
      </w:r>
      <w:r w:rsidRPr="001C5DA9">
        <w:t>mplementation of article 2 by State parties, 2008, CAT/C/GC/2, para</w:t>
      </w:r>
      <w:r w:rsidR="00E42A5C" w:rsidRPr="001C5DA9">
        <w:t>.</w:t>
      </w:r>
      <w:r w:rsidRPr="001C5DA9">
        <w:t xml:space="preserve"> 1. </w:t>
      </w:r>
    </w:p>
  </w:footnote>
  <w:footnote w:id="13">
    <w:p w14:paraId="354EEC39" w14:textId="77777777" w:rsidR="00B65B57" w:rsidRPr="001C5DA9" w:rsidRDefault="00B65B57" w:rsidP="00B65B57">
      <w:pPr>
        <w:pStyle w:val="FootnoteText"/>
      </w:pPr>
      <w:r w:rsidRPr="001C5DA9">
        <w:rPr>
          <w:rStyle w:val="FootnoteReference"/>
        </w:rPr>
        <w:footnoteRef/>
      </w:r>
      <w:r w:rsidRPr="001C5DA9">
        <w:t xml:space="preserve"> UNHCR, Submission for the universal periodic review of Belgium, 2</w:t>
      </w:r>
      <w:r w:rsidRPr="001C5DA9">
        <w:rPr>
          <w:vertAlign w:val="superscript"/>
        </w:rPr>
        <w:t>nd</w:t>
      </w:r>
      <w:r w:rsidRPr="001C5DA9">
        <w:t xml:space="preserve"> cycle, 24</w:t>
      </w:r>
      <w:r w:rsidRPr="001C5DA9">
        <w:rPr>
          <w:vertAlign w:val="superscript"/>
        </w:rPr>
        <w:t>th</w:t>
      </w:r>
      <w:r w:rsidRPr="001C5DA9">
        <w:t xml:space="preserve"> session, p. 15, available at </w:t>
      </w:r>
      <w:hyperlink r:id="rId6" w:history="1">
        <w:r w:rsidRPr="001C5DA9">
          <w:rPr>
            <w:rStyle w:val="Hyperlink"/>
          </w:rPr>
          <w:t>https://uprdoc.ohchr.org/uprweb/downloadfile.aspx?filename=2427&amp;file=EnglishTranslation</w:t>
        </w:r>
      </w:hyperlink>
      <w:r w:rsidRPr="001C5DA9">
        <w:t>.</w:t>
      </w:r>
    </w:p>
  </w:footnote>
  <w:footnote w:id="14">
    <w:p w14:paraId="2FC90E44" w14:textId="77777777" w:rsidR="00B65B57" w:rsidRPr="001C5DA9" w:rsidRDefault="00B65B57" w:rsidP="00B65B57">
      <w:pPr>
        <w:pStyle w:val="FootnoteText"/>
        <w:rPr>
          <w:lang w:val="en-US"/>
        </w:rPr>
      </w:pPr>
      <w:r w:rsidRPr="001C5DA9">
        <w:rPr>
          <w:rStyle w:val="FootnoteReference"/>
        </w:rPr>
        <w:footnoteRef/>
      </w:r>
      <w:r w:rsidRPr="001C5DA9">
        <w:t xml:space="preserve"> Committee on the Rights of the Child, Concluding observations on the combined fifth and sixth reports of Belgium, 1 February 2019, CRC/C/BEL/CO/5-6, para. 3 at </w:t>
      </w:r>
      <w:hyperlink r:id="rId7" w:history="1">
        <w:r w:rsidRPr="001C5DA9">
          <w:rPr>
            <w:rStyle w:val="Hyperlink"/>
          </w:rPr>
          <w:t>https://undocs.org/CRC/C/BEL/CO/5-6</w:t>
        </w:r>
      </w:hyperlink>
      <w:r w:rsidRPr="001C5DA9">
        <w:t>.</w:t>
      </w:r>
      <w:hyperlink w:history="1"/>
    </w:p>
  </w:footnote>
  <w:footnote w:id="15">
    <w:p w14:paraId="4F350C16" w14:textId="77777777" w:rsidR="00B65B57" w:rsidRPr="001C5DA9" w:rsidRDefault="00B65B57" w:rsidP="00B65B57">
      <w:pPr>
        <w:pStyle w:val="FootnoteText"/>
      </w:pPr>
      <w:r w:rsidRPr="001C5DA9">
        <w:rPr>
          <w:rStyle w:val="FootnoteReference"/>
        </w:rPr>
        <w:footnoteRef/>
      </w:r>
      <w:r w:rsidRPr="001C5DA9">
        <w:t xml:space="preserve"> Human Rights Committee, Concluding observations on the sixth periodic report of Belgium, 6 December 2019, CCPR/C/BEL/CO/6, para. 30, available at </w:t>
      </w:r>
      <w:hyperlink r:id="rId8" w:history="1">
        <w:r w:rsidRPr="001C5DA9">
          <w:rPr>
            <w:rStyle w:val="Hyperlink"/>
          </w:rPr>
          <w:t>https://undocs.org/CCPR/C/BEL/CO/6</w:t>
        </w:r>
      </w:hyperlink>
      <w:r w:rsidRPr="001C5DA9">
        <w:t>.</w:t>
      </w:r>
    </w:p>
  </w:footnote>
  <w:footnote w:id="16">
    <w:p w14:paraId="411D8979" w14:textId="77777777" w:rsidR="00B65B57" w:rsidRPr="001C5DA9" w:rsidRDefault="00B65B57" w:rsidP="00B65B57">
      <w:pPr>
        <w:pStyle w:val="CommentText"/>
        <w:widowControl w:val="0"/>
        <w:rPr>
          <w:rFonts w:asciiTheme="majorHAnsi" w:hAnsiTheme="majorHAnsi" w:cstheme="majorHAnsi"/>
          <w:sz w:val="18"/>
          <w:szCs w:val="18"/>
        </w:rPr>
      </w:pPr>
      <w:r w:rsidRPr="001C5DA9">
        <w:rPr>
          <w:rStyle w:val="FootnoteReference"/>
          <w:rFonts w:asciiTheme="majorHAnsi" w:hAnsiTheme="majorHAnsi" w:cstheme="majorHAnsi"/>
          <w:sz w:val="18"/>
          <w:szCs w:val="18"/>
        </w:rPr>
        <w:footnoteRef/>
      </w:r>
      <w:r w:rsidRPr="001C5DA9">
        <w:rPr>
          <w:rFonts w:asciiTheme="majorHAnsi" w:hAnsiTheme="majorHAnsi" w:cstheme="majorHAnsi"/>
          <w:sz w:val="18"/>
          <w:szCs w:val="18"/>
        </w:rPr>
        <w:t xml:space="preserve"> UNHCR, Handbook on Protection of Stateless Persons, 2014 </w:t>
      </w:r>
      <w:hyperlink r:id="rId9" w:history="1">
        <w:r w:rsidRPr="001C5DA9">
          <w:rPr>
            <w:rStyle w:val="Hyperlink"/>
            <w:rFonts w:asciiTheme="majorHAnsi" w:hAnsiTheme="majorHAnsi" w:cstheme="majorHAnsi"/>
            <w:sz w:val="18"/>
            <w:szCs w:val="18"/>
          </w:rPr>
          <w:t>http://www.unhcr.org/uk/protection/statelessness/53b698ab9/handbook-protection-stateless-persons.html</w:t>
        </w:r>
      </w:hyperlink>
    </w:p>
  </w:footnote>
  <w:footnote w:id="17">
    <w:p w14:paraId="252FCCDD" w14:textId="77777777" w:rsidR="00B65B57" w:rsidRPr="001C5DA9" w:rsidRDefault="00B65B57" w:rsidP="00B65B57">
      <w:pPr>
        <w:widowControl w:val="0"/>
        <w:rPr>
          <w:rFonts w:asciiTheme="majorHAnsi" w:hAnsiTheme="majorHAnsi" w:cstheme="majorHAnsi"/>
          <w:sz w:val="18"/>
          <w:szCs w:val="18"/>
          <w:lang w:val="fr-FR"/>
        </w:rPr>
      </w:pPr>
      <w:r w:rsidRPr="001C5DA9">
        <w:rPr>
          <w:rStyle w:val="FootnoteReference"/>
          <w:rFonts w:asciiTheme="majorHAnsi" w:hAnsiTheme="majorHAnsi" w:cstheme="majorHAnsi"/>
          <w:sz w:val="18"/>
          <w:szCs w:val="18"/>
        </w:rPr>
        <w:footnoteRef/>
      </w:r>
      <w:r w:rsidRPr="001C5DA9">
        <w:rPr>
          <w:rFonts w:asciiTheme="majorHAnsi" w:hAnsiTheme="majorHAnsi" w:cstheme="majorHAnsi"/>
          <w:sz w:val="18"/>
          <w:szCs w:val="18"/>
          <w:lang w:val="fr-FR"/>
        </w:rPr>
        <w:t xml:space="preserve"> UNHCR, </w:t>
      </w:r>
      <w:r w:rsidRPr="001C5DA9">
        <w:rPr>
          <w:rFonts w:asciiTheme="majorHAnsi" w:hAnsiTheme="majorHAnsi" w:cstheme="majorHAnsi"/>
          <w:sz w:val="18"/>
          <w:szCs w:val="18"/>
          <w:lang w:val="fr-BE"/>
        </w:rPr>
        <w:t>Améliorer la protection des réfugiés  et des apatrides en Belgique et dans le monde,  Mémorandum du HCR,</w:t>
      </w:r>
      <w:r w:rsidRPr="001C5DA9">
        <w:rPr>
          <w:rFonts w:asciiTheme="majorHAnsi" w:hAnsiTheme="majorHAnsi" w:cstheme="majorHAnsi"/>
          <w:sz w:val="18"/>
          <w:szCs w:val="18"/>
          <w:lang w:val="fr-FR"/>
        </w:rPr>
        <w:t xml:space="preserve"> August 2019, available at: </w:t>
      </w:r>
      <w:hyperlink r:id="rId10" w:history="1">
        <w:r w:rsidRPr="001C5DA9">
          <w:rPr>
            <w:rStyle w:val="Hyperlink"/>
            <w:rFonts w:asciiTheme="majorHAnsi" w:hAnsiTheme="majorHAnsi" w:cstheme="majorHAnsi"/>
            <w:sz w:val="18"/>
            <w:szCs w:val="18"/>
            <w:lang w:val="fr-FR"/>
          </w:rPr>
          <w:t>https://www.unhcr.org/be/wp-content/uploads/sites/46/2019/09/M%C3%A9morandum-2019-HCR-Am%C3%A9liorer-la-protection-des-r%C3%A9fugi%C3%A9s-et-des-apatrides-en-Belgique-et-dans-le-monde.pdf</w:t>
        </w:r>
      </w:hyperlink>
    </w:p>
  </w:footnote>
  <w:footnote w:id="18">
    <w:p w14:paraId="1E1799E1" w14:textId="60DC55A3" w:rsidR="00AB2346" w:rsidRPr="001C5DA9" w:rsidRDefault="00AB2346" w:rsidP="00D5763D">
      <w:pPr>
        <w:pStyle w:val="FootnoteText"/>
        <w:rPr>
          <w:highlight w:val="yellow"/>
        </w:rPr>
      </w:pPr>
      <w:r w:rsidRPr="001C5DA9">
        <w:rPr>
          <w:rStyle w:val="FootnoteReference"/>
        </w:rPr>
        <w:footnoteRef/>
      </w:r>
      <w:r w:rsidRPr="001C5DA9">
        <w:t xml:space="preserve"> </w:t>
      </w:r>
      <w:bookmarkStart w:id="0" w:name="_Hlk51674724"/>
      <w:r w:rsidRPr="001C5DA9">
        <w:t>E</w:t>
      </w:r>
      <w:r w:rsidR="007520AD" w:rsidRPr="001C5DA9">
        <w:t>uropean Network on Statelessness,</w:t>
      </w:r>
      <w:r w:rsidRPr="001C5DA9">
        <w:t xml:space="preserve"> Protecting Stateless Persons from Arbitrary Detention: An Agenda for Change, </w:t>
      </w:r>
      <w:r w:rsidR="007520AD" w:rsidRPr="001C5DA9">
        <w:t>2017</w:t>
      </w:r>
      <w:r w:rsidR="005F3802" w:rsidRPr="001C5DA9">
        <w:t>,</w:t>
      </w:r>
      <w:r w:rsidR="007520AD" w:rsidRPr="001C5DA9">
        <w:t xml:space="preserve"> </w:t>
      </w:r>
      <w:bookmarkEnd w:id="0"/>
      <w:r w:rsidR="005F3802" w:rsidRPr="001C5DA9">
        <w:t xml:space="preserve">available at: </w:t>
      </w:r>
      <w:hyperlink r:id="rId11" w:history="1">
        <w:r w:rsidR="007520AD" w:rsidRPr="001C5DA9">
          <w:rPr>
            <w:rStyle w:val="Hyperlink"/>
          </w:rPr>
          <w:t>https://www.statelessness.eu/sites/www.statelessness.eu/files/attachments/resources/ENS_LockeInLimbo_Detention_Agenda_online.pdf</w:t>
        </w:r>
      </w:hyperlink>
    </w:p>
  </w:footnote>
  <w:footnote w:id="19">
    <w:p w14:paraId="448BF1A6" w14:textId="55E9E48C" w:rsidR="0095784C" w:rsidRPr="001C5DA9" w:rsidRDefault="0095784C" w:rsidP="00D5763D">
      <w:pPr>
        <w:pStyle w:val="FootnoteText"/>
      </w:pPr>
      <w:r w:rsidRPr="001C5DA9">
        <w:rPr>
          <w:rStyle w:val="FootnoteReference"/>
        </w:rPr>
        <w:footnoteRef/>
      </w:r>
      <w:r w:rsidRPr="001C5DA9">
        <w:t xml:space="preserve"> European Network on Statelessness, Protecting Stateless Persons from Arbitrary Detention: A regional toolkit for practitioners, 2017</w:t>
      </w:r>
      <w:r w:rsidR="005F3802" w:rsidRPr="001C5DA9">
        <w:t xml:space="preserve">, available at: </w:t>
      </w:r>
      <w:hyperlink r:id="rId12" w:history="1">
        <w:r w:rsidR="005F3802" w:rsidRPr="001C5DA9">
          <w:rPr>
            <w:rStyle w:val="Hyperlink"/>
          </w:rPr>
          <w:t>https://www.statelessness.eu/sites/www.statelessness.eu/files/ENS_Detention_Toolkit.pdf</w:t>
        </w:r>
      </w:hyperlink>
      <w:r w:rsidRPr="001C5DA9">
        <w:t xml:space="preserve"> </w:t>
      </w:r>
    </w:p>
  </w:footnote>
  <w:footnote w:id="20">
    <w:p w14:paraId="4F43C68D" w14:textId="40F76F63" w:rsidR="00C55549" w:rsidRPr="001C5DA9" w:rsidRDefault="00C55549" w:rsidP="00D5763D">
      <w:pPr>
        <w:pStyle w:val="FootnoteText"/>
      </w:pPr>
      <w:r w:rsidRPr="001C5DA9">
        <w:rPr>
          <w:rStyle w:val="FootnoteReference"/>
        </w:rPr>
        <w:footnoteRef/>
      </w:r>
      <w:r w:rsidRPr="001C5DA9">
        <w:t xml:space="preserve"> </w:t>
      </w:r>
      <w:bookmarkStart w:id="1" w:name="_Hlk74217908"/>
      <w:r w:rsidRPr="001C5DA9">
        <w:t>For more information, please visit</w:t>
      </w:r>
      <w:r w:rsidR="00FB699B" w:rsidRPr="001C5DA9">
        <w:t xml:space="preserve"> the Statelessness Index on Belgium:</w:t>
      </w:r>
      <w:r w:rsidRPr="001C5DA9">
        <w:t xml:space="preserve"> </w:t>
      </w:r>
      <w:hyperlink r:id="rId13" w:history="1">
        <w:r w:rsidR="00F432E3" w:rsidRPr="001C5DA9">
          <w:rPr>
            <w:rStyle w:val="Hyperlink"/>
          </w:rPr>
          <w:t>http://index.statelessness.eu/country/belgium</w:t>
        </w:r>
      </w:hyperlink>
      <w:bookmarkEnd w:id="1"/>
      <w:r w:rsidR="00F432E3" w:rsidRPr="001C5DA9">
        <w:t xml:space="preserve">. </w:t>
      </w:r>
    </w:p>
  </w:footnote>
  <w:footnote w:id="21">
    <w:p w14:paraId="29373014" w14:textId="77777777" w:rsidR="00FA7932" w:rsidRPr="00F70729" w:rsidRDefault="00FA7932" w:rsidP="00FA7932">
      <w:pPr>
        <w:pStyle w:val="FootnoteText"/>
        <w:rPr>
          <w:lang w:val="fr-FR"/>
        </w:rPr>
      </w:pPr>
      <w:r>
        <w:rPr>
          <w:rStyle w:val="FootnoteReference"/>
        </w:rPr>
        <w:footnoteRef/>
      </w:r>
      <w:r w:rsidRPr="00F70729">
        <w:rPr>
          <w:lang w:val="fr-FR"/>
        </w:rPr>
        <w:t xml:space="preserve"> Article 1, 12° of the Immigration Law; NANSEN, ‘Vulnérabilités en détention. Motivation des titres de détention’, November 2020, available at: </w:t>
      </w:r>
      <w:hyperlink r:id="rId14" w:history="1">
        <w:r w:rsidRPr="00F70729">
          <w:rPr>
            <w:rStyle w:val="Hyperlink"/>
            <w:lang w:val="fr-FR"/>
          </w:rPr>
          <w:t>https://nansen-refugee.be/wp-content/uploads/2020/11/2.-Vulne%CC%81rabilite%CC%81s-en-de%CC%81tention-II.-Motivation-des-titres-de-de%CC%81tentiondef_clean.pdf</w:t>
        </w:r>
      </w:hyperlink>
      <w:r w:rsidRPr="00F70729">
        <w:rPr>
          <w:lang w:val="fr-FR"/>
        </w:rPr>
        <w:t xml:space="preserve"> </w:t>
      </w:r>
    </w:p>
  </w:footnote>
  <w:footnote w:id="22">
    <w:p w14:paraId="453C260A" w14:textId="77777777" w:rsidR="00FA7932" w:rsidRDefault="00FA7932" w:rsidP="00FA7932">
      <w:pPr>
        <w:pStyle w:val="FootnoteText"/>
      </w:pPr>
      <w:r>
        <w:rPr>
          <w:rStyle w:val="FootnoteReference"/>
        </w:rPr>
        <w:footnoteRef/>
      </w:r>
      <w:r w:rsidRPr="00F70729">
        <w:rPr>
          <w:lang w:val="fr-FR"/>
        </w:rPr>
        <w:t xml:space="preserve"> NANSEN, Demandeurs d'asile à la frontière: procédure à la frontière et détention, April 2018, available at: </w:t>
      </w:r>
      <w:hyperlink r:id="rId15" w:history="1">
        <w:r w:rsidRPr="00F70729">
          <w:rPr>
            <w:rStyle w:val="Hyperlink"/>
            <w:lang w:val="fr-FR"/>
          </w:rPr>
          <w:t>https://www.nansen-refugee.be/wp-content/uploads/2018/12/demandeurs-asile-frontiere-procedure-frontiere-detention.pdf</w:t>
        </w:r>
      </w:hyperlink>
      <w:r w:rsidRPr="00F70729">
        <w:rPr>
          <w:lang w:val="fr-FR"/>
        </w:rPr>
        <w:t xml:space="preserve">. </w:t>
      </w:r>
      <w:r w:rsidRPr="00246EE4">
        <w:t xml:space="preserve">For more information, please visit the Statelessness Index on Belgium: </w:t>
      </w:r>
      <w:hyperlink r:id="rId16" w:history="1">
        <w:r w:rsidRPr="00E66098">
          <w:rPr>
            <w:rStyle w:val="Hyperlink"/>
          </w:rPr>
          <w:t>http://index.statelessness.eu/country/belgium</w:t>
        </w:r>
      </w:hyperlink>
      <w:r w:rsidRPr="00246EE4">
        <w:t>.</w:t>
      </w:r>
    </w:p>
  </w:footnote>
  <w:footnote w:id="23">
    <w:p w14:paraId="2F8C1F02" w14:textId="77777777" w:rsidR="00FA7932" w:rsidRDefault="00FA7932" w:rsidP="00FA7932">
      <w:pPr>
        <w:pStyle w:val="FootnoteText"/>
      </w:pPr>
      <w:r>
        <w:rPr>
          <w:rStyle w:val="FootnoteReference"/>
        </w:rPr>
        <w:footnoteRef/>
      </w:r>
      <w:r>
        <w:t xml:space="preserve"> </w:t>
      </w:r>
      <w:r w:rsidRPr="001E28FC">
        <w:t>Art</w:t>
      </w:r>
      <w:r>
        <w:t>icles</w:t>
      </w:r>
      <w:r w:rsidRPr="001E28FC">
        <w:t xml:space="preserve"> 71</w:t>
      </w:r>
      <w:r>
        <w:t>-74</w:t>
      </w:r>
      <w:r w:rsidRPr="001E28FC">
        <w:t xml:space="preserve"> </w:t>
      </w:r>
      <w:r>
        <w:t xml:space="preserve">of the </w:t>
      </w:r>
      <w:r w:rsidRPr="001E28FC">
        <w:t>Immigration Law</w:t>
      </w:r>
      <w:r>
        <w:t>.</w:t>
      </w:r>
    </w:p>
  </w:footnote>
  <w:footnote w:id="24">
    <w:p w14:paraId="2D8E4D3F" w14:textId="77777777" w:rsidR="00FA7932" w:rsidRDefault="00FA7932" w:rsidP="00FA7932">
      <w:pPr>
        <w:pStyle w:val="FootnoteText"/>
      </w:pPr>
      <w:r>
        <w:rPr>
          <w:rStyle w:val="FootnoteReference"/>
        </w:rPr>
        <w:footnoteRef/>
      </w:r>
      <w:r>
        <w:t xml:space="preserve"> For more information and sources, see </w:t>
      </w:r>
      <w:r w:rsidRPr="002C7AB6">
        <w:t xml:space="preserve">Statelessness Index on Belgium: </w:t>
      </w:r>
      <w:hyperlink r:id="rId17" w:history="1">
        <w:r w:rsidRPr="002C7AB6">
          <w:rPr>
            <w:rStyle w:val="Hyperlink"/>
          </w:rPr>
          <w:t>http://index.statelessness.eu/country/belgium</w:t>
        </w:r>
      </w:hyperlink>
      <w:r>
        <w:t>.</w:t>
      </w:r>
    </w:p>
  </w:footnote>
  <w:footnote w:id="25">
    <w:p w14:paraId="2D7AF883" w14:textId="03922DB6" w:rsidR="00772C8D" w:rsidRPr="001C5DA9" w:rsidRDefault="00772C8D" w:rsidP="00D5763D">
      <w:pPr>
        <w:pStyle w:val="FootnoteText"/>
        <w:rPr>
          <w:lang w:val="fr-FR"/>
        </w:rPr>
      </w:pPr>
      <w:r w:rsidRPr="001C5DA9">
        <w:rPr>
          <w:rStyle w:val="FootnoteReference"/>
        </w:rPr>
        <w:footnoteRef/>
      </w:r>
      <w:r w:rsidRPr="001C5DA9">
        <w:rPr>
          <w:lang w:val="fr-FR"/>
        </w:rPr>
        <w:t xml:space="preserve"> </w:t>
      </w:r>
      <w:r w:rsidR="000232AD" w:rsidRPr="001C5DA9">
        <w:rPr>
          <w:lang w:val="fr-FR"/>
        </w:rPr>
        <w:t xml:space="preserve">Accord de gouvernement, 30 September 2020, available at: </w:t>
      </w:r>
      <w:hyperlink r:id="rId18" w:history="1">
        <w:r w:rsidR="000232AD" w:rsidRPr="001C5DA9">
          <w:rPr>
            <w:rStyle w:val="Hyperlink"/>
            <w:lang w:val="fr-FR"/>
          </w:rPr>
          <w:t>https://www.belgium.be/sites/default/files/Accord_de_gouvernement_2020.pdf</w:t>
        </w:r>
      </w:hyperlink>
      <w:r w:rsidR="000232AD" w:rsidRPr="001C5DA9">
        <w:rPr>
          <w:lang w:val="fr-FR"/>
        </w:rPr>
        <w:t>.</w:t>
      </w:r>
    </w:p>
  </w:footnote>
  <w:footnote w:id="26">
    <w:p w14:paraId="7A33A04B" w14:textId="77777777" w:rsidR="00DE71DC" w:rsidRPr="001C5DA9" w:rsidRDefault="00DE71DC" w:rsidP="00D5763D">
      <w:pPr>
        <w:pStyle w:val="FootnoteText"/>
      </w:pPr>
      <w:r w:rsidRPr="001C5DA9">
        <w:rPr>
          <w:rStyle w:val="FootnoteReference"/>
        </w:rPr>
        <w:footnoteRef/>
      </w:r>
      <w:r w:rsidRPr="001C5DA9">
        <w:t xml:space="preserve"> Directive 2008/115/EC of the European Parliament and of the Council on common standards and procedures in Member States for returning illegally staying third-country nationals (EU Returns Directive), Article16(3).</w:t>
      </w:r>
    </w:p>
  </w:footnote>
  <w:footnote w:id="27">
    <w:p w14:paraId="2999489F" w14:textId="77777777" w:rsidR="00DE71DC" w:rsidRPr="001C5DA9" w:rsidRDefault="00DE71DC" w:rsidP="00D5763D">
      <w:pPr>
        <w:pStyle w:val="FootnoteText"/>
      </w:pPr>
      <w:r w:rsidRPr="001C5DA9">
        <w:rPr>
          <w:rStyle w:val="FootnoteReference"/>
        </w:rPr>
        <w:footnoteRef/>
      </w:r>
      <w:r w:rsidRPr="001C5DA9">
        <w:t xml:space="preserve"> ICCPR, Article 9; UN General Assembly, Protection of migrants: resolution adopted by the General Assembly, 17 March 2009, A/RES/63/184, para. 9; UNHCR, Handbook on Protection of Stateless Persons, 2014, para. 113.</w:t>
      </w:r>
    </w:p>
  </w:footnote>
  <w:footnote w:id="28">
    <w:p w14:paraId="4B929A34" w14:textId="0B8E18EB" w:rsidR="00BA0F1E" w:rsidRPr="001C5DA9" w:rsidRDefault="00BA0F1E" w:rsidP="00D5763D">
      <w:pPr>
        <w:pStyle w:val="FootnoteText"/>
      </w:pPr>
      <w:r w:rsidRPr="001C5DA9">
        <w:rPr>
          <w:rStyle w:val="FootnoteReference"/>
        </w:rPr>
        <w:footnoteRef/>
      </w:r>
      <w:r w:rsidRPr="001C5DA9">
        <w:t xml:space="preserve"> </w:t>
      </w:r>
      <w:r w:rsidR="007E124A" w:rsidRPr="001C5DA9">
        <w:t xml:space="preserve">UN </w:t>
      </w:r>
      <w:r w:rsidRPr="001C5DA9">
        <w:t>Committee against Torture, General comment No. 4(2017) on the implementation of article 3 of the Convention in the context of article 22</w:t>
      </w:r>
      <w:r w:rsidR="002A7EB3" w:rsidRPr="001C5DA9">
        <w:t>, 4 September</w:t>
      </w:r>
      <w:r w:rsidR="00DB1415" w:rsidRPr="001C5DA9">
        <w:t xml:space="preserve"> </w:t>
      </w:r>
      <w:r w:rsidR="002A7EB3" w:rsidRPr="001C5DA9">
        <w:t>2018</w:t>
      </w:r>
      <w:r w:rsidR="00DB1415" w:rsidRPr="001C5DA9">
        <w:t xml:space="preserve">, para. </w:t>
      </w:r>
      <w:r w:rsidR="000F775A" w:rsidRPr="001C5DA9">
        <w:t>26</w:t>
      </w:r>
      <w:r w:rsidR="00DB1415" w:rsidRPr="001C5DA9">
        <w:t>.</w:t>
      </w:r>
    </w:p>
  </w:footnote>
  <w:footnote w:id="29">
    <w:p w14:paraId="0E63F717" w14:textId="7B4E90B0" w:rsidR="00D572D2" w:rsidRPr="001C5DA9" w:rsidRDefault="00D572D2" w:rsidP="00D572D2">
      <w:pPr>
        <w:rPr>
          <w:rFonts w:asciiTheme="majorHAnsi" w:eastAsia="Times New Roman" w:hAnsiTheme="majorHAnsi" w:cstheme="majorHAnsi"/>
          <w:sz w:val="18"/>
          <w:szCs w:val="18"/>
          <w:lang w:val="en-US" w:eastAsia="zh-CN"/>
        </w:rPr>
      </w:pPr>
      <w:r w:rsidRPr="001C5DA9">
        <w:rPr>
          <w:rStyle w:val="FootnoteReference"/>
          <w:rFonts w:asciiTheme="majorHAnsi" w:hAnsiTheme="majorHAnsi" w:cstheme="majorHAnsi"/>
          <w:sz w:val="18"/>
          <w:szCs w:val="18"/>
        </w:rPr>
        <w:footnoteRef/>
      </w:r>
      <w:r w:rsidRPr="001C5DA9">
        <w:rPr>
          <w:rFonts w:asciiTheme="majorHAnsi" w:hAnsiTheme="majorHAnsi" w:cstheme="majorHAnsi"/>
          <w:sz w:val="18"/>
          <w:szCs w:val="18"/>
        </w:rPr>
        <w:t xml:space="preserve"> </w:t>
      </w:r>
      <w:r w:rsidRPr="001C5DA9">
        <w:rPr>
          <w:rFonts w:asciiTheme="majorHAnsi" w:eastAsia="Times New Roman" w:hAnsiTheme="majorHAnsi" w:cstheme="majorHAnsi"/>
          <w:sz w:val="18"/>
          <w:szCs w:val="18"/>
          <w:lang w:eastAsia="zh-CN"/>
        </w:rPr>
        <w:t>Principles on Deprivation of Nationality as a National Security Measure, March 2020</w:t>
      </w:r>
      <w:r w:rsidR="00B05E34" w:rsidRPr="001C5DA9">
        <w:rPr>
          <w:rFonts w:asciiTheme="majorHAnsi" w:eastAsia="Times New Roman" w:hAnsiTheme="majorHAnsi" w:cstheme="majorHAnsi"/>
          <w:sz w:val="18"/>
          <w:szCs w:val="18"/>
          <w:lang w:eastAsia="zh-CN"/>
        </w:rPr>
        <w:t>, av</w:t>
      </w:r>
      <w:r w:rsidRPr="001C5DA9">
        <w:rPr>
          <w:rFonts w:asciiTheme="majorHAnsi" w:eastAsia="Times New Roman" w:hAnsiTheme="majorHAnsi" w:cstheme="majorHAnsi"/>
          <w:sz w:val="18"/>
          <w:szCs w:val="18"/>
          <w:lang w:eastAsia="zh-CN"/>
        </w:rPr>
        <w:t xml:space="preserve">ailable at: </w:t>
      </w:r>
      <w:hyperlink r:id="rId19" w:history="1">
        <w:r w:rsidR="00B05E34" w:rsidRPr="001C5DA9">
          <w:rPr>
            <w:rStyle w:val="Hyperlink"/>
            <w:rFonts w:asciiTheme="majorHAnsi" w:eastAsia="Times New Roman" w:hAnsiTheme="majorHAnsi" w:cstheme="majorHAnsi"/>
            <w:sz w:val="18"/>
            <w:szCs w:val="18"/>
            <w:lang w:eastAsia="zh-CN"/>
          </w:rPr>
          <w:t>https://files.institutesi.org/PRINCIPLES.pdf</w:t>
        </w:r>
      </w:hyperlink>
      <w:r w:rsidRPr="001C5DA9">
        <w:rPr>
          <w:rFonts w:asciiTheme="majorHAnsi" w:eastAsia="Times New Roman" w:hAnsiTheme="majorHAnsi" w:cstheme="majorHAnsi"/>
          <w:sz w:val="18"/>
          <w:szCs w:val="18"/>
          <w:lang w:eastAsia="zh-CN"/>
        </w:rPr>
        <w:t xml:space="preserve">. The Principles were drafted by ISI in collaboration with the Open Society Justice Initiative and with support from the Asser Institute and Ashurst LLP. They were developed over a 30-month research and consultation period, with input from more than 60 leading experts in the fields of human rights, nationality and statelessness, counter-terrorism, refugee protection, child rights, migration and other related areas. At the time of submission, they have been endorsed by over 100 individual experts and organisations, including leading academics, UN Special Rapporteurs and Treaty Body members, litigators, judges, parliamentarians and diplomats. The Principles restate or reflect international law and legal standards under the UN Charter, treaty law, customary international law, general principles of law, judicial decisions and legal scholarship, regional and national law and practice. They articulate the international law obligations of States and apply to all situations in which States take or consider taking steps to deprive a person of nationality as a national security measure. More information is available here: </w:t>
      </w:r>
      <w:hyperlink r:id="rId20" w:history="1">
        <w:r w:rsidR="005F799C" w:rsidRPr="001C5DA9">
          <w:rPr>
            <w:rStyle w:val="Hyperlink"/>
            <w:rFonts w:asciiTheme="majorHAnsi" w:eastAsia="Times New Roman" w:hAnsiTheme="majorHAnsi" w:cstheme="majorHAnsi"/>
            <w:sz w:val="18"/>
            <w:szCs w:val="18"/>
            <w:lang w:eastAsia="zh-CN"/>
          </w:rPr>
          <w:t>https://www.institutesi.org/year-of-actionresources/principles-on-deprivation-of-nationality</w:t>
        </w:r>
      </w:hyperlink>
      <w:r w:rsidRPr="001C5DA9">
        <w:rPr>
          <w:rFonts w:asciiTheme="majorHAnsi" w:eastAsia="Times New Roman" w:hAnsiTheme="majorHAnsi" w:cstheme="majorHAnsi"/>
          <w:sz w:val="18"/>
          <w:szCs w:val="18"/>
          <w:lang w:val="en-US" w:eastAsia="zh-CN"/>
        </w:rPr>
        <w:t>.</w:t>
      </w:r>
    </w:p>
  </w:footnote>
  <w:footnote w:id="30">
    <w:p w14:paraId="2C0AD512" w14:textId="7C01CBAC" w:rsidR="00D572D2" w:rsidRPr="001C5DA9" w:rsidRDefault="00D572D2" w:rsidP="00D572D2">
      <w:pPr>
        <w:rPr>
          <w:rFonts w:asciiTheme="majorHAnsi" w:eastAsia="Times New Roman" w:hAnsiTheme="majorHAnsi" w:cstheme="majorHAnsi"/>
          <w:sz w:val="18"/>
          <w:szCs w:val="18"/>
          <w:lang w:val="en-US" w:eastAsia="zh-CN"/>
        </w:rPr>
      </w:pPr>
      <w:r w:rsidRPr="001C5DA9">
        <w:rPr>
          <w:rStyle w:val="FootnoteReference"/>
          <w:rFonts w:asciiTheme="majorHAnsi" w:hAnsiTheme="majorHAnsi" w:cstheme="majorHAnsi"/>
          <w:sz w:val="18"/>
          <w:szCs w:val="18"/>
        </w:rPr>
        <w:footnoteRef/>
      </w:r>
      <w:r w:rsidRPr="001C5DA9">
        <w:rPr>
          <w:rFonts w:asciiTheme="majorHAnsi" w:hAnsiTheme="majorHAnsi" w:cstheme="majorHAnsi"/>
          <w:sz w:val="18"/>
          <w:szCs w:val="18"/>
        </w:rPr>
        <w:t xml:space="preserve"> </w:t>
      </w:r>
      <w:r w:rsidRPr="001C5DA9">
        <w:rPr>
          <w:rFonts w:asciiTheme="majorHAnsi" w:eastAsia="Times New Roman" w:hAnsiTheme="majorHAnsi" w:cstheme="majorHAnsi"/>
          <w:sz w:val="18"/>
          <w:szCs w:val="18"/>
          <w:lang w:eastAsia="zh-CN"/>
        </w:rPr>
        <w:t xml:space="preserve">UN High Commissioner for Refugees (UNHCR), Guidelines on Statelessness No. 5: Loss and Deprivation of Nationality under Articles 5-9 of the 1961 Convention on the Reduction of Statelessness, May 2020, HCR/GS/20/05, available at: </w:t>
      </w:r>
      <w:hyperlink r:id="rId21" w:history="1">
        <w:r w:rsidR="00145449" w:rsidRPr="001C5DA9">
          <w:rPr>
            <w:rStyle w:val="Hyperlink"/>
            <w:rFonts w:asciiTheme="majorHAnsi" w:eastAsia="Times New Roman" w:hAnsiTheme="majorHAnsi" w:cstheme="majorHAnsi"/>
            <w:sz w:val="18"/>
            <w:szCs w:val="18"/>
            <w:lang w:eastAsia="zh-CN"/>
          </w:rPr>
          <w:t>https://www.refworld.org/docid/5ec5640c4.html</w:t>
        </w:r>
      </w:hyperlink>
      <w:r w:rsidRPr="001C5DA9">
        <w:rPr>
          <w:rFonts w:asciiTheme="majorHAnsi" w:eastAsia="Times New Roman" w:hAnsiTheme="majorHAnsi" w:cstheme="majorHAnsi"/>
          <w:sz w:val="18"/>
          <w:szCs w:val="18"/>
          <w:lang w:eastAsia="zh-CN"/>
        </w:rPr>
        <w:t>. The Guidelines provide authoritative guidance on the interpretation of Articles 5 – 9 of the</w:t>
      </w:r>
      <w:r w:rsidR="006F4697" w:rsidRPr="001C5DA9">
        <w:rPr>
          <w:rFonts w:asciiTheme="majorHAnsi" w:eastAsia="Times New Roman" w:hAnsiTheme="majorHAnsi" w:cstheme="majorHAnsi"/>
          <w:sz w:val="18"/>
          <w:szCs w:val="18"/>
          <w:lang w:eastAsia="zh-CN"/>
        </w:rPr>
        <w:t xml:space="preserve"> </w:t>
      </w:r>
      <w:r w:rsidRPr="001C5DA9">
        <w:rPr>
          <w:rFonts w:asciiTheme="majorHAnsi" w:eastAsia="Times New Roman" w:hAnsiTheme="majorHAnsi" w:cstheme="majorHAnsi"/>
          <w:sz w:val="18"/>
          <w:szCs w:val="18"/>
          <w:lang w:eastAsia="zh-CN"/>
        </w:rPr>
        <w:t>1961 Convention on the Reduction of Statelessness. They draw on the Summary Conclusions of the Expert Meeting on Interpreting the 1961 Statelessness Convention and Avoiding Statelessness Resulting from Loss and Deprivation held in Tunis, Tunisia on 31 October</w:t>
      </w:r>
      <w:r w:rsidR="007F5EC7" w:rsidRPr="001C5DA9">
        <w:rPr>
          <w:rFonts w:asciiTheme="majorHAnsi" w:eastAsia="Times New Roman" w:hAnsiTheme="majorHAnsi" w:cstheme="majorHAnsi"/>
          <w:sz w:val="18"/>
          <w:szCs w:val="18"/>
          <w:lang w:eastAsia="zh-CN"/>
        </w:rPr>
        <w:t xml:space="preserve"> </w:t>
      </w:r>
      <w:r w:rsidRPr="001C5DA9">
        <w:rPr>
          <w:rFonts w:asciiTheme="majorHAnsi" w:eastAsia="Times New Roman" w:hAnsiTheme="majorHAnsi" w:cstheme="majorHAnsi"/>
          <w:sz w:val="18"/>
          <w:szCs w:val="18"/>
          <w:lang w:eastAsia="zh-CN"/>
        </w:rPr>
        <w:t>-</w:t>
      </w:r>
      <w:r w:rsidR="007F5EC7" w:rsidRPr="001C5DA9">
        <w:rPr>
          <w:rFonts w:asciiTheme="majorHAnsi" w:hAnsiTheme="majorHAnsi" w:cstheme="majorHAnsi"/>
          <w:sz w:val="18"/>
          <w:szCs w:val="18"/>
        </w:rPr>
        <w:t xml:space="preserve"> </w:t>
      </w:r>
      <w:r w:rsidR="007F5EC7" w:rsidRPr="001C5DA9">
        <w:rPr>
          <w:rFonts w:asciiTheme="majorHAnsi" w:eastAsia="Times New Roman" w:hAnsiTheme="majorHAnsi" w:cstheme="majorHAnsi"/>
          <w:sz w:val="18"/>
          <w:szCs w:val="18"/>
          <w:lang w:eastAsia="zh-CN"/>
        </w:rPr>
        <w:t>1 November 2013</w:t>
      </w:r>
      <w:r w:rsidRPr="001C5DA9">
        <w:rPr>
          <w:rFonts w:asciiTheme="majorHAnsi" w:eastAsia="Times New Roman" w:hAnsiTheme="majorHAnsi" w:cstheme="majorHAnsi"/>
          <w:sz w:val="18"/>
          <w:szCs w:val="18"/>
          <w:lang w:val="en-US" w:eastAsia="zh-CN"/>
        </w:rPr>
        <w:t>.</w:t>
      </w:r>
    </w:p>
  </w:footnote>
  <w:footnote w:id="31">
    <w:p w14:paraId="14D6435A" w14:textId="17229CFC" w:rsidR="00731370" w:rsidRPr="001C5DA9" w:rsidRDefault="00731370" w:rsidP="00731370">
      <w:pPr>
        <w:rPr>
          <w:rFonts w:asciiTheme="majorHAnsi" w:eastAsia="Times New Roman" w:hAnsiTheme="majorHAnsi" w:cstheme="majorHAnsi"/>
          <w:sz w:val="18"/>
          <w:szCs w:val="18"/>
          <w:lang w:eastAsia="zh-CN"/>
        </w:rPr>
      </w:pPr>
      <w:r w:rsidRPr="001C5DA9">
        <w:rPr>
          <w:rStyle w:val="FootnoteReference"/>
          <w:rFonts w:asciiTheme="majorHAnsi" w:hAnsiTheme="majorHAnsi" w:cstheme="majorHAnsi"/>
          <w:sz w:val="18"/>
          <w:szCs w:val="18"/>
        </w:rPr>
        <w:footnoteRef/>
      </w:r>
      <w:r w:rsidRPr="001C5DA9">
        <w:rPr>
          <w:rFonts w:asciiTheme="majorHAnsi" w:hAnsiTheme="majorHAnsi" w:cstheme="majorHAnsi"/>
          <w:sz w:val="18"/>
          <w:szCs w:val="18"/>
        </w:rPr>
        <w:t xml:space="preserve"> </w:t>
      </w:r>
      <w:r w:rsidRPr="001C5DA9">
        <w:rPr>
          <w:rFonts w:asciiTheme="majorHAnsi" w:eastAsia="Times New Roman" w:hAnsiTheme="majorHAnsi" w:cstheme="majorHAnsi"/>
          <w:sz w:val="18"/>
          <w:szCs w:val="18"/>
          <w:lang w:eastAsia="zh-CN"/>
        </w:rPr>
        <w:t xml:space="preserve">Human Rights Council Resolution 7/10, Human rights and arbitrary deprivation of nationality, </w:t>
      </w:r>
      <w:r w:rsidR="002270D0" w:rsidRPr="001C5DA9">
        <w:rPr>
          <w:rFonts w:asciiTheme="majorHAnsi" w:eastAsia="Times New Roman" w:hAnsiTheme="majorHAnsi" w:cstheme="majorHAnsi"/>
          <w:sz w:val="18"/>
          <w:szCs w:val="18"/>
          <w:lang w:eastAsia="zh-CN"/>
        </w:rPr>
        <w:t xml:space="preserve">27 March 2008, </w:t>
      </w:r>
      <w:r w:rsidRPr="001C5DA9">
        <w:rPr>
          <w:rFonts w:asciiTheme="majorHAnsi" w:eastAsia="Times New Roman" w:hAnsiTheme="majorHAnsi" w:cstheme="majorHAnsi"/>
          <w:sz w:val="18"/>
          <w:szCs w:val="18"/>
          <w:lang w:eastAsia="zh-CN"/>
        </w:rPr>
        <w:t xml:space="preserve">A/HRC/RES/7/10; Human Rights Council Resolution 10/13, Human rights and arbitrary deprivation of nationality, </w:t>
      </w:r>
      <w:r w:rsidR="002270D0" w:rsidRPr="001C5DA9">
        <w:rPr>
          <w:rFonts w:asciiTheme="majorHAnsi" w:eastAsia="Times New Roman" w:hAnsiTheme="majorHAnsi" w:cstheme="majorHAnsi"/>
          <w:sz w:val="18"/>
          <w:szCs w:val="18"/>
          <w:lang w:eastAsia="zh-CN"/>
        </w:rPr>
        <w:t xml:space="preserve">26 March 2009, </w:t>
      </w:r>
      <w:r w:rsidRPr="001C5DA9">
        <w:rPr>
          <w:rFonts w:asciiTheme="majorHAnsi" w:eastAsia="Times New Roman" w:hAnsiTheme="majorHAnsi" w:cstheme="majorHAnsi"/>
          <w:sz w:val="18"/>
          <w:szCs w:val="18"/>
          <w:lang w:eastAsia="zh-CN"/>
        </w:rPr>
        <w:t xml:space="preserve">A/HRC/RES/10/13; Human Rights Council Resolution 13/2, Human rights and arbitrary deprivation of nationality, </w:t>
      </w:r>
      <w:r w:rsidR="002270D0" w:rsidRPr="001C5DA9">
        <w:rPr>
          <w:rFonts w:asciiTheme="majorHAnsi" w:eastAsia="Times New Roman" w:hAnsiTheme="majorHAnsi" w:cstheme="majorHAnsi"/>
          <w:sz w:val="18"/>
          <w:szCs w:val="18"/>
          <w:lang w:eastAsia="zh-CN"/>
        </w:rPr>
        <w:t>24 April 2010, A</w:t>
      </w:r>
      <w:r w:rsidRPr="001C5DA9">
        <w:rPr>
          <w:rFonts w:asciiTheme="majorHAnsi" w:eastAsia="Times New Roman" w:hAnsiTheme="majorHAnsi" w:cstheme="majorHAnsi"/>
          <w:sz w:val="18"/>
          <w:szCs w:val="18"/>
          <w:lang w:eastAsia="zh-CN"/>
        </w:rPr>
        <w:t xml:space="preserve">/HRC/RES/13/2; Human Rights Council Resolution 20/4, The right to a nationality: women and children, </w:t>
      </w:r>
      <w:r w:rsidR="002270D0" w:rsidRPr="001C5DA9">
        <w:rPr>
          <w:rFonts w:asciiTheme="majorHAnsi" w:eastAsia="Times New Roman" w:hAnsiTheme="majorHAnsi" w:cstheme="majorHAnsi"/>
          <w:sz w:val="18"/>
          <w:szCs w:val="18"/>
          <w:lang w:eastAsia="zh-CN"/>
        </w:rPr>
        <w:t>16 July 2012,</w:t>
      </w:r>
      <w:r w:rsidRPr="001C5DA9">
        <w:rPr>
          <w:rFonts w:asciiTheme="majorHAnsi" w:eastAsia="Times New Roman" w:hAnsiTheme="majorHAnsi" w:cstheme="majorHAnsi"/>
          <w:sz w:val="18"/>
          <w:szCs w:val="18"/>
          <w:lang w:eastAsia="zh-CN"/>
        </w:rPr>
        <w:t xml:space="preserve"> A/HRC/RES/20/4; Human Rights Council Resolution 20/5, Human rights and arbitrary deprivation of nationality, 16 July 2012</w:t>
      </w:r>
      <w:r w:rsidR="002270D0" w:rsidRPr="001C5DA9">
        <w:rPr>
          <w:rFonts w:asciiTheme="majorHAnsi" w:eastAsia="Times New Roman" w:hAnsiTheme="majorHAnsi" w:cstheme="majorHAnsi"/>
          <w:sz w:val="18"/>
          <w:szCs w:val="18"/>
          <w:lang w:eastAsia="zh-CN"/>
        </w:rPr>
        <w:t>, A/HRC/RES/20/5</w:t>
      </w:r>
      <w:r w:rsidRPr="001C5DA9">
        <w:rPr>
          <w:rFonts w:asciiTheme="majorHAnsi" w:eastAsia="Times New Roman" w:hAnsiTheme="majorHAnsi" w:cstheme="majorHAnsi"/>
          <w:sz w:val="18"/>
          <w:szCs w:val="18"/>
          <w:lang w:eastAsia="zh-CN"/>
        </w:rPr>
        <w:t>; Human Rights Council Resolution 26/14, Human rights and arbitrary deprivation of nationality, 11 July 2014</w:t>
      </w:r>
      <w:r w:rsidR="00066C35" w:rsidRPr="001C5DA9">
        <w:rPr>
          <w:rFonts w:asciiTheme="majorHAnsi" w:eastAsia="Times New Roman" w:hAnsiTheme="majorHAnsi" w:cstheme="majorHAnsi"/>
          <w:sz w:val="18"/>
          <w:szCs w:val="18"/>
          <w:lang w:eastAsia="zh-CN"/>
        </w:rPr>
        <w:t>, A/HRC/RES/26/14</w:t>
      </w:r>
      <w:r w:rsidRPr="001C5DA9">
        <w:rPr>
          <w:rFonts w:asciiTheme="majorHAnsi" w:eastAsia="Times New Roman" w:hAnsiTheme="majorHAnsi" w:cstheme="majorHAnsi"/>
          <w:sz w:val="18"/>
          <w:szCs w:val="18"/>
          <w:lang w:eastAsia="zh-CN"/>
        </w:rPr>
        <w:t xml:space="preserve">; Human Rights Council Resolution 32/5, Human rights and arbitrary deprivation of nationality, </w:t>
      </w:r>
      <w:r w:rsidR="00066C35" w:rsidRPr="001C5DA9">
        <w:rPr>
          <w:rFonts w:asciiTheme="majorHAnsi" w:eastAsia="Times New Roman" w:hAnsiTheme="majorHAnsi" w:cstheme="majorHAnsi"/>
          <w:sz w:val="18"/>
          <w:szCs w:val="18"/>
          <w:lang w:eastAsia="zh-CN"/>
        </w:rPr>
        <w:t xml:space="preserve">15 July 2016, </w:t>
      </w:r>
      <w:r w:rsidRPr="001C5DA9">
        <w:rPr>
          <w:rFonts w:asciiTheme="majorHAnsi" w:eastAsia="Times New Roman" w:hAnsiTheme="majorHAnsi" w:cstheme="majorHAnsi"/>
          <w:sz w:val="18"/>
          <w:szCs w:val="18"/>
          <w:lang w:eastAsia="zh-CN"/>
        </w:rPr>
        <w:t>A/HRC/RES/32/5.</w:t>
      </w:r>
    </w:p>
  </w:footnote>
  <w:footnote w:id="32">
    <w:p w14:paraId="7AE28F1C" w14:textId="3DBC2F94" w:rsidR="00731370" w:rsidRPr="001C5DA9" w:rsidRDefault="00731370" w:rsidP="00731370">
      <w:pPr>
        <w:rPr>
          <w:rFonts w:asciiTheme="majorHAnsi" w:eastAsia="Times New Roman" w:hAnsiTheme="majorHAnsi" w:cstheme="majorHAnsi"/>
          <w:sz w:val="18"/>
          <w:szCs w:val="18"/>
          <w:lang w:val="en-US" w:eastAsia="zh-CN"/>
        </w:rPr>
      </w:pPr>
      <w:r w:rsidRPr="001C5DA9">
        <w:rPr>
          <w:rStyle w:val="FootnoteReference"/>
          <w:rFonts w:asciiTheme="majorHAnsi" w:hAnsiTheme="majorHAnsi" w:cstheme="majorHAnsi"/>
          <w:sz w:val="18"/>
          <w:szCs w:val="18"/>
        </w:rPr>
        <w:footnoteRef/>
      </w:r>
      <w:r w:rsidRPr="001C5DA9">
        <w:rPr>
          <w:rFonts w:asciiTheme="majorHAnsi" w:hAnsiTheme="majorHAnsi" w:cstheme="majorHAnsi"/>
          <w:sz w:val="18"/>
          <w:szCs w:val="18"/>
        </w:rPr>
        <w:t xml:space="preserve"> </w:t>
      </w:r>
      <w:r w:rsidRPr="001C5DA9">
        <w:rPr>
          <w:rFonts w:asciiTheme="majorHAnsi" w:eastAsia="Times New Roman" w:hAnsiTheme="majorHAnsi" w:cstheme="majorHAnsi"/>
          <w:sz w:val="18"/>
          <w:szCs w:val="18"/>
          <w:lang w:eastAsia="zh-CN"/>
        </w:rPr>
        <w:t>Principles on Deprivation of Nationality as a National Security Measure, March 2020</w:t>
      </w:r>
      <w:r w:rsidR="00066C35" w:rsidRPr="001C5DA9">
        <w:rPr>
          <w:rFonts w:asciiTheme="majorHAnsi" w:eastAsia="Times New Roman" w:hAnsiTheme="majorHAnsi" w:cstheme="majorHAnsi"/>
          <w:sz w:val="18"/>
          <w:szCs w:val="18"/>
          <w:lang w:eastAsia="zh-CN"/>
        </w:rPr>
        <w:t>, a</w:t>
      </w:r>
      <w:r w:rsidRPr="001C5DA9">
        <w:rPr>
          <w:rFonts w:asciiTheme="majorHAnsi" w:eastAsia="Times New Roman" w:hAnsiTheme="majorHAnsi" w:cstheme="majorHAnsi"/>
          <w:sz w:val="18"/>
          <w:szCs w:val="18"/>
          <w:lang w:eastAsia="zh-CN"/>
        </w:rPr>
        <w:t xml:space="preserve">vailable at: </w:t>
      </w:r>
      <w:hyperlink r:id="rId22" w:history="1">
        <w:r w:rsidRPr="001C5DA9">
          <w:rPr>
            <w:rStyle w:val="Hyperlink"/>
            <w:rFonts w:asciiTheme="majorHAnsi" w:eastAsia="Times New Roman" w:hAnsiTheme="majorHAnsi" w:cstheme="majorHAnsi"/>
            <w:sz w:val="18"/>
            <w:szCs w:val="18"/>
            <w:lang w:eastAsia="zh-CN"/>
          </w:rPr>
          <w:t>https://files.institutesi.org/PRINCIPLES.pdf</w:t>
        </w:r>
      </w:hyperlink>
      <w:r w:rsidRPr="001C5DA9">
        <w:rPr>
          <w:rFonts w:asciiTheme="majorHAnsi" w:eastAsia="Times New Roman" w:hAnsiTheme="majorHAnsi" w:cstheme="majorHAnsi"/>
          <w:sz w:val="18"/>
          <w:szCs w:val="18"/>
          <w:lang w:eastAsia="zh-CN"/>
        </w:rPr>
        <w:t xml:space="preserve">, Principle 7. See also, the Draft Commentary to the Principles, available at: </w:t>
      </w:r>
      <w:hyperlink r:id="rId23" w:history="1">
        <w:r w:rsidRPr="001C5DA9">
          <w:rPr>
            <w:rStyle w:val="Hyperlink"/>
            <w:rFonts w:asciiTheme="majorHAnsi" w:eastAsia="Times New Roman" w:hAnsiTheme="majorHAnsi" w:cstheme="majorHAnsi"/>
            <w:sz w:val="18"/>
            <w:szCs w:val="18"/>
            <w:lang w:eastAsia="zh-CN"/>
          </w:rPr>
          <w:t>https://files.institutesi.org/PRINCIPLES_Draft_Commentary.pdf</w:t>
        </w:r>
      </w:hyperlink>
      <w:r w:rsidRPr="001C5DA9">
        <w:rPr>
          <w:rFonts w:asciiTheme="majorHAnsi" w:eastAsia="Times New Roman" w:hAnsiTheme="majorHAnsi" w:cstheme="majorHAnsi"/>
          <w:sz w:val="18"/>
          <w:szCs w:val="18"/>
          <w:lang w:val="en-US" w:eastAsia="zh-CN"/>
        </w:rPr>
        <w:t xml:space="preserve">. </w:t>
      </w:r>
    </w:p>
  </w:footnote>
  <w:footnote w:id="33">
    <w:p w14:paraId="609926F2" w14:textId="77777777" w:rsidR="00731370" w:rsidRPr="001C5DA9" w:rsidRDefault="00731370" w:rsidP="00731370">
      <w:pPr>
        <w:rPr>
          <w:rFonts w:asciiTheme="majorHAnsi" w:eastAsia="Times New Roman" w:hAnsiTheme="majorHAnsi" w:cstheme="majorHAnsi"/>
          <w:sz w:val="18"/>
          <w:szCs w:val="18"/>
          <w:lang w:eastAsia="zh-CN"/>
        </w:rPr>
      </w:pPr>
      <w:r w:rsidRPr="001C5DA9">
        <w:rPr>
          <w:rStyle w:val="FootnoteReference"/>
          <w:rFonts w:asciiTheme="majorHAnsi" w:hAnsiTheme="majorHAnsi" w:cstheme="majorHAnsi"/>
          <w:sz w:val="18"/>
          <w:szCs w:val="18"/>
        </w:rPr>
        <w:footnoteRef/>
      </w:r>
      <w:r w:rsidRPr="001C5DA9">
        <w:rPr>
          <w:rFonts w:asciiTheme="majorHAnsi" w:hAnsiTheme="majorHAnsi" w:cstheme="majorHAnsi"/>
          <w:sz w:val="18"/>
          <w:szCs w:val="18"/>
        </w:rPr>
        <w:t xml:space="preserve"> </w:t>
      </w:r>
      <w:r w:rsidRPr="001C5DA9">
        <w:rPr>
          <w:rFonts w:asciiTheme="majorHAnsi" w:eastAsia="Times New Roman" w:hAnsiTheme="majorHAnsi" w:cstheme="majorHAnsi"/>
          <w:sz w:val="18"/>
          <w:szCs w:val="18"/>
          <w:lang w:eastAsia="zh-CN"/>
        </w:rPr>
        <w:t>Ibid., Principle 6.</w:t>
      </w:r>
    </w:p>
  </w:footnote>
  <w:footnote w:id="34">
    <w:p w14:paraId="6E7802D4" w14:textId="77777777" w:rsidR="00731370" w:rsidRPr="001C5DA9" w:rsidRDefault="00731370" w:rsidP="00731370">
      <w:pPr>
        <w:rPr>
          <w:rFonts w:asciiTheme="majorHAnsi" w:eastAsia="Times New Roman" w:hAnsiTheme="majorHAnsi" w:cstheme="majorHAnsi"/>
          <w:sz w:val="18"/>
          <w:szCs w:val="18"/>
          <w:lang w:eastAsia="zh-CN"/>
        </w:rPr>
      </w:pPr>
      <w:r w:rsidRPr="001C5DA9">
        <w:rPr>
          <w:rStyle w:val="FootnoteReference"/>
          <w:rFonts w:asciiTheme="majorHAnsi" w:hAnsiTheme="majorHAnsi" w:cstheme="majorHAnsi"/>
          <w:sz w:val="18"/>
          <w:szCs w:val="18"/>
        </w:rPr>
        <w:footnoteRef/>
      </w:r>
      <w:r w:rsidRPr="001C5DA9">
        <w:rPr>
          <w:rFonts w:asciiTheme="majorHAnsi" w:hAnsiTheme="majorHAnsi" w:cstheme="majorHAnsi"/>
          <w:sz w:val="18"/>
          <w:szCs w:val="18"/>
        </w:rPr>
        <w:t xml:space="preserve"> </w:t>
      </w:r>
      <w:r w:rsidRPr="001C5DA9">
        <w:rPr>
          <w:rFonts w:asciiTheme="majorHAnsi" w:eastAsia="Times New Roman" w:hAnsiTheme="majorHAnsi" w:cstheme="majorHAnsi"/>
          <w:sz w:val="18"/>
          <w:szCs w:val="18"/>
          <w:lang w:eastAsia="zh-CN"/>
        </w:rPr>
        <w:t>Ibid., Principle 5.</w:t>
      </w:r>
    </w:p>
  </w:footnote>
  <w:footnote w:id="35">
    <w:p w14:paraId="703F5B6E" w14:textId="77777777" w:rsidR="007D62AC" w:rsidRPr="001C5DA9" w:rsidRDefault="007D62AC" w:rsidP="00D5763D">
      <w:pPr>
        <w:pStyle w:val="FootnoteText"/>
      </w:pPr>
      <w:r w:rsidRPr="001C5DA9">
        <w:rPr>
          <w:rStyle w:val="FootnoteReference"/>
        </w:rPr>
        <w:footnoteRef/>
      </w:r>
      <w:r w:rsidRPr="001C5DA9">
        <w:t xml:space="preserve"> Article 23 of the Belgian Nationality Code.</w:t>
      </w:r>
    </w:p>
  </w:footnote>
  <w:footnote w:id="36">
    <w:p w14:paraId="3913FE35" w14:textId="17E77AF5" w:rsidR="0014168B" w:rsidRPr="001C5DA9" w:rsidRDefault="0014168B" w:rsidP="00D5763D">
      <w:pPr>
        <w:pStyle w:val="FootnoteText"/>
        <w:rPr>
          <w:lang w:val="en-US"/>
        </w:rPr>
      </w:pPr>
      <w:r w:rsidRPr="001C5DA9">
        <w:rPr>
          <w:rStyle w:val="FootnoteReference"/>
        </w:rPr>
        <w:footnoteRef/>
      </w:r>
      <w:r w:rsidRPr="001C5DA9">
        <w:t xml:space="preserve"> Wautelet, P., </w:t>
      </w:r>
      <w:r w:rsidR="000E7427" w:rsidRPr="001C5DA9">
        <w:t>“</w:t>
      </w:r>
      <w:r w:rsidRPr="001C5DA9">
        <w:t>Deprivation of Citizenship for ‘Jihadists’, Analysis of Belgium and French practice and policy in light of the principle of equal treatment</w:t>
      </w:r>
      <w:r w:rsidR="000E7427" w:rsidRPr="001C5DA9">
        <w:t>”</w:t>
      </w:r>
      <w:r w:rsidRPr="001C5DA9">
        <w:t xml:space="preserve">, </w:t>
      </w:r>
      <w:r w:rsidR="00E418FE" w:rsidRPr="001C5DA9">
        <w:t xml:space="preserve">January </w:t>
      </w:r>
      <w:r w:rsidRPr="001C5DA9">
        <w:t>2016, available at</w:t>
      </w:r>
      <w:r w:rsidR="007216BD" w:rsidRPr="001C5DA9">
        <w:t>:</w:t>
      </w:r>
      <w:r w:rsidRPr="001C5DA9">
        <w:t xml:space="preserve"> </w:t>
      </w:r>
      <w:hyperlink r:id="rId24" w:history="1">
        <w:r w:rsidRPr="001C5DA9">
          <w:rPr>
            <w:rStyle w:val="Hyperlink"/>
          </w:rPr>
          <w:t>https://papers.ssrn.com/sol3/papers.cfm?abstract_id=2713742</w:t>
        </w:r>
      </w:hyperlink>
      <w:r w:rsidRPr="001C5DA9">
        <w:t xml:space="preserve">. </w:t>
      </w:r>
    </w:p>
  </w:footnote>
  <w:footnote w:id="37">
    <w:p w14:paraId="3D785C3F" w14:textId="77777777" w:rsidR="003E1F3F" w:rsidRPr="00C82E7E" w:rsidRDefault="003E1F3F" w:rsidP="003E1F3F">
      <w:pPr>
        <w:rPr>
          <w:rFonts w:asciiTheme="majorHAnsi" w:eastAsia="Times New Roman" w:hAnsiTheme="majorHAnsi" w:cstheme="majorHAnsi"/>
          <w:sz w:val="18"/>
          <w:szCs w:val="18"/>
          <w:lang w:val="es-ES" w:eastAsia="zh-CN"/>
        </w:rPr>
      </w:pPr>
      <w:r w:rsidRPr="001C5DA9">
        <w:rPr>
          <w:rStyle w:val="FootnoteReference"/>
          <w:rFonts w:asciiTheme="majorHAnsi" w:hAnsiTheme="majorHAnsi" w:cstheme="majorHAnsi"/>
          <w:sz w:val="18"/>
          <w:szCs w:val="18"/>
        </w:rPr>
        <w:footnoteRef/>
      </w:r>
      <w:r w:rsidRPr="00C82E7E">
        <w:rPr>
          <w:rFonts w:asciiTheme="majorHAnsi" w:hAnsiTheme="majorHAnsi" w:cstheme="majorHAnsi"/>
          <w:sz w:val="18"/>
          <w:szCs w:val="18"/>
          <w:lang w:val="es-ES"/>
        </w:rPr>
        <w:t xml:space="preserve"> </w:t>
      </w:r>
      <w:r w:rsidRPr="00C82E7E">
        <w:rPr>
          <w:rFonts w:asciiTheme="majorHAnsi" w:eastAsia="Times New Roman" w:hAnsiTheme="majorHAnsi" w:cstheme="majorHAnsi"/>
          <w:sz w:val="18"/>
          <w:szCs w:val="18"/>
          <w:lang w:val="es-ES" w:eastAsia="zh-CN"/>
        </w:rPr>
        <w:t>IACtHR, Maritza Urrutia v Guatemala (2003), Series C No. 103, para 94.</w:t>
      </w:r>
    </w:p>
  </w:footnote>
  <w:footnote w:id="38">
    <w:p w14:paraId="4D77BF58" w14:textId="5B0D829C" w:rsidR="003E1F3F" w:rsidRPr="001C5DA9" w:rsidRDefault="003E1F3F" w:rsidP="003E1F3F">
      <w:pPr>
        <w:rPr>
          <w:rFonts w:asciiTheme="majorHAnsi" w:eastAsia="Times New Roman" w:hAnsiTheme="majorHAnsi" w:cstheme="majorHAnsi"/>
          <w:sz w:val="18"/>
          <w:szCs w:val="18"/>
          <w:lang w:eastAsia="zh-CN"/>
        </w:rPr>
      </w:pPr>
      <w:r w:rsidRPr="001C5DA9">
        <w:rPr>
          <w:rStyle w:val="FootnoteReference"/>
          <w:rFonts w:asciiTheme="majorHAnsi" w:hAnsiTheme="majorHAnsi" w:cstheme="majorHAnsi"/>
          <w:sz w:val="18"/>
          <w:szCs w:val="18"/>
        </w:rPr>
        <w:footnoteRef/>
      </w:r>
      <w:r w:rsidRPr="001C5DA9">
        <w:rPr>
          <w:rFonts w:asciiTheme="majorHAnsi" w:hAnsiTheme="majorHAnsi" w:cstheme="majorHAnsi"/>
          <w:sz w:val="18"/>
          <w:szCs w:val="18"/>
        </w:rPr>
        <w:t xml:space="preserve"> </w:t>
      </w:r>
      <w:r w:rsidRPr="001C5DA9">
        <w:rPr>
          <w:rFonts w:asciiTheme="majorHAnsi" w:eastAsia="Times New Roman" w:hAnsiTheme="majorHAnsi" w:cstheme="majorHAnsi"/>
          <w:sz w:val="18"/>
          <w:szCs w:val="18"/>
          <w:lang w:eastAsia="zh-CN"/>
        </w:rPr>
        <w:t xml:space="preserve">United States Supreme Court, Trop v Dulles, 356 US 86 (1958), available at: </w:t>
      </w:r>
      <w:hyperlink r:id="rId25" w:history="1">
        <w:r w:rsidR="00B47C95" w:rsidRPr="001C5DA9">
          <w:rPr>
            <w:rStyle w:val="Hyperlink"/>
            <w:rFonts w:asciiTheme="majorHAnsi" w:eastAsia="Times New Roman" w:hAnsiTheme="majorHAnsi" w:cstheme="majorHAnsi"/>
            <w:sz w:val="18"/>
            <w:szCs w:val="18"/>
            <w:lang w:eastAsia="zh-CN"/>
          </w:rPr>
          <w:t>https://supreme.justia.com/cases/federal/us/356/86/</w:t>
        </w:r>
      </w:hyperlink>
      <w:r w:rsidRPr="001C5DA9">
        <w:rPr>
          <w:rFonts w:asciiTheme="majorHAnsi" w:eastAsia="Times New Roman" w:hAnsiTheme="majorHAnsi" w:cstheme="majorHAnsi"/>
          <w:sz w:val="18"/>
          <w:szCs w:val="18"/>
          <w:lang w:eastAsia="zh-CN"/>
        </w:rPr>
        <w:t>.</w:t>
      </w:r>
    </w:p>
  </w:footnote>
  <w:footnote w:id="39">
    <w:p w14:paraId="14CDBE03" w14:textId="1270AF81" w:rsidR="00BE4028" w:rsidRPr="001C5DA9" w:rsidRDefault="00BE4028" w:rsidP="00D5763D">
      <w:pPr>
        <w:pStyle w:val="FootnoteText"/>
      </w:pPr>
      <w:r w:rsidRPr="001C5DA9">
        <w:rPr>
          <w:rStyle w:val="FootnoteReference"/>
        </w:rPr>
        <w:footnoteRef/>
      </w:r>
      <w:r w:rsidR="002A3593" w:rsidRPr="001C5DA9">
        <w:t xml:space="preserve"> For more information, visit the Statelessness Index on Belgium: </w:t>
      </w:r>
      <w:hyperlink r:id="rId26" w:history="1">
        <w:r w:rsidR="002A3593" w:rsidRPr="001C5DA9">
          <w:rPr>
            <w:rStyle w:val="Hyperlink"/>
          </w:rPr>
          <w:t>http://index.statelessness.eu/country/belgium</w:t>
        </w:r>
      </w:hyperlink>
      <w:r w:rsidR="002A3593" w:rsidRPr="001C5DA9">
        <w:t>.</w:t>
      </w:r>
      <w:r w:rsidRPr="001C5DA9">
        <w:t xml:space="preserve"> </w:t>
      </w:r>
    </w:p>
  </w:footnote>
  <w:footnote w:id="40">
    <w:p w14:paraId="58E3534D" w14:textId="77777777" w:rsidR="00BD49D2" w:rsidRPr="001C5DA9" w:rsidRDefault="00BD49D2" w:rsidP="00D5763D">
      <w:pPr>
        <w:pStyle w:val="FootnoteText"/>
      </w:pPr>
      <w:r w:rsidRPr="001C5DA9">
        <w:rPr>
          <w:rStyle w:val="FootnoteReference"/>
        </w:rPr>
        <w:footnoteRef/>
      </w:r>
      <w:r w:rsidRPr="001C5DA9">
        <w:t xml:space="preserve"> Committee against Torture, General Comment No. 2: Implementation of article 2 by State parties, 2008, CAT/C/GC/2, para 5.</w:t>
      </w:r>
    </w:p>
  </w:footnote>
  <w:footnote w:id="41">
    <w:p w14:paraId="7C4D91A8" w14:textId="1CD6701F" w:rsidR="00020EDE" w:rsidRPr="001C5DA9" w:rsidRDefault="00020EDE" w:rsidP="00D5763D">
      <w:pPr>
        <w:pStyle w:val="FootnoteText"/>
        <w:rPr>
          <w:lang w:val="en-US"/>
        </w:rPr>
      </w:pPr>
      <w:r w:rsidRPr="001C5DA9">
        <w:rPr>
          <w:rStyle w:val="FootnoteReference"/>
        </w:rPr>
        <w:footnoteRef/>
      </w:r>
      <w:r w:rsidRPr="001C5DA9">
        <w:rPr>
          <w:lang w:val="en-US"/>
        </w:rPr>
        <w:t xml:space="preserve"> UN Special Rapporteur on contemporary forms of racism, racial discrimination, xenophobia and related intolerance, ‘Amicus Brief before the Dutch Immigration and Naturalisation Service’</w:t>
      </w:r>
      <w:r w:rsidR="007C012F" w:rsidRPr="001C5DA9">
        <w:rPr>
          <w:lang w:val="en-US"/>
        </w:rPr>
        <w:t xml:space="preserve">, </w:t>
      </w:r>
      <w:r w:rsidRPr="001C5DA9">
        <w:rPr>
          <w:lang w:val="en-US"/>
        </w:rPr>
        <w:t>23 October 2018.</w:t>
      </w:r>
    </w:p>
  </w:footnote>
  <w:footnote w:id="42">
    <w:p w14:paraId="7C55503C" w14:textId="787CD7FD" w:rsidR="004F7576" w:rsidRPr="001C5DA9" w:rsidRDefault="004F7576" w:rsidP="00D5763D">
      <w:pPr>
        <w:pStyle w:val="FootnoteText"/>
      </w:pPr>
      <w:r w:rsidRPr="001C5DA9">
        <w:rPr>
          <w:rStyle w:val="FootnoteReference"/>
        </w:rPr>
        <w:footnoteRef/>
      </w:r>
      <w:r w:rsidRPr="001C5DA9">
        <w:t xml:space="preserve"> UNHCR, Handbook on Protection of Stateless Persons, 2014, </w:t>
      </w:r>
      <w:r w:rsidR="00FB4CF0" w:rsidRPr="001C5DA9">
        <w:t xml:space="preserve">available at: </w:t>
      </w:r>
      <w:hyperlink r:id="rId27" w:history="1">
        <w:r w:rsidR="00FB4CF0" w:rsidRPr="001C5DA9">
          <w:rPr>
            <w:rStyle w:val="Hyperlink"/>
          </w:rPr>
          <w:t>http://www.unhcr.org/uk/protection/statelessness/53b698ab9/handbook-protection-stateless-persons.html</w:t>
        </w:r>
      </w:hyperlink>
      <w:r w:rsidRPr="001C5DA9">
        <w:t xml:space="preserve"> </w:t>
      </w:r>
    </w:p>
  </w:footnote>
  <w:footnote w:id="43">
    <w:p w14:paraId="64B66160" w14:textId="768E7BAC" w:rsidR="005C29E7" w:rsidRPr="001C5DA9" w:rsidRDefault="005C29E7" w:rsidP="00D5763D">
      <w:pPr>
        <w:pStyle w:val="FootnoteText"/>
      </w:pPr>
      <w:r w:rsidRPr="001C5DA9">
        <w:rPr>
          <w:rStyle w:val="FootnoteReference"/>
        </w:rPr>
        <w:footnoteRef/>
      </w:r>
      <w:r w:rsidRPr="001C5DA9">
        <w:t xml:space="preserve"> Art. 569, 572bis, 632bis and 1025 to 1034 of the Belgian Judicial Code</w:t>
      </w:r>
      <w:r w:rsidR="00FB4CF0" w:rsidRPr="001C5DA9">
        <w:t>.</w:t>
      </w:r>
    </w:p>
  </w:footnote>
  <w:footnote w:id="44">
    <w:p w14:paraId="38CC3A13" w14:textId="77777777" w:rsidR="007C66BF" w:rsidRPr="001C5DA9" w:rsidRDefault="007C66BF" w:rsidP="00D5763D">
      <w:pPr>
        <w:pStyle w:val="FootnoteText"/>
        <w:rPr>
          <w:lang w:val="en-US"/>
        </w:rPr>
      </w:pPr>
      <w:r w:rsidRPr="001C5DA9">
        <w:rPr>
          <w:rStyle w:val="FootnoteReference"/>
        </w:rPr>
        <w:footnoteRef/>
      </w:r>
      <w:r w:rsidRPr="001C5DA9">
        <w:t xml:space="preserve"> Art. 9bis of the Immigration Act. Article 98 of the Royal Decree of 8 October 1981 states that stateless persons and their families fall under general regulation.</w:t>
      </w:r>
    </w:p>
  </w:footnote>
  <w:footnote w:id="45">
    <w:p w14:paraId="28D13079" w14:textId="4D6F3F43" w:rsidR="00066244" w:rsidRDefault="00066244" w:rsidP="00D5763D">
      <w:pPr>
        <w:pStyle w:val="FootnoteText"/>
      </w:pPr>
      <w:r>
        <w:rPr>
          <w:rStyle w:val="FootnoteReference"/>
        </w:rPr>
        <w:footnoteRef/>
      </w:r>
      <w:r>
        <w:t xml:space="preserve"> </w:t>
      </w:r>
      <w:r w:rsidRPr="00066244">
        <w:t xml:space="preserve">Statelessness Index on Belgium: </w:t>
      </w:r>
      <w:hyperlink r:id="rId28" w:history="1">
        <w:r w:rsidRPr="00E66098">
          <w:rPr>
            <w:rStyle w:val="Hyperlink"/>
          </w:rPr>
          <w:t>http://index.statelessness.eu/country/belgium</w:t>
        </w:r>
      </w:hyperlink>
      <w:r>
        <w:t>.</w:t>
      </w:r>
    </w:p>
  </w:footnote>
  <w:footnote w:id="46">
    <w:p w14:paraId="202B368A" w14:textId="77777777" w:rsidR="005A106E" w:rsidRPr="001C5DA9" w:rsidRDefault="005A106E" w:rsidP="00D5763D">
      <w:pPr>
        <w:pStyle w:val="FootnoteText"/>
        <w:rPr>
          <w:lang w:val="fr-FR"/>
        </w:rPr>
      </w:pPr>
      <w:r w:rsidRPr="001C5DA9">
        <w:rPr>
          <w:rStyle w:val="FootnoteReference"/>
        </w:rPr>
        <w:footnoteRef/>
      </w:r>
      <w:r w:rsidRPr="001C5DA9">
        <w:rPr>
          <w:lang w:val="fr-FR"/>
        </w:rPr>
        <w:t xml:space="preserve"> Proposition de loi modifiant la loi du 15 décembre 1980 sur l’accès au territoire, le séjour, l’établissement et l’éloignement des étrangers, en vue de régler le droit de séjour des apatrides, 24 janvier 2019, DOC54 3487/001</w:t>
      </w:r>
    </w:p>
    <w:p w14:paraId="156AD9AB" w14:textId="350F7238" w:rsidR="005A106E" w:rsidRPr="001C5DA9" w:rsidRDefault="00854135" w:rsidP="00D5763D">
      <w:pPr>
        <w:pStyle w:val="FootnoteText"/>
        <w:rPr>
          <w:lang w:val="fr-FR"/>
        </w:rPr>
      </w:pPr>
      <w:hyperlink r:id="rId29" w:history="1">
        <w:r w:rsidR="005A106E" w:rsidRPr="001C5DA9">
          <w:rPr>
            <w:rStyle w:val="Hyperlink"/>
            <w:lang w:val="fr-FR"/>
          </w:rPr>
          <w:t>https://www.dekamer.be/FLWB/PDF/54/3487/54K3487001.pdf</w:t>
        </w:r>
      </w:hyperlink>
      <w:r w:rsidR="00814C87" w:rsidRPr="001C5DA9">
        <w:rPr>
          <w:lang w:val="fr-FR"/>
        </w:rPr>
        <w:t>.</w:t>
      </w:r>
    </w:p>
  </w:footnote>
  <w:footnote w:id="47">
    <w:p w14:paraId="1428A675" w14:textId="38A5B519" w:rsidR="005A106E" w:rsidRPr="001C5DA9" w:rsidRDefault="005A106E" w:rsidP="00D5763D">
      <w:pPr>
        <w:pStyle w:val="FootnoteText"/>
        <w:rPr>
          <w:lang w:val="fr-FR"/>
        </w:rPr>
      </w:pPr>
      <w:r w:rsidRPr="001C5DA9">
        <w:rPr>
          <w:rStyle w:val="FootnoteReference"/>
        </w:rPr>
        <w:footnoteRef/>
      </w:r>
      <w:r w:rsidRPr="001C5DA9">
        <w:rPr>
          <w:lang w:val="fr-FR"/>
        </w:rPr>
        <w:t xml:space="preserve"> Chambre des Représentants, Exposé d’orientation politique. Asile, migration et loterie nationale: </w:t>
      </w:r>
      <w:hyperlink r:id="rId30" w:history="1">
        <w:r w:rsidRPr="001C5DA9">
          <w:rPr>
            <w:rStyle w:val="Hyperlink"/>
            <w:lang w:val="fr-FR"/>
          </w:rPr>
          <w:t>https://www.dekamer.be/FLWB/PDF/55/1610/55K1610011.pdf</w:t>
        </w:r>
      </w:hyperlink>
      <w:r w:rsidR="00814C87" w:rsidRPr="001C5DA9">
        <w:rPr>
          <w:lang w:val="fr-FR"/>
        </w:rPr>
        <w:t>.</w:t>
      </w:r>
    </w:p>
  </w:footnote>
  <w:footnote w:id="48">
    <w:p w14:paraId="50F4329A" w14:textId="630E8786" w:rsidR="001526D8" w:rsidRPr="001C5DA9" w:rsidRDefault="001526D8" w:rsidP="00D5763D">
      <w:pPr>
        <w:pStyle w:val="FootnoteText"/>
      </w:pPr>
      <w:r w:rsidRPr="001C5DA9">
        <w:rPr>
          <w:rStyle w:val="FootnoteReference"/>
        </w:rPr>
        <w:footnoteRef/>
      </w:r>
      <w:r w:rsidRPr="001C5DA9">
        <w:t xml:space="preserve"> NANSEN responded to the consultation with a </w:t>
      </w:r>
      <w:r w:rsidR="00073B07" w:rsidRPr="001C5DA9">
        <w:t xml:space="preserve">submission calling for </w:t>
      </w:r>
      <w:r w:rsidRPr="001C5DA9">
        <w:t>a specific residence status for persons recogni</w:t>
      </w:r>
      <w:r w:rsidR="00073B07" w:rsidRPr="001C5DA9">
        <w:t>s</w:t>
      </w:r>
      <w:r w:rsidRPr="001C5DA9">
        <w:t xml:space="preserve">ed as stateless, </w:t>
      </w:r>
      <w:r w:rsidR="006D0F38" w:rsidRPr="001C5DA9">
        <w:t xml:space="preserve">and the </w:t>
      </w:r>
      <w:r w:rsidR="00073B07" w:rsidRPr="001C5DA9">
        <w:t xml:space="preserve">granting of </w:t>
      </w:r>
      <w:r w:rsidRPr="001C5DA9">
        <w:t xml:space="preserve">a temporary residence permit while the application for </w:t>
      </w:r>
      <w:r w:rsidR="00073B07" w:rsidRPr="001C5DA9">
        <w:t xml:space="preserve">recognition as stateless </w:t>
      </w:r>
      <w:r w:rsidR="006D0F38" w:rsidRPr="001C5DA9">
        <w:t xml:space="preserve">and the application for </w:t>
      </w:r>
      <w:r w:rsidRPr="001C5DA9">
        <w:t xml:space="preserve">a residence permit are pending. </w:t>
      </w:r>
    </w:p>
  </w:footnote>
  <w:footnote w:id="49">
    <w:p w14:paraId="7C31EC96" w14:textId="77777777" w:rsidR="004F7576" w:rsidRPr="001C5DA9" w:rsidRDefault="004F7576" w:rsidP="00D5763D">
      <w:pPr>
        <w:pStyle w:val="FootnoteText"/>
      </w:pPr>
      <w:r w:rsidRPr="001C5DA9">
        <w:rPr>
          <w:rStyle w:val="FootnoteReference"/>
        </w:rPr>
        <w:footnoteRef/>
      </w:r>
      <w:r w:rsidRPr="001C5DA9">
        <w:t xml:space="preserve"> The 1954 Convention entered into force in Belgium in 1960 and the 1961 Convention in 2014.</w:t>
      </w:r>
    </w:p>
  </w:footnote>
  <w:footnote w:id="50">
    <w:p w14:paraId="224E2FF4" w14:textId="77777777" w:rsidR="004F7576" w:rsidRPr="001C5DA9" w:rsidRDefault="004F7576" w:rsidP="00D5763D">
      <w:pPr>
        <w:pStyle w:val="FootnoteText"/>
      </w:pPr>
      <w:r w:rsidRPr="001C5DA9">
        <w:rPr>
          <w:rStyle w:val="FootnoteReference"/>
        </w:rPr>
        <w:footnoteRef/>
      </w:r>
      <w:r w:rsidRPr="001C5DA9">
        <w:rPr>
          <w:color w:val="000000" w:themeColor="text1"/>
        </w:rPr>
        <w:t xml:space="preserve"> UN Treaty Collections, Status of Treaties, </w:t>
      </w:r>
      <w:hyperlink r:id="rId31" w:anchor="EndDec" w:history="1">
        <w:r w:rsidRPr="001C5DA9">
          <w:rPr>
            <w:rStyle w:val="Hyperlink"/>
          </w:rPr>
          <w:t>https://treaties.un.org/Pages/ViewDetails.aspx?src=TREATY&amp;mtdsg_no=V-4&amp;chapter=5&amp;clang=_en#EndDec</w:t>
        </w:r>
      </w:hyperlink>
    </w:p>
  </w:footnote>
  <w:footnote w:id="51">
    <w:p w14:paraId="1CD7174E" w14:textId="7CEA7970" w:rsidR="00990051" w:rsidRPr="001C5DA9" w:rsidRDefault="00990051" w:rsidP="00D5763D">
      <w:pPr>
        <w:pStyle w:val="FootnoteText"/>
        <w:rPr>
          <w:lang w:val="fr-FR"/>
        </w:rPr>
      </w:pPr>
      <w:r w:rsidRPr="001C5DA9">
        <w:rPr>
          <w:rStyle w:val="FootnoteReference"/>
        </w:rPr>
        <w:footnoteRef/>
      </w:r>
      <w:r w:rsidRPr="001C5DA9">
        <w:t xml:space="preserve"> Belgian authorities acknowledge that identification of the nationality may pose an acute problem in some cases. </w:t>
      </w:r>
      <w:r w:rsidRPr="001C5DA9">
        <w:rPr>
          <w:lang w:val="fr-FR"/>
        </w:rPr>
        <w:t xml:space="preserve">See </w:t>
      </w:r>
      <w:r w:rsidRPr="001C5DA9">
        <w:rPr>
          <w:lang w:val="fr-BE"/>
        </w:rPr>
        <w:t>Office des Étrangers, Statistiques annuelles 201</w:t>
      </w:r>
      <w:r w:rsidR="007B216B" w:rsidRPr="001C5DA9">
        <w:rPr>
          <w:lang w:val="fr-BE"/>
        </w:rPr>
        <w:t>9</w:t>
      </w:r>
      <w:r w:rsidRPr="001C5DA9">
        <w:rPr>
          <w:lang w:val="fr-BE"/>
        </w:rPr>
        <w:t xml:space="preserve">, p. 51,  </w:t>
      </w:r>
      <w:hyperlink r:id="rId32" w:history="1">
        <w:r w:rsidR="007B216B" w:rsidRPr="001C5DA9">
          <w:rPr>
            <w:rStyle w:val="Hyperlink"/>
            <w:lang w:val="fr-FR"/>
          </w:rPr>
          <w:t>https://dofi.ibz.be/sites/default/files/2021-05/Cartes%20-%20statistiques%20%202019%20v3%20FR.pdf</w:t>
        </w:r>
      </w:hyperlink>
      <w:r w:rsidR="007B216B" w:rsidRPr="001C5DA9">
        <w:rPr>
          <w:lang w:val="fr-FR"/>
        </w:rPr>
        <w:t xml:space="preserve"> </w:t>
      </w:r>
    </w:p>
  </w:footnote>
  <w:footnote w:id="52">
    <w:p w14:paraId="2AB8A7F0" w14:textId="77777777" w:rsidR="004F7576" w:rsidRPr="001C5DA9" w:rsidRDefault="004F7576" w:rsidP="00D5763D">
      <w:pPr>
        <w:pStyle w:val="FootnoteText"/>
      </w:pPr>
      <w:r w:rsidRPr="001C5DA9">
        <w:rPr>
          <w:rStyle w:val="FootnoteReference"/>
        </w:rPr>
        <w:footnoteRef/>
      </w:r>
      <w:r w:rsidRPr="001C5DA9">
        <w:t xml:space="preserve"> UNHCR, Mapping Statelessness in Belgium, October 2012, available at: </w:t>
      </w:r>
      <w:hyperlink r:id="rId33" w:history="1">
        <w:r w:rsidRPr="001C5DA9">
          <w:rPr>
            <w:rStyle w:val="Hyperlink"/>
          </w:rPr>
          <w:t>https://www.refworld.org/docid/5100f4b22.html</w:t>
        </w:r>
      </w:hyperlink>
      <w:r w:rsidRPr="001C5DA9">
        <w:t>.</w:t>
      </w:r>
    </w:p>
  </w:footnote>
  <w:footnote w:id="53">
    <w:p w14:paraId="2D981DF2" w14:textId="77777777" w:rsidR="004F7576" w:rsidRPr="001C5DA9" w:rsidRDefault="004F7576" w:rsidP="00D5763D">
      <w:pPr>
        <w:pStyle w:val="FootnoteText"/>
      </w:pPr>
      <w:r w:rsidRPr="001C5DA9">
        <w:rPr>
          <w:rStyle w:val="FootnoteReference"/>
        </w:rPr>
        <w:footnoteRef/>
      </w:r>
      <w:r w:rsidRPr="001C5DA9">
        <w:t xml:space="preserve"> UNHCR, Mid-Year Trends 2020, available at: </w:t>
      </w:r>
      <w:hyperlink r:id="rId34" w:history="1">
        <w:r w:rsidRPr="001C5DA9">
          <w:rPr>
            <w:rStyle w:val="Hyperlink"/>
          </w:rPr>
          <w:t>https://www.unhcr.org/statistics/2020MYTannex.zip</w:t>
        </w:r>
      </w:hyperlink>
      <w:r w:rsidRPr="001C5DA9">
        <w:t>.</w:t>
      </w:r>
    </w:p>
  </w:footnote>
  <w:footnote w:id="54">
    <w:p w14:paraId="3FC1A51B" w14:textId="77777777" w:rsidR="004F7576" w:rsidRPr="001C5DA9" w:rsidRDefault="004F7576" w:rsidP="00D5763D">
      <w:pPr>
        <w:pStyle w:val="FootnoteText"/>
      </w:pPr>
      <w:r w:rsidRPr="001C5DA9">
        <w:rPr>
          <w:rStyle w:val="FootnoteReference"/>
        </w:rPr>
        <w:footnoteRef/>
      </w:r>
      <w:r w:rsidRPr="001C5DA9">
        <w:t xml:space="preserve"> These figures do not accurately represent the total stateless population in Belgium and they reflect the challenges faced by the authorities in registering people whose nationality cannot be determined at birth, people without identity documents from their country of origin, and people of Palestinian origin. Many people are not included in the national registry, for example, those awaiting statelessness determination without a valid residence permit (or with a permit valid for less than three months), those recognised as stateless without a valid residence permit, and other stateless people not in any procedure, without a residence permit, or holding a permit for less than three months.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72A8AF" w14:textId="05675258" w:rsidR="00D15B68" w:rsidRPr="0041158A" w:rsidRDefault="00D15B68" w:rsidP="00D15B68">
    <w:pPr>
      <w:tabs>
        <w:tab w:val="left" w:pos="90"/>
      </w:tabs>
      <w:jc w:val="right"/>
      <w:rPr>
        <w:rFonts w:ascii="Cambria" w:hAnsi="Cambria"/>
        <w:b/>
        <w:bCs/>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72A8B4" w14:textId="6EDA8AE5" w:rsidR="00D15B68" w:rsidRDefault="00D15B68" w:rsidP="00D15B68">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D6673"/>
    <w:multiLevelType w:val="hybridMultilevel"/>
    <w:tmpl w:val="12243EE8"/>
    <w:lvl w:ilvl="0" w:tplc="284AF69C">
      <w:start w:val="1"/>
      <w:numFmt w:val="decimal"/>
      <w:lvlText w:val="%1."/>
      <w:lvlJc w:val="left"/>
      <w:pPr>
        <w:ind w:left="501" w:hanging="360"/>
      </w:pPr>
      <w:rPr>
        <w:rFonts w:hint="default"/>
        <w:b w:val="0"/>
        <w:color w:val="auto"/>
        <w:sz w:val="22"/>
        <w:szCs w:val="22"/>
      </w:rPr>
    </w:lvl>
    <w:lvl w:ilvl="1" w:tplc="7868915C">
      <w:start w:val="1"/>
      <w:numFmt w:val="upperRoman"/>
      <w:lvlText w:val="%2."/>
      <w:lvlJc w:val="right"/>
      <w:pPr>
        <w:ind w:left="1440" w:hanging="360"/>
      </w:pPr>
    </w:lvl>
    <w:lvl w:ilvl="2" w:tplc="FCB071E0" w:tentative="1">
      <w:start w:val="1"/>
      <w:numFmt w:val="lowerRoman"/>
      <w:lvlText w:val="%3."/>
      <w:lvlJc w:val="right"/>
      <w:pPr>
        <w:ind w:left="2160" w:hanging="180"/>
      </w:pPr>
    </w:lvl>
    <w:lvl w:ilvl="3" w:tplc="34AC072E" w:tentative="1">
      <w:start w:val="1"/>
      <w:numFmt w:val="decimal"/>
      <w:lvlText w:val="%4."/>
      <w:lvlJc w:val="left"/>
      <w:pPr>
        <w:ind w:left="2880" w:hanging="360"/>
      </w:pPr>
    </w:lvl>
    <w:lvl w:ilvl="4" w:tplc="AABECDF2" w:tentative="1">
      <w:start w:val="1"/>
      <w:numFmt w:val="lowerLetter"/>
      <w:lvlText w:val="%5."/>
      <w:lvlJc w:val="left"/>
      <w:pPr>
        <w:ind w:left="3600" w:hanging="360"/>
      </w:pPr>
    </w:lvl>
    <w:lvl w:ilvl="5" w:tplc="734231D4" w:tentative="1">
      <w:start w:val="1"/>
      <w:numFmt w:val="lowerRoman"/>
      <w:lvlText w:val="%6."/>
      <w:lvlJc w:val="right"/>
      <w:pPr>
        <w:ind w:left="4320" w:hanging="180"/>
      </w:pPr>
    </w:lvl>
    <w:lvl w:ilvl="6" w:tplc="F4DAEC64" w:tentative="1">
      <w:start w:val="1"/>
      <w:numFmt w:val="decimal"/>
      <w:lvlText w:val="%7."/>
      <w:lvlJc w:val="left"/>
      <w:pPr>
        <w:ind w:left="5040" w:hanging="360"/>
      </w:pPr>
    </w:lvl>
    <w:lvl w:ilvl="7" w:tplc="3AB82A88" w:tentative="1">
      <w:start w:val="1"/>
      <w:numFmt w:val="lowerLetter"/>
      <w:lvlText w:val="%8."/>
      <w:lvlJc w:val="left"/>
      <w:pPr>
        <w:ind w:left="5760" w:hanging="360"/>
      </w:pPr>
    </w:lvl>
    <w:lvl w:ilvl="8" w:tplc="249487F6" w:tentative="1">
      <w:start w:val="1"/>
      <w:numFmt w:val="lowerRoman"/>
      <w:lvlText w:val="%9."/>
      <w:lvlJc w:val="right"/>
      <w:pPr>
        <w:ind w:left="6480" w:hanging="180"/>
      </w:pPr>
    </w:lvl>
  </w:abstractNum>
  <w:abstractNum w:abstractNumId="1" w15:restartNumberingAfterBreak="0">
    <w:nsid w:val="112D10F4"/>
    <w:multiLevelType w:val="hybridMultilevel"/>
    <w:tmpl w:val="E1C016A6"/>
    <w:lvl w:ilvl="0" w:tplc="5620A622">
      <w:start w:val="1"/>
      <w:numFmt w:val="bullet"/>
      <w:pStyle w:val="SISummarybullets"/>
      <w:lvlText w:val="•"/>
      <w:lvlJc w:val="left"/>
      <w:pPr>
        <w:ind w:left="720" w:hanging="360"/>
      </w:pPr>
      <w:rPr>
        <w:rFonts w:ascii="Lato CE" w:hAnsi="Lato CE" w:cs="Symbol" w:hint="default"/>
        <w:b w:val="0"/>
        <w:i w:val="0"/>
        <w:color w:val="FFFFFF" w:themeColor="background1"/>
        <w:sz w:val="1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8373297"/>
    <w:multiLevelType w:val="hybridMultilevel"/>
    <w:tmpl w:val="CCB6FA24"/>
    <w:lvl w:ilvl="0" w:tplc="284AF69C">
      <w:start w:val="1"/>
      <w:numFmt w:val="decimal"/>
      <w:lvlText w:val="%1."/>
      <w:lvlJc w:val="left"/>
      <w:pPr>
        <w:ind w:left="501" w:hanging="360"/>
      </w:pPr>
      <w:rPr>
        <w:rFonts w:hint="default"/>
        <w:b w:val="0"/>
        <w:color w:val="auto"/>
        <w:sz w:val="22"/>
        <w:szCs w:val="22"/>
      </w:rPr>
    </w:lvl>
    <w:lvl w:ilvl="1" w:tplc="7868915C">
      <w:start w:val="1"/>
      <w:numFmt w:val="upperRoman"/>
      <w:lvlText w:val="%2."/>
      <w:lvlJc w:val="right"/>
      <w:pPr>
        <w:ind w:left="1440" w:hanging="360"/>
      </w:pPr>
    </w:lvl>
    <w:lvl w:ilvl="2" w:tplc="FCB071E0" w:tentative="1">
      <w:start w:val="1"/>
      <w:numFmt w:val="lowerRoman"/>
      <w:lvlText w:val="%3."/>
      <w:lvlJc w:val="right"/>
      <w:pPr>
        <w:ind w:left="2160" w:hanging="180"/>
      </w:pPr>
    </w:lvl>
    <w:lvl w:ilvl="3" w:tplc="34AC072E" w:tentative="1">
      <w:start w:val="1"/>
      <w:numFmt w:val="decimal"/>
      <w:lvlText w:val="%4."/>
      <w:lvlJc w:val="left"/>
      <w:pPr>
        <w:ind w:left="2880" w:hanging="360"/>
      </w:pPr>
    </w:lvl>
    <w:lvl w:ilvl="4" w:tplc="AABECDF2" w:tentative="1">
      <w:start w:val="1"/>
      <w:numFmt w:val="lowerLetter"/>
      <w:lvlText w:val="%5."/>
      <w:lvlJc w:val="left"/>
      <w:pPr>
        <w:ind w:left="3600" w:hanging="360"/>
      </w:pPr>
    </w:lvl>
    <w:lvl w:ilvl="5" w:tplc="734231D4" w:tentative="1">
      <w:start w:val="1"/>
      <w:numFmt w:val="lowerRoman"/>
      <w:lvlText w:val="%6."/>
      <w:lvlJc w:val="right"/>
      <w:pPr>
        <w:ind w:left="4320" w:hanging="180"/>
      </w:pPr>
    </w:lvl>
    <w:lvl w:ilvl="6" w:tplc="F4DAEC64" w:tentative="1">
      <w:start w:val="1"/>
      <w:numFmt w:val="decimal"/>
      <w:lvlText w:val="%7."/>
      <w:lvlJc w:val="left"/>
      <w:pPr>
        <w:ind w:left="5040" w:hanging="360"/>
      </w:pPr>
    </w:lvl>
    <w:lvl w:ilvl="7" w:tplc="3AB82A88" w:tentative="1">
      <w:start w:val="1"/>
      <w:numFmt w:val="lowerLetter"/>
      <w:lvlText w:val="%8."/>
      <w:lvlJc w:val="left"/>
      <w:pPr>
        <w:ind w:left="5760" w:hanging="360"/>
      </w:pPr>
    </w:lvl>
    <w:lvl w:ilvl="8" w:tplc="249487F6" w:tentative="1">
      <w:start w:val="1"/>
      <w:numFmt w:val="lowerRoman"/>
      <w:lvlText w:val="%9."/>
      <w:lvlJc w:val="right"/>
      <w:pPr>
        <w:ind w:left="6480" w:hanging="180"/>
      </w:pPr>
    </w:lvl>
  </w:abstractNum>
  <w:abstractNum w:abstractNumId="3" w15:restartNumberingAfterBreak="0">
    <w:nsid w:val="35D27825"/>
    <w:multiLevelType w:val="hybridMultilevel"/>
    <w:tmpl w:val="CCB6FA24"/>
    <w:lvl w:ilvl="0" w:tplc="284AF69C">
      <w:start w:val="1"/>
      <w:numFmt w:val="decimal"/>
      <w:lvlText w:val="%1."/>
      <w:lvlJc w:val="left"/>
      <w:pPr>
        <w:ind w:left="501" w:hanging="360"/>
      </w:pPr>
      <w:rPr>
        <w:rFonts w:hint="default"/>
        <w:b w:val="0"/>
        <w:color w:val="auto"/>
        <w:sz w:val="22"/>
        <w:szCs w:val="22"/>
      </w:rPr>
    </w:lvl>
    <w:lvl w:ilvl="1" w:tplc="7868915C">
      <w:start w:val="1"/>
      <w:numFmt w:val="upperRoman"/>
      <w:lvlText w:val="%2."/>
      <w:lvlJc w:val="right"/>
      <w:pPr>
        <w:ind w:left="1440" w:hanging="360"/>
      </w:pPr>
    </w:lvl>
    <w:lvl w:ilvl="2" w:tplc="FCB071E0" w:tentative="1">
      <w:start w:val="1"/>
      <w:numFmt w:val="lowerRoman"/>
      <w:lvlText w:val="%3."/>
      <w:lvlJc w:val="right"/>
      <w:pPr>
        <w:ind w:left="2160" w:hanging="180"/>
      </w:pPr>
    </w:lvl>
    <w:lvl w:ilvl="3" w:tplc="34AC072E" w:tentative="1">
      <w:start w:val="1"/>
      <w:numFmt w:val="decimal"/>
      <w:lvlText w:val="%4."/>
      <w:lvlJc w:val="left"/>
      <w:pPr>
        <w:ind w:left="2880" w:hanging="360"/>
      </w:pPr>
    </w:lvl>
    <w:lvl w:ilvl="4" w:tplc="AABECDF2" w:tentative="1">
      <w:start w:val="1"/>
      <w:numFmt w:val="lowerLetter"/>
      <w:lvlText w:val="%5."/>
      <w:lvlJc w:val="left"/>
      <w:pPr>
        <w:ind w:left="3600" w:hanging="360"/>
      </w:pPr>
    </w:lvl>
    <w:lvl w:ilvl="5" w:tplc="734231D4" w:tentative="1">
      <w:start w:val="1"/>
      <w:numFmt w:val="lowerRoman"/>
      <w:lvlText w:val="%6."/>
      <w:lvlJc w:val="right"/>
      <w:pPr>
        <w:ind w:left="4320" w:hanging="180"/>
      </w:pPr>
    </w:lvl>
    <w:lvl w:ilvl="6" w:tplc="F4DAEC64" w:tentative="1">
      <w:start w:val="1"/>
      <w:numFmt w:val="decimal"/>
      <w:lvlText w:val="%7."/>
      <w:lvlJc w:val="left"/>
      <w:pPr>
        <w:ind w:left="5040" w:hanging="360"/>
      </w:pPr>
    </w:lvl>
    <w:lvl w:ilvl="7" w:tplc="3AB82A88" w:tentative="1">
      <w:start w:val="1"/>
      <w:numFmt w:val="lowerLetter"/>
      <w:lvlText w:val="%8."/>
      <w:lvlJc w:val="left"/>
      <w:pPr>
        <w:ind w:left="5760" w:hanging="360"/>
      </w:pPr>
    </w:lvl>
    <w:lvl w:ilvl="8" w:tplc="249487F6" w:tentative="1">
      <w:start w:val="1"/>
      <w:numFmt w:val="lowerRoman"/>
      <w:lvlText w:val="%9."/>
      <w:lvlJc w:val="right"/>
      <w:pPr>
        <w:ind w:left="6480" w:hanging="180"/>
      </w:pPr>
    </w:lvl>
  </w:abstractNum>
  <w:abstractNum w:abstractNumId="4" w15:restartNumberingAfterBreak="0">
    <w:nsid w:val="4C924EA7"/>
    <w:multiLevelType w:val="hybridMultilevel"/>
    <w:tmpl w:val="A7B6A26C"/>
    <w:lvl w:ilvl="0" w:tplc="3FC281FE">
      <w:start w:val="1"/>
      <w:numFmt w:val="decimal"/>
      <w:lvlText w:val="%1."/>
      <w:lvlJc w:val="left"/>
      <w:pPr>
        <w:ind w:left="501" w:hanging="360"/>
      </w:pPr>
      <w:rPr>
        <w:rFonts w:asciiTheme="majorHAnsi" w:hAnsiTheme="majorHAnsi" w:cstheme="majorHAnsi" w:hint="default"/>
        <w:b w:val="0"/>
        <w:color w:val="auto"/>
        <w:sz w:val="22"/>
        <w:szCs w:val="22"/>
      </w:rPr>
    </w:lvl>
    <w:lvl w:ilvl="1" w:tplc="7868915C">
      <w:start w:val="1"/>
      <w:numFmt w:val="upperRoman"/>
      <w:lvlText w:val="%2."/>
      <w:lvlJc w:val="right"/>
      <w:pPr>
        <w:ind w:left="1440" w:hanging="360"/>
      </w:pPr>
    </w:lvl>
    <w:lvl w:ilvl="2" w:tplc="FCB071E0" w:tentative="1">
      <w:start w:val="1"/>
      <w:numFmt w:val="lowerRoman"/>
      <w:lvlText w:val="%3."/>
      <w:lvlJc w:val="right"/>
      <w:pPr>
        <w:ind w:left="2160" w:hanging="180"/>
      </w:pPr>
    </w:lvl>
    <w:lvl w:ilvl="3" w:tplc="34AC072E" w:tentative="1">
      <w:start w:val="1"/>
      <w:numFmt w:val="decimal"/>
      <w:lvlText w:val="%4."/>
      <w:lvlJc w:val="left"/>
      <w:pPr>
        <w:ind w:left="2880" w:hanging="360"/>
      </w:pPr>
    </w:lvl>
    <w:lvl w:ilvl="4" w:tplc="AABECDF2" w:tentative="1">
      <w:start w:val="1"/>
      <w:numFmt w:val="lowerLetter"/>
      <w:lvlText w:val="%5."/>
      <w:lvlJc w:val="left"/>
      <w:pPr>
        <w:ind w:left="3600" w:hanging="360"/>
      </w:pPr>
    </w:lvl>
    <w:lvl w:ilvl="5" w:tplc="734231D4" w:tentative="1">
      <w:start w:val="1"/>
      <w:numFmt w:val="lowerRoman"/>
      <w:lvlText w:val="%6."/>
      <w:lvlJc w:val="right"/>
      <w:pPr>
        <w:ind w:left="4320" w:hanging="180"/>
      </w:pPr>
    </w:lvl>
    <w:lvl w:ilvl="6" w:tplc="F4DAEC64" w:tentative="1">
      <w:start w:val="1"/>
      <w:numFmt w:val="decimal"/>
      <w:lvlText w:val="%7."/>
      <w:lvlJc w:val="left"/>
      <w:pPr>
        <w:ind w:left="5040" w:hanging="360"/>
      </w:pPr>
    </w:lvl>
    <w:lvl w:ilvl="7" w:tplc="3AB82A88" w:tentative="1">
      <w:start w:val="1"/>
      <w:numFmt w:val="lowerLetter"/>
      <w:lvlText w:val="%8."/>
      <w:lvlJc w:val="left"/>
      <w:pPr>
        <w:ind w:left="5760" w:hanging="360"/>
      </w:pPr>
    </w:lvl>
    <w:lvl w:ilvl="8" w:tplc="249487F6" w:tentative="1">
      <w:start w:val="1"/>
      <w:numFmt w:val="lowerRoman"/>
      <w:lvlText w:val="%9."/>
      <w:lvlJc w:val="right"/>
      <w:pPr>
        <w:ind w:left="6480" w:hanging="180"/>
      </w:pPr>
    </w:lvl>
  </w:abstractNum>
  <w:abstractNum w:abstractNumId="5" w15:restartNumberingAfterBreak="0">
    <w:nsid w:val="56523CEF"/>
    <w:multiLevelType w:val="hybridMultilevel"/>
    <w:tmpl w:val="24CC31F8"/>
    <w:lvl w:ilvl="0" w:tplc="3FC281FE">
      <w:start w:val="1"/>
      <w:numFmt w:val="decimal"/>
      <w:lvlText w:val="%1."/>
      <w:lvlJc w:val="left"/>
      <w:pPr>
        <w:ind w:left="501" w:hanging="360"/>
      </w:pPr>
      <w:rPr>
        <w:rFonts w:asciiTheme="majorHAnsi" w:hAnsiTheme="majorHAnsi" w:cstheme="majorHAnsi" w:hint="default"/>
        <w:b w:val="0"/>
        <w:color w:val="auto"/>
        <w:sz w:val="22"/>
        <w:szCs w:val="22"/>
      </w:rPr>
    </w:lvl>
    <w:lvl w:ilvl="1" w:tplc="7868915C">
      <w:start w:val="1"/>
      <w:numFmt w:val="upperRoman"/>
      <w:lvlText w:val="%2."/>
      <w:lvlJc w:val="right"/>
      <w:pPr>
        <w:ind w:left="1440" w:hanging="360"/>
      </w:pPr>
    </w:lvl>
    <w:lvl w:ilvl="2" w:tplc="FCB071E0" w:tentative="1">
      <w:start w:val="1"/>
      <w:numFmt w:val="lowerRoman"/>
      <w:lvlText w:val="%3."/>
      <w:lvlJc w:val="right"/>
      <w:pPr>
        <w:ind w:left="2160" w:hanging="180"/>
      </w:pPr>
    </w:lvl>
    <w:lvl w:ilvl="3" w:tplc="34AC072E" w:tentative="1">
      <w:start w:val="1"/>
      <w:numFmt w:val="decimal"/>
      <w:lvlText w:val="%4."/>
      <w:lvlJc w:val="left"/>
      <w:pPr>
        <w:ind w:left="2880" w:hanging="360"/>
      </w:pPr>
    </w:lvl>
    <w:lvl w:ilvl="4" w:tplc="AABECDF2" w:tentative="1">
      <w:start w:val="1"/>
      <w:numFmt w:val="lowerLetter"/>
      <w:lvlText w:val="%5."/>
      <w:lvlJc w:val="left"/>
      <w:pPr>
        <w:ind w:left="3600" w:hanging="360"/>
      </w:pPr>
    </w:lvl>
    <w:lvl w:ilvl="5" w:tplc="734231D4" w:tentative="1">
      <w:start w:val="1"/>
      <w:numFmt w:val="lowerRoman"/>
      <w:lvlText w:val="%6."/>
      <w:lvlJc w:val="right"/>
      <w:pPr>
        <w:ind w:left="4320" w:hanging="180"/>
      </w:pPr>
    </w:lvl>
    <w:lvl w:ilvl="6" w:tplc="F4DAEC64" w:tentative="1">
      <w:start w:val="1"/>
      <w:numFmt w:val="decimal"/>
      <w:lvlText w:val="%7."/>
      <w:lvlJc w:val="left"/>
      <w:pPr>
        <w:ind w:left="5040" w:hanging="360"/>
      </w:pPr>
    </w:lvl>
    <w:lvl w:ilvl="7" w:tplc="3AB82A88" w:tentative="1">
      <w:start w:val="1"/>
      <w:numFmt w:val="lowerLetter"/>
      <w:lvlText w:val="%8."/>
      <w:lvlJc w:val="left"/>
      <w:pPr>
        <w:ind w:left="5760" w:hanging="360"/>
      </w:pPr>
    </w:lvl>
    <w:lvl w:ilvl="8" w:tplc="249487F6" w:tentative="1">
      <w:start w:val="1"/>
      <w:numFmt w:val="lowerRoman"/>
      <w:lvlText w:val="%9."/>
      <w:lvlJc w:val="right"/>
      <w:pPr>
        <w:ind w:left="6480" w:hanging="180"/>
      </w:pPr>
    </w:lvl>
  </w:abstractNum>
  <w:abstractNum w:abstractNumId="6" w15:restartNumberingAfterBreak="0">
    <w:nsid w:val="6FF37D48"/>
    <w:multiLevelType w:val="hybridMultilevel"/>
    <w:tmpl w:val="24CC31F8"/>
    <w:lvl w:ilvl="0" w:tplc="3FC281FE">
      <w:start w:val="1"/>
      <w:numFmt w:val="decimal"/>
      <w:lvlText w:val="%1."/>
      <w:lvlJc w:val="left"/>
      <w:pPr>
        <w:ind w:left="501" w:hanging="360"/>
      </w:pPr>
      <w:rPr>
        <w:rFonts w:asciiTheme="majorHAnsi" w:hAnsiTheme="majorHAnsi" w:cstheme="majorHAnsi" w:hint="default"/>
        <w:b w:val="0"/>
        <w:color w:val="auto"/>
        <w:sz w:val="22"/>
        <w:szCs w:val="22"/>
      </w:rPr>
    </w:lvl>
    <w:lvl w:ilvl="1" w:tplc="7868915C">
      <w:start w:val="1"/>
      <w:numFmt w:val="upperRoman"/>
      <w:lvlText w:val="%2."/>
      <w:lvlJc w:val="right"/>
      <w:pPr>
        <w:ind w:left="1440" w:hanging="360"/>
      </w:pPr>
    </w:lvl>
    <w:lvl w:ilvl="2" w:tplc="FCB071E0" w:tentative="1">
      <w:start w:val="1"/>
      <w:numFmt w:val="lowerRoman"/>
      <w:lvlText w:val="%3."/>
      <w:lvlJc w:val="right"/>
      <w:pPr>
        <w:ind w:left="2160" w:hanging="180"/>
      </w:pPr>
    </w:lvl>
    <w:lvl w:ilvl="3" w:tplc="34AC072E" w:tentative="1">
      <w:start w:val="1"/>
      <w:numFmt w:val="decimal"/>
      <w:lvlText w:val="%4."/>
      <w:lvlJc w:val="left"/>
      <w:pPr>
        <w:ind w:left="2880" w:hanging="360"/>
      </w:pPr>
    </w:lvl>
    <w:lvl w:ilvl="4" w:tplc="AABECDF2" w:tentative="1">
      <w:start w:val="1"/>
      <w:numFmt w:val="lowerLetter"/>
      <w:lvlText w:val="%5."/>
      <w:lvlJc w:val="left"/>
      <w:pPr>
        <w:ind w:left="3600" w:hanging="360"/>
      </w:pPr>
    </w:lvl>
    <w:lvl w:ilvl="5" w:tplc="734231D4" w:tentative="1">
      <w:start w:val="1"/>
      <w:numFmt w:val="lowerRoman"/>
      <w:lvlText w:val="%6."/>
      <w:lvlJc w:val="right"/>
      <w:pPr>
        <w:ind w:left="4320" w:hanging="180"/>
      </w:pPr>
    </w:lvl>
    <w:lvl w:ilvl="6" w:tplc="F4DAEC64" w:tentative="1">
      <w:start w:val="1"/>
      <w:numFmt w:val="decimal"/>
      <w:lvlText w:val="%7."/>
      <w:lvlJc w:val="left"/>
      <w:pPr>
        <w:ind w:left="5040" w:hanging="360"/>
      </w:pPr>
    </w:lvl>
    <w:lvl w:ilvl="7" w:tplc="3AB82A88" w:tentative="1">
      <w:start w:val="1"/>
      <w:numFmt w:val="lowerLetter"/>
      <w:lvlText w:val="%8."/>
      <w:lvlJc w:val="left"/>
      <w:pPr>
        <w:ind w:left="5760" w:hanging="360"/>
      </w:pPr>
    </w:lvl>
    <w:lvl w:ilvl="8" w:tplc="249487F6" w:tentative="1">
      <w:start w:val="1"/>
      <w:numFmt w:val="lowerRoman"/>
      <w:lvlText w:val="%9."/>
      <w:lvlJc w:val="right"/>
      <w:pPr>
        <w:ind w:left="6480" w:hanging="180"/>
      </w:pPr>
    </w:lvl>
  </w:abstractNum>
  <w:abstractNum w:abstractNumId="7" w15:restartNumberingAfterBreak="0">
    <w:nsid w:val="72CD7A0B"/>
    <w:multiLevelType w:val="hybridMultilevel"/>
    <w:tmpl w:val="51C447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7"/>
  </w:num>
  <w:num w:numId="5">
    <w:abstractNumId w:val="5"/>
  </w:num>
  <w:num w:numId="6">
    <w:abstractNumId w:val="6"/>
  </w:num>
  <w:num w:numId="7">
    <w:abstractNumId w:val="3"/>
  </w:num>
  <w:num w:numId="8">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doNotTrackFormatting/>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235D"/>
    <w:rsid w:val="00003FE8"/>
    <w:rsid w:val="00006C86"/>
    <w:rsid w:val="00007E05"/>
    <w:rsid w:val="000102BC"/>
    <w:rsid w:val="00010FCD"/>
    <w:rsid w:val="00012067"/>
    <w:rsid w:val="0001327B"/>
    <w:rsid w:val="00013483"/>
    <w:rsid w:val="00014B69"/>
    <w:rsid w:val="00016F16"/>
    <w:rsid w:val="00020AA5"/>
    <w:rsid w:val="00020D6D"/>
    <w:rsid w:val="00020EDE"/>
    <w:rsid w:val="0002105C"/>
    <w:rsid w:val="00021648"/>
    <w:rsid w:val="00021759"/>
    <w:rsid w:val="00022B8C"/>
    <w:rsid w:val="000232AD"/>
    <w:rsid w:val="0002394F"/>
    <w:rsid w:val="00024322"/>
    <w:rsid w:val="00026096"/>
    <w:rsid w:val="00030418"/>
    <w:rsid w:val="00030ABB"/>
    <w:rsid w:val="0003119F"/>
    <w:rsid w:val="00032761"/>
    <w:rsid w:val="0003499C"/>
    <w:rsid w:val="00035455"/>
    <w:rsid w:val="0003595F"/>
    <w:rsid w:val="00035DB4"/>
    <w:rsid w:val="00036EAE"/>
    <w:rsid w:val="000404CB"/>
    <w:rsid w:val="0004175C"/>
    <w:rsid w:val="000422EC"/>
    <w:rsid w:val="0004267D"/>
    <w:rsid w:val="00042F68"/>
    <w:rsid w:val="00045075"/>
    <w:rsid w:val="00046E4B"/>
    <w:rsid w:val="00046FA1"/>
    <w:rsid w:val="0005349B"/>
    <w:rsid w:val="00053B4E"/>
    <w:rsid w:val="00053CCF"/>
    <w:rsid w:val="00054E10"/>
    <w:rsid w:val="000550B1"/>
    <w:rsid w:val="00055263"/>
    <w:rsid w:val="00060EB6"/>
    <w:rsid w:val="00062005"/>
    <w:rsid w:val="00062EA9"/>
    <w:rsid w:val="00064054"/>
    <w:rsid w:val="000646A1"/>
    <w:rsid w:val="00066244"/>
    <w:rsid w:val="0006628A"/>
    <w:rsid w:val="00066C35"/>
    <w:rsid w:val="000672FC"/>
    <w:rsid w:val="00067AD7"/>
    <w:rsid w:val="000710F5"/>
    <w:rsid w:val="00073B07"/>
    <w:rsid w:val="00073DA5"/>
    <w:rsid w:val="000750F6"/>
    <w:rsid w:val="000754D8"/>
    <w:rsid w:val="00076E22"/>
    <w:rsid w:val="000771F2"/>
    <w:rsid w:val="00077424"/>
    <w:rsid w:val="000807BA"/>
    <w:rsid w:val="00084E1B"/>
    <w:rsid w:val="000877A0"/>
    <w:rsid w:val="00094B1B"/>
    <w:rsid w:val="0009606F"/>
    <w:rsid w:val="00096AB9"/>
    <w:rsid w:val="00096D3E"/>
    <w:rsid w:val="000A1A6A"/>
    <w:rsid w:val="000A2F38"/>
    <w:rsid w:val="000A381B"/>
    <w:rsid w:val="000A3976"/>
    <w:rsid w:val="000A39A8"/>
    <w:rsid w:val="000A6BDE"/>
    <w:rsid w:val="000B0DD8"/>
    <w:rsid w:val="000B336B"/>
    <w:rsid w:val="000B35AC"/>
    <w:rsid w:val="000B52C5"/>
    <w:rsid w:val="000B6771"/>
    <w:rsid w:val="000B7ED8"/>
    <w:rsid w:val="000C0C77"/>
    <w:rsid w:val="000C11C3"/>
    <w:rsid w:val="000C3F3B"/>
    <w:rsid w:val="000C4454"/>
    <w:rsid w:val="000C73FB"/>
    <w:rsid w:val="000D1181"/>
    <w:rsid w:val="000D34C0"/>
    <w:rsid w:val="000D3D00"/>
    <w:rsid w:val="000D4BD3"/>
    <w:rsid w:val="000D54D7"/>
    <w:rsid w:val="000D73AF"/>
    <w:rsid w:val="000D7A41"/>
    <w:rsid w:val="000E0E8E"/>
    <w:rsid w:val="000E130E"/>
    <w:rsid w:val="000E20AA"/>
    <w:rsid w:val="000E269E"/>
    <w:rsid w:val="000E4121"/>
    <w:rsid w:val="000E494D"/>
    <w:rsid w:val="000E69F9"/>
    <w:rsid w:val="000E7427"/>
    <w:rsid w:val="000F2743"/>
    <w:rsid w:val="000F6067"/>
    <w:rsid w:val="000F6280"/>
    <w:rsid w:val="000F775A"/>
    <w:rsid w:val="00100165"/>
    <w:rsid w:val="00103F0A"/>
    <w:rsid w:val="00104D32"/>
    <w:rsid w:val="00105FD2"/>
    <w:rsid w:val="001107BE"/>
    <w:rsid w:val="00110E5C"/>
    <w:rsid w:val="00112044"/>
    <w:rsid w:val="001136A1"/>
    <w:rsid w:val="00113FB5"/>
    <w:rsid w:val="001144DA"/>
    <w:rsid w:val="00115183"/>
    <w:rsid w:val="001156F3"/>
    <w:rsid w:val="001203F8"/>
    <w:rsid w:val="001205E0"/>
    <w:rsid w:val="001209D5"/>
    <w:rsid w:val="00120E4B"/>
    <w:rsid w:val="001229FD"/>
    <w:rsid w:val="00123E0A"/>
    <w:rsid w:val="00124011"/>
    <w:rsid w:val="001245FE"/>
    <w:rsid w:val="00124E6B"/>
    <w:rsid w:val="001252FF"/>
    <w:rsid w:val="00127758"/>
    <w:rsid w:val="00130A57"/>
    <w:rsid w:val="0013323C"/>
    <w:rsid w:val="00134AE4"/>
    <w:rsid w:val="00137659"/>
    <w:rsid w:val="00140416"/>
    <w:rsid w:val="00140D0A"/>
    <w:rsid w:val="00140EA0"/>
    <w:rsid w:val="0014168B"/>
    <w:rsid w:val="00142ADE"/>
    <w:rsid w:val="001437AE"/>
    <w:rsid w:val="00145449"/>
    <w:rsid w:val="00145AB1"/>
    <w:rsid w:val="0014729C"/>
    <w:rsid w:val="001478D0"/>
    <w:rsid w:val="00147936"/>
    <w:rsid w:val="00150910"/>
    <w:rsid w:val="00152246"/>
    <w:rsid w:val="0015262A"/>
    <w:rsid w:val="001526D8"/>
    <w:rsid w:val="00152780"/>
    <w:rsid w:val="0015465F"/>
    <w:rsid w:val="001569E2"/>
    <w:rsid w:val="00157388"/>
    <w:rsid w:val="001602EA"/>
    <w:rsid w:val="0016115B"/>
    <w:rsid w:val="001631D6"/>
    <w:rsid w:val="00165903"/>
    <w:rsid w:val="00166998"/>
    <w:rsid w:val="001678A1"/>
    <w:rsid w:val="0017093F"/>
    <w:rsid w:val="00172298"/>
    <w:rsid w:val="00173D94"/>
    <w:rsid w:val="00180171"/>
    <w:rsid w:val="00180630"/>
    <w:rsid w:val="001833D3"/>
    <w:rsid w:val="001850CD"/>
    <w:rsid w:val="00186C39"/>
    <w:rsid w:val="00186E0F"/>
    <w:rsid w:val="0018703B"/>
    <w:rsid w:val="00187939"/>
    <w:rsid w:val="001904A2"/>
    <w:rsid w:val="00190585"/>
    <w:rsid w:val="0019073C"/>
    <w:rsid w:val="00192C8A"/>
    <w:rsid w:val="00194655"/>
    <w:rsid w:val="00194DEF"/>
    <w:rsid w:val="001956D5"/>
    <w:rsid w:val="00196C04"/>
    <w:rsid w:val="001A01D4"/>
    <w:rsid w:val="001A125A"/>
    <w:rsid w:val="001A24DD"/>
    <w:rsid w:val="001A3D6C"/>
    <w:rsid w:val="001A471C"/>
    <w:rsid w:val="001A6D3A"/>
    <w:rsid w:val="001A6E76"/>
    <w:rsid w:val="001A7D23"/>
    <w:rsid w:val="001B0430"/>
    <w:rsid w:val="001B0859"/>
    <w:rsid w:val="001B1630"/>
    <w:rsid w:val="001B2736"/>
    <w:rsid w:val="001B2920"/>
    <w:rsid w:val="001B31C9"/>
    <w:rsid w:val="001B3271"/>
    <w:rsid w:val="001B414C"/>
    <w:rsid w:val="001B4A86"/>
    <w:rsid w:val="001B57C1"/>
    <w:rsid w:val="001B604F"/>
    <w:rsid w:val="001B6E8C"/>
    <w:rsid w:val="001B6F64"/>
    <w:rsid w:val="001C3B4E"/>
    <w:rsid w:val="001C5DA9"/>
    <w:rsid w:val="001C6935"/>
    <w:rsid w:val="001C7022"/>
    <w:rsid w:val="001C7A7B"/>
    <w:rsid w:val="001D3B56"/>
    <w:rsid w:val="001D4C9B"/>
    <w:rsid w:val="001D5DF0"/>
    <w:rsid w:val="001D7C98"/>
    <w:rsid w:val="001D7CA4"/>
    <w:rsid w:val="001D7D09"/>
    <w:rsid w:val="001E28FC"/>
    <w:rsid w:val="001E29EC"/>
    <w:rsid w:val="001E4865"/>
    <w:rsid w:val="001E4F90"/>
    <w:rsid w:val="001E7F87"/>
    <w:rsid w:val="001F217E"/>
    <w:rsid w:val="001F3A95"/>
    <w:rsid w:val="001F4222"/>
    <w:rsid w:val="001F49BE"/>
    <w:rsid w:val="001F5611"/>
    <w:rsid w:val="001F6B89"/>
    <w:rsid w:val="001F6BE7"/>
    <w:rsid w:val="00200008"/>
    <w:rsid w:val="002006EB"/>
    <w:rsid w:val="00200D6D"/>
    <w:rsid w:val="00201EF0"/>
    <w:rsid w:val="002023FF"/>
    <w:rsid w:val="00202D4B"/>
    <w:rsid w:val="00203B1C"/>
    <w:rsid w:val="00203CC7"/>
    <w:rsid w:val="00204414"/>
    <w:rsid w:val="0020555F"/>
    <w:rsid w:val="00205A44"/>
    <w:rsid w:val="00207585"/>
    <w:rsid w:val="00207759"/>
    <w:rsid w:val="00207D32"/>
    <w:rsid w:val="0021069E"/>
    <w:rsid w:val="0021493C"/>
    <w:rsid w:val="00215087"/>
    <w:rsid w:val="002163B2"/>
    <w:rsid w:val="00217016"/>
    <w:rsid w:val="00217586"/>
    <w:rsid w:val="0022002E"/>
    <w:rsid w:val="002216B2"/>
    <w:rsid w:val="00221A62"/>
    <w:rsid w:val="00223E14"/>
    <w:rsid w:val="002246C5"/>
    <w:rsid w:val="00224930"/>
    <w:rsid w:val="002257D4"/>
    <w:rsid w:val="002266BD"/>
    <w:rsid w:val="002270D0"/>
    <w:rsid w:val="0023065A"/>
    <w:rsid w:val="00231FB5"/>
    <w:rsid w:val="00233F79"/>
    <w:rsid w:val="00235AB3"/>
    <w:rsid w:val="0023730F"/>
    <w:rsid w:val="002403EA"/>
    <w:rsid w:val="002410AC"/>
    <w:rsid w:val="0024293F"/>
    <w:rsid w:val="00243120"/>
    <w:rsid w:val="0024458F"/>
    <w:rsid w:val="002456CC"/>
    <w:rsid w:val="00245E3D"/>
    <w:rsid w:val="00246EE4"/>
    <w:rsid w:val="002472FE"/>
    <w:rsid w:val="00251417"/>
    <w:rsid w:val="00251AA9"/>
    <w:rsid w:val="00252685"/>
    <w:rsid w:val="00252736"/>
    <w:rsid w:val="00254317"/>
    <w:rsid w:val="002548BA"/>
    <w:rsid w:val="00255E7A"/>
    <w:rsid w:val="00256191"/>
    <w:rsid w:val="002561E3"/>
    <w:rsid w:val="00261B68"/>
    <w:rsid w:val="00263FCC"/>
    <w:rsid w:val="00265DE4"/>
    <w:rsid w:val="002676A3"/>
    <w:rsid w:val="00271113"/>
    <w:rsid w:val="002761B4"/>
    <w:rsid w:val="00276D92"/>
    <w:rsid w:val="00277058"/>
    <w:rsid w:val="00277589"/>
    <w:rsid w:val="00277C50"/>
    <w:rsid w:val="0028048A"/>
    <w:rsid w:val="00281BAA"/>
    <w:rsid w:val="0028215D"/>
    <w:rsid w:val="00282D1A"/>
    <w:rsid w:val="00284582"/>
    <w:rsid w:val="0028545F"/>
    <w:rsid w:val="002863FE"/>
    <w:rsid w:val="0028671A"/>
    <w:rsid w:val="00291D3E"/>
    <w:rsid w:val="00292250"/>
    <w:rsid w:val="0029371A"/>
    <w:rsid w:val="002937E6"/>
    <w:rsid w:val="00294627"/>
    <w:rsid w:val="0029491C"/>
    <w:rsid w:val="002A0B92"/>
    <w:rsid w:val="002A2949"/>
    <w:rsid w:val="002A3593"/>
    <w:rsid w:val="002A4A76"/>
    <w:rsid w:val="002A4C90"/>
    <w:rsid w:val="002A4CB4"/>
    <w:rsid w:val="002A7EB3"/>
    <w:rsid w:val="002B5F88"/>
    <w:rsid w:val="002B6989"/>
    <w:rsid w:val="002B74D7"/>
    <w:rsid w:val="002B7EA1"/>
    <w:rsid w:val="002C195D"/>
    <w:rsid w:val="002C2751"/>
    <w:rsid w:val="002C55F4"/>
    <w:rsid w:val="002C5FF0"/>
    <w:rsid w:val="002C75EF"/>
    <w:rsid w:val="002C7AB6"/>
    <w:rsid w:val="002D0965"/>
    <w:rsid w:val="002D0C3E"/>
    <w:rsid w:val="002D1B4D"/>
    <w:rsid w:val="002D264A"/>
    <w:rsid w:val="002D2776"/>
    <w:rsid w:val="002D367F"/>
    <w:rsid w:val="002D48B4"/>
    <w:rsid w:val="002D4DEE"/>
    <w:rsid w:val="002D58F9"/>
    <w:rsid w:val="002D7780"/>
    <w:rsid w:val="002D7792"/>
    <w:rsid w:val="002E0543"/>
    <w:rsid w:val="002E1F52"/>
    <w:rsid w:val="002E405E"/>
    <w:rsid w:val="002E7753"/>
    <w:rsid w:val="002E7E9F"/>
    <w:rsid w:val="002F0DDD"/>
    <w:rsid w:val="002F3388"/>
    <w:rsid w:val="002F36E6"/>
    <w:rsid w:val="002F5397"/>
    <w:rsid w:val="002F54AA"/>
    <w:rsid w:val="002F56FD"/>
    <w:rsid w:val="002F577C"/>
    <w:rsid w:val="002F69A0"/>
    <w:rsid w:val="0030093F"/>
    <w:rsid w:val="003023F6"/>
    <w:rsid w:val="003062A6"/>
    <w:rsid w:val="0030783C"/>
    <w:rsid w:val="00307BAF"/>
    <w:rsid w:val="00310276"/>
    <w:rsid w:val="00310FA0"/>
    <w:rsid w:val="003111FE"/>
    <w:rsid w:val="003116E5"/>
    <w:rsid w:val="003125C6"/>
    <w:rsid w:val="0031430D"/>
    <w:rsid w:val="00315D88"/>
    <w:rsid w:val="00320EC3"/>
    <w:rsid w:val="00321A78"/>
    <w:rsid w:val="00321FB1"/>
    <w:rsid w:val="0032270C"/>
    <w:rsid w:val="00323F61"/>
    <w:rsid w:val="003253DD"/>
    <w:rsid w:val="00327048"/>
    <w:rsid w:val="00333550"/>
    <w:rsid w:val="00333AA6"/>
    <w:rsid w:val="003346BF"/>
    <w:rsid w:val="00336871"/>
    <w:rsid w:val="00340AE6"/>
    <w:rsid w:val="003419BE"/>
    <w:rsid w:val="00343F8A"/>
    <w:rsid w:val="003441D8"/>
    <w:rsid w:val="0034716E"/>
    <w:rsid w:val="00347886"/>
    <w:rsid w:val="00350F16"/>
    <w:rsid w:val="00355DAF"/>
    <w:rsid w:val="0036132A"/>
    <w:rsid w:val="00361FEF"/>
    <w:rsid w:val="003637E8"/>
    <w:rsid w:val="00364CEA"/>
    <w:rsid w:val="003659B8"/>
    <w:rsid w:val="00365F03"/>
    <w:rsid w:val="0037045B"/>
    <w:rsid w:val="00371AB6"/>
    <w:rsid w:val="00371FC3"/>
    <w:rsid w:val="00372526"/>
    <w:rsid w:val="00374CBB"/>
    <w:rsid w:val="003763DE"/>
    <w:rsid w:val="003771D1"/>
    <w:rsid w:val="00382396"/>
    <w:rsid w:val="00382A23"/>
    <w:rsid w:val="00383F45"/>
    <w:rsid w:val="00383FA7"/>
    <w:rsid w:val="0038645B"/>
    <w:rsid w:val="00391325"/>
    <w:rsid w:val="003942D3"/>
    <w:rsid w:val="0039669E"/>
    <w:rsid w:val="00396B1D"/>
    <w:rsid w:val="003A44C3"/>
    <w:rsid w:val="003A4BBF"/>
    <w:rsid w:val="003A6B44"/>
    <w:rsid w:val="003A7716"/>
    <w:rsid w:val="003B04AD"/>
    <w:rsid w:val="003B0AED"/>
    <w:rsid w:val="003B2D8E"/>
    <w:rsid w:val="003B41E1"/>
    <w:rsid w:val="003B4F6E"/>
    <w:rsid w:val="003B7C8C"/>
    <w:rsid w:val="003C310B"/>
    <w:rsid w:val="003C5CF5"/>
    <w:rsid w:val="003C5DB7"/>
    <w:rsid w:val="003C5F1B"/>
    <w:rsid w:val="003C6006"/>
    <w:rsid w:val="003C78EA"/>
    <w:rsid w:val="003C7E50"/>
    <w:rsid w:val="003D1D6F"/>
    <w:rsid w:val="003D38D1"/>
    <w:rsid w:val="003D3AB3"/>
    <w:rsid w:val="003D3E3B"/>
    <w:rsid w:val="003D3EA0"/>
    <w:rsid w:val="003D5691"/>
    <w:rsid w:val="003D6425"/>
    <w:rsid w:val="003D6BBB"/>
    <w:rsid w:val="003D743C"/>
    <w:rsid w:val="003E156F"/>
    <w:rsid w:val="003E1F3F"/>
    <w:rsid w:val="003E23FF"/>
    <w:rsid w:val="003E2583"/>
    <w:rsid w:val="003E57F6"/>
    <w:rsid w:val="003E5BCD"/>
    <w:rsid w:val="003E6387"/>
    <w:rsid w:val="003E6463"/>
    <w:rsid w:val="003F09D1"/>
    <w:rsid w:val="003F1123"/>
    <w:rsid w:val="003F20D5"/>
    <w:rsid w:val="003F3E05"/>
    <w:rsid w:val="003F4097"/>
    <w:rsid w:val="003F4C80"/>
    <w:rsid w:val="003F5806"/>
    <w:rsid w:val="003F5D30"/>
    <w:rsid w:val="003F5D38"/>
    <w:rsid w:val="003F720D"/>
    <w:rsid w:val="004009B8"/>
    <w:rsid w:val="00400D51"/>
    <w:rsid w:val="00400DF9"/>
    <w:rsid w:val="00401A8A"/>
    <w:rsid w:val="00401A8D"/>
    <w:rsid w:val="00403851"/>
    <w:rsid w:val="00403CC3"/>
    <w:rsid w:val="00403CD3"/>
    <w:rsid w:val="004044CD"/>
    <w:rsid w:val="004052EC"/>
    <w:rsid w:val="00412CD4"/>
    <w:rsid w:val="00413281"/>
    <w:rsid w:val="0041328A"/>
    <w:rsid w:val="0041419A"/>
    <w:rsid w:val="00414F30"/>
    <w:rsid w:val="00417352"/>
    <w:rsid w:val="00417C92"/>
    <w:rsid w:val="00420337"/>
    <w:rsid w:val="0042083B"/>
    <w:rsid w:val="00421034"/>
    <w:rsid w:val="00423317"/>
    <w:rsid w:val="00425523"/>
    <w:rsid w:val="004261EE"/>
    <w:rsid w:val="00427380"/>
    <w:rsid w:val="00430C48"/>
    <w:rsid w:val="0043148A"/>
    <w:rsid w:val="00433EB1"/>
    <w:rsid w:val="00434007"/>
    <w:rsid w:val="00436706"/>
    <w:rsid w:val="00437DC2"/>
    <w:rsid w:val="00440A5E"/>
    <w:rsid w:val="00440D46"/>
    <w:rsid w:val="00441E80"/>
    <w:rsid w:val="00444C39"/>
    <w:rsid w:val="00445140"/>
    <w:rsid w:val="00445698"/>
    <w:rsid w:val="00451134"/>
    <w:rsid w:val="004516AB"/>
    <w:rsid w:val="004565BC"/>
    <w:rsid w:val="00456ADC"/>
    <w:rsid w:val="00457A78"/>
    <w:rsid w:val="00461BFA"/>
    <w:rsid w:val="00463BF7"/>
    <w:rsid w:val="00464063"/>
    <w:rsid w:val="0046475B"/>
    <w:rsid w:val="00464ED6"/>
    <w:rsid w:val="00464FB9"/>
    <w:rsid w:val="0047326C"/>
    <w:rsid w:val="004764F1"/>
    <w:rsid w:val="00476BCF"/>
    <w:rsid w:val="004771CD"/>
    <w:rsid w:val="004775BF"/>
    <w:rsid w:val="004809B5"/>
    <w:rsid w:val="004812DC"/>
    <w:rsid w:val="00483B14"/>
    <w:rsid w:val="00483BC7"/>
    <w:rsid w:val="004849B2"/>
    <w:rsid w:val="00485D42"/>
    <w:rsid w:val="004860CC"/>
    <w:rsid w:val="00486357"/>
    <w:rsid w:val="004878D7"/>
    <w:rsid w:val="00487B86"/>
    <w:rsid w:val="00487E69"/>
    <w:rsid w:val="004931B6"/>
    <w:rsid w:val="004933DF"/>
    <w:rsid w:val="00494B1B"/>
    <w:rsid w:val="00494BD4"/>
    <w:rsid w:val="00495720"/>
    <w:rsid w:val="0049682C"/>
    <w:rsid w:val="004973EF"/>
    <w:rsid w:val="004A0D67"/>
    <w:rsid w:val="004A0F3D"/>
    <w:rsid w:val="004A2A62"/>
    <w:rsid w:val="004A3975"/>
    <w:rsid w:val="004A72E1"/>
    <w:rsid w:val="004B0272"/>
    <w:rsid w:val="004B08D5"/>
    <w:rsid w:val="004B0DF7"/>
    <w:rsid w:val="004B14FF"/>
    <w:rsid w:val="004B310F"/>
    <w:rsid w:val="004B3823"/>
    <w:rsid w:val="004B4018"/>
    <w:rsid w:val="004B6BC7"/>
    <w:rsid w:val="004B72AE"/>
    <w:rsid w:val="004B7E12"/>
    <w:rsid w:val="004C01F4"/>
    <w:rsid w:val="004C1AEC"/>
    <w:rsid w:val="004C235D"/>
    <w:rsid w:val="004C2724"/>
    <w:rsid w:val="004C2C34"/>
    <w:rsid w:val="004C3392"/>
    <w:rsid w:val="004C580B"/>
    <w:rsid w:val="004C6820"/>
    <w:rsid w:val="004C694B"/>
    <w:rsid w:val="004C6F6F"/>
    <w:rsid w:val="004C7129"/>
    <w:rsid w:val="004D0D37"/>
    <w:rsid w:val="004D491E"/>
    <w:rsid w:val="004D65B2"/>
    <w:rsid w:val="004D71CB"/>
    <w:rsid w:val="004D77E6"/>
    <w:rsid w:val="004E0DF3"/>
    <w:rsid w:val="004E24B7"/>
    <w:rsid w:val="004E37DE"/>
    <w:rsid w:val="004E5A5F"/>
    <w:rsid w:val="004E6560"/>
    <w:rsid w:val="004E671A"/>
    <w:rsid w:val="004E6766"/>
    <w:rsid w:val="004F032F"/>
    <w:rsid w:val="004F16F4"/>
    <w:rsid w:val="004F2BCF"/>
    <w:rsid w:val="004F3037"/>
    <w:rsid w:val="004F422C"/>
    <w:rsid w:val="004F6E53"/>
    <w:rsid w:val="004F7576"/>
    <w:rsid w:val="004F7A09"/>
    <w:rsid w:val="004F7D52"/>
    <w:rsid w:val="0050147F"/>
    <w:rsid w:val="005046F4"/>
    <w:rsid w:val="00506DFC"/>
    <w:rsid w:val="005115A0"/>
    <w:rsid w:val="00511CCA"/>
    <w:rsid w:val="00512555"/>
    <w:rsid w:val="005138E9"/>
    <w:rsid w:val="005139B0"/>
    <w:rsid w:val="005162DF"/>
    <w:rsid w:val="005166BE"/>
    <w:rsid w:val="00517858"/>
    <w:rsid w:val="00520164"/>
    <w:rsid w:val="00522399"/>
    <w:rsid w:val="005233C5"/>
    <w:rsid w:val="0052539F"/>
    <w:rsid w:val="00525ABF"/>
    <w:rsid w:val="005260B7"/>
    <w:rsid w:val="005279DB"/>
    <w:rsid w:val="00531330"/>
    <w:rsid w:val="00533ED8"/>
    <w:rsid w:val="00540692"/>
    <w:rsid w:val="00541F17"/>
    <w:rsid w:val="0054748F"/>
    <w:rsid w:val="00550B27"/>
    <w:rsid w:val="00551730"/>
    <w:rsid w:val="005522F7"/>
    <w:rsid w:val="00553E7D"/>
    <w:rsid w:val="0055698E"/>
    <w:rsid w:val="005613FD"/>
    <w:rsid w:val="00563A13"/>
    <w:rsid w:val="005641A8"/>
    <w:rsid w:val="00565F60"/>
    <w:rsid w:val="00566B57"/>
    <w:rsid w:val="00571B6B"/>
    <w:rsid w:val="00571C26"/>
    <w:rsid w:val="00572836"/>
    <w:rsid w:val="00572F74"/>
    <w:rsid w:val="00572FC8"/>
    <w:rsid w:val="00573431"/>
    <w:rsid w:val="005810C2"/>
    <w:rsid w:val="0058112C"/>
    <w:rsid w:val="00581387"/>
    <w:rsid w:val="0058239F"/>
    <w:rsid w:val="0058329C"/>
    <w:rsid w:val="005834AA"/>
    <w:rsid w:val="00584080"/>
    <w:rsid w:val="00585FA5"/>
    <w:rsid w:val="00586AB1"/>
    <w:rsid w:val="0059009A"/>
    <w:rsid w:val="00591FBF"/>
    <w:rsid w:val="0059250C"/>
    <w:rsid w:val="00593D52"/>
    <w:rsid w:val="0059531F"/>
    <w:rsid w:val="005971E1"/>
    <w:rsid w:val="005A0ABA"/>
    <w:rsid w:val="005A106E"/>
    <w:rsid w:val="005A1501"/>
    <w:rsid w:val="005A1664"/>
    <w:rsid w:val="005A195D"/>
    <w:rsid w:val="005A6D32"/>
    <w:rsid w:val="005B1148"/>
    <w:rsid w:val="005B1C56"/>
    <w:rsid w:val="005B269C"/>
    <w:rsid w:val="005B33E5"/>
    <w:rsid w:val="005B4107"/>
    <w:rsid w:val="005B4B48"/>
    <w:rsid w:val="005B4CB5"/>
    <w:rsid w:val="005B638B"/>
    <w:rsid w:val="005B66BA"/>
    <w:rsid w:val="005B7050"/>
    <w:rsid w:val="005C0558"/>
    <w:rsid w:val="005C10F0"/>
    <w:rsid w:val="005C1543"/>
    <w:rsid w:val="005C29E7"/>
    <w:rsid w:val="005C3857"/>
    <w:rsid w:val="005C5D3E"/>
    <w:rsid w:val="005C7181"/>
    <w:rsid w:val="005C7312"/>
    <w:rsid w:val="005C760C"/>
    <w:rsid w:val="005C793C"/>
    <w:rsid w:val="005D0852"/>
    <w:rsid w:val="005D0C32"/>
    <w:rsid w:val="005D0CBC"/>
    <w:rsid w:val="005D2526"/>
    <w:rsid w:val="005D2EE2"/>
    <w:rsid w:val="005D310D"/>
    <w:rsid w:val="005D317D"/>
    <w:rsid w:val="005D31EF"/>
    <w:rsid w:val="005D39C6"/>
    <w:rsid w:val="005D5B68"/>
    <w:rsid w:val="005D63E4"/>
    <w:rsid w:val="005D737C"/>
    <w:rsid w:val="005E3D05"/>
    <w:rsid w:val="005E5089"/>
    <w:rsid w:val="005E57A3"/>
    <w:rsid w:val="005E5D3E"/>
    <w:rsid w:val="005F1C34"/>
    <w:rsid w:val="005F2F35"/>
    <w:rsid w:val="005F3802"/>
    <w:rsid w:val="005F3841"/>
    <w:rsid w:val="005F4112"/>
    <w:rsid w:val="005F799C"/>
    <w:rsid w:val="006016B3"/>
    <w:rsid w:val="00601A92"/>
    <w:rsid w:val="0060247A"/>
    <w:rsid w:val="00604521"/>
    <w:rsid w:val="00604FCB"/>
    <w:rsid w:val="00620143"/>
    <w:rsid w:val="006204B9"/>
    <w:rsid w:val="006221DB"/>
    <w:rsid w:val="00623AAE"/>
    <w:rsid w:val="00624458"/>
    <w:rsid w:val="00625313"/>
    <w:rsid w:val="00630385"/>
    <w:rsid w:val="00631C06"/>
    <w:rsid w:val="006324C4"/>
    <w:rsid w:val="00632907"/>
    <w:rsid w:val="00633E2B"/>
    <w:rsid w:val="00635796"/>
    <w:rsid w:val="00641710"/>
    <w:rsid w:val="006433EF"/>
    <w:rsid w:val="0064497C"/>
    <w:rsid w:val="00644F51"/>
    <w:rsid w:val="00646706"/>
    <w:rsid w:val="006471F4"/>
    <w:rsid w:val="00647D08"/>
    <w:rsid w:val="00647FFE"/>
    <w:rsid w:val="00650814"/>
    <w:rsid w:val="0065393F"/>
    <w:rsid w:val="006540F4"/>
    <w:rsid w:val="006547D5"/>
    <w:rsid w:val="0065725D"/>
    <w:rsid w:val="00657603"/>
    <w:rsid w:val="00657A92"/>
    <w:rsid w:val="00660570"/>
    <w:rsid w:val="006719F3"/>
    <w:rsid w:val="006721E8"/>
    <w:rsid w:val="00673E84"/>
    <w:rsid w:val="006757DB"/>
    <w:rsid w:val="00680330"/>
    <w:rsid w:val="006806C5"/>
    <w:rsid w:val="00682B4F"/>
    <w:rsid w:val="006836FF"/>
    <w:rsid w:val="0068404A"/>
    <w:rsid w:val="0068423D"/>
    <w:rsid w:val="00686574"/>
    <w:rsid w:val="0068665F"/>
    <w:rsid w:val="00691421"/>
    <w:rsid w:val="006916AD"/>
    <w:rsid w:val="00691712"/>
    <w:rsid w:val="00693270"/>
    <w:rsid w:val="00693793"/>
    <w:rsid w:val="00694F8E"/>
    <w:rsid w:val="0069511B"/>
    <w:rsid w:val="00695C60"/>
    <w:rsid w:val="00695D07"/>
    <w:rsid w:val="006971C5"/>
    <w:rsid w:val="00697E88"/>
    <w:rsid w:val="006A0D8A"/>
    <w:rsid w:val="006A1897"/>
    <w:rsid w:val="006A1F33"/>
    <w:rsid w:val="006A294E"/>
    <w:rsid w:val="006A2A19"/>
    <w:rsid w:val="006A40E9"/>
    <w:rsid w:val="006A4447"/>
    <w:rsid w:val="006A4934"/>
    <w:rsid w:val="006A6626"/>
    <w:rsid w:val="006A796E"/>
    <w:rsid w:val="006B00C3"/>
    <w:rsid w:val="006B0A79"/>
    <w:rsid w:val="006B0FA6"/>
    <w:rsid w:val="006B150B"/>
    <w:rsid w:val="006B1A19"/>
    <w:rsid w:val="006B3B2A"/>
    <w:rsid w:val="006B4B15"/>
    <w:rsid w:val="006B65C2"/>
    <w:rsid w:val="006C067C"/>
    <w:rsid w:val="006C0F36"/>
    <w:rsid w:val="006C1C48"/>
    <w:rsid w:val="006C3A44"/>
    <w:rsid w:val="006C7692"/>
    <w:rsid w:val="006C7C46"/>
    <w:rsid w:val="006D02A5"/>
    <w:rsid w:val="006D0EE8"/>
    <w:rsid w:val="006D0F38"/>
    <w:rsid w:val="006E0496"/>
    <w:rsid w:val="006E05FD"/>
    <w:rsid w:val="006E0D2B"/>
    <w:rsid w:val="006E1804"/>
    <w:rsid w:val="006E2FD2"/>
    <w:rsid w:val="006E3856"/>
    <w:rsid w:val="006E3A35"/>
    <w:rsid w:val="006E4ADB"/>
    <w:rsid w:val="006E52D8"/>
    <w:rsid w:val="006E6CEA"/>
    <w:rsid w:val="006E7A51"/>
    <w:rsid w:val="006F13D7"/>
    <w:rsid w:val="006F2C34"/>
    <w:rsid w:val="006F32FA"/>
    <w:rsid w:val="006F4697"/>
    <w:rsid w:val="006F50A7"/>
    <w:rsid w:val="006F50B8"/>
    <w:rsid w:val="006F7D0B"/>
    <w:rsid w:val="007003AB"/>
    <w:rsid w:val="007013CA"/>
    <w:rsid w:val="00704FA0"/>
    <w:rsid w:val="00705F21"/>
    <w:rsid w:val="00706FCB"/>
    <w:rsid w:val="00707B56"/>
    <w:rsid w:val="00711618"/>
    <w:rsid w:val="00711AC1"/>
    <w:rsid w:val="00712217"/>
    <w:rsid w:val="00715A0E"/>
    <w:rsid w:val="007169D3"/>
    <w:rsid w:val="00717EDF"/>
    <w:rsid w:val="00720D76"/>
    <w:rsid w:val="007216BD"/>
    <w:rsid w:val="00721C14"/>
    <w:rsid w:val="0072211D"/>
    <w:rsid w:val="00727A0D"/>
    <w:rsid w:val="00727B1C"/>
    <w:rsid w:val="00731370"/>
    <w:rsid w:val="0073184C"/>
    <w:rsid w:val="00731886"/>
    <w:rsid w:val="00732C50"/>
    <w:rsid w:val="00735328"/>
    <w:rsid w:val="00736768"/>
    <w:rsid w:val="00740B07"/>
    <w:rsid w:val="007410E0"/>
    <w:rsid w:val="00741D1A"/>
    <w:rsid w:val="00744630"/>
    <w:rsid w:val="007455A4"/>
    <w:rsid w:val="007520AD"/>
    <w:rsid w:val="00755688"/>
    <w:rsid w:val="00755872"/>
    <w:rsid w:val="00755B83"/>
    <w:rsid w:val="00757947"/>
    <w:rsid w:val="00757E4D"/>
    <w:rsid w:val="00760219"/>
    <w:rsid w:val="00762827"/>
    <w:rsid w:val="00763619"/>
    <w:rsid w:val="00764504"/>
    <w:rsid w:val="00764B9D"/>
    <w:rsid w:val="00765230"/>
    <w:rsid w:val="00765940"/>
    <w:rsid w:val="00766A40"/>
    <w:rsid w:val="00770665"/>
    <w:rsid w:val="00770707"/>
    <w:rsid w:val="00772838"/>
    <w:rsid w:val="00772C8D"/>
    <w:rsid w:val="007734B1"/>
    <w:rsid w:val="00774F73"/>
    <w:rsid w:val="00776741"/>
    <w:rsid w:val="00780C2D"/>
    <w:rsid w:val="00781E04"/>
    <w:rsid w:val="007822B0"/>
    <w:rsid w:val="00782B47"/>
    <w:rsid w:val="00783545"/>
    <w:rsid w:val="0078426F"/>
    <w:rsid w:val="007842C1"/>
    <w:rsid w:val="007848CD"/>
    <w:rsid w:val="0078569F"/>
    <w:rsid w:val="007858C3"/>
    <w:rsid w:val="0078738B"/>
    <w:rsid w:val="00787F24"/>
    <w:rsid w:val="00790C61"/>
    <w:rsid w:val="007920BE"/>
    <w:rsid w:val="0079321A"/>
    <w:rsid w:val="007943C1"/>
    <w:rsid w:val="0079546E"/>
    <w:rsid w:val="00797520"/>
    <w:rsid w:val="00797ACA"/>
    <w:rsid w:val="007A18CB"/>
    <w:rsid w:val="007A2588"/>
    <w:rsid w:val="007A2825"/>
    <w:rsid w:val="007A4A23"/>
    <w:rsid w:val="007A5C7B"/>
    <w:rsid w:val="007B0FDF"/>
    <w:rsid w:val="007B216B"/>
    <w:rsid w:val="007B3D06"/>
    <w:rsid w:val="007B3E03"/>
    <w:rsid w:val="007C012F"/>
    <w:rsid w:val="007C01F5"/>
    <w:rsid w:val="007C28D7"/>
    <w:rsid w:val="007C38E6"/>
    <w:rsid w:val="007C66BF"/>
    <w:rsid w:val="007D1417"/>
    <w:rsid w:val="007D2387"/>
    <w:rsid w:val="007D3FB2"/>
    <w:rsid w:val="007D62AC"/>
    <w:rsid w:val="007D6986"/>
    <w:rsid w:val="007D72FA"/>
    <w:rsid w:val="007E0036"/>
    <w:rsid w:val="007E0CA3"/>
    <w:rsid w:val="007E124A"/>
    <w:rsid w:val="007E1356"/>
    <w:rsid w:val="007E5136"/>
    <w:rsid w:val="007E551D"/>
    <w:rsid w:val="007E69DE"/>
    <w:rsid w:val="007E7495"/>
    <w:rsid w:val="007F047D"/>
    <w:rsid w:val="007F24D4"/>
    <w:rsid w:val="007F3345"/>
    <w:rsid w:val="007F3585"/>
    <w:rsid w:val="007F394F"/>
    <w:rsid w:val="007F4633"/>
    <w:rsid w:val="007F5EC7"/>
    <w:rsid w:val="007F6D3E"/>
    <w:rsid w:val="007F7BF5"/>
    <w:rsid w:val="00801AD6"/>
    <w:rsid w:val="00802274"/>
    <w:rsid w:val="00802B83"/>
    <w:rsid w:val="0080543A"/>
    <w:rsid w:val="00806894"/>
    <w:rsid w:val="00807371"/>
    <w:rsid w:val="008109D5"/>
    <w:rsid w:val="00812383"/>
    <w:rsid w:val="00812B0D"/>
    <w:rsid w:val="00813682"/>
    <w:rsid w:val="00813D58"/>
    <w:rsid w:val="00814A44"/>
    <w:rsid w:val="00814C87"/>
    <w:rsid w:val="00815947"/>
    <w:rsid w:val="00820777"/>
    <w:rsid w:val="0082171D"/>
    <w:rsid w:val="0082282A"/>
    <w:rsid w:val="008229D3"/>
    <w:rsid w:val="00824677"/>
    <w:rsid w:val="008254A5"/>
    <w:rsid w:val="00825990"/>
    <w:rsid w:val="00827356"/>
    <w:rsid w:val="00831B34"/>
    <w:rsid w:val="00833614"/>
    <w:rsid w:val="008363D6"/>
    <w:rsid w:val="008417CB"/>
    <w:rsid w:val="0084402A"/>
    <w:rsid w:val="008459A4"/>
    <w:rsid w:val="00847937"/>
    <w:rsid w:val="008500B0"/>
    <w:rsid w:val="00854135"/>
    <w:rsid w:val="00856A99"/>
    <w:rsid w:val="00860D82"/>
    <w:rsid w:val="008610C9"/>
    <w:rsid w:val="00861C86"/>
    <w:rsid w:val="00866463"/>
    <w:rsid w:val="00870432"/>
    <w:rsid w:val="008720A5"/>
    <w:rsid w:val="00872E17"/>
    <w:rsid w:val="00873B54"/>
    <w:rsid w:val="00873C73"/>
    <w:rsid w:val="00876733"/>
    <w:rsid w:val="00876D0B"/>
    <w:rsid w:val="0087769E"/>
    <w:rsid w:val="00877BEF"/>
    <w:rsid w:val="00880363"/>
    <w:rsid w:val="008846FC"/>
    <w:rsid w:val="008914D7"/>
    <w:rsid w:val="00892488"/>
    <w:rsid w:val="00893FE4"/>
    <w:rsid w:val="00894308"/>
    <w:rsid w:val="00895C3E"/>
    <w:rsid w:val="0089707E"/>
    <w:rsid w:val="008A1E8F"/>
    <w:rsid w:val="008A2F3A"/>
    <w:rsid w:val="008A6739"/>
    <w:rsid w:val="008A750C"/>
    <w:rsid w:val="008B0117"/>
    <w:rsid w:val="008B02BA"/>
    <w:rsid w:val="008B0EED"/>
    <w:rsid w:val="008B199C"/>
    <w:rsid w:val="008B3C84"/>
    <w:rsid w:val="008B74FE"/>
    <w:rsid w:val="008C345D"/>
    <w:rsid w:val="008C3BDB"/>
    <w:rsid w:val="008C4300"/>
    <w:rsid w:val="008C6203"/>
    <w:rsid w:val="008C699D"/>
    <w:rsid w:val="008C7663"/>
    <w:rsid w:val="008C7C1C"/>
    <w:rsid w:val="008D140A"/>
    <w:rsid w:val="008D216C"/>
    <w:rsid w:val="008D25BE"/>
    <w:rsid w:val="008D3872"/>
    <w:rsid w:val="008D543C"/>
    <w:rsid w:val="008D54A4"/>
    <w:rsid w:val="008D57DA"/>
    <w:rsid w:val="008D69F4"/>
    <w:rsid w:val="008E08A0"/>
    <w:rsid w:val="008E1512"/>
    <w:rsid w:val="008E312F"/>
    <w:rsid w:val="008F2361"/>
    <w:rsid w:val="008F2CCD"/>
    <w:rsid w:val="008F468B"/>
    <w:rsid w:val="008F527B"/>
    <w:rsid w:val="008F5862"/>
    <w:rsid w:val="008F6B0F"/>
    <w:rsid w:val="008F781A"/>
    <w:rsid w:val="008F7D7E"/>
    <w:rsid w:val="0090011E"/>
    <w:rsid w:val="00900896"/>
    <w:rsid w:val="00902A27"/>
    <w:rsid w:val="0090425A"/>
    <w:rsid w:val="009052BE"/>
    <w:rsid w:val="0091009E"/>
    <w:rsid w:val="00910C34"/>
    <w:rsid w:val="009115B1"/>
    <w:rsid w:val="00913418"/>
    <w:rsid w:val="00916214"/>
    <w:rsid w:val="009167F3"/>
    <w:rsid w:val="0091714B"/>
    <w:rsid w:val="009213EF"/>
    <w:rsid w:val="00922D2E"/>
    <w:rsid w:val="00922F0A"/>
    <w:rsid w:val="00923EBB"/>
    <w:rsid w:val="00923F7C"/>
    <w:rsid w:val="0092410C"/>
    <w:rsid w:val="00924675"/>
    <w:rsid w:val="00924C2A"/>
    <w:rsid w:val="00927AA8"/>
    <w:rsid w:val="00930129"/>
    <w:rsid w:val="00931199"/>
    <w:rsid w:val="00931856"/>
    <w:rsid w:val="00931E2C"/>
    <w:rsid w:val="0093368F"/>
    <w:rsid w:val="00934E30"/>
    <w:rsid w:val="00940C99"/>
    <w:rsid w:val="009417A5"/>
    <w:rsid w:val="0094249E"/>
    <w:rsid w:val="00942A7D"/>
    <w:rsid w:val="009435AC"/>
    <w:rsid w:val="009441D5"/>
    <w:rsid w:val="00945916"/>
    <w:rsid w:val="00945E4A"/>
    <w:rsid w:val="009468F0"/>
    <w:rsid w:val="00947C76"/>
    <w:rsid w:val="00950A88"/>
    <w:rsid w:val="009510AA"/>
    <w:rsid w:val="0095268E"/>
    <w:rsid w:val="00952C5A"/>
    <w:rsid w:val="00952CB1"/>
    <w:rsid w:val="009530D4"/>
    <w:rsid w:val="00953810"/>
    <w:rsid w:val="009558C5"/>
    <w:rsid w:val="00955EB9"/>
    <w:rsid w:val="00956A52"/>
    <w:rsid w:val="00957561"/>
    <w:rsid w:val="0095784C"/>
    <w:rsid w:val="00957D28"/>
    <w:rsid w:val="00960F45"/>
    <w:rsid w:val="00962264"/>
    <w:rsid w:val="0096226B"/>
    <w:rsid w:val="009643D7"/>
    <w:rsid w:val="00964437"/>
    <w:rsid w:val="0096515D"/>
    <w:rsid w:val="00965FF7"/>
    <w:rsid w:val="00966922"/>
    <w:rsid w:val="009669DB"/>
    <w:rsid w:val="00967DEE"/>
    <w:rsid w:val="00970353"/>
    <w:rsid w:val="00970F78"/>
    <w:rsid w:val="0097240B"/>
    <w:rsid w:val="009725C0"/>
    <w:rsid w:val="009739B0"/>
    <w:rsid w:val="009741A7"/>
    <w:rsid w:val="0097611D"/>
    <w:rsid w:val="00976597"/>
    <w:rsid w:val="00976886"/>
    <w:rsid w:val="00980022"/>
    <w:rsid w:val="0098053E"/>
    <w:rsid w:val="009805C4"/>
    <w:rsid w:val="00980CA0"/>
    <w:rsid w:val="00981E01"/>
    <w:rsid w:val="00983EB0"/>
    <w:rsid w:val="009843F5"/>
    <w:rsid w:val="00990051"/>
    <w:rsid w:val="0099310C"/>
    <w:rsid w:val="00993540"/>
    <w:rsid w:val="009949DA"/>
    <w:rsid w:val="00994D90"/>
    <w:rsid w:val="00995F72"/>
    <w:rsid w:val="009A1F54"/>
    <w:rsid w:val="009A3446"/>
    <w:rsid w:val="009A3A91"/>
    <w:rsid w:val="009A49F7"/>
    <w:rsid w:val="009A65D9"/>
    <w:rsid w:val="009A687C"/>
    <w:rsid w:val="009B08BE"/>
    <w:rsid w:val="009B0C01"/>
    <w:rsid w:val="009B1D7A"/>
    <w:rsid w:val="009B30D3"/>
    <w:rsid w:val="009B47F3"/>
    <w:rsid w:val="009B5BB4"/>
    <w:rsid w:val="009B5CDE"/>
    <w:rsid w:val="009B62E4"/>
    <w:rsid w:val="009C12EF"/>
    <w:rsid w:val="009C1FF3"/>
    <w:rsid w:val="009C223D"/>
    <w:rsid w:val="009C4060"/>
    <w:rsid w:val="009D0643"/>
    <w:rsid w:val="009D1E4C"/>
    <w:rsid w:val="009D3672"/>
    <w:rsid w:val="009D38D3"/>
    <w:rsid w:val="009D494D"/>
    <w:rsid w:val="009D4FE5"/>
    <w:rsid w:val="009D5E57"/>
    <w:rsid w:val="009D5EC9"/>
    <w:rsid w:val="009E41C7"/>
    <w:rsid w:val="009E47E5"/>
    <w:rsid w:val="009E50C3"/>
    <w:rsid w:val="009E6961"/>
    <w:rsid w:val="009E6DD9"/>
    <w:rsid w:val="009F0B85"/>
    <w:rsid w:val="009F162D"/>
    <w:rsid w:val="009F1C7F"/>
    <w:rsid w:val="009F1CCF"/>
    <w:rsid w:val="009F2366"/>
    <w:rsid w:val="009F2AE8"/>
    <w:rsid w:val="009F2C70"/>
    <w:rsid w:val="009F4C33"/>
    <w:rsid w:val="009F6501"/>
    <w:rsid w:val="00A01F00"/>
    <w:rsid w:val="00A022E6"/>
    <w:rsid w:val="00A0273F"/>
    <w:rsid w:val="00A048D5"/>
    <w:rsid w:val="00A049E3"/>
    <w:rsid w:val="00A0630A"/>
    <w:rsid w:val="00A0638B"/>
    <w:rsid w:val="00A06582"/>
    <w:rsid w:val="00A1374D"/>
    <w:rsid w:val="00A13E0B"/>
    <w:rsid w:val="00A14B75"/>
    <w:rsid w:val="00A170A0"/>
    <w:rsid w:val="00A211D8"/>
    <w:rsid w:val="00A214B2"/>
    <w:rsid w:val="00A2339A"/>
    <w:rsid w:val="00A24795"/>
    <w:rsid w:val="00A25D70"/>
    <w:rsid w:val="00A27695"/>
    <w:rsid w:val="00A344BC"/>
    <w:rsid w:val="00A360F5"/>
    <w:rsid w:val="00A37D44"/>
    <w:rsid w:val="00A37FA5"/>
    <w:rsid w:val="00A4018E"/>
    <w:rsid w:val="00A44E71"/>
    <w:rsid w:val="00A45B89"/>
    <w:rsid w:val="00A4700A"/>
    <w:rsid w:val="00A50BB9"/>
    <w:rsid w:val="00A51D29"/>
    <w:rsid w:val="00A51D49"/>
    <w:rsid w:val="00A52616"/>
    <w:rsid w:val="00A52EB9"/>
    <w:rsid w:val="00A53979"/>
    <w:rsid w:val="00A53BE4"/>
    <w:rsid w:val="00A53C96"/>
    <w:rsid w:val="00A5412D"/>
    <w:rsid w:val="00A54B3A"/>
    <w:rsid w:val="00A55748"/>
    <w:rsid w:val="00A60532"/>
    <w:rsid w:val="00A6075D"/>
    <w:rsid w:val="00A60C90"/>
    <w:rsid w:val="00A62A19"/>
    <w:rsid w:val="00A633C3"/>
    <w:rsid w:val="00A63A64"/>
    <w:rsid w:val="00A63D78"/>
    <w:rsid w:val="00A64469"/>
    <w:rsid w:val="00A65956"/>
    <w:rsid w:val="00A67777"/>
    <w:rsid w:val="00A719BD"/>
    <w:rsid w:val="00A7295F"/>
    <w:rsid w:val="00A7511C"/>
    <w:rsid w:val="00A75663"/>
    <w:rsid w:val="00A767BA"/>
    <w:rsid w:val="00A80D80"/>
    <w:rsid w:val="00A82DDB"/>
    <w:rsid w:val="00A837BF"/>
    <w:rsid w:val="00A84B04"/>
    <w:rsid w:val="00A84F9B"/>
    <w:rsid w:val="00A854B3"/>
    <w:rsid w:val="00A861FE"/>
    <w:rsid w:val="00A87689"/>
    <w:rsid w:val="00A87B23"/>
    <w:rsid w:val="00AA0871"/>
    <w:rsid w:val="00AA1842"/>
    <w:rsid w:val="00AA2789"/>
    <w:rsid w:val="00AA34B0"/>
    <w:rsid w:val="00AA4551"/>
    <w:rsid w:val="00AA6C74"/>
    <w:rsid w:val="00AA7164"/>
    <w:rsid w:val="00AA792B"/>
    <w:rsid w:val="00AB0C73"/>
    <w:rsid w:val="00AB2346"/>
    <w:rsid w:val="00AB3B74"/>
    <w:rsid w:val="00AB4CF8"/>
    <w:rsid w:val="00AB65A4"/>
    <w:rsid w:val="00AB7C45"/>
    <w:rsid w:val="00AC09D6"/>
    <w:rsid w:val="00AC13BB"/>
    <w:rsid w:val="00AC2713"/>
    <w:rsid w:val="00AC2D21"/>
    <w:rsid w:val="00AC312A"/>
    <w:rsid w:val="00AC3A36"/>
    <w:rsid w:val="00AC413D"/>
    <w:rsid w:val="00AC55C7"/>
    <w:rsid w:val="00AD10A0"/>
    <w:rsid w:val="00AD2624"/>
    <w:rsid w:val="00AD2997"/>
    <w:rsid w:val="00AD5DF4"/>
    <w:rsid w:val="00AD6496"/>
    <w:rsid w:val="00AD6927"/>
    <w:rsid w:val="00AD6F40"/>
    <w:rsid w:val="00AD77EE"/>
    <w:rsid w:val="00AE0308"/>
    <w:rsid w:val="00AE0696"/>
    <w:rsid w:val="00AE080A"/>
    <w:rsid w:val="00AE24E5"/>
    <w:rsid w:val="00AE347B"/>
    <w:rsid w:val="00AE357C"/>
    <w:rsid w:val="00AE4FE0"/>
    <w:rsid w:val="00AE70D7"/>
    <w:rsid w:val="00AE7EDB"/>
    <w:rsid w:val="00AF1406"/>
    <w:rsid w:val="00AF34BD"/>
    <w:rsid w:val="00AF39B6"/>
    <w:rsid w:val="00AF5396"/>
    <w:rsid w:val="00AF5755"/>
    <w:rsid w:val="00AF7572"/>
    <w:rsid w:val="00AF79DE"/>
    <w:rsid w:val="00AF7C0E"/>
    <w:rsid w:val="00B011B0"/>
    <w:rsid w:val="00B01C6E"/>
    <w:rsid w:val="00B01CD8"/>
    <w:rsid w:val="00B04866"/>
    <w:rsid w:val="00B05E34"/>
    <w:rsid w:val="00B0703A"/>
    <w:rsid w:val="00B07888"/>
    <w:rsid w:val="00B10026"/>
    <w:rsid w:val="00B116FD"/>
    <w:rsid w:val="00B136E1"/>
    <w:rsid w:val="00B17572"/>
    <w:rsid w:val="00B20B3D"/>
    <w:rsid w:val="00B24066"/>
    <w:rsid w:val="00B254A7"/>
    <w:rsid w:val="00B26851"/>
    <w:rsid w:val="00B26CA1"/>
    <w:rsid w:val="00B271C8"/>
    <w:rsid w:val="00B27686"/>
    <w:rsid w:val="00B31682"/>
    <w:rsid w:val="00B32AE6"/>
    <w:rsid w:val="00B330BA"/>
    <w:rsid w:val="00B34C06"/>
    <w:rsid w:val="00B34F1A"/>
    <w:rsid w:val="00B353E5"/>
    <w:rsid w:val="00B365A0"/>
    <w:rsid w:val="00B4099E"/>
    <w:rsid w:val="00B40A9A"/>
    <w:rsid w:val="00B429D0"/>
    <w:rsid w:val="00B42EFE"/>
    <w:rsid w:val="00B45378"/>
    <w:rsid w:val="00B47C95"/>
    <w:rsid w:val="00B51A32"/>
    <w:rsid w:val="00B51CF8"/>
    <w:rsid w:val="00B5323A"/>
    <w:rsid w:val="00B606E2"/>
    <w:rsid w:val="00B617B5"/>
    <w:rsid w:val="00B62404"/>
    <w:rsid w:val="00B63977"/>
    <w:rsid w:val="00B64FA8"/>
    <w:rsid w:val="00B65B57"/>
    <w:rsid w:val="00B72488"/>
    <w:rsid w:val="00B728D7"/>
    <w:rsid w:val="00B72D56"/>
    <w:rsid w:val="00B752CA"/>
    <w:rsid w:val="00B763AE"/>
    <w:rsid w:val="00B76ED6"/>
    <w:rsid w:val="00B77494"/>
    <w:rsid w:val="00B81CAE"/>
    <w:rsid w:val="00B8253C"/>
    <w:rsid w:val="00B82C8D"/>
    <w:rsid w:val="00B83DCE"/>
    <w:rsid w:val="00B8608C"/>
    <w:rsid w:val="00B87B70"/>
    <w:rsid w:val="00B94FD7"/>
    <w:rsid w:val="00B9635E"/>
    <w:rsid w:val="00B96DC5"/>
    <w:rsid w:val="00B97111"/>
    <w:rsid w:val="00BA0F1E"/>
    <w:rsid w:val="00BA27CD"/>
    <w:rsid w:val="00BA2D93"/>
    <w:rsid w:val="00BA501C"/>
    <w:rsid w:val="00BA6E08"/>
    <w:rsid w:val="00BA7BF2"/>
    <w:rsid w:val="00BA7D4A"/>
    <w:rsid w:val="00BB07F4"/>
    <w:rsid w:val="00BB2F42"/>
    <w:rsid w:val="00BB66E1"/>
    <w:rsid w:val="00BB7F1C"/>
    <w:rsid w:val="00BC026B"/>
    <w:rsid w:val="00BC09B4"/>
    <w:rsid w:val="00BC168F"/>
    <w:rsid w:val="00BC1737"/>
    <w:rsid w:val="00BC2472"/>
    <w:rsid w:val="00BC2543"/>
    <w:rsid w:val="00BC5576"/>
    <w:rsid w:val="00BC5F0E"/>
    <w:rsid w:val="00BC73AF"/>
    <w:rsid w:val="00BC7455"/>
    <w:rsid w:val="00BC78A6"/>
    <w:rsid w:val="00BC7D66"/>
    <w:rsid w:val="00BD33B3"/>
    <w:rsid w:val="00BD3BB1"/>
    <w:rsid w:val="00BD43E8"/>
    <w:rsid w:val="00BD4689"/>
    <w:rsid w:val="00BD49D2"/>
    <w:rsid w:val="00BD5AA9"/>
    <w:rsid w:val="00BD743E"/>
    <w:rsid w:val="00BD74E1"/>
    <w:rsid w:val="00BE0580"/>
    <w:rsid w:val="00BE091E"/>
    <w:rsid w:val="00BE1052"/>
    <w:rsid w:val="00BE10C6"/>
    <w:rsid w:val="00BE27D7"/>
    <w:rsid w:val="00BE3C93"/>
    <w:rsid w:val="00BE4028"/>
    <w:rsid w:val="00BF24BF"/>
    <w:rsid w:val="00BF25FE"/>
    <w:rsid w:val="00BF29E3"/>
    <w:rsid w:val="00BF5BCD"/>
    <w:rsid w:val="00BF5DC1"/>
    <w:rsid w:val="00BF63F7"/>
    <w:rsid w:val="00BF74C0"/>
    <w:rsid w:val="00BF7D99"/>
    <w:rsid w:val="00C000D9"/>
    <w:rsid w:val="00C014BC"/>
    <w:rsid w:val="00C031C5"/>
    <w:rsid w:val="00C0394C"/>
    <w:rsid w:val="00C0394D"/>
    <w:rsid w:val="00C05C60"/>
    <w:rsid w:val="00C07934"/>
    <w:rsid w:val="00C10C58"/>
    <w:rsid w:val="00C14E9F"/>
    <w:rsid w:val="00C1636A"/>
    <w:rsid w:val="00C204E2"/>
    <w:rsid w:val="00C21F10"/>
    <w:rsid w:val="00C23A1B"/>
    <w:rsid w:val="00C24C4B"/>
    <w:rsid w:val="00C26D6F"/>
    <w:rsid w:val="00C270EA"/>
    <w:rsid w:val="00C31103"/>
    <w:rsid w:val="00C31938"/>
    <w:rsid w:val="00C32134"/>
    <w:rsid w:val="00C34B94"/>
    <w:rsid w:val="00C3578B"/>
    <w:rsid w:val="00C364C5"/>
    <w:rsid w:val="00C364D1"/>
    <w:rsid w:val="00C3790E"/>
    <w:rsid w:val="00C40C79"/>
    <w:rsid w:val="00C41DA7"/>
    <w:rsid w:val="00C42133"/>
    <w:rsid w:val="00C42B42"/>
    <w:rsid w:val="00C4382A"/>
    <w:rsid w:val="00C44C00"/>
    <w:rsid w:val="00C45539"/>
    <w:rsid w:val="00C45D80"/>
    <w:rsid w:val="00C45E93"/>
    <w:rsid w:val="00C4743E"/>
    <w:rsid w:val="00C478DC"/>
    <w:rsid w:val="00C47958"/>
    <w:rsid w:val="00C5008D"/>
    <w:rsid w:val="00C51D98"/>
    <w:rsid w:val="00C521E7"/>
    <w:rsid w:val="00C52EBA"/>
    <w:rsid w:val="00C53D6B"/>
    <w:rsid w:val="00C55549"/>
    <w:rsid w:val="00C55C2D"/>
    <w:rsid w:val="00C56F82"/>
    <w:rsid w:val="00C57414"/>
    <w:rsid w:val="00C60794"/>
    <w:rsid w:val="00C61300"/>
    <w:rsid w:val="00C61FD2"/>
    <w:rsid w:val="00C64BBA"/>
    <w:rsid w:val="00C65726"/>
    <w:rsid w:val="00C65D09"/>
    <w:rsid w:val="00C66F20"/>
    <w:rsid w:val="00C725DF"/>
    <w:rsid w:val="00C73E0B"/>
    <w:rsid w:val="00C7557D"/>
    <w:rsid w:val="00C76B50"/>
    <w:rsid w:val="00C80660"/>
    <w:rsid w:val="00C8117F"/>
    <w:rsid w:val="00C81E00"/>
    <w:rsid w:val="00C82E7E"/>
    <w:rsid w:val="00C857F6"/>
    <w:rsid w:val="00C90B86"/>
    <w:rsid w:val="00C91E34"/>
    <w:rsid w:val="00C9342D"/>
    <w:rsid w:val="00C975F2"/>
    <w:rsid w:val="00C97CC1"/>
    <w:rsid w:val="00CA0E1E"/>
    <w:rsid w:val="00CA1B8D"/>
    <w:rsid w:val="00CA3BA9"/>
    <w:rsid w:val="00CA4F68"/>
    <w:rsid w:val="00CA7CFD"/>
    <w:rsid w:val="00CA7FE8"/>
    <w:rsid w:val="00CB0C06"/>
    <w:rsid w:val="00CB1C19"/>
    <w:rsid w:val="00CB1CCB"/>
    <w:rsid w:val="00CB30E2"/>
    <w:rsid w:val="00CB6AD0"/>
    <w:rsid w:val="00CB76DC"/>
    <w:rsid w:val="00CB772B"/>
    <w:rsid w:val="00CB7A8E"/>
    <w:rsid w:val="00CC0381"/>
    <w:rsid w:val="00CC0A05"/>
    <w:rsid w:val="00CC0A68"/>
    <w:rsid w:val="00CC43E8"/>
    <w:rsid w:val="00CC5325"/>
    <w:rsid w:val="00CC5532"/>
    <w:rsid w:val="00CC7970"/>
    <w:rsid w:val="00CD04F0"/>
    <w:rsid w:val="00CD07DC"/>
    <w:rsid w:val="00CD0AE8"/>
    <w:rsid w:val="00CD0E59"/>
    <w:rsid w:val="00CD25DA"/>
    <w:rsid w:val="00CD4218"/>
    <w:rsid w:val="00CE13F6"/>
    <w:rsid w:val="00CE24FE"/>
    <w:rsid w:val="00CE28BB"/>
    <w:rsid w:val="00CE7A79"/>
    <w:rsid w:val="00CF3D68"/>
    <w:rsid w:val="00CF441B"/>
    <w:rsid w:val="00CF67CB"/>
    <w:rsid w:val="00CF7C7C"/>
    <w:rsid w:val="00D00897"/>
    <w:rsid w:val="00D00A96"/>
    <w:rsid w:val="00D01602"/>
    <w:rsid w:val="00D01641"/>
    <w:rsid w:val="00D04034"/>
    <w:rsid w:val="00D0481F"/>
    <w:rsid w:val="00D04AB1"/>
    <w:rsid w:val="00D05293"/>
    <w:rsid w:val="00D07519"/>
    <w:rsid w:val="00D075C4"/>
    <w:rsid w:val="00D07775"/>
    <w:rsid w:val="00D10331"/>
    <w:rsid w:val="00D1121A"/>
    <w:rsid w:val="00D12AB6"/>
    <w:rsid w:val="00D132AE"/>
    <w:rsid w:val="00D13345"/>
    <w:rsid w:val="00D15B68"/>
    <w:rsid w:val="00D2089C"/>
    <w:rsid w:val="00D2092F"/>
    <w:rsid w:val="00D26F90"/>
    <w:rsid w:val="00D27699"/>
    <w:rsid w:val="00D3040D"/>
    <w:rsid w:val="00D308C8"/>
    <w:rsid w:val="00D32AB3"/>
    <w:rsid w:val="00D33278"/>
    <w:rsid w:val="00D3569B"/>
    <w:rsid w:val="00D358D2"/>
    <w:rsid w:val="00D36CF5"/>
    <w:rsid w:val="00D3720E"/>
    <w:rsid w:val="00D3766F"/>
    <w:rsid w:val="00D43F4E"/>
    <w:rsid w:val="00D440B4"/>
    <w:rsid w:val="00D44A80"/>
    <w:rsid w:val="00D45923"/>
    <w:rsid w:val="00D46448"/>
    <w:rsid w:val="00D46C17"/>
    <w:rsid w:val="00D512F0"/>
    <w:rsid w:val="00D51728"/>
    <w:rsid w:val="00D518F7"/>
    <w:rsid w:val="00D51D29"/>
    <w:rsid w:val="00D54A98"/>
    <w:rsid w:val="00D556B4"/>
    <w:rsid w:val="00D5713D"/>
    <w:rsid w:val="00D572D2"/>
    <w:rsid w:val="00D57330"/>
    <w:rsid w:val="00D5763D"/>
    <w:rsid w:val="00D576EC"/>
    <w:rsid w:val="00D60666"/>
    <w:rsid w:val="00D60A8D"/>
    <w:rsid w:val="00D61BFC"/>
    <w:rsid w:val="00D627F0"/>
    <w:rsid w:val="00D62EB3"/>
    <w:rsid w:val="00D63B25"/>
    <w:rsid w:val="00D6451C"/>
    <w:rsid w:val="00D67A57"/>
    <w:rsid w:val="00D67E6E"/>
    <w:rsid w:val="00D70599"/>
    <w:rsid w:val="00D709FD"/>
    <w:rsid w:val="00D7113B"/>
    <w:rsid w:val="00D72EE9"/>
    <w:rsid w:val="00D73D32"/>
    <w:rsid w:val="00D77850"/>
    <w:rsid w:val="00D77A48"/>
    <w:rsid w:val="00D81CEC"/>
    <w:rsid w:val="00D82E81"/>
    <w:rsid w:val="00D845AB"/>
    <w:rsid w:val="00D8586D"/>
    <w:rsid w:val="00D85E6B"/>
    <w:rsid w:val="00D875C1"/>
    <w:rsid w:val="00D8792B"/>
    <w:rsid w:val="00D879A8"/>
    <w:rsid w:val="00D9465D"/>
    <w:rsid w:val="00D95DCA"/>
    <w:rsid w:val="00D9664E"/>
    <w:rsid w:val="00D968E5"/>
    <w:rsid w:val="00DA0A7B"/>
    <w:rsid w:val="00DA0F40"/>
    <w:rsid w:val="00DA25FC"/>
    <w:rsid w:val="00DA2F2D"/>
    <w:rsid w:val="00DA39F6"/>
    <w:rsid w:val="00DA69D0"/>
    <w:rsid w:val="00DA69F1"/>
    <w:rsid w:val="00DA6FC8"/>
    <w:rsid w:val="00DB1415"/>
    <w:rsid w:val="00DB1D4B"/>
    <w:rsid w:val="00DB3E3D"/>
    <w:rsid w:val="00DB5D6E"/>
    <w:rsid w:val="00DB5F7F"/>
    <w:rsid w:val="00DB6718"/>
    <w:rsid w:val="00DB778B"/>
    <w:rsid w:val="00DC16A5"/>
    <w:rsid w:val="00DC46D2"/>
    <w:rsid w:val="00DD2955"/>
    <w:rsid w:val="00DD37A0"/>
    <w:rsid w:val="00DD3B37"/>
    <w:rsid w:val="00DD4880"/>
    <w:rsid w:val="00DE011E"/>
    <w:rsid w:val="00DE169F"/>
    <w:rsid w:val="00DE37D5"/>
    <w:rsid w:val="00DE3ED1"/>
    <w:rsid w:val="00DE4AB6"/>
    <w:rsid w:val="00DE5FCE"/>
    <w:rsid w:val="00DE6FA3"/>
    <w:rsid w:val="00DE71DC"/>
    <w:rsid w:val="00DF073D"/>
    <w:rsid w:val="00DF0A11"/>
    <w:rsid w:val="00DF0AAF"/>
    <w:rsid w:val="00DF0D94"/>
    <w:rsid w:val="00DF1671"/>
    <w:rsid w:val="00DF1E38"/>
    <w:rsid w:val="00DF2403"/>
    <w:rsid w:val="00DF26F4"/>
    <w:rsid w:val="00DF3485"/>
    <w:rsid w:val="00DF6F5F"/>
    <w:rsid w:val="00DF7645"/>
    <w:rsid w:val="00E00F92"/>
    <w:rsid w:val="00E0140D"/>
    <w:rsid w:val="00E023C9"/>
    <w:rsid w:val="00E02824"/>
    <w:rsid w:val="00E0378E"/>
    <w:rsid w:val="00E04BDB"/>
    <w:rsid w:val="00E05CAE"/>
    <w:rsid w:val="00E061E0"/>
    <w:rsid w:val="00E06B40"/>
    <w:rsid w:val="00E076E3"/>
    <w:rsid w:val="00E07B19"/>
    <w:rsid w:val="00E1093C"/>
    <w:rsid w:val="00E10D1D"/>
    <w:rsid w:val="00E134CD"/>
    <w:rsid w:val="00E14CA6"/>
    <w:rsid w:val="00E14E43"/>
    <w:rsid w:val="00E20581"/>
    <w:rsid w:val="00E22355"/>
    <w:rsid w:val="00E235BB"/>
    <w:rsid w:val="00E250EB"/>
    <w:rsid w:val="00E2651E"/>
    <w:rsid w:val="00E27088"/>
    <w:rsid w:val="00E31848"/>
    <w:rsid w:val="00E319AB"/>
    <w:rsid w:val="00E328E5"/>
    <w:rsid w:val="00E32E52"/>
    <w:rsid w:val="00E33BE7"/>
    <w:rsid w:val="00E345D1"/>
    <w:rsid w:val="00E34C91"/>
    <w:rsid w:val="00E361A1"/>
    <w:rsid w:val="00E36208"/>
    <w:rsid w:val="00E4074F"/>
    <w:rsid w:val="00E40FAA"/>
    <w:rsid w:val="00E41432"/>
    <w:rsid w:val="00E418FE"/>
    <w:rsid w:val="00E425F5"/>
    <w:rsid w:val="00E42A5C"/>
    <w:rsid w:val="00E43ED1"/>
    <w:rsid w:val="00E44A8F"/>
    <w:rsid w:val="00E4519F"/>
    <w:rsid w:val="00E46133"/>
    <w:rsid w:val="00E469D5"/>
    <w:rsid w:val="00E51CD6"/>
    <w:rsid w:val="00E529A7"/>
    <w:rsid w:val="00E5360A"/>
    <w:rsid w:val="00E53E65"/>
    <w:rsid w:val="00E53F6A"/>
    <w:rsid w:val="00E549FC"/>
    <w:rsid w:val="00E55E47"/>
    <w:rsid w:val="00E565F2"/>
    <w:rsid w:val="00E577AD"/>
    <w:rsid w:val="00E61966"/>
    <w:rsid w:val="00E658C0"/>
    <w:rsid w:val="00E661F6"/>
    <w:rsid w:val="00E71A82"/>
    <w:rsid w:val="00E7268D"/>
    <w:rsid w:val="00E72965"/>
    <w:rsid w:val="00E737A2"/>
    <w:rsid w:val="00E73A06"/>
    <w:rsid w:val="00E756D7"/>
    <w:rsid w:val="00E77668"/>
    <w:rsid w:val="00E80533"/>
    <w:rsid w:val="00E80DC1"/>
    <w:rsid w:val="00E819A7"/>
    <w:rsid w:val="00E854F4"/>
    <w:rsid w:val="00E85754"/>
    <w:rsid w:val="00E866F3"/>
    <w:rsid w:val="00E875C1"/>
    <w:rsid w:val="00E95243"/>
    <w:rsid w:val="00E95F8C"/>
    <w:rsid w:val="00E964F1"/>
    <w:rsid w:val="00E97B87"/>
    <w:rsid w:val="00E97EC6"/>
    <w:rsid w:val="00EA1AA2"/>
    <w:rsid w:val="00EA2CA4"/>
    <w:rsid w:val="00EA5347"/>
    <w:rsid w:val="00EA5D9E"/>
    <w:rsid w:val="00EB0DF6"/>
    <w:rsid w:val="00EB2CE5"/>
    <w:rsid w:val="00EB3303"/>
    <w:rsid w:val="00EB5347"/>
    <w:rsid w:val="00EB5A46"/>
    <w:rsid w:val="00EB66E8"/>
    <w:rsid w:val="00EC10EC"/>
    <w:rsid w:val="00EC3844"/>
    <w:rsid w:val="00EC3D3C"/>
    <w:rsid w:val="00EC4E16"/>
    <w:rsid w:val="00EC553E"/>
    <w:rsid w:val="00EC59F7"/>
    <w:rsid w:val="00EC6774"/>
    <w:rsid w:val="00ED035F"/>
    <w:rsid w:val="00ED0AC5"/>
    <w:rsid w:val="00ED0EA1"/>
    <w:rsid w:val="00ED0F7E"/>
    <w:rsid w:val="00ED1740"/>
    <w:rsid w:val="00ED22D8"/>
    <w:rsid w:val="00ED3174"/>
    <w:rsid w:val="00ED5869"/>
    <w:rsid w:val="00ED7232"/>
    <w:rsid w:val="00ED7DC7"/>
    <w:rsid w:val="00EE0448"/>
    <w:rsid w:val="00EE1C82"/>
    <w:rsid w:val="00EE3C84"/>
    <w:rsid w:val="00EE6416"/>
    <w:rsid w:val="00EE7163"/>
    <w:rsid w:val="00EE758D"/>
    <w:rsid w:val="00EE777A"/>
    <w:rsid w:val="00EF295B"/>
    <w:rsid w:val="00EF340F"/>
    <w:rsid w:val="00EF5E3C"/>
    <w:rsid w:val="00EF6295"/>
    <w:rsid w:val="00F01BFE"/>
    <w:rsid w:val="00F01F5E"/>
    <w:rsid w:val="00F02F1A"/>
    <w:rsid w:val="00F120B8"/>
    <w:rsid w:val="00F1325E"/>
    <w:rsid w:val="00F13869"/>
    <w:rsid w:val="00F141EF"/>
    <w:rsid w:val="00F14B00"/>
    <w:rsid w:val="00F2100F"/>
    <w:rsid w:val="00F22678"/>
    <w:rsid w:val="00F22E4A"/>
    <w:rsid w:val="00F22FE6"/>
    <w:rsid w:val="00F2419E"/>
    <w:rsid w:val="00F2464F"/>
    <w:rsid w:val="00F24878"/>
    <w:rsid w:val="00F24CDC"/>
    <w:rsid w:val="00F24CF5"/>
    <w:rsid w:val="00F25263"/>
    <w:rsid w:val="00F27500"/>
    <w:rsid w:val="00F317A5"/>
    <w:rsid w:val="00F31E95"/>
    <w:rsid w:val="00F3201C"/>
    <w:rsid w:val="00F32B95"/>
    <w:rsid w:val="00F32DD1"/>
    <w:rsid w:val="00F33805"/>
    <w:rsid w:val="00F34584"/>
    <w:rsid w:val="00F35207"/>
    <w:rsid w:val="00F36D5A"/>
    <w:rsid w:val="00F37CAF"/>
    <w:rsid w:val="00F407EC"/>
    <w:rsid w:val="00F40C7B"/>
    <w:rsid w:val="00F40F5D"/>
    <w:rsid w:val="00F418D2"/>
    <w:rsid w:val="00F41A1E"/>
    <w:rsid w:val="00F42A11"/>
    <w:rsid w:val="00F432E3"/>
    <w:rsid w:val="00F432ED"/>
    <w:rsid w:val="00F51480"/>
    <w:rsid w:val="00F54697"/>
    <w:rsid w:val="00F561F8"/>
    <w:rsid w:val="00F56D5C"/>
    <w:rsid w:val="00F57225"/>
    <w:rsid w:val="00F575A9"/>
    <w:rsid w:val="00F57AC5"/>
    <w:rsid w:val="00F620FB"/>
    <w:rsid w:val="00F62D0D"/>
    <w:rsid w:val="00F70729"/>
    <w:rsid w:val="00F7133F"/>
    <w:rsid w:val="00F7207A"/>
    <w:rsid w:val="00F7216F"/>
    <w:rsid w:val="00F730E3"/>
    <w:rsid w:val="00F73964"/>
    <w:rsid w:val="00F740B5"/>
    <w:rsid w:val="00F7609F"/>
    <w:rsid w:val="00F810DC"/>
    <w:rsid w:val="00F8128C"/>
    <w:rsid w:val="00F81646"/>
    <w:rsid w:val="00F842FC"/>
    <w:rsid w:val="00F84406"/>
    <w:rsid w:val="00F846AA"/>
    <w:rsid w:val="00F85939"/>
    <w:rsid w:val="00F86A3B"/>
    <w:rsid w:val="00F9000F"/>
    <w:rsid w:val="00F90CEA"/>
    <w:rsid w:val="00F90F00"/>
    <w:rsid w:val="00F9148B"/>
    <w:rsid w:val="00F916BC"/>
    <w:rsid w:val="00F93FFC"/>
    <w:rsid w:val="00F95325"/>
    <w:rsid w:val="00F95699"/>
    <w:rsid w:val="00F96525"/>
    <w:rsid w:val="00F96809"/>
    <w:rsid w:val="00F97172"/>
    <w:rsid w:val="00F97740"/>
    <w:rsid w:val="00F9777F"/>
    <w:rsid w:val="00FA61F3"/>
    <w:rsid w:val="00FA6782"/>
    <w:rsid w:val="00FA6A06"/>
    <w:rsid w:val="00FA7932"/>
    <w:rsid w:val="00FB2676"/>
    <w:rsid w:val="00FB37B8"/>
    <w:rsid w:val="00FB41A7"/>
    <w:rsid w:val="00FB4CF0"/>
    <w:rsid w:val="00FB64E3"/>
    <w:rsid w:val="00FB699B"/>
    <w:rsid w:val="00FB6B5F"/>
    <w:rsid w:val="00FC0959"/>
    <w:rsid w:val="00FC2E63"/>
    <w:rsid w:val="00FC4D9A"/>
    <w:rsid w:val="00FC5129"/>
    <w:rsid w:val="00FC6B18"/>
    <w:rsid w:val="00FC6B6C"/>
    <w:rsid w:val="00FC70FC"/>
    <w:rsid w:val="00FD0967"/>
    <w:rsid w:val="00FD0A72"/>
    <w:rsid w:val="00FD459B"/>
    <w:rsid w:val="00FD7B46"/>
    <w:rsid w:val="00FE01EC"/>
    <w:rsid w:val="00FE40C2"/>
    <w:rsid w:val="00FE4849"/>
    <w:rsid w:val="00FE50B5"/>
    <w:rsid w:val="00FE5E6C"/>
    <w:rsid w:val="00FE6A9A"/>
    <w:rsid w:val="00FE6E12"/>
    <w:rsid w:val="00FF08AC"/>
    <w:rsid w:val="00FF1191"/>
    <w:rsid w:val="00FF1D6D"/>
    <w:rsid w:val="00FF2544"/>
    <w:rsid w:val="00FF2AE4"/>
    <w:rsid w:val="00FF5CD2"/>
    <w:rsid w:val="00FF78A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72A7FD"/>
  <w15:docId w15:val="{ED37A9DA-41DF-4184-ACA0-6AFED01A4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nhideWhenUsed="1"/>
  </w:latentStyles>
  <w:style w:type="paragraph" w:default="1" w:styleId="Normal">
    <w:name w:val="Normal"/>
    <w:qFormat/>
    <w:rsid w:val="00024322"/>
    <w:rPr>
      <w:lang w:val="en-GB"/>
    </w:rPr>
  </w:style>
  <w:style w:type="paragraph" w:styleId="Heading2">
    <w:name w:val="heading 2"/>
    <w:basedOn w:val="Normal"/>
    <w:next w:val="Normal"/>
    <w:link w:val="Heading2Char"/>
    <w:uiPriority w:val="9"/>
    <w:unhideWhenUsed/>
    <w:qFormat/>
    <w:rsid w:val="00B26851"/>
    <w:pPr>
      <w:keepNext/>
      <w:keepLines/>
      <w:spacing w:before="40"/>
      <w:outlineLvl w:val="1"/>
    </w:pPr>
    <w:rPr>
      <w:rFonts w:asciiTheme="majorHAnsi" w:eastAsiaTheme="majorEastAsia" w:hAnsiTheme="majorHAnsi" w:cstheme="majorBidi"/>
      <w:color w:val="1E1052"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01E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01EE"/>
    <w:rPr>
      <w:rFonts w:ascii="Lucida Grande" w:hAnsi="Lucida Grande" w:cs="Lucida Grande"/>
      <w:sz w:val="18"/>
      <w:szCs w:val="18"/>
    </w:rPr>
  </w:style>
  <w:style w:type="paragraph" w:styleId="Footer">
    <w:name w:val="footer"/>
    <w:basedOn w:val="Normal"/>
    <w:link w:val="FooterChar"/>
    <w:uiPriority w:val="99"/>
    <w:unhideWhenUsed/>
    <w:rsid w:val="00BD1075"/>
    <w:pPr>
      <w:tabs>
        <w:tab w:val="center" w:pos="4320"/>
        <w:tab w:val="right" w:pos="8640"/>
      </w:tabs>
    </w:pPr>
  </w:style>
  <w:style w:type="character" w:customStyle="1" w:styleId="FooterChar">
    <w:name w:val="Footer Char"/>
    <w:basedOn w:val="DefaultParagraphFont"/>
    <w:link w:val="Footer"/>
    <w:uiPriority w:val="99"/>
    <w:rsid w:val="00BD1075"/>
  </w:style>
  <w:style w:type="character" w:styleId="PageNumber">
    <w:name w:val="page number"/>
    <w:basedOn w:val="DefaultParagraphFont"/>
    <w:uiPriority w:val="99"/>
    <w:semiHidden/>
    <w:unhideWhenUsed/>
    <w:rsid w:val="00BD1075"/>
  </w:style>
  <w:style w:type="paragraph" w:styleId="FootnoteText">
    <w:name w:val="footnote text"/>
    <w:aliases w:val="5_G,Car,Char,Char Char,FA Fu,Footnote Text Char Char Char Char,Footnote Text Char Char Char Char Char,Footnote Text Char2 Char,Footnote Text Quote,Footnote reference,Footnote text NRC,Texte de note de bas de page,f,fn,footnote"/>
    <w:basedOn w:val="Normal"/>
    <w:link w:val="FootnoteTextChar"/>
    <w:autoRedefine/>
    <w:uiPriority w:val="99"/>
    <w:unhideWhenUsed/>
    <w:qFormat/>
    <w:rsid w:val="00D5763D"/>
    <w:rPr>
      <w:rFonts w:asciiTheme="majorHAnsi" w:hAnsiTheme="majorHAnsi" w:cstheme="majorHAnsi"/>
      <w:sz w:val="18"/>
      <w:szCs w:val="18"/>
    </w:rPr>
  </w:style>
  <w:style w:type="character" w:customStyle="1" w:styleId="FootnoteTextChar">
    <w:name w:val="Footnote Text Char"/>
    <w:aliases w:val="5_G Char,Car Char,Char Char1,Char Char Char,FA Fu Char,Footnote Text Char Char Char Char Char1,Footnote Text Char Char Char Char Char Char,Footnote Text Char2 Char Char,Footnote Text Quote Char,Footnote reference Char,f Char,fn Char"/>
    <w:basedOn w:val="DefaultParagraphFont"/>
    <w:link w:val="FootnoteText"/>
    <w:uiPriority w:val="99"/>
    <w:rsid w:val="00D5763D"/>
    <w:rPr>
      <w:rFonts w:asciiTheme="majorHAnsi" w:hAnsiTheme="majorHAnsi" w:cstheme="majorHAnsi"/>
      <w:sz w:val="18"/>
      <w:szCs w:val="18"/>
      <w:lang w:val="en-GB"/>
    </w:rPr>
  </w:style>
  <w:style w:type="character" w:styleId="FootnoteReference">
    <w:name w:val="footnote reference"/>
    <w:aliases w:val="16 Point,Appel note de bas de page,BVI fnr,BVI fnr Car Car Car Car Char,BVI fnr Car Car Car Car Char Char,BVI fnr Car Car Char1,BVI fnr Car Char1,BVI fnr Char Char Char,BVI fnr Char1,FZ,Footnote text,Ref Char,Superscript 6 Point"/>
    <w:basedOn w:val="DefaultParagraphFont"/>
    <w:link w:val="4G"/>
    <w:uiPriority w:val="99"/>
    <w:unhideWhenUsed/>
    <w:qFormat/>
    <w:rsid w:val="001E52AE"/>
    <w:rPr>
      <w:vertAlign w:val="superscript"/>
    </w:rPr>
  </w:style>
  <w:style w:type="paragraph" w:styleId="ListParagraph">
    <w:name w:val="List Paragraph"/>
    <w:basedOn w:val="Normal"/>
    <w:link w:val="ListParagraphChar"/>
    <w:uiPriority w:val="34"/>
    <w:qFormat/>
    <w:rsid w:val="0049037E"/>
    <w:pPr>
      <w:ind w:left="720"/>
      <w:contextualSpacing/>
    </w:pPr>
  </w:style>
  <w:style w:type="paragraph" w:styleId="NormalWeb">
    <w:name w:val="Normal (Web)"/>
    <w:basedOn w:val="Normal"/>
    <w:uiPriority w:val="99"/>
    <w:unhideWhenUsed/>
    <w:rsid w:val="006B7F45"/>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6B7F45"/>
    <w:rPr>
      <w:b/>
      <w:bCs/>
    </w:rPr>
  </w:style>
  <w:style w:type="character" w:styleId="Hyperlink">
    <w:name w:val="Hyperlink"/>
    <w:basedOn w:val="DefaultParagraphFont"/>
    <w:uiPriority w:val="99"/>
    <w:unhideWhenUsed/>
    <w:qFormat/>
    <w:rsid w:val="006B7F45"/>
    <w:rPr>
      <w:color w:val="0563C1" w:themeColor="hyperlink"/>
      <w:u w:val="single"/>
    </w:rPr>
  </w:style>
  <w:style w:type="character" w:customStyle="1" w:styleId="ListParagraphChar">
    <w:name w:val="List Paragraph Char"/>
    <w:link w:val="ListParagraph"/>
    <w:uiPriority w:val="34"/>
    <w:locked/>
    <w:rsid w:val="00303D2D"/>
  </w:style>
  <w:style w:type="character" w:customStyle="1" w:styleId="UnresolvedMention1">
    <w:name w:val="Unresolved Mention1"/>
    <w:basedOn w:val="DefaultParagraphFont"/>
    <w:uiPriority w:val="99"/>
    <w:semiHidden/>
    <w:unhideWhenUsed/>
    <w:rsid w:val="009C02D5"/>
    <w:rPr>
      <w:color w:val="605E5C"/>
      <w:shd w:val="clear" w:color="auto" w:fill="E1DFDD"/>
    </w:rPr>
  </w:style>
  <w:style w:type="character" w:styleId="CommentReference">
    <w:name w:val="annotation reference"/>
    <w:basedOn w:val="DefaultParagraphFont"/>
    <w:uiPriority w:val="99"/>
    <w:semiHidden/>
    <w:unhideWhenUsed/>
    <w:rsid w:val="005B78E2"/>
    <w:rPr>
      <w:sz w:val="16"/>
      <w:szCs w:val="16"/>
    </w:rPr>
  </w:style>
  <w:style w:type="paragraph" w:styleId="CommentText">
    <w:name w:val="annotation text"/>
    <w:basedOn w:val="Normal"/>
    <w:link w:val="CommentTextChar"/>
    <w:uiPriority w:val="99"/>
    <w:unhideWhenUsed/>
    <w:rsid w:val="005B78E2"/>
    <w:rPr>
      <w:sz w:val="20"/>
      <w:szCs w:val="20"/>
    </w:rPr>
  </w:style>
  <w:style w:type="character" w:customStyle="1" w:styleId="CommentTextChar">
    <w:name w:val="Comment Text Char"/>
    <w:basedOn w:val="DefaultParagraphFont"/>
    <w:link w:val="CommentText"/>
    <w:uiPriority w:val="99"/>
    <w:rsid w:val="005B78E2"/>
    <w:rPr>
      <w:sz w:val="20"/>
      <w:szCs w:val="20"/>
    </w:rPr>
  </w:style>
  <w:style w:type="paragraph" w:styleId="CommentSubject">
    <w:name w:val="annotation subject"/>
    <w:basedOn w:val="CommentText"/>
    <w:next w:val="CommentText"/>
    <w:link w:val="CommentSubjectChar"/>
    <w:uiPriority w:val="99"/>
    <w:semiHidden/>
    <w:unhideWhenUsed/>
    <w:rsid w:val="005B78E2"/>
    <w:rPr>
      <w:b/>
      <w:bCs/>
    </w:rPr>
  </w:style>
  <w:style w:type="character" w:customStyle="1" w:styleId="CommentSubjectChar">
    <w:name w:val="Comment Subject Char"/>
    <w:basedOn w:val="CommentTextChar"/>
    <w:link w:val="CommentSubject"/>
    <w:uiPriority w:val="99"/>
    <w:semiHidden/>
    <w:rsid w:val="005B78E2"/>
    <w:rPr>
      <w:b/>
      <w:bCs/>
      <w:sz w:val="20"/>
      <w:szCs w:val="20"/>
    </w:rPr>
  </w:style>
  <w:style w:type="table" w:styleId="TableGrid">
    <w:name w:val="Table Grid"/>
    <w:basedOn w:val="TableNormal"/>
    <w:uiPriority w:val="39"/>
    <w:rsid w:val="00F90445"/>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26749"/>
    <w:pPr>
      <w:tabs>
        <w:tab w:val="center" w:pos="4513"/>
        <w:tab w:val="right" w:pos="9026"/>
      </w:tabs>
    </w:pPr>
  </w:style>
  <w:style w:type="character" w:customStyle="1" w:styleId="HeaderChar">
    <w:name w:val="Header Char"/>
    <w:basedOn w:val="DefaultParagraphFont"/>
    <w:link w:val="Header"/>
    <w:uiPriority w:val="99"/>
    <w:rsid w:val="00226749"/>
  </w:style>
  <w:style w:type="character" w:customStyle="1" w:styleId="UnresolvedMention2">
    <w:name w:val="Unresolved Mention2"/>
    <w:basedOn w:val="DefaultParagraphFont"/>
    <w:uiPriority w:val="99"/>
    <w:semiHidden/>
    <w:unhideWhenUsed/>
    <w:rsid w:val="008161CC"/>
    <w:rPr>
      <w:color w:val="605E5C"/>
      <w:shd w:val="clear" w:color="auto" w:fill="E1DFDD"/>
    </w:rPr>
  </w:style>
  <w:style w:type="character" w:styleId="FollowedHyperlink">
    <w:name w:val="FollowedHyperlink"/>
    <w:basedOn w:val="DefaultParagraphFont"/>
    <w:uiPriority w:val="99"/>
    <w:semiHidden/>
    <w:unhideWhenUsed/>
    <w:rsid w:val="00F242ED"/>
    <w:rPr>
      <w:color w:val="954F72" w:themeColor="followedHyperlink"/>
      <w:u w:val="single"/>
    </w:rPr>
  </w:style>
  <w:style w:type="paragraph" w:customStyle="1" w:styleId="4G">
    <w:name w:val="4_G"/>
    <w:aliases w:val="4_G Char Char,BVI fnr Car Car Car Car Char Char1,BVI fnr Car Car Char Char,BVI fnr Car Char Char,BVI fnr Char Char,Footnote Reference1 Char Char,Footnotes refss Char Char,ftref Char Char"/>
    <w:basedOn w:val="Normal"/>
    <w:link w:val="FootnoteReference"/>
    <w:uiPriority w:val="99"/>
    <w:rsid w:val="00E014CB"/>
    <w:pPr>
      <w:spacing w:after="160" w:line="240" w:lineRule="exact"/>
      <w:jc w:val="both"/>
    </w:pPr>
    <w:rPr>
      <w:vertAlign w:val="superscript"/>
      <w:lang w:val="en-US"/>
    </w:rPr>
  </w:style>
  <w:style w:type="paragraph" w:customStyle="1" w:styleId="Text">
    <w:name w:val="Text"/>
    <w:rsid w:val="00E014CB"/>
    <w:pPr>
      <w:pBdr>
        <w:top w:val="nil"/>
        <w:left w:val="nil"/>
        <w:bottom w:val="nil"/>
        <w:right w:val="nil"/>
        <w:between w:val="nil"/>
        <w:bar w:val="nil"/>
      </w:pBdr>
    </w:pPr>
    <w:rPr>
      <w:rFonts w:ascii="Times New Roman" w:eastAsia="Arial Unicode MS" w:hAnsi="Times New Roman" w:cs="Arial Unicode MS"/>
      <w:color w:val="00000A"/>
      <w:u w:color="00000A"/>
      <w:bdr w:val="nil"/>
      <w:lang w:eastAsia="nl-NL"/>
    </w:rPr>
  </w:style>
  <w:style w:type="character" w:styleId="Emphasis">
    <w:name w:val="Emphasis"/>
    <w:basedOn w:val="DefaultParagraphFont"/>
    <w:uiPriority w:val="20"/>
    <w:qFormat/>
    <w:rsid w:val="00E014CB"/>
    <w:rPr>
      <w:i/>
      <w:iCs/>
    </w:rPr>
  </w:style>
  <w:style w:type="character" w:customStyle="1" w:styleId="A11">
    <w:name w:val="A11"/>
    <w:uiPriority w:val="99"/>
    <w:rsid w:val="00E014CB"/>
    <w:rPr>
      <w:rFonts w:cs="Akzidenz-Grotesk BQ"/>
      <w:color w:val="000000"/>
      <w:sz w:val="12"/>
      <w:szCs w:val="12"/>
    </w:rPr>
  </w:style>
  <w:style w:type="character" w:styleId="HTMLCite">
    <w:name w:val="HTML Cite"/>
    <w:basedOn w:val="DefaultParagraphFont"/>
    <w:uiPriority w:val="99"/>
    <w:semiHidden/>
    <w:unhideWhenUsed/>
    <w:rsid w:val="00E014CB"/>
    <w:rPr>
      <w:i/>
      <w:iCs/>
    </w:rPr>
  </w:style>
  <w:style w:type="paragraph" w:styleId="Caption">
    <w:name w:val="caption"/>
    <w:basedOn w:val="Normal"/>
    <w:next w:val="Normal"/>
    <w:uiPriority w:val="35"/>
    <w:semiHidden/>
    <w:unhideWhenUsed/>
    <w:qFormat/>
    <w:rsid w:val="00AA7C88"/>
    <w:pPr>
      <w:spacing w:after="200"/>
    </w:pPr>
    <w:rPr>
      <w:i/>
      <w:iCs/>
      <w:color w:val="000000" w:themeColor="text2"/>
      <w:sz w:val="18"/>
      <w:szCs w:val="18"/>
    </w:rPr>
  </w:style>
  <w:style w:type="character" w:customStyle="1" w:styleId="UnresolvedMention3">
    <w:name w:val="Unresolved Mention3"/>
    <w:basedOn w:val="DefaultParagraphFont"/>
    <w:uiPriority w:val="99"/>
    <w:semiHidden/>
    <w:unhideWhenUsed/>
    <w:rsid w:val="000E4FDA"/>
    <w:rPr>
      <w:color w:val="605E5C"/>
      <w:shd w:val="clear" w:color="auto" w:fill="E1DFDD"/>
    </w:rPr>
  </w:style>
  <w:style w:type="paragraph" w:styleId="Revision">
    <w:name w:val="Revision"/>
    <w:hidden/>
    <w:uiPriority w:val="99"/>
    <w:semiHidden/>
    <w:rsid w:val="00DA5671"/>
    <w:rPr>
      <w:lang w:val="en-GB"/>
    </w:rPr>
  </w:style>
  <w:style w:type="character" w:styleId="UnresolvedMention">
    <w:name w:val="Unresolved Mention"/>
    <w:basedOn w:val="DefaultParagraphFont"/>
    <w:uiPriority w:val="99"/>
    <w:rsid w:val="00CB7A8E"/>
    <w:rPr>
      <w:color w:val="605E5C"/>
      <w:shd w:val="clear" w:color="auto" w:fill="E1DFDD"/>
    </w:rPr>
  </w:style>
  <w:style w:type="paragraph" w:customStyle="1" w:styleId="Default">
    <w:name w:val="Default"/>
    <w:rsid w:val="00F24878"/>
    <w:pPr>
      <w:autoSpaceDE w:val="0"/>
      <w:autoSpaceDN w:val="0"/>
      <w:adjustRightInd w:val="0"/>
    </w:pPr>
    <w:rPr>
      <w:rFonts w:ascii="Calibri" w:hAnsi="Calibri" w:cs="Calibri"/>
      <w:color w:val="000000"/>
      <w:lang w:val="en-GB"/>
    </w:rPr>
  </w:style>
  <w:style w:type="character" w:customStyle="1" w:styleId="Mention1">
    <w:name w:val="Mention1"/>
    <w:basedOn w:val="DefaultParagraphFont"/>
    <w:uiPriority w:val="99"/>
    <w:semiHidden/>
    <w:unhideWhenUsed/>
    <w:locked/>
    <w:rsid w:val="003D3E3B"/>
    <w:rPr>
      <w:color w:val="2B579A"/>
      <w:shd w:val="clear" w:color="auto" w:fill="E6E6E6"/>
    </w:rPr>
  </w:style>
  <w:style w:type="character" w:styleId="Mention">
    <w:name w:val="Mention"/>
    <w:basedOn w:val="DefaultParagraphFont"/>
    <w:uiPriority w:val="99"/>
    <w:rsid w:val="00931856"/>
    <w:rPr>
      <w:color w:val="2B579A"/>
      <w:shd w:val="clear" w:color="auto" w:fill="E1DFDD"/>
    </w:rPr>
  </w:style>
  <w:style w:type="paragraph" w:styleId="EndnoteText">
    <w:name w:val="endnote text"/>
    <w:basedOn w:val="Normal"/>
    <w:link w:val="EndnoteTextChar"/>
    <w:uiPriority w:val="99"/>
    <w:semiHidden/>
    <w:unhideWhenUsed/>
    <w:rsid w:val="00D3040D"/>
    <w:rPr>
      <w:sz w:val="20"/>
      <w:szCs w:val="20"/>
    </w:rPr>
  </w:style>
  <w:style w:type="character" w:customStyle="1" w:styleId="EndnoteTextChar">
    <w:name w:val="Endnote Text Char"/>
    <w:basedOn w:val="DefaultParagraphFont"/>
    <w:link w:val="EndnoteText"/>
    <w:uiPriority w:val="99"/>
    <w:semiHidden/>
    <w:rsid w:val="00D3040D"/>
    <w:rPr>
      <w:sz w:val="20"/>
      <w:szCs w:val="20"/>
      <w:lang w:val="en-GB"/>
    </w:rPr>
  </w:style>
  <w:style w:type="character" w:styleId="EndnoteReference">
    <w:name w:val="endnote reference"/>
    <w:basedOn w:val="DefaultParagraphFont"/>
    <w:uiPriority w:val="99"/>
    <w:semiHidden/>
    <w:unhideWhenUsed/>
    <w:rsid w:val="00D3040D"/>
    <w:rPr>
      <w:vertAlign w:val="superscript"/>
    </w:rPr>
  </w:style>
  <w:style w:type="paragraph" w:customStyle="1" w:styleId="SIBodyText">
    <w:name w:val="SI_Body Text"/>
    <w:basedOn w:val="Normal"/>
    <w:qFormat/>
    <w:rsid w:val="00464ED6"/>
    <w:pPr>
      <w:spacing w:after="216" w:line="216" w:lineRule="exact"/>
    </w:pPr>
    <w:rPr>
      <w:rFonts w:eastAsiaTheme="minorHAnsi"/>
      <w:color w:val="000000" w:themeColor="text2"/>
      <w:sz w:val="18"/>
      <w:szCs w:val="22"/>
    </w:rPr>
  </w:style>
  <w:style w:type="paragraph" w:customStyle="1" w:styleId="SIBodypullout">
    <w:name w:val="SI_Body pull out"/>
    <w:basedOn w:val="Normal"/>
    <w:next w:val="Normal"/>
    <w:qFormat/>
    <w:rsid w:val="00FA6782"/>
    <w:pPr>
      <w:spacing w:after="216" w:line="216" w:lineRule="exact"/>
    </w:pPr>
    <w:rPr>
      <w:rFonts w:eastAsiaTheme="minorHAnsi"/>
      <w:color w:val="29166F" w:themeColor="accent1"/>
      <w:sz w:val="18"/>
      <w:szCs w:val="22"/>
    </w:rPr>
  </w:style>
  <w:style w:type="paragraph" w:customStyle="1" w:styleId="SISummarybullets">
    <w:name w:val="SI_Summary bullets"/>
    <w:basedOn w:val="Normal"/>
    <w:qFormat/>
    <w:rsid w:val="00FA6782"/>
    <w:pPr>
      <w:numPr>
        <w:numId w:val="2"/>
      </w:numPr>
      <w:spacing w:line="216" w:lineRule="exact"/>
      <w:ind w:left="256" w:hanging="284"/>
    </w:pPr>
    <w:rPr>
      <w:rFonts w:eastAsiaTheme="minorHAnsi"/>
      <w:color w:val="FFFFFF" w:themeColor="background1"/>
      <w:sz w:val="18"/>
      <w:szCs w:val="22"/>
    </w:rPr>
  </w:style>
  <w:style w:type="character" w:customStyle="1" w:styleId="Heading2Char">
    <w:name w:val="Heading 2 Char"/>
    <w:basedOn w:val="DefaultParagraphFont"/>
    <w:link w:val="Heading2"/>
    <w:uiPriority w:val="9"/>
    <w:rsid w:val="00B26851"/>
    <w:rPr>
      <w:rFonts w:asciiTheme="majorHAnsi" w:eastAsiaTheme="majorEastAsia" w:hAnsiTheme="majorHAnsi" w:cstheme="majorBidi"/>
      <w:color w:val="1E1052" w:themeColor="accent1" w:themeShade="BF"/>
      <w:sz w:val="26"/>
      <w:szCs w:val="26"/>
      <w:lang w:val="en-GB"/>
    </w:rPr>
  </w:style>
  <w:style w:type="paragraph" w:customStyle="1" w:styleId="BasicParagraph">
    <w:name w:val="[Basic Paragraph]"/>
    <w:basedOn w:val="Normal"/>
    <w:uiPriority w:val="99"/>
    <w:rsid w:val="00EE3C84"/>
    <w:pPr>
      <w:autoSpaceDE w:val="0"/>
      <w:autoSpaceDN w:val="0"/>
      <w:adjustRightInd w:val="0"/>
      <w:spacing w:line="288" w:lineRule="auto"/>
      <w:textAlignment w:val="center"/>
    </w:pPr>
    <w:rPr>
      <w:rFonts w:ascii="MinionPro-Regular" w:eastAsiaTheme="minorHAnsi" w:hAnsi="MinionPro-Regular" w:cs="MinionPro-Regular"/>
      <w:color w:val="000000"/>
    </w:rPr>
  </w:style>
  <w:style w:type="paragraph" w:styleId="Date">
    <w:name w:val="Date"/>
    <w:basedOn w:val="Normal"/>
    <w:next w:val="Normal"/>
    <w:link w:val="DateChar"/>
    <w:uiPriority w:val="99"/>
    <w:semiHidden/>
    <w:unhideWhenUsed/>
    <w:rsid w:val="00EE3C84"/>
  </w:style>
  <w:style w:type="character" w:customStyle="1" w:styleId="DateChar">
    <w:name w:val="Date Char"/>
    <w:basedOn w:val="DefaultParagraphFont"/>
    <w:link w:val="Date"/>
    <w:uiPriority w:val="99"/>
    <w:semiHidden/>
    <w:rsid w:val="00EE3C8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646612">
      <w:bodyDiv w:val="1"/>
      <w:marLeft w:val="0"/>
      <w:marRight w:val="0"/>
      <w:marTop w:val="0"/>
      <w:marBottom w:val="0"/>
      <w:divBdr>
        <w:top w:val="none" w:sz="0" w:space="0" w:color="auto"/>
        <w:left w:val="none" w:sz="0" w:space="0" w:color="auto"/>
        <w:bottom w:val="none" w:sz="0" w:space="0" w:color="auto"/>
        <w:right w:val="none" w:sz="0" w:space="0" w:color="auto"/>
      </w:divBdr>
    </w:div>
    <w:div w:id="90515924">
      <w:bodyDiv w:val="1"/>
      <w:marLeft w:val="0"/>
      <w:marRight w:val="0"/>
      <w:marTop w:val="0"/>
      <w:marBottom w:val="0"/>
      <w:divBdr>
        <w:top w:val="none" w:sz="0" w:space="0" w:color="auto"/>
        <w:left w:val="none" w:sz="0" w:space="0" w:color="auto"/>
        <w:bottom w:val="none" w:sz="0" w:space="0" w:color="auto"/>
        <w:right w:val="none" w:sz="0" w:space="0" w:color="auto"/>
      </w:divBdr>
    </w:div>
    <w:div w:id="136842334">
      <w:bodyDiv w:val="1"/>
      <w:marLeft w:val="0"/>
      <w:marRight w:val="0"/>
      <w:marTop w:val="0"/>
      <w:marBottom w:val="0"/>
      <w:divBdr>
        <w:top w:val="none" w:sz="0" w:space="0" w:color="auto"/>
        <w:left w:val="none" w:sz="0" w:space="0" w:color="auto"/>
        <w:bottom w:val="none" w:sz="0" w:space="0" w:color="auto"/>
        <w:right w:val="none" w:sz="0" w:space="0" w:color="auto"/>
      </w:divBdr>
    </w:div>
    <w:div w:id="170025418">
      <w:bodyDiv w:val="1"/>
      <w:marLeft w:val="0"/>
      <w:marRight w:val="0"/>
      <w:marTop w:val="0"/>
      <w:marBottom w:val="0"/>
      <w:divBdr>
        <w:top w:val="none" w:sz="0" w:space="0" w:color="auto"/>
        <w:left w:val="none" w:sz="0" w:space="0" w:color="auto"/>
        <w:bottom w:val="none" w:sz="0" w:space="0" w:color="auto"/>
        <w:right w:val="none" w:sz="0" w:space="0" w:color="auto"/>
      </w:divBdr>
    </w:div>
    <w:div w:id="205220163">
      <w:bodyDiv w:val="1"/>
      <w:marLeft w:val="0"/>
      <w:marRight w:val="0"/>
      <w:marTop w:val="0"/>
      <w:marBottom w:val="0"/>
      <w:divBdr>
        <w:top w:val="none" w:sz="0" w:space="0" w:color="auto"/>
        <w:left w:val="none" w:sz="0" w:space="0" w:color="auto"/>
        <w:bottom w:val="none" w:sz="0" w:space="0" w:color="auto"/>
        <w:right w:val="none" w:sz="0" w:space="0" w:color="auto"/>
      </w:divBdr>
    </w:div>
    <w:div w:id="330565238">
      <w:bodyDiv w:val="1"/>
      <w:marLeft w:val="0"/>
      <w:marRight w:val="0"/>
      <w:marTop w:val="0"/>
      <w:marBottom w:val="0"/>
      <w:divBdr>
        <w:top w:val="none" w:sz="0" w:space="0" w:color="auto"/>
        <w:left w:val="none" w:sz="0" w:space="0" w:color="auto"/>
        <w:bottom w:val="none" w:sz="0" w:space="0" w:color="auto"/>
        <w:right w:val="none" w:sz="0" w:space="0" w:color="auto"/>
      </w:divBdr>
    </w:div>
    <w:div w:id="336229511">
      <w:bodyDiv w:val="1"/>
      <w:marLeft w:val="0"/>
      <w:marRight w:val="0"/>
      <w:marTop w:val="0"/>
      <w:marBottom w:val="0"/>
      <w:divBdr>
        <w:top w:val="none" w:sz="0" w:space="0" w:color="auto"/>
        <w:left w:val="none" w:sz="0" w:space="0" w:color="auto"/>
        <w:bottom w:val="none" w:sz="0" w:space="0" w:color="auto"/>
        <w:right w:val="none" w:sz="0" w:space="0" w:color="auto"/>
      </w:divBdr>
    </w:div>
    <w:div w:id="339163711">
      <w:bodyDiv w:val="1"/>
      <w:marLeft w:val="0"/>
      <w:marRight w:val="0"/>
      <w:marTop w:val="0"/>
      <w:marBottom w:val="0"/>
      <w:divBdr>
        <w:top w:val="none" w:sz="0" w:space="0" w:color="auto"/>
        <w:left w:val="none" w:sz="0" w:space="0" w:color="auto"/>
        <w:bottom w:val="none" w:sz="0" w:space="0" w:color="auto"/>
        <w:right w:val="none" w:sz="0" w:space="0" w:color="auto"/>
      </w:divBdr>
      <w:divsChild>
        <w:div w:id="811095880">
          <w:marLeft w:val="0"/>
          <w:marRight w:val="0"/>
          <w:marTop w:val="0"/>
          <w:marBottom w:val="0"/>
          <w:divBdr>
            <w:top w:val="none" w:sz="0" w:space="0" w:color="auto"/>
            <w:left w:val="none" w:sz="0" w:space="0" w:color="auto"/>
            <w:bottom w:val="none" w:sz="0" w:space="0" w:color="auto"/>
            <w:right w:val="none" w:sz="0" w:space="0" w:color="auto"/>
          </w:divBdr>
          <w:divsChild>
            <w:div w:id="684474947">
              <w:marLeft w:val="0"/>
              <w:marRight w:val="0"/>
              <w:marTop w:val="0"/>
              <w:marBottom w:val="0"/>
              <w:divBdr>
                <w:top w:val="none" w:sz="0" w:space="0" w:color="auto"/>
                <w:left w:val="none" w:sz="0" w:space="0" w:color="auto"/>
                <w:bottom w:val="none" w:sz="0" w:space="0" w:color="auto"/>
                <w:right w:val="none" w:sz="0" w:space="0" w:color="auto"/>
              </w:divBdr>
              <w:divsChild>
                <w:div w:id="1837568743">
                  <w:marLeft w:val="0"/>
                  <w:marRight w:val="0"/>
                  <w:marTop w:val="0"/>
                  <w:marBottom w:val="0"/>
                  <w:divBdr>
                    <w:top w:val="none" w:sz="0" w:space="0" w:color="auto"/>
                    <w:left w:val="none" w:sz="0" w:space="0" w:color="auto"/>
                    <w:bottom w:val="none" w:sz="0" w:space="0" w:color="auto"/>
                    <w:right w:val="none" w:sz="0" w:space="0" w:color="auto"/>
                  </w:divBdr>
                  <w:divsChild>
                    <w:div w:id="1639990386">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357313397">
      <w:bodyDiv w:val="1"/>
      <w:marLeft w:val="0"/>
      <w:marRight w:val="0"/>
      <w:marTop w:val="0"/>
      <w:marBottom w:val="0"/>
      <w:divBdr>
        <w:top w:val="none" w:sz="0" w:space="0" w:color="auto"/>
        <w:left w:val="none" w:sz="0" w:space="0" w:color="auto"/>
        <w:bottom w:val="none" w:sz="0" w:space="0" w:color="auto"/>
        <w:right w:val="none" w:sz="0" w:space="0" w:color="auto"/>
      </w:divBdr>
      <w:divsChild>
        <w:div w:id="1931159962">
          <w:marLeft w:val="0"/>
          <w:marRight w:val="0"/>
          <w:marTop w:val="0"/>
          <w:marBottom w:val="0"/>
          <w:divBdr>
            <w:top w:val="none" w:sz="0" w:space="0" w:color="auto"/>
            <w:left w:val="none" w:sz="0" w:space="0" w:color="auto"/>
            <w:bottom w:val="none" w:sz="0" w:space="0" w:color="auto"/>
            <w:right w:val="none" w:sz="0" w:space="0" w:color="auto"/>
          </w:divBdr>
          <w:divsChild>
            <w:div w:id="1955014255">
              <w:marLeft w:val="0"/>
              <w:marRight w:val="0"/>
              <w:marTop w:val="0"/>
              <w:marBottom w:val="0"/>
              <w:divBdr>
                <w:top w:val="none" w:sz="0" w:space="0" w:color="auto"/>
                <w:left w:val="none" w:sz="0" w:space="0" w:color="auto"/>
                <w:bottom w:val="none" w:sz="0" w:space="0" w:color="auto"/>
                <w:right w:val="none" w:sz="0" w:space="0" w:color="auto"/>
              </w:divBdr>
              <w:divsChild>
                <w:div w:id="1987390830">
                  <w:marLeft w:val="0"/>
                  <w:marRight w:val="0"/>
                  <w:marTop w:val="0"/>
                  <w:marBottom w:val="0"/>
                  <w:divBdr>
                    <w:top w:val="none" w:sz="0" w:space="0" w:color="auto"/>
                    <w:left w:val="none" w:sz="0" w:space="0" w:color="auto"/>
                    <w:bottom w:val="none" w:sz="0" w:space="0" w:color="auto"/>
                    <w:right w:val="none" w:sz="0" w:space="0" w:color="auto"/>
                  </w:divBdr>
                  <w:divsChild>
                    <w:div w:id="1893493213">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365372300">
      <w:bodyDiv w:val="1"/>
      <w:marLeft w:val="0"/>
      <w:marRight w:val="0"/>
      <w:marTop w:val="0"/>
      <w:marBottom w:val="0"/>
      <w:divBdr>
        <w:top w:val="none" w:sz="0" w:space="0" w:color="auto"/>
        <w:left w:val="none" w:sz="0" w:space="0" w:color="auto"/>
        <w:bottom w:val="none" w:sz="0" w:space="0" w:color="auto"/>
        <w:right w:val="none" w:sz="0" w:space="0" w:color="auto"/>
      </w:divBdr>
      <w:divsChild>
        <w:div w:id="1493789733">
          <w:marLeft w:val="0"/>
          <w:marRight w:val="0"/>
          <w:marTop w:val="0"/>
          <w:marBottom w:val="450"/>
          <w:divBdr>
            <w:top w:val="none" w:sz="0" w:space="0" w:color="auto"/>
            <w:left w:val="none" w:sz="0" w:space="0" w:color="auto"/>
            <w:bottom w:val="none" w:sz="0" w:space="0" w:color="auto"/>
            <w:right w:val="none" w:sz="0" w:space="0" w:color="auto"/>
          </w:divBdr>
        </w:div>
        <w:div w:id="1754430857">
          <w:marLeft w:val="-225"/>
          <w:marRight w:val="-225"/>
          <w:marTop w:val="0"/>
          <w:marBottom w:val="0"/>
          <w:divBdr>
            <w:top w:val="none" w:sz="0" w:space="0" w:color="auto"/>
            <w:left w:val="none" w:sz="0" w:space="0" w:color="auto"/>
            <w:bottom w:val="none" w:sz="0" w:space="0" w:color="auto"/>
            <w:right w:val="none" w:sz="0" w:space="0" w:color="auto"/>
          </w:divBdr>
          <w:divsChild>
            <w:div w:id="197062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495992">
      <w:bodyDiv w:val="1"/>
      <w:marLeft w:val="0"/>
      <w:marRight w:val="0"/>
      <w:marTop w:val="0"/>
      <w:marBottom w:val="0"/>
      <w:divBdr>
        <w:top w:val="none" w:sz="0" w:space="0" w:color="auto"/>
        <w:left w:val="none" w:sz="0" w:space="0" w:color="auto"/>
        <w:bottom w:val="none" w:sz="0" w:space="0" w:color="auto"/>
        <w:right w:val="none" w:sz="0" w:space="0" w:color="auto"/>
      </w:divBdr>
    </w:div>
    <w:div w:id="389379076">
      <w:bodyDiv w:val="1"/>
      <w:marLeft w:val="0"/>
      <w:marRight w:val="0"/>
      <w:marTop w:val="0"/>
      <w:marBottom w:val="0"/>
      <w:divBdr>
        <w:top w:val="none" w:sz="0" w:space="0" w:color="auto"/>
        <w:left w:val="none" w:sz="0" w:space="0" w:color="auto"/>
        <w:bottom w:val="none" w:sz="0" w:space="0" w:color="auto"/>
        <w:right w:val="none" w:sz="0" w:space="0" w:color="auto"/>
      </w:divBdr>
    </w:div>
    <w:div w:id="419958268">
      <w:bodyDiv w:val="1"/>
      <w:marLeft w:val="0"/>
      <w:marRight w:val="0"/>
      <w:marTop w:val="0"/>
      <w:marBottom w:val="0"/>
      <w:divBdr>
        <w:top w:val="none" w:sz="0" w:space="0" w:color="auto"/>
        <w:left w:val="none" w:sz="0" w:space="0" w:color="auto"/>
        <w:bottom w:val="none" w:sz="0" w:space="0" w:color="auto"/>
        <w:right w:val="none" w:sz="0" w:space="0" w:color="auto"/>
      </w:divBdr>
    </w:div>
    <w:div w:id="432477374">
      <w:bodyDiv w:val="1"/>
      <w:marLeft w:val="0"/>
      <w:marRight w:val="0"/>
      <w:marTop w:val="0"/>
      <w:marBottom w:val="0"/>
      <w:divBdr>
        <w:top w:val="none" w:sz="0" w:space="0" w:color="auto"/>
        <w:left w:val="none" w:sz="0" w:space="0" w:color="auto"/>
        <w:bottom w:val="none" w:sz="0" w:space="0" w:color="auto"/>
        <w:right w:val="none" w:sz="0" w:space="0" w:color="auto"/>
      </w:divBdr>
    </w:div>
    <w:div w:id="570502195">
      <w:bodyDiv w:val="1"/>
      <w:marLeft w:val="0"/>
      <w:marRight w:val="0"/>
      <w:marTop w:val="0"/>
      <w:marBottom w:val="0"/>
      <w:divBdr>
        <w:top w:val="none" w:sz="0" w:space="0" w:color="auto"/>
        <w:left w:val="none" w:sz="0" w:space="0" w:color="auto"/>
        <w:bottom w:val="none" w:sz="0" w:space="0" w:color="auto"/>
        <w:right w:val="none" w:sz="0" w:space="0" w:color="auto"/>
      </w:divBdr>
    </w:div>
    <w:div w:id="580139088">
      <w:bodyDiv w:val="1"/>
      <w:marLeft w:val="0"/>
      <w:marRight w:val="0"/>
      <w:marTop w:val="0"/>
      <w:marBottom w:val="0"/>
      <w:divBdr>
        <w:top w:val="none" w:sz="0" w:space="0" w:color="auto"/>
        <w:left w:val="none" w:sz="0" w:space="0" w:color="auto"/>
        <w:bottom w:val="none" w:sz="0" w:space="0" w:color="auto"/>
        <w:right w:val="none" w:sz="0" w:space="0" w:color="auto"/>
      </w:divBdr>
    </w:div>
    <w:div w:id="623734588">
      <w:bodyDiv w:val="1"/>
      <w:marLeft w:val="0"/>
      <w:marRight w:val="0"/>
      <w:marTop w:val="0"/>
      <w:marBottom w:val="0"/>
      <w:divBdr>
        <w:top w:val="none" w:sz="0" w:space="0" w:color="auto"/>
        <w:left w:val="none" w:sz="0" w:space="0" w:color="auto"/>
        <w:bottom w:val="none" w:sz="0" w:space="0" w:color="auto"/>
        <w:right w:val="none" w:sz="0" w:space="0" w:color="auto"/>
      </w:divBdr>
    </w:div>
    <w:div w:id="636570424">
      <w:bodyDiv w:val="1"/>
      <w:marLeft w:val="0"/>
      <w:marRight w:val="0"/>
      <w:marTop w:val="0"/>
      <w:marBottom w:val="0"/>
      <w:divBdr>
        <w:top w:val="none" w:sz="0" w:space="0" w:color="auto"/>
        <w:left w:val="none" w:sz="0" w:space="0" w:color="auto"/>
        <w:bottom w:val="none" w:sz="0" w:space="0" w:color="auto"/>
        <w:right w:val="none" w:sz="0" w:space="0" w:color="auto"/>
      </w:divBdr>
    </w:div>
    <w:div w:id="693768807">
      <w:bodyDiv w:val="1"/>
      <w:marLeft w:val="0"/>
      <w:marRight w:val="0"/>
      <w:marTop w:val="0"/>
      <w:marBottom w:val="0"/>
      <w:divBdr>
        <w:top w:val="none" w:sz="0" w:space="0" w:color="auto"/>
        <w:left w:val="none" w:sz="0" w:space="0" w:color="auto"/>
        <w:bottom w:val="none" w:sz="0" w:space="0" w:color="auto"/>
        <w:right w:val="none" w:sz="0" w:space="0" w:color="auto"/>
      </w:divBdr>
      <w:divsChild>
        <w:div w:id="832793055">
          <w:marLeft w:val="0"/>
          <w:marRight w:val="0"/>
          <w:marTop w:val="0"/>
          <w:marBottom w:val="0"/>
          <w:divBdr>
            <w:top w:val="none" w:sz="0" w:space="0" w:color="auto"/>
            <w:left w:val="none" w:sz="0" w:space="0" w:color="auto"/>
            <w:bottom w:val="none" w:sz="0" w:space="0" w:color="auto"/>
            <w:right w:val="none" w:sz="0" w:space="0" w:color="auto"/>
          </w:divBdr>
          <w:divsChild>
            <w:div w:id="1550800153">
              <w:marLeft w:val="0"/>
              <w:marRight w:val="0"/>
              <w:marTop w:val="0"/>
              <w:marBottom w:val="0"/>
              <w:divBdr>
                <w:top w:val="none" w:sz="0" w:space="0" w:color="auto"/>
                <w:left w:val="none" w:sz="0" w:space="0" w:color="auto"/>
                <w:bottom w:val="none" w:sz="0" w:space="0" w:color="auto"/>
                <w:right w:val="none" w:sz="0" w:space="0" w:color="auto"/>
              </w:divBdr>
              <w:divsChild>
                <w:div w:id="6954298">
                  <w:marLeft w:val="0"/>
                  <w:marRight w:val="0"/>
                  <w:marTop w:val="0"/>
                  <w:marBottom w:val="0"/>
                  <w:divBdr>
                    <w:top w:val="none" w:sz="0" w:space="0" w:color="auto"/>
                    <w:left w:val="none" w:sz="0" w:space="0" w:color="auto"/>
                    <w:bottom w:val="none" w:sz="0" w:space="0" w:color="auto"/>
                    <w:right w:val="none" w:sz="0" w:space="0" w:color="auto"/>
                  </w:divBdr>
                  <w:divsChild>
                    <w:div w:id="232618643">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705712503">
      <w:bodyDiv w:val="1"/>
      <w:marLeft w:val="0"/>
      <w:marRight w:val="0"/>
      <w:marTop w:val="0"/>
      <w:marBottom w:val="0"/>
      <w:divBdr>
        <w:top w:val="none" w:sz="0" w:space="0" w:color="auto"/>
        <w:left w:val="none" w:sz="0" w:space="0" w:color="auto"/>
        <w:bottom w:val="none" w:sz="0" w:space="0" w:color="auto"/>
        <w:right w:val="none" w:sz="0" w:space="0" w:color="auto"/>
      </w:divBdr>
    </w:div>
    <w:div w:id="718405816">
      <w:bodyDiv w:val="1"/>
      <w:marLeft w:val="0"/>
      <w:marRight w:val="0"/>
      <w:marTop w:val="0"/>
      <w:marBottom w:val="0"/>
      <w:divBdr>
        <w:top w:val="none" w:sz="0" w:space="0" w:color="auto"/>
        <w:left w:val="none" w:sz="0" w:space="0" w:color="auto"/>
        <w:bottom w:val="none" w:sz="0" w:space="0" w:color="auto"/>
        <w:right w:val="none" w:sz="0" w:space="0" w:color="auto"/>
      </w:divBdr>
    </w:div>
    <w:div w:id="769548292">
      <w:bodyDiv w:val="1"/>
      <w:marLeft w:val="0"/>
      <w:marRight w:val="0"/>
      <w:marTop w:val="0"/>
      <w:marBottom w:val="0"/>
      <w:divBdr>
        <w:top w:val="none" w:sz="0" w:space="0" w:color="auto"/>
        <w:left w:val="none" w:sz="0" w:space="0" w:color="auto"/>
        <w:bottom w:val="none" w:sz="0" w:space="0" w:color="auto"/>
        <w:right w:val="none" w:sz="0" w:space="0" w:color="auto"/>
      </w:divBdr>
    </w:div>
    <w:div w:id="832405228">
      <w:bodyDiv w:val="1"/>
      <w:marLeft w:val="0"/>
      <w:marRight w:val="0"/>
      <w:marTop w:val="0"/>
      <w:marBottom w:val="0"/>
      <w:divBdr>
        <w:top w:val="none" w:sz="0" w:space="0" w:color="auto"/>
        <w:left w:val="none" w:sz="0" w:space="0" w:color="auto"/>
        <w:bottom w:val="none" w:sz="0" w:space="0" w:color="auto"/>
        <w:right w:val="none" w:sz="0" w:space="0" w:color="auto"/>
      </w:divBdr>
    </w:div>
    <w:div w:id="900018304">
      <w:bodyDiv w:val="1"/>
      <w:marLeft w:val="0"/>
      <w:marRight w:val="0"/>
      <w:marTop w:val="0"/>
      <w:marBottom w:val="0"/>
      <w:divBdr>
        <w:top w:val="none" w:sz="0" w:space="0" w:color="auto"/>
        <w:left w:val="none" w:sz="0" w:space="0" w:color="auto"/>
        <w:bottom w:val="none" w:sz="0" w:space="0" w:color="auto"/>
        <w:right w:val="none" w:sz="0" w:space="0" w:color="auto"/>
      </w:divBdr>
    </w:div>
    <w:div w:id="906303829">
      <w:bodyDiv w:val="1"/>
      <w:marLeft w:val="0"/>
      <w:marRight w:val="0"/>
      <w:marTop w:val="0"/>
      <w:marBottom w:val="0"/>
      <w:divBdr>
        <w:top w:val="none" w:sz="0" w:space="0" w:color="auto"/>
        <w:left w:val="none" w:sz="0" w:space="0" w:color="auto"/>
        <w:bottom w:val="none" w:sz="0" w:space="0" w:color="auto"/>
        <w:right w:val="none" w:sz="0" w:space="0" w:color="auto"/>
      </w:divBdr>
    </w:div>
    <w:div w:id="957643942">
      <w:bodyDiv w:val="1"/>
      <w:marLeft w:val="0"/>
      <w:marRight w:val="0"/>
      <w:marTop w:val="0"/>
      <w:marBottom w:val="0"/>
      <w:divBdr>
        <w:top w:val="none" w:sz="0" w:space="0" w:color="auto"/>
        <w:left w:val="none" w:sz="0" w:space="0" w:color="auto"/>
        <w:bottom w:val="none" w:sz="0" w:space="0" w:color="auto"/>
        <w:right w:val="none" w:sz="0" w:space="0" w:color="auto"/>
      </w:divBdr>
    </w:div>
    <w:div w:id="969283147">
      <w:bodyDiv w:val="1"/>
      <w:marLeft w:val="0"/>
      <w:marRight w:val="0"/>
      <w:marTop w:val="0"/>
      <w:marBottom w:val="0"/>
      <w:divBdr>
        <w:top w:val="none" w:sz="0" w:space="0" w:color="auto"/>
        <w:left w:val="none" w:sz="0" w:space="0" w:color="auto"/>
        <w:bottom w:val="none" w:sz="0" w:space="0" w:color="auto"/>
        <w:right w:val="none" w:sz="0" w:space="0" w:color="auto"/>
      </w:divBdr>
    </w:div>
    <w:div w:id="1001350543">
      <w:bodyDiv w:val="1"/>
      <w:marLeft w:val="0"/>
      <w:marRight w:val="0"/>
      <w:marTop w:val="0"/>
      <w:marBottom w:val="0"/>
      <w:divBdr>
        <w:top w:val="none" w:sz="0" w:space="0" w:color="auto"/>
        <w:left w:val="none" w:sz="0" w:space="0" w:color="auto"/>
        <w:bottom w:val="none" w:sz="0" w:space="0" w:color="auto"/>
        <w:right w:val="none" w:sz="0" w:space="0" w:color="auto"/>
      </w:divBdr>
    </w:div>
    <w:div w:id="1023823517">
      <w:bodyDiv w:val="1"/>
      <w:marLeft w:val="0"/>
      <w:marRight w:val="0"/>
      <w:marTop w:val="0"/>
      <w:marBottom w:val="0"/>
      <w:divBdr>
        <w:top w:val="none" w:sz="0" w:space="0" w:color="auto"/>
        <w:left w:val="none" w:sz="0" w:space="0" w:color="auto"/>
        <w:bottom w:val="none" w:sz="0" w:space="0" w:color="auto"/>
        <w:right w:val="none" w:sz="0" w:space="0" w:color="auto"/>
      </w:divBdr>
    </w:div>
    <w:div w:id="1065252663">
      <w:bodyDiv w:val="1"/>
      <w:marLeft w:val="0"/>
      <w:marRight w:val="0"/>
      <w:marTop w:val="0"/>
      <w:marBottom w:val="0"/>
      <w:divBdr>
        <w:top w:val="none" w:sz="0" w:space="0" w:color="auto"/>
        <w:left w:val="none" w:sz="0" w:space="0" w:color="auto"/>
        <w:bottom w:val="none" w:sz="0" w:space="0" w:color="auto"/>
        <w:right w:val="none" w:sz="0" w:space="0" w:color="auto"/>
      </w:divBdr>
      <w:divsChild>
        <w:div w:id="649865868">
          <w:marLeft w:val="0"/>
          <w:marRight w:val="0"/>
          <w:marTop w:val="0"/>
          <w:marBottom w:val="0"/>
          <w:divBdr>
            <w:top w:val="none" w:sz="0" w:space="0" w:color="auto"/>
            <w:left w:val="none" w:sz="0" w:space="0" w:color="auto"/>
            <w:bottom w:val="none" w:sz="0" w:space="0" w:color="auto"/>
            <w:right w:val="none" w:sz="0" w:space="0" w:color="auto"/>
          </w:divBdr>
          <w:divsChild>
            <w:div w:id="1984383179">
              <w:marLeft w:val="0"/>
              <w:marRight w:val="0"/>
              <w:marTop w:val="0"/>
              <w:marBottom w:val="0"/>
              <w:divBdr>
                <w:top w:val="none" w:sz="0" w:space="0" w:color="auto"/>
                <w:left w:val="none" w:sz="0" w:space="0" w:color="auto"/>
                <w:bottom w:val="none" w:sz="0" w:space="0" w:color="auto"/>
                <w:right w:val="none" w:sz="0" w:space="0" w:color="auto"/>
              </w:divBdr>
              <w:divsChild>
                <w:div w:id="1776243851">
                  <w:marLeft w:val="0"/>
                  <w:marRight w:val="0"/>
                  <w:marTop w:val="0"/>
                  <w:marBottom w:val="0"/>
                  <w:divBdr>
                    <w:top w:val="none" w:sz="0" w:space="0" w:color="auto"/>
                    <w:left w:val="none" w:sz="0" w:space="0" w:color="auto"/>
                    <w:bottom w:val="none" w:sz="0" w:space="0" w:color="auto"/>
                    <w:right w:val="none" w:sz="0" w:space="0" w:color="auto"/>
                  </w:divBdr>
                  <w:divsChild>
                    <w:div w:id="52351646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098797267">
      <w:bodyDiv w:val="1"/>
      <w:marLeft w:val="0"/>
      <w:marRight w:val="0"/>
      <w:marTop w:val="0"/>
      <w:marBottom w:val="0"/>
      <w:divBdr>
        <w:top w:val="none" w:sz="0" w:space="0" w:color="auto"/>
        <w:left w:val="none" w:sz="0" w:space="0" w:color="auto"/>
        <w:bottom w:val="none" w:sz="0" w:space="0" w:color="auto"/>
        <w:right w:val="none" w:sz="0" w:space="0" w:color="auto"/>
      </w:divBdr>
    </w:div>
    <w:div w:id="1147166815">
      <w:bodyDiv w:val="1"/>
      <w:marLeft w:val="0"/>
      <w:marRight w:val="0"/>
      <w:marTop w:val="0"/>
      <w:marBottom w:val="0"/>
      <w:divBdr>
        <w:top w:val="none" w:sz="0" w:space="0" w:color="auto"/>
        <w:left w:val="none" w:sz="0" w:space="0" w:color="auto"/>
        <w:bottom w:val="none" w:sz="0" w:space="0" w:color="auto"/>
        <w:right w:val="none" w:sz="0" w:space="0" w:color="auto"/>
      </w:divBdr>
    </w:div>
    <w:div w:id="1166096875">
      <w:bodyDiv w:val="1"/>
      <w:marLeft w:val="0"/>
      <w:marRight w:val="0"/>
      <w:marTop w:val="0"/>
      <w:marBottom w:val="0"/>
      <w:divBdr>
        <w:top w:val="none" w:sz="0" w:space="0" w:color="auto"/>
        <w:left w:val="none" w:sz="0" w:space="0" w:color="auto"/>
        <w:bottom w:val="none" w:sz="0" w:space="0" w:color="auto"/>
        <w:right w:val="none" w:sz="0" w:space="0" w:color="auto"/>
      </w:divBdr>
    </w:div>
    <w:div w:id="1195118425">
      <w:bodyDiv w:val="1"/>
      <w:marLeft w:val="0"/>
      <w:marRight w:val="0"/>
      <w:marTop w:val="0"/>
      <w:marBottom w:val="0"/>
      <w:divBdr>
        <w:top w:val="none" w:sz="0" w:space="0" w:color="auto"/>
        <w:left w:val="none" w:sz="0" w:space="0" w:color="auto"/>
        <w:bottom w:val="none" w:sz="0" w:space="0" w:color="auto"/>
        <w:right w:val="none" w:sz="0" w:space="0" w:color="auto"/>
      </w:divBdr>
    </w:div>
    <w:div w:id="1196963886">
      <w:bodyDiv w:val="1"/>
      <w:marLeft w:val="0"/>
      <w:marRight w:val="0"/>
      <w:marTop w:val="0"/>
      <w:marBottom w:val="0"/>
      <w:divBdr>
        <w:top w:val="none" w:sz="0" w:space="0" w:color="auto"/>
        <w:left w:val="none" w:sz="0" w:space="0" w:color="auto"/>
        <w:bottom w:val="none" w:sz="0" w:space="0" w:color="auto"/>
        <w:right w:val="none" w:sz="0" w:space="0" w:color="auto"/>
      </w:divBdr>
    </w:div>
    <w:div w:id="1234655405">
      <w:bodyDiv w:val="1"/>
      <w:marLeft w:val="0"/>
      <w:marRight w:val="0"/>
      <w:marTop w:val="0"/>
      <w:marBottom w:val="0"/>
      <w:divBdr>
        <w:top w:val="none" w:sz="0" w:space="0" w:color="auto"/>
        <w:left w:val="none" w:sz="0" w:space="0" w:color="auto"/>
        <w:bottom w:val="none" w:sz="0" w:space="0" w:color="auto"/>
        <w:right w:val="none" w:sz="0" w:space="0" w:color="auto"/>
      </w:divBdr>
    </w:div>
    <w:div w:id="1290821344">
      <w:bodyDiv w:val="1"/>
      <w:marLeft w:val="0"/>
      <w:marRight w:val="0"/>
      <w:marTop w:val="0"/>
      <w:marBottom w:val="0"/>
      <w:divBdr>
        <w:top w:val="none" w:sz="0" w:space="0" w:color="auto"/>
        <w:left w:val="none" w:sz="0" w:space="0" w:color="auto"/>
        <w:bottom w:val="none" w:sz="0" w:space="0" w:color="auto"/>
        <w:right w:val="none" w:sz="0" w:space="0" w:color="auto"/>
      </w:divBdr>
    </w:div>
    <w:div w:id="1291279568">
      <w:bodyDiv w:val="1"/>
      <w:marLeft w:val="0"/>
      <w:marRight w:val="0"/>
      <w:marTop w:val="0"/>
      <w:marBottom w:val="0"/>
      <w:divBdr>
        <w:top w:val="none" w:sz="0" w:space="0" w:color="auto"/>
        <w:left w:val="none" w:sz="0" w:space="0" w:color="auto"/>
        <w:bottom w:val="none" w:sz="0" w:space="0" w:color="auto"/>
        <w:right w:val="none" w:sz="0" w:space="0" w:color="auto"/>
      </w:divBdr>
    </w:div>
    <w:div w:id="1297446583">
      <w:bodyDiv w:val="1"/>
      <w:marLeft w:val="0"/>
      <w:marRight w:val="0"/>
      <w:marTop w:val="0"/>
      <w:marBottom w:val="0"/>
      <w:divBdr>
        <w:top w:val="none" w:sz="0" w:space="0" w:color="auto"/>
        <w:left w:val="none" w:sz="0" w:space="0" w:color="auto"/>
        <w:bottom w:val="none" w:sz="0" w:space="0" w:color="auto"/>
        <w:right w:val="none" w:sz="0" w:space="0" w:color="auto"/>
      </w:divBdr>
    </w:div>
    <w:div w:id="1319460335">
      <w:bodyDiv w:val="1"/>
      <w:marLeft w:val="0"/>
      <w:marRight w:val="0"/>
      <w:marTop w:val="0"/>
      <w:marBottom w:val="0"/>
      <w:divBdr>
        <w:top w:val="none" w:sz="0" w:space="0" w:color="auto"/>
        <w:left w:val="none" w:sz="0" w:space="0" w:color="auto"/>
        <w:bottom w:val="none" w:sz="0" w:space="0" w:color="auto"/>
        <w:right w:val="none" w:sz="0" w:space="0" w:color="auto"/>
      </w:divBdr>
    </w:div>
    <w:div w:id="1365977655">
      <w:bodyDiv w:val="1"/>
      <w:marLeft w:val="0"/>
      <w:marRight w:val="0"/>
      <w:marTop w:val="0"/>
      <w:marBottom w:val="0"/>
      <w:divBdr>
        <w:top w:val="none" w:sz="0" w:space="0" w:color="auto"/>
        <w:left w:val="none" w:sz="0" w:space="0" w:color="auto"/>
        <w:bottom w:val="none" w:sz="0" w:space="0" w:color="auto"/>
        <w:right w:val="none" w:sz="0" w:space="0" w:color="auto"/>
      </w:divBdr>
    </w:div>
    <w:div w:id="1411387512">
      <w:bodyDiv w:val="1"/>
      <w:marLeft w:val="0"/>
      <w:marRight w:val="0"/>
      <w:marTop w:val="0"/>
      <w:marBottom w:val="0"/>
      <w:divBdr>
        <w:top w:val="none" w:sz="0" w:space="0" w:color="auto"/>
        <w:left w:val="none" w:sz="0" w:space="0" w:color="auto"/>
        <w:bottom w:val="none" w:sz="0" w:space="0" w:color="auto"/>
        <w:right w:val="none" w:sz="0" w:space="0" w:color="auto"/>
      </w:divBdr>
    </w:div>
    <w:div w:id="1411466908">
      <w:bodyDiv w:val="1"/>
      <w:marLeft w:val="0"/>
      <w:marRight w:val="0"/>
      <w:marTop w:val="0"/>
      <w:marBottom w:val="0"/>
      <w:divBdr>
        <w:top w:val="none" w:sz="0" w:space="0" w:color="auto"/>
        <w:left w:val="none" w:sz="0" w:space="0" w:color="auto"/>
        <w:bottom w:val="none" w:sz="0" w:space="0" w:color="auto"/>
        <w:right w:val="none" w:sz="0" w:space="0" w:color="auto"/>
      </w:divBdr>
    </w:div>
    <w:div w:id="1428386694">
      <w:bodyDiv w:val="1"/>
      <w:marLeft w:val="0"/>
      <w:marRight w:val="0"/>
      <w:marTop w:val="0"/>
      <w:marBottom w:val="0"/>
      <w:divBdr>
        <w:top w:val="none" w:sz="0" w:space="0" w:color="auto"/>
        <w:left w:val="none" w:sz="0" w:space="0" w:color="auto"/>
        <w:bottom w:val="none" w:sz="0" w:space="0" w:color="auto"/>
        <w:right w:val="none" w:sz="0" w:space="0" w:color="auto"/>
      </w:divBdr>
      <w:divsChild>
        <w:div w:id="237063119">
          <w:marLeft w:val="0"/>
          <w:marRight w:val="0"/>
          <w:marTop w:val="0"/>
          <w:marBottom w:val="0"/>
          <w:divBdr>
            <w:top w:val="none" w:sz="0" w:space="0" w:color="auto"/>
            <w:left w:val="none" w:sz="0" w:space="0" w:color="auto"/>
            <w:bottom w:val="none" w:sz="0" w:space="0" w:color="auto"/>
            <w:right w:val="none" w:sz="0" w:space="0" w:color="auto"/>
          </w:divBdr>
          <w:divsChild>
            <w:div w:id="1366637152">
              <w:marLeft w:val="0"/>
              <w:marRight w:val="0"/>
              <w:marTop w:val="0"/>
              <w:marBottom w:val="0"/>
              <w:divBdr>
                <w:top w:val="none" w:sz="0" w:space="0" w:color="auto"/>
                <w:left w:val="none" w:sz="0" w:space="0" w:color="auto"/>
                <w:bottom w:val="none" w:sz="0" w:space="0" w:color="auto"/>
                <w:right w:val="none" w:sz="0" w:space="0" w:color="auto"/>
              </w:divBdr>
              <w:divsChild>
                <w:div w:id="2091388411">
                  <w:marLeft w:val="0"/>
                  <w:marRight w:val="0"/>
                  <w:marTop w:val="0"/>
                  <w:marBottom w:val="0"/>
                  <w:divBdr>
                    <w:top w:val="none" w:sz="0" w:space="0" w:color="auto"/>
                    <w:left w:val="none" w:sz="0" w:space="0" w:color="auto"/>
                    <w:bottom w:val="none" w:sz="0" w:space="0" w:color="auto"/>
                    <w:right w:val="none" w:sz="0" w:space="0" w:color="auto"/>
                  </w:divBdr>
                  <w:divsChild>
                    <w:div w:id="1539202952">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435201628">
      <w:bodyDiv w:val="1"/>
      <w:marLeft w:val="0"/>
      <w:marRight w:val="0"/>
      <w:marTop w:val="0"/>
      <w:marBottom w:val="0"/>
      <w:divBdr>
        <w:top w:val="none" w:sz="0" w:space="0" w:color="auto"/>
        <w:left w:val="none" w:sz="0" w:space="0" w:color="auto"/>
        <w:bottom w:val="none" w:sz="0" w:space="0" w:color="auto"/>
        <w:right w:val="none" w:sz="0" w:space="0" w:color="auto"/>
      </w:divBdr>
    </w:div>
    <w:div w:id="1451893812">
      <w:bodyDiv w:val="1"/>
      <w:marLeft w:val="0"/>
      <w:marRight w:val="0"/>
      <w:marTop w:val="0"/>
      <w:marBottom w:val="0"/>
      <w:divBdr>
        <w:top w:val="none" w:sz="0" w:space="0" w:color="auto"/>
        <w:left w:val="none" w:sz="0" w:space="0" w:color="auto"/>
        <w:bottom w:val="none" w:sz="0" w:space="0" w:color="auto"/>
        <w:right w:val="none" w:sz="0" w:space="0" w:color="auto"/>
      </w:divBdr>
    </w:div>
    <w:div w:id="1568804879">
      <w:bodyDiv w:val="1"/>
      <w:marLeft w:val="0"/>
      <w:marRight w:val="0"/>
      <w:marTop w:val="0"/>
      <w:marBottom w:val="0"/>
      <w:divBdr>
        <w:top w:val="none" w:sz="0" w:space="0" w:color="auto"/>
        <w:left w:val="none" w:sz="0" w:space="0" w:color="auto"/>
        <w:bottom w:val="none" w:sz="0" w:space="0" w:color="auto"/>
        <w:right w:val="none" w:sz="0" w:space="0" w:color="auto"/>
      </w:divBdr>
    </w:div>
    <w:div w:id="1631476876">
      <w:bodyDiv w:val="1"/>
      <w:marLeft w:val="0"/>
      <w:marRight w:val="0"/>
      <w:marTop w:val="0"/>
      <w:marBottom w:val="0"/>
      <w:divBdr>
        <w:top w:val="none" w:sz="0" w:space="0" w:color="auto"/>
        <w:left w:val="none" w:sz="0" w:space="0" w:color="auto"/>
        <w:bottom w:val="none" w:sz="0" w:space="0" w:color="auto"/>
        <w:right w:val="none" w:sz="0" w:space="0" w:color="auto"/>
      </w:divBdr>
      <w:divsChild>
        <w:div w:id="543566159">
          <w:marLeft w:val="0"/>
          <w:marRight w:val="0"/>
          <w:marTop w:val="0"/>
          <w:marBottom w:val="0"/>
          <w:divBdr>
            <w:top w:val="none" w:sz="0" w:space="0" w:color="auto"/>
            <w:left w:val="none" w:sz="0" w:space="0" w:color="auto"/>
            <w:bottom w:val="none" w:sz="0" w:space="0" w:color="auto"/>
            <w:right w:val="none" w:sz="0" w:space="0" w:color="auto"/>
          </w:divBdr>
          <w:divsChild>
            <w:div w:id="1257641172">
              <w:marLeft w:val="0"/>
              <w:marRight w:val="0"/>
              <w:marTop w:val="0"/>
              <w:marBottom w:val="0"/>
              <w:divBdr>
                <w:top w:val="none" w:sz="0" w:space="0" w:color="auto"/>
                <w:left w:val="none" w:sz="0" w:space="0" w:color="auto"/>
                <w:bottom w:val="none" w:sz="0" w:space="0" w:color="auto"/>
                <w:right w:val="none" w:sz="0" w:space="0" w:color="auto"/>
              </w:divBdr>
              <w:divsChild>
                <w:div w:id="47152399">
                  <w:marLeft w:val="0"/>
                  <w:marRight w:val="0"/>
                  <w:marTop w:val="0"/>
                  <w:marBottom w:val="0"/>
                  <w:divBdr>
                    <w:top w:val="none" w:sz="0" w:space="0" w:color="auto"/>
                    <w:left w:val="none" w:sz="0" w:space="0" w:color="auto"/>
                    <w:bottom w:val="none" w:sz="0" w:space="0" w:color="auto"/>
                    <w:right w:val="none" w:sz="0" w:space="0" w:color="auto"/>
                  </w:divBdr>
                  <w:divsChild>
                    <w:div w:id="71034547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634362082">
      <w:bodyDiv w:val="1"/>
      <w:marLeft w:val="0"/>
      <w:marRight w:val="0"/>
      <w:marTop w:val="0"/>
      <w:marBottom w:val="0"/>
      <w:divBdr>
        <w:top w:val="none" w:sz="0" w:space="0" w:color="auto"/>
        <w:left w:val="none" w:sz="0" w:space="0" w:color="auto"/>
        <w:bottom w:val="none" w:sz="0" w:space="0" w:color="auto"/>
        <w:right w:val="none" w:sz="0" w:space="0" w:color="auto"/>
      </w:divBdr>
    </w:div>
    <w:div w:id="1636518591">
      <w:bodyDiv w:val="1"/>
      <w:marLeft w:val="0"/>
      <w:marRight w:val="0"/>
      <w:marTop w:val="0"/>
      <w:marBottom w:val="0"/>
      <w:divBdr>
        <w:top w:val="none" w:sz="0" w:space="0" w:color="auto"/>
        <w:left w:val="none" w:sz="0" w:space="0" w:color="auto"/>
        <w:bottom w:val="none" w:sz="0" w:space="0" w:color="auto"/>
        <w:right w:val="none" w:sz="0" w:space="0" w:color="auto"/>
      </w:divBdr>
    </w:div>
    <w:div w:id="1644504605">
      <w:bodyDiv w:val="1"/>
      <w:marLeft w:val="0"/>
      <w:marRight w:val="0"/>
      <w:marTop w:val="0"/>
      <w:marBottom w:val="0"/>
      <w:divBdr>
        <w:top w:val="none" w:sz="0" w:space="0" w:color="auto"/>
        <w:left w:val="none" w:sz="0" w:space="0" w:color="auto"/>
        <w:bottom w:val="none" w:sz="0" w:space="0" w:color="auto"/>
        <w:right w:val="none" w:sz="0" w:space="0" w:color="auto"/>
      </w:divBdr>
    </w:div>
    <w:div w:id="1775595156">
      <w:bodyDiv w:val="1"/>
      <w:marLeft w:val="0"/>
      <w:marRight w:val="0"/>
      <w:marTop w:val="0"/>
      <w:marBottom w:val="0"/>
      <w:divBdr>
        <w:top w:val="none" w:sz="0" w:space="0" w:color="auto"/>
        <w:left w:val="none" w:sz="0" w:space="0" w:color="auto"/>
        <w:bottom w:val="none" w:sz="0" w:space="0" w:color="auto"/>
        <w:right w:val="none" w:sz="0" w:space="0" w:color="auto"/>
      </w:divBdr>
    </w:div>
    <w:div w:id="1801725863">
      <w:bodyDiv w:val="1"/>
      <w:marLeft w:val="0"/>
      <w:marRight w:val="0"/>
      <w:marTop w:val="0"/>
      <w:marBottom w:val="0"/>
      <w:divBdr>
        <w:top w:val="none" w:sz="0" w:space="0" w:color="auto"/>
        <w:left w:val="none" w:sz="0" w:space="0" w:color="auto"/>
        <w:bottom w:val="none" w:sz="0" w:space="0" w:color="auto"/>
        <w:right w:val="none" w:sz="0" w:space="0" w:color="auto"/>
      </w:divBdr>
    </w:div>
    <w:div w:id="1826817018">
      <w:bodyDiv w:val="1"/>
      <w:marLeft w:val="0"/>
      <w:marRight w:val="0"/>
      <w:marTop w:val="0"/>
      <w:marBottom w:val="0"/>
      <w:divBdr>
        <w:top w:val="none" w:sz="0" w:space="0" w:color="auto"/>
        <w:left w:val="none" w:sz="0" w:space="0" w:color="auto"/>
        <w:bottom w:val="none" w:sz="0" w:space="0" w:color="auto"/>
        <w:right w:val="none" w:sz="0" w:space="0" w:color="auto"/>
      </w:divBdr>
    </w:div>
    <w:div w:id="1842505170">
      <w:bodyDiv w:val="1"/>
      <w:marLeft w:val="0"/>
      <w:marRight w:val="0"/>
      <w:marTop w:val="0"/>
      <w:marBottom w:val="0"/>
      <w:divBdr>
        <w:top w:val="none" w:sz="0" w:space="0" w:color="auto"/>
        <w:left w:val="none" w:sz="0" w:space="0" w:color="auto"/>
        <w:bottom w:val="none" w:sz="0" w:space="0" w:color="auto"/>
        <w:right w:val="none" w:sz="0" w:space="0" w:color="auto"/>
      </w:divBdr>
    </w:div>
    <w:div w:id="1920019172">
      <w:bodyDiv w:val="1"/>
      <w:marLeft w:val="0"/>
      <w:marRight w:val="0"/>
      <w:marTop w:val="0"/>
      <w:marBottom w:val="0"/>
      <w:divBdr>
        <w:top w:val="none" w:sz="0" w:space="0" w:color="auto"/>
        <w:left w:val="none" w:sz="0" w:space="0" w:color="auto"/>
        <w:bottom w:val="none" w:sz="0" w:space="0" w:color="auto"/>
        <w:right w:val="none" w:sz="0" w:space="0" w:color="auto"/>
      </w:divBdr>
    </w:div>
    <w:div w:id="1974290084">
      <w:bodyDiv w:val="1"/>
      <w:marLeft w:val="0"/>
      <w:marRight w:val="0"/>
      <w:marTop w:val="0"/>
      <w:marBottom w:val="0"/>
      <w:divBdr>
        <w:top w:val="none" w:sz="0" w:space="0" w:color="auto"/>
        <w:left w:val="none" w:sz="0" w:space="0" w:color="auto"/>
        <w:bottom w:val="none" w:sz="0" w:space="0" w:color="auto"/>
        <w:right w:val="none" w:sz="0" w:space="0" w:color="auto"/>
      </w:divBdr>
    </w:div>
    <w:div w:id="1981959879">
      <w:bodyDiv w:val="1"/>
      <w:marLeft w:val="0"/>
      <w:marRight w:val="0"/>
      <w:marTop w:val="0"/>
      <w:marBottom w:val="0"/>
      <w:divBdr>
        <w:top w:val="none" w:sz="0" w:space="0" w:color="auto"/>
        <w:left w:val="none" w:sz="0" w:space="0" w:color="auto"/>
        <w:bottom w:val="none" w:sz="0" w:space="0" w:color="auto"/>
        <w:right w:val="none" w:sz="0" w:space="0" w:color="auto"/>
      </w:divBdr>
    </w:div>
    <w:div w:id="1998072365">
      <w:bodyDiv w:val="1"/>
      <w:marLeft w:val="0"/>
      <w:marRight w:val="0"/>
      <w:marTop w:val="0"/>
      <w:marBottom w:val="0"/>
      <w:divBdr>
        <w:top w:val="none" w:sz="0" w:space="0" w:color="auto"/>
        <w:left w:val="none" w:sz="0" w:space="0" w:color="auto"/>
        <w:bottom w:val="none" w:sz="0" w:space="0" w:color="auto"/>
        <w:right w:val="none" w:sz="0" w:space="0" w:color="auto"/>
      </w:divBdr>
    </w:div>
    <w:div w:id="2002082300">
      <w:bodyDiv w:val="1"/>
      <w:marLeft w:val="0"/>
      <w:marRight w:val="0"/>
      <w:marTop w:val="0"/>
      <w:marBottom w:val="0"/>
      <w:divBdr>
        <w:top w:val="none" w:sz="0" w:space="0" w:color="auto"/>
        <w:left w:val="none" w:sz="0" w:space="0" w:color="auto"/>
        <w:bottom w:val="none" w:sz="0" w:space="0" w:color="auto"/>
        <w:right w:val="none" w:sz="0" w:space="0" w:color="auto"/>
      </w:divBdr>
    </w:div>
    <w:div w:id="2004122255">
      <w:bodyDiv w:val="1"/>
      <w:marLeft w:val="0"/>
      <w:marRight w:val="0"/>
      <w:marTop w:val="0"/>
      <w:marBottom w:val="0"/>
      <w:divBdr>
        <w:top w:val="none" w:sz="0" w:space="0" w:color="auto"/>
        <w:left w:val="none" w:sz="0" w:space="0" w:color="auto"/>
        <w:bottom w:val="none" w:sz="0" w:space="0" w:color="auto"/>
        <w:right w:val="none" w:sz="0" w:space="0" w:color="auto"/>
      </w:divBdr>
    </w:div>
    <w:div w:id="2030527726">
      <w:bodyDiv w:val="1"/>
      <w:marLeft w:val="0"/>
      <w:marRight w:val="0"/>
      <w:marTop w:val="0"/>
      <w:marBottom w:val="0"/>
      <w:divBdr>
        <w:top w:val="none" w:sz="0" w:space="0" w:color="auto"/>
        <w:left w:val="none" w:sz="0" w:space="0" w:color="auto"/>
        <w:bottom w:val="none" w:sz="0" w:space="0" w:color="auto"/>
        <w:right w:val="none" w:sz="0" w:space="0" w:color="auto"/>
      </w:divBdr>
    </w:div>
    <w:div w:id="2045330054">
      <w:bodyDiv w:val="1"/>
      <w:marLeft w:val="0"/>
      <w:marRight w:val="0"/>
      <w:marTop w:val="0"/>
      <w:marBottom w:val="0"/>
      <w:divBdr>
        <w:top w:val="none" w:sz="0" w:space="0" w:color="auto"/>
        <w:left w:val="none" w:sz="0" w:space="0" w:color="auto"/>
        <w:bottom w:val="none" w:sz="0" w:space="0" w:color="auto"/>
        <w:right w:val="none" w:sz="0" w:space="0" w:color="auto"/>
      </w:divBdr>
    </w:div>
    <w:div w:id="2092002992">
      <w:bodyDiv w:val="1"/>
      <w:marLeft w:val="0"/>
      <w:marRight w:val="0"/>
      <w:marTop w:val="0"/>
      <w:marBottom w:val="0"/>
      <w:divBdr>
        <w:top w:val="none" w:sz="0" w:space="0" w:color="auto"/>
        <w:left w:val="none" w:sz="0" w:space="0" w:color="auto"/>
        <w:bottom w:val="none" w:sz="0" w:space="0" w:color="auto"/>
        <w:right w:val="none" w:sz="0" w:space="0" w:color="auto"/>
      </w:divBdr>
    </w:div>
    <w:div w:id="2102215749">
      <w:bodyDiv w:val="1"/>
      <w:marLeft w:val="0"/>
      <w:marRight w:val="0"/>
      <w:marTop w:val="0"/>
      <w:marBottom w:val="0"/>
      <w:divBdr>
        <w:top w:val="none" w:sz="0" w:space="0" w:color="auto"/>
        <w:left w:val="none" w:sz="0" w:space="0" w:color="auto"/>
        <w:bottom w:val="none" w:sz="0" w:space="0" w:color="auto"/>
        <w:right w:val="none" w:sz="0" w:space="0" w:color="auto"/>
      </w:divBdr>
    </w:div>
    <w:div w:id="21318932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3" Type="http://schemas.openxmlformats.org/officeDocument/2006/relationships/hyperlink" Target="http://index.statelessness.eu/country/belgium" TargetMode="External"/><Relationship Id="rId18" Type="http://schemas.openxmlformats.org/officeDocument/2006/relationships/hyperlink" Target="https://www.belgium.be/sites/default/files/Accord_de_gouvernement_2020.pdf" TargetMode="External"/><Relationship Id="rId26" Type="http://schemas.openxmlformats.org/officeDocument/2006/relationships/hyperlink" Target="http://index.statelessness.eu/country/belgium" TargetMode="External"/><Relationship Id="rId3" Type="http://schemas.openxmlformats.org/officeDocument/2006/relationships/hyperlink" Target="http://www.institutesi.org" TargetMode="External"/><Relationship Id="rId21" Type="http://schemas.openxmlformats.org/officeDocument/2006/relationships/hyperlink" Target="https://www.refworld.org/docid/5ec5640c4.html" TargetMode="External"/><Relationship Id="rId34" Type="http://schemas.openxmlformats.org/officeDocument/2006/relationships/hyperlink" Target="https://www.unhcr.org/statistics/2020MYTannex.zip" TargetMode="External"/><Relationship Id="rId7" Type="http://schemas.openxmlformats.org/officeDocument/2006/relationships/hyperlink" Target="https://undocs.org/CRC/C/BEL/CO/5-6" TargetMode="External"/><Relationship Id="rId12" Type="http://schemas.openxmlformats.org/officeDocument/2006/relationships/hyperlink" Target="https://www.statelessness.eu/sites/www.statelessness.eu/files/ENS_Detention_Toolkit.pdf" TargetMode="External"/><Relationship Id="rId17" Type="http://schemas.openxmlformats.org/officeDocument/2006/relationships/hyperlink" Target="http://index.statelessness.eu/country/belgium" TargetMode="External"/><Relationship Id="rId25" Type="http://schemas.openxmlformats.org/officeDocument/2006/relationships/hyperlink" Target="https://supreme.justia.com/cases/federal/us/356/86/" TargetMode="External"/><Relationship Id="rId33" Type="http://schemas.openxmlformats.org/officeDocument/2006/relationships/hyperlink" Target="https://www.refworld.org/docid/5100f4b22.html" TargetMode="External"/><Relationship Id="rId2" Type="http://schemas.openxmlformats.org/officeDocument/2006/relationships/hyperlink" Target="http://www.statelessness.eu" TargetMode="External"/><Relationship Id="rId16" Type="http://schemas.openxmlformats.org/officeDocument/2006/relationships/hyperlink" Target="http://index.statelessness.eu/country/belgium" TargetMode="External"/><Relationship Id="rId20" Type="http://schemas.openxmlformats.org/officeDocument/2006/relationships/hyperlink" Target="https://www.institutesi.org/year-of-actionresources/principles-on-deprivation-of-nationality" TargetMode="External"/><Relationship Id="rId29" Type="http://schemas.openxmlformats.org/officeDocument/2006/relationships/hyperlink" Target="https://www.dekamer.be/FLWB/PDF/54/3487/54K3487001.pdf" TargetMode="External"/><Relationship Id="rId1" Type="http://schemas.openxmlformats.org/officeDocument/2006/relationships/hyperlink" Target="https://nansen-refugee.be/en/" TargetMode="External"/><Relationship Id="rId6" Type="http://schemas.openxmlformats.org/officeDocument/2006/relationships/hyperlink" Target="https://uprdoc.ohchr.org/uprweb/downloadfile.aspx?filename=2427&amp;file=EnglishTranslation" TargetMode="External"/><Relationship Id="rId11" Type="http://schemas.openxmlformats.org/officeDocument/2006/relationships/hyperlink" Target="https://www.statelessness.eu/sites/www.statelessness.eu/files/attachments/resources/ENS_LockeInLimbo_Detention_Agenda_online.pdf" TargetMode="External"/><Relationship Id="rId24" Type="http://schemas.openxmlformats.org/officeDocument/2006/relationships/hyperlink" Target="https://papers.ssrn.com/sol3/papers.cfm?abstract_id=2713742" TargetMode="External"/><Relationship Id="rId32" Type="http://schemas.openxmlformats.org/officeDocument/2006/relationships/hyperlink" Target="https://dofi.ibz.be/sites/default/files/2021-05/Cartes%20-%20statistiques%20%202019%20v3%20FR.pdf" TargetMode="External"/><Relationship Id="rId5" Type="http://schemas.openxmlformats.org/officeDocument/2006/relationships/hyperlink" Target="https://www.unhcr.org/ibelong/" TargetMode="External"/><Relationship Id="rId15" Type="http://schemas.openxmlformats.org/officeDocument/2006/relationships/hyperlink" Target="https://www.nansen-refugee.be/wp-content/uploads/2018/12/demandeurs-asile-frontiere-procedure-frontiere-detention.pdf" TargetMode="External"/><Relationship Id="rId23" Type="http://schemas.openxmlformats.org/officeDocument/2006/relationships/hyperlink" Target="https://files.institutesi.org/PRINCIPLES_Draft_Commentary.pdf" TargetMode="External"/><Relationship Id="rId28" Type="http://schemas.openxmlformats.org/officeDocument/2006/relationships/hyperlink" Target="http://index.statelessness.eu/country/belgium" TargetMode="External"/><Relationship Id="rId10" Type="http://schemas.openxmlformats.org/officeDocument/2006/relationships/hyperlink" Target="https://www.unhcr.org/be/wp-content/uploads/sites/46/2019/09/M%C3%A9morandum-2019-HCR-Am%C3%A9liorer-la-protection-des-r%C3%A9fugi%C3%A9s-et-des-apatrides-en-Belgique-et-dans-le-monde.pdf" TargetMode="External"/><Relationship Id="rId19" Type="http://schemas.openxmlformats.org/officeDocument/2006/relationships/hyperlink" Target="https://files.institutesi.org/PRINCIPLES.pdf" TargetMode="External"/><Relationship Id="rId31" Type="http://schemas.openxmlformats.org/officeDocument/2006/relationships/hyperlink" Target="https://treaties.un.org/Pages/ViewDetails.aspx?src=TREATY&amp;mtdsg_no=V-4&amp;chapter=5&amp;clang=_en" TargetMode="External"/><Relationship Id="rId4" Type="http://schemas.openxmlformats.org/officeDocument/2006/relationships/hyperlink" Target="https://index.statelessness.eu/country/belgium" TargetMode="External"/><Relationship Id="rId9" Type="http://schemas.openxmlformats.org/officeDocument/2006/relationships/hyperlink" Target="http://www.unhcr.org/uk/protection/statelessness/53b698ab9/handbook-protection-stateless-persons.html" TargetMode="External"/><Relationship Id="rId14" Type="http://schemas.openxmlformats.org/officeDocument/2006/relationships/hyperlink" Target="https://nansen-refugee.be/wp-content/uploads/2020/11/2.-Vulne%CC%81rabilite%CC%81s-en-de%CC%81tention-II.-Motivation-des-titres-de-de%CC%81tentiondef_clean.pdf" TargetMode="External"/><Relationship Id="rId22" Type="http://schemas.openxmlformats.org/officeDocument/2006/relationships/hyperlink" Target="https://files.institutesi.org/PRINCIPLES.pdf" TargetMode="External"/><Relationship Id="rId27" Type="http://schemas.openxmlformats.org/officeDocument/2006/relationships/hyperlink" Target="http://www.unhcr.org/uk/protection/statelessness/53b698ab9/handbook-protection-stateless-persons.html" TargetMode="External"/><Relationship Id="rId30" Type="http://schemas.openxmlformats.org/officeDocument/2006/relationships/hyperlink" Target="https://www.dekamer.be/FLWB/PDF/55/1610/55K1610011.pdf" TargetMode="External"/><Relationship Id="rId8" Type="http://schemas.openxmlformats.org/officeDocument/2006/relationships/hyperlink" Target="https://undocs.org/CCPR/C/BEL/CO/6" TargetMode="External"/></Relationships>
</file>

<file path=word/theme/theme1.xml><?xml version="1.0" encoding="utf-8"?>
<a:theme xmlns:a="http://schemas.openxmlformats.org/drawingml/2006/main" name="Office Theme">
  <a:themeElements>
    <a:clrScheme name="Institute on Statelessness and Inclusion">
      <a:dk1>
        <a:sysClr val="windowText" lastClr="000000"/>
      </a:dk1>
      <a:lt1>
        <a:sysClr val="window" lastClr="FFFFFF"/>
      </a:lt1>
      <a:dk2>
        <a:srgbClr val="000000"/>
      </a:dk2>
      <a:lt2>
        <a:srgbClr val="FFFFFF"/>
      </a:lt2>
      <a:accent1>
        <a:srgbClr val="29166F"/>
      </a:accent1>
      <a:accent2>
        <a:srgbClr val="F5821F"/>
      </a:accent2>
      <a:accent3>
        <a:srgbClr val="444444"/>
      </a:accent3>
      <a:accent4>
        <a:srgbClr val="77BB40"/>
      </a:accent4>
      <a:accent5>
        <a:srgbClr val="D4E3FE"/>
      </a:accent5>
      <a:accent6>
        <a:srgbClr val="000000"/>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6D895-8694-46C2-96E7-2BD82496DE74}">
  <ds:schemaRefs>
    <ds:schemaRef ds:uri="http://schemas.microsoft.com/sharepoint/v3/contenttype/forms"/>
  </ds:schemaRefs>
</ds:datastoreItem>
</file>

<file path=customXml/itemProps2.xml><?xml version="1.0" encoding="utf-8"?>
<ds:datastoreItem xmlns:ds="http://schemas.openxmlformats.org/officeDocument/2006/customXml" ds:itemID="{A3C42348-841D-4CC2-A171-E7FCCCF10A1B}"/>
</file>

<file path=customXml/itemProps3.xml><?xml version="1.0" encoding="utf-8"?>
<ds:datastoreItem xmlns:ds="http://schemas.openxmlformats.org/officeDocument/2006/customXml" ds:itemID="{1C6F4DC7-8BFD-4AE1-995F-A7476AA15AD6}">
  <ds:schemaRefs>
    <ds:schemaRef ds:uri="http://schemas.microsoft.com/office/2006/metadata/properties"/>
    <ds:schemaRef ds:uri="http://schemas.microsoft.com/office/infopath/2007/PartnerControls"/>
    <ds:schemaRef ds:uri="d01a9e1c-1a5d-4d33-87ed-4c05a0bd8805"/>
  </ds:schemaRefs>
</ds:datastoreItem>
</file>

<file path=customXml/itemProps4.xml><?xml version="1.0" encoding="utf-8"?>
<ds:datastoreItem xmlns:ds="http://schemas.openxmlformats.org/officeDocument/2006/customXml" ds:itemID="{3AAD579C-3961-4A53-A44D-5252EA218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3627</Words>
  <Characters>20674</Characters>
  <Application>Microsoft Office Word</Application>
  <DocSecurity>0</DocSecurity>
  <Lines>172</Lines>
  <Paragraphs>48</Paragraphs>
  <ScaleCrop>false</ScaleCrop>
  <HeadingPairs>
    <vt:vector size="10" baseType="variant">
      <vt:variant>
        <vt:lpstr>Title</vt:lpstr>
      </vt:variant>
      <vt:variant>
        <vt:i4>1</vt:i4>
      </vt:variant>
      <vt:variant>
        <vt:lpstr>Titre</vt:lpstr>
      </vt:variant>
      <vt:variant>
        <vt:i4>1</vt:i4>
      </vt:variant>
      <vt:variant>
        <vt:lpstr>Τίτλος</vt:lpstr>
      </vt:variant>
      <vt:variant>
        <vt:i4>1</vt:i4>
      </vt:variant>
      <vt:variant>
        <vt:lpstr>Titel</vt:lpstr>
      </vt:variant>
      <vt:variant>
        <vt:i4>1</vt:i4>
      </vt:variant>
      <vt:variant>
        <vt:lpstr>Naslov</vt:lpstr>
      </vt:variant>
      <vt:variant>
        <vt:i4>1</vt:i4>
      </vt:variant>
    </vt:vector>
  </HeadingPairs>
  <TitlesOfParts>
    <vt:vector size="5" baseType="lpstr">
      <vt:lpstr/>
      <vt:lpstr/>
      <vt:lpstr/>
      <vt:lpstr/>
      <vt:lpstr/>
    </vt:vector>
  </TitlesOfParts>
  <Company/>
  <LinksUpToDate>false</LinksUpToDate>
  <CharactersWithSpaces>24253</CharactersWithSpaces>
  <SharedDoc>false</SharedDoc>
  <HLinks>
    <vt:vector size="204" baseType="variant">
      <vt:variant>
        <vt:i4>655376</vt:i4>
      </vt:variant>
      <vt:variant>
        <vt:i4>102</vt:i4>
      </vt:variant>
      <vt:variant>
        <vt:i4>0</vt:i4>
      </vt:variant>
      <vt:variant>
        <vt:i4>5</vt:i4>
      </vt:variant>
      <vt:variant>
        <vt:lpwstr>https://www.unhcr.org/statistics/2020MYTannex.zip</vt:lpwstr>
      </vt:variant>
      <vt:variant>
        <vt:lpwstr/>
      </vt:variant>
      <vt:variant>
        <vt:i4>1114192</vt:i4>
      </vt:variant>
      <vt:variant>
        <vt:i4>99</vt:i4>
      </vt:variant>
      <vt:variant>
        <vt:i4>0</vt:i4>
      </vt:variant>
      <vt:variant>
        <vt:i4>5</vt:i4>
      </vt:variant>
      <vt:variant>
        <vt:lpwstr>https://www.refworld.org/docid/5100f4b22.html</vt:lpwstr>
      </vt:variant>
      <vt:variant>
        <vt:lpwstr/>
      </vt:variant>
      <vt:variant>
        <vt:i4>6029382</vt:i4>
      </vt:variant>
      <vt:variant>
        <vt:i4>96</vt:i4>
      </vt:variant>
      <vt:variant>
        <vt:i4>0</vt:i4>
      </vt:variant>
      <vt:variant>
        <vt:i4>5</vt:i4>
      </vt:variant>
      <vt:variant>
        <vt:lpwstr>https://dofi.ibz.be/sites/default/files/2021-05/Cartes - statistiques  2019 v3 FR.pdf</vt:lpwstr>
      </vt:variant>
      <vt:variant>
        <vt:lpwstr/>
      </vt:variant>
      <vt:variant>
        <vt:i4>4980752</vt:i4>
      </vt:variant>
      <vt:variant>
        <vt:i4>93</vt:i4>
      </vt:variant>
      <vt:variant>
        <vt:i4>0</vt:i4>
      </vt:variant>
      <vt:variant>
        <vt:i4>5</vt:i4>
      </vt:variant>
      <vt:variant>
        <vt:lpwstr>https://treaties.un.org/Pages/ViewDetails.aspx?src=TREATY&amp;mtdsg_no=V-4&amp;chapter=5&amp;clang=_en</vt:lpwstr>
      </vt:variant>
      <vt:variant>
        <vt:lpwstr>EndDec</vt:lpwstr>
      </vt:variant>
      <vt:variant>
        <vt:i4>3080250</vt:i4>
      </vt:variant>
      <vt:variant>
        <vt:i4>90</vt:i4>
      </vt:variant>
      <vt:variant>
        <vt:i4>0</vt:i4>
      </vt:variant>
      <vt:variant>
        <vt:i4>5</vt:i4>
      </vt:variant>
      <vt:variant>
        <vt:lpwstr>https://www.dekamer.be/FLWB/PDF/55/1610/55K1610011.pdf</vt:lpwstr>
      </vt:variant>
      <vt:variant>
        <vt:lpwstr/>
      </vt:variant>
      <vt:variant>
        <vt:i4>3080251</vt:i4>
      </vt:variant>
      <vt:variant>
        <vt:i4>87</vt:i4>
      </vt:variant>
      <vt:variant>
        <vt:i4>0</vt:i4>
      </vt:variant>
      <vt:variant>
        <vt:i4>5</vt:i4>
      </vt:variant>
      <vt:variant>
        <vt:lpwstr>https://www.dekamer.be/FLWB/PDF/54/3487/54K3487001.pdf</vt:lpwstr>
      </vt:variant>
      <vt:variant>
        <vt:lpwstr/>
      </vt:variant>
      <vt:variant>
        <vt:i4>4718601</vt:i4>
      </vt:variant>
      <vt:variant>
        <vt:i4>84</vt:i4>
      </vt:variant>
      <vt:variant>
        <vt:i4>0</vt:i4>
      </vt:variant>
      <vt:variant>
        <vt:i4>5</vt:i4>
      </vt:variant>
      <vt:variant>
        <vt:lpwstr>http://index.statelessness.eu/country/belgium</vt:lpwstr>
      </vt:variant>
      <vt:variant>
        <vt:lpwstr/>
      </vt:variant>
      <vt:variant>
        <vt:i4>720907</vt:i4>
      </vt:variant>
      <vt:variant>
        <vt:i4>81</vt:i4>
      </vt:variant>
      <vt:variant>
        <vt:i4>0</vt:i4>
      </vt:variant>
      <vt:variant>
        <vt:i4>5</vt:i4>
      </vt:variant>
      <vt:variant>
        <vt:lpwstr>http://www.unhcr.org/uk/protection/statelessness/53b698ab9/handbook-protection-stateless-persons.html</vt:lpwstr>
      </vt:variant>
      <vt:variant>
        <vt:lpwstr/>
      </vt:variant>
      <vt:variant>
        <vt:i4>4718601</vt:i4>
      </vt:variant>
      <vt:variant>
        <vt:i4>78</vt:i4>
      </vt:variant>
      <vt:variant>
        <vt:i4>0</vt:i4>
      </vt:variant>
      <vt:variant>
        <vt:i4>5</vt:i4>
      </vt:variant>
      <vt:variant>
        <vt:lpwstr>http://index.statelessness.eu/country/belgium</vt:lpwstr>
      </vt:variant>
      <vt:variant>
        <vt:lpwstr/>
      </vt:variant>
      <vt:variant>
        <vt:i4>3276918</vt:i4>
      </vt:variant>
      <vt:variant>
        <vt:i4>75</vt:i4>
      </vt:variant>
      <vt:variant>
        <vt:i4>0</vt:i4>
      </vt:variant>
      <vt:variant>
        <vt:i4>5</vt:i4>
      </vt:variant>
      <vt:variant>
        <vt:lpwstr>https://supreme.justia.com/cases/federal/us/356/86/</vt:lpwstr>
      </vt:variant>
      <vt:variant>
        <vt:lpwstr/>
      </vt:variant>
      <vt:variant>
        <vt:i4>3604554</vt:i4>
      </vt:variant>
      <vt:variant>
        <vt:i4>72</vt:i4>
      </vt:variant>
      <vt:variant>
        <vt:i4>0</vt:i4>
      </vt:variant>
      <vt:variant>
        <vt:i4>5</vt:i4>
      </vt:variant>
      <vt:variant>
        <vt:lpwstr>https://papers.ssrn.com/sol3/papers.cfm?abstract_id=2713742</vt:lpwstr>
      </vt:variant>
      <vt:variant>
        <vt:lpwstr/>
      </vt:variant>
      <vt:variant>
        <vt:i4>1376324</vt:i4>
      </vt:variant>
      <vt:variant>
        <vt:i4>69</vt:i4>
      </vt:variant>
      <vt:variant>
        <vt:i4>0</vt:i4>
      </vt:variant>
      <vt:variant>
        <vt:i4>5</vt:i4>
      </vt:variant>
      <vt:variant>
        <vt:lpwstr>https://files.institutesi.org/PRINCIPLES_Draft_Commentary.pdf</vt:lpwstr>
      </vt:variant>
      <vt:variant>
        <vt:lpwstr/>
      </vt:variant>
      <vt:variant>
        <vt:i4>5570590</vt:i4>
      </vt:variant>
      <vt:variant>
        <vt:i4>66</vt:i4>
      </vt:variant>
      <vt:variant>
        <vt:i4>0</vt:i4>
      </vt:variant>
      <vt:variant>
        <vt:i4>5</vt:i4>
      </vt:variant>
      <vt:variant>
        <vt:lpwstr>https://files.institutesi.org/PRINCIPLES.pdf</vt:lpwstr>
      </vt:variant>
      <vt:variant>
        <vt:lpwstr/>
      </vt:variant>
      <vt:variant>
        <vt:i4>4587600</vt:i4>
      </vt:variant>
      <vt:variant>
        <vt:i4>63</vt:i4>
      </vt:variant>
      <vt:variant>
        <vt:i4>0</vt:i4>
      </vt:variant>
      <vt:variant>
        <vt:i4>5</vt:i4>
      </vt:variant>
      <vt:variant>
        <vt:lpwstr>https://www.refworld.org/docid/5ec5640c4.html</vt:lpwstr>
      </vt:variant>
      <vt:variant>
        <vt:lpwstr/>
      </vt:variant>
      <vt:variant>
        <vt:i4>4980740</vt:i4>
      </vt:variant>
      <vt:variant>
        <vt:i4>60</vt:i4>
      </vt:variant>
      <vt:variant>
        <vt:i4>0</vt:i4>
      </vt:variant>
      <vt:variant>
        <vt:i4>5</vt:i4>
      </vt:variant>
      <vt:variant>
        <vt:lpwstr>https://www.institutesi.org/year-of-actionresources/principles-on-deprivation-of-nationality</vt:lpwstr>
      </vt:variant>
      <vt:variant>
        <vt:lpwstr/>
      </vt:variant>
      <vt:variant>
        <vt:i4>5570590</vt:i4>
      </vt:variant>
      <vt:variant>
        <vt:i4>57</vt:i4>
      </vt:variant>
      <vt:variant>
        <vt:i4>0</vt:i4>
      </vt:variant>
      <vt:variant>
        <vt:i4>5</vt:i4>
      </vt:variant>
      <vt:variant>
        <vt:lpwstr>https://files.institutesi.org/PRINCIPLES.pdf</vt:lpwstr>
      </vt:variant>
      <vt:variant>
        <vt:lpwstr/>
      </vt:variant>
      <vt:variant>
        <vt:i4>6488134</vt:i4>
      </vt:variant>
      <vt:variant>
        <vt:i4>54</vt:i4>
      </vt:variant>
      <vt:variant>
        <vt:i4>0</vt:i4>
      </vt:variant>
      <vt:variant>
        <vt:i4>5</vt:i4>
      </vt:variant>
      <vt:variant>
        <vt:lpwstr>https://www.belgium.be/sites/default/files/Accord_de_gouvernement_2020.pdf</vt:lpwstr>
      </vt:variant>
      <vt:variant>
        <vt:lpwstr/>
      </vt:variant>
      <vt:variant>
        <vt:i4>4718601</vt:i4>
      </vt:variant>
      <vt:variant>
        <vt:i4>51</vt:i4>
      </vt:variant>
      <vt:variant>
        <vt:i4>0</vt:i4>
      </vt:variant>
      <vt:variant>
        <vt:i4>5</vt:i4>
      </vt:variant>
      <vt:variant>
        <vt:lpwstr>http://index.statelessness.eu/country/belgium</vt:lpwstr>
      </vt:variant>
      <vt:variant>
        <vt:lpwstr/>
      </vt:variant>
      <vt:variant>
        <vt:i4>4718601</vt:i4>
      </vt:variant>
      <vt:variant>
        <vt:i4>48</vt:i4>
      </vt:variant>
      <vt:variant>
        <vt:i4>0</vt:i4>
      </vt:variant>
      <vt:variant>
        <vt:i4>5</vt:i4>
      </vt:variant>
      <vt:variant>
        <vt:lpwstr>http://index.statelessness.eu/country/belgium</vt:lpwstr>
      </vt:variant>
      <vt:variant>
        <vt:lpwstr/>
      </vt:variant>
      <vt:variant>
        <vt:i4>131100</vt:i4>
      </vt:variant>
      <vt:variant>
        <vt:i4>45</vt:i4>
      </vt:variant>
      <vt:variant>
        <vt:i4>0</vt:i4>
      </vt:variant>
      <vt:variant>
        <vt:i4>5</vt:i4>
      </vt:variant>
      <vt:variant>
        <vt:lpwstr>https://www.nansen-refugee.be/wp-content/uploads/2018/12/demandeurs-asile-frontiere-procedure-frontiere-detention.pdf</vt:lpwstr>
      </vt:variant>
      <vt:variant>
        <vt:lpwstr/>
      </vt:variant>
      <vt:variant>
        <vt:i4>6094956</vt:i4>
      </vt:variant>
      <vt:variant>
        <vt:i4>42</vt:i4>
      </vt:variant>
      <vt:variant>
        <vt:i4>0</vt:i4>
      </vt:variant>
      <vt:variant>
        <vt:i4>5</vt:i4>
      </vt:variant>
      <vt:variant>
        <vt:lpwstr>https://nansen-refugee.be/wp-content/uploads/2020/11/2.-Vulne%CC%81rabilite%CC%81s-en-de%CC%81tention-II.-Motivation-des-titres-de-de%CC%81tentiondef_clean.pdf</vt:lpwstr>
      </vt:variant>
      <vt:variant>
        <vt:lpwstr/>
      </vt:variant>
      <vt:variant>
        <vt:i4>4718601</vt:i4>
      </vt:variant>
      <vt:variant>
        <vt:i4>39</vt:i4>
      </vt:variant>
      <vt:variant>
        <vt:i4>0</vt:i4>
      </vt:variant>
      <vt:variant>
        <vt:i4>5</vt:i4>
      </vt:variant>
      <vt:variant>
        <vt:lpwstr>http://index.statelessness.eu/country/belgium</vt:lpwstr>
      </vt:variant>
      <vt:variant>
        <vt:lpwstr/>
      </vt:variant>
      <vt:variant>
        <vt:i4>3014716</vt:i4>
      </vt:variant>
      <vt:variant>
        <vt:i4>36</vt:i4>
      </vt:variant>
      <vt:variant>
        <vt:i4>0</vt:i4>
      </vt:variant>
      <vt:variant>
        <vt:i4>5</vt:i4>
      </vt:variant>
      <vt:variant>
        <vt:lpwstr>https://www.statelessness.eu/sites/www.statelessness.eu/files/ENS_Detention_Toolkit.pdf</vt:lpwstr>
      </vt:variant>
      <vt:variant>
        <vt:lpwstr/>
      </vt:variant>
      <vt:variant>
        <vt:i4>655368</vt:i4>
      </vt:variant>
      <vt:variant>
        <vt:i4>33</vt:i4>
      </vt:variant>
      <vt:variant>
        <vt:i4>0</vt:i4>
      </vt:variant>
      <vt:variant>
        <vt:i4>5</vt:i4>
      </vt:variant>
      <vt:variant>
        <vt:lpwstr>https://www.statelessness.eu/sites/www.statelessness.eu/files/attachments/resources/ENS_LockeInLimbo_Detention_Agenda_online.pdf</vt:lpwstr>
      </vt:variant>
      <vt:variant>
        <vt:lpwstr/>
      </vt:variant>
      <vt:variant>
        <vt:i4>8126503</vt:i4>
      </vt:variant>
      <vt:variant>
        <vt:i4>30</vt:i4>
      </vt:variant>
      <vt:variant>
        <vt:i4>0</vt:i4>
      </vt:variant>
      <vt:variant>
        <vt:i4>5</vt:i4>
      </vt:variant>
      <vt:variant>
        <vt:lpwstr>https://www.unhcr.org/be/wp-content/uploads/sites/46/2019/09/M%C3%A9morandum-2019-HCR-Am%C3%A9liorer-la-protection-des-r%C3%A9fugi%C3%A9s-et-des-apatrides-en-Belgique-et-dans-le-monde.pdf</vt:lpwstr>
      </vt:variant>
      <vt:variant>
        <vt:lpwstr/>
      </vt:variant>
      <vt:variant>
        <vt:i4>720907</vt:i4>
      </vt:variant>
      <vt:variant>
        <vt:i4>27</vt:i4>
      </vt:variant>
      <vt:variant>
        <vt:i4>0</vt:i4>
      </vt:variant>
      <vt:variant>
        <vt:i4>5</vt:i4>
      </vt:variant>
      <vt:variant>
        <vt:lpwstr>http://www.unhcr.org/uk/protection/statelessness/53b698ab9/handbook-protection-stateless-persons.html</vt:lpwstr>
      </vt:variant>
      <vt:variant>
        <vt:lpwstr/>
      </vt:variant>
      <vt:variant>
        <vt:i4>7012465</vt:i4>
      </vt:variant>
      <vt:variant>
        <vt:i4>24</vt:i4>
      </vt:variant>
      <vt:variant>
        <vt:i4>0</vt:i4>
      </vt:variant>
      <vt:variant>
        <vt:i4>5</vt:i4>
      </vt:variant>
      <vt:variant>
        <vt:lpwstr>https://undocs.org/CCPR/C/BEL/CO/6</vt:lpwstr>
      </vt:variant>
      <vt:variant>
        <vt:lpwstr/>
      </vt:variant>
      <vt:variant>
        <vt:i4>6750243</vt:i4>
      </vt:variant>
      <vt:variant>
        <vt:i4>18</vt:i4>
      </vt:variant>
      <vt:variant>
        <vt:i4>0</vt:i4>
      </vt:variant>
      <vt:variant>
        <vt:i4>5</vt:i4>
      </vt:variant>
      <vt:variant>
        <vt:lpwstr>https://undocs.org/CRC/C/BEL/CO/5-6</vt:lpwstr>
      </vt:variant>
      <vt:variant>
        <vt:lpwstr/>
      </vt:variant>
      <vt:variant>
        <vt:i4>4128830</vt:i4>
      </vt:variant>
      <vt:variant>
        <vt:i4>15</vt:i4>
      </vt:variant>
      <vt:variant>
        <vt:i4>0</vt:i4>
      </vt:variant>
      <vt:variant>
        <vt:i4>5</vt:i4>
      </vt:variant>
      <vt:variant>
        <vt:lpwstr>https://uprdoc.ohchr.org/uprweb/downloadfile.aspx?filename=2427&amp;file=EnglishTranslation</vt:lpwstr>
      </vt:variant>
      <vt:variant>
        <vt:lpwstr/>
      </vt:variant>
      <vt:variant>
        <vt:i4>7929891</vt:i4>
      </vt:variant>
      <vt:variant>
        <vt:i4>12</vt:i4>
      </vt:variant>
      <vt:variant>
        <vt:i4>0</vt:i4>
      </vt:variant>
      <vt:variant>
        <vt:i4>5</vt:i4>
      </vt:variant>
      <vt:variant>
        <vt:lpwstr>https://www.unhcr.org/ibelong/</vt:lpwstr>
      </vt:variant>
      <vt:variant>
        <vt:lpwstr/>
      </vt:variant>
      <vt:variant>
        <vt:i4>8126499</vt:i4>
      </vt:variant>
      <vt:variant>
        <vt:i4>9</vt:i4>
      </vt:variant>
      <vt:variant>
        <vt:i4>0</vt:i4>
      </vt:variant>
      <vt:variant>
        <vt:i4>5</vt:i4>
      </vt:variant>
      <vt:variant>
        <vt:lpwstr>https://index.statelessness.eu/country/belgium</vt:lpwstr>
      </vt:variant>
      <vt:variant>
        <vt:lpwstr/>
      </vt:variant>
      <vt:variant>
        <vt:i4>2687077</vt:i4>
      </vt:variant>
      <vt:variant>
        <vt:i4>6</vt:i4>
      </vt:variant>
      <vt:variant>
        <vt:i4>0</vt:i4>
      </vt:variant>
      <vt:variant>
        <vt:i4>5</vt:i4>
      </vt:variant>
      <vt:variant>
        <vt:lpwstr>http://www.institutesi.org/</vt:lpwstr>
      </vt:variant>
      <vt:variant>
        <vt:lpwstr/>
      </vt:variant>
      <vt:variant>
        <vt:i4>1441801</vt:i4>
      </vt:variant>
      <vt:variant>
        <vt:i4>3</vt:i4>
      </vt:variant>
      <vt:variant>
        <vt:i4>0</vt:i4>
      </vt:variant>
      <vt:variant>
        <vt:i4>5</vt:i4>
      </vt:variant>
      <vt:variant>
        <vt:lpwstr>http://www.statelessness.eu/</vt:lpwstr>
      </vt:variant>
      <vt:variant>
        <vt:lpwstr/>
      </vt:variant>
      <vt:variant>
        <vt:i4>5767251</vt:i4>
      </vt:variant>
      <vt:variant>
        <vt:i4>0</vt:i4>
      </vt:variant>
      <vt:variant>
        <vt:i4>0</vt:i4>
      </vt:variant>
      <vt:variant>
        <vt:i4>5</vt:i4>
      </vt:variant>
      <vt:variant>
        <vt:lpwstr>https://nansen-refugee.be/en/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Karanika</dc:creator>
  <cp:keywords/>
  <cp:lastModifiedBy>Sangita Bajulaiye</cp:lastModifiedBy>
  <cp:revision>2</cp:revision>
  <cp:lastPrinted>2020-10-12T23:43:00Z</cp:lastPrinted>
  <dcterms:created xsi:type="dcterms:W3CDTF">2021-06-14T09:28:00Z</dcterms:created>
  <dcterms:modified xsi:type="dcterms:W3CDTF">2021-06-14T09:28:00Z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