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AA4F0B" w14:textId="77777777" w:rsidR="0034590E" w:rsidRDefault="0034590E" w:rsidP="00CE29A9">
      <w:pPr>
        <w:jc w:val="both"/>
        <w:rPr>
          <w:b/>
        </w:rPr>
      </w:pPr>
    </w:p>
    <w:p w14:paraId="54D84F10" w14:textId="2A5CD9F3" w:rsidR="00C73582" w:rsidRPr="00C73582" w:rsidRDefault="00C73582" w:rsidP="00CE29A9">
      <w:pPr>
        <w:jc w:val="center"/>
        <w:rPr>
          <w:b/>
        </w:rPr>
      </w:pPr>
      <w:r w:rsidRPr="00C73582">
        <w:rPr>
          <w:b/>
          <w:lang w:val="uz-Cyrl-UZ"/>
        </w:rPr>
        <w:t xml:space="preserve">Supplementary </w:t>
      </w:r>
      <w:r w:rsidRPr="00C73582">
        <w:rPr>
          <w:b/>
        </w:rPr>
        <w:t>I</w:t>
      </w:r>
      <w:r w:rsidRPr="00C73582">
        <w:rPr>
          <w:b/>
          <w:lang w:val="uz-Cyrl-UZ"/>
        </w:rPr>
        <w:t xml:space="preserve">nformation for the </w:t>
      </w:r>
      <w:r w:rsidRPr="00C73582">
        <w:rPr>
          <w:b/>
        </w:rPr>
        <w:t>A</w:t>
      </w:r>
      <w:r w:rsidRPr="00C73582">
        <w:rPr>
          <w:b/>
          <w:lang w:val="uz-Cyrl-UZ"/>
        </w:rPr>
        <w:t xml:space="preserve">doption of the </w:t>
      </w:r>
      <w:r w:rsidRPr="00C73582">
        <w:rPr>
          <w:b/>
        </w:rPr>
        <w:t>L</w:t>
      </w:r>
      <w:r w:rsidRPr="00C73582">
        <w:rPr>
          <w:b/>
          <w:lang w:val="uz-Cyrl-UZ"/>
        </w:rPr>
        <w:t xml:space="preserve">ist of </w:t>
      </w:r>
      <w:r w:rsidRPr="00C73582">
        <w:rPr>
          <w:b/>
        </w:rPr>
        <w:t>I</w:t>
      </w:r>
      <w:r w:rsidRPr="00C73582">
        <w:rPr>
          <w:b/>
          <w:lang w:val="uz-Cyrl-UZ"/>
        </w:rPr>
        <w:t>ssues on Pakistan</w:t>
      </w:r>
    </w:p>
    <w:p w14:paraId="095DF7FA" w14:textId="472205EF" w:rsidR="00C73582" w:rsidRPr="00C73582" w:rsidRDefault="00C73582" w:rsidP="00CE29A9">
      <w:pPr>
        <w:jc w:val="center"/>
        <w:rPr>
          <w:b/>
          <w:lang w:val="uz-Cyrl-UZ"/>
        </w:rPr>
      </w:pPr>
      <w:r w:rsidRPr="00C73582">
        <w:rPr>
          <w:b/>
          <w:lang w:val="uz-Cyrl-UZ"/>
        </w:rPr>
        <w:t>for Consideration by</w:t>
      </w:r>
    </w:p>
    <w:p w14:paraId="74FED928" w14:textId="77777777" w:rsidR="00C73582" w:rsidRPr="00C73582" w:rsidRDefault="00C73582" w:rsidP="00CE29A9">
      <w:pPr>
        <w:jc w:val="center"/>
        <w:rPr>
          <w:b/>
        </w:rPr>
      </w:pPr>
      <w:r w:rsidRPr="00C73582">
        <w:rPr>
          <w:b/>
          <w:lang w:val="uz-Cyrl-UZ"/>
        </w:rPr>
        <w:t xml:space="preserve">Pre-Sessional </w:t>
      </w:r>
      <w:r w:rsidRPr="00C73582">
        <w:rPr>
          <w:b/>
        </w:rPr>
        <w:t>CEDAW Working Group</w:t>
      </w:r>
    </w:p>
    <w:p w14:paraId="6FDDBB3B" w14:textId="7F4A86AD" w:rsidR="00C73582" w:rsidRPr="00C73582" w:rsidRDefault="00C73582" w:rsidP="00CE29A9">
      <w:pPr>
        <w:jc w:val="center"/>
        <w:rPr>
          <w:b/>
        </w:rPr>
      </w:pPr>
      <w:r w:rsidRPr="00C73582">
        <w:rPr>
          <w:b/>
          <w:lang w:val="uz-Cyrl-UZ"/>
        </w:rPr>
        <w:t xml:space="preserve">and </w:t>
      </w:r>
      <w:r w:rsidRPr="00C73582">
        <w:rPr>
          <w:b/>
        </w:rPr>
        <w:t xml:space="preserve">by </w:t>
      </w:r>
      <w:r w:rsidRPr="00C73582">
        <w:rPr>
          <w:b/>
          <w:lang w:val="uz-Cyrl-UZ"/>
        </w:rPr>
        <w:t xml:space="preserve">the </w:t>
      </w:r>
      <w:r w:rsidRPr="00C73582">
        <w:rPr>
          <w:b/>
        </w:rPr>
        <w:t>Committee</w:t>
      </w:r>
      <w:r w:rsidRPr="00C73582">
        <w:rPr>
          <w:b/>
          <w:lang w:val="uz-Cyrl-UZ"/>
        </w:rPr>
        <w:t xml:space="preserve"> in its 75</w:t>
      </w:r>
      <w:r w:rsidRPr="00C73582">
        <w:rPr>
          <w:b/>
          <w:vertAlign w:val="superscript"/>
          <w:lang w:val="uz-Cyrl-UZ"/>
        </w:rPr>
        <w:t>th</w:t>
      </w:r>
      <w:r w:rsidRPr="00C73582">
        <w:rPr>
          <w:b/>
          <w:lang w:val="uz-Cyrl-UZ"/>
        </w:rPr>
        <w:t xml:space="preserve"> session</w:t>
      </w:r>
    </w:p>
    <w:p w14:paraId="2864AF43" w14:textId="77777777" w:rsidR="00C73582" w:rsidRDefault="00C73582" w:rsidP="00CE29A9">
      <w:pPr>
        <w:jc w:val="center"/>
        <w:rPr>
          <w:b/>
          <w:u w:val="single"/>
          <w:lang w:val="uz-Cyrl-UZ"/>
        </w:rPr>
      </w:pPr>
      <w:r w:rsidRPr="00C73582">
        <w:rPr>
          <w:b/>
          <w:u w:val="single"/>
          <w:lang w:val="uz-Cyrl-UZ"/>
        </w:rPr>
        <w:t xml:space="preserve">Joint </w:t>
      </w:r>
      <w:r w:rsidRPr="00C73582">
        <w:rPr>
          <w:b/>
          <w:u w:val="single"/>
        </w:rPr>
        <w:t xml:space="preserve">Stakeholder </w:t>
      </w:r>
      <w:r w:rsidRPr="00C73582">
        <w:rPr>
          <w:b/>
          <w:u w:val="single"/>
          <w:lang w:val="uz-Cyrl-UZ"/>
        </w:rPr>
        <w:t>Submission</w:t>
      </w:r>
    </w:p>
    <w:p w14:paraId="516A6407" w14:textId="332EED92" w:rsidR="00CE29A9" w:rsidRPr="00CE29A9" w:rsidRDefault="00CE29A9" w:rsidP="00CE29A9">
      <w:pPr>
        <w:jc w:val="center"/>
        <w:rPr>
          <w:b/>
        </w:rPr>
      </w:pPr>
      <w:r w:rsidRPr="00CE29A9">
        <w:rPr>
          <w:b/>
        </w:rPr>
        <w:t>11 June 2019</w:t>
      </w:r>
    </w:p>
    <w:p w14:paraId="39A45550" w14:textId="691D876B" w:rsidR="00C73582" w:rsidRPr="00C73582" w:rsidRDefault="00C73582" w:rsidP="00CE29A9">
      <w:pPr>
        <w:jc w:val="center"/>
        <w:rPr>
          <w:b/>
        </w:rPr>
      </w:pPr>
      <w:r>
        <w:rPr>
          <w:b/>
          <w:lang w:val="uz-Cyrl-UZ"/>
        </w:rPr>
        <w:t>Submitted</w:t>
      </w:r>
      <w:r w:rsidR="00954B49">
        <w:rPr>
          <w:b/>
          <w:lang w:val="uz-Cyrl-UZ"/>
        </w:rPr>
        <w:t xml:space="preserve"> by Young Omang </w:t>
      </w:r>
      <w:r>
        <w:rPr>
          <w:b/>
        </w:rPr>
        <w:t>Pakistan</w:t>
      </w:r>
    </w:p>
    <w:p w14:paraId="29A711B8" w14:textId="6495B530" w:rsidR="0034590E" w:rsidRPr="00D25CB7" w:rsidRDefault="00954B49" w:rsidP="00CE29A9">
      <w:pPr>
        <w:jc w:val="both"/>
      </w:pPr>
      <w:r>
        <w:t xml:space="preserve">Young </w:t>
      </w:r>
      <w:r w:rsidR="00CE29A9">
        <w:t xml:space="preserve">Omang </w:t>
      </w:r>
      <w:r w:rsidR="00CE29A9" w:rsidRPr="00D25CB7">
        <w:t>aims</w:t>
      </w:r>
      <w:r w:rsidR="00C73582" w:rsidRPr="00D25CB7">
        <w:t xml:space="preserve"> to be an effective voice for young people’s sexual and reproductive health and rights (SRHR) in Pakistan. It comprises of ten member organizations that bring with them a combination of regional diversity and unique strengths. </w:t>
      </w:r>
    </w:p>
    <w:p w14:paraId="70341661" w14:textId="7658AF86" w:rsidR="00C73582" w:rsidRPr="00D25CB7" w:rsidRDefault="00C73582" w:rsidP="00CE29A9">
      <w:pPr>
        <w:jc w:val="both"/>
      </w:pPr>
      <w:r w:rsidRPr="00D25CB7">
        <w:t xml:space="preserve">The </w:t>
      </w:r>
      <w:r w:rsidR="00D25CB7" w:rsidRPr="00D25CB7">
        <w:t>members’</w:t>
      </w:r>
      <w:r w:rsidRPr="00D25CB7">
        <w:t xml:space="preserve"> organi</w:t>
      </w:r>
      <w:r w:rsidR="00CE29A9">
        <w:t>zations include: Aahung, Aware G</w:t>
      </w:r>
      <w:r w:rsidRPr="00D25CB7">
        <w:t xml:space="preserve">irls, Blue Veins, Bargad, Chanan Development Association (CDA), Forum for Dignity Initiatives-(fdi), Idara-e-Taleem-o-Aghai (ITA), Indus Resource Center (IRC), Rahnuma-Family Planning </w:t>
      </w:r>
      <w:r w:rsidR="00D25CB7" w:rsidRPr="00D25CB7">
        <w:t>Association</w:t>
      </w:r>
      <w:r w:rsidRPr="00D25CB7">
        <w:t xml:space="preserve"> (R-FPAP), and Youth Advocacy Network</w:t>
      </w:r>
      <w:r w:rsidR="00D25CB7">
        <w:t xml:space="preserve"> </w:t>
      </w:r>
      <w:r w:rsidR="00D25CB7" w:rsidRPr="00D25CB7">
        <w:t xml:space="preserve">(YAN). </w:t>
      </w:r>
    </w:p>
    <w:p w14:paraId="095F8694" w14:textId="77777777" w:rsidR="0034590E" w:rsidRPr="00D25CB7" w:rsidRDefault="0034590E" w:rsidP="00CE29A9">
      <w:pPr>
        <w:jc w:val="both"/>
      </w:pPr>
    </w:p>
    <w:p w14:paraId="30BAA13A" w14:textId="77777777" w:rsidR="0034590E" w:rsidRDefault="0034590E" w:rsidP="00CE29A9">
      <w:pPr>
        <w:jc w:val="both"/>
        <w:rPr>
          <w:b/>
        </w:rPr>
      </w:pPr>
      <w:bookmarkStart w:id="0" w:name="_GoBack"/>
      <w:bookmarkEnd w:id="0"/>
    </w:p>
    <w:p w14:paraId="02C7F029" w14:textId="77777777" w:rsidR="0034590E" w:rsidRDefault="0034590E" w:rsidP="00CE29A9">
      <w:pPr>
        <w:jc w:val="both"/>
        <w:rPr>
          <w:b/>
        </w:rPr>
      </w:pPr>
    </w:p>
    <w:p w14:paraId="4B551050" w14:textId="225E1DDB" w:rsidR="0034590E" w:rsidRDefault="00954B49" w:rsidP="00CE29A9">
      <w:pPr>
        <w:jc w:val="center"/>
        <w:rPr>
          <w:b/>
        </w:rPr>
      </w:pPr>
      <w:r w:rsidRPr="00954B49">
        <w:rPr>
          <w:b/>
          <w:noProof/>
        </w:rPr>
        <w:drawing>
          <wp:inline distT="0" distB="0" distL="0" distR="0" wp14:anchorId="797D06D1" wp14:editId="56C36DF4">
            <wp:extent cx="2295525" cy="2514600"/>
            <wp:effectExtent l="0" t="0" r="9525" b="0"/>
            <wp:docPr id="1" name="Picture 1" descr="C:\Users\personal\Desktop\young omang 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rsonal\Desktop\young omang logo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5525" cy="2514600"/>
                    </a:xfrm>
                    <a:prstGeom prst="rect">
                      <a:avLst/>
                    </a:prstGeom>
                    <a:noFill/>
                    <a:ln>
                      <a:noFill/>
                    </a:ln>
                  </pic:spPr>
                </pic:pic>
              </a:graphicData>
            </a:graphic>
          </wp:inline>
        </w:drawing>
      </w:r>
    </w:p>
    <w:p w14:paraId="195FA87B" w14:textId="77777777" w:rsidR="0034590E" w:rsidRDefault="0034590E" w:rsidP="00CE29A9">
      <w:pPr>
        <w:jc w:val="both"/>
        <w:rPr>
          <w:b/>
        </w:rPr>
      </w:pPr>
    </w:p>
    <w:p w14:paraId="05CF31E1" w14:textId="77777777" w:rsidR="0034590E" w:rsidRDefault="0034590E" w:rsidP="00CE29A9">
      <w:pPr>
        <w:jc w:val="both"/>
        <w:rPr>
          <w:b/>
        </w:rPr>
      </w:pPr>
    </w:p>
    <w:p w14:paraId="78B94B3E" w14:textId="77777777" w:rsidR="0034590E" w:rsidRDefault="0034590E" w:rsidP="00CE29A9">
      <w:pPr>
        <w:jc w:val="both"/>
        <w:rPr>
          <w:b/>
        </w:rPr>
      </w:pPr>
    </w:p>
    <w:p w14:paraId="66B45B8C" w14:textId="77777777" w:rsidR="00D25CB7" w:rsidRDefault="00D25CB7" w:rsidP="00CE29A9">
      <w:pPr>
        <w:jc w:val="both"/>
        <w:rPr>
          <w:b/>
        </w:rPr>
      </w:pPr>
    </w:p>
    <w:p w14:paraId="3028FEC0" w14:textId="77777777" w:rsidR="00D25CB7" w:rsidRDefault="00D25CB7" w:rsidP="00CE29A9">
      <w:pPr>
        <w:jc w:val="both"/>
        <w:rPr>
          <w:b/>
        </w:rPr>
      </w:pPr>
    </w:p>
    <w:p w14:paraId="70B8561F" w14:textId="77777777" w:rsidR="00954B49" w:rsidRPr="00954B49" w:rsidRDefault="00954B49" w:rsidP="00CE29A9">
      <w:pPr>
        <w:jc w:val="both"/>
        <w:rPr>
          <w:b/>
          <w:u w:val="single"/>
        </w:rPr>
      </w:pPr>
      <w:r w:rsidRPr="00954B49">
        <w:rPr>
          <w:b/>
          <w:u w:val="single"/>
        </w:rPr>
        <w:t>ISSUES &amp; QUESTIONS FOR CONSIDERATION BY CEDAW PRE-SESSIONAL WORKING GROUP FOR LIST OF ISSUES ON PAKISTAN:</w:t>
      </w:r>
    </w:p>
    <w:p w14:paraId="71BE4011" w14:textId="77777777" w:rsidR="00954B49" w:rsidRDefault="00954B49" w:rsidP="00CE29A9">
      <w:pPr>
        <w:jc w:val="both"/>
        <w:rPr>
          <w:b/>
        </w:rPr>
      </w:pPr>
    </w:p>
    <w:p w14:paraId="5E32812C" w14:textId="43528FFB" w:rsidR="00C50223" w:rsidRDefault="00217A6C" w:rsidP="00CE29A9">
      <w:pPr>
        <w:jc w:val="both"/>
        <w:rPr>
          <w:b/>
        </w:rPr>
      </w:pPr>
      <w:r>
        <w:rPr>
          <w:b/>
        </w:rPr>
        <w:t>Young Girls (Both cis</w:t>
      </w:r>
      <w:r w:rsidR="00CE29A9">
        <w:rPr>
          <w:b/>
        </w:rPr>
        <w:t>gender</w:t>
      </w:r>
      <w:r>
        <w:rPr>
          <w:b/>
        </w:rPr>
        <w:t xml:space="preserve"> &amp; T</w:t>
      </w:r>
      <w:r w:rsidR="00773C4B" w:rsidRPr="00376FF3">
        <w:rPr>
          <w:b/>
        </w:rPr>
        <w:t xml:space="preserve">ransgender) </w:t>
      </w:r>
      <w:r w:rsidR="00376FF3" w:rsidRPr="00376FF3">
        <w:rPr>
          <w:b/>
        </w:rPr>
        <w:t>Health Issues</w:t>
      </w:r>
    </w:p>
    <w:p w14:paraId="52925C76" w14:textId="77777777" w:rsidR="005B78FD" w:rsidRDefault="005B78FD" w:rsidP="00CE29A9">
      <w:pPr>
        <w:jc w:val="both"/>
      </w:pPr>
      <w:r w:rsidRPr="005B78FD">
        <w:rPr>
          <w:b/>
        </w:rPr>
        <w:t>Background-</w:t>
      </w:r>
      <w:r>
        <w:t xml:space="preserve"> Currently Pakistan has the largest population of youth in its history (55% of the population are under the ages of 25 years) with subsequent cohorts predicted to be even larger. </w:t>
      </w:r>
    </w:p>
    <w:p w14:paraId="53F1EEC9" w14:textId="77777777" w:rsidR="005B78FD" w:rsidRDefault="005B78FD" w:rsidP="00CE29A9">
      <w:pPr>
        <w:jc w:val="both"/>
      </w:pPr>
      <w:r>
        <w:t xml:space="preserve">The lack of awareness and information about sexual and reproductive health and rights (SRHR) is the most significant behavior to young people’s health and wellbeing, together with the need for youth friendly health services and gender (including transgender) sensitive SRHR services. The government needs to focus in increasing access to SRHR information and services for young people. There is a dire need to establish adolescent and youth friendly health services centers throughout the country. </w:t>
      </w:r>
    </w:p>
    <w:p w14:paraId="03627FA6" w14:textId="77777777" w:rsidR="005B78FD" w:rsidRDefault="00103998" w:rsidP="00CE29A9">
      <w:pPr>
        <w:jc w:val="both"/>
      </w:pPr>
      <w:r>
        <w:t>Early age marriage is highly prevalent in Pakistan. According to PDHS, the median age of marriage for girls in Pakistan is 19.5. Approximately half of Pakistani women are married before the age of 18 and 9% of girls begin childbearing between the age</w:t>
      </w:r>
      <w:r w:rsidR="001326FF">
        <w:t>s</w:t>
      </w:r>
      <w:r>
        <w:t xml:space="preserve"> 15-19 years. </w:t>
      </w:r>
      <w:r w:rsidR="005B78FD">
        <w:t xml:space="preserve">Early and forced marriages often result in early pregnancy, which can increase the risk of maternal </w:t>
      </w:r>
      <w:r>
        <w:t>mortality</w:t>
      </w:r>
      <w:r w:rsidR="005B78FD">
        <w:t xml:space="preserve"> and morbidity (276 per 100,000 live births), multiple miscarriages and malnutrition (mineral and calorie deficiency) in young mothers and also impedes their social and economic potential. </w:t>
      </w:r>
    </w:p>
    <w:p w14:paraId="74C7A29F" w14:textId="013174D7" w:rsidR="00103998" w:rsidRDefault="00103998" w:rsidP="00CE29A9">
      <w:pPr>
        <w:jc w:val="both"/>
      </w:pPr>
      <w:r>
        <w:t>The violation of girl</w:t>
      </w:r>
      <w:r w:rsidR="00957941">
        <w:t>s</w:t>
      </w:r>
      <w:r>
        <w:t>’</w:t>
      </w:r>
      <w:r w:rsidR="00957941">
        <w:t xml:space="preserve"> </w:t>
      </w:r>
      <w:r>
        <w:t>SRHR takes many forms</w:t>
      </w:r>
      <w:r w:rsidR="001326FF">
        <w:t>.</w:t>
      </w:r>
      <w:r>
        <w:t xml:space="preserve"> </w:t>
      </w:r>
      <w:r w:rsidR="001326FF">
        <w:t>Y</w:t>
      </w:r>
      <w:r>
        <w:t xml:space="preserve">oung girls in many </w:t>
      </w:r>
      <w:r w:rsidR="00957941">
        <w:t>tribal</w:t>
      </w:r>
      <w:r>
        <w:t xml:space="preserve"> and rural areas face harmful cultural practices i.e. Vanni, Swara, Sang Chatti, Badal, Bazo, Watta Satta and Pait lakaei. All of these harmful cultural practices are anchored in a deeply </w:t>
      </w:r>
      <w:r w:rsidR="00957941">
        <w:t>patriarchal</w:t>
      </w:r>
      <w:r>
        <w:t xml:space="preserve"> culture of treating girls and women sexual objects or property of the family </w:t>
      </w:r>
      <w:r w:rsidR="00957941">
        <w:t xml:space="preserve">which is in accordance with the convention on the right of the child (Articles 19 &amp; 34) constitutes a form of sexual exploitation and/or abuse of children, adolescent girls and young women. The practice of Swara has been made illegal for a long time but it still a common practices, Swara is a Pashtun tradition that involves child marriage to settle a blood feud among the men. </w:t>
      </w:r>
    </w:p>
    <w:p w14:paraId="29B6AB1E" w14:textId="77777777" w:rsidR="00D73438" w:rsidRDefault="00D73438" w:rsidP="00CE29A9">
      <w:pPr>
        <w:jc w:val="both"/>
      </w:pPr>
      <w:r>
        <w:t xml:space="preserve">There is an urgent need for the government to address youth sexual and reproductive health (SRH) issues in policies and programmes including mass awareness campaigns. Youth friendly and gender sensitive with particular attention to vulnerable groups including transgender youth; life skill based education LSBE for in and out of school youth; and legislation </w:t>
      </w:r>
      <w:r w:rsidR="0073522A">
        <w:t xml:space="preserve">to address sexual and gender based violence (SGBV), harmful cultural practices and discrimination. </w:t>
      </w:r>
    </w:p>
    <w:p w14:paraId="67E591FD" w14:textId="77777777" w:rsidR="00AE70D1" w:rsidRPr="00AE70D1" w:rsidRDefault="00AE70D1" w:rsidP="00CE29A9">
      <w:pPr>
        <w:jc w:val="both"/>
      </w:pPr>
      <w:r w:rsidRPr="00AE70D1">
        <w:t xml:space="preserve">Transgender population in Pakistan was recognized under the category of third gender in 2009 by the Supreme court of Pakistan. Pakistani laws regarding the identity of TGs recognizes the rights of “transgender man” and “transgender women”. In 2018 Pakistani government passed its first ever law “the Transgender Persons Protection Rights Act 2018”. The law under its section 12 provides for the equal protection of right to health of TGs without any discrimination. Section 4 of the Act also prohibits any kind of discrimination on the basis of gender identity and on the denial and unfair treatment in healthcare facilities. Unfortunately, despite the legal protection discrimination, denial and unequal access to healthcare still remains an issue for transgender persons and gender non-confirming people especially when it comes to their Sexual and Reproductive health rights. </w:t>
      </w:r>
    </w:p>
    <w:p w14:paraId="5B60AF9F" w14:textId="6D1E807B" w:rsidR="00AE70D1" w:rsidRDefault="00AE70D1" w:rsidP="00CE29A9">
      <w:pPr>
        <w:jc w:val="both"/>
      </w:pPr>
      <w:r w:rsidRPr="00AE70D1">
        <w:lastRenderedPageBreak/>
        <w:t>There is lack of trans inclusive policies, programs, strategies, healthcare facilities and clinics where they can receive competent healthcare services with regard to their sexual and reproductive health. In particular, they face significant barriers to accessing sexual and reproductive health care. While they are at the highest risk of sexually transmitted infections and diseases in particular. Government needs to make transgender inclusive policies and programs so that they can be provided friendly and equal access to information and services regarding sexual and reproductive health as per the international standards of health.</w:t>
      </w:r>
    </w:p>
    <w:p w14:paraId="5FCF7364" w14:textId="615C0B4F" w:rsidR="00376FF3" w:rsidRPr="005B78FD" w:rsidRDefault="005B78FD" w:rsidP="00CE29A9">
      <w:pPr>
        <w:jc w:val="both"/>
        <w:rPr>
          <w:b/>
        </w:rPr>
      </w:pPr>
      <w:r>
        <w:rPr>
          <w:b/>
        </w:rPr>
        <w:t>CE</w:t>
      </w:r>
      <w:r w:rsidR="001326FF">
        <w:rPr>
          <w:b/>
        </w:rPr>
        <w:t>DA</w:t>
      </w:r>
      <w:r>
        <w:rPr>
          <w:b/>
        </w:rPr>
        <w:t>W &amp; State Party Report-</w:t>
      </w:r>
      <w:r w:rsidR="00376FF3">
        <w:t xml:space="preserve">In reference to CEDAW Articles 12 and 16 referring to state parties to take all appropriate measures to eliminate discrimination against women in the field of health and matters relating to marriage and family relations on the basis of equality of men and women. Acknowledging the measures and efforts put by the state to improve the health indicators concerning women’s health and wellbeing and issues around family planning information and decision making as mentioned in fifth periodic report by </w:t>
      </w:r>
      <w:r w:rsidR="00220E1B">
        <w:t>the state</w:t>
      </w:r>
      <w:r w:rsidR="00376FF3">
        <w:t xml:space="preserve">. </w:t>
      </w:r>
      <w:r w:rsidR="00220E1B">
        <w:t>Some of the gaps concerning the youth constituency of young girls both cis</w:t>
      </w:r>
      <w:r w:rsidR="001326FF">
        <w:t>gender</w:t>
      </w:r>
      <w:r w:rsidR="00220E1B">
        <w:t xml:space="preserve"> &amp; transgender are as following; </w:t>
      </w:r>
    </w:p>
    <w:p w14:paraId="348AA6D5" w14:textId="232AC02D" w:rsidR="005B78FD" w:rsidRDefault="00220E1B" w:rsidP="00CE29A9">
      <w:pPr>
        <w:pStyle w:val="ListParagraph"/>
        <w:numPr>
          <w:ilvl w:val="0"/>
          <w:numId w:val="1"/>
        </w:numPr>
        <w:jc w:val="both"/>
      </w:pPr>
      <w:r>
        <w:t>All the measures mentioned in the state party report in the field of health only covers “mother &amp; child” health which excludes the sexual and reproductive health</w:t>
      </w:r>
      <w:r w:rsidR="001326FF">
        <w:t xml:space="preserve"> and</w:t>
      </w:r>
      <w:r>
        <w:t xml:space="preserve"> rights of young</w:t>
      </w:r>
      <w:r w:rsidR="005B78FD">
        <w:t xml:space="preserve"> unmarried</w:t>
      </w:r>
      <w:r>
        <w:t xml:space="preserve"> girls</w:t>
      </w:r>
    </w:p>
    <w:p w14:paraId="462F1B9C" w14:textId="3A1B418F" w:rsidR="00220E1B" w:rsidRDefault="00220E1B" w:rsidP="00CE29A9">
      <w:pPr>
        <w:pStyle w:val="ListParagraph"/>
        <w:numPr>
          <w:ilvl w:val="0"/>
          <w:numId w:val="1"/>
        </w:numPr>
        <w:jc w:val="both"/>
      </w:pPr>
      <w:r>
        <w:t>All nutrition related measures are also specific for “mother &amp; child” and it again excludes young</w:t>
      </w:r>
      <w:r w:rsidR="005B78FD">
        <w:t xml:space="preserve"> unmarried</w:t>
      </w:r>
      <w:r>
        <w:t xml:space="preserve"> girls</w:t>
      </w:r>
      <w:r w:rsidR="001326FF">
        <w:t>’</w:t>
      </w:r>
      <w:r>
        <w:t xml:space="preserve"> needs of health and </w:t>
      </w:r>
      <w:r w:rsidR="001326FF">
        <w:t>nutrition</w:t>
      </w:r>
      <w:r>
        <w:t xml:space="preserve"> </w:t>
      </w:r>
    </w:p>
    <w:p w14:paraId="18430E89" w14:textId="5D648C72" w:rsidR="00220E1B" w:rsidRDefault="00220E1B" w:rsidP="00CE29A9">
      <w:pPr>
        <w:pStyle w:val="ListParagraph"/>
        <w:numPr>
          <w:ilvl w:val="0"/>
          <w:numId w:val="1"/>
        </w:numPr>
        <w:jc w:val="both"/>
      </w:pPr>
      <w:r>
        <w:t xml:space="preserve">There is no </w:t>
      </w:r>
      <w:r w:rsidR="001326FF">
        <w:t>provision for</w:t>
      </w:r>
      <w:r>
        <w:t xml:space="preserve"> youth friendly &amp; gender sensitive (including transgender) health care centers for young girls. </w:t>
      </w:r>
      <w:r w:rsidR="001326FF">
        <w:t>Only</w:t>
      </w:r>
      <w:r>
        <w:t xml:space="preserve"> small scale services </w:t>
      </w:r>
      <w:r w:rsidR="001326FF">
        <w:t xml:space="preserve">are </w:t>
      </w:r>
      <w:r>
        <w:t>available for young girls in some parts of the</w:t>
      </w:r>
      <w:r w:rsidR="001326FF">
        <w:t xml:space="preserve"> province of</w:t>
      </w:r>
      <w:r>
        <w:t xml:space="preserve"> Sindh through private-public partnership with local NGOs  </w:t>
      </w:r>
    </w:p>
    <w:p w14:paraId="5F914F98" w14:textId="46C1839D" w:rsidR="00220E1B" w:rsidRDefault="00220E1B" w:rsidP="00CE29A9">
      <w:pPr>
        <w:pStyle w:val="ListParagraph"/>
        <w:numPr>
          <w:ilvl w:val="0"/>
          <w:numId w:val="1"/>
        </w:numPr>
        <w:jc w:val="both"/>
      </w:pPr>
      <w:r>
        <w:t xml:space="preserve">There is no </w:t>
      </w:r>
      <w:r w:rsidR="001326FF">
        <w:t xml:space="preserve">provision </w:t>
      </w:r>
      <w:r>
        <w:t>of services for pre and post abortion care or information around safe abortions</w:t>
      </w:r>
      <w:r w:rsidR="00556AD3">
        <w:t>. The absence of these services and information also excludes</w:t>
      </w:r>
      <w:r>
        <w:t xml:space="preserve"> the health of young girls </w:t>
      </w:r>
      <w:r w:rsidR="00217A6C">
        <w:t xml:space="preserve">who are victim of early &amp; forced marriages </w:t>
      </w:r>
    </w:p>
    <w:p w14:paraId="64A77267" w14:textId="46C37365" w:rsidR="00103998" w:rsidRDefault="00103998" w:rsidP="00CE29A9">
      <w:pPr>
        <w:pStyle w:val="ListParagraph"/>
        <w:numPr>
          <w:ilvl w:val="0"/>
          <w:numId w:val="1"/>
        </w:numPr>
        <w:jc w:val="both"/>
      </w:pPr>
      <w:r>
        <w:t xml:space="preserve">There is no mention of transgender women health whereas the </w:t>
      </w:r>
      <w:r w:rsidR="00556AD3">
        <w:t>T</w:t>
      </w:r>
      <w:r>
        <w:t xml:space="preserve">ransgender </w:t>
      </w:r>
      <w:r w:rsidR="00556AD3">
        <w:t>P</w:t>
      </w:r>
      <w:r>
        <w:t xml:space="preserve">rotection of </w:t>
      </w:r>
      <w:r w:rsidR="00556AD3">
        <w:t>R</w:t>
      </w:r>
      <w:r>
        <w:t xml:space="preserve">ights </w:t>
      </w:r>
      <w:r w:rsidR="00556AD3">
        <w:t>A</w:t>
      </w:r>
      <w:r>
        <w:t>ct 2017 under its article 17</w:t>
      </w:r>
      <w:r w:rsidR="00556AD3">
        <w:t>:</w:t>
      </w:r>
      <w:r>
        <w:t xml:space="preserve"> </w:t>
      </w:r>
      <w:r w:rsidR="00556AD3">
        <w:t>R</w:t>
      </w:r>
      <w:r>
        <w:t xml:space="preserve">ight to </w:t>
      </w:r>
      <w:r w:rsidR="00556AD3">
        <w:t>H</w:t>
      </w:r>
      <w:r>
        <w:t>ealth</w:t>
      </w:r>
      <w:r w:rsidR="00556AD3">
        <w:t xml:space="preserve"> guarantees SRHR to transgender persons</w:t>
      </w:r>
    </w:p>
    <w:p w14:paraId="06DCC0BF" w14:textId="06F1BAF2" w:rsidR="00220E1B" w:rsidRDefault="00220E1B" w:rsidP="00CE29A9">
      <w:pPr>
        <w:pStyle w:val="ListParagraph"/>
        <w:numPr>
          <w:ilvl w:val="0"/>
          <w:numId w:val="1"/>
        </w:numPr>
        <w:jc w:val="both"/>
      </w:pPr>
      <w:r>
        <w:t>There is no mention of transgender women</w:t>
      </w:r>
      <w:r w:rsidR="00556AD3">
        <w:t>’s</w:t>
      </w:r>
      <w:r>
        <w:t xml:space="preserve"> right to marriage and found a family neither in the state report nor in the </w:t>
      </w:r>
      <w:r w:rsidR="00556AD3">
        <w:t>T</w:t>
      </w:r>
      <w:r>
        <w:t>ransgend</w:t>
      </w:r>
      <w:r w:rsidR="00217A6C">
        <w:t xml:space="preserve">er </w:t>
      </w:r>
      <w:r w:rsidR="00556AD3">
        <w:t>P</w:t>
      </w:r>
      <w:r w:rsidR="00217A6C">
        <w:t xml:space="preserve">rotection of </w:t>
      </w:r>
      <w:r w:rsidR="00556AD3">
        <w:t>R</w:t>
      </w:r>
      <w:r w:rsidR="00217A6C">
        <w:t xml:space="preserve">ights </w:t>
      </w:r>
      <w:r w:rsidR="00556AD3">
        <w:t>A</w:t>
      </w:r>
      <w:r w:rsidR="00AE70D1">
        <w:t>ct 2018</w:t>
      </w:r>
      <w:r w:rsidR="00217A6C">
        <w:t xml:space="preserve"> </w:t>
      </w:r>
      <w:r>
        <w:t xml:space="preserve"> </w:t>
      </w:r>
    </w:p>
    <w:p w14:paraId="5DDB255E" w14:textId="77777777" w:rsidR="0073522A" w:rsidRDefault="0073522A" w:rsidP="00CE29A9">
      <w:pPr>
        <w:pStyle w:val="ListParagraph"/>
        <w:numPr>
          <w:ilvl w:val="0"/>
          <w:numId w:val="1"/>
        </w:numPr>
        <w:jc w:val="both"/>
      </w:pPr>
      <w:r>
        <w:t xml:space="preserve">There is no mention of Life Skill Based Education (LSBE) to be included in school curriculum despite the initiative to integrate LSBE in school curriculum by </w:t>
      </w:r>
      <w:r w:rsidR="00556AD3">
        <w:t xml:space="preserve">the </w:t>
      </w:r>
      <w:r>
        <w:t xml:space="preserve">Sindh Government </w:t>
      </w:r>
    </w:p>
    <w:p w14:paraId="3B357A04" w14:textId="77777777" w:rsidR="0073522A" w:rsidRDefault="0073522A" w:rsidP="00CE29A9">
      <w:pPr>
        <w:pStyle w:val="ListParagraph"/>
        <w:numPr>
          <w:ilvl w:val="0"/>
          <w:numId w:val="1"/>
        </w:numPr>
        <w:jc w:val="both"/>
      </w:pPr>
      <w:r>
        <w:t xml:space="preserve">There is no mention of measures taken or planned by the government to integrate LSBE in school curriculum in other parts of the country </w:t>
      </w:r>
    </w:p>
    <w:p w14:paraId="0D96B064" w14:textId="77777777" w:rsidR="00635DDE" w:rsidRDefault="00635DDE" w:rsidP="00CE29A9">
      <w:pPr>
        <w:pStyle w:val="ListParagraph"/>
        <w:numPr>
          <w:ilvl w:val="0"/>
          <w:numId w:val="1"/>
        </w:numPr>
        <w:jc w:val="both"/>
      </w:pPr>
      <w:r w:rsidRPr="0034590E">
        <w:t>There is no mention of provision of information to in school young girls. Moreover, at primary level the enrolment of young girls is very low which means health related information provision to out of school young girls must also be part of the govt programs.</w:t>
      </w:r>
    </w:p>
    <w:p w14:paraId="54F7DB81" w14:textId="77777777" w:rsidR="00AE70D1" w:rsidRDefault="00AE70D1" w:rsidP="00CE29A9">
      <w:pPr>
        <w:pStyle w:val="ListParagraph"/>
        <w:numPr>
          <w:ilvl w:val="0"/>
          <w:numId w:val="1"/>
        </w:numPr>
        <w:jc w:val="both"/>
      </w:pPr>
      <w:r>
        <w:t xml:space="preserve">There is no mention about any particular youth center or healthcare facility providing easy and safe access to young unmarried girls and women for their sexual and reproductive healthcare information and services while provincial youth policies clearly provide for the establishment of youth centers. </w:t>
      </w:r>
    </w:p>
    <w:p w14:paraId="43ACC113" w14:textId="77777777" w:rsidR="00AE70D1" w:rsidRDefault="00AE70D1" w:rsidP="00CE29A9">
      <w:pPr>
        <w:pStyle w:val="ListParagraph"/>
        <w:numPr>
          <w:ilvl w:val="0"/>
          <w:numId w:val="1"/>
        </w:numPr>
        <w:jc w:val="both"/>
      </w:pPr>
      <w:r>
        <w:t xml:space="preserve">The report only mentions about the family planning, while ignores other components of sexual and reproductive health like access to safe abortion services, Sexual health </w:t>
      </w:r>
      <w:r>
        <w:lastRenderedPageBreak/>
        <w:t xml:space="preserve">information, education, and counseling, inclusion of adolescents in planning and implementation of services and programs. </w:t>
      </w:r>
    </w:p>
    <w:p w14:paraId="337493BA" w14:textId="77777777" w:rsidR="00AE70D1" w:rsidRPr="0034590E" w:rsidRDefault="00AE70D1" w:rsidP="00CE29A9">
      <w:pPr>
        <w:pStyle w:val="ListParagraph"/>
        <w:ind w:left="1080"/>
        <w:jc w:val="both"/>
      </w:pPr>
    </w:p>
    <w:p w14:paraId="68F9A3FF" w14:textId="77777777" w:rsidR="00220E1B" w:rsidRPr="0034590E" w:rsidRDefault="00220E1B" w:rsidP="00CE29A9">
      <w:pPr>
        <w:pStyle w:val="ListParagraph"/>
        <w:ind w:left="1080"/>
        <w:jc w:val="both"/>
      </w:pPr>
    </w:p>
    <w:p w14:paraId="4C156C44" w14:textId="77777777" w:rsidR="00220E1B" w:rsidRDefault="00220E1B" w:rsidP="00CE29A9">
      <w:pPr>
        <w:pStyle w:val="ListParagraph"/>
        <w:ind w:left="1080"/>
        <w:jc w:val="both"/>
      </w:pPr>
    </w:p>
    <w:p w14:paraId="6CE7457E" w14:textId="77777777" w:rsidR="00220E1B" w:rsidRPr="00376FF3" w:rsidRDefault="00220E1B" w:rsidP="00CE29A9">
      <w:pPr>
        <w:jc w:val="both"/>
      </w:pPr>
    </w:p>
    <w:p w14:paraId="7F61D5FA" w14:textId="77777777" w:rsidR="00773C4B" w:rsidRPr="00773C4B" w:rsidRDefault="005B78FD" w:rsidP="00CE29A9">
      <w:pPr>
        <w:jc w:val="both"/>
      </w:pPr>
      <w:r w:rsidRPr="00773C4B">
        <w:t xml:space="preserve"> </w:t>
      </w:r>
    </w:p>
    <w:p w14:paraId="675AC48A" w14:textId="77777777" w:rsidR="00773C4B" w:rsidRDefault="00773C4B" w:rsidP="00CE29A9">
      <w:pPr>
        <w:jc w:val="both"/>
      </w:pPr>
    </w:p>
    <w:p w14:paraId="2032D18E" w14:textId="77777777" w:rsidR="00773C4B" w:rsidRDefault="00773C4B" w:rsidP="00CE29A9">
      <w:pPr>
        <w:jc w:val="both"/>
      </w:pPr>
    </w:p>
    <w:p w14:paraId="589DEBE2" w14:textId="77777777" w:rsidR="00773C4B" w:rsidRDefault="00773C4B" w:rsidP="00CE29A9">
      <w:pPr>
        <w:jc w:val="both"/>
      </w:pPr>
    </w:p>
    <w:p w14:paraId="3D6F18E4" w14:textId="77777777" w:rsidR="00773C4B" w:rsidRDefault="00773C4B" w:rsidP="00CE29A9">
      <w:pPr>
        <w:jc w:val="both"/>
      </w:pPr>
    </w:p>
    <w:p w14:paraId="6A1AA9DC" w14:textId="77777777" w:rsidR="00773C4B" w:rsidRDefault="00773C4B" w:rsidP="00CE29A9">
      <w:pPr>
        <w:jc w:val="both"/>
      </w:pPr>
    </w:p>
    <w:sectPr w:rsidR="00773C4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16C2E" w14:textId="77777777" w:rsidR="006B1174" w:rsidRDefault="006B1174" w:rsidP="00376FF3">
      <w:pPr>
        <w:spacing w:after="0" w:line="240" w:lineRule="auto"/>
      </w:pPr>
      <w:r>
        <w:separator/>
      </w:r>
    </w:p>
  </w:endnote>
  <w:endnote w:type="continuationSeparator" w:id="0">
    <w:p w14:paraId="7C9F1096" w14:textId="77777777" w:rsidR="006B1174" w:rsidRDefault="006B1174" w:rsidP="00376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4C6C6" w14:textId="77777777" w:rsidR="006B1174" w:rsidRDefault="006B1174" w:rsidP="00376FF3">
      <w:pPr>
        <w:spacing w:after="0" w:line="240" w:lineRule="auto"/>
      </w:pPr>
      <w:r>
        <w:separator/>
      </w:r>
    </w:p>
  </w:footnote>
  <w:footnote w:type="continuationSeparator" w:id="0">
    <w:p w14:paraId="17D1DBF8" w14:textId="77777777" w:rsidR="006B1174" w:rsidRDefault="006B1174" w:rsidP="00376F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1B68AD"/>
    <w:multiLevelType w:val="hybridMultilevel"/>
    <w:tmpl w:val="4C362D3C"/>
    <w:lvl w:ilvl="0" w:tplc="86D634A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C4B"/>
    <w:rsid w:val="00103998"/>
    <w:rsid w:val="001326FF"/>
    <w:rsid w:val="00181A01"/>
    <w:rsid w:val="001A11F0"/>
    <w:rsid w:val="00217A6C"/>
    <w:rsid w:val="00220E1B"/>
    <w:rsid w:val="0034590E"/>
    <w:rsid w:val="00376FF3"/>
    <w:rsid w:val="00534856"/>
    <w:rsid w:val="00556AD3"/>
    <w:rsid w:val="005B78FD"/>
    <w:rsid w:val="00635DDE"/>
    <w:rsid w:val="006B1174"/>
    <w:rsid w:val="0073522A"/>
    <w:rsid w:val="00773C4B"/>
    <w:rsid w:val="00933552"/>
    <w:rsid w:val="00954B49"/>
    <w:rsid w:val="00957941"/>
    <w:rsid w:val="00AE70D1"/>
    <w:rsid w:val="00C50223"/>
    <w:rsid w:val="00C54F29"/>
    <w:rsid w:val="00C73582"/>
    <w:rsid w:val="00CE29A9"/>
    <w:rsid w:val="00D25CB7"/>
    <w:rsid w:val="00D73438"/>
    <w:rsid w:val="00E6698D"/>
    <w:rsid w:val="00E67E09"/>
    <w:rsid w:val="00F629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3F250"/>
  <w15:docId w15:val="{5DFC0850-9890-4E91-BDA9-A46DCF3D6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76F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6FF3"/>
    <w:rPr>
      <w:sz w:val="20"/>
      <w:szCs w:val="20"/>
    </w:rPr>
  </w:style>
  <w:style w:type="character" w:styleId="FootnoteReference">
    <w:name w:val="footnote reference"/>
    <w:basedOn w:val="DefaultParagraphFont"/>
    <w:uiPriority w:val="99"/>
    <w:semiHidden/>
    <w:unhideWhenUsed/>
    <w:rsid w:val="00376FF3"/>
    <w:rPr>
      <w:vertAlign w:val="superscript"/>
    </w:rPr>
  </w:style>
  <w:style w:type="paragraph" w:styleId="ListParagraph">
    <w:name w:val="List Paragraph"/>
    <w:basedOn w:val="Normal"/>
    <w:uiPriority w:val="34"/>
    <w:qFormat/>
    <w:rsid w:val="00220E1B"/>
    <w:pPr>
      <w:ind w:left="720"/>
      <w:contextualSpacing/>
    </w:pPr>
  </w:style>
  <w:style w:type="character" w:styleId="CommentReference">
    <w:name w:val="annotation reference"/>
    <w:basedOn w:val="DefaultParagraphFont"/>
    <w:uiPriority w:val="99"/>
    <w:semiHidden/>
    <w:unhideWhenUsed/>
    <w:rsid w:val="00556AD3"/>
    <w:rPr>
      <w:sz w:val="16"/>
      <w:szCs w:val="16"/>
    </w:rPr>
  </w:style>
  <w:style w:type="paragraph" w:styleId="CommentText">
    <w:name w:val="annotation text"/>
    <w:basedOn w:val="Normal"/>
    <w:link w:val="CommentTextChar"/>
    <w:uiPriority w:val="99"/>
    <w:semiHidden/>
    <w:unhideWhenUsed/>
    <w:rsid w:val="00556AD3"/>
    <w:pPr>
      <w:spacing w:line="240" w:lineRule="auto"/>
    </w:pPr>
    <w:rPr>
      <w:sz w:val="20"/>
      <w:szCs w:val="20"/>
    </w:rPr>
  </w:style>
  <w:style w:type="character" w:customStyle="1" w:styleId="CommentTextChar">
    <w:name w:val="Comment Text Char"/>
    <w:basedOn w:val="DefaultParagraphFont"/>
    <w:link w:val="CommentText"/>
    <w:uiPriority w:val="99"/>
    <w:semiHidden/>
    <w:rsid w:val="00556AD3"/>
    <w:rPr>
      <w:sz w:val="20"/>
      <w:szCs w:val="20"/>
    </w:rPr>
  </w:style>
  <w:style w:type="paragraph" w:styleId="CommentSubject">
    <w:name w:val="annotation subject"/>
    <w:basedOn w:val="CommentText"/>
    <w:next w:val="CommentText"/>
    <w:link w:val="CommentSubjectChar"/>
    <w:uiPriority w:val="99"/>
    <w:semiHidden/>
    <w:unhideWhenUsed/>
    <w:rsid w:val="00556AD3"/>
    <w:rPr>
      <w:b/>
      <w:bCs/>
    </w:rPr>
  </w:style>
  <w:style w:type="character" w:customStyle="1" w:styleId="CommentSubjectChar">
    <w:name w:val="Comment Subject Char"/>
    <w:basedOn w:val="CommentTextChar"/>
    <w:link w:val="CommentSubject"/>
    <w:uiPriority w:val="99"/>
    <w:semiHidden/>
    <w:rsid w:val="00556AD3"/>
    <w:rPr>
      <w:b/>
      <w:bCs/>
      <w:sz w:val="20"/>
      <w:szCs w:val="20"/>
    </w:rPr>
  </w:style>
  <w:style w:type="paragraph" w:styleId="BalloonText">
    <w:name w:val="Balloon Text"/>
    <w:basedOn w:val="Normal"/>
    <w:link w:val="BalloonTextChar"/>
    <w:uiPriority w:val="99"/>
    <w:semiHidden/>
    <w:unhideWhenUsed/>
    <w:rsid w:val="00556A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968685">
      <w:bodyDiv w:val="1"/>
      <w:marLeft w:val="0"/>
      <w:marRight w:val="0"/>
      <w:marTop w:val="0"/>
      <w:marBottom w:val="0"/>
      <w:divBdr>
        <w:top w:val="none" w:sz="0" w:space="0" w:color="auto"/>
        <w:left w:val="none" w:sz="0" w:space="0" w:color="auto"/>
        <w:bottom w:val="none" w:sz="0" w:space="0" w:color="auto"/>
        <w:right w:val="none" w:sz="0" w:space="0" w:color="auto"/>
      </w:divBdr>
      <w:divsChild>
        <w:div w:id="503742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4252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2303993">
      <w:bodyDiv w:val="1"/>
      <w:marLeft w:val="0"/>
      <w:marRight w:val="0"/>
      <w:marTop w:val="0"/>
      <w:marBottom w:val="0"/>
      <w:divBdr>
        <w:top w:val="none" w:sz="0" w:space="0" w:color="auto"/>
        <w:left w:val="none" w:sz="0" w:space="0" w:color="auto"/>
        <w:bottom w:val="none" w:sz="0" w:space="0" w:color="auto"/>
        <w:right w:val="none" w:sz="0" w:space="0" w:color="auto"/>
      </w:divBdr>
      <w:divsChild>
        <w:div w:id="1755736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7861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72111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1243647">
              <w:blockQuote w:val="1"/>
              <w:marLeft w:val="720"/>
              <w:marRight w:val="720"/>
              <w:marTop w:val="100"/>
              <w:marBottom w:val="100"/>
              <w:divBdr>
                <w:top w:val="none" w:sz="0" w:space="0" w:color="auto"/>
                <w:left w:val="none" w:sz="0" w:space="0" w:color="auto"/>
                <w:bottom w:val="none" w:sz="0" w:space="0" w:color="auto"/>
                <w:right w:val="none" w:sz="0" w:space="0" w:color="auto"/>
              </w:divBdr>
            </w:div>
            <w:div w:id="43320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445284-9114-4E12-8EA6-6835EE2531F2}">
  <ds:schemaRefs>
    <ds:schemaRef ds:uri="http://schemas.openxmlformats.org/officeDocument/2006/bibliography"/>
  </ds:schemaRefs>
</ds:datastoreItem>
</file>

<file path=customXml/itemProps2.xml><?xml version="1.0" encoding="utf-8"?>
<ds:datastoreItem xmlns:ds="http://schemas.openxmlformats.org/officeDocument/2006/customXml" ds:itemID="{4EA5848A-BBF0-4319-84C6-6FFEAF06A16D}"/>
</file>

<file path=customXml/itemProps3.xml><?xml version="1.0" encoding="utf-8"?>
<ds:datastoreItem xmlns:ds="http://schemas.openxmlformats.org/officeDocument/2006/customXml" ds:itemID="{56B7B7B3-53FC-400A-B963-13EA3BF4E1C0}"/>
</file>

<file path=customXml/itemProps4.xml><?xml version="1.0" encoding="utf-8"?>
<ds:datastoreItem xmlns:ds="http://schemas.openxmlformats.org/officeDocument/2006/customXml" ds:itemID="{B321B9AB-1798-4E98-A400-67CC0FC75EFF}"/>
</file>

<file path=docProps/app.xml><?xml version="1.0" encoding="utf-8"?>
<Properties xmlns="http://schemas.openxmlformats.org/officeDocument/2006/extended-properties" xmlns:vt="http://schemas.openxmlformats.org/officeDocument/2006/docPropsVTypes">
  <Template>Normal</Template>
  <TotalTime>66</TotalTime>
  <Pages>4</Pages>
  <Words>1185</Words>
  <Characters>6758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personal</cp:lastModifiedBy>
  <cp:revision>3</cp:revision>
  <dcterms:created xsi:type="dcterms:W3CDTF">2019-06-11T09:17:00Z</dcterms:created>
  <dcterms:modified xsi:type="dcterms:W3CDTF">2019-06-11T11:51:00Z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