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1E95" w:rsidRDefault="00526895">
      <w:pPr>
        <w:pStyle w:val="Heading1"/>
        <w:ind w:left="2025"/>
      </w:pPr>
      <w:r>
        <w:t>ANNEX</w:t>
      </w:r>
    </w:p>
    <w:p w:rsidR="005B1E95" w:rsidRDefault="00526895">
      <w:pPr>
        <w:spacing w:before="240"/>
        <w:ind w:left="2030" w:right="2123"/>
        <w:jc w:val="center"/>
        <w:rPr>
          <w:rFonts w:ascii="Calibri"/>
          <w:sz w:val="32"/>
        </w:rPr>
      </w:pPr>
      <w:r>
        <w:rPr>
          <w:rFonts w:ascii="Calibri"/>
          <w:w w:val="95"/>
          <w:sz w:val="32"/>
        </w:rPr>
        <w:t>Statistical</w:t>
      </w:r>
      <w:r>
        <w:rPr>
          <w:rFonts w:ascii="Calibri"/>
          <w:spacing w:val="11"/>
          <w:w w:val="95"/>
          <w:sz w:val="32"/>
        </w:rPr>
        <w:t xml:space="preserve"> </w:t>
      </w:r>
      <w:r>
        <w:rPr>
          <w:rFonts w:ascii="Calibri"/>
          <w:w w:val="95"/>
          <w:sz w:val="32"/>
        </w:rPr>
        <w:t>information</w:t>
      </w:r>
      <w:r>
        <w:rPr>
          <w:rFonts w:ascii="Calibri"/>
          <w:spacing w:val="12"/>
          <w:w w:val="95"/>
          <w:sz w:val="32"/>
        </w:rPr>
        <w:t xml:space="preserve"> </w:t>
      </w:r>
      <w:r>
        <w:rPr>
          <w:rFonts w:ascii="Calibri"/>
          <w:w w:val="95"/>
          <w:sz w:val="32"/>
        </w:rPr>
        <w:t>on</w:t>
      </w:r>
      <w:r>
        <w:rPr>
          <w:rFonts w:ascii="Calibri"/>
          <w:spacing w:val="11"/>
          <w:w w:val="95"/>
          <w:sz w:val="32"/>
        </w:rPr>
        <w:t xml:space="preserve"> </w:t>
      </w:r>
      <w:r>
        <w:rPr>
          <w:rFonts w:ascii="Calibri"/>
          <w:w w:val="95"/>
          <w:sz w:val="32"/>
        </w:rPr>
        <w:t>disability</w:t>
      </w:r>
      <w:r>
        <w:rPr>
          <w:rFonts w:ascii="Calibri"/>
          <w:spacing w:val="12"/>
          <w:w w:val="95"/>
          <w:sz w:val="32"/>
        </w:rPr>
        <w:t xml:space="preserve"> </w:t>
      </w:r>
      <w:r>
        <w:rPr>
          <w:rFonts w:ascii="Calibri"/>
          <w:w w:val="95"/>
          <w:sz w:val="32"/>
        </w:rPr>
        <w:t>in</w:t>
      </w:r>
      <w:r>
        <w:rPr>
          <w:rFonts w:ascii="Calibri"/>
          <w:spacing w:val="8"/>
          <w:w w:val="95"/>
          <w:sz w:val="32"/>
        </w:rPr>
        <w:t xml:space="preserve"> </w:t>
      </w:r>
      <w:r>
        <w:rPr>
          <w:rFonts w:ascii="Calibri"/>
          <w:w w:val="95"/>
          <w:sz w:val="32"/>
        </w:rPr>
        <w:t>the</w:t>
      </w:r>
      <w:r>
        <w:rPr>
          <w:rFonts w:ascii="Calibri"/>
          <w:spacing w:val="10"/>
          <w:w w:val="95"/>
          <w:sz w:val="32"/>
        </w:rPr>
        <w:t xml:space="preserve"> </w:t>
      </w:r>
      <w:r>
        <w:rPr>
          <w:rFonts w:ascii="Calibri"/>
          <w:w w:val="95"/>
          <w:sz w:val="32"/>
        </w:rPr>
        <w:t>EU</w:t>
      </w:r>
    </w:p>
    <w:p w:rsidR="005B1E95" w:rsidRDefault="00526895">
      <w:pPr>
        <w:pStyle w:val="Heading2"/>
        <w:spacing w:before="238"/>
        <w:ind w:left="140" w:firstLine="0"/>
      </w:pPr>
      <w:r>
        <w:t>A.</w:t>
      </w:r>
      <w:r>
        <w:rPr>
          <w:spacing w:val="-4"/>
        </w:rPr>
        <w:t xml:space="preserve"> </w:t>
      </w:r>
      <w:r>
        <w:t>Population</w:t>
      </w:r>
      <w:r>
        <w:rPr>
          <w:spacing w:val="-1"/>
        </w:rPr>
        <w:t xml:space="preserve"> </w:t>
      </w:r>
      <w:r>
        <w:t>of</w:t>
      </w:r>
      <w:r>
        <w:rPr>
          <w:spacing w:val="-2"/>
        </w:rPr>
        <w:t xml:space="preserve"> </w:t>
      </w:r>
      <w:r>
        <w:t>persons</w:t>
      </w:r>
      <w:r>
        <w:rPr>
          <w:spacing w:val="-4"/>
        </w:rPr>
        <w:t xml:space="preserve"> </w:t>
      </w:r>
      <w:r>
        <w:t>with</w:t>
      </w:r>
      <w:r>
        <w:rPr>
          <w:spacing w:val="-1"/>
        </w:rPr>
        <w:t xml:space="preserve"> </w:t>
      </w:r>
      <w:r>
        <w:t>disabilities</w:t>
      </w:r>
    </w:p>
    <w:p w:rsidR="005B1E95" w:rsidRDefault="005B1E95">
      <w:pPr>
        <w:pStyle w:val="BodyText"/>
        <w:ind w:left="0"/>
        <w:rPr>
          <w:b/>
          <w:sz w:val="30"/>
        </w:rPr>
      </w:pPr>
    </w:p>
    <w:p w:rsidR="005B1E95" w:rsidRDefault="00526895">
      <w:pPr>
        <w:pStyle w:val="Heading3"/>
        <w:spacing w:before="256"/>
        <w:ind w:right="243"/>
      </w:pPr>
      <w:r>
        <w:t>Table</w:t>
      </w:r>
      <w:r>
        <w:rPr>
          <w:spacing w:val="-2"/>
        </w:rPr>
        <w:t xml:space="preserve"> </w:t>
      </w:r>
      <w:r>
        <w:t>A.1:</w:t>
      </w:r>
      <w:r>
        <w:rPr>
          <w:spacing w:val="1"/>
        </w:rPr>
        <w:t xml:space="preserve"> </w:t>
      </w:r>
      <w:r>
        <w:t>Persons</w:t>
      </w:r>
      <w:r>
        <w:rPr>
          <w:spacing w:val="1"/>
        </w:rPr>
        <w:t xml:space="preserve"> </w:t>
      </w:r>
      <w:r>
        <w:t>with</w:t>
      </w:r>
      <w:r>
        <w:rPr>
          <w:spacing w:val="1"/>
        </w:rPr>
        <w:t xml:space="preserve"> </w:t>
      </w:r>
      <w:r>
        <w:t>disabilities</w:t>
      </w:r>
      <w:r>
        <w:rPr>
          <w:spacing w:val="1"/>
        </w:rPr>
        <w:t xml:space="preserve"> </w:t>
      </w:r>
      <w:r>
        <w:t>aged</w:t>
      </w:r>
      <w:r>
        <w:rPr>
          <w:spacing w:val="1"/>
        </w:rPr>
        <w:t xml:space="preserve"> </w:t>
      </w:r>
      <w:r>
        <w:t>16</w:t>
      </w:r>
      <w:r>
        <w:rPr>
          <w:spacing w:val="2"/>
        </w:rPr>
        <w:t xml:space="preserve"> </w:t>
      </w:r>
      <w:r>
        <w:t>and</w:t>
      </w:r>
      <w:r>
        <w:rPr>
          <w:spacing w:val="3"/>
        </w:rPr>
        <w:t xml:space="preserve"> </w:t>
      </w:r>
      <w:r>
        <w:t>over</w:t>
      </w:r>
      <w:r>
        <w:rPr>
          <w:spacing w:val="-3"/>
        </w:rPr>
        <w:t xml:space="preserve"> </w:t>
      </w:r>
      <w:r>
        <w:t>living</w:t>
      </w:r>
      <w:r>
        <w:rPr>
          <w:spacing w:val="1"/>
        </w:rPr>
        <w:t xml:space="preserve"> </w:t>
      </w:r>
      <w:r>
        <w:t>in</w:t>
      </w:r>
      <w:r>
        <w:rPr>
          <w:spacing w:val="2"/>
        </w:rPr>
        <w:t xml:space="preserve"> </w:t>
      </w:r>
      <w:r>
        <w:t>private</w:t>
      </w:r>
      <w:r>
        <w:rPr>
          <w:spacing w:val="-2"/>
        </w:rPr>
        <w:t xml:space="preserve"> </w:t>
      </w:r>
      <w:r>
        <w:t>households,</w:t>
      </w:r>
      <w:r>
        <w:rPr>
          <w:spacing w:val="2"/>
        </w:rPr>
        <w:t xml:space="preserve"> </w:t>
      </w:r>
      <w:r>
        <w:t>EU</w:t>
      </w:r>
      <w:r>
        <w:rPr>
          <w:spacing w:val="1"/>
        </w:rPr>
        <w:t xml:space="preserve"> </w:t>
      </w:r>
      <w:r>
        <w:t>level,</w:t>
      </w:r>
      <w:r>
        <w:rPr>
          <w:spacing w:val="-57"/>
        </w:rPr>
        <w:t xml:space="preserve"> </w:t>
      </w:r>
      <w:r>
        <w:t>2020</w:t>
      </w:r>
      <w:r>
        <w:rPr>
          <w:spacing w:val="-2"/>
        </w:rPr>
        <w:t xml:space="preserve"> </w:t>
      </w:r>
      <w:r>
        <w:t>(Estimation)</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31"/>
        <w:gridCol w:w="3115"/>
        <w:gridCol w:w="3019"/>
      </w:tblGrid>
      <w:tr w:rsidR="005B1E95">
        <w:trPr>
          <w:trHeight w:val="248"/>
        </w:trPr>
        <w:tc>
          <w:tcPr>
            <w:tcW w:w="3031" w:type="dxa"/>
            <w:tcBorders>
              <w:left w:val="nil"/>
              <w:right w:val="single" w:sz="4" w:space="0" w:color="000000"/>
            </w:tcBorders>
          </w:tcPr>
          <w:p w:rsidR="005B1E95" w:rsidRDefault="00526895">
            <w:pPr>
              <w:pStyle w:val="TableParagraph"/>
              <w:spacing w:line="228" w:lineRule="exact"/>
              <w:ind w:left="372"/>
              <w:jc w:val="left"/>
              <w:rPr>
                <w:b/>
                <w:sz w:val="20"/>
              </w:rPr>
            </w:pPr>
            <w:r>
              <w:rPr>
                <w:b/>
                <w:sz w:val="20"/>
              </w:rPr>
              <w:t>Persons</w:t>
            </w:r>
            <w:r>
              <w:rPr>
                <w:b/>
                <w:spacing w:val="-5"/>
                <w:sz w:val="20"/>
              </w:rPr>
              <w:t xml:space="preserve"> </w:t>
            </w:r>
            <w:r>
              <w:rPr>
                <w:b/>
                <w:sz w:val="20"/>
              </w:rPr>
              <w:t>without</w:t>
            </w:r>
            <w:r>
              <w:rPr>
                <w:b/>
                <w:spacing w:val="-2"/>
                <w:sz w:val="20"/>
              </w:rPr>
              <w:t xml:space="preserve"> </w:t>
            </w:r>
            <w:r>
              <w:rPr>
                <w:b/>
                <w:sz w:val="20"/>
              </w:rPr>
              <w:t>disabilities</w:t>
            </w:r>
          </w:p>
        </w:tc>
        <w:tc>
          <w:tcPr>
            <w:tcW w:w="3115" w:type="dxa"/>
            <w:tcBorders>
              <w:left w:val="single" w:sz="4" w:space="0" w:color="000000"/>
              <w:right w:val="single" w:sz="4" w:space="0" w:color="000000"/>
            </w:tcBorders>
          </w:tcPr>
          <w:p w:rsidR="005B1E95" w:rsidRDefault="00526895">
            <w:pPr>
              <w:pStyle w:val="TableParagraph"/>
              <w:spacing w:line="228" w:lineRule="exact"/>
              <w:ind w:left="535"/>
              <w:jc w:val="left"/>
              <w:rPr>
                <w:b/>
                <w:sz w:val="20"/>
              </w:rPr>
            </w:pPr>
            <w:r>
              <w:rPr>
                <w:b/>
                <w:sz w:val="20"/>
              </w:rPr>
              <w:t>Persons</w:t>
            </w:r>
            <w:r>
              <w:rPr>
                <w:b/>
                <w:spacing w:val="-4"/>
                <w:sz w:val="20"/>
              </w:rPr>
              <w:t xml:space="preserve"> </w:t>
            </w:r>
            <w:r>
              <w:rPr>
                <w:b/>
                <w:sz w:val="20"/>
              </w:rPr>
              <w:t>with</w:t>
            </w:r>
            <w:r>
              <w:rPr>
                <w:b/>
                <w:spacing w:val="-3"/>
                <w:sz w:val="20"/>
              </w:rPr>
              <w:t xml:space="preserve"> </w:t>
            </w:r>
            <w:r>
              <w:rPr>
                <w:b/>
                <w:sz w:val="20"/>
              </w:rPr>
              <w:t>disabilities</w:t>
            </w:r>
          </w:p>
        </w:tc>
        <w:tc>
          <w:tcPr>
            <w:tcW w:w="3019" w:type="dxa"/>
            <w:tcBorders>
              <w:left w:val="single" w:sz="4" w:space="0" w:color="000000"/>
              <w:right w:val="nil"/>
            </w:tcBorders>
          </w:tcPr>
          <w:p w:rsidR="005B1E95" w:rsidRDefault="00526895">
            <w:pPr>
              <w:pStyle w:val="TableParagraph"/>
              <w:spacing w:line="228" w:lineRule="exact"/>
              <w:ind w:left="1264" w:right="1250"/>
              <w:rPr>
                <w:b/>
                <w:sz w:val="20"/>
              </w:rPr>
            </w:pPr>
            <w:r>
              <w:rPr>
                <w:b/>
                <w:sz w:val="20"/>
              </w:rPr>
              <w:t>Total</w:t>
            </w:r>
          </w:p>
        </w:tc>
      </w:tr>
    </w:tbl>
    <w:p w:rsidR="005B1E95" w:rsidRDefault="00706843">
      <w:pPr>
        <w:pStyle w:val="BodyText"/>
        <w:spacing w:line="578" w:lineRule="auto"/>
        <w:ind w:left="3540" w:right="3627"/>
        <w:jc w:val="center"/>
      </w:pPr>
      <w:r>
        <w:rPr>
          <w:noProof/>
        </w:rPr>
        <mc:AlternateContent>
          <mc:Choice Requires="wps">
            <w:drawing>
              <wp:anchor distT="0" distB="0" distL="114300" distR="114300" simplePos="0" relativeHeight="15729152" behindDoc="0" locked="0" layoutInCell="1" allowOverlap="1">
                <wp:simplePos x="0" y="0"/>
                <wp:positionH relativeFrom="page">
                  <wp:posOffset>964565</wp:posOffset>
                </wp:positionH>
                <wp:positionV relativeFrom="paragraph">
                  <wp:posOffset>161290</wp:posOffset>
                </wp:positionV>
                <wp:extent cx="5847715" cy="195580"/>
                <wp:effectExtent l="0" t="0" r="0" b="0"/>
                <wp:wrapNone/>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71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31"/>
                              <w:gridCol w:w="3115"/>
                              <w:gridCol w:w="3019"/>
                            </w:tblGrid>
                            <w:tr w:rsidR="00716091">
                              <w:trPr>
                                <w:trHeight w:val="248"/>
                              </w:trPr>
                              <w:tc>
                                <w:tcPr>
                                  <w:tcW w:w="3031" w:type="dxa"/>
                                  <w:tcBorders>
                                    <w:left w:val="nil"/>
                                    <w:right w:val="single" w:sz="4" w:space="0" w:color="000000"/>
                                  </w:tcBorders>
                                </w:tcPr>
                                <w:p w:rsidR="00716091" w:rsidRDefault="00716091">
                                  <w:pPr>
                                    <w:pStyle w:val="TableParagraph"/>
                                    <w:spacing w:line="225" w:lineRule="exact"/>
                                    <w:ind w:left="829" w:right="779"/>
                                    <w:rPr>
                                      <w:sz w:val="20"/>
                                    </w:rPr>
                                  </w:pPr>
                                  <w:r>
                                    <w:rPr>
                                      <w:sz w:val="20"/>
                                    </w:rPr>
                                    <w:t>276.2</w:t>
                                  </w:r>
                                </w:p>
                              </w:tc>
                              <w:tc>
                                <w:tcPr>
                                  <w:tcW w:w="3115" w:type="dxa"/>
                                  <w:tcBorders>
                                    <w:left w:val="single" w:sz="4" w:space="0" w:color="000000"/>
                                    <w:right w:val="single" w:sz="4" w:space="0" w:color="000000"/>
                                  </w:tcBorders>
                                </w:tcPr>
                                <w:p w:rsidR="00716091" w:rsidRDefault="00716091">
                                  <w:pPr>
                                    <w:pStyle w:val="TableParagraph"/>
                                    <w:spacing w:line="225" w:lineRule="exact"/>
                                    <w:ind w:left="1223" w:right="1194"/>
                                    <w:rPr>
                                      <w:sz w:val="20"/>
                                    </w:rPr>
                                  </w:pPr>
                                  <w:r>
                                    <w:rPr>
                                      <w:sz w:val="20"/>
                                    </w:rPr>
                                    <w:t>91.6</w:t>
                                  </w:r>
                                </w:p>
                              </w:tc>
                              <w:tc>
                                <w:tcPr>
                                  <w:tcW w:w="3019" w:type="dxa"/>
                                  <w:tcBorders>
                                    <w:left w:val="single" w:sz="4" w:space="0" w:color="000000"/>
                                    <w:right w:val="nil"/>
                                  </w:tcBorders>
                                </w:tcPr>
                                <w:p w:rsidR="00716091" w:rsidRDefault="00716091">
                                  <w:pPr>
                                    <w:pStyle w:val="TableParagraph"/>
                                    <w:spacing w:line="225" w:lineRule="exact"/>
                                    <w:ind w:left="1266" w:right="1242"/>
                                    <w:rPr>
                                      <w:sz w:val="20"/>
                                    </w:rPr>
                                  </w:pPr>
                                  <w:r>
                                    <w:rPr>
                                      <w:sz w:val="20"/>
                                    </w:rPr>
                                    <w:t>367.8</w:t>
                                  </w:r>
                                </w:p>
                              </w:tc>
                            </w:tr>
                          </w:tbl>
                          <w:p w:rsidR="00716091" w:rsidRDefault="00716091">
                            <w:pPr>
                              <w:pStyle w:val="BodyText"/>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75.95pt;margin-top:12.7pt;width:460.45pt;height:15.4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" filled="f" stroked="f">
                <v:textbox inset="0,0,0,0">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31"/>
                        <w:gridCol w:w="3115"/>
                        <w:gridCol w:w="3019"/>
                      </w:tblGrid>
                      <w:tr w:rsidR="00716091">
                        <w:trPr>
                          <w:trHeight w:val="248"/>
                        </w:trPr>
                        <w:tc>
                          <w:tcPr>
                            <w:tcW w:w="3031" w:type="dxa"/>
                            <w:tcBorders>
                              <w:left w:val="nil"/>
                              <w:right w:val="single" w:sz="4" w:space="0" w:color="000000"/>
                            </w:tcBorders>
                          </w:tcPr>
                          <w:p w:rsidR="00716091" w:rsidRDefault="00716091">
                            <w:pPr>
                              <w:pStyle w:val="TableParagraph"/>
                              <w:spacing w:line="225" w:lineRule="exact"/>
                              <w:ind w:left="829" w:right="779"/>
                              <w:rPr>
                                <w:sz w:val="20"/>
                              </w:rPr>
                            </w:pPr>
                            <w:r>
                              <w:rPr>
                                <w:sz w:val="20"/>
                              </w:rPr>
                              <w:t>276.2</w:t>
                            </w:r>
                          </w:p>
                        </w:tc>
                        <w:tc>
                          <w:tcPr>
                            <w:tcW w:w="3115" w:type="dxa"/>
                            <w:tcBorders>
                              <w:left w:val="single" w:sz="4" w:space="0" w:color="000000"/>
                              <w:right w:val="single" w:sz="4" w:space="0" w:color="000000"/>
                            </w:tcBorders>
                          </w:tcPr>
                          <w:p w:rsidR="00716091" w:rsidRDefault="00716091">
                            <w:pPr>
                              <w:pStyle w:val="TableParagraph"/>
                              <w:spacing w:line="225" w:lineRule="exact"/>
                              <w:ind w:left="1223" w:right="1194"/>
                              <w:rPr>
                                <w:sz w:val="20"/>
                              </w:rPr>
                            </w:pPr>
                            <w:r>
                              <w:rPr>
                                <w:sz w:val="20"/>
                              </w:rPr>
                              <w:t>91.6</w:t>
                            </w:r>
                          </w:p>
                        </w:tc>
                        <w:tc>
                          <w:tcPr>
                            <w:tcW w:w="3019" w:type="dxa"/>
                            <w:tcBorders>
                              <w:left w:val="single" w:sz="4" w:space="0" w:color="000000"/>
                              <w:right w:val="nil"/>
                            </w:tcBorders>
                          </w:tcPr>
                          <w:p w:rsidR="00716091" w:rsidRDefault="00716091">
                            <w:pPr>
                              <w:pStyle w:val="TableParagraph"/>
                              <w:spacing w:line="225" w:lineRule="exact"/>
                              <w:ind w:left="1266" w:right="1242"/>
                              <w:rPr>
                                <w:sz w:val="20"/>
                              </w:rPr>
                            </w:pPr>
                            <w:r>
                              <w:rPr>
                                <w:sz w:val="20"/>
                              </w:rPr>
                              <w:t>367.8</w:t>
                            </w:r>
                          </w:p>
                        </w:tc>
                      </w:tr>
                    </w:tbl>
                    <w:p w:rsidR="00716091" w:rsidRDefault="00716091">
                      <w:pPr>
                        <w:pStyle w:val="BodyText"/>
                        <w:ind w:left="0"/>
                      </w:pPr>
                    </w:p>
                  </w:txbxContent>
                </v:textbox>
                <w10:wrap anchorx="page"/>
              </v:shape>
            </w:pict>
          </mc:Fallback>
        </mc:AlternateContent>
      </w:r>
      <w:r>
        <w:rPr>
          <w:noProof/>
        </w:rPr>
        <mc:AlternateContent>
          <mc:Choice Requires="wps">
            <w:drawing>
              <wp:anchor distT="0" distB="0" distL="114300" distR="114300" simplePos="0" relativeHeight="15729664" behindDoc="0" locked="0" layoutInCell="1" allowOverlap="1">
                <wp:simplePos x="0" y="0"/>
                <wp:positionH relativeFrom="page">
                  <wp:posOffset>964565</wp:posOffset>
                </wp:positionH>
                <wp:positionV relativeFrom="paragraph">
                  <wp:posOffset>514985</wp:posOffset>
                </wp:positionV>
                <wp:extent cx="5847715" cy="195580"/>
                <wp:effectExtent l="0" t="0" r="0" b="0"/>
                <wp:wrapNone/>
                <wp:docPr id="1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715" cy="195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31"/>
                              <w:gridCol w:w="3115"/>
                              <w:gridCol w:w="3019"/>
                            </w:tblGrid>
                            <w:tr w:rsidR="00716091">
                              <w:trPr>
                                <w:trHeight w:val="248"/>
                              </w:trPr>
                              <w:tc>
                                <w:tcPr>
                                  <w:tcW w:w="3031" w:type="dxa"/>
                                  <w:tcBorders>
                                    <w:left w:val="nil"/>
                                    <w:right w:val="single" w:sz="4" w:space="0" w:color="000000"/>
                                  </w:tcBorders>
                                </w:tcPr>
                                <w:p w:rsidR="00716091" w:rsidRDefault="00716091">
                                  <w:pPr>
                                    <w:pStyle w:val="TableParagraph"/>
                                    <w:spacing w:line="223" w:lineRule="exact"/>
                                    <w:ind w:left="829" w:right="777"/>
                                    <w:rPr>
                                      <w:sz w:val="20"/>
                                    </w:rPr>
                                  </w:pPr>
                                  <w:r>
                                    <w:rPr>
                                      <w:sz w:val="20"/>
                                    </w:rPr>
                                    <w:t>75.1</w:t>
                                  </w:r>
                                </w:p>
                              </w:tc>
                              <w:tc>
                                <w:tcPr>
                                  <w:tcW w:w="3115" w:type="dxa"/>
                                  <w:tcBorders>
                                    <w:left w:val="single" w:sz="4" w:space="0" w:color="000000"/>
                                    <w:right w:val="single" w:sz="4" w:space="0" w:color="000000"/>
                                  </w:tcBorders>
                                </w:tcPr>
                                <w:p w:rsidR="00716091" w:rsidRDefault="00716091">
                                  <w:pPr>
                                    <w:pStyle w:val="TableParagraph"/>
                                    <w:spacing w:line="223" w:lineRule="exact"/>
                                    <w:ind w:left="1223" w:right="1194"/>
                                    <w:rPr>
                                      <w:sz w:val="20"/>
                                    </w:rPr>
                                  </w:pPr>
                                  <w:r>
                                    <w:rPr>
                                      <w:sz w:val="20"/>
                                    </w:rPr>
                                    <w:t>24.9</w:t>
                                  </w:r>
                                </w:p>
                              </w:tc>
                              <w:tc>
                                <w:tcPr>
                                  <w:tcW w:w="3019" w:type="dxa"/>
                                  <w:tcBorders>
                                    <w:left w:val="single" w:sz="4" w:space="0" w:color="000000"/>
                                    <w:right w:val="nil"/>
                                  </w:tcBorders>
                                </w:tcPr>
                                <w:p w:rsidR="00716091" w:rsidRDefault="00716091">
                                  <w:pPr>
                                    <w:pStyle w:val="TableParagraph"/>
                                    <w:spacing w:line="223" w:lineRule="exact"/>
                                    <w:ind w:left="1266" w:right="1245"/>
                                    <w:rPr>
                                      <w:sz w:val="20"/>
                                    </w:rPr>
                                  </w:pPr>
                                  <w:r>
                                    <w:rPr>
                                      <w:sz w:val="20"/>
                                    </w:rPr>
                                    <w:t>100</w:t>
                                  </w:r>
                                </w:p>
                              </w:tc>
                            </w:tr>
                          </w:tbl>
                          <w:p w:rsidR="00716091" w:rsidRDefault="00716091">
                            <w:pPr>
                              <w:pStyle w:val="BodyText"/>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left:0;text-align:left;margin-left:75.95pt;margin-top:40.55pt;width:460.45pt;height:15.4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" filled="f" stroked="f">
                <v:textbox inset="0,0,0,0">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31"/>
                        <w:gridCol w:w="3115"/>
                        <w:gridCol w:w="3019"/>
                      </w:tblGrid>
                      <w:tr w:rsidR="00716091">
                        <w:trPr>
                          <w:trHeight w:val="248"/>
                        </w:trPr>
                        <w:tc>
                          <w:tcPr>
                            <w:tcW w:w="3031" w:type="dxa"/>
                            <w:tcBorders>
                              <w:left w:val="nil"/>
                              <w:right w:val="single" w:sz="4" w:space="0" w:color="000000"/>
                            </w:tcBorders>
                          </w:tcPr>
                          <w:p w:rsidR="00716091" w:rsidRDefault="00716091">
                            <w:pPr>
                              <w:pStyle w:val="TableParagraph"/>
                              <w:spacing w:line="223" w:lineRule="exact"/>
                              <w:ind w:left="829" w:right="777"/>
                              <w:rPr>
                                <w:sz w:val="20"/>
                              </w:rPr>
                            </w:pPr>
                            <w:r>
                              <w:rPr>
                                <w:sz w:val="20"/>
                              </w:rPr>
                              <w:t>75.1</w:t>
                            </w:r>
                          </w:p>
                        </w:tc>
                        <w:tc>
                          <w:tcPr>
                            <w:tcW w:w="3115" w:type="dxa"/>
                            <w:tcBorders>
                              <w:left w:val="single" w:sz="4" w:space="0" w:color="000000"/>
                              <w:right w:val="single" w:sz="4" w:space="0" w:color="000000"/>
                            </w:tcBorders>
                          </w:tcPr>
                          <w:p w:rsidR="00716091" w:rsidRDefault="00716091">
                            <w:pPr>
                              <w:pStyle w:val="TableParagraph"/>
                              <w:spacing w:line="223" w:lineRule="exact"/>
                              <w:ind w:left="1223" w:right="1194"/>
                              <w:rPr>
                                <w:sz w:val="20"/>
                              </w:rPr>
                            </w:pPr>
                            <w:r>
                              <w:rPr>
                                <w:sz w:val="20"/>
                              </w:rPr>
                              <w:t>24.9</w:t>
                            </w:r>
                          </w:p>
                        </w:tc>
                        <w:tc>
                          <w:tcPr>
                            <w:tcW w:w="3019" w:type="dxa"/>
                            <w:tcBorders>
                              <w:left w:val="single" w:sz="4" w:space="0" w:color="000000"/>
                              <w:right w:val="nil"/>
                            </w:tcBorders>
                          </w:tcPr>
                          <w:p w:rsidR="00716091" w:rsidRDefault="00716091">
                            <w:pPr>
                              <w:pStyle w:val="TableParagraph"/>
                              <w:spacing w:line="223" w:lineRule="exact"/>
                              <w:ind w:left="1266" w:right="1245"/>
                              <w:rPr>
                                <w:sz w:val="20"/>
                              </w:rPr>
                            </w:pPr>
                            <w:r>
                              <w:rPr>
                                <w:sz w:val="20"/>
                              </w:rPr>
                              <w:t>100</w:t>
                            </w:r>
                          </w:p>
                        </w:tc>
                      </w:tr>
                    </w:tbl>
                    <w:p w:rsidR="00716091" w:rsidRDefault="00716091">
                      <w:pPr>
                        <w:pStyle w:val="BodyText"/>
                        <w:ind w:left="0"/>
                      </w:pPr>
                    </w:p>
                  </w:txbxContent>
                </v:textbox>
                <w10:wrap anchorx="page"/>
              </v:shape>
            </w:pict>
          </mc:Fallback>
        </mc:AlternateContent>
      </w:r>
      <w:r w:rsidR="00526895">
        <w:t>Number</w:t>
      </w:r>
      <w:r w:rsidR="00526895">
        <w:rPr>
          <w:spacing w:val="-2"/>
        </w:rPr>
        <w:t xml:space="preserve"> </w:t>
      </w:r>
      <w:r w:rsidR="00526895">
        <w:t>in</w:t>
      </w:r>
      <w:r w:rsidR="00526895">
        <w:rPr>
          <w:spacing w:val="-3"/>
        </w:rPr>
        <w:t xml:space="preserve"> </w:t>
      </w:r>
      <w:r w:rsidR="00526895">
        <w:t>Millions</w:t>
      </w:r>
      <w:r w:rsidR="00526895">
        <w:rPr>
          <w:spacing w:val="-3"/>
        </w:rPr>
        <w:t xml:space="preserve"> </w:t>
      </w:r>
      <w:r w:rsidR="00526895">
        <w:t>(1</w:t>
      </w:r>
      <w:r w:rsidR="00526895">
        <w:rPr>
          <w:spacing w:val="-1"/>
        </w:rPr>
        <w:t xml:space="preserve"> </w:t>
      </w:r>
      <w:r w:rsidR="00526895">
        <w:t>000</w:t>
      </w:r>
      <w:r w:rsidR="00526895">
        <w:rPr>
          <w:spacing w:val="-4"/>
        </w:rPr>
        <w:t xml:space="preserve"> </w:t>
      </w:r>
      <w:r w:rsidR="00526895">
        <w:t>000)</w:t>
      </w:r>
      <w:r w:rsidR="00526895">
        <w:rPr>
          <w:spacing w:val="-47"/>
        </w:rPr>
        <w:t xml:space="preserve"> </w:t>
      </w:r>
      <w:r w:rsidR="00526895">
        <w:t>Percent</w:t>
      </w:r>
      <w:r w:rsidR="00526895">
        <w:rPr>
          <w:spacing w:val="-2"/>
        </w:rPr>
        <w:t xml:space="preserve"> </w:t>
      </w:r>
      <w:r w:rsidR="00526895">
        <w:t>(%)</w:t>
      </w:r>
    </w:p>
    <w:p w:rsidR="005B1E95" w:rsidRDefault="00526895">
      <w:pPr>
        <w:spacing w:before="154" w:line="278" w:lineRule="auto"/>
        <w:ind w:left="140" w:right="290"/>
        <w:rPr>
          <w:sz w:val="18"/>
        </w:rPr>
      </w:pPr>
      <w:r>
        <w:rPr>
          <w:sz w:val="18"/>
        </w:rPr>
        <w:t>Source: S. Grammenos (2022), “European comparative data on persons with disabilities”, European Disability Expertise,</w:t>
      </w:r>
      <w:r>
        <w:rPr>
          <w:spacing w:val="1"/>
          <w:sz w:val="18"/>
        </w:rPr>
        <w:t xml:space="preserve"> </w:t>
      </w:r>
      <w:r>
        <w:rPr>
          <w:sz w:val="18"/>
        </w:rPr>
        <w:t>forthcoming.</w:t>
      </w:r>
      <w:r>
        <w:rPr>
          <w:spacing w:val="-5"/>
          <w:sz w:val="18"/>
        </w:rPr>
        <w:t xml:space="preserve"> </w:t>
      </w:r>
      <w:r>
        <w:rPr>
          <w:sz w:val="18"/>
        </w:rPr>
        <w:t>Data</w:t>
      </w:r>
      <w:r>
        <w:rPr>
          <w:spacing w:val="-4"/>
          <w:sz w:val="18"/>
        </w:rPr>
        <w:t xml:space="preserve"> </w:t>
      </w:r>
      <w:r>
        <w:rPr>
          <w:sz w:val="18"/>
        </w:rPr>
        <w:t>source:</w:t>
      </w:r>
      <w:r>
        <w:rPr>
          <w:spacing w:val="-3"/>
          <w:sz w:val="18"/>
        </w:rPr>
        <w:t xml:space="preserve"> </w:t>
      </w:r>
      <w:r>
        <w:rPr>
          <w:sz w:val="18"/>
        </w:rPr>
        <w:t>1)</w:t>
      </w:r>
      <w:r>
        <w:rPr>
          <w:spacing w:val="-2"/>
          <w:sz w:val="18"/>
        </w:rPr>
        <w:t xml:space="preserve"> </w:t>
      </w:r>
      <w:r>
        <w:rPr>
          <w:sz w:val="18"/>
        </w:rPr>
        <w:t>Eurostat.</w:t>
      </w:r>
      <w:r>
        <w:rPr>
          <w:spacing w:val="1"/>
          <w:sz w:val="18"/>
        </w:rPr>
        <w:t xml:space="preserve"> </w:t>
      </w:r>
      <w:r>
        <w:rPr>
          <w:color w:val="0562C1"/>
          <w:sz w:val="18"/>
          <w:u w:val="single" w:color="0562C1"/>
        </w:rPr>
        <w:t>https://ec.europa.eu/eurostat/data/database</w:t>
      </w:r>
      <w:r>
        <w:rPr>
          <w:sz w:val="18"/>
        </w:rPr>
        <w:t>;</w:t>
      </w:r>
      <w:r>
        <w:rPr>
          <w:spacing w:val="-2"/>
          <w:sz w:val="18"/>
        </w:rPr>
        <w:t xml:space="preserve"> </w:t>
      </w:r>
      <w:r>
        <w:rPr>
          <w:sz w:val="18"/>
        </w:rPr>
        <w:t>Extracted</w:t>
      </w:r>
      <w:r>
        <w:rPr>
          <w:spacing w:val="-2"/>
          <w:sz w:val="18"/>
        </w:rPr>
        <w:t xml:space="preserve"> </w:t>
      </w:r>
      <w:r>
        <w:rPr>
          <w:sz w:val="18"/>
        </w:rPr>
        <w:t>on</w:t>
      </w:r>
      <w:r>
        <w:rPr>
          <w:spacing w:val="-3"/>
          <w:sz w:val="18"/>
        </w:rPr>
        <w:t xml:space="preserve"> </w:t>
      </w:r>
      <w:r>
        <w:rPr>
          <w:sz w:val="18"/>
        </w:rPr>
        <w:t>14-04-2022 and</w:t>
      </w:r>
      <w:r>
        <w:rPr>
          <w:spacing w:val="-4"/>
          <w:sz w:val="18"/>
        </w:rPr>
        <w:t xml:space="preserve"> </w:t>
      </w:r>
      <w:r>
        <w:rPr>
          <w:sz w:val="18"/>
        </w:rPr>
        <w:t>2)</w:t>
      </w:r>
      <w:r>
        <w:rPr>
          <w:spacing w:val="-4"/>
          <w:sz w:val="18"/>
        </w:rPr>
        <w:t xml:space="preserve"> </w:t>
      </w:r>
      <w:r>
        <w:rPr>
          <w:sz w:val="18"/>
        </w:rPr>
        <w:t>EU-SILC</w:t>
      </w:r>
      <w:r>
        <w:rPr>
          <w:spacing w:val="-42"/>
          <w:sz w:val="18"/>
        </w:rPr>
        <w:t xml:space="preserve"> </w:t>
      </w:r>
      <w:r>
        <w:rPr>
          <w:sz w:val="18"/>
        </w:rPr>
        <w:t>release</w:t>
      </w:r>
      <w:r>
        <w:rPr>
          <w:spacing w:val="-2"/>
          <w:sz w:val="18"/>
        </w:rPr>
        <w:t xml:space="preserve"> </w:t>
      </w:r>
      <w:r>
        <w:rPr>
          <w:sz w:val="18"/>
        </w:rPr>
        <w:t>1</w:t>
      </w:r>
      <w:r>
        <w:rPr>
          <w:spacing w:val="1"/>
          <w:sz w:val="18"/>
        </w:rPr>
        <w:t xml:space="preserve"> </w:t>
      </w:r>
      <w:r>
        <w:rPr>
          <w:sz w:val="18"/>
        </w:rPr>
        <w:t>in</w:t>
      </w:r>
      <w:r>
        <w:rPr>
          <w:spacing w:val="1"/>
          <w:sz w:val="18"/>
        </w:rPr>
        <w:t xml:space="preserve"> </w:t>
      </w:r>
      <w:r>
        <w:rPr>
          <w:sz w:val="18"/>
        </w:rPr>
        <w:t>2022,</w:t>
      </w:r>
      <w:r>
        <w:rPr>
          <w:spacing w:val="1"/>
          <w:sz w:val="18"/>
        </w:rPr>
        <w:t xml:space="preserve"> </w:t>
      </w:r>
      <w:r>
        <w:rPr>
          <w:sz w:val="18"/>
        </w:rPr>
        <w:t>v.1,</w:t>
      </w:r>
      <w:r>
        <w:rPr>
          <w:spacing w:val="1"/>
          <w:sz w:val="18"/>
        </w:rPr>
        <w:t xml:space="preserve"> </w:t>
      </w:r>
      <w:r>
        <w:rPr>
          <w:sz w:val="18"/>
        </w:rPr>
        <w:t>April</w:t>
      </w:r>
      <w:r>
        <w:rPr>
          <w:spacing w:val="1"/>
          <w:sz w:val="18"/>
        </w:rPr>
        <w:t xml:space="preserve"> </w:t>
      </w:r>
      <w:r>
        <w:rPr>
          <w:sz w:val="18"/>
        </w:rPr>
        <w:t>2022.</w:t>
      </w:r>
    </w:p>
    <w:p w:rsidR="005B1E95" w:rsidRDefault="00526895">
      <w:pPr>
        <w:spacing w:before="119" w:line="278" w:lineRule="auto"/>
        <w:ind w:left="140" w:right="290"/>
        <w:rPr>
          <w:sz w:val="18"/>
        </w:rPr>
      </w:pPr>
      <w:r>
        <w:rPr>
          <w:sz w:val="18"/>
        </w:rPr>
        <w:t>Note: Two different sources have been used for the estimation: Eurostat data for disability prevalence and EU-SILC UDB for</w:t>
      </w:r>
      <w:r>
        <w:rPr>
          <w:spacing w:val="1"/>
          <w:sz w:val="18"/>
        </w:rPr>
        <w:t xml:space="preserve"> </w:t>
      </w:r>
      <w:r>
        <w:rPr>
          <w:sz w:val="18"/>
        </w:rPr>
        <w:t>total population, aged 16+, living in private households. For Germany and Italy, total population, aged 16+, provided by the EU</w:t>
      </w:r>
      <w:r>
        <w:rPr>
          <w:spacing w:val="1"/>
          <w:sz w:val="18"/>
        </w:rPr>
        <w:t xml:space="preserve"> </w:t>
      </w:r>
      <w:r>
        <w:rPr>
          <w:sz w:val="18"/>
        </w:rPr>
        <w:t>SILC</w:t>
      </w:r>
      <w:r>
        <w:rPr>
          <w:spacing w:val="-3"/>
          <w:sz w:val="18"/>
        </w:rPr>
        <w:t xml:space="preserve"> </w:t>
      </w:r>
      <w:r>
        <w:rPr>
          <w:sz w:val="18"/>
        </w:rPr>
        <w:t>UDB</w:t>
      </w:r>
      <w:r>
        <w:rPr>
          <w:spacing w:val="-3"/>
          <w:sz w:val="18"/>
        </w:rPr>
        <w:t xml:space="preserve"> </w:t>
      </w:r>
      <w:r>
        <w:rPr>
          <w:sz w:val="18"/>
        </w:rPr>
        <w:t>2019</w:t>
      </w:r>
      <w:r>
        <w:rPr>
          <w:spacing w:val="-1"/>
          <w:sz w:val="18"/>
        </w:rPr>
        <w:t xml:space="preserve"> </w:t>
      </w:r>
      <w:r>
        <w:rPr>
          <w:sz w:val="18"/>
        </w:rPr>
        <w:t>was</w:t>
      </w:r>
      <w:r>
        <w:rPr>
          <w:spacing w:val="-1"/>
          <w:sz w:val="18"/>
        </w:rPr>
        <w:t xml:space="preserve"> </w:t>
      </w:r>
      <w:r>
        <w:rPr>
          <w:sz w:val="18"/>
        </w:rPr>
        <w:t>used.</w:t>
      </w:r>
      <w:r>
        <w:rPr>
          <w:spacing w:val="-1"/>
          <w:sz w:val="18"/>
        </w:rPr>
        <w:t xml:space="preserve"> </w:t>
      </w:r>
      <w:r>
        <w:rPr>
          <w:sz w:val="18"/>
        </w:rPr>
        <w:t>This</w:t>
      </w:r>
      <w:r>
        <w:rPr>
          <w:spacing w:val="-3"/>
          <w:sz w:val="18"/>
        </w:rPr>
        <w:t xml:space="preserve"> </w:t>
      </w:r>
      <w:r>
        <w:rPr>
          <w:sz w:val="18"/>
        </w:rPr>
        <w:t>affects</w:t>
      </w:r>
      <w:r>
        <w:rPr>
          <w:spacing w:val="-2"/>
          <w:sz w:val="18"/>
        </w:rPr>
        <w:t xml:space="preserve"> </w:t>
      </w:r>
      <w:r>
        <w:rPr>
          <w:sz w:val="18"/>
        </w:rPr>
        <w:t>the</w:t>
      </w:r>
      <w:r>
        <w:rPr>
          <w:spacing w:val="-3"/>
          <w:sz w:val="18"/>
        </w:rPr>
        <w:t xml:space="preserve"> </w:t>
      </w:r>
      <w:r>
        <w:rPr>
          <w:sz w:val="18"/>
        </w:rPr>
        <w:t>EU</w:t>
      </w:r>
      <w:r>
        <w:rPr>
          <w:spacing w:val="-3"/>
          <w:sz w:val="18"/>
        </w:rPr>
        <w:t xml:space="preserve"> </w:t>
      </w:r>
      <w:r>
        <w:rPr>
          <w:sz w:val="18"/>
        </w:rPr>
        <w:t>aggregate.</w:t>
      </w:r>
      <w:r>
        <w:rPr>
          <w:spacing w:val="-2"/>
          <w:sz w:val="18"/>
        </w:rPr>
        <w:t xml:space="preserve"> </w:t>
      </w:r>
      <w:r>
        <w:rPr>
          <w:sz w:val="18"/>
        </w:rPr>
        <w:t>Rounding</w:t>
      </w:r>
      <w:r>
        <w:rPr>
          <w:spacing w:val="-3"/>
          <w:sz w:val="18"/>
        </w:rPr>
        <w:t xml:space="preserve"> </w:t>
      </w:r>
      <w:r>
        <w:rPr>
          <w:sz w:val="18"/>
        </w:rPr>
        <w:t>errors</w:t>
      </w:r>
      <w:r>
        <w:rPr>
          <w:spacing w:val="-2"/>
          <w:sz w:val="18"/>
        </w:rPr>
        <w:t xml:space="preserve"> </w:t>
      </w:r>
      <w:r>
        <w:rPr>
          <w:sz w:val="18"/>
        </w:rPr>
        <w:t>and the</w:t>
      </w:r>
      <w:r>
        <w:rPr>
          <w:spacing w:val="-3"/>
          <w:sz w:val="18"/>
        </w:rPr>
        <w:t xml:space="preserve"> </w:t>
      </w:r>
      <w:r>
        <w:rPr>
          <w:sz w:val="18"/>
        </w:rPr>
        <w:t>use</w:t>
      </w:r>
      <w:r>
        <w:rPr>
          <w:spacing w:val="-3"/>
          <w:sz w:val="18"/>
        </w:rPr>
        <w:t xml:space="preserve"> </w:t>
      </w:r>
      <w:r>
        <w:rPr>
          <w:sz w:val="18"/>
        </w:rPr>
        <w:t>of</w:t>
      </w:r>
      <w:r>
        <w:rPr>
          <w:spacing w:val="-4"/>
          <w:sz w:val="18"/>
        </w:rPr>
        <w:t xml:space="preserve"> </w:t>
      </w:r>
      <w:r>
        <w:rPr>
          <w:sz w:val="18"/>
        </w:rPr>
        <w:t>different</w:t>
      </w:r>
      <w:r>
        <w:rPr>
          <w:spacing w:val="-1"/>
          <w:sz w:val="18"/>
        </w:rPr>
        <w:t xml:space="preserve"> </w:t>
      </w:r>
      <w:r>
        <w:rPr>
          <w:sz w:val="18"/>
        </w:rPr>
        <w:t>sources</w:t>
      </w:r>
      <w:r>
        <w:rPr>
          <w:spacing w:val="-4"/>
          <w:sz w:val="18"/>
        </w:rPr>
        <w:t xml:space="preserve"> </w:t>
      </w:r>
      <w:r>
        <w:rPr>
          <w:sz w:val="18"/>
        </w:rPr>
        <w:t>might</w:t>
      </w:r>
      <w:r>
        <w:rPr>
          <w:spacing w:val="-2"/>
          <w:sz w:val="18"/>
        </w:rPr>
        <w:t xml:space="preserve"> </w:t>
      </w:r>
      <w:r>
        <w:rPr>
          <w:sz w:val="18"/>
        </w:rPr>
        <w:t>explain</w:t>
      </w:r>
      <w:r>
        <w:rPr>
          <w:spacing w:val="-1"/>
          <w:sz w:val="18"/>
        </w:rPr>
        <w:t xml:space="preserve"> </w:t>
      </w:r>
      <w:r>
        <w:rPr>
          <w:sz w:val="18"/>
        </w:rPr>
        <w:t>certain</w:t>
      </w:r>
      <w:r>
        <w:rPr>
          <w:spacing w:val="-42"/>
          <w:sz w:val="18"/>
        </w:rPr>
        <w:t xml:space="preserve"> </w:t>
      </w:r>
      <w:r>
        <w:rPr>
          <w:sz w:val="18"/>
        </w:rPr>
        <w:t>marginal</w:t>
      </w:r>
      <w:r>
        <w:rPr>
          <w:spacing w:val="-2"/>
          <w:sz w:val="18"/>
        </w:rPr>
        <w:t xml:space="preserve"> </w:t>
      </w:r>
      <w:r>
        <w:rPr>
          <w:sz w:val="18"/>
        </w:rPr>
        <w:t>discrepancies between</w:t>
      </w:r>
      <w:r>
        <w:rPr>
          <w:spacing w:val="-1"/>
          <w:sz w:val="18"/>
        </w:rPr>
        <w:t xml:space="preserve"> </w:t>
      </w:r>
      <w:r>
        <w:rPr>
          <w:sz w:val="18"/>
        </w:rPr>
        <w:t>absolute</w:t>
      </w:r>
      <w:r>
        <w:rPr>
          <w:spacing w:val="-1"/>
          <w:sz w:val="18"/>
        </w:rPr>
        <w:t xml:space="preserve"> </w:t>
      </w:r>
      <w:r>
        <w:rPr>
          <w:sz w:val="18"/>
        </w:rPr>
        <w:t>and</w:t>
      </w:r>
      <w:r>
        <w:rPr>
          <w:spacing w:val="-1"/>
          <w:sz w:val="18"/>
        </w:rPr>
        <w:t xml:space="preserve"> </w:t>
      </w:r>
      <w:r>
        <w:rPr>
          <w:sz w:val="18"/>
        </w:rPr>
        <w:t>percentage</w:t>
      </w:r>
      <w:r>
        <w:rPr>
          <w:spacing w:val="-1"/>
          <w:sz w:val="18"/>
        </w:rPr>
        <w:t xml:space="preserve"> </w:t>
      </w:r>
      <w:r>
        <w:rPr>
          <w:sz w:val="18"/>
        </w:rPr>
        <w:t>data.</w:t>
      </w:r>
    </w:p>
    <w:p w:rsidR="005B1E95" w:rsidRDefault="00526895">
      <w:pPr>
        <w:pStyle w:val="Heading3"/>
        <w:spacing w:before="90"/>
      </w:pPr>
      <w:r>
        <w:t>Table</w:t>
      </w:r>
      <w:r>
        <w:rPr>
          <w:spacing w:val="-4"/>
        </w:rPr>
        <w:t xml:space="preserve"> </w:t>
      </w:r>
      <w:r>
        <w:t>A.2:</w:t>
      </w:r>
      <w:r>
        <w:rPr>
          <w:spacing w:val="-3"/>
        </w:rPr>
        <w:t xml:space="preserve"> </w:t>
      </w:r>
      <w:r>
        <w:t>Persons</w:t>
      </w:r>
      <w:r>
        <w:rPr>
          <w:spacing w:val="-2"/>
        </w:rPr>
        <w:t xml:space="preserve"> </w:t>
      </w:r>
      <w:r>
        <w:t>aged</w:t>
      </w:r>
      <w:r>
        <w:rPr>
          <w:spacing w:val="2"/>
        </w:rPr>
        <w:t xml:space="preserve"> </w:t>
      </w:r>
      <w:r>
        <w:t>16</w:t>
      </w:r>
      <w:r>
        <w:rPr>
          <w:spacing w:val="-2"/>
        </w:rPr>
        <w:t xml:space="preserve"> </w:t>
      </w:r>
      <w:r>
        <w:t>and</w:t>
      </w:r>
      <w:r>
        <w:rPr>
          <w:spacing w:val="-1"/>
        </w:rPr>
        <w:t xml:space="preserve"> </w:t>
      </w:r>
      <w:r>
        <w:t>over</w:t>
      </w:r>
      <w:r>
        <w:rPr>
          <w:spacing w:val="-1"/>
        </w:rPr>
        <w:t xml:space="preserve"> </w:t>
      </w:r>
      <w:r>
        <w:t>living</w:t>
      </w:r>
      <w:r>
        <w:rPr>
          <w:spacing w:val="-2"/>
        </w:rPr>
        <w:t xml:space="preserve"> </w:t>
      </w:r>
      <w:r>
        <w:t>in</w:t>
      </w:r>
      <w:r>
        <w:rPr>
          <w:spacing w:val="-3"/>
        </w:rPr>
        <w:t xml:space="preserve"> </w:t>
      </w:r>
      <w:r>
        <w:t>private</w:t>
      </w:r>
      <w:r>
        <w:rPr>
          <w:spacing w:val="-4"/>
        </w:rPr>
        <w:t xml:space="preserve"> </w:t>
      </w:r>
      <w:r>
        <w:t>households,</w:t>
      </w:r>
      <w:r>
        <w:rPr>
          <w:spacing w:val="-1"/>
        </w:rPr>
        <w:t xml:space="preserve"> </w:t>
      </w:r>
      <w:r>
        <w:t>EU</w:t>
      </w:r>
      <w:r>
        <w:rPr>
          <w:spacing w:val="-4"/>
        </w:rPr>
        <w:t xml:space="preserve"> </w:t>
      </w:r>
      <w:r>
        <w:t>level,</w:t>
      </w:r>
      <w:r>
        <w:rPr>
          <w:spacing w:val="-1"/>
        </w:rPr>
        <w:t xml:space="preserve"> </w:t>
      </w:r>
      <w:r>
        <w:t>2020</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242"/>
        <w:gridCol w:w="2340"/>
        <w:gridCol w:w="2340"/>
        <w:gridCol w:w="2244"/>
      </w:tblGrid>
      <w:tr w:rsidR="005B1E95">
        <w:trPr>
          <w:trHeight w:val="497"/>
        </w:trPr>
        <w:tc>
          <w:tcPr>
            <w:tcW w:w="2242" w:type="dxa"/>
            <w:tcBorders>
              <w:left w:val="nil"/>
              <w:right w:val="single" w:sz="4" w:space="0" w:color="000000"/>
            </w:tcBorders>
          </w:tcPr>
          <w:p w:rsidR="005B1E95" w:rsidRDefault="00526895">
            <w:pPr>
              <w:pStyle w:val="TableParagraph"/>
              <w:ind w:left="436" w:right="391"/>
              <w:rPr>
                <w:b/>
                <w:sz w:val="20"/>
              </w:rPr>
            </w:pPr>
            <w:r>
              <w:rPr>
                <w:b/>
                <w:sz w:val="20"/>
              </w:rPr>
              <w:t>Persons</w:t>
            </w:r>
            <w:r>
              <w:rPr>
                <w:b/>
                <w:spacing w:val="-4"/>
                <w:sz w:val="20"/>
              </w:rPr>
              <w:t xml:space="preserve"> </w:t>
            </w:r>
            <w:r>
              <w:rPr>
                <w:b/>
                <w:sz w:val="20"/>
              </w:rPr>
              <w:t>without</w:t>
            </w:r>
          </w:p>
          <w:p w:rsidR="005B1E95" w:rsidRDefault="00526895">
            <w:pPr>
              <w:pStyle w:val="TableParagraph"/>
              <w:spacing w:before="17"/>
              <w:ind w:left="435" w:right="391"/>
              <w:rPr>
                <w:b/>
                <w:sz w:val="20"/>
              </w:rPr>
            </w:pPr>
            <w:r>
              <w:rPr>
                <w:b/>
                <w:sz w:val="20"/>
              </w:rPr>
              <w:t>disabilities</w:t>
            </w:r>
          </w:p>
        </w:tc>
        <w:tc>
          <w:tcPr>
            <w:tcW w:w="2340" w:type="dxa"/>
            <w:tcBorders>
              <w:left w:val="single" w:sz="4" w:space="0" w:color="000000"/>
              <w:right w:val="single" w:sz="4" w:space="0" w:color="000000"/>
            </w:tcBorders>
          </w:tcPr>
          <w:p w:rsidR="005B1E95" w:rsidRDefault="00526895">
            <w:pPr>
              <w:pStyle w:val="TableParagraph"/>
              <w:ind w:left="179" w:right="161"/>
              <w:rPr>
                <w:b/>
                <w:sz w:val="20"/>
              </w:rPr>
            </w:pPr>
            <w:r>
              <w:rPr>
                <w:b/>
                <w:sz w:val="20"/>
              </w:rPr>
              <w:t>Persons</w:t>
            </w:r>
            <w:r>
              <w:rPr>
                <w:b/>
                <w:spacing w:val="-4"/>
                <w:sz w:val="20"/>
              </w:rPr>
              <w:t xml:space="preserve"> </w:t>
            </w:r>
            <w:r>
              <w:rPr>
                <w:b/>
                <w:sz w:val="20"/>
              </w:rPr>
              <w:t>with</w:t>
            </w:r>
            <w:r>
              <w:rPr>
                <w:b/>
                <w:spacing w:val="-2"/>
                <w:sz w:val="20"/>
              </w:rPr>
              <w:t xml:space="preserve"> </w:t>
            </w:r>
            <w:r>
              <w:rPr>
                <w:b/>
                <w:sz w:val="20"/>
              </w:rPr>
              <w:t>moderate</w:t>
            </w:r>
          </w:p>
          <w:p w:rsidR="005B1E95" w:rsidRDefault="00526895">
            <w:pPr>
              <w:pStyle w:val="TableParagraph"/>
              <w:spacing w:before="17"/>
              <w:ind w:left="178" w:right="161"/>
              <w:rPr>
                <w:b/>
                <w:sz w:val="20"/>
              </w:rPr>
            </w:pPr>
            <w:r>
              <w:rPr>
                <w:b/>
                <w:sz w:val="20"/>
              </w:rPr>
              <w:t>disabilities</w:t>
            </w:r>
          </w:p>
        </w:tc>
        <w:tc>
          <w:tcPr>
            <w:tcW w:w="2340" w:type="dxa"/>
            <w:tcBorders>
              <w:left w:val="single" w:sz="4" w:space="0" w:color="000000"/>
              <w:right w:val="single" w:sz="4" w:space="0" w:color="000000"/>
            </w:tcBorders>
          </w:tcPr>
          <w:p w:rsidR="005B1E95" w:rsidRDefault="00526895">
            <w:pPr>
              <w:pStyle w:val="TableParagraph"/>
              <w:ind w:left="179" w:right="154"/>
              <w:rPr>
                <w:b/>
                <w:sz w:val="20"/>
              </w:rPr>
            </w:pPr>
            <w:r>
              <w:rPr>
                <w:b/>
                <w:sz w:val="20"/>
              </w:rPr>
              <w:t>Persons</w:t>
            </w:r>
            <w:r>
              <w:rPr>
                <w:b/>
                <w:spacing w:val="-3"/>
                <w:sz w:val="20"/>
              </w:rPr>
              <w:t xml:space="preserve"> </w:t>
            </w:r>
            <w:r>
              <w:rPr>
                <w:b/>
                <w:sz w:val="20"/>
              </w:rPr>
              <w:t>with</w:t>
            </w:r>
            <w:r>
              <w:rPr>
                <w:b/>
                <w:spacing w:val="-2"/>
                <w:sz w:val="20"/>
              </w:rPr>
              <w:t xml:space="preserve"> </w:t>
            </w:r>
            <w:r>
              <w:rPr>
                <w:b/>
                <w:sz w:val="20"/>
              </w:rPr>
              <w:t>severe</w:t>
            </w:r>
          </w:p>
          <w:p w:rsidR="005B1E95" w:rsidRDefault="00526895">
            <w:pPr>
              <w:pStyle w:val="TableParagraph"/>
              <w:spacing w:before="17"/>
              <w:ind w:left="179" w:right="157"/>
              <w:rPr>
                <w:b/>
                <w:sz w:val="20"/>
              </w:rPr>
            </w:pPr>
            <w:r>
              <w:rPr>
                <w:b/>
                <w:sz w:val="20"/>
              </w:rPr>
              <w:t>disabilities</w:t>
            </w:r>
          </w:p>
        </w:tc>
        <w:tc>
          <w:tcPr>
            <w:tcW w:w="2244" w:type="dxa"/>
            <w:tcBorders>
              <w:left w:val="single" w:sz="4" w:space="0" w:color="000000"/>
              <w:right w:val="nil"/>
            </w:tcBorders>
          </w:tcPr>
          <w:p w:rsidR="005B1E95" w:rsidRDefault="00526895">
            <w:pPr>
              <w:pStyle w:val="TableParagraph"/>
              <w:spacing w:before="43"/>
              <w:ind w:left="882" w:right="861"/>
              <w:rPr>
                <w:b/>
                <w:sz w:val="20"/>
              </w:rPr>
            </w:pPr>
            <w:r>
              <w:rPr>
                <w:b/>
                <w:sz w:val="20"/>
              </w:rPr>
              <w:t>Total</w:t>
            </w:r>
          </w:p>
        </w:tc>
      </w:tr>
    </w:tbl>
    <w:p w:rsidR="005B1E95" w:rsidRDefault="00526895">
      <w:pPr>
        <w:pStyle w:val="BodyText"/>
        <w:spacing w:before="72"/>
        <w:ind w:left="2027" w:right="2123"/>
        <w:jc w:val="center"/>
      </w:pPr>
      <w:r>
        <w:t>Number</w:t>
      </w:r>
      <w:r>
        <w:rPr>
          <w:spacing w:val="-1"/>
        </w:rPr>
        <w:t xml:space="preserve"> </w:t>
      </w:r>
      <w:r>
        <w:t>in</w:t>
      </w:r>
      <w:r>
        <w:rPr>
          <w:spacing w:val="-3"/>
        </w:rPr>
        <w:t xml:space="preserve"> </w:t>
      </w:r>
      <w:r>
        <w:t>Millions</w:t>
      </w:r>
      <w:r>
        <w:rPr>
          <w:spacing w:val="-3"/>
        </w:rPr>
        <w:t xml:space="preserve"> </w:t>
      </w:r>
      <w:r>
        <w:t>(1</w:t>
      </w:r>
      <w:r>
        <w:rPr>
          <w:spacing w:val="-1"/>
        </w:rPr>
        <w:t xml:space="preserve"> </w:t>
      </w:r>
      <w:r>
        <w:t>000</w:t>
      </w:r>
      <w:r>
        <w:rPr>
          <w:spacing w:val="-3"/>
        </w:rPr>
        <w:t xml:space="preserve"> </w:t>
      </w:r>
      <w:r>
        <w:t>000)</w:t>
      </w:r>
    </w:p>
    <w:p w:rsidR="005B1E95" w:rsidRDefault="005B1E95">
      <w:pPr>
        <w:pStyle w:val="BodyText"/>
        <w:spacing w:before="2"/>
        <w:ind w:left="0"/>
        <w:rPr>
          <w:sz w:val="9"/>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242"/>
        <w:gridCol w:w="2340"/>
        <w:gridCol w:w="2340"/>
        <w:gridCol w:w="2244"/>
      </w:tblGrid>
      <w:tr w:rsidR="005B1E95">
        <w:trPr>
          <w:trHeight w:val="409"/>
        </w:trPr>
        <w:tc>
          <w:tcPr>
            <w:tcW w:w="2242" w:type="dxa"/>
            <w:tcBorders>
              <w:left w:val="nil"/>
              <w:right w:val="single" w:sz="4" w:space="0" w:color="000000"/>
            </w:tcBorders>
          </w:tcPr>
          <w:p w:rsidR="005B1E95" w:rsidRDefault="00526895">
            <w:pPr>
              <w:pStyle w:val="TableParagraph"/>
              <w:spacing w:before="74"/>
              <w:ind w:left="436" w:right="389"/>
              <w:rPr>
                <w:sz w:val="20"/>
              </w:rPr>
            </w:pPr>
            <w:r>
              <w:rPr>
                <w:sz w:val="20"/>
              </w:rPr>
              <w:t>275.8</w:t>
            </w:r>
          </w:p>
        </w:tc>
        <w:tc>
          <w:tcPr>
            <w:tcW w:w="2340" w:type="dxa"/>
            <w:tcBorders>
              <w:left w:val="single" w:sz="4" w:space="0" w:color="000000"/>
              <w:right w:val="single" w:sz="4" w:space="0" w:color="000000"/>
            </w:tcBorders>
          </w:tcPr>
          <w:p w:rsidR="005B1E95" w:rsidRDefault="00526895">
            <w:pPr>
              <w:pStyle w:val="TableParagraph"/>
              <w:spacing w:before="74"/>
              <w:ind w:left="179" w:right="158"/>
              <w:rPr>
                <w:sz w:val="20"/>
              </w:rPr>
            </w:pPr>
            <w:r>
              <w:rPr>
                <w:sz w:val="20"/>
              </w:rPr>
              <w:t>64.7</w:t>
            </w:r>
          </w:p>
        </w:tc>
        <w:tc>
          <w:tcPr>
            <w:tcW w:w="2340" w:type="dxa"/>
            <w:tcBorders>
              <w:left w:val="single" w:sz="4" w:space="0" w:color="000000"/>
              <w:right w:val="single" w:sz="4" w:space="0" w:color="000000"/>
            </w:tcBorders>
          </w:tcPr>
          <w:p w:rsidR="005B1E95" w:rsidRDefault="00526895">
            <w:pPr>
              <w:pStyle w:val="TableParagraph"/>
              <w:spacing w:before="74"/>
              <w:ind w:left="179" w:right="153"/>
              <w:rPr>
                <w:sz w:val="20"/>
              </w:rPr>
            </w:pPr>
            <w:r>
              <w:rPr>
                <w:sz w:val="20"/>
              </w:rPr>
              <w:t>27.3</w:t>
            </w:r>
          </w:p>
        </w:tc>
        <w:tc>
          <w:tcPr>
            <w:tcW w:w="2244" w:type="dxa"/>
            <w:tcBorders>
              <w:left w:val="single" w:sz="4" w:space="0" w:color="000000"/>
              <w:right w:val="nil"/>
            </w:tcBorders>
          </w:tcPr>
          <w:p w:rsidR="005B1E95" w:rsidRDefault="00526895">
            <w:pPr>
              <w:pStyle w:val="TableParagraph"/>
              <w:spacing w:before="74"/>
              <w:ind w:left="880" w:right="861"/>
              <w:rPr>
                <w:sz w:val="20"/>
              </w:rPr>
            </w:pPr>
            <w:r>
              <w:rPr>
                <w:sz w:val="20"/>
              </w:rPr>
              <w:t>367.8</w:t>
            </w:r>
          </w:p>
        </w:tc>
      </w:tr>
    </w:tbl>
    <w:p w:rsidR="005B1E95" w:rsidRDefault="00526895">
      <w:pPr>
        <w:pStyle w:val="BodyText"/>
        <w:spacing w:before="72"/>
        <w:ind w:left="4329" w:right="4423"/>
        <w:jc w:val="center"/>
      </w:pPr>
      <w:r>
        <w:t>Percent</w:t>
      </w:r>
      <w:r>
        <w:rPr>
          <w:spacing w:val="-2"/>
        </w:rPr>
        <w:t xml:space="preserve"> </w:t>
      </w:r>
      <w:r>
        <w:t>(%)</w:t>
      </w:r>
    </w:p>
    <w:p w:rsidR="005B1E95" w:rsidRDefault="005B1E95">
      <w:pPr>
        <w:pStyle w:val="BodyText"/>
        <w:spacing w:before="2"/>
        <w:ind w:left="0"/>
        <w:rPr>
          <w:sz w:val="9"/>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242"/>
        <w:gridCol w:w="2340"/>
        <w:gridCol w:w="2340"/>
        <w:gridCol w:w="2244"/>
      </w:tblGrid>
      <w:tr w:rsidR="005B1E95">
        <w:trPr>
          <w:trHeight w:val="409"/>
        </w:trPr>
        <w:tc>
          <w:tcPr>
            <w:tcW w:w="2242" w:type="dxa"/>
            <w:tcBorders>
              <w:left w:val="nil"/>
              <w:right w:val="single" w:sz="4" w:space="0" w:color="000000"/>
            </w:tcBorders>
          </w:tcPr>
          <w:p w:rsidR="005B1E95" w:rsidRDefault="00526895">
            <w:pPr>
              <w:pStyle w:val="TableParagraph"/>
              <w:spacing w:before="74"/>
              <w:ind w:left="436" w:right="387"/>
              <w:rPr>
                <w:sz w:val="20"/>
              </w:rPr>
            </w:pPr>
            <w:r>
              <w:rPr>
                <w:sz w:val="20"/>
              </w:rPr>
              <w:t>75.1</w:t>
            </w:r>
          </w:p>
        </w:tc>
        <w:tc>
          <w:tcPr>
            <w:tcW w:w="2340" w:type="dxa"/>
            <w:tcBorders>
              <w:left w:val="single" w:sz="4" w:space="0" w:color="000000"/>
              <w:right w:val="single" w:sz="4" w:space="0" w:color="000000"/>
            </w:tcBorders>
          </w:tcPr>
          <w:p w:rsidR="005B1E95" w:rsidRDefault="00526895">
            <w:pPr>
              <w:pStyle w:val="TableParagraph"/>
              <w:spacing w:before="74"/>
              <w:ind w:left="179" w:right="158"/>
              <w:rPr>
                <w:sz w:val="20"/>
              </w:rPr>
            </w:pPr>
            <w:r>
              <w:rPr>
                <w:sz w:val="20"/>
              </w:rPr>
              <w:t>17.5</w:t>
            </w:r>
          </w:p>
        </w:tc>
        <w:tc>
          <w:tcPr>
            <w:tcW w:w="2340" w:type="dxa"/>
            <w:tcBorders>
              <w:left w:val="single" w:sz="4" w:space="0" w:color="000000"/>
              <w:right w:val="single" w:sz="4" w:space="0" w:color="000000"/>
            </w:tcBorders>
          </w:tcPr>
          <w:p w:rsidR="005B1E95" w:rsidRDefault="00526895">
            <w:pPr>
              <w:pStyle w:val="TableParagraph"/>
              <w:spacing w:before="74"/>
              <w:ind w:left="179" w:right="154"/>
              <w:rPr>
                <w:sz w:val="20"/>
              </w:rPr>
            </w:pPr>
            <w:r>
              <w:rPr>
                <w:sz w:val="20"/>
              </w:rPr>
              <w:t>7.4</w:t>
            </w:r>
          </w:p>
        </w:tc>
        <w:tc>
          <w:tcPr>
            <w:tcW w:w="2244" w:type="dxa"/>
            <w:tcBorders>
              <w:left w:val="single" w:sz="4" w:space="0" w:color="000000"/>
              <w:right w:val="nil"/>
            </w:tcBorders>
          </w:tcPr>
          <w:p w:rsidR="005B1E95" w:rsidRDefault="00526895">
            <w:pPr>
              <w:pStyle w:val="TableParagraph"/>
              <w:spacing w:before="74"/>
              <w:ind w:left="878" w:right="861"/>
              <w:rPr>
                <w:sz w:val="20"/>
              </w:rPr>
            </w:pPr>
            <w:r>
              <w:rPr>
                <w:sz w:val="20"/>
              </w:rPr>
              <w:t>100</w:t>
            </w:r>
          </w:p>
        </w:tc>
      </w:tr>
    </w:tbl>
    <w:p w:rsidR="005B1E95" w:rsidRDefault="00526895">
      <w:pPr>
        <w:spacing w:before="148" w:line="278" w:lineRule="auto"/>
        <w:ind w:left="140" w:right="290"/>
        <w:rPr>
          <w:sz w:val="18"/>
        </w:rPr>
      </w:pPr>
      <w:r>
        <w:rPr>
          <w:sz w:val="18"/>
        </w:rPr>
        <w:t>Source: S. Grammenos (2022), “European comparative data on persons with disabilities”, European Disability Expertise,</w:t>
      </w:r>
      <w:r>
        <w:rPr>
          <w:spacing w:val="1"/>
          <w:sz w:val="18"/>
        </w:rPr>
        <w:t xml:space="preserve"> </w:t>
      </w:r>
      <w:r>
        <w:rPr>
          <w:sz w:val="18"/>
        </w:rPr>
        <w:t>forthcoming.</w:t>
      </w:r>
      <w:r>
        <w:rPr>
          <w:spacing w:val="-5"/>
          <w:sz w:val="18"/>
        </w:rPr>
        <w:t xml:space="preserve"> </w:t>
      </w:r>
      <w:r>
        <w:rPr>
          <w:sz w:val="18"/>
        </w:rPr>
        <w:t>Data</w:t>
      </w:r>
      <w:r>
        <w:rPr>
          <w:spacing w:val="-4"/>
          <w:sz w:val="18"/>
        </w:rPr>
        <w:t xml:space="preserve"> </w:t>
      </w:r>
      <w:r>
        <w:rPr>
          <w:sz w:val="18"/>
        </w:rPr>
        <w:t>source:</w:t>
      </w:r>
      <w:r>
        <w:rPr>
          <w:spacing w:val="-3"/>
          <w:sz w:val="18"/>
        </w:rPr>
        <w:t xml:space="preserve"> </w:t>
      </w:r>
      <w:r>
        <w:rPr>
          <w:sz w:val="18"/>
        </w:rPr>
        <w:t>1)</w:t>
      </w:r>
      <w:r>
        <w:rPr>
          <w:spacing w:val="-2"/>
          <w:sz w:val="18"/>
        </w:rPr>
        <w:t xml:space="preserve"> </w:t>
      </w:r>
      <w:r>
        <w:rPr>
          <w:sz w:val="18"/>
        </w:rPr>
        <w:t>Eurostat.</w:t>
      </w:r>
      <w:r>
        <w:rPr>
          <w:spacing w:val="1"/>
          <w:sz w:val="18"/>
        </w:rPr>
        <w:t xml:space="preserve"> </w:t>
      </w:r>
      <w:r>
        <w:rPr>
          <w:color w:val="0562C1"/>
          <w:sz w:val="18"/>
          <w:u w:val="single" w:color="0562C1"/>
        </w:rPr>
        <w:t>https://ec.europa.eu/eurostat/data/database</w:t>
      </w:r>
      <w:r>
        <w:rPr>
          <w:sz w:val="18"/>
        </w:rPr>
        <w:t>;</w:t>
      </w:r>
      <w:r>
        <w:rPr>
          <w:spacing w:val="-2"/>
          <w:sz w:val="18"/>
        </w:rPr>
        <w:t xml:space="preserve"> </w:t>
      </w:r>
      <w:r>
        <w:rPr>
          <w:sz w:val="18"/>
        </w:rPr>
        <w:t>Extracted</w:t>
      </w:r>
      <w:r>
        <w:rPr>
          <w:spacing w:val="-2"/>
          <w:sz w:val="18"/>
        </w:rPr>
        <w:t xml:space="preserve"> </w:t>
      </w:r>
      <w:r>
        <w:rPr>
          <w:sz w:val="18"/>
        </w:rPr>
        <w:t>on</w:t>
      </w:r>
      <w:r>
        <w:rPr>
          <w:spacing w:val="-3"/>
          <w:sz w:val="18"/>
        </w:rPr>
        <w:t xml:space="preserve"> </w:t>
      </w:r>
      <w:r>
        <w:rPr>
          <w:sz w:val="18"/>
        </w:rPr>
        <w:t>14-04-2022 and</w:t>
      </w:r>
      <w:r>
        <w:rPr>
          <w:spacing w:val="-4"/>
          <w:sz w:val="18"/>
        </w:rPr>
        <w:t xml:space="preserve"> </w:t>
      </w:r>
      <w:r>
        <w:rPr>
          <w:sz w:val="18"/>
        </w:rPr>
        <w:t>2)</w:t>
      </w:r>
      <w:r>
        <w:rPr>
          <w:spacing w:val="-4"/>
          <w:sz w:val="18"/>
        </w:rPr>
        <w:t xml:space="preserve"> </w:t>
      </w:r>
      <w:r>
        <w:rPr>
          <w:sz w:val="18"/>
        </w:rPr>
        <w:t>EU-SILC</w:t>
      </w:r>
      <w:r>
        <w:rPr>
          <w:spacing w:val="-42"/>
          <w:sz w:val="18"/>
        </w:rPr>
        <w:t xml:space="preserve"> </w:t>
      </w:r>
      <w:r>
        <w:rPr>
          <w:sz w:val="18"/>
        </w:rPr>
        <w:t>release</w:t>
      </w:r>
      <w:r>
        <w:rPr>
          <w:spacing w:val="-2"/>
          <w:sz w:val="18"/>
        </w:rPr>
        <w:t xml:space="preserve"> </w:t>
      </w:r>
      <w:r>
        <w:rPr>
          <w:sz w:val="18"/>
        </w:rPr>
        <w:t>1</w:t>
      </w:r>
      <w:r>
        <w:rPr>
          <w:spacing w:val="1"/>
          <w:sz w:val="18"/>
        </w:rPr>
        <w:t xml:space="preserve"> </w:t>
      </w:r>
      <w:r>
        <w:rPr>
          <w:sz w:val="18"/>
        </w:rPr>
        <w:t>in</w:t>
      </w:r>
      <w:r>
        <w:rPr>
          <w:spacing w:val="1"/>
          <w:sz w:val="18"/>
        </w:rPr>
        <w:t xml:space="preserve"> </w:t>
      </w:r>
      <w:r>
        <w:rPr>
          <w:sz w:val="18"/>
        </w:rPr>
        <w:t>2022,</w:t>
      </w:r>
      <w:r>
        <w:rPr>
          <w:spacing w:val="1"/>
          <w:sz w:val="18"/>
        </w:rPr>
        <w:t xml:space="preserve"> </w:t>
      </w:r>
      <w:r>
        <w:rPr>
          <w:sz w:val="18"/>
        </w:rPr>
        <w:t>v.1,</w:t>
      </w:r>
      <w:r>
        <w:rPr>
          <w:spacing w:val="1"/>
          <w:sz w:val="18"/>
        </w:rPr>
        <w:t xml:space="preserve"> </w:t>
      </w:r>
      <w:r>
        <w:rPr>
          <w:sz w:val="18"/>
        </w:rPr>
        <w:t>April</w:t>
      </w:r>
      <w:r>
        <w:rPr>
          <w:spacing w:val="1"/>
          <w:sz w:val="18"/>
        </w:rPr>
        <w:t xml:space="preserve"> </w:t>
      </w:r>
      <w:r>
        <w:rPr>
          <w:sz w:val="18"/>
        </w:rPr>
        <w:t>2022.</w:t>
      </w:r>
    </w:p>
    <w:p w:rsidR="005B1E95" w:rsidRDefault="00526895">
      <w:pPr>
        <w:spacing w:before="120" w:line="278" w:lineRule="auto"/>
        <w:ind w:left="140" w:right="290"/>
        <w:rPr>
          <w:sz w:val="18"/>
        </w:rPr>
      </w:pPr>
      <w:r>
        <w:rPr>
          <w:sz w:val="18"/>
        </w:rPr>
        <w:t>Note: Two different sources have been used for the estimation: Eurostat data for disability prevalence and EU SILC UDB for</w:t>
      </w:r>
      <w:r>
        <w:rPr>
          <w:spacing w:val="1"/>
          <w:sz w:val="18"/>
        </w:rPr>
        <w:t xml:space="preserve"> </w:t>
      </w:r>
      <w:r>
        <w:rPr>
          <w:sz w:val="18"/>
        </w:rPr>
        <w:t>total population, aged 16+, living in private households. For Germany and Italy, total population, aged 16+, provided by the EU</w:t>
      </w:r>
      <w:r>
        <w:rPr>
          <w:spacing w:val="1"/>
          <w:sz w:val="18"/>
        </w:rPr>
        <w:t xml:space="preserve"> </w:t>
      </w:r>
      <w:r>
        <w:rPr>
          <w:sz w:val="18"/>
        </w:rPr>
        <w:t>SILC</w:t>
      </w:r>
      <w:r>
        <w:rPr>
          <w:spacing w:val="-3"/>
          <w:sz w:val="18"/>
        </w:rPr>
        <w:t xml:space="preserve"> </w:t>
      </w:r>
      <w:r>
        <w:rPr>
          <w:sz w:val="18"/>
        </w:rPr>
        <w:t>UDB</w:t>
      </w:r>
      <w:r>
        <w:rPr>
          <w:spacing w:val="-3"/>
          <w:sz w:val="18"/>
        </w:rPr>
        <w:t xml:space="preserve"> </w:t>
      </w:r>
      <w:r>
        <w:rPr>
          <w:sz w:val="18"/>
        </w:rPr>
        <w:t>2019</w:t>
      </w:r>
      <w:r>
        <w:rPr>
          <w:spacing w:val="-1"/>
          <w:sz w:val="18"/>
        </w:rPr>
        <w:t xml:space="preserve"> </w:t>
      </w:r>
      <w:r>
        <w:rPr>
          <w:sz w:val="18"/>
        </w:rPr>
        <w:t>was</w:t>
      </w:r>
      <w:r>
        <w:rPr>
          <w:spacing w:val="-1"/>
          <w:sz w:val="18"/>
        </w:rPr>
        <w:t xml:space="preserve"> </w:t>
      </w:r>
      <w:r>
        <w:rPr>
          <w:sz w:val="18"/>
        </w:rPr>
        <w:t>used.</w:t>
      </w:r>
      <w:r>
        <w:rPr>
          <w:spacing w:val="-1"/>
          <w:sz w:val="18"/>
        </w:rPr>
        <w:t xml:space="preserve"> </w:t>
      </w:r>
      <w:r>
        <w:rPr>
          <w:sz w:val="18"/>
        </w:rPr>
        <w:t>This</w:t>
      </w:r>
      <w:r>
        <w:rPr>
          <w:spacing w:val="-3"/>
          <w:sz w:val="18"/>
        </w:rPr>
        <w:t xml:space="preserve"> </w:t>
      </w:r>
      <w:r>
        <w:rPr>
          <w:sz w:val="18"/>
        </w:rPr>
        <w:t>affects</w:t>
      </w:r>
      <w:r>
        <w:rPr>
          <w:spacing w:val="-2"/>
          <w:sz w:val="18"/>
        </w:rPr>
        <w:t xml:space="preserve"> </w:t>
      </w:r>
      <w:r>
        <w:rPr>
          <w:sz w:val="18"/>
        </w:rPr>
        <w:t>the</w:t>
      </w:r>
      <w:r>
        <w:rPr>
          <w:spacing w:val="-3"/>
          <w:sz w:val="18"/>
        </w:rPr>
        <w:t xml:space="preserve"> </w:t>
      </w:r>
      <w:r>
        <w:rPr>
          <w:sz w:val="18"/>
        </w:rPr>
        <w:t>EU</w:t>
      </w:r>
      <w:r>
        <w:rPr>
          <w:spacing w:val="-3"/>
          <w:sz w:val="18"/>
        </w:rPr>
        <w:t xml:space="preserve"> </w:t>
      </w:r>
      <w:r>
        <w:rPr>
          <w:sz w:val="18"/>
        </w:rPr>
        <w:t>aggregate.</w:t>
      </w:r>
      <w:r>
        <w:rPr>
          <w:spacing w:val="-2"/>
          <w:sz w:val="18"/>
        </w:rPr>
        <w:t xml:space="preserve"> </w:t>
      </w:r>
      <w:r>
        <w:rPr>
          <w:sz w:val="18"/>
        </w:rPr>
        <w:t>Rounding</w:t>
      </w:r>
      <w:r>
        <w:rPr>
          <w:spacing w:val="-3"/>
          <w:sz w:val="18"/>
        </w:rPr>
        <w:t xml:space="preserve"> </w:t>
      </w:r>
      <w:r>
        <w:rPr>
          <w:sz w:val="18"/>
        </w:rPr>
        <w:t>errors</w:t>
      </w:r>
      <w:r>
        <w:rPr>
          <w:spacing w:val="-2"/>
          <w:sz w:val="18"/>
        </w:rPr>
        <w:t xml:space="preserve"> </w:t>
      </w:r>
      <w:r>
        <w:rPr>
          <w:sz w:val="18"/>
        </w:rPr>
        <w:t>and the</w:t>
      </w:r>
      <w:r>
        <w:rPr>
          <w:spacing w:val="-3"/>
          <w:sz w:val="18"/>
        </w:rPr>
        <w:t xml:space="preserve"> </w:t>
      </w:r>
      <w:r>
        <w:rPr>
          <w:sz w:val="18"/>
        </w:rPr>
        <w:t>use</w:t>
      </w:r>
      <w:r>
        <w:rPr>
          <w:spacing w:val="-3"/>
          <w:sz w:val="18"/>
        </w:rPr>
        <w:t xml:space="preserve"> </w:t>
      </w:r>
      <w:r>
        <w:rPr>
          <w:sz w:val="18"/>
        </w:rPr>
        <w:t>of</w:t>
      </w:r>
      <w:r>
        <w:rPr>
          <w:spacing w:val="-4"/>
          <w:sz w:val="18"/>
        </w:rPr>
        <w:t xml:space="preserve"> </w:t>
      </w:r>
      <w:r>
        <w:rPr>
          <w:sz w:val="18"/>
        </w:rPr>
        <w:t>different</w:t>
      </w:r>
      <w:r>
        <w:rPr>
          <w:spacing w:val="-1"/>
          <w:sz w:val="18"/>
        </w:rPr>
        <w:t xml:space="preserve"> </w:t>
      </w:r>
      <w:r>
        <w:rPr>
          <w:sz w:val="18"/>
        </w:rPr>
        <w:t>sources</w:t>
      </w:r>
      <w:r>
        <w:rPr>
          <w:spacing w:val="-4"/>
          <w:sz w:val="18"/>
        </w:rPr>
        <w:t xml:space="preserve"> </w:t>
      </w:r>
      <w:r>
        <w:rPr>
          <w:sz w:val="18"/>
        </w:rPr>
        <w:t>might</w:t>
      </w:r>
      <w:r>
        <w:rPr>
          <w:spacing w:val="-2"/>
          <w:sz w:val="18"/>
        </w:rPr>
        <w:t xml:space="preserve"> </w:t>
      </w:r>
      <w:r>
        <w:rPr>
          <w:sz w:val="18"/>
        </w:rPr>
        <w:t>explain</w:t>
      </w:r>
      <w:r>
        <w:rPr>
          <w:spacing w:val="-1"/>
          <w:sz w:val="18"/>
        </w:rPr>
        <w:t xml:space="preserve"> </w:t>
      </w:r>
      <w:r>
        <w:rPr>
          <w:sz w:val="18"/>
        </w:rPr>
        <w:t>certain</w:t>
      </w:r>
      <w:r>
        <w:rPr>
          <w:spacing w:val="-42"/>
          <w:sz w:val="18"/>
        </w:rPr>
        <w:t xml:space="preserve"> </w:t>
      </w:r>
      <w:r>
        <w:rPr>
          <w:sz w:val="18"/>
        </w:rPr>
        <w:t>marginal</w:t>
      </w:r>
      <w:r>
        <w:rPr>
          <w:spacing w:val="-2"/>
          <w:sz w:val="18"/>
        </w:rPr>
        <w:t xml:space="preserve"> </w:t>
      </w:r>
      <w:r>
        <w:rPr>
          <w:sz w:val="18"/>
        </w:rPr>
        <w:t>discrepancies between</w:t>
      </w:r>
      <w:r>
        <w:rPr>
          <w:spacing w:val="-1"/>
          <w:sz w:val="18"/>
        </w:rPr>
        <w:t xml:space="preserve"> </w:t>
      </w:r>
      <w:r>
        <w:rPr>
          <w:sz w:val="18"/>
        </w:rPr>
        <w:t>absolute</w:t>
      </w:r>
      <w:r>
        <w:rPr>
          <w:spacing w:val="-1"/>
          <w:sz w:val="18"/>
        </w:rPr>
        <w:t xml:space="preserve"> </w:t>
      </w:r>
      <w:r>
        <w:rPr>
          <w:sz w:val="18"/>
        </w:rPr>
        <w:t>and</w:t>
      </w:r>
      <w:r>
        <w:rPr>
          <w:spacing w:val="-1"/>
          <w:sz w:val="18"/>
        </w:rPr>
        <w:t xml:space="preserve"> </w:t>
      </w:r>
      <w:r>
        <w:rPr>
          <w:sz w:val="18"/>
        </w:rPr>
        <w:t>percentage</w:t>
      </w:r>
      <w:r>
        <w:rPr>
          <w:spacing w:val="-1"/>
          <w:sz w:val="18"/>
        </w:rPr>
        <w:t xml:space="preserve"> </w:t>
      </w:r>
      <w:r>
        <w:rPr>
          <w:sz w:val="18"/>
        </w:rPr>
        <w:t>data.</w:t>
      </w:r>
    </w:p>
    <w:p w:rsidR="005B1E95" w:rsidRDefault="00706843">
      <w:pPr>
        <w:pStyle w:val="Heading3"/>
        <w:numPr>
          <w:ilvl w:val="0"/>
          <w:numId w:val="2"/>
        </w:numPr>
        <w:tabs>
          <w:tab w:val="left" w:pos="374"/>
        </w:tabs>
        <w:spacing w:before="90"/>
        <w:ind w:right="246" w:firstLine="0"/>
        <w:rPr>
          <w:sz w:val="22"/>
        </w:rPr>
      </w:pPr>
      <w:r>
        <w:rPr>
          <w:noProof/>
        </w:rPr>
        <mc:AlternateContent>
          <mc:Choice Requires="wps">
            <w:drawing>
              <wp:anchor distT="0" distB="0" distL="0" distR="0" simplePos="0" relativeHeight="487587840" behindDoc="1" locked="0" layoutInCell="1" allowOverlap="1">
                <wp:simplePos x="0" y="0"/>
                <wp:positionH relativeFrom="page">
                  <wp:posOffset>1522730</wp:posOffset>
                </wp:positionH>
                <wp:positionV relativeFrom="paragraph">
                  <wp:posOffset>480695</wp:posOffset>
                </wp:positionV>
                <wp:extent cx="5413375" cy="518160"/>
                <wp:effectExtent l="0" t="0" r="0" b="0"/>
                <wp:wrapTopAndBottom/>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3375" cy="518160"/>
                        </a:xfrm>
                        <a:prstGeom prst="rect">
                          <a:avLst/>
                        </a:prstGeom>
                        <a:noFill/>
                        <a:ln w="1828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16091" w:rsidRDefault="00716091">
                            <w:pPr>
                              <w:pStyle w:val="BodyText"/>
                              <w:spacing w:before="15" w:line="252" w:lineRule="auto"/>
                              <w:ind w:left="467" w:right="73" w:hanging="360"/>
                            </w:pPr>
                            <w:r>
                              <w:rPr>
                                <w:rFonts w:ascii="Courier New"/>
                              </w:rPr>
                              <w:t>o</w:t>
                            </w:r>
                            <w:r>
                              <w:rPr>
                                <w:rFonts w:ascii="Courier New"/>
                                <w:spacing w:val="112"/>
                              </w:rPr>
                              <w:t xml:space="preserve"> </w:t>
                            </w:r>
                            <w:r>
                              <w:t>About</w:t>
                            </w:r>
                            <w:r>
                              <w:rPr>
                                <w:spacing w:val="-3"/>
                              </w:rPr>
                              <w:t xml:space="preserve"> </w:t>
                            </w:r>
                            <w:r>
                              <w:t>2.1 %</w:t>
                            </w:r>
                            <w:r>
                              <w:rPr>
                                <w:spacing w:val="-1"/>
                              </w:rPr>
                              <w:t xml:space="preserve"> </w:t>
                            </w:r>
                            <w:r>
                              <w:t>of</w:t>
                            </w:r>
                            <w:r>
                              <w:rPr>
                                <w:spacing w:val="-3"/>
                              </w:rPr>
                              <w:t xml:space="preserve"> </w:t>
                            </w:r>
                            <w:r>
                              <w:t>persons</w:t>
                            </w:r>
                            <w:r>
                              <w:rPr>
                                <w:spacing w:val="-2"/>
                              </w:rPr>
                              <w:t xml:space="preserve"> </w:t>
                            </w:r>
                            <w:r>
                              <w:t>aged</w:t>
                            </w:r>
                            <w:r>
                              <w:rPr>
                                <w:spacing w:val="-1"/>
                              </w:rPr>
                              <w:t xml:space="preserve"> </w:t>
                            </w:r>
                            <w:r>
                              <w:t>15 and</w:t>
                            </w:r>
                            <w:r>
                              <w:rPr>
                                <w:spacing w:val="-1"/>
                              </w:rPr>
                              <w:t xml:space="preserve"> </w:t>
                            </w:r>
                            <w:r>
                              <w:t>over</w:t>
                            </w:r>
                            <w:r>
                              <w:rPr>
                                <w:spacing w:val="-1"/>
                              </w:rPr>
                              <w:t xml:space="preserve"> </w:t>
                            </w:r>
                            <w:r>
                              <w:t>declared a</w:t>
                            </w:r>
                            <w:r>
                              <w:rPr>
                                <w:spacing w:val="-2"/>
                              </w:rPr>
                              <w:t xml:space="preserve"> </w:t>
                            </w:r>
                            <w:r>
                              <w:t>severe</w:t>
                            </w:r>
                            <w:r>
                              <w:rPr>
                                <w:spacing w:val="-2"/>
                              </w:rPr>
                              <w:t xml:space="preserve"> </w:t>
                            </w:r>
                            <w:r>
                              <w:t>difficulty</w:t>
                            </w:r>
                            <w:r>
                              <w:rPr>
                                <w:spacing w:val="-3"/>
                              </w:rPr>
                              <w:t xml:space="preserve"> </w:t>
                            </w:r>
                            <w:r>
                              <w:t>(a</w:t>
                            </w:r>
                            <w:r>
                              <w:rPr>
                                <w:spacing w:val="-2"/>
                              </w:rPr>
                              <w:t xml:space="preserve"> </w:t>
                            </w:r>
                            <w:r>
                              <w:t>lot</w:t>
                            </w:r>
                            <w:r>
                              <w:rPr>
                                <w:spacing w:val="-3"/>
                              </w:rPr>
                              <w:t xml:space="preserve"> </w:t>
                            </w:r>
                            <w:r>
                              <w:t>of</w:t>
                            </w:r>
                            <w:r>
                              <w:rPr>
                                <w:spacing w:val="-3"/>
                              </w:rPr>
                              <w:t xml:space="preserve"> </w:t>
                            </w:r>
                            <w:r>
                              <w:t>difficulty</w:t>
                            </w:r>
                            <w:r>
                              <w:rPr>
                                <w:spacing w:val="-2"/>
                              </w:rPr>
                              <w:t xml:space="preserve"> </w:t>
                            </w:r>
                            <w:r>
                              <w:t>or</w:t>
                            </w:r>
                            <w:r>
                              <w:rPr>
                                <w:spacing w:val="-1"/>
                              </w:rPr>
                              <w:t xml:space="preserve"> </w:t>
                            </w:r>
                            <w:r>
                              <w:t>cannot</w:t>
                            </w:r>
                            <w:r>
                              <w:rPr>
                                <w:spacing w:val="-47"/>
                              </w:rPr>
                              <w:t xml:space="preserve"> </w:t>
                            </w:r>
                            <w:r>
                              <w:t>do at all / unable to do) in seeing, even wearing glasses or contact lenses. This represents 7.7</w:t>
                            </w:r>
                            <w:r>
                              <w:rPr>
                                <w:spacing w:val="1"/>
                              </w:rPr>
                              <w:t xml:space="preserve"> </w:t>
                            </w:r>
                            <w:r>
                              <w:t>million</w:t>
                            </w:r>
                            <w:r>
                              <w:rPr>
                                <w:spacing w:val="-2"/>
                              </w:rPr>
                              <w:t xml:space="preserve"> </w:t>
                            </w:r>
                            <w:r>
                              <w:t>persons</w:t>
                            </w:r>
                            <w:r>
                              <w:rPr>
                                <w:spacing w:val="-3"/>
                              </w:rPr>
                              <w:t xml:space="preserve"> </w:t>
                            </w:r>
                            <w:r>
                              <w:t>(1.7</w:t>
                            </w:r>
                            <w:r>
                              <w:rPr>
                                <w:spacing w:val="3"/>
                              </w:rPr>
                              <w:t xml:space="preserve"> </w:t>
                            </w:r>
                            <w:r>
                              <w:t>million</w:t>
                            </w:r>
                            <w:r>
                              <w:rPr>
                                <w:spacing w:val="-1"/>
                              </w:rPr>
                              <w:t xml:space="preserve"> </w:t>
                            </w:r>
                            <w:r>
                              <w:t>persons</w:t>
                            </w:r>
                            <w:r>
                              <w:rPr>
                                <w:spacing w:val="-2"/>
                              </w:rPr>
                              <w:t xml:space="preserve"> </w:t>
                            </w:r>
                            <w:r>
                              <w:t>cannot</w:t>
                            </w:r>
                            <w:r>
                              <w:rPr>
                                <w:spacing w:val="-1"/>
                              </w:rPr>
                              <w:t xml:space="preserve"> </w:t>
                            </w:r>
                            <w:r>
                              <w:t>do</w:t>
                            </w:r>
                            <w:r>
                              <w:rPr>
                                <w:spacing w:val="1"/>
                              </w:rPr>
                              <w:t xml:space="preserve"> </w:t>
                            </w:r>
                            <w:r>
                              <w:t>at</w:t>
                            </w:r>
                            <w:r>
                              <w:rPr>
                                <w:spacing w:val="-1"/>
                              </w:rPr>
                              <w:t xml:space="preserve"> </w:t>
                            </w:r>
                            <w:r>
                              <w:t>all).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119.9pt;margin-top:37.85pt;width:426.25pt;height:40.8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" filled="f" strokeweight="1.44pt">
                <v:textbox inset="0,0,0,0">
                  <w:txbxContent>
                    <w:p w:rsidR="00716091" w:rsidRDefault="00716091">
                      <w:pPr>
                        <w:pStyle w:val="BodyText"/>
                        <w:spacing w:before="15" w:line="252" w:lineRule="auto"/>
                        <w:ind w:left="467" w:right="73" w:hanging="360"/>
                      </w:pPr>
                      <w:r>
                        <w:rPr>
                          <w:rFonts w:ascii="Courier New"/>
                        </w:rPr>
                        <w:t>o</w:t>
                      </w:r>
                      <w:r>
                        <w:rPr>
                          <w:rFonts w:ascii="Courier New"/>
                          <w:spacing w:val="112"/>
                        </w:rPr>
                        <w:t xml:space="preserve"> </w:t>
                      </w:r>
                      <w:r>
                        <w:t>About</w:t>
                      </w:r>
                      <w:r>
                        <w:rPr>
                          <w:spacing w:val="-3"/>
                        </w:rPr>
                        <w:t xml:space="preserve"> </w:t>
                      </w:r>
                      <w:r>
                        <w:t>2.1 %</w:t>
                      </w:r>
                      <w:r>
                        <w:rPr>
                          <w:spacing w:val="-1"/>
                        </w:rPr>
                        <w:t xml:space="preserve"> </w:t>
                      </w:r>
                      <w:r>
                        <w:t>of</w:t>
                      </w:r>
                      <w:r>
                        <w:rPr>
                          <w:spacing w:val="-3"/>
                        </w:rPr>
                        <w:t xml:space="preserve"> </w:t>
                      </w:r>
                      <w:r>
                        <w:t>persons</w:t>
                      </w:r>
                      <w:r>
                        <w:rPr>
                          <w:spacing w:val="-2"/>
                        </w:rPr>
                        <w:t xml:space="preserve"> </w:t>
                      </w:r>
                      <w:r>
                        <w:t>aged</w:t>
                      </w:r>
                      <w:r>
                        <w:rPr>
                          <w:spacing w:val="-1"/>
                        </w:rPr>
                        <w:t xml:space="preserve"> </w:t>
                      </w:r>
                      <w:r>
                        <w:t>15 and</w:t>
                      </w:r>
                      <w:r>
                        <w:rPr>
                          <w:spacing w:val="-1"/>
                        </w:rPr>
                        <w:t xml:space="preserve"> </w:t>
                      </w:r>
                      <w:r>
                        <w:t>over</w:t>
                      </w:r>
                      <w:r>
                        <w:rPr>
                          <w:spacing w:val="-1"/>
                        </w:rPr>
                        <w:t xml:space="preserve"> </w:t>
                      </w:r>
                      <w:r>
                        <w:t>declared a</w:t>
                      </w:r>
                      <w:r>
                        <w:rPr>
                          <w:spacing w:val="-2"/>
                        </w:rPr>
                        <w:t xml:space="preserve"> </w:t>
                      </w:r>
                      <w:r>
                        <w:t>severe</w:t>
                      </w:r>
                      <w:r>
                        <w:rPr>
                          <w:spacing w:val="-2"/>
                        </w:rPr>
                        <w:t xml:space="preserve"> </w:t>
                      </w:r>
                      <w:r>
                        <w:t>difficulty</w:t>
                      </w:r>
                      <w:r>
                        <w:rPr>
                          <w:spacing w:val="-3"/>
                        </w:rPr>
                        <w:t xml:space="preserve"> </w:t>
                      </w:r>
                      <w:r>
                        <w:t>(a</w:t>
                      </w:r>
                      <w:r>
                        <w:rPr>
                          <w:spacing w:val="-2"/>
                        </w:rPr>
                        <w:t xml:space="preserve"> </w:t>
                      </w:r>
                      <w:r>
                        <w:t>lot</w:t>
                      </w:r>
                      <w:r>
                        <w:rPr>
                          <w:spacing w:val="-3"/>
                        </w:rPr>
                        <w:t xml:space="preserve"> </w:t>
                      </w:r>
                      <w:r>
                        <w:t>of</w:t>
                      </w:r>
                      <w:r>
                        <w:rPr>
                          <w:spacing w:val="-3"/>
                        </w:rPr>
                        <w:t xml:space="preserve"> </w:t>
                      </w:r>
                      <w:r>
                        <w:t>difficulty</w:t>
                      </w:r>
                      <w:r>
                        <w:rPr>
                          <w:spacing w:val="-2"/>
                        </w:rPr>
                        <w:t xml:space="preserve"> </w:t>
                      </w:r>
                      <w:r>
                        <w:t>or</w:t>
                      </w:r>
                      <w:r>
                        <w:rPr>
                          <w:spacing w:val="-1"/>
                        </w:rPr>
                        <w:t xml:space="preserve"> </w:t>
                      </w:r>
                      <w:r>
                        <w:t>cannot</w:t>
                      </w:r>
                      <w:r>
                        <w:rPr>
                          <w:spacing w:val="-47"/>
                        </w:rPr>
                        <w:t xml:space="preserve"> </w:t>
                      </w:r>
                      <w:r>
                        <w:t>do at all / unable to do) in seeing, even wearing glasses or contact lenses. This represents 7.7</w:t>
                      </w:r>
                      <w:r>
                        <w:rPr>
                          <w:spacing w:val="1"/>
                        </w:rPr>
                        <w:t xml:space="preserve"> </w:t>
                      </w:r>
                      <w:r>
                        <w:t>million</w:t>
                      </w:r>
                      <w:r>
                        <w:rPr>
                          <w:spacing w:val="-2"/>
                        </w:rPr>
                        <w:t xml:space="preserve"> </w:t>
                      </w:r>
                      <w:r>
                        <w:t>persons</w:t>
                      </w:r>
                      <w:r>
                        <w:rPr>
                          <w:spacing w:val="-3"/>
                        </w:rPr>
                        <w:t xml:space="preserve"> </w:t>
                      </w:r>
                      <w:r>
                        <w:t>(1.7</w:t>
                      </w:r>
                      <w:r>
                        <w:rPr>
                          <w:spacing w:val="3"/>
                        </w:rPr>
                        <w:t xml:space="preserve"> </w:t>
                      </w:r>
                      <w:r>
                        <w:t>million</w:t>
                      </w:r>
                      <w:r>
                        <w:rPr>
                          <w:spacing w:val="-1"/>
                        </w:rPr>
                        <w:t xml:space="preserve"> </w:t>
                      </w:r>
                      <w:r>
                        <w:t>persons</w:t>
                      </w:r>
                      <w:r>
                        <w:rPr>
                          <w:spacing w:val="-2"/>
                        </w:rPr>
                        <w:t xml:space="preserve"> </w:t>
                      </w:r>
                      <w:r>
                        <w:t>cannot</w:t>
                      </w:r>
                      <w:r>
                        <w:rPr>
                          <w:spacing w:val="-1"/>
                        </w:rPr>
                        <w:t xml:space="preserve"> </w:t>
                      </w:r>
                      <w:r>
                        <w:t>do</w:t>
                      </w:r>
                      <w:r>
                        <w:rPr>
                          <w:spacing w:val="1"/>
                        </w:rPr>
                        <w:t xml:space="preserve"> </w:t>
                      </w:r>
                      <w:r>
                        <w:t>at</w:t>
                      </w:r>
                      <w:r>
                        <w:rPr>
                          <w:spacing w:val="-1"/>
                        </w:rPr>
                        <w:t xml:space="preserve"> </w:t>
                      </w:r>
                      <w:r>
                        <w:t>all).</w:t>
                      </w:r>
                    </w:p>
                  </w:txbxContent>
                </v:textbox>
                <w10:wrap type="topAndBottom" anchorx="page"/>
              </v:shape>
            </w:pict>
          </mc:Fallback>
        </mc:AlternateContent>
      </w:r>
      <w:r w:rsidR="00526895">
        <w:t>3:</w:t>
      </w:r>
      <w:r w:rsidR="00526895">
        <w:rPr>
          <w:spacing w:val="25"/>
        </w:rPr>
        <w:t xml:space="preserve"> </w:t>
      </w:r>
      <w:r w:rsidR="00526895">
        <w:t>Population</w:t>
      </w:r>
      <w:r w:rsidR="00526895">
        <w:rPr>
          <w:spacing w:val="27"/>
        </w:rPr>
        <w:t xml:space="preserve"> </w:t>
      </w:r>
      <w:r w:rsidR="00526895">
        <w:t>aged</w:t>
      </w:r>
      <w:r w:rsidR="00526895">
        <w:rPr>
          <w:spacing w:val="25"/>
        </w:rPr>
        <w:t xml:space="preserve"> </w:t>
      </w:r>
      <w:r w:rsidR="00526895">
        <w:t>15</w:t>
      </w:r>
      <w:r w:rsidR="00526895">
        <w:rPr>
          <w:spacing w:val="25"/>
        </w:rPr>
        <w:t xml:space="preserve"> </w:t>
      </w:r>
      <w:r w:rsidR="00526895">
        <w:t>and</w:t>
      </w:r>
      <w:r w:rsidR="00526895">
        <w:rPr>
          <w:spacing w:val="28"/>
        </w:rPr>
        <w:t xml:space="preserve"> </w:t>
      </w:r>
      <w:r w:rsidR="00526895">
        <w:t>over</w:t>
      </w:r>
      <w:r w:rsidR="00526895">
        <w:rPr>
          <w:spacing w:val="21"/>
        </w:rPr>
        <w:t xml:space="preserve"> </w:t>
      </w:r>
      <w:r w:rsidR="00526895">
        <w:t>declaring</w:t>
      </w:r>
      <w:r w:rsidR="00526895">
        <w:rPr>
          <w:spacing w:val="27"/>
        </w:rPr>
        <w:t xml:space="preserve"> </w:t>
      </w:r>
      <w:r w:rsidR="00526895">
        <w:t>severe</w:t>
      </w:r>
      <w:r w:rsidR="00526895">
        <w:rPr>
          <w:spacing w:val="25"/>
        </w:rPr>
        <w:t xml:space="preserve"> </w:t>
      </w:r>
      <w:r w:rsidR="00526895">
        <w:t>physical</w:t>
      </w:r>
      <w:r w:rsidR="00526895">
        <w:rPr>
          <w:spacing w:val="25"/>
        </w:rPr>
        <w:t xml:space="preserve"> </w:t>
      </w:r>
      <w:r w:rsidR="00526895">
        <w:t>and</w:t>
      </w:r>
      <w:r w:rsidR="00526895">
        <w:rPr>
          <w:spacing w:val="27"/>
        </w:rPr>
        <w:t xml:space="preserve"> </w:t>
      </w:r>
      <w:r w:rsidR="00526895">
        <w:t>sensory</w:t>
      </w:r>
      <w:r w:rsidR="00526895">
        <w:rPr>
          <w:spacing w:val="22"/>
        </w:rPr>
        <w:t xml:space="preserve"> </w:t>
      </w:r>
      <w:r w:rsidR="00526895">
        <w:t>functional</w:t>
      </w:r>
      <w:r w:rsidR="00526895">
        <w:rPr>
          <w:spacing w:val="-57"/>
        </w:rPr>
        <w:t xml:space="preserve"> </w:t>
      </w:r>
      <w:r w:rsidR="00526895">
        <w:t>limitations,</w:t>
      </w:r>
      <w:r w:rsidR="00526895">
        <w:rPr>
          <w:spacing w:val="-2"/>
        </w:rPr>
        <w:t xml:space="preserve"> </w:t>
      </w:r>
      <w:r w:rsidR="00526895">
        <w:t>EU</w:t>
      </w:r>
      <w:r w:rsidR="00526895">
        <w:rPr>
          <w:spacing w:val="1"/>
        </w:rPr>
        <w:t xml:space="preserve"> </w:t>
      </w:r>
      <w:r w:rsidR="00526895">
        <w:t>level,</w:t>
      </w:r>
      <w:r w:rsidR="00526895">
        <w:rPr>
          <w:spacing w:val="-1"/>
        </w:rPr>
        <w:t xml:space="preserve"> </w:t>
      </w:r>
      <w:r w:rsidR="00526895">
        <w:t>2019</w:t>
      </w:r>
    </w:p>
    <w:p w:rsidR="005B1E95" w:rsidRDefault="005B1E95">
      <w:pPr>
        <w:sectPr w:rsidR="005B1E95">
          <w:headerReference w:type="even" r:id="rId8"/>
          <w:headerReference w:type="default" r:id="rId9"/>
          <w:footerReference w:type="even" r:id="rId10"/>
          <w:footerReference w:type="default" r:id="rId11"/>
          <w:headerReference w:type="first" r:id="rId12"/>
          <w:footerReference w:type="first" r:id="rId13"/>
          <w:pgSz w:w="12240" w:h="15840"/>
          <w:pgMar w:top="1380" w:right="1200" w:bottom="1160" w:left="1300" w:header="0" w:footer="964" w:gutter="0"/>
          <w:cols w:space="720"/>
        </w:sect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ind w:left="0"/>
        <w:rPr>
          <w:b/>
        </w:rPr>
      </w:pPr>
    </w:p>
    <w:p w:rsidR="005B1E95" w:rsidRDefault="005B1E95">
      <w:pPr>
        <w:pStyle w:val="BodyText"/>
        <w:spacing w:before="3"/>
        <w:ind w:left="0"/>
        <w:rPr>
          <w:b/>
        </w:rPr>
      </w:pPr>
    </w:p>
    <w:p w:rsidR="005B1E95" w:rsidRDefault="00706843">
      <w:pPr>
        <w:pStyle w:val="BodyText"/>
        <w:spacing w:line="249" w:lineRule="auto"/>
        <w:ind w:right="570"/>
      </w:pPr>
      <w:r>
        <w:rPr>
          <w:noProof/>
        </w:rPr>
        <mc:AlternateContent>
          <mc:Choice Requires="wps">
            <w:drawing>
              <wp:anchor distT="0" distB="0" distL="114300" distR="114300" simplePos="0" relativeHeight="15730176" behindDoc="0" locked="0" layoutInCell="1" allowOverlap="1">
                <wp:simplePos x="0" y="0"/>
                <wp:positionH relativeFrom="page">
                  <wp:posOffset>1522730</wp:posOffset>
                </wp:positionH>
                <wp:positionV relativeFrom="paragraph">
                  <wp:posOffset>-2049780</wp:posOffset>
                </wp:positionV>
                <wp:extent cx="5413375" cy="1935480"/>
                <wp:effectExtent l="0" t="0" r="0" b="0"/>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3375" cy="1935480"/>
                        </a:xfrm>
                        <a:prstGeom prst="rect">
                          <a:avLst/>
                        </a:prstGeom>
                        <a:noFill/>
                        <a:ln w="1828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16091" w:rsidRDefault="00716091">
                            <w:pPr>
                              <w:pStyle w:val="BodyText"/>
                              <w:numPr>
                                <w:ilvl w:val="0"/>
                                <w:numId w:val="1"/>
                              </w:numPr>
                              <w:tabs>
                                <w:tab w:val="left" w:pos="468"/>
                              </w:tabs>
                              <w:spacing w:before="15" w:line="249" w:lineRule="auto"/>
                              <w:ind w:left="467" w:right="380"/>
                            </w:pPr>
                            <w:r>
                              <w:t>About</w:t>
                            </w:r>
                            <w:r>
                              <w:rPr>
                                <w:spacing w:val="-3"/>
                              </w:rPr>
                              <w:t xml:space="preserve"> </w:t>
                            </w:r>
                            <w:r>
                              <w:t>1.2</w:t>
                            </w:r>
                            <w:r>
                              <w:rPr>
                                <w:spacing w:val="-1"/>
                              </w:rPr>
                              <w:t xml:space="preserve"> </w:t>
                            </w:r>
                            <w:r>
                              <w:t>% of</w:t>
                            </w:r>
                            <w:r>
                              <w:rPr>
                                <w:spacing w:val="-3"/>
                              </w:rPr>
                              <w:t xml:space="preserve"> </w:t>
                            </w:r>
                            <w:r>
                              <w:t>persons</w:t>
                            </w:r>
                            <w:r>
                              <w:rPr>
                                <w:spacing w:val="-3"/>
                              </w:rPr>
                              <w:t xml:space="preserve"> </w:t>
                            </w:r>
                            <w:r>
                              <w:t>aged 15</w:t>
                            </w:r>
                            <w:r>
                              <w:rPr>
                                <w:spacing w:val="-1"/>
                              </w:rPr>
                              <w:t xml:space="preserve"> </w:t>
                            </w:r>
                            <w:r>
                              <w:t>and</w:t>
                            </w:r>
                            <w:r>
                              <w:rPr>
                                <w:spacing w:val="-1"/>
                              </w:rPr>
                              <w:t xml:space="preserve"> </w:t>
                            </w:r>
                            <w:r>
                              <w:t>over have</w:t>
                            </w:r>
                            <w:r>
                              <w:rPr>
                                <w:spacing w:val="-2"/>
                              </w:rPr>
                              <w:t xml:space="preserve"> </w:t>
                            </w:r>
                            <w:r>
                              <w:t>severe</w:t>
                            </w:r>
                            <w:r>
                              <w:rPr>
                                <w:spacing w:val="-3"/>
                              </w:rPr>
                              <w:t xml:space="preserve"> </w:t>
                            </w:r>
                            <w:r>
                              <w:t>hearing</w:t>
                            </w:r>
                            <w:r>
                              <w:rPr>
                                <w:spacing w:val="-2"/>
                              </w:rPr>
                              <w:t xml:space="preserve"> </w:t>
                            </w:r>
                            <w:r>
                              <w:t>difficulties</w:t>
                            </w:r>
                            <w:r>
                              <w:rPr>
                                <w:spacing w:val="-3"/>
                              </w:rPr>
                              <w:t xml:space="preserve"> </w:t>
                            </w:r>
                            <w:r>
                              <w:t>in</w:t>
                            </w:r>
                            <w:r>
                              <w:rPr>
                                <w:spacing w:val="-5"/>
                              </w:rPr>
                              <w:t xml:space="preserve"> </w:t>
                            </w:r>
                            <w:r>
                              <w:t>a</w:t>
                            </w:r>
                            <w:r>
                              <w:rPr>
                                <w:spacing w:val="-1"/>
                              </w:rPr>
                              <w:t xml:space="preserve"> </w:t>
                            </w:r>
                            <w:r>
                              <w:t>quiet</w:t>
                            </w:r>
                            <w:r>
                              <w:rPr>
                                <w:spacing w:val="-3"/>
                              </w:rPr>
                              <w:t xml:space="preserve"> </w:t>
                            </w:r>
                            <w:r>
                              <w:t>room. They</w:t>
                            </w:r>
                            <w:r>
                              <w:rPr>
                                <w:spacing w:val="-47"/>
                              </w:rPr>
                              <w:t xml:space="preserve"> </w:t>
                            </w:r>
                            <w:r>
                              <w:t>represent 4.5 million persons. Severe difficulties include ‘a lot of difficulty’ (3.5 million) and</w:t>
                            </w:r>
                            <w:r>
                              <w:rPr>
                                <w:spacing w:val="1"/>
                              </w:rPr>
                              <w:t xml:space="preserve"> </w:t>
                            </w:r>
                            <w:r>
                              <w:t>‘cannot</w:t>
                            </w:r>
                            <w:r>
                              <w:rPr>
                                <w:spacing w:val="-2"/>
                              </w:rPr>
                              <w:t xml:space="preserve"> </w:t>
                            </w:r>
                            <w:r>
                              <w:t>do</w:t>
                            </w:r>
                            <w:r>
                              <w:rPr>
                                <w:spacing w:val="1"/>
                              </w:rPr>
                              <w:t xml:space="preserve"> </w:t>
                            </w:r>
                            <w:r>
                              <w:t>at</w:t>
                            </w:r>
                            <w:r>
                              <w:rPr>
                                <w:spacing w:val="-1"/>
                              </w:rPr>
                              <w:t xml:space="preserve"> </w:t>
                            </w:r>
                            <w:r>
                              <w:t>all</w:t>
                            </w:r>
                            <w:r>
                              <w:rPr>
                                <w:spacing w:val="1"/>
                              </w:rPr>
                              <w:t xml:space="preserve"> </w:t>
                            </w:r>
                            <w:r>
                              <w:t>/</w:t>
                            </w:r>
                            <w:r>
                              <w:rPr>
                                <w:spacing w:val="-1"/>
                              </w:rPr>
                              <w:t xml:space="preserve"> </w:t>
                            </w:r>
                            <w:r>
                              <w:t>unable</w:t>
                            </w:r>
                            <w:r>
                              <w:rPr>
                                <w:spacing w:val="-1"/>
                              </w:rPr>
                              <w:t xml:space="preserve"> </w:t>
                            </w:r>
                            <w:r>
                              <w:t>to</w:t>
                            </w:r>
                            <w:r>
                              <w:rPr>
                                <w:spacing w:val="1"/>
                              </w:rPr>
                              <w:t xml:space="preserve"> </w:t>
                            </w:r>
                            <w:r>
                              <w:t>do’</w:t>
                            </w:r>
                            <w:r>
                              <w:rPr>
                                <w:spacing w:val="-1"/>
                              </w:rPr>
                              <w:t xml:space="preserve"> </w:t>
                            </w:r>
                            <w:r>
                              <w:t>(1.0</w:t>
                            </w:r>
                            <w:r>
                              <w:rPr>
                                <w:spacing w:val="-1"/>
                              </w:rPr>
                              <w:t xml:space="preserve"> </w:t>
                            </w:r>
                            <w:r>
                              <w:t>million).</w:t>
                            </w:r>
                          </w:p>
                          <w:p w:rsidR="00716091" w:rsidRDefault="00716091">
                            <w:pPr>
                              <w:pStyle w:val="BodyText"/>
                              <w:numPr>
                                <w:ilvl w:val="0"/>
                                <w:numId w:val="1"/>
                              </w:numPr>
                              <w:tabs>
                                <w:tab w:val="left" w:pos="468"/>
                              </w:tabs>
                              <w:spacing w:before="9"/>
                              <w:ind w:left="467" w:right="114"/>
                            </w:pPr>
                            <w:r>
                              <w:t>About</w:t>
                            </w:r>
                            <w:r>
                              <w:rPr>
                                <w:spacing w:val="-4"/>
                              </w:rPr>
                              <w:t xml:space="preserve"> </w:t>
                            </w:r>
                            <w:r>
                              <w:t>5.3</w:t>
                            </w:r>
                            <w:r>
                              <w:rPr>
                                <w:spacing w:val="-1"/>
                              </w:rPr>
                              <w:t xml:space="preserve"> </w:t>
                            </w:r>
                            <w:r>
                              <w:t>%</w:t>
                            </w:r>
                            <w:r>
                              <w:rPr>
                                <w:spacing w:val="-1"/>
                              </w:rPr>
                              <w:t xml:space="preserve"> </w:t>
                            </w:r>
                            <w:r>
                              <w:t>of</w:t>
                            </w:r>
                            <w:r>
                              <w:rPr>
                                <w:spacing w:val="-3"/>
                              </w:rPr>
                              <w:t xml:space="preserve"> </w:t>
                            </w:r>
                            <w:r>
                              <w:t>persons</w:t>
                            </w:r>
                            <w:r>
                              <w:rPr>
                                <w:spacing w:val="-3"/>
                              </w:rPr>
                              <w:t xml:space="preserve"> </w:t>
                            </w:r>
                            <w:r>
                              <w:t>aged</w:t>
                            </w:r>
                            <w:r>
                              <w:rPr>
                                <w:spacing w:val="-2"/>
                              </w:rPr>
                              <w:t xml:space="preserve"> </w:t>
                            </w:r>
                            <w:r>
                              <w:t>15</w:t>
                            </w:r>
                            <w:r>
                              <w:rPr>
                                <w:spacing w:val="-1"/>
                              </w:rPr>
                              <w:t xml:space="preserve"> </w:t>
                            </w:r>
                            <w:r>
                              <w:t>and</w:t>
                            </w:r>
                            <w:r>
                              <w:rPr>
                                <w:spacing w:val="-1"/>
                              </w:rPr>
                              <w:t xml:space="preserve"> </w:t>
                            </w:r>
                            <w:r>
                              <w:t>over</w:t>
                            </w:r>
                            <w:r>
                              <w:rPr>
                                <w:spacing w:val="-1"/>
                              </w:rPr>
                              <w:t xml:space="preserve"> </w:t>
                            </w:r>
                            <w:r>
                              <w:t>have</w:t>
                            </w:r>
                            <w:r>
                              <w:rPr>
                                <w:spacing w:val="-2"/>
                              </w:rPr>
                              <w:t xml:space="preserve"> </w:t>
                            </w:r>
                            <w:r>
                              <w:t>severe</w:t>
                            </w:r>
                            <w:r>
                              <w:rPr>
                                <w:spacing w:val="-4"/>
                              </w:rPr>
                              <w:t xml:space="preserve"> </w:t>
                            </w:r>
                            <w:r>
                              <w:t>difficulties</w:t>
                            </w:r>
                            <w:r>
                              <w:rPr>
                                <w:spacing w:val="-1"/>
                              </w:rPr>
                              <w:t xml:space="preserve"> </w:t>
                            </w:r>
                            <w:r>
                              <w:t>walking</w:t>
                            </w:r>
                            <w:r>
                              <w:rPr>
                                <w:spacing w:val="-3"/>
                              </w:rPr>
                              <w:t xml:space="preserve"> </w:t>
                            </w:r>
                            <w:r>
                              <w:t>half</w:t>
                            </w:r>
                            <w:r>
                              <w:rPr>
                                <w:spacing w:val="-3"/>
                              </w:rPr>
                              <w:t xml:space="preserve"> </w:t>
                            </w:r>
                            <w:r>
                              <w:t>a</w:t>
                            </w:r>
                            <w:r>
                              <w:rPr>
                                <w:spacing w:val="1"/>
                              </w:rPr>
                              <w:t xml:space="preserve"> </w:t>
                            </w:r>
                            <w:r>
                              <w:t>kilometer</w:t>
                            </w:r>
                            <w:r>
                              <w:rPr>
                                <w:spacing w:val="-2"/>
                              </w:rPr>
                              <w:t xml:space="preserve"> </w:t>
                            </w:r>
                            <w:r>
                              <w:t>on</w:t>
                            </w:r>
                            <w:r>
                              <w:rPr>
                                <w:spacing w:val="-3"/>
                              </w:rPr>
                              <w:t xml:space="preserve"> </w:t>
                            </w:r>
                            <w:r>
                              <w:t>level</w:t>
                            </w:r>
                            <w:r>
                              <w:rPr>
                                <w:spacing w:val="-47"/>
                              </w:rPr>
                              <w:t xml:space="preserve"> </w:t>
                            </w:r>
                            <w:r>
                              <w:t>ground</w:t>
                            </w:r>
                            <w:r>
                              <w:rPr>
                                <w:spacing w:val="2"/>
                              </w:rPr>
                              <w:t xml:space="preserve"> </w:t>
                            </w:r>
                            <w:r>
                              <w:t>without</w:t>
                            </w:r>
                            <w:r>
                              <w:rPr>
                                <w:spacing w:val="-1"/>
                              </w:rPr>
                              <w:t xml:space="preserve"> </w:t>
                            </w:r>
                            <w:r>
                              <w:t>the use of</w:t>
                            </w:r>
                            <w:r>
                              <w:rPr>
                                <w:spacing w:val="-2"/>
                              </w:rPr>
                              <w:t xml:space="preserve"> </w:t>
                            </w:r>
                            <w:r>
                              <w:t>any</w:t>
                            </w:r>
                            <w:r>
                              <w:rPr>
                                <w:spacing w:val="-1"/>
                              </w:rPr>
                              <w:t xml:space="preserve"> </w:t>
                            </w:r>
                            <w:r>
                              <w:t>aid.</w:t>
                            </w:r>
                            <w:r>
                              <w:rPr>
                                <w:spacing w:val="-4"/>
                              </w:rPr>
                              <w:t xml:space="preserve"> </w:t>
                            </w:r>
                            <w:r>
                              <w:t>They</w:t>
                            </w:r>
                            <w:r>
                              <w:rPr>
                                <w:spacing w:val="-3"/>
                              </w:rPr>
                              <w:t xml:space="preserve"> </w:t>
                            </w:r>
                            <w:r>
                              <w:t>represent 19.8</w:t>
                            </w:r>
                            <w:r>
                              <w:rPr>
                                <w:spacing w:val="1"/>
                              </w:rPr>
                              <w:t xml:space="preserve"> </w:t>
                            </w:r>
                            <w:r>
                              <w:t>million</w:t>
                            </w:r>
                            <w:r>
                              <w:rPr>
                                <w:spacing w:val="-2"/>
                              </w:rPr>
                              <w:t xml:space="preserve"> </w:t>
                            </w:r>
                            <w:r>
                              <w:t>persons.</w:t>
                            </w:r>
                          </w:p>
                          <w:p w:rsidR="00716091" w:rsidRDefault="00716091">
                            <w:pPr>
                              <w:pStyle w:val="BodyText"/>
                              <w:numPr>
                                <w:ilvl w:val="0"/>
                                <w:numId w:val="1"/>
                              </w:numPr>
                              <w:tabs>
                                <w:tab w:val="left" w:pos="468"/>
                              </w:tabs>
                              <w:spacing w:before="20"/>
                              <w:ind w:left="467" w:right="408"/>
                            </w:pPr>
                            <w:r>
                              <w:t>About</w:t>
                            </w:r>
                            <w:r>
                              <w:rPr>
                                <w:spacing w:val="-4"/>
                              </w:rPr>
                              <w:t xml:space="preserve"> </w:t>
                            </w:r>
                            <w:r>
                              <w:t>5.6</w:t>
                            </w:r>
                            <w:r>
                              <w:rPr>
                                <w:spacing w:val="-1"/>
                              </w:rPr>
                              <w:t xml:space="preserve"> </w:t>
                            </w:r>
                            <w:r>
                              <w:t>%</w:t>
                            </w:r>
                            <w:r>
                              <w:rPr>
                                <w:spacing w:val="-1"/>
                              </w:rPr>
                              <w:t xml:space="preserve"> </w:t>
                            </w:r>
                            <w:r>
                              <w:t>of</w:t>
                            </w:r>
                            <w:r>
                              <w:rPr>
                                <w:spacing w:val="-3"/>
                              </w:rPr>
                              <w:t xml:space="preserve"> </w:t>
                            </w:r>
                            <w:r>
                              <w:t>persons</w:t>
                            </w:r>
                            <w:r>
                              <w:rPr>
                                <w:spacing w:val="-3"/>
                              </w:rPr>
                              <w:t xml:space="preserve"> </w:t>
                            </w:r>
                            <w:r>
                              <w:t>aged</w:t>
                            </w:r>
                            <w:r>
                              <w:rPr>
                                <w:spacing w:val="-1"/>
                              </w:rPr>
                              <w:t xml:space="preserve"> </w:t>
                            </w:r>
                            <w:r>
                              <w:t>15</w:t>
                            </w:r>
                            <w:r>
                              <w:rPr>
                                <w:spacing w:val="-2"/>
                              </w:rPr>
                              <w:t xml:space="preserve"> </w:t>
                            </w:r>
                            <w:r>
                              <w:t>and</w:t>
                            </w:r>
                            <w:r>
                              <w:rPr>
                                <w:spacing w:val="-1"/>
                              </w:rPr>
                              <w:t xml:space="preserve"> </w:t>
                            </w:r>
                            <w:r>
                              <w:t>over</w:t>
                            </w:r>
                            <w:r>
                              <w:rPr>
                                <w:spacing w:val="-1"/>
                              </w:rPr>
                              <w:t xml:space="preserve"> </w:t>
                            </w:r>
                            <w:r>
                              <w:t>have</w:t>
                            </w:r>
                            <w:r>
                              <w:rPr>
                                <w:spacing w:val="-2"/>
                              </w:rPr>
                              <w:t xml:space="preserve"> </w:t>
                            </w:r>
                            <w:r>
                              <w:t>severe</w:t>
                            </w:r>
                            <w:r>
                              <w:rPr>
                                <w:spacing w:val="-3"/>
                              </w:rPr>
                              <w:t xml:space="preserve"> </w:t>
                            </w:r>
                            <w:r>
                              <w:t>difficulties</w:t>
                            </w:r>
                            <w:r>
                              <w:rPr>
                                <w:spacing w:val="-1"/>
                              </w:rPr>
                              <w:t xml:space="preserve"> </w:t>
                            </w:r>
                            <w:r>
                              <w:t>walking</w:t>
                            </w:r>
                            <w:r>
                              <w:rPr>
                                <w:spacing w:val="-4"/>
                              </w:rPr>
                              <w:t xml:space="preserve"> </w:t>
                            </w:r>
                            <w:r>
                              <w:t>up</w:t>
                            </w:r>
                            <w:r>
                              <w:rPr>
                                <w:spacing w:val="-3"/>
                              </w:rPr>
                              <w:t xml:space="preserve"> </w:t>
                            </w:r>
                            <w:r>
                              <w:t>or</w:t>
                            </w:r>
                            <w:r>
                              <w:rPr>
                                <w:spacing w:val="-1"/>
                              </w:rPr>
                              <w:t xml:space="preserve"> </w:t>
                            </w:r>
                            <w:r>
                              <w:t>down</w:t>
                            </w:r>
                            <w:r>
                              <w:rPr>
                                <w:spacing w:val="-3"/>
                              </w:rPr>
                              <w:t xml:space="preserve"> </w:t>
                            </w:r>
                            <w:r>
                              <w:t>12</w:t>
                            </w:r>
                            <w:r>
                              <w:rPr>
                                <w:spacing w:val="-1"/>
                              </w:rPr>
                              <w:t xml:space="preserve"> </w:t>
                            </w:r>
                            <w:r>
                              <w:t>steps.</w:t>
                            </w:r>
                            <w:r>
                              <w:rPr>
                                <w:spacing w:val="-47"/>
                              </w:rPr>
                              <w:t xml:space="preserve"> </w:t>
                            </w:r>
                            <w:r>
                              <w:t>They</w:t>
                            </w:r>
                            <w:r>
                              <w:rPr>
                                <w:spacing w:val="-4"/>
                              </w:rPr>
                              <w:t xml:space="preserve"> </w:t>
                            </w:r>
                            <w:r>
                              <w:t>represent 20.7</w:t>
                            </w:r>
                            <w:r>
                              <w:rPr>
                                <w:spacing w:val="3"/>
                              </w:rPr>
                              <w:t xml:space="preserve"> </w:t>
                            </w:r>
                            <w:r>
                              <w:t>million</w:t>
                            </w:r>
                            <w:r>
                              <w:rPr>
                                <w:spacing w:val="-1"/>
                              </w:rPr>
                              <w:t xml:space="preserve"> </w:t>
                            </w:r>
                            <w:r>
                              <w:t>persons.</w:t>
                            </w:r>
                          </w:p>
                          <w:p w:rsidR="00716091" w:rsidRDefault="00716091">
                            <w:pPr>
                              <w:pStyle w:val="BodyText"/>
                              <w:numPr>
                                <w:ilvl w:val="0"/>
                                <w:numId w:val="1"/>
                              </w:numPr>
                              <w:tabs>
                                <w:tab w:val="left" w:pos="468"/>
                              </w:tabs>
                              <w:spacing w:before="20"/>
                              <w:ind w:left="467" w:right="1272"/>
                            </w:pPr>
                            <w:r>
                              <w:t>About</w:t>
                            </w:r>
                            <w:r>
                              <w:rPr>
                                <w:spacing w:val="-3"/>
                              </w:rPr>
                              <w:t xml:space="preserve"> </w:t>
                            </w:r>
                            <w:r>
                              <w:t>2.4</w:t>
                            </w:r>
                            <w:r>
                              <w:rPr>
                                <w:spacing w:val="-1"/>
                              </w:rPr>
                              <w:t xml:space="preserve"> </w:t>
                            </w:r>
                            <w:r>
                              <w:t>%</w:t>
                            </w:r>
                            <w:r>
                              <w:rPr>
                                <w:spacing w:val="-1"/>
                              </w:rPr>
                              <w:t xml:space="preserve"> </w:t>
                            </w:r>
                            <w:r>
                              <w:t>of</w:t>
                            </w:r>
                            <w:r>
                              <w:rPr>
                                <w:spacing w:val="-3"/>
                              </w:rPr>
                              <w:t xml:space="preserve"> </w:t>
                            </w:r>
                            <w:r>
                              <w:t>persons</w:t>
                            </w:r>
                            <w:r>
                              <w:rPr>
                                <w:spacing w:val="-3"/>
                              </w:rPr>
                              <w:t xml:space="preserve"> </w:t>
                            </w:r>
                            <w:r>
                              <w:t>aged</w:t>
                            </w:r>
                            <w:r>
                              <w:rPr>
                                <w:spacing w:val="-1"/>
                              </w:rPr>
                              <w:t xml:space="preserve"> </w:t>
                            </w:r>
                            <w:r>
                              <w:t>15</w:t>
                            </w:r>
                            <w:r>
                              <w:rPr>
                                <w:spacing w:val="-1"/>
                              </w:rPr>
                              <w:t xml:space="preserve"> </w:t>
                            </w:r>
                            <w:r>
                              <w:t>and</w:t>
                            </w:r>
                            <w:r>
                              <w:rPr>
                                <w:spacing w:val="-1"/>
                              </w:rPr>
                              <w:t xml:space="preserve"> </w:t>
                            </w:r>
                            <w:r>
                              <w:t>over</w:t>
                            </w:r>
                            <w:r>
                              <w:rPr>
                                <w:spacing w:val="-1"/>
                              </w:rPr>
                              <w:t xml:space="preserve"> </w:t>
                            </w:r>
                            <w:r>
                              <w:t>have</w:t>
                            </w:r>
                            <w:r>
                              <w:rPr>
                                <w:spacing w:val="-2"/>
                              </w:rPr>
                              <w:t xml:space="preserve"> </w:t>
                            </w:r>
                            <w:r>
                              <w:t>severe</w:t>
                            </w:r>
                            <w:r>
                              <w:rPr>
                                <w:spacing w:val="-3"/>
                              </w:rPr>
                              <w:t xml:space="preserve"> </w:t>
                            </w:r>
                            <w:r>
                              <w:t>difficulties</w:t>
                            </w:r>
                            <w:r>
                              <w:rPr>
                                <w:spacing w:val="-2"/>
                              </w:rPr>
                              <w:t xml:space="preserve"> </w:t>
                            </w:r>
                            <w:r>
                              <w:t>in</w:t>
                            </w:r>
                            <w:r>
                              <w:rPr>
                                <w:spacing w:val="-3"/>
                              </w:rPr>
                              <w:t xml:space="preserve"> </w:t>
                            </w:r>
                            <w:r>
                              <w:t>remembering</w:t>
                            </w:r>
                            <w:r>
                              <w:rPr>
                                <w:spacing w:val="-3"/>
                              </w:rPr>
                              <w:t xml:space="preserve"> </w:t>
                            </w:r>
                            <w:r>
                              <w:t>or</w:t>
                            </w:r>
                            <w:r>
                              <w:rPr>
                                <w:spacing w:val="-47"/>
                              </w:rPr>
                              <w:t xml:space="preserve"> </w:t>
                            </w:r>
                            <w:r>
                              <w:t>concentrating. They</w:t>
                            </w:r>
                            <w:r>
                              <w:rPr>
                                <w:spacing w:val="-3"/>
                              </w:rPr>
                              <w:t xml:space="preserve"> </w:t>
                            </w:r>
                            <w:r>
                              <w:t>represent</w:t>
                            </w:r>
                            <w:r>
                              <w:rPr>
                                <w:spacing w:val="2"/>
                              </w:rPr>
                              <w:t xml:space="preserve"> </w:t>
                            </w:r>
                            <w:r>
                              <w:t>8.6 million</w:t>
                            </w:r>
                            <w:r>
                              <w:rPr>
                                <w:spacing w:val="-1"/>
                              </w:rPr>
                              <w:t xml:space="preserve"> </w:t>
                            </w:r>
                            <w:r>
                              <w:t>persons.</w:t>
                            </w:r>
                          </w:p>
                          <w:p w:rsidR="00716091" w:rsidRDefault="00716091">
                            <w:pPr>
                              <w:pStyle w:val="BodyText"/>
                              <w:numPr>
                                <w:ilvl w:val="0"/>
                                <w:numId w:val="1"/>
                              </w:numPr>
                              <w:tabs>
                                <w:tab w:val="left" w:pos="468"/>
                              </w:tabs>
                              <w:spacing w:before="20" w:line="249" w:lineRule="auto"/>
                              <w:ind w:left="467" w:right="468"/>
                              <w:jc w:val="both"/>
                            </w:pPr>
                            <w:r>
                              <w:t>About 9.6 % of persons aged 55 and over have severe difficulties in biting and chewing. They</w:t>
                            </w:r>
                            <w:r>
                              <w:rPr>
                                <w:spacing w:val="-47"/>
                              </w:rPr>
                              <w:t xml:space="preserve"> </w:t>
                            </w:r>
                            <w:r>
                              <w:t>represent</w:t>
                            </w:r>
                            <w:r>
                              <w:rPr>
                                <w:spacing w:val="-3"/>
                              </w:rPr>
                              <w:t xml:space="preserve"> </w:t>
                            </w:r>
                            <w:r>
                              <w:t>13.7</w:t>
                            </w:r>
                            <w:r>
                              <w:rPr>
                                <w:spacing w:val="-2"/>
                              </w:rPr>
                              <w:t xml:space="preserve"> </w:t>
                            </w:r>
                            <w:r>
                              <w:t>million</w:t>
                            </w:r>
                            <w:r>
                              <w:rPr>
                                <w:spacing w:val="-4"/>
                              </w:rPr>
                              <w:t xml:space="preserve"> </w:t>
                            </w:r>
                            <w:r>
                              <w:t>persons.</w:t>
                            </w:r>
                            <w:r>
                              <w:rPr>
                                <w:spacing w:val="-1"/>
                              </w:rPr>
                              <w:t xml:space="preserve"> </w:t>
                            </w:r>
                            <w:r>
                              <w:t>Severe</w:t>
                            </w:r>
                            <w:r>
                              <w:rPr>
                                <w:spacing w:val="-3"/>
                              </w:rPr>
                              <w:t xml:space="preserve"> </w:t>
                            </w:r>
                            <w:r>
                              <w:t>difficulties</w:t>
                            </w:r>
                            <w:r>
                              <w:rPr>
                                <w:spacing w:val="-4"/>
                              </w:rPr>
                              <w:t xml:space="preserve"> </w:t>
                            </w:r>
                            <w:r>
                              <w:t>include</w:t>
                            </w:r>
                            <w:r>
                              <w:rPr>
                                <w:spacing w:val="-2"/>
                              </w:rPr>
                              <w:t xml:space="preserve"> </w:t>
                            </w:r>
                            <w:r>
                              <w:t>‘a</w:t>
                            </w:r>
                            <w:r>
                              <w:rPr>
                                <w:spacing w:val="-2"/>
                              </w:rPr>
                              <w:t xml:space="preserve"> </w:t>
                            </w:r>
                            <w:r>
                              <w:t>lot</w:t>
                            </w:r>
                            <w:r>
                              <w:rPr>
                                <w:spacing w:val="-3"/>
                              </w:rPr>
                              <w:t xml:space="preserve"> </w:t>
                            </w:r>
                            <w:r>
                              <w:t>of</w:t>
                            </w:r>
                            <w:r>
                              <w:rPr>
                                <w:spacing w:val="-3"/>
                              </w:rPr>
                              <w:t xml:space="preserve"> </w:t>
                            </w:r>
                            <w:r>
                              <w:t>difficulty’</w:t>
                            </w:r>
                            <w:r>
                              <w:rPr>
                                <w:spacing w:val="-6"/>
                              </w:rPr>
                              <w:t xml:space="preserve"> </w:t>
                            </w:r>
                            <w:r>
                              <w:t>(9.8</w:t>
                            </w:r>
                            <w:r>
                              <w:rPr>
                                <w:spacing w:val="-2"/>
                              </w:rPr>
                              <w:t xml:space="preserve"> </w:t>
                            </w:r>
                            <w:r>
                              <w:t>million)</w:t>
                            </w:r>
                            <w:r>
                              <w:rPr>
                                <w:spacing w:val="2"/>
                              </w:rPr>
                              <w:t xml:space="preserve"> </w:t>
                            </w:r>
                            <w:r>
                              <w:t>and</w:t>
                            </w:r>
                            <w:r>
                              <w:rPr>
                                <w:spacing w:val="-47"/>
                              </w:rPr>
                              <w:t xml:space="preserve"> </w:t>
                            </w:r>
                            <w:r>
                              <w:t>‘cannot</w:t>
                            </w:r>
                            <w:r>
                              <w:rPr>
                                <w:spacing w:val="-2"/>
                              </w:rPr>
                              <w:t xml:space="preserve"> </w:t>
                            </w:r>
                            <w:r>
                              <w:t>do</w:t>
                            </w:r>
                            <w:r>
                              <w:rPr>
                                <w:spacing w:val="1"/>
                              </w:rPr>
                              <w:t xml:space="preserve"> </w:t>
                            </w:r>
                            <w:r>
                              <w:t>at</w:t>
                            </w:r>
                            <w:r>
                              <w:rPr>
                                <w:spacing w:val="-1"/>
                              </w:rPr>
                              <w:t xml:space="preserve"> </w:t>
                            </w:r>
                            <w:r>
                              <w:t>all</w:t>
                            </w:r>
                            <w:r>
                              <w:rPr>
                                <w:spacing w:val="1"/>
                              </w:rPr>
                              <w:t xml:space="preserve"> </w:t>
                            </w:r>
                            <w:r>
                              <w:t>/</w:t>
                            </w:r>
                            <w:r>
                              <w:rPr>
                                <w:spacing w:val="-1"/>
                              </w:rPr>
                              <w:t xml:space="preserve"> </w:t>
                            </w:r>
                            <w:r>
                              <w:t>unable</w:t>
                            </w:r>
                            <w:r>
                              <w:rPr>
                                <w:spacing w:val="-1"/>
                              </w:rPr>
                              <w:t xml:space="preserve"> </w:t>
                            </w:r>
                            <w:r>
                              <w:t>to</w:t>
                            </w:r>
                            <w:r>
                              <w:rPr>
                                <w:spacing w:val="1"/>
                              </w:rPr>
                              <w:t xml:space="preserve"> </w:t>
                            </w:r>
                            <w:r>
                              <w:t>do’</w:t>
                            </w:r>
                            <w:r>
                              <w:rPr>
                                <w:spacing w:val="-1"/>
                              </w:rPr>
                              <w:t xml:space="preserve"> </w:t>
                            </w:r>
                            <w:r>
                              <w:t>(3.9</w:t>
                            </w:r>
                            <w:r>
                              <w:rPr>
                                <w:spacing w:val="-1"/>
                              </w:rPr>
                              <w:t xml:space="preserve"> </w:t>
                            </w:r>
                            <w:r>
                              <w:t>million).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119.9pt;margin-top:-161.4pt;width:426.25pt;height:152.4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" filled="f" strokeweight="1.44pt">
                <v:textbox inset="0,0,0,0">
                  <w:txbxContent>
                    <w:p w:rsidR="00716091" w:rsidRDefault="00716091">
                      <w:pPr>
                        <w:pStyle w:val="BodyText"/>
                        <w:numPr>
                          <w:ilvl w:val="0"/>
                          <w:numId w:val="1"/>
                        </w:numPr>
                        <w:tabs>
                          <w:tab w:val="left" w:pos="468"/>
                        </w:tabs>
                        <w:spacing w:before="15" w:line="249" w:lineRule="auto"/>
                        <w:ind w:left="467" w:right="380"/>
                      </w:pPr>
                      <w:r>
                        <w:t>About</w:t>
                      </w:r>
                      <w:r>
                        <w:rPr>
                          <w:spacing w:val="-3"/>
                        </w:rPr>
                        <w:t xml:space="preserve"> </w:t>
                      </w:r>
                      <w:r>
                        <w:t>1.2</w:t>
                      </w:r>
                      <w:r>
                        <w:rPr>
                          <w:spacing w:val="-1"/>
                        </w:rPr>
                        <w:t xml:space="preserve"> </w:t>
                      </w:r>
                      <w:r>
                        <w:t>% of</w:t>
                      </w:r>
                      <w:r>
                        <w:rPr>
                          <w:spacing w:val="-3"/>
                        </w:rPr>
                        <w:t xml:space="preserve"> </w:t>
                      </w:r>
                      <w:r>
                        <w:t>persons</w:t>
                      </w:r>
                      <w:r>
                        <w:rPr>
                          <w:spacing w:val="-3"/>
                        </w:rPr>
                        <w:t xml:space="preserve"> </w:t>
                      </w:r>
                      <w:r>
                        <w:t>aged 15</w:t>
                      </w:r>
                      <w:r>
                        <w:rPr>
                          <w:spacing w:val="-1"/>
                        </w:rPr>
                        <w:t xml:space="preserve"> </w:t>
                      </w:r>
                      <w:r>
                        <w:t>and</w:t>
                      </w:r>
                      <w:r>
                        <w:rPr>
                          <w:spacing w:val="-1"/>
                        </w:rPr>
                        <w:t xml:space="preserve"> </w:t>
                      </w:r>
                      <w:r>
                        <w:t>over have</w:t>
                      </w:r>
                      <w:r>
                        <w:rPr>
                          <w:spacing w:val="-2"/>
                        </w:rPr>
                        <w:t xml:space="preserve"> </w:t>
                      </w:r>
                      <w:r>
                        <w:t>severe</w:t>
                      </w:r>
                      <w:r>
                        <w:rPr>
                          <w:spacing w:val="-3"/>
                        </w:rPr>
                        <w:t xml:space="preserve"> </w:t>
                      </w:r>
                      <w:r>
                        <w:t>hearing</w:t>
                      </w:r>
                      <w:r>
                        <w:rPr>
                          <w:spacing w:val="-2"/>
                        </w:rPr>
                        <w:t xml:space="preserve"> </w:t>
                      </w:r>
                      <w:r>
                        <w:t>difficulties</w:t>
                      </w:r>
                      <w:r>
                        <w:rPr>
                          <w:spacing w:val="-3"/>
                        </w:rPr>
                        <w:t xml:space="preserve"> </w:t>
                      </w:r>
                      <w:r>
                        <w:t>in</w:t>
                      </w:r>
                      <w:r>
                        <w:rPr>
                          <w:spacing w:val="-5"/>
                        </w:rPr>
                        <w:t xml:space="preserve"> </w:t>
                      </w:r>
                      <w:r>
                        <w:t>a</w:t>
                      </w:r>
                      <w:r>
                        <w:rPr>
                          <w:spacing w:val="-1"/>
                        </w:rPr>
                        <w:t xml:space="preserve"> </w:t>
                      </w:r>
                      <w:r>
                        <w:t>quiet</w:t>
                      </w:r>
                      <w:r>
                        <w:rPr>
                          <w:spacing w:val="-3"/>
                        </w:rPr>
                        <w:t xml:space="preserve"> </w:t>
                      </w:r>
                      <w:r>
                        <w:t>room. They</w:t>
                      </w:r>
                      <w:r>
                        <w:rPr>
                          <w:spacing w:val="-47"/>
                        </w:rPr>
                        <w:t xml:space="preserve"> </w:t>
                      </w:r>
                      <w:r>
                        <w:t>represent 4.5 million persons. Severe difficulties include ‘a lot of difficulty’ (3.5 million) and</w:t>
                      </w:r>
                      <w:r>
                        <w:rPr>
                          <w:spacing w:val="1"/>
                        </w:rPr>
                        <w:t xml:space="preserve"> </w:t>
                      </w:r>
                      <w:r>
                        <w:t>‘cannot</w:t>
                      </w:r>
                      <w:r>
                        <w:rPr>
                          <w:spacing w:val="-2"/>
                        </w:rPr>
                        <w:t xml:space="preserve"> </w:t>
                      </w:r>
                      <w:r>
                        <w:t>do</w:t>
                      </w:r>
                      <w:r>
                        <w:rPr>
                          <w:spacing w:val="1"/>
                        </w:rPr>
                        <w:t xml:space="preserve"> </w:t>
                      </w:r>
                      <w:r>
                        <w:t>at</w:t>
                      </w:r>
                      <w:r>
                        <w:rPr>
                          <w:spacing w:val="-1"/>
                        </w:rPr>
                        <w:t xml:space="preserve"> </w:t>
                      </w:r>
                      <w:r>
                        <w:t>all</w:t>
                      </w:r>
                      <w:r>
                        <w:rPr>
                          <w:spacing w:val="1"/>
                        </w:rPr>
                        <w:t xml:space="preserve"> </w:t>
                      </w:r>
                      <w:r>
                        <w:t>/</w:t>
                      </w:r>
                      <w:r>
                        <w:rPr>
                          <w:spacing w:val="-1"/>
                        </w:rPr>
                        <w:t xml:space="preserve"> </w:t>
                      </w:r>
                      <w:r>
                        <w:t>unable</w:t>
                      </w:r>
                      <w:r>
                        <w:rPr>
                          <w:spacing w:val="-1"/>
                        </w:rPr>
                        <w:t xml:space="preserve"> </w:t>
                      </w:r>
                      <w:r>
                        <w:t>to</w:t>
                      </w:r>
                      <w:r>
                        <w:rPr>
                          <w:spacing w:val="1"/>
                        </w:rPr>
                        <w:t xml:space="preserve"> </w:t>
                      </w:r>
                      <w:r>
                        <w:t>do’</w:t>
                      </w:r>
                      <w:r>
                        <w:rPr>
                          <w:spacing w:val="-1"/>
                        </w:rPr>
                        <w:t xml:space="preserve"> </w:t>
                      </w:r>
                      <w:r>
                        <w:t>(1.0</w:t>
                      </w:r>
                      <w:r>
                        <w:rPr>
                          <w:spacing w:val="-1"/>
                        </w:rPr>
                        <w:t xml:space="preserve"> </w:t>
                      </w:r>
                      <w:r>
                        <w:t>million).</w:t>
                      </w:r>
                    </w:p>
                    <w:p w:rsidR="00716091" w:rsidRDefault="00716091">
                      <w:pPr>
                        <w:pStyle w:val="BodyText"/>
                        <w:numPr>
                          <w:ilvl w:val="0"/>
                          <w:numId w:val="1"/>
                        </w:numPr>
                        <w:tabs>
                          <w:tab w:val="left" w:pos="468"/>
                        </w:tabs>
                        <w:spacing w:before="9"/>
                        <w:ind w:left="467" w:right="114"/>
                      </w:pPr>
                      <w:r>
                        <w:t>About</w:t>
                      </w:r>
                      <w:r>
                        <w:rPr>
                          <w:spacing w:val="-4"/>
                        </w:rPr>
                        <w:t xml:space="preserve"> </w:t>
                      </w:r>
                      <w:r>
                        <w:t>5.3</w:t>
                      </w:r>
                      <w:r>
                        <w:rPr>
                          <w:spacing w:val="-1"/>
                        </w:rPr>
                        <w:t xml:space="preserve"> </w:t>
                      </w:r>
                      <w:r>
                        <w:t>%</w:t>
                      </w:r>
                      <w:r>
                        <w:rPr>
                          <w:spacing w:val="-1"/>
                        </w:rPr>
                        <w:t xml:space="preserve"> </w:t>
                      </w:r>
                      <w:r>
                        <w:t>of</w:t>
                      </w:r>
                      <w:r>
                        <w:rPr>
                          <w:spacing w:val="-3"/>
                        </w:rPr>
                        <w:t xml:space="preserve"> </w:t>
                      </w:r>
                      <w:r>
                        <w:t>persons</w:t>
                      </w:r>
                      <w:r>
                        <w:rPr>
                          <w:spacing w:val="-3"/>
                        </w:rPr>
                        <w:t xml:space="preserve"> </w:t>
                      </w:r>
                      <w:r>
                        <w:t>aged</w:t>
                      </w:r>
                      <w:r>
                        <w:rPr>
                          <w:spacing w:val="-2"/>
                        </w:rPr>
                        <w:t xml:space="preserve"> </w:t>
                      </w:r>
                      <w:r>
                        <w:t>15</w:t>
                      </w:r>
                      <w:r>
                        <w:rPr>
                          <w:spacing w:val="-1"/>
                        </w:rPr>
                        <w:t xml:space="preserve"> </w:t>
                      </w:r>
                      <w:r>
                        <w:t>and</w:t>
                      </w:r>
                      <w:r>
                        <w:rPr>
                          <w:spacing w:val="-1"/>
                        </w:rPr>
                        <w:t xml:space="preserve"> </w:t>
                      </w:r>
                      <w:r>
                        <w:t>over</w:t>
                      </w:r>
                      <w:r>
                        <w:rPr>
                          <w:spacing w:val="-1"/>
                        </w:rPr>
                        <w:t xml:space="preserve"> </w:t>
                      </w:r>
                      <w:r>
                        <w:t>have</w:t>
                      </w:r>
                      <w:r>
                        <w:rPr>
                          <w:spacing w:val="-2"/>
                        </w:rPr>
                        <w:t xml:space="preserve"> </w:t>
                      </w:r>
                      <w:r>
                        <w:t>severe</w:t>
                      </w:r>
                      <w:r>
                        <w:rPr>
                          <w:spacing w:val="-4"/>
                        </w:rPr>
                        <w:t xml:space="preserve"> </w:t>
                      </w:r>
                      <w:r>
                        <w:t>difficulties</w:t>
                      </w:r>
                      <w:r>
                        <w:rPr>
                          <w:spacing w:val="-1"/>
                        </w:rPr>
                        <w:t xml:space="preserve"> </w:t>
                      </w:r>
                      <w:r>
                        <w:t>walking</w:t>
                      </w:r>
                      <w:r>
                        <w:rPr>
                          <w:spacing w:val="-3"/>
                        </w:rPr>
                        <w:t xml:space="preserve"> </w:t>
                      </w:r>
                      <w:r>
                        <w:t>half</w:t>
                      </w:r>
                      <w:r>
                        <w:rPr>
                          <w:spacing w:val="-3"/>
                        </w:rPr>
                        <w:t xml:space="preserve"> </w:t>
                      </w:r>
                      <w:r>
                        <w:t>a</w:t>
                      </w:r>
                      <w:r>
                        <w:rPr>
                          <w:spacing w:val="1"/>
                        </w:rPr>
                        <w:t xml:space="preserve"> </w:t>
                      </w:r>
                      <w:r>
                        <w:t>kilometer</w:t>
                      </w:r>
                      <w:r>
                        <w:rPr>
                          <w:spacing w:val="-2"/>
                        </w:rPr>
                        <w:t xml:space="preserve"> </w:t>
                      </w:r>
                      <w:r>
                        <w:t>on</w:t>
                      </w:r>
                      <w:r>
                        <w:rPr>
                          <w:spacing w:val="-3"/>
                        </w:rPr>
                        <w:t xml:space="preserve"> </w:t>
                      </w:r>
                      <w:r>
                        <w:t>level</w:t>
                      </w:r>
                      <w:r>
                        <w:rPr>
                          <w:spacing w:val="-47"/>
                        </w:rPr>
                        <w:t xml:space="preserve"> </w:t>
                      </w:r>
                      <w:r>
                        <w:t>ground</w:t>
                      </w:r>
                      <w:r>
                        <w:rPr>
                          <w:spacing w:val="2"/>
                        </w:rPr>
                        <w:t xml:space="preserve"> </w:t>
                      </w:r>
                      <w:r>
                        <w:t>without</w:t>
                      </w:r>
                      <w:r>
                        <w:rPr>
                          <w:spacing w:val="-1"/>
                        </w:rPr>
                        <w:t xml:space="preserve"> </w:t>
                      </w:r>
                      <w:r>
                        <w:t>the use of</w:t>
                      </w:r>
                      <w:r>
                        <w:rPr>
                          <w:spacing w:val="-2"/>
                        </w:rPr>
                        <w:t xml:space="preserve"> </w:t>
                      </w:r>
                      <w:r>
                        <w:t>any</w:t>
                      </w:r>
                      <w:r>
                        <w:rPr>
                          <w:spacing w:val="-1"/>
                        </w:rPr>
                        <w:t xml:space="preserve"> </w:t>
                      </w:r>
                      <w:r>
                        <w:t>aid.</w:t>
                      </w:r>
                      <w:r>
                        <w:rPr>
                          <w:spacing w:val="-4"/>
                        </w:rPr>
                        <w:t xml:space="preserve"> </w:t>
                      </w:r>
                      <w:r>
                        <w:t>They</w:t>
                      </w:r>
                      <w:r>
                        <w:rPr>
                          <w:spacing w:val="-3"/>
                        </w:rPr>
                        <w:t xml:space="preserve"> </w:t>
                      </w:r>
                      <w:r>
                        <w:t>represent 19.8</w:t>
                      </w:r>
                      <w:r>
                        <w:rPr>
                          <w:spacing w:val="1"/>
                        </w:rPr>
                        <w:t xml:space="preserve"> </w:t>
                      </w:r>
                      <w:r>
                        <w:t>million</w:t>
                      </w:r>
                      <w:r>
                        <w:rPr>
                          <w:spacing w:val="-2"/>
                        </w:rPr>
                        <w:t xml:space="preserve"> </w:t>
                      </w:r>
                      <w:r>
                        <w:t>persons.</w:t>
                      </w:r>
                    </w:p>
                    <w:p w:rsidR="00716091" w:rsidRDefault="00716091">
                      <w:pPr>
                        <w:pStyle w:val="BodyText"/>
                        <w:numPr>
                          <w:ilvl w:val="0"/>
                          <w:numId w:val="1"/>
                        </w:numPr>
                        <w:tabs>
                          <w:tab w:val="left" w:pos="468"/>
                        </w:tabs>
                        <w:spacing w:before="20"/>
                        <w:ind w:left="467" w:right="408"/>
                      </w:pPr>
                      <w:r>
                        <w:t>About</w:t>
                      </w:r>
                      <w:r>
                        <w:rPr>
                          <w:spacing w:val="-4"/>
                        </w:rPr>
                        <w:t xml:space="preserve"> </w:t>
                      </w:r>
                      <w:r>
                        <w:t>5.6</w:t>
                      </w:r>
                      <w:r>
                        <w:rPr>
                          <w:spacing w:val="-1"/>
                        </w:rPr>
                        <w:t xml:space="preserve"> </w:t>
                      </w:r>
                      <w:r>
                        <w:t>%</w:t>
                      </w:r>
                      <w:r>
                        <w:rPr>
                          <w:spacing w:val="-1"/>
                        </w:rPr>
                        <w:t xml:space="preserve"> </w:t>
                      </w:r>
                      <w:r>
                        <w:t>of</w:t>
                      </w:r>
                      <w:r>
                        <w:rPr>
                          <w:spacing w:val="-3"/>
                        </w:rPr>
                        <w:t xml:space="preserve"> </w:t>
                      </w:r>
                      <w:r>
                        <w:t>persons</w:t>
                      </w:r>
                      <w:r>
                        <w:rPr>
                          <w:spacing w:val="-3"/>
                        </w:rPr>
                        <w:t xml:space="preserve"> </w:t>
                      </w:r>
                      <w:r>
                        <w:t>aged</w:t>
                      </w:r>
                      <w:r>
                        <w:rPr>
                          <w:spacing w:val="-1"/>
                        </w:rPr>
                        <w:t xml:space="preserve"> </w:t>
                      </w:r>
                      <w:r>
                        <w:t>15</w:t>
                      </w:r>
                      <w:r>
                        <w:rPr>
                          <w:spacing w:val="-2"/>
                        </w:rPr>
                        <w:t xml:space="preserve"> </w:t>
                      </w:r>
                      <w:r>
                        <w:t>and</w:t>
                      </w:r>
                      <w:r>
                        <w:rPr>
                          <w:spacing w:val="-1"/>
                        </w:rPr>
                        <w:t xml:space="preserve"> </w:t>
                      </w:r>
                      <w:r>
                        <w:t>over</w:t>
                      </w:r>
                      <w:r>
                        <w:rPr>
                          <w:spacing w:val="-1"/>
                        </w:rPr>
                        <w:t xml:space="preserve"> </w:t>
                      </w:r>
                      <w:r>
                        <w:t>have</w:t>
                      </w:r>
                      <w:r>
                        <w:rPr>
                          <w:spacing w:val="-2"/>
                        </w:rPr>
                        <w:t xml:space="preserve"> </w:t>
                      </w:r>
                      <w:r>
                        <w:t>severe</w:t>
                      </w:r>
                      <w:r>
                        <w:rPr>
                          <w:spacing w:val="-3"/>
                        </w:rPr>
                        <w:t xml:space="preserve"> </w:t>
                      </w:r>
                      <w:r>
                        <w:t>difficulties</w:t>
                      </w:r>
                      <w:r>
                        <w:rPr>
                          <w:spacing w:val="-1"/>
                        </w:rPr>
                        <w:t xml:space="preserve"> </w:t>
                      </w:r>
                      <w:r>
                        <w:t>walking</w:t>
                      </w:r>
                      <w:r>
                        <w:rPr>
                          <w:spacing w:val="-4"/>
                        </w:rPr>
                        <w:t xml:space="preserve"> </w:t>
                      </w:r>
                      <w:r>
                        <w:t>up</w:t>
                      </w:r>
                      <w:r>
                        <w:rPr>
                          <w:spacing w:val="-3"/>
                        </w:rPr>
                        <w:t xml:space="preserve"> </w:t>
                      </w:r>
                      <w:r>
                        <w:t>or</w:t>
                      </w:r>
                      <w:r>
                        <w:rPr>
                          <w:spacing w:val="-1"/>
                        </w:rPr>
                        <w:t xml:space="preserve"> </w:t>
                      </w:r>
                      <w:r>
                        <w:t>down</w:t>
                      </w:r>
                      <w:r>
                        <w:rPr>
                          <w:spacing w:val="-3"/>
                        </w:rPr>
                        <w:t xml:space="preserve"> </w:t>
                      </w:r>
                      <w:r>
                        <w:t>12</w:t>
                      </w:r>
                      <w:r>
                        <w:rPr>
                          <w:spacing w:val="-1"/>
                        </w:rPr>
                        <w:t xml:space="preserve"> </w:t>
                      </w:r>
                      <w:r>
                        <w:t>steps.</w:t>
                      </w:r>
                      <w:r>
                        <w:rPr>
                          <w:spacing w:val="-47"/>
                        </w:rPr>
                        <w:t xml:space="preserve"> </w:t>
                      </w:r>
                      <w:r>
                        <w:t>They</w:t>
                      </w:r>
                      <w:r>
                        <w:rPr>
                          <w:spacing w:val="-4"/>
                        </w:rPr>
                        <w:t xml:space="preserve"> </w:t>
                      </w:r>
                      <w:r>
                        <w:t>represent 20.7</w:t>
                      </w:r>
                      <w:r>
                        <w:rPr>
                          <w:spacing w:val="3"/>
                        </w:rPr>
                        <w:t xml:space="preserve"> </w:t>
                      </w:r>
                      <w:r>
                        <w:t>million</w:t>
                      </w:r>
                      <w:r>
                        <w:rPr>
                          <w:spacing w:val="-1"/>
                        </w:rPr>
                        <w:t xml:space="preserve"> </w:t>
                      </w:r>
                      <w:r>
                        <w:t>persons.</w:t>
                      </w:r>
                    </w:p>
                    <w:p w:rsidR="00716091" w:rsidRDefault="00716091">
                      <w:pPr>
                        <w:pStyle w:val="BodyText"/>
                        <w:numPr>
                          <w:ilvl w:val="0"/>
                          <w:numId w:val="1"/>
                        </w:numPr>
                        <w:tabs>
                          <w:tab w:val="left" w:pos="468"/>
                        </w:tabs>
                        <w:spacing w:before="20"/>
                        <w:ind w:left="467" w:right="1272"/>
                      </w:pPr>
                      <w:r>
                        <w:t>About</w:t>
                      </w:r>
                      <w:r>
                        <w:rPr>
                          <w:spacing w:val="-3"/>
                        </w:rPr>
                        <w:t xml:space="preserve"> </w:t>
                      </w:r>
                      <w:r>
                        <w:t>2.4</w:t>
                      </w:r>
                      <w:r>
                        <w:rPr>
                          <w:spacing w:val="-1"/>
                        </w:rPr>
                        <w:t xml:space="preserve"> </w:t>
                      </w:r>
                      <w:r>
                        <w:t>%</w:t>
                      </w:r>
                      <w:r>
                        <w:rPr>
                          <w:spacing w:val="-1"/>
                        </w:rPr>
                        <w:t xml:space="preserve"> </w:t>
                      </w:r>
                      <w:r>
                        <w:t>of</w:t>
                      </w:r>
                      <w:r>
                        <w:rPr>
                          <w:spacing w:val="-3"/>
                        </w:rPr>
                        <w:t xml:space="preserve"> </w:t>
                      </w:r>
                      <w:r>
                        <w:t>persons</w:t>
                      </w:r>
                      <w:r>
                        <w:rPr>
                          <w:spacing w:val="-3"/>
                        </w:rPr>
                        <w:t xml:space="preserve"> </w:t>
                      </w:r>
                      <w:r>
                        <w:t>aged</w:t>
                      </w:r>
                      <w:r>
                        <w:rPr>
                          <w:spacing w:val="-1"/>
                        </w:rPr>
                        <w:t xml:space="preserve"> </w:t>
                      </w:r>
                      <w:r>
                        <w:t>15</w:t>
                      </w:r>
                      <w:r>
                        <w:rPr>
                          <w:spacing w:val="-1"/>
                        </w:rPr>
                        <w:t xml:space="preserve"> </w:t>
                      </w:r>
                      <w:r>
                        <w:t>and</w:t>
                      </w:r>
                      <w:r>
                        <w:rPr>
                          <w:spacing w:val="-1"/>
                        </w:rPr>
                        <w:t xml:space="preserve"> </w:t>
                      </w:r>
                      <w:r>
                        <w:t>over</w:t>
                      </w:r>
                      <w:r>
                        <w:rPr>
                          <w:spacing w:val="-1"/>
                        </w:rPr>
                        <w:t xml:space="preserve"> </w:t>
                      </w:r>
                      <w:r>
                        <w:t>have</w:t>
                      </w:r>
                      <w:r>
                        <w:rPr>
                          <w:spacing w:val="-2"/>
                        </w:rPr>
                        <w:t xml:space="preserve"> </w:t>
                      </w:r>
                      <w:r>
                        <w:t>severe</w:t>
                      </w:r>
                      <w:r>
                        <w:rPr>
                          <w:spacing w:val="-3"/>
                        </w:rPr>
                        <w:t xml:space="preserve"> </w:t>
                      </w:r>
                      <w:r>
                        <w:t>difficulties</w:t>
                      </w:r>
                      <w:r>
                        <w:rPr>
                          <w:spacing w:val="-2"/>
                        </w:rPr>
                        <w:t xml:space="preserve"> </w:t>
                      </w:r>
                      <w:r>
                        <w:t>in</w:t>
                      </w:r>
                      <w:r>
                        <w:rPr>
                          <w:spacing w:val="-3"/>
                        </w:rPr>
                        <w:t xml:space="preserve"> </w:t>
                      </w:r>
                      <w:r>
                        <w:t>remembering</w:t>
                      </w:r>
                      <w:r>
                        <w:rPr>
                          <w:spacing w:val="-3"/>
                        </w:rPr>
                        <w:t xml:space="preserve"> </w:t>
                      </w:r>
                      <w:r>
                        <w:t>or</w:t>
                      </w:r>
                      <w:r>
                        <w:rPr>
                          <w:spacing w:val="-47"/>
                        </w:rPr>
                        <w:t xml:space="preserve"> </w:t>
                      </w:r>
                      <w:r>
                        <w:t>concentrating. They</w:t>
                      </w:r>
                      <w:r>
                        <w:rPr>
                          <w:spacing w:val="-3"/>
                        </w:rPr>
                        <w:t xml:space="preserve"> </w:t>
                      </w:r>
                      <w:r>
                        <w:t>represent</w:t>
                      </w:r>
                      <w:r>
                        <w:rPr>
                          <w:spacing w:val="2"/>
                        </w:rPr>
                        <w:t xml:space="preserve"> </w:t>
                      </w:r>
                      <w:r>
                        <w:t>8.6 million</w:t>
                      </w:r>
                      <w:r>
                        <w:rPr>
                          <w:spacing w:val="-1"/>
                        </w:rPr>
                        <w:t xml:space="preserve"> </w:t>
                      </w:r>
                      <w:r>
                        <w:t>persons.</w:t>
                      </w:r>
                    </w:p>
                    <w:p w:rsidR="00716091" w:rsidRDefault="00716091">
                      <w:pPr>
                        <w:pStyle w:val="BodyText"/>
                        <w:numPr>
                          <w:ilvl w:val="0"/>
                          <w:numId w:val="1"/>
                        </w:numPr>
                        <w:tabs>
                          <w:tab w:val="left" w:pos="468"/>
                        </w:tabs>
                        <w:spacing w:before="20" w:line="249" w:lineRule="auto"/>
                        <w:ind w:left="467" w:right="468"/>
                        <w:jc w:val="both"/>
                      </w:pPr>
                      <w:r>
                        <w:t>About 9.6 % of persons aged 55 and over have severe difficulties in biting and chewing. They</w:t>
                      </w:r>
                      <w:r>
                        <w:rPr>
                          <w:spacing w:val="-47"/>
                        </w:rPr>
                        <w:t xml:space="preserve"> </w:t>
                      </w:r>
                      <w:r>
                        <w:t>represent</w:t>
                      </w:r>
                      <w:r>
                        <w:rPr>
                          <w:spacing w:val="-3"/>
                        </w:rPr>
                        <w:t xml:space="preserve"> </w:t>
                      </w:r>
                      <w:r>
                        <w:t>13.7</w:t>
                      </w:r>
                      <w:r>
                        <w:rPr>
                          <w:spacing w:val="-2"/>
                        </w:rPr>
                        <w:t xml:space="preserve"> </w:t>
                      </w:r>
                      <w:r>
                        <w:t>million</w:t>
                      </w:r>
                      <w:r>
                        <w:rPr>
                          <w:spacing w:val="-4"/>
                        </w:rPr>
                        <w:t xml:space="preserve"> </w:t>
                      </w:r>
                      <w:r>
                        <w:t>persons.</w:t>
                      </w:r>
                      <w:r>
                        <w:rPr>
                          <w:spacing w:val="-1"/>
                        </w:rPr>
                        <w:t xml:space="preserve"> </w:t>
                      </w:r>
                      <w:r>
                        <w:t>Severe</w:t>
                      </w:r>
                      <w:r>
                        <w:rPr>
                          <w:spacing w:val="-3"/>
                        </w:rPr>
                        <w:t xml:space="preserve"> </w:t>
                      </w:r>
                      <w:r>
                        <w:t>difficulties</w:t>
                      </w:r>
                      <w:r>
                        <w:rPr>
                          <w:spacing w:val="-4"/>
                        </w:rPr>
                        <w:t xml:space="preserve"> </w:t>
                      </w:r>
                      <w:r>
                        <w:t>include</w:t>
                      </w:r>
                      <w:r>
                        <w:rPr>
                          <w:spacing w:val="-2"/>
                        </w:rPr>
                        <w:t xml:space="preserve"> </w:t>
                      </w:r>
                      <w:r>
                        <w:t>‘a</w:t>
                      </w:r>
                      <w:r>
                        <w:rPr>
                          <w:spacing w:val="-2"/>
                        </w:rPr>
                        <w:t xml:space="preserve"> </w:t>
                      </w:r>
                      <w:r>
                        <w:t>lot</w:t>
                      </w:r>
                      <w:r>
                        <w:rPr>
                          <w:spacing w:val="-3"/>
                        </w:rPr>
                        <w:t xml:space="preserve"> </w:t>
                      </w:r>
                      <w:r>
                        <w:t>of</w:t>
                      </w:r>
                      <w:r>
                        <w:rPr>
                          <w:spacing w:val="-3"/>
                        </w:rPr>
                        <w:t xml:space="preserve"> </w:t>
                      </w:r>
                      <w:r>
                        <w:t>difficulty’</w:t>
                      </w:r>
                      <w:r>
                        <w:rPr>
                          <w:spacing w:val="-6"/>
                        </w:rPr>
                        <w:t xml:space="preserve"> </w:t>
                      </w:r>
                      <w:r>
                        <w:t>(9.8</w:t>
                      </w:r>
                      <w:r>
                        <w:rPr>
                          <w:spacing w:val="-2"/>
                        </w:rPr>
                        <w:t xml:space="preserve"> </w:t>
                      </w:r>
                      <w:r>
                        <w:t>million)</w:t>
                      </w:r>
                      <w:r>
                        <w:rPr>
                          <w:spacing w:val="2"/>
                        </w:rPr>
                        <w:t xml:space="preserve"> </w:t>
                      </w:r>
                      <w:r>
                        <w:t>and</w:t>
                      </w:r>
                      <w:r>
                        <w:rPr>
                          <w:spacing w:val="-47"/>
                        </w:rPr>
                        <w:t xml:space="preserve"> </w:t>
                      </w:r>
                      <w:r>
                        <w:t>‘cannot</w:t>
                      </w:r>
                      <w:r>
                        <w:rPr>
                          <w:spacing w:val="-2"/>
                        </w:rPr>
                        <w:t xml:space="preserve"> </w:t>
                      </w:r>
                      <w:r>
                        <w:t>do</w:t>
                      </w:r>
                      <w:r>
                        <w:rPr>
                          <w:spacing w:val="1"/>
                        </w:rPr>
                        <w:t xml:space="preserve"> </w:t>
                      </w:r>
                      <w:r>
                        <w:t>at</w:t>
                      </w:r>
                      <w:r>
                        <w:rPr>
                          <w:spacing w:val="-1"/>
                        </w:rPr>
                        <w:t xml:space="preserve"> </w:t>
                      </w:r>
                      <w:r>
                        <w:t>all</w:t>
                      </w:r>
                      <w:r>
                        <w:rPr>
                          <w:spacing w:val="1"/>
                        </w:rPr>
                        <w:t xml:space="preserve"> </w:t>
                      </w:r>
                      <w:r>
                        <w:t>/</w:t>
                      </w:r>
                      <w:r>
                        <w:rPr>
                          <w:spacing w:val="-1"/>
                        </w:rPr>
                        <w:t xml:space="preserve"> </w:t>
                      </w:r>
                      <w:r>
                        <w:t>unable</w:t>
                      </w:r>
                      <w:r>
                        <w:rPr>
                          <w:spacing w:val="-1"/>
                        </w:rPr>
                        <w:t xml:space="preserve"> </w:t>
                      </w:r>
                      <w:r>
                        <w:t>to</w:t>
                      </w:r>
                      <w:r>
                        <w:rPr>
                          <w:spacing w:val="1"/>
                        </w:rPr>
                        <w:t xml:space="preserve"> </w:t>
                      </w:r>
                      <w:r>
                        <w:t>do’</w:t>
                      </w:r>
                      <w:r>
                        <w:rPr>
                          <w:spacing w:val="-1"/>
                        </w:rPr>
                        <w:t xml:space="preserve"> </w:t>
                      </w:r>
                      <w:r>
                        <w:t>(3.9</w:t>
                      </w:r>
                      <w:r>
                        <w:rPr>
                          <w:spacing w:val="-1"/>
                        </w:rPr>
                        <w:t xml:space="preserve"> </w:t>
                      </w:r>
                      <w:r>
                        <w:t>million).</w:t>
                      </w:r>
                    </w:p>
                  </w:txbxContent>
                </v:textbox>
                <w10:wrap anchorx="page"/>
              </v:shape>
            </w:pict>
          </mc:Fallback>
        </mc:AlternateContent>
      </w:r>
      <w:r w:rsidR="00526895">
        <w:t>Source:</w:t>
      </w:r>
      <w:r w:rsidR="00526895">
        <w:rPr>
          <w:spacing w:val="-4"/>
        </w:rPr>
        <w:t xml:space="preserve"> </w:t>
      </w:r>
      <w:r w:rsidR="00526895">
        <w:t>S.</w:t>
      </w:r>
      <w:r w:rsidR="00526895">
        <w:rPr>
          <w:spacing w:val="-2"/>
        </w:rPr>
        <w:t xml:space="preserve"> </w:t>
      </w:r>
      <w:r w:rsidR="00526895">
        <w:t>Grammenos</w:t>
      </w:r>
      <w:r w:rsidR="00526895">
        <w:rPr>
          <w:spacing w:val="-4"/>
        </w:rPr>
        <w:t xml:space="preserve"> </w:t>
      </w:r>
      <w:r w:rsidR="00526895">
        <w:t>(2022),</w:t>
      </w:r>
      <w:r w:rsidR="00526895">
        <w:rPr>
          <w:spacing w:val="-2"/>
        </w:rPr>
        <w:t xml:space="preserve"> </w:t>
      </w:r>
      <w:r w:rsidR="00526895">
        <w:t>“Independent</w:t>
      </w:r>
      <w:r w:rsidR="00526895">
        <w:rPr>
          <w:spacing w:val="-4"/>
        </w:rPr>
        <w:t xml:space="preserve"> </w:t>
      </w:r>
      <w:r w:rsidR="00526895">
        <w:t>living</w:t>
      </w:r>
      <w:r w:rsidR="00526895">
        <w:rPr>
          <w:spacing w:val="-6"/>
        </w:rPr>
        <w:t xml:space="preserve"> </w:t>
      </w:r>
      <w:r w:rsidR="00526895">
        <w:t>and</w:t>
      </w:r>
      <w:r w:rsidR="00526895">
        <w:rPr>
          <w:spacing w:val="-4"/>
        </w:rPr>
        <w:t xml:space="preserve"> </w:t>
      </w:r>
      <w:r w:rsidR="00526895">
        <w:t>community</w:t>
      </w:r>
      <w:r w:rsidR="00526895">
        <w:rPr>
          <w:spacing w:val="-4"/>
        </w:rPr>
        <w:t xml:space="preserve"> </w:t>
      </w:r>
      <w:r w:rsidR="00526895">
        <w:t>inclusion</w:t>
      </w:r>
      <w:r w:rsidR="00526895">
        <w:rPr>
          <w:spacing w:val="-4"/>
        </w:rPr>
        <w:t xml:space="preserve"> </w:t>
      </w:r>
      <w:r w:rsidR="00526895">
        <w:t>of</w:t>
      </w:r>
      <w:r w:rsidR="00526895">
        <w:rPr>
          <w:spacing w:val="-4"/>
        </w:rPr>
        <w:t xml:space="preserve"> </w:t>
      </w:r>
      <w:r w:rsidR="00526895">
        <w:t>persons with</w:t>
      </w:r>
      <w:r w:rsidR="00526895">
        <w:rPr>
          <w:spacing w:val="-4"/>
        </w:rPr>
        <w:t xml:space="preserve"> </w:t>
      </w:r>
      <w:r w:rsidR="00526895">
        <w:t>disabilities”,</w:t>
      </w:r>
      <w:r w:rsidR="00526895">
        <w:rPr>
          <w:spacing w:val="-47"/>
        </w:rPr>
        <w:t xml:space="preserve"> </w:t>
      </w:r>
      <w:r w:rsidR="00526895">
        <w:t>European</w:t>
      </w:r>
      <w:r w:rsidR="00526895">
        <w:rPr>
          <w:spacing w:val="-3"/>
        </w:rPr>
        <w:t xml:space="preserve"> </w:t>
      </w:r>
      <w:r w:rsidR="00526895">
        <w:t>Disability</w:t>
      </w:r>
      <w:r w:rsidR="00526895">
        <w:rPr>
          <w:spacing w:val="-3"/>
        </w:rPr>
        <w:t xml:space="preserve"> </w:t>
      </w:r>
      <w:r w:rsidR="00526895">
        <w:t>Expertise,</w:t>
      </w:r>
      <w:r w:rsidR="00526895">
        <w:rPr>
          <w:spacing w:val="-1"/>
        </w:rPr>
        <w:t xml:space="preserve"> </w:t>
      </w:r>
      <w:r w:rsidR="00526895">
        <w:t>forthcoming. Data</w:t>
      </w:r>
      <w:r w:rsidR="00526895">
        <w:rPr>
          <w:spacing w:val="-2"/>
        </w:rPr>
        <w:t xml:space="preserve"> </w:t>
      </w:r>
      <w:r w:rsidR="00526895">
        <w:t>source:</w:t>
      </w:r>
      <w:r w:rsidR="00526895">
        <w:rPr>
          <w:spacing w:val="-2"/>
        </w:rPr>
        <w:t xml:space="preserve"> </w:t>
      </w:r>
      <w:r w:rsidR="00526895">
        <w:t>EHIS wave</w:t>
      </w:r>
      <w:r w:rsidR="00526895">
        <w:rPr>
          <w:spacing w:val="-3"/>
        </w:rPr>
        <w:t xml:space="preserve"> </w:t>
      </w:r>
      <w:r w:rsidR="00526895">
        <w:t>3,</w:t>
      </w:r>
      <w:r w:rsidR="00526895">
        <w:rPr>
          <w:spacing w:val="-1"/>
        </w:rPr>
        <w:t xml:space="preserve"> </w:t>
      </w:r>
      <w:r w:rsidR="00526895">
        <w:t>2019;</w:t>
      </w:r>
      <w:r w:rsidR="00526895">
        <w:rPr>
          <w:spacing w:val="-2"/>
        </w:rPr>
        <w:t xml:space="preserve"> </w:t>
      </w:r>
      <w:r w:rsidR="00526895">
        <w:t>version</w:t>
      </w:r>
      <w:r w:rsidR="00526895">
        <w:rPr>
          <w:spacing w:val="-3"/>
        </w:rPr>
        <w:t xml:space="preserve"> </w:t>
      </w:r>
      <w:r w:rsidR="00526895">
        <w:t>October</w:t>
      </w:r>
      <w:r w:rsidR="00526895">
        <w:rPr>
          <w:spacing w:val="-1"/>
        </w:rPr>
        <w:t xml:space="preserve"> </w:t>
      </w:r>
      <w:r w:rsidR="00526895">
        <w:t>2022.</w:t>
      </w:r>
    </w:p>
    <w:p w:rsidR="005B1E95" w:rsidRDefault="005B1E95">
      <w:pPr>
        <w:pStyle w:val="BodyText"/>
        <w:spacing w:before="4"/>
        <w:ind w:left="0"/>
      </w:pPr>
    </w:p>
    <w:p w:rsidR="005B1E95" w:rsidRDefault="00526895">
      <w:pPr>
        <w:pStyle w:val="Heading2"/>
        <w:numPr>
          <w:ilvl w:val="0"/>
          <w:numId w:val="2"/>
        </w:numPr>
        <w:tabs>
          <w:tab w:val="left" w:pos="468"/>
        </w:tabs>
        <w:ind w:left="467" w:hanging="328"/>
      </w:pPr>
      <w:r>
        <w:t>Participation</w:t>
      </w:r>
      <w:r>
        <w:rPr>
          <w:spacing w:val="-7"/>
        </w:rPr>
        <w:t xml:space="preserve"> </w:t>
      </w:r>
      <w:r>
        <w:t>in</w:t>
      </w:r>
      <w:r>
        <w:rPr>
          <w:spacing w:val="-2"/>
        </w:rPr>
        <w:t xml:space="preserve"> </w:t>
      </w:r>
      <w:r>
        <w:t>employment</w:t>
      </w:r>
    </w:p>
    <w:p w:rsidR="005B1E95" w:rsidRDefault="005B1E95">
      <w:pPr>
        <w:pStyle w:val="BodyText"/>
        <w:ind w:left="0"/>
        <w:rPr>
          <w:b/>
          <w:sz w:val="30"/>
        </w:rPr>
      </w:pPr>
    </w:p>
    <w:p w:rsidR="005B1E95" w:rsidRDefault="00526895">
      <w:pPr>
        <w:pStyle w:val="Heading3"/>
        <w:spacing w:before="256"/>
        <w:ind w:right="251"/>
      </w:pPr>
      <w:r>
        <w:t>Table</w:t>
      </w:r>
      <w:r>
        <w:rPr>
          <w:spacing w:val="-11"/>
        </w:rPr>
        <w:t xml:space="preserve"> </w:t>
      </w:r>
      <w:r>
        <w:t>B.1:</w:t>
      </w:r>
      <w:r>
        <w:rPr>
          <w:spacing w:val="-11"/>
        </w:rPr>
        <w:t xml:space="preserve"> </w:t>
      </w:r>
      <w:r>
        <w:t>Employment</w:t>
      </w:r>
      <w:r>
        <w:rPr>
          <w:spacing w:val="-9"/>
        </w:rPr>
        <w:t xml:space="preserve"> </w:t>
      </w:r>
      <w:r>
        <w:t>gap</w:t>
      </w:r>
      <w:r>
        <w:rPr>
          <w:spacing w:val="-9"/>
        </w:rPr>
        <w:t xml:space="preserve"> </w:t>
      </w:r>
      <w:r>
        <w:t>between</w:t>
      </w:r>
      <w:r>
        <w:rPr>
          <w:spacing w:val="-6"/>
        </w:rPr>
        <w:t xml:space="preserve"> </w:t>
      </w:r>
      <w:r>
        <w:t>persons</w:t>
      </w:r>
      <w:r>
        <w:rPr>
          <w:spacing w:val="-9"/>
        </w:rPr>
        <w:t xml:space="preserve"> </w:t>
      </w:r>
      <w:r>
        <w:t>with</w:t>
      </w:r>
      <w:r>
        <w:rPr>
          <w:spacing w:val="-9"/>
        </w:rPr>
        <w:t xml:space="preserve"> </w:t>
      </w:r>
      <w:r>
        <w:t>and</w:t>
      </w:r>
      <w:r>
        <w:rPr>
          <w:spacing w:val="-7"/>
        </w:rPr>
        <w:t xml:space="preserve"> </w:t>
      </w:r>
      <w:r>
        <w:t>without</w:t>
      </w:r>
      <w:r>
        <w:rPr>
          <w:spacing w:val="-7"/>
        </w:rPr>
        <w:t xml:space="preserve"> </w:t>
      </w:r>
      <w:r>
        <w:t>disabilities</w:t>
      </w:r>
      <w:r>
        <w:rPr>
          <w:spacing w:val="-9"/>
        </w:rPr>
        <w:t xml:space="preserve"> </w:t>
      </w:r>
      <w:r>
        <w:t>(age</w:t>
      </w:r>
      <w:r>
        <w:rPr>
          <w:spacing w:val="-7"/>
        </w:rPr>
        <w:t xml:space="preserve"> </w:t>
      </w:r>
      <w:r>
        <w:t>20-64),</w:t>
      </w:r>
      <w:r>
        <w:rPr>
          <w:spacing w:val="-11"/>
        </w:rPr>
        <w:t xml:space="preserve"> </w:t>
      </w:r>
      <w:r>
        <w:t>2020,</w:t>
      </w:r>
      <w:r>
        <w:rPr>
          <w:spacing w:val="-57"/>
        </w:rPr>
        <w:t xml:space="preserve"> </w:t>
      </w:r>
      <w:r>
        <w:t>percentage</w:t>
      </w:r>
      <w:r>
        <w:rPr>
          <w:spacing w:val="-4"/>
        </w:rPr>
        <w:t xml:space="preserve"> </w:t>
      </w:r>
      <w:r>
        <w:t>points</w:t>
      </w:r>
    </w:p>
    <w:p w:rsidR="005B1E95" w:rsidRDefault="005B1E95">
      <w:pPr>
        <w:pStyle w:val="BodyText"/>
        <w:spacing w:before="5"/>
        <w:ind w:left="0"/>
        <w:rPr>
          <w:b/>
          <w:sz w:val="10"/>
        </w:rPr>
      </w:pPr>
    </w:p>
    <w:tbl>
      <w:tblPr>
        <w:tblW w:w="0" w:type="auto"/>
        <w:tblInd w:w="22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716"/>
        <w:gridCol w:w="900"/>
      </w:tblGrid>
      <w:tr w:rsidR="005B1E95">
        <w:trPr>
          <w:trHeight w:val="233"/>
        </w:trPr>
        <w:tc>
          <w:tcPr>
            <w:tcW w:w="1716" w:type="dxa"/>
            <w:tcBorders>
              <w:left w:val="nil"/>
              <w:right w:val="single" w:sz="4" w:space="0" w:color="AFAFAF"/>
            </w:tcBorders>
          </w:tcPr>
          <w:p w:rsidR="005B1E95" w:rsidRDefault="005B1E95">
            <w:pPr>
              <w:pStyle w:val="TableParagraph"/>
              <w:ind w:left="0"/>
              <w:jc w:val="left"/>
              <w:rPr>
                <w:sz w:val="16"/>
              </w:rPr>
            </w:pPr>
          </w:p>
        </w:tc>
        <w:tc>
          <w:tcPr>
            <w:tcW w:w="900" w:type="dxa"/>
            <w:tcBorders>
              <w:top w:val="single" w:sz="18" w:space="0" w:color="000000"/>
              <w:left w:val="single" w:sz="4" w:space="0" w:color="AFAFAF"/>
              <w:right w:val="nil"/>
            </w:tcBorders>
          </w:tcPr>
          <w:p w:rsidR="005B1E95" w:rsidRDefault="00526895">
            <w:pPr>
              <w:pStyle w:val="TableParagraph"/>
              <w:spacing w:before="4" w:line="209" w:lineRule="exact"/>
              <w:ind w:left="260"/>
              <w:jc w:val="left"/>
              <w:rPr>
                <w:b/>
                <w:sz w:val="20"/>
              </w:rPr>
            </w:pPr>
            <w:r>
              <w:rPr>
                <w:b/>
                <w:sz w:val="20"/>
              </w:rPr>
              <w:t>2020</w:t>
            </w:r>
          </w:p>
        </w:tc>
      </w:tr>
      <w:tr w:rsidR="005B1E95">
        <w:trPr>
          <w:trHeight w:val="239"/>
        </w:trPr>
        <w:tc>
          <w:tcPr>
            <w:tcW w:w="1716" w:type="dxa"/>
            <w:tcBorders>
              <w:left w:val="nil"/>
              <w:bottom w:val="single" w:sz="4" w:space="0" w:color="999999"/>
              <w:right w:val="single" w:sz="4" w:space="0" w:color="999999"/>
            </w:tcBorders>
          </w:tcPr>
          <w:p w:rsidR="005B1E95" w:rsidRDefault="00526895">
            <w:pPr>
              <w:pStyle w:val="TableParagraph"/>
              <w:spacing w:before="9" w:line="210" w:lineRule="exact"/>
              <w:ind w:left="138"/>
              <w:jc w:val="left"/>
              <w:rPr>
                <w:b/>
                <w:sz w:val="20"/>
              </w:rPr>
            </w:pPr>
            <w:r>
              <w:rPr>
                <w:b/>
                <w:sz w:val="20"/>
              </w:rPr>
              <w:t>European</w:t>
            </w:r>
            <w:r>
              <w:rPr>
                <w:b/>
                <w:spacing w:val="-3"/>
                <w:sz w:val="20"/>
              </w:rPr>
              <w:t xml:space="preserve"> </w:t>
            </w:r>
            <w:r>
              <w:rPr>
                <w:b/>
                <w:sz w:val="20"/>
              </w:rPr>
              <w:t>Union</w:t>
            </w:r>
          </w:p>
        </w:tc>
        <w:tc>
          <w:tcPr>
            <w:tcW w:w="900" w:type="dxa"/>
            <w:tcBorders>
              <w:left w:val="single" w:sz="4" w:space="0" w:color="999999"/>
              <w:bottom w:val="single" w:sz="4" w:space="0" w:color="999999"/>
              <w:right w:val="nil"/>
            </w:tcBorders>
          </w:tcPr>
          <w:p w:rsidR="005B1E95" w:rsidRDefault="00526895">
            <w:pPr>
              <w:pStyle w:val="TableParagraph"/>
              <w:spacing w:before="4" w:line="215" w:lineRule="exact"/>
              <w:ind w:left="284"/>
              <w:jc w:val="left"/>
              <w:rPr>
                <w:sz w:val="20"/>
              </w:rPr>
            </w:pPr>
            <w:r>
              <w:rPr>
                <w:sz w:val="20"/>
              </w:rPr>
              <w:t>24.4</w:t>
            </w:r>
          </w:p>
        </w:tc>
      </w:tr>
      <w:tr w:rsidR="005B1E95">
        <w:trPr>
          <w:trHeight w:val="242"/>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2" w:line="210" w:lineRule="exact"/>
              <w:ind w:left="138"/>
              <w:jc w:val="left"/>
              <w:rPr>
                <w:b/>
                <w:sz w:val="20"/>
              </w:rPr>
            </w:pPr>
            <w:r>
              <w:rPr>
                <w:b/>
                <w:sz w:val="20"/>
              </w:rPr>
              <w:t>Belgium</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7" w:line="215" w:lineRule="exact"/>
              <w:ind w:left="284"/>
              <w:jc w:val="left"/>
              <w:rPr>
                <w:sz w:val="20"/>
              </w:rPr>
            </w:pPr>
            <w:r>
              <w:rPr>
                <w:sz w:val="20"/>
              </w:rPr>
              <w:t>36.3</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Bulgaria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33.0</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Czechia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25.6</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Denmark</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18.1</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Germany</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32.4</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Estonia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20.6</w:t>
            </w:r>
          </w:p>
        </w:tc>
      </w:tr>
      <w:tr w:rsidR="005B1E95">
        <w:trPr>
          <w:trHeight w:val="242"/>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2" w:line="210" w:lineRule="exact"/>
              <w:ind w:left="138"/>
              <w:jc w:val="left"/>
              <w:rPr>
                <w:b/>
                <w:sz w:val="20"/>
              </w:rPr>
            </w:pPr>
            <w:r>
              <w:rPr>
                <w:b/>
                <w:sz w:val="20"/>
              </w:rPr>
              <w:t>Ireland</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7" w:line="215" w:lineRule="exact"/>
              <w:ind w:left="284"/>
              <w:jc w:val="left"/>
              <w:rPr>
                <w:sz w:val="20"/>
              </w:rPr>
            </w:pPr>
            <w:r>
              <w:rPr>
                <w:sz w:val="20"/>
              </w:rPr>
              <w:t>38.8</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Greece</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27.7</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Spain</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21.6</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France</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23.7</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Croatia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32.9</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Italy</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14.9</w:t>
            </w:r>
          </w:p>
        </w:tc>
      </w:tr>
      <w:tr w:rsidR="005B1E95">
        <w:trPr>
          <w:trHeight w:val="242"/>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2" w:line="210" w:lineRule="exact"/>
              <w:ind w:left="138"/>
              <w:jc w:val="left"/>
              <w:rPr>
                <w:b/>
                <w:sz w:val="20"/>
              </w:rPr>
            </w:pPr>
            <w:r>
              <w:rPr>
                <w:b/>
                <w:sz w:val="20"/>
              </w:rPr>
              <w:t>Cyprus</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7" w:line="215" w:lineRule="exact"/>
              <w:ind w:left="284"/>
              <w:jc w:val="left"/>
              <w:rPr>
                <w:sz w:val="20"/>
              </w:rPr>
            </w:pPr>
            <w:r>
              <w:rPr>
                <w:sz w:val="20"/>
              </w:rPr>
              <w:t>23.5</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Latvia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16.7</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Lithuania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22.7</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Luxembourg</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22.1</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Hungary</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31.2</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Malta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29.4</w:t>
            </w:r>
          </w:p>
        </w:tc>
      </w:tr>
      <w:tr w:rsidR="005B1E95">
        <w:trPr>
          <w:trHeight w:val="242"/>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2" w:line="210" w:lineRule="exact"/>
              <w:ind w:left="138"/>
              <w:jc w:val="left"/>
              <w:rPr>
                <w:b/>
                <w:sz w:val="20"/>
              </w:rPr>
            </w:pPr>
            <w:r>
              <w:rPr>
                <w:b/>
                <w:sz w:val="20"/>
              </w:rPr>
              <w:t>Netherlands</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7" w:line="215" w:lineRule="exact"/>
              <w:ind w:left="284"/>
              <w:jc w:val="left"/>
              <w:rPr>
                <w:sz w:val="20"/>
              </w:rPr>
            </w:pPr>
            <w:r>
              <w:rPr>
                <w:sz w:val="20"/>
              </w:rPr>
              <w:t>25.4</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Austria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20.5</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Poland</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31.3</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Portugal</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18.2</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Romania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30.4</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Slovenia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21.7</w:t>
            </w:r>
          </w:p>
        </w:tc>
      </w:tr>
      <w:tr w:rsidR="005B1E95">
        <w:trPr>
          <w:trHeight w:val="242"/>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2" w:line="210" w:lineRule="exact"/>
              <w:ind w:left="138"/>
              <w:jc w:val="left"/>
              <w:rPr>
                <w:b/>
                <w:sz w:val="20"/>
              </w:rPr>
            </w:pPr>
            <w:r>
              <w:rPr>
                <w:b/>
                <w:sz w:val="20"/>
              </w:rPr>
              <w:t>Slovakia</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7" w:line="215" w:lineRule="exact"/>
              <w:ind w:left="284"/>
              <w:jc w:val="left"/>
              <w:rPr>
                <w:sz w:val="20"/>
              </w:rPr>
            </w:pPr>
            <w:r>
              <w:rPr>
                <w:sz w:val="20"/>
              </w:rPr>
              <w:t>23.6</w:t>
            </w:r>
          </w:p>
        </w:tc>
      </w:tr>
      <w:tr w:rsidR="005B1E95">
        <w:trPr>
          <w:trHeight w:val="239"/>
        </w:trPr>
        <w:tc>
          <w:tcPr>
            <w:tcW w:w="1716" w:type="dxa"/>
            <w:tcBorders>
              <w:top w:val="single" w:sz="4" w:space="0" w:color="999999"/>
              <w:left w:val="nil"/>
              <w:bottom w:val="single" w:sz="4" w:space="0" w:color="999999"/>
              <w:right w:val="single" w:sz="4" w:space="0" w:color="999999"/>
            </w:tcBorders>
          </w:tcPr>
          <w:p w:rsidR="005B1E95" w:rsidRDefault="00526895">
            <w:pPr>
              <w:pStyle w:val="TableParagraph"/>
              <w:spacing w:before="10" w:line="210" w:lineRule="exact"/>
              <w:ind w:left="138"/>
              <w:jc w:val="left"/>
              <w:rPr>
                <w:b/>
                <w:sz w:val="20"/>
              </w:rPr>
            </w:pPr>
            <w:r>
              <w:rPr>
                <w:b/>
                <w:sz w:val="20"/>
              </w:rPr>
              <w:t>Finland</w:t>
            </w:r>
          </w:p>
        </w:tc>
        <w:tc>
          <w:tcPr>
            <w:tcW w:w="900" w:type="dxa"/>
            <w:tcBorders>
              <w:top w:val="single" w:sz="4" w:space="0" w:color="999999"/>
              <w:left w:val="single" w:sz="4" w:space="0" w:color="999999"/>
              <w:bottom w:val="single" w:sz="4" w:space="0" w:color="999999"/>
              <w:right w:val="nil"/>
            </w:tcBorders>
          </w:tcPr>
          <w:p w:rsidR="005B1E95" w:rsidRDefault="00526895">
            <w:pPr>
              <w:pStyle w:val="TableParagraph"/>
              <w:spacing w:before="5" w:line="215" w:lineRule="exact"/>
              <w:ind w:left="284"/>
              <w:jc w:val="left"/>
              <w:rPr>
                <w:sz w:val="20"/>
              </w:rPr>
            </w:pPr>
            <w:r>
              <w:rPr>
                <w:sz w:val="20"/>
              </w:rPr>
              <w:t>19.9</w:t>
            </w:r>
          </w:p>
        </w:tc>
      </w:tr>
      <w:tr w:rsidR="005B1E95">
        <w:trPr>
          <w:trHeight w:val="239"/>
        </w:trPr>
        <w:tc>
          <w:tcPr>
            <w:tcW w:w="1716" w:type="dxa"/>
            <w:tcBorders>
              <w:top w:val="single" w:sz="4" w:space="0" w:color="999999"/>
              <w:left w:val="nil"/>
              <w:right w:val="single" w:sz="4" w:space="0" w:color="999999"/>
            </w:tcBorders>
          </w:tcPr>
          <w:p w:rsidR="005B1E95" w:rsidRDefault="00526895">
            <w:pPr>
              <w:pStyle w:val="TableParagraph"/>
              <w:spacing w:before="10" w:line="209" w:lineRule="exact"/>
              <w:ind w:left="138"/>
              <w:jc w:val="left"/>
              <w:rPr>
                <w:b/>
                <w:sz w:val="20"/>
              </w:rPr>
            </w:pPr>
            <w:r>
              <w:rPr>
                <w:b/>
                <w:sz w:val="20"/>
              </w:rPr>
              <w:t>Sweden</w:t>
            </w:r>
          </w:p>
        </w:tc>
        <w:tc>
          <w:tcPr>
            <w:tcW w:w="900" w:type="dxa"/>
            <w:tcBorders>
              <w:top w:val="single" w:sz="4" w:space="0" w:color="999999"/>
              <w:left w:val="single" w:sz="4" w:space="0" w:color="999999"/>
              <w:right w:val="nil"/>
            </w:tcBorders>
          </w:tcPr>
          <w:p w:rsidR="005B1E95" w:rsidRDefault="00526895">
            <w:pPr>
              <w:pStyle w:val="TableParagraph"/>
              <w:spacing w:before="5" w:line="214" w:lineRule="exact"/>
              <w:ind w:left="284"/>
              <w:jc w:val="left"/>
              <w:rPr>
                <w:sz w:val="20"/>
              </w:rPr>
            </w:pPr>
            <w:r>
              <w:rPr>
                <w:sz w:val="20"/>
              </w:rPr>
              <w:t>28.9</w:t>
            </w:r>
          </w:p>
        </w:tc>
      </w:tr>
    </w:tbl>
    <w:p w:rsidR="005B1E95" w:rsidRDefault="005B1E95">
      <w:pPr>
        <w:spacing w:line="214" w:lineRule="exact"/>
        <w:rPr>
          <w:sz w:val="20"/>
        </w:rPr>
        <w:sectPr w:rsidR="005B1E95">
          <w:pgSz w:w="12240" w:h="15840"/>
          <w:pgMar w:top="1460" w:right="1200" w:bottom="1160" w:left="1300" w:header="0" w:footer="964" w:gutter="0"/>
          <w:cols w:space="720"/>
        </w:sectPr>
      </w:pPr>
    </w:p>
    <w:p w:rsidR="005B1E95" w:rsidRPr="00526895" w:rsidRDefault="00526895">
      <w:pPr>
        <w:spacing w:before="75"/>
        <w:ind w:left="140"/>
        <w:rPr>
          <w:sz w:val="18"/>
          <w:lang w:val="fr-BE"/>
        </w:rPr>
      </w:pPr>
      <w:r w:rsidRPr="00526895">
        <w:rPr>
          <w:sz w:val="18"/>
          <w:lang w:val="fr-BE"/>
        </w:rPr>
        <w:lastRenderedPageBreak/>
        <w:t>Source:</w:t>
      </w:r>
      <w:r w:rsidRPr="00526895">
        <w:rPr>
          <w:spacing w:val="-3"/>
          <w:sz w:val="18"/>
          <w:lang w:val="fr-BE"/>
        </w:rPr>
        <w:t xml:space="preserve"> </w:t>
      </w:r>
      <w:r w:rsidRPr="00526895">
        <w:rPr>
          <w:sz w:val="18"/>
          <w:lang w:val="fr-BE"/>
        </w:rPr>
        <w:t>Eurostat</w:t>
      </w:r>
      <w:r w:rsidRPr="00526895">
        <w:rPr>
          <w:spacing w:val="-4"/>
          <w:sz w:val="18"/>
          <w:lang w:val="fr-BE"/>
        </w:rPr>
        <w:t xml:space="preserve"> </w:t>
      </w:r>
      <w:r w:rsidRPr="00526895">
        <w:rPr>
          <w:sz w:val="18"/>
          <w:lang w:val="fr-BE"/>
        </w:rPr>
        <w:t>database,</w:t>
      </w:r>
      <w:r w:rsidRPr="00526895">
        <w:rPr>
          <w:spacing w:val="-3"/>
          <w:sz w:val="18"/>
          <w:lang w:val="fr-BE"/>
        </w:rPr>
        <w:t xml:space="preserve"> </w:t>
      </w:r>
      <w:r w:rsidRPr="00526895">
        <w:rPr>
          <w:sz w:val="18"/>
          <w:lang w:val="fr-BE"/>
        </w:rPr>
        <w:t>EU-SILC</w:t>
      </w:r>
      <w:r w:rsidRPr="00526895">
        <w:rPr>
          <w:spacing w:val="-3"/>
          <w:sz w:val="18"/>
          <w:lang w:val="fr-BE"/>
        </w:rPr>
        <w:t xml:space="preserve"> </w:t>
      </w:r>
      <w:r w:rsidRPr="00526895">
        <w:rPr>
          <w:sz w:val="18"/>
          <w:lang w:val="fr-BE"/>
        </w:rPr>
        <w:t>dataset</w:t>
      </w:r>
      <w:r w:rsidRPr="00526895">
        <w:rPr>
          <w:spacing w:val="2"/>
          <w:sz w:val="18"/>
          <w:lang w:val="fr-BE"/>
        </w:rPr>
        <w:t xml:space="preserve"> </w:t>
      </w:r>
      <w:r w:rsidRPr="00526895">
        <w:rPr>
          <w:color w:val="0562C1"/>
          <w:sz w:val="18"/>
          <w:u w:val="single" w:color="0562C1"/>
          <w:lang w:val="fr-BE"/>
        </w:rPr>
        <w:t>hlth_dlm200</w:t>
      </w:r>
    </w:p>
    <w:p w:rsidR="005B1E95" w:rsidRPr="00526895" w:rsidRDefault="005B1E95">
      <w:pPr>
        <w:pStyle w:val="BodyText"/>
        <w:ind w:left="0"/>
        <w:rPr>
          <w:lang w:val="fr-BE"/>
        </w:rPr>
      </w:pPr>
    </w:p>
    <w:p w:rsidR="005B1E95" w:rsidRPr="00526895" w:rsidRDefault="005B1E95">
      <w:pPr>
        <w:pStyle w:val="BodyText"/>
        <w:spacing w:before="9"/>
        <w:ind w:left="0"/>
        <w:rPr>
          <w:sz w:val="17"/>
          <w:lang w:val="fr-BE"/>
        </w:rPr>
      </w:pPr>
    </w:p>
    <w:p w:rsidR="005B1E95" w:rsidRDefault="00526895">
      <w:pPr>
        <w:pStyle w:val="Heading3"/>
        <w:spacing w:before="90"/>
      </w:pPr>
      <w:r>
        <w:t>Table</w:t>
      </w:r>
      <w:r>
        <w:rPr>
          <w:spacing w:val="-4"/>
        </w:rPr>
        <w:t xml:space="preserve"> </w:t>
      </w:r>
      <w:r>
        <w:t>B.2:</w:t>
      </w:r>
      <w:r>
        <w:rPr>
          <w:spacing w:val="-4"/>
        </w:rPr>
        <w:t xml:space="preserve"> </w:t>
      </w:r>
      <w:r>
        <w:t>Persons</w:t>
      </w:r>
      <w:r>
        <w:rPr>
          <w:spacing w:val="-2"/>
        </w:rPr>
        <w:t xml:space="preserve"> </w:t>
      </w:r>
      <w:r>
        <w:t>aged</w:t>
      </w:r>
      <w:r>
        <w:rPr>
          <w:spacing w:val="1"/>
        </w:rPr>
        <w:t xml:space="preserve"> </w:t>
      </w:r>
      <w:r>
        <w:t>20-64</w:t>
      </w:r>
      <w:r>
        <w:rPr>
          <w:spacing w:val="1"/>
        </w:rPr>
        <w:t xml:space="preserve"> </w:t>
      </w:r>
      <w:r>
        <w:t>who</w:t>
      </w:r>
      <w:r>
        <w:rPr>
          <w:spacing w:val="-2"/>
        </w:rPr>
        <w:t xml:space="preserve"> </w:t>
      </w:r>
      <w:r>
        <w:t>are</w:t>
      </w:r>
      <w:r>
        <w:rPr>
          <w:spacing w:val="-4"/>
        </w:rPr>
        <w:t xml:space="preserve"> </w:t>
      </w:r>
      <w:r>
        <w:t>employed,</w:t>
      </w:r>
      <w:r>
        <w:rPr>
          <w:spacing w:val="-2"/>
        </w:rPr>
        <w:t xml:space="preserve"> </w:t>
      </w:r>
      <w:r>
        <w:t>EU</w:t>
      </w:r>
      <w:r>
        <w:rPr>
          <w:spacing w:val="-3"/>
        </w:rPr>
        <w:t xml:space="preserve"> </w:t>
      </w:r>
      <w:r>
        <w:t>level,</w:t>
      </w:r>
      <w:r>
        <w:rPr>
          <w:spacing w:val="-2"/>
        </w:rPr>
        <w:t xml:space="preserve"> </w:t>
      </w:r>
      <w:r>
        <w:t>2020,</w:t>
      </w:r>
      <w:r>
        <w:rPr>
          <w:spacing w:val="-2"/>
        </w:rPr>
        <w:t xml:space="preserve"> </w:t>
      </w:r>
      <w:r>
        <w:t>%</w:t>
      </w:r>
    </w:p>
    <w:p w:rsidR="005B1E95" w:rsidRDefault="005B1E95">
      <w:pPr>
        <w:pStyle w:val="BodyText"/>
        <w:spacing w:before="5"/>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46"/>
        <w:gridCol w:w="1848"/>
        <w:gridCol w:w="1910"/>
        <w:gridCol w:w="1972"/>
      </w:tblGrid>
      <w:tr w:rsidR="005B1E95">
        <w:trPr>
          <w:trHeight w:val="315"/>
        </w:trPr>
        <w:tc>
          <w:tcPr>
            <w:tcW w:w="3446" w:type="dxa"/>
            <w:tcBorders>
              <w:left w:val="nil"/>
              <w:right w:val="single" w:sz="4" w:space="0" w:color="000000"/>
            </w:tcBorders>
          </w:tcPr>
          <w:p w:rsidR="005B1E95" w:rsidRDefault="005B1E95">
            <w:pPr>
              <w:pStyle w:val="TableParagraph"/>
              <w:ind w:left="0"/>
              <w:jc w:val="left"/>
              <w:rPr>
                <w:sz w:val="18"/>
              </w:rPr>
            </w:pPr>
          </w:p>
        </w:tc>
        <w:tc>
          <w:tcPr>
            <w:tcW w:w="1848" w:type="dxa"/>
            <w:tcBorders>
              <w:left w:val="single" w:sz="4" w:space="0" w:color="000000"/>
              <w:right w:val="single" w:sz="4" w:space="0" w:color="000000"/>
            </w:tcBorders>
          </w:tcPr>
          <w:p w:rsidR="005B1E95" w:rsidRDefault="00526895">
            <w:pPr>
              <w:pStyle w:val="TableParagraph"/>
              <w:spacing w:before="48"/>
              <w:ind w:left="319"/>
              <w:jc w:val="left"/>
              <w:rPr>
                <w:b/>
                <w:sz w:val="20"/>
              </w:rPr>
            </w:pPr>
            <w:r>
              <w:rPr>
                <w:b/>
                <w:sz w:val="20"/>
              </w:rPr>
              <w:t>Not</w:t>
            </w:r>
            <w:r>
              <w:rPr>
                <w:b/>
                <w:spacing w:val="-2"/>
                <w:sz w:val="20"/>
              </w:rPr>
              <w:t xml:space="preserve"> </w:t>
            </w:r>
            <w:r>
              <w:rPr>
                <w:b/>
                <w:sz w:val="20"/>
              </w:rPr>
              <w:t>Employed</w:t>
            </w:r>
          </w:p>
        </w:tc>
        <w:tc>
          <w:tcPr>
            <w:tcW w:w="1910" w:type="dxa"/>
            <w:tcBorders>
              <w:left w:val="single" w:sz="4" w:space="0" w:color="000000"/>
              <w:right w:val="single" w:sz="4" w:space="0" w:color="000000"/>
            </w:tcBorders>
          </w:tcPr>
          <w:p w:rsidR="005B1E95" w:rsidRDefault="00526895">
            <w:pPr>
              <w:pStyle w:val="TableParagraph"/>
              <w:spacing w:before="48"/>
              <w:ind w:left="528"/>
              <w:jc w:val="left"/>
              <w:rPr>
                <w:b/>
                <w:sz w:val="20"/>
              </w:rPr>
            </w:pPr>
            <w:r>
              <w:rPr>
                <w:b/>
                <w:sz w:val="20"/>
              </w:rPr>
              <w:t>Employed</w:t>
            </w:r>
          </w:p>
        </w:tc>
        <w:tc>
          <w:tcPr>
            <w:tcW w:w="1972" w:type="dxa"/>
            <w:tcBorders>
              <w:left w:val="single" w:sz="4" w:space="0" w:color="000000"/>
              <w:right w:val="nil"/>
            </w:tcBorders>
          </w:tcPr>
          <w:p w:rsidR="005B1E95" w:rsidRDefault="00526895">
            <w:pPr>
              <w:pStyle w:val="TableParagraph"/>
              <w:spacing w:before="48"/>
              <w:ind w:left="746" w:right="724"/>
              <w:rPr>
                <w:b/>
                <w:sz w:val="20"/>
              </w:rPr>
            </w:pPr>
            <w:r>
              <w:rPr>
                <w:b/>
                <w:sz w:val="20"/>
              </w:rPr>
              <w:t>Total</w:t>
            </w:r>
          </w:p>
        </w:tc>
      </w:tr>
    </w:tbl>
    <w:p w:rsidR="005B1E95" w:rsidRDefault="00526895">
      <w:pPr>
        <w:pStyle w:val="BodyText"/>
        <w:spacing w:before="46" w:after="43"/>
        <w:ind w:left="2030" w:right="2107"/>
        <w:jc w:val="center"/>
      </w:pPr>
      <w:r>
        <w:t>Number</w:t>
      </w:r>
      <w:r>
        <w:rPr>
          <w:spacing w:val="-1"/>
        </w:rPr>
        <w:t xml:space="preserve"> </w:t>
      </w:r>
      <w:r>
        <w:t>in</w:t>
      </w:r>
      <w:r>
        <w:rPr>
          <w:spacing w:val="-3"/>
        </w:rPr>
        <w:t xml:space="preserve"> </w:t>
      </w:r>
      <w:r>
        <w:t>Millions</w:t>
      </w:r>
      <w:r>
        <w:rPr>
          <w:spacing w:val="-3"/>
        </w:rPr>
        <w:t xml:space="preserve"> </w:t>
      </w:r>
      <w:r>
        <w:t>(1</w:t>
      </w:r>
      <w:r>
        <w:rPr>
          <w:spacing w:val="-1"/>
        </w:rPr>
        <w:t xml:space="preserve"> </w:t>
      </w:r>
      <w:r>
        <w:t>000</w:t>
      </w:r>
      <w:r>
        <w:rPr>
          <w:spacing w:val="-3"/>
        </w:rPr>
        <w:t xml:space="preserve"> </w:t>
      </w:r>
      <w:r>
        <w:t>000)</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46"/>
        <w:gridCol w:w="1848"/>
        <w:gridCol w:w="1910"/>
        <w:gridCol w:w="1972"/>
      </w:tblGrid>
      <w:tr w:rsidR="005B1E95">
        <w:trPr>
          <w:trHeight w:val="318"/>
        </w:trPr>
        <w:tc>
          <w:tcPr>
            <w:tcW w:w="3446" w:type="dxa"/>
            <w:tcBorders>
              <w:left w:val="nil"/>
              <w:bottom w:val="single" w:sz="4" w:space="0" w:color="000000"/>
              <w:right w:val="single" w:sz="4" w:space="0" w:color="000000"/>
            </w:tcBorders>
          </w:tcPr>
          <w:p w:rsidR="005B1E95" w:rsidRDefault="00526895">
            <w:pPr>
              <w:pStyle w:val="TableParagraph"/>
              <w:spacing w:before="50"/>
              <w:ind w:left="141"/>
              <w:jc w:val="left"/>
              <w:rPr>
                <w:b/>
                <w:sz w:val="20"/>
              </w:rPr>
            </w:pPr>
            <w:r>
              <w:rPr>
                <w:b/>
                <w:sz w:val="20"/>
              </w:rPr>
              <w:t>Persons</w:t>
            </w:r>
            <w:r>
              <w:rPr>
                <w:b/>
                <w:spacing w:val="-5"/>
                <w:sz w:val="20"/>
              </w:rPr>
              <w:t xml:space="preserve"> </w:t>
            </w:r>
            <w:r>
              <w:rPr>
                <w:b/>
                <w:sz w:val="20"/>
              </w:rPr>
              <w:t>without</w:t>
            </w:r>
            <w:r>
              <w:rPr>
                <w:b/>
                <w:spacing w:val="-2"/>
                <w:sz w:val="20"/>
              </w:rPr>
              <w:t xml:space="preserve"> </w:t>
            </w:r>
            <w:r>
              <w:rPr>
                <w:b/>
                <w:sz w:val="20"/>
              </w:rPr>
              <w:t>disabilities</w:t>
            </w:r>
          </w:p>
        </w:tc>
        <w:tc>
          <w:tcPr>
            <w:tcW w:w="1848" w:type="dxa"/>
            <w:tcBorders>
              <w:left w:val="single" w:sz="4" w:space="0" w:color="000000"/>
              <w:bottom w:val="single" w:sz="4" w:space="0" w:color="000000"/>
              <w:right w:val="single" w:sz="4" w:space="0" w:color="000000"/>
            </w:tcBorders>
          </w:tcPr>
          <w:p w:rsidR="005B1E95" w:rsidRDefault="00526895">
            <w:pPr>
              <w:pStyle w:val="TableParagraph"/>
              <w:spacing w:before="45"/>
              <w:ind w:left="0" w:right="725"/>
              <w:jc w:val="right"/>
              <w:rPr>
                <w:sz w:val="20"/>
              </w:rPr>
            </w:pPr>
            <w:r>
              <w:rPr>
                <w:sz w:val="20"/>
              </w:rPr>
              <w:t>51.3</w:t>
            </w:r>
          </w:p>
        </w:tc>
        <w:tc>
          <w:tcPr>
            <w:tcW w:w="1910" w:type="dxa"/>
            <w:tcBorders>
              <w:left w:val="single" w:sz="4" w:space="0" w:color="000000"/>
              <w:bottom w:val="single" w:sz="4" w:space="0" w:color="000000"/>
              <w:right w:val="single" w:sz="4" w:space="0" w:color="000000"/>
            </w:tcBorders>
          </w:tcPr>
          <w:p w:rsidR="005B1E95" w:rsidRDefault="00526895">
            <w:pPr>
              <w:pStyle w:val="TableParagraph"/>
              <w:spacing w:before="45"/>
              <w:ind w:left="717" w:right="691"/>
              <w:rPr>
                <w:sz w:val="20"/>
              </w:rPr>
            </w:pPr>
            <w:r>
              <w:rPr>
                <w:sz w:val="20"/>
              </w:rPr>
              <w:t>154.8</w:t>
            </w:r>
          </w:p>
        </w:tc>
        <w:tc>
          <w:tcPr>
            <w:tcW w:w="1972" w:type="dxa"/>
            <w:tcBorders>
              <w:left w:val="single" w:sz="4" w:space="0" w:color="000000"/>
              <w:bottom w:val="single" w:sz="4" w:space="0" w:color="000000"/>
              <w:right w:val="nil"/>
            </w:tcBorders>
          </w:tcPr>
          <w:p w:rsidR="005B1E95" w:rsidRDefault="00526895">
            <w:pPr>
              <w:pStyle w:val="TableParagraph"/>
              <w:spacing w:before="45"/>
              <w:ind w:left="746" w:right="722"/>
              <w:rPr>
                <w:sz w:val="20"/>
              </w:rPr>
            </w:pPr>
            <w:r>
              <w:rPr>
                <w:sz w:val="20"/>
              </w:rPr>
              <w:t>206.2</w:t>
            </w:r>
          </w:p>
        </w:tc>
      </w:tr>
      <w:tr w:rsidR="005B1E95">
        <w:trPr>
          <w:trHeight w:val="316"/>
        </w:trPr>
        <w:tc>
          <w:tcPr>
            <w:tcW w:w="3446" w:type="dxa"/>
            <w:tcBorders>
              <w:top w:val="single" w:sz="4" w:space="0" w:color="000000"/>
              <w:left w:val="nil"/>
              <w:bottom w:val="single" w:sz="4" w:space="0" w:color="000000"/>
              <w:right w:val="single" w:sz="4" w:space="0" w:color="000000"/>
            </w:tcBorders>
          </w:tcPr>
          <w:p w:rsidR="005B1E95" w:rsidRDefault="00526895">
            <w:pPr>
              <w:pStyle w:val="TableParagraph"/>
              <w:spacing w:before="48"/>
              <w:ind w:left="141"/>
              <w:jc w:val="left"/>
              <w:rPr>
                <w:b/>
                <w:sz w:val="20"/>
              </w:rPr>
            </w:pPr>
            <w:r>
              <w:rPr>
                <w:b/>
                <w:sz w:val="20"/>
              </w:rPr>
              <w:t>Persons</w:t>
            </w:r>
            <w:r>
              <w:rPr>
                <w:b/>
                <w:spacing w:val="-3"/>
                <w:sz w:val="20"/>
              </w:rPr>
              <w:t xml:space="preserve"> </w:t>
            </w:r>
            <w:r>
              <w:rPr>
                <w:b/>
                <w:sz w:val="20"/>
              </w:rPr>
              <w:t>with</w:t>
            </w:r>
            <w:r>
              <w:rPr>
                <w:b/>
                <w:spacing w:val="-3"/>
                <w:sz w:val="20"/>
              </w:rPr>
              <w:t xml:space="preserve"> </w:t>
            </w:r>
            <w:r>
              <w:rPr>
                <w:b/>
                <w:sz w:val="20"/>
              </w:rPr>
              <w:t>disabilities</w:t>
            </w:r>
          </w:p>
        </w:tc>
        <w:tc>
          <w:tcPr>
            <w:tcW w:w="1848" w:type="dxa"/>
            <w:tcBorders>
              <w:top w:val="single" w:sz="4" w:space="0" w:color="000000"/>
              <w:left w:val="single" w:sz="4" w:space="0" w:color="000000"/>
              <w:bottom w:val="single" w:sz="4" w:space="0" w:color="000000"/>
              <w:right w:val="single" w:sz="4" w:space="0" w:color="000000"/>
            </w:tcBorders>
          </w:tcPr>
          <w:p w:rsidR="005B1E95" w:rsidRDefault="00526895">
            <w:pPr>
              <w:pStyle w:val="TableParagraph"/>
              <w:spacing w:before="43"/>
              <w:ind w:left="0" w:right="725"/>
              <w:jc w:val="right"/>
              <w:rPr>
                <w:sz w:val="20"/>
              </w:rPr>
            </w:pPr>
            <w:r>
              <w:rPr>
                <w:sz w:val="20"/>
              </w:rPr>
              <w:t>21.6</w:t>
            </w:r>
          </w:p>
        </w:tc>
        <w:tc>
          <w:tcPr>
            <w:tcW w:w="1910" w:type="dxa"/>
            <w:tcBorders>
              <w:top w:val="single" w:sz="4" w:space="0" w:color="000000"/>
              <w:left w:val="single" w:sz="4" w:space="0" w:color="000000"/>
              <w:bottom w:val="single" w:sz="4" w:space="0" w:color="000000"/>
              <w:right w:val="single" w:sz="4" w:space="0" w:color="000000"/>
            </w:tcBorders>
          </w:tcPr>
          <w:p w:rsidR="005B1E95" w:rsidRDefault="00526895">
            <w:pPr>
              <w:pStyle w:val="TableParagraph"/>
              <w:spacing w:before="43"/>
              <w:ind w:left="717" w:right="691"/>
              <w:rPr>
                <w:sz w:val="20"/>
              </w:rPr>
            </w:pPr>
            <w:r>
              <w:rPr>
                <w:sz w:val="20"/>
              </w:rPr>
              <w:t>22.2</w:t>
            </w:r>
          </w:p>
        </w:tc>
        <w:tc>
          <w:tcPr>
            <w:tcW w:w="1972" w:type="dxa"/>
            <w:tcBorders>
              <w:top w:val="single" w:sz="4" w:space="0" w:color="000000"/>
              <w:left w:val="single" w:sz="4" w:space="0" w:color="000000"/>
              <w:bottom w:val="single" w:sz="4" w:space="0" w:color="000000"/>
              <w:right w:val="nil"/>
            </w:tcBorders>
          </w:tcPr>
          <w:p w:rsidR="005B1E95" w:rsidRDefault="00526895">
            <w:pPr>
              <w:pStyle w:val="TableParagraph"/>
              <w:spacing w:before="43"/>
              <w:ind w:left="746" w:right="720"/>
              <w:rPr>
                <w:sz w:val="20"/>
              </w:rPr>
            </w:pPr>
            <w:r>
              <w:rPr>
                <w:sz w:val="20"/>
              </w:rPr>
              <w:t>43.7</w:t>
            </w:r>
          </w:p>
        </w:tc>
      </w:tr>
      <w:tr w:rsidR="005B1E95">
        <w:trPr>
          <w:trHeight w:val="316"/>
        </w:trPr>
        <w:tc>
          <w:tcPr>
            <w:tcW w:w="3446" w:type="dxa"/>
            <w:tcBorders>
              <w:top w:val="single" w:sz="4" w:space="0" w:color="000000"/>
              <w:left w:val="nil"/>
              <w:right w:val="single" w:sz="4" w:space="0" w:color="000000"/>
            </w:tcBorders>
          </w:tcPr>
          <w:p w:rsidR="005B1E95" w:rsidRDefault="00526895">
            <w:pPr>
              <w:pStyle w:val="TableParagraph"/>
              <w:spacing w:before="48"/>
              <w:ind w:left="141"/>
              <w:jc w:val="left"/>
              <w:rPr>
                <w:b/>
                <w:sz w:val="20"/>
              </w:rPr>
            </w:pPr>
            <w:r>
              <w:rPr>
                <w:b/>
                <w:sz w:val="20"/>
              </w:rPr>
              <w:t>Total</w:t>
            </w:r>
          </w:p>
        </w:tc>
        <w:tc>
          <w:tcPr>
            <w:tcW w:w="1848" w:type="dxa"/>
            <w:tcBorders>
              <w:top w:val="single" w:sz="4" w:space="0" w:color="000000"/>
              <w:left w:val="single" w:sz="4" w:space="0" w:color="000000"/>
              <w:right w:val="single" w:sz="4" w:space="0" w:color="000000"/>
            </w:tcBorders>
          </w:tcPr>
          <w:p w:rsidR="005B1E95" w:rsidRDefault="00526895">
            <w:pPr>
              <w:pStyle w:val="TableParagraph"/>
              <w:spacing w:before="43"/>
              <w:ind w:left="0" w:right="725"/>
              <w:jc w:val="right"/>
              <w:rPr>
                <w:sz w:val="20"/>
              </w:rPr>
            </w:pPr>
            <w:r>
              <w:rPr>
                <w:sz w:val="20"/>
              </w:rPr>
              <w:t>72.9</w:t>
            </w:r>
          </w:p>
        </w:tc>
        <w:tc>
          <w:tcPr>
            <w:tcW w:w="1910" w:type="dxa"/>
            <w:tcBorders>
              <w:top w:val="single" w:sz="4" w:space="0" w:color="000000"/>
              <w:left w:val="single" w:sz="4" w:space="0" w:color="000000"/>
              <w:right w:val="single" w:sz="4" w:space="0" w:color="000000"/>
            </w:tcBorders>
          </w:tcPr>
          <w:p w:rsidR="005B1E95" w:rsidRDefault="00526895">
            <w:pPr>
              <w:pStyle w:val="TableParagraph"/>
              <w:spacing w:before="43"/>
              <w:ind w:left="717" w:right="692"/>
              <w:rPr>
                <w:sz w:val="20"/>
              </w:rPr>
            </w:pPr>
            <w:r>
              <w:rPr>
                <w:sz w:val="20"/>
              </w:rPr>
              <w:t>177.0</w:t>
            </w:r>
          </w:p>
        </w:tc>
        <w:tc>
          <w:tcPr>
            <w:tcW w:w="1972" w:type="dxa"/>
            <w:tcBorders>
              <w:top w:val="single" w:sz="4" w:space="0" w:color="000000"/>
              <w:left w:val="single" w:sz="4" w:space="0" w:color="000000"/>
              <w:right w:val="nil"/>
            </w:tcBorders>
          </w:tcPr>
          <w:p w:rsidR="005B1E95" w:rsidRDefault="00526895">
            <w:pPr>
              <w:pStyle w:val="TableParagraph"/>
              <w:spacing w:before="43"/>
              <w:ind w:left="746" w:right="720"/>
              <w:rPr>
                <w:sz w:val="20"/>
              </w:rPr>
            </w:pPr>
            <w:r>
              <w:rPr>
                <w:sz w:val="20"/>
              </w:rPr>
              <w:t>249.9</w:t>
            </w:r>
          </w:p>
        </w:tc>
      </w:tr>
    </w:tbl>
    <w:p w:rsidR="005B1E95" w:rsidRDefault="00526895">
      <w:pPr>
        <w:pStyle w:val="BodyText"/>
        <w:spacing w:before="46" w:after="43"/>
        <w:ind w:left="2030" w:right="2105"/>
        <w:jc w:val="center"/>
      </w:pPr>
      <w:r>
        <w:t>Percent</w:t>
      </w:r>
      <w:r>
        <w:rPr>
          <w:spacing w:val="-2"/>
        </w:rPr>
        <w:t xml:space="preserve"> </w:t>
      </w:r>
      <w:r>
        <w:t>(%)</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46"/>
        <w:gridCol w:w="1848"/>
        <w:gridCol w:w="1910"/>
        <w:gridCol w:w="1972"/>
      </w:tblGrid>
      <w:tr w:rsidR="005B1E95">
        <w:trPr>
          <w:trHeight w:val="315"/>
        </w:trPr>
        <w:tc>
          <w:tcPr>
            <w:tcW w:w="3446" w:type="dxa"/>
            <w:tcBorders>
              <w:left w:val="nil"/>
              <w:bottom w:val="single" w:sz="4" w:space="0" w:color="000000"/>
              <w:right w:val="single" w:sz="4" w:space="0" w:color="000000"/>
            </w:tcBorders>
          </w:tcPr>
          <w:p w:rsidR="005B1E95" w:rsidRDefault="00526895">
            <w:pPr>
              <w:pStyle w:val="TableParagraph"/>
              <w:spacing w:before="48"/>
              <w:ind w:left="141"/>
              <w:jc w:val="left"/>
              <w:rPr>
                <w:b/>
                <w:sz w:val="20"/>
              </w:rPr>
            </w:pPr>
            <w:r>
              <w:rPr>
                <w:b/>
                <w:sz w:val="20"/>
              </w:rPr>
              <w:t>Persons</w:t>
            </w:r>
            <w:r>
              <w:rPr>
                <w:b/>
                <w:spacing w:val="-5"/>
                <w:sz w:val="20"/>
              </w:rPr>
              <w:t xml:space="preserve"> </w:t>
            </w:r>
            <w:r>
              <w:rPr>
                <w:b/>
                <w:sz w:val="20"/>
              </w:rPr>
              <w:t>without</w:t>
            </w:r>
            <w:r>
              <w:rPr>
                <w:b/>
                <w:spacing w:val="-2"/>
                <w:sz w:val="20"/>
              </w:rPr>
              <w:t xml:space="preserve"> </w:t>
            </w:r>
            <w:r>
              <w:rPr>
                <w:b/>
                <w:sz w:val="20"/>
              </w:rPr>
              <w:t>disabilities</w:t>
            </w:r>
          </w:p>
        </w:tc>
        <w:tc>
          <w:tcPr>
            <w:tcW w:w="1848" w:type="dxa"/>
            <w:tcBorders>
              <w:left w:val="single" w:sz="4" w:space="0" w:color="000000"/>
              <w:bottom w:val="single" w:sz="4" w:space="0" w:color="000000"/>
              <w:right w:val="single" w:sz="4" w:space="0" w:color="000000"/>
            </w:tcBorders>
          </w:tcPr>
          <w:p w:rsidR="005B1E95" w:rsidRDefault="00526895">
            <w:pPr>
              <w:pStyle w:val="TableParagraph"/>
              <w:spacing w:before="43"/>
              <w:ind w:left="0" w:right="725"/>
              <w:jc w:val="right"/>
              <w:rPr>
                <w:sz w:val="20"/>
              </w:rPr>
            </w:pPr>
            <w:r>
              <w:rPr>
                <w:sz w:val="20"/>
              </w:rPr>
              <w:t>24.9</w:t>
            </w:r>
          </w:p>
        </w:tc>
        <w:tc>
          <w:tcPr>
            <w:tcW w:w="1910" w:type="dxa"/>
            <w:tcBorders>
              <w:left w:val="single" w:sz="4" w:space="0" w:color="000000"/>
              <w:bottom w:val="single" w:sz="4" w:space="0" w:color="000000"/>
              <w:right w:val="single" w:sz="4" w:space="0" w:color="000000"/>
            </w:tcBorders>
          </w:tcPr>
          <w:p w:rsidR="005B1E95" w:rsidRDefault="00526895">
            <w:pPr>
              <w:pStyle w:val="TableParagraph"/>
              <w:spacing w:before="43"/>
              <w:ind w:left="717" w:right="691"/>
              <w:rPr>
                <w:sz w:val="20"/>
              </w:rPr>
            </w:pPr>
            <w:r>
              <w:rPr>
                <w:sz w:val="20"/>
              </w:rPr>
              <w:t>75.1</w:t>
            </w:r>
          </w:p>
        </w:tc>
        <w:tc>
          <w:tcPr>
            <w:tcW w:w="1972" w:type="dxa"/>
            <w:tcBorders>
              <w:left w:val="single" w:sz="4" w:space="0" w:color="000000"/>
              <w:bottom w:val="single" w:sz="4" w:space="0" w:color="000000"/>
              <w:right w:val="nil"/>
            </w:tcBorders>
          </w:tcPr>
          <w:p w:rsidR="005B1E95" w:rsidRDefault="00526895">
            <w:pPr>
              <w:pStyle w:val="TableParagraph"/>
              <w:spacing w:before="43"/>
              <w:ind w:left="746" w:right="720"/>
              <w:rPr>
                <w:sz w:val="20"/>
              </w:rPr>
            </w:pPr>
            <w:r>
              <w:rPr>
                <w:sz w:val="20"/>
              </w:rPr>
              <w:t>100.0</w:t>
            </w:r>
          </w:p>
        </w:tc>
      </w:tr>
      <w:tr w:rsidR="005B1E95">
        <w:trPr>
          <w:trHeight w:val="316"/>
        </w:trPr>
        <w:tc>
          <w:tcPr>
            <w:tcW w:w="3446" w:type="dxa"/>
            <w:tcBorders>
              <w:top w:val="single" w:sz="4" w:space="0" w:color="000000"/>
              <w:left w:val="nil"/>
              <w:bottom w:val="single" w:sz="4" w:space="0" w:color="000000"/>
              <w:right w:val="single" w:sz="4" w:space="0" w:color="000000"/>
            </w:tcBorders>
          </w:tcPr>
          <w:p w:rsidR="005B1E95" w:rsidRDefault="00526895">
            <w:pPr>
              <w:pStyle w:val="TableParagraph"/>
              <w:spacing w:before="48"/>
              <w:ind w:left="141"/>
              <w:jc w:val="left"/>
              <w:rPr>
                <w:b/>
                <w:sz w:val="20"/>
              </w:rPr>
            </w:pPr>
            <w:r>
              <w:rPr>
                <w:b/>
                <w:sz w:val="20"/>
              </w:rPr>
              <w:t>Persons</w:t>
            </w:r>
            <w:r>
              <w:rPr>
                <w:b/>
                <w:spacing w:val="-3"/>
                <w:sz w:val="20"/>
              </w:rPr>
              <w:t xml:space="preserve"> </w:t>
            </w:r>
            <w:r>
              <w:rPr>
                <w:b/>
                <w:sz w:val="20"/>
              </w:rPr>
              <w:t>with</w:t>
            </w:r>
            <w:r>
              <w:rPr>
                <w:b/>
                <w:spacing w:val="-3"/>
                <w:sz w:val="20"/>
              </w:rPr>
              <w:t xml:space="preserve"> </w:t>
            </w:r>
            <w:r>
              <w:rPr>
                <w:b/>
                <w:sz w:val="20"/>
              </w:rPr>
              <w:t>disabilities</w:t>
            </w:r>
          </w:p>
        </w:tc>
        <w:tc>
          <w:tcPr>
            <w:tcW w:w="1848" w:type="dxa"/>
            <w:tcBorders>
              <w:top w:val="single" w:sz="4" w:space="0" w:color="000000"/>
              <w:left w:val="single" w:sz="4" w:space="0" w:color="000000"/>
              <w:bottom w:val="single" w:sz="4" w:space="0" w:color="000000"/>
              <w:right w:val="single" w:sz="4" w:space="0" w:color="000000"/>
            </w:tcBorders>
          </w:tcPr>
          <w:p w:rsidR="005B1E95" w:rsidRDefault="00526895">
            <w:pPr>
              <w:pStyle w:val="TableParagraph"/>
              <w:spacing w:before="43"/>
              <w:ind w:left="0" w:right="725"/>
              <w:jc w:val="right"/>
              <w:rPr>
                <w:sz w:val="20"/>
              </w:rPr>
            </w:pPr>
            <w:r>
              <w:rPr>
                <w:sz w:val="20"/>
              </w:rPr>
              <w:t>49.3</w:t>
            </w:r>
          </w:p>
        </w:tc>
        <w:tc>
          <w:tcPr>
            <w:tcW w:w="1910" w:type="dxa"/>
            <w:tcBorders>
              <w:top w:val="single" w:sz="4" w:space="0" w:color="000000"/>
              <w:left w:val="single" w:sz="4" w:space="0" w:color="000000"/>
              <w:bottom w:val="single" w:sz="4" w:space="0" w:color="000000"/>
              <w:right w:val="single" w:sz="4" w:space="0" w:color="000000"/>
            </w:tcBorders>
          </w:tcPr>
          <w:p w:rsidR="005B1E95" w:rsidRDefault="00526895">
            <w:pPr>
              <w:pStyle w:val="TableParagraph"/>
              <w:spacing w:before="43"/>
              <w:ind w:left="717" w:right="691"/>
              <w:rPr>
                <w:sz w:val="20"/>
              </w:rPr>
            </w:pPr>
            <w:r>
              <w:rPr>
                <w:sz w:val="20"/>
              </w:rPr>
              <w:t>50.7</w:t>
            </w:r>
          </w:p>
        </w:tc>
        <w:tc>
          <w:tcPr>
            <w:tcW w:w="1972" w:type="dxa"/>
            <w:tcBorders>
              <w:top w:val="single" w:sz="4" w:space="0" w:color="000000"/>
              <w:left w:val="single" w:sz="4" w:space="0" w:color="000000"/>
              <w:bottom w:val="single" w:sz="4" w:space="0" w:color="000000"/>
              <w:right w:val="nil"/>
            </w:tcBorders>
          </w:tcPr>
          <w:p w:rsidR="005B1E95" w:rsidRDefault="00526895">
            <w:pPr>
              <w:pStyle w:val="TableParagraph"/>
              <w:spacing w:before="43"/>
              <w:ind w:left="746" w:right="720"/>
              <w:rPr>
                <w:sz w:val="20"/>
              </w:rPr>
            </w:pPr>
            <w:r>
              <w:rPr>
                <w:sz w:val="20"/>
              </w:rPr>
              <w:t>100.0</w:t>
            </w:r>
          </w:p>
        </w:tc>
      </w:tr>
      <w:tr w:rsidR="005B1E95">
        <w:trPr>
          <w:trHeight w:val="318"/>
        </w:trPr>
        <w:tc>
          <w:tcPr>
            <w:tcW w:w="3446" w:type="dxa"/>
            <w:tcBorders>
              <w:top w:val="single" w:sz="4" w:space="0" w:color="000000"/>
              <w:left w:val="nil"/>
              <w:right w:val="single" w:sz="4" w:space="0" w:color="000000"/>
            </w:tcBorders>
          </w:tcPr>
          <w:p w:rsidR="005B1E95" w:rsidRDefault="00526895">
            <w:pPr>
              <w:pStyle w:val="TableParagraph"/>
              <w:spacing w:before="50"/>
              <w:ind w:left="141"/>
              <w:jc w:val="left"/>
              <w:rPr>
                <w:b/>
                <w:sz w:val="20"/>
              </w:rPr>
            </w:pPr>
            <w:r>
              <w:rPr>
                <w:b/>
                <w:sz w:val="20"/>
              </w:rPr>
              <w:t>Total</w:t>
            </w:r>
          </w:p>
        </w:tc>
        <w:tc>
          <w:tcPr>
            <w:tcW w:w="1848" w:type="dxa"/>
            <w:tcBorders>
              <w:top w:val="single" w:sz="4" w:space="0" w:color="000000"/>
              <w:left w:val="single" w:sz="4" w:space="0" w:color="000000"/>
              <w:right w:val="single" w:sz="4" w:space="0" w:color="000000"/>
            </w:tcBorders>
          </w:tcPr>
          <w:p w:rsidR="005B1E95" w:rsidRDefault="00526895">
            <w:pPr>
              <w:pStyle w:val="TableParagraph"/>
              <w:spacing w:before="46"/>
              <w:ind w:left="0" w:right="725"/>
              <w:jc w:val="right"/>
              <w:rPr>
                <w:sz w:val="20"/>
              </w:rPr>
            </w:pPr>
            <w:r>
              <w:rPr>
                <w:sz w:val="20"/>
              </w:rPr>
              <w:t>29.2</w:t>
            </w:r>
          </w:p>
        </w:tc>
        <w:tc>
          <w:tcPr>
            <w:tcW w:w="1910" w:type="dxa"/>
            <w:tcBorders>
              <w:top w:val="single" w:sz="4" w:space="0" w:color="000000"/>
              <w:left w:val="single" w:sz="4" w:space="0" w:color="000000"/>
              <w:right w:val="single" w:sz="4" w:space="0" w:color="000000"/>
            </w:tcBorders>
          </w:tcPr>
          <w:p w:rsidR="005B1E95" w:rsidRDefault="00526895">
            <w:pPr>
              <w:pStyle w:val="TableParagraph"/>
              <w:spacing w:before="46"/>
              <w:ind w:left="717" w:right="691"/>
              <w:rPr>
                <w:sz w:val="20"/>
              </w:rPr>
            </w:pPr>
            <w:r>
              <w:rPr>
                <w:sz w:val="20"/>
              </w:rPr>
              <w:t>70.8</w:t>
            </w:r>
          </w:p>
        </w:tc>
        <w:tc>
          <w:tcPr>
            <w:tcW w:w="1972" w:type="dxa"/>
            <w:tcBorders>
              <w:top w:val="single" w:sz="4" w:space="0" w:color="000000"/>
              <w:left w:val="single" w:sz="4" w:space="0" w:color="000000"/>
              <w:right w:val="nil"/>
            </w:tcBorders>
          </w:tcPr>
          <w:p w:rsidR="005B1E95" w:rsidRDefault="00526895">
            <w:pPr>
              <w:pStyle w:val="TableParagraph"/>
              <w:spacing w:before="46"/>
              <w:ind w:left="746" w:right="722"/>
              <w:rPr>
                <w:sz w:val="20"/>
              </w:rPr>
            </w:pPr>
            <w:r>
              <w:rPr>
                <w:sz w:val="20"/>
              </w:rPr>
              <w:t>100</w:t>
            </w:r>
          </w:p>
        </w:tc>
      </w:tr>
    </w:tbl>
    <w:p w:rsidR="005B1E95" w:rsidRDefault="00526895">
      <w:pPr>
        <w:spacing w:before="115" w:line="259" w:lineRule="auto"/>
        <w:ind w:left="140" w:right="290"/>
        <w:rPr>
          <w:sz w:val="18"/>
        </w:rPr>
      </w:pPr>
      <w:r>
        <w:rPr>
          <w:sz w:val="18"/>
        </w:rPr>
        <w:t>Source:</w:t>
      </w:r>
      <w:r>
        <w:rPr>
          <w:spacing w:val="-2"/>
          <w:sz w:val="18"/>
        </w:rPr>
        <w:t xml:space="preserve"> </w:t>
      </w:r>
      <w:r>
        <w:rPr>
          <w:sz w:val="18"/>
        </w:rPr>
        <w:t>Source:</w:t>
      </w:r>
      <w:r>
        <w:rPr>
          <w:spacing w:val="-6"/>
          <w:sz w:val="18"/>
        </w:rPr>
        <w:t xml:space="preserve"> </w:t>
      </w:r>
      <w:r>
        <w:rPr>
          <w:sz w:val="18"/>
        </w:rPr>
        <w:t>S.</w:t>
      </w:r>
      <w:r>
        <w:rPr>
          <w:spacing w:val="-1"/>
          <w:sz w:val="18"/>
        </w:rPr>
        <w:t xml:space="preserve"> </w:t>
      </w:r>
      <w:r>
        <w:rPr>
          <w:sz w:val="18"/>
        </w:rPr>
        <w:t>Grammenos</w:t>
      </w:r>
      <w:r>
        <w:rPr>
          <w:spacing w:val="-2"/>
          <w:sz w:val="18"/>
        </w:rPr>
        <w:t xml:space="preserve"> </w:t>
      </w:r>
      <w:r>
        <w:rPr>
          <w:sz w:val="18"/>
        </w:rPr>
        <w:t>(2022),</w:t>
      </w:r>
      <w:r>
        <w:rPr>
          <w:spacing w:val="-1"/>
          <w:sz w:val="18"/>
        </w:rPr>
        <w:t xml:space="preserve"> </w:t>
      </w:r>
      <w:r>
        <w:rPr>
          <w:sz w:val="18"/>
        </w:rPr>
        <w:t>“European</w:t>
      </w:r>
      <w:r>
        <w:rPr>
          <w:spacing w:val="-3"/>
          <w:sz w:val="18"/>
        </w:rPr>
        <w:t xml:space="preserve"> </w:t>
      </w:r>
      <w:r>
        <w:rPr>
          <w:sz w:val="18"/>
        </w:rPr>
        <w:t>comparative</w:t>
      </w:r>
      <w:r>
        <w:rPr>
          <w:spacing w:val="-3"/>
          <w:sz w:val="18"/>
        </w:rPr>
        <w:t xml:space="preserve"> </w:t>
      </w:r>
      <w:r>
        <w:rPr>
          <w:sz w:val="18"/>
        </w:rPr>
        <w:t>data</w:t>
      </w:r>
      <w:r>
        <w:rPr>
          <w:spacing w:val="-3"/>
          <w:sz w:val="18"/>
        </w:rPr>
        <w:t xml:space="preserve"> </w:t>
      </w:r>
      <w:r>
        <w:rPr>
          <w:sz w:val="18"/>
        </w:rPr>
        <w:t>on</w:t>
      </w:r>
      <w:r>
        <w:rPr>
          <w:spacing w:val="-4"/>
          <w:sz w:val="18"/>
        </w:rPr>
        <w:t xml:space="preserve"> </w:t>
      </w:r>
      <w:r>
        <w:rPr>
          <w:sz w:val="18"/>
        </w:rPr>
        <w:t>persons</w:t>
      </w:r>
      <w:r>
        <w:rPr>
          <w:spacing w:val="-3"/>
          <w:sz w:val="18"/>
        </w:rPr>
        <w:t xml:space="preserve"> </w:t>
      </w:r>
      <w:r>
        <w:rPr>
          <w:sz w:val="18"/>
        </w:rPr>
        <w:t>with</w:t>
      </w:r>
      <w:r>
        <w:rPr>
          <w:spacing w:val="-3"/>
          <w:sz w:val="18"/>
        </w:rPr>
        <w:t xml:space="preserve"> </w:t>
      </w:r>
      <w:r>
        <w:rPr>
          <w:sz w:val="18"/>
        </w:rPr>
        <w:t>disabilities”,</w:t>
      </w:r>
      <w:r>
        <w:rPr>
          <w:spacing w:val="-3"/>
          <w:sz w:val="18"/>
        </w:rPr>
        <w:t xml:space="preserve"> </w:t>
      </w:r>
      <w:r>
        <w:rPr>
          <w:sz w:val="18"/>
        </w:rPr>
        <w:t>European</w:t>
      </w:r>
      <w:r>
        <w:rPr>
          <w:spacing w:val="-3"/>
          <w:sz w:val="18"/>
        </w:rPr>
        <w:t xml:space="preserve"> </w:t>
      </w:r>
      <w:r>
        <w:rPr>
          <w:sz w:val="18"/>
        </w:rPr>
        <w:t>Disability</w:t>
      </w:r>
      <w:r>
        <w:rPr>
          <w:spacing w:val="-3"/>
          <w:sz w:val="18"/>
        </w:rPr>
        <w:t xml:space="preserve"> </w:t>
      </w:r>
      <w:r>
        <w:rPr>
          <w:sz w:val="18"/>
        </w:rPr>
        <w:t>Expertise,</w:t>
      </w:r>
      <w:r>
        <w:rPr>
          <w:spacing w:val="-42"/>
          <w:sz w:val="18"/>
        </w:rPr>
        <w:t xml:space="preserve"> </w:t>
      </w:r>
      <w:r>
        <w:rPr>
          <w:sz w:val="18"/>
        </w:rPr>
        <w:t>forthcoming. Data source: 1) Eurostat. https://ec.europa.eu/eurostat/data/database; Extracted on 14-04-2022 and 2) EU-SILC</w:t>
      </w:r>
      <w:r>
        <w:rPr>
          <w:spacing w:val="1"/>
          <w:sz w:val="18"/>
        </w:rPr>
        <w:t xml:space="preserve"> </w:t>
      </w:r>
      <w:r>
        <w:rPr>
          <w:sz w:val="18"/>
        </w:rPr>
        <w:t>release</w:t>
      </w:r>
      <w:r>
        <w:rPr>
          <w:spacing w:val="-2"/>
          <w:sz w:val="18"/>
        </w:rPr>
        <w:t xml:space="preserve"> </w:t>
      </w:r>
      <w:r>
        <w:rPr>
          <w:sz w:val="18"/>
        </w:rPr>
        <w:t>1</w:t>
      </w:r>
      <w:r>
        <w:rPr>
          <w:spacing w:val="1"/>
          <w:sz w:val="18"/>
        </w:rPr>
        <w:t xml:space="preserve"> </w:t>
      </w:r>
      <w:r>
        <w:rPr>
          <w:sz w:val="18"/>
        </w:rPr>
        <w:t>in</w:t>
      </w:r>
      <w:r>
        <w:rPr>
          <w:spacing w:val="1"/>
          <w:sz w:val="18"/>
        </w:rPr>
        <w:t xml:space="preserve"> </w:t>
      </w:r>
      <w:r>
        <w:rPr>
          <w:sz w:val="18"/>
        </w:rPr>
        <w:t>2022,</w:t>
      </w:r>
      <w:r>
        <w:rPr>
          <w:spacing w:val="1"/>
          <w:sz w:val="18"/>
        </w:rPr>
        <w:t xml:space="preserve"> </w:t>
      </w:r>
      <w:r>
        <w:rPr>
          <w:sz w:val="18"/>
        </w:rPr>
        <w:t>v.1,</w:t>
      </w:r>
      <w:r>
        <w:rPr>
          <w:spacing w:val="1"/>
          <w:sz w:val="18"/>
        </w:rPr>
        <w:t xml:space="preserve"> </w:t>
      </w:r>
      <w:r>
        <w:rPr>
          <w:sz w:val="18"/>
        </w:rPr>
        <w:t>April</w:t>
      </w:r>
      <w:r>
        <w:rPr>
          <w:spacing w:val="1"/>
          <w:sz w:val="18"/>
        </w:rPr>
        <w:t xml:space="preserve"> </w:t>
      </w:r>
      <w:r>
        <w:rPr>
          <w:sz w:val="18"/>
        </w:rPr>
        <w:t>2022.</w:t>
      </w:r>
    </w:p>
    <w:p w:rsidR="005B1E95" w:rsidRDefault="00526895">
      <w:pPr>
        <w:pStyle w:val="Heading3"/>
        <w:spacing w:before="123"/>
      </w:pPr>
      <w:r>
        <w:t>Table</w:t>
      </w:r>
      <w:r>
        <w:rPr>
          <w:spacing w:val="-5"/>
        </w:rPr>
        <w:t xml:space="preserve"> </w:t>
      </w:r>
      <w:r>
        <w:t>B.3:</w:t>
      </w:r>
      <w:r>
        <w:rPr>
          <w:spacing w:val="-4"/>
        </w:rPr>
        <w:t xml:space="preserve"> </w:t>
      </w:r>
      <w:r>
        <w:t>Employment rate</w:t>
      </w:r>
      <w:r>
        <w:rPr>
          <w:spacing w:val="-2"/>
        </w:rPr>
        <w:t xml:space="preserve"> </w:t>
      </w:r>
      <w:r>
        <w:t>of persons</w:t>
      </w:r>
      <w:r>
        <w:rPr>
          <w:spacing w:val="-2"/>
        </w:rPr>
        <w:t xml:space="preserve"> </w:t>
      </w:r>
      <w:r>
        <w:t>with</w:t>
      </w:r>
      <w:r>
        <w:rPr>
          <w:spacing w:val="-2"/>
        </w:rPr>
        <w:t xml:space="preserve"> </w:t>
      </w:r>
      <w:r>
        <w:t>disabilities</w:t>
      </w:r>
      <w:r>
        <w:rPr>
          <w:spacing w:val="-2"/>
        </w:rPr>
        <w:t xml:space="preserve"> </w:t>
      </w:r>
      <w:r>
        <w:t>by</w:t>
      </w:r>
      <w:r>
        <w:rPr>
          <w:spacing w:val="-2"/>
        </w:rPr>
        <w:t xml:space="preserve"> </w:t>
      </w:r>
      <w:r>
        <w:t>gender,</w:t>
      </w:r>
      <w:r>
        <w:rPr>
          <w:spacing w:val="-2"/>
        </w:rPr>
        <w:t xml:space="preserve"> </w:t>
      </w:r>
      <w:r>
        <w:t>EU</w:t>
      </w:r>
      <w:r>
        <w:rPr>
          <w:spacing w:val="-4"/>
        </w:rPr>
        <w:t xml:space="preserve"> </w:t>
      </w:r>
      <w:r>
        <w:t>level,</w:t>
      </w:r>
      <w:r>
        <w:rPr>
          <w:spacing w:val="-2"/>
        </w:rPr>
        <w:t xml:space="preserve"> </w:t>
      </w:r>
      <w:r>
        <w:t>2020,</w:t>
      </w:r>
      <w:r>
        <w:rPr>
          <w:spacing w:val="-2"/>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00"/>
        <w:gridCol w:w="3089"/>
        <w:gridCol w:w="3089"/>
      </w:tblGrid>
      <w:tr w:rsidR="005B1E95">
        <w:trPr>
          <w:trHeight w:val="358"/>
        </w:trPr>
        <w:tc>
          <w:tcPr>
            <w:tcW w:w="3000" w:type="dxa"/>
            <w:tcBorders>
              <w:left w:val="nil"/>
              <w:right w:val="single" w:sz="4" w:space="0" w:color="000000"/>
            </w:tcBorders>
          </w:tcPr>
          <w:p w:rsidR="005B1E95" w:rsidRDefault="00526895">
            <w:pPr>
              <w:pStyle w:val="TableParagraph"/>
              <w:spacing w:before="76"/>
              <w:ind w:left="563" w:right="518"/>
              <w:rPr>
                <w:b/>
                <w:sz w:val="18"/>
              </w:rPr>
            </w:pPr>
            <w:r>
              <w:rPr>
                <w:b/>
                <w:sz w:val="18"/>
              </w:rPr>
              <w:t>Females</w:t>
            </w:r>
            <w:r>
              <w:rPr>
                <w:b/>
                <w:spacing w:val="-3"/>
                <w:sz w:val="18"/>
              </w:rPr>
              <w:t xml:space="preserve"> </w:t>
            </w:r>
            <w:r>
              <w:rPr>
                <w:b/>
                <w:sz w:val="18"/>
              </w:rPr>
              <w:t>with</w:t>
            </w:r>
            <w:r>
              <w:rPr>
                <w:b/>
                <w:spacing w:val="-3"/>
                <w:sz w:val="18"/>
              </w:rPr>
              <w:t xml:space="preserve"> </w:t>
            </w:r>
            <w:r>
              <w:rPr>
                <w:b/>
                <w:sz w:val="18"/>
              </w:rPr>
              <w:t>disabilities</w:t>
            </w:r>
          </w:p>
        </w:tc>
        <w:tc>
          <w:tcPr>
            <w:tcW w:w="3089" w:type="dxa"/>
            <w:tcBorders>
              <w:left w:val="single" w:sz="4" w:space="0" w:color="000000"/>
              <w:right w:val="single" w:sz="4" w:space="0" w:color="000000"/>
            </w:tcBorders>
          </w:tcPr>
          <w:p w:rsidR="005B1E95" w:rsidRDefault="00526895">
            <w:pPr>
              <w:pStyle w:val="TableParagraph"/>
              <w:spacing w:before="76"/>
              <w:ind w:left="678" w:right="657"/>
              <w:rPr>
                <w:b/>
                <w:sz w:val="18"/>
              </w:rPr>
            </w:pPr>
            <w:r>
              <w:rPr>
                <w:b/>
                <w:sz w:val="18"/>
              </w:rPr>
              <w:t>Males</w:t>
            </w:r>
            <w:r>
              <w:rPr>
                <w:b/>
                <w:spacing w:val="-5"/>
                <w:sz w:val="18"/>
              </w:rPr>
              <w:t xml:space="preserve"> </w:t>
            </w:r>
            <w:r>
              <w:rPr>
                <w:b/>
                <w:sz w:val="18"/>
              </w:rPr>
              <w:t>with</w:t>
            </w:r>
            <w:r>
              <w:rPr>
                <w:b/>
                <w:spacing w:val="-2"/>
                <w:sz w:val="18"/>
              </w:rPr>
              <w:t xml:space="preserve"> </w:t>
            </w:r>
            <w:r>
              <w:rPr>
                <w:b/>
                <w:sz w:val="18"/>
              </w:rPr>
              <w:t>disabilities</w:t>
            </w:r>
          </w:p>
        </w:tc>
        <w:tc>
          <w:tcPr>
            <w:tcW w:w="3089" w:type="dxa"/>
            <w:tcBorders>
              <w:left w:val="single" w:sz="4" w:space="0" w:color="000000"/>
              <w:right w:val="nil"/>
            </w:tcBorders>
          </w:tcPr>
          <w:p w:rsidR="005B1E95" w:rsidRDefault="00526895">
            <w:pPr>
              <w:pStyle w:val="TableParagraph"/>
              <w:spacing w:before="76"/>
              <w:ind w:left="606" w:right="593"/>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r>
      <w:tr w:rsidR="005B1E95">
        <w:trPr>
          <w:trHeight w:val="358"/>
        </w:trPr>
        <w:tc>
          <w:tcPr>
            <w:tcW w:w="3000" w:type="dxa"/>
            <w:tcBorders>
              <w:left w:val="nil"/>
              <w:right w:val="single" w:sz="4" w:space="0" w:color="000000"/>
            </w:tcBorders>
          </w:tcPr>
          <w:p w:rsidR="005B1E95" w:rsidRDefault="00526895">
            <w:pPr>
              <w:pStyle w:val="TableParagraph"/>
              <w:spacing w:before="71"/>
              <w:ind w:left="563" w:right="516"/>
              <w:rPr>
                <w:sz w:val="18"/>
              </w:rPr>
            </w:pPr>
            <w:r>
              <w:rPr>
                <w:sz w:val="18"/>
              </w:rPr>
              <w:t>48.1</w:t>
            </w:r>
          </w:p>
        </w:tc>
        <w:tc>
          <w:tcPr>
            <w:tcW w:w="3089" w:type="dxa"/>
            <w:tcBorders>
              <w:left w:val="single" w:sz="4" w:space="0" w:color="000000"/>
              <w:right w:val="single" w:sz="4" w:space="0" w:color="000000"/>
            </w:tcBorders>
          </w:tcPr>
          <w:p w:rsidR="005B1E95" w:rsidRDefault="00526895">
            <w:pPr>
              <w:pStyle w:val="TableParagraph"/>
              <w:spacing w:before="71"/>
              <w:ind w:left="678" w:right="649"/>
              <w:rPr>
                <w:sz w:val="18"/>
              </w:rPr>
            </w:pPr>
            <w:r>
              <w:rPr>
                <w:sz w:val="18"/>
              </w:rPr>
              <w:t>53.7</w:t>
            </w:r>
          </w:p>
        </w:tc>
        <w:tc>
          <w:tcPr>
            <w:tcW w:w="3089" w:type="dxa"/>
            <w:tcBorders>
              <w:left w:val="single" w:sz="4" w:space="0" w:color="000000"/>
              <w:right w:val="nil"/>
            </w:tcBorders>
          </w:tcPr>
          <w:p w:rsidR="005B1E95" w:rsidRDefault="00526895">
            <w:pPr>
              <w:pStyle w:val="TableParagraph"/>
              <w:spacing w:before="71"/>
              <w:ind w:left="606" w:right="583"/>
              <w:rPr>
                <w:sz w:val="18"/>
              </w:rPr>
            </w:pPr>
            <w:r>
              <w:rPr>
                <w:sz w:val="18"/>
              </w:rPr>
              <w:t>50.7</w:t>
            </w:r>
          </w:p>
        </w:tc>
      </w:tr>
      <w:tr w:rsidR="005B1E95">
        <w:trPr>
          <w:trHeight w:val="358"/>
        </w:trPr>
        <w:tc>
          <w:tcPr>
            <w:tcW w:w="3000" w:type="dxa"/>
            <w:tcBorders>
              <w:left w:val="nil"/>
              <w:right w:val="single" w:sz="4" w:space="0" w:color="000000"/>
            </w:tcBorders>
          </w:tcPr>
          <w:p w:rsidR="005B1E95" w:rsidRDefault="005B1E95">
            <w:pPr>
              <w:pStyle w:val="TableParagraph"/>
              <w:ind w:left="0"/>
              <w:jc w:val="left"/>
              <w:rPr>
                <w:sz w:val="18"/>
              </w:rPr>
            </w:pPr>
          </w:p>
        </w:tc>
        <w:tc>
          <w:tcPr>
            <w:tcW w:w="3089" w:type="dxa"/>
            <w:tcBorders>
              <w:left w:val="single" w:sz="4" w:space="0" w:color="000000"/>
              <w:right w:val="single" w:sz="4" w:space="0" w:color="000000"/>
            </w:tcBorders>
          </w:tcPr>
          <w:p w:rsidR="005B1E95" w:rsidRDefault="005B1E95">
            <w:pPr>
              <w:pStyle w:val="TableParagraph"/>
              <w:ind w:left="0"/>
              <w:jc w:val="left"/>
              <w:rPr>
                <w:sz w:val="18"/>
              </w:rPr>
            </w:pPr>
          </w:p>
        </w:tc>
        <w:tc>
          <w:tcPr>
            <w:tcW w:w="3089" w:type="dxa"/>
            <w:tcBorders>
              <w:left w:val="single" w:sz="4" w:space="0" w:color="000000"/>
              <w:right w:val="nil"/>
            </w:tcBorders>
          </w:tcPr>
          <w:p w:rsidR="005B1E95" w:rsidRDefault="005B1E95">
            <w:pPr>
              <w:pStyle w:val="TableParagraph"/>
              <w:ind w:left="0"/>
              <w:jc w:val="left"/>
              <w:rPr>
                <w:sz w:val="18"/>
              </w:rPr>
            </w:pPr>
          </w:p>
        </w:tc>
      </w:tr>
    </w:tbl>
    <w:p w:rsidR="005B1E95" w:rsidRDefault="00526895">
      <w:pPr>
        <w:spacing w:before="115" w:line="259" w:lineRule="auto"/>
        <w:ind w:left="140" w:right="249"/>
        <w:rPr>
          <w:sz w:val="18"/>
        </w:rPr>
      </w:pPr>
      <w:r>
        <w:rPr>
          <w:sz w:val="18"/>
        </w:rPr>
        <w:t>Source: S. Grammenos (2022), “European comparative data on persons with disabilities”, European Disability Expertise,</w:t>
      </w:r>
      <w:r>
        <w:rPr>
          <w:spacing w:val="1"/>
          <w:sz w:val="18"/>
        </w:rPr>
        <w:t xml:space="preserve"> </w:t>
      </w:r>
      <w:r>
        <w:rPr>
          <w:sz w:val="18"/>
        </w:rPr>
        <w:t>forthcoming.</w:t>
      </w:r>
      <w:r>
        <w:rPr>
          <w:spacing w:val="-3"/>
          <w:sz w:val="18"/>
        </w:rPr>
        <w:t xml:space="preserve"> </w:t>
      </w:r>
      <w:r>
        <w:rPr>
          <w:sz w:val="18"/>
        </w:rPr>
        <w:t>Data</w:t>
      </w:r>
      <w:r>
        <w:rPr>
          <w:spacing w:val="-3"/>
          <w:sz w:val="18"/>
        </w:rPr>
        <w:t xml:space="preserve"> </w:t>
      </w:r>
      <w:r>
        <w:rPr>
          <w:sz w:val="18"/>
        </w:rPr>
        <w:t>source:</w:t>
      </w:r>
      <w:r>
        <w:rPr>
          <w:spacing w:val="-2"/>
          <w:sz w:val="18"/>
        </w:rPr>
        <w:t xml:space="preserve"> </w:t>
      </w:r>
      <w:r>
        <w:rPr>
          <w:sz w:val="18"/>
        </w:rPr>
        <w:t>Own</w:t>
      </w:r>
      <w:r>
        <w:rPr>
          <w:spacing w:val="-1"/>
          <w:sz w:val="18"/>
        </w:rPr>
        <w:t xml:space="preserve"> </w:t>
      </w:r>
      <w:r>
        <w:rPr>
          <w:sz w:val="18"/>
        </w:rPr>
        <w:t>calculations</w:t>
      </w:r>
      <w:r>
        <w:rPr>
          <w:spacing w:val="-4"/>
          <w:sz w:val="18"/>
        </w:rPr>
        <w:t xml:space="preserve"> </w:t>
      </w:r>
      <w:r>
        <w:rPr>
          <w:sz w:val="18"/>
        </w:rPr>
        <w:t>based</w:t>
      </w:r>
      <w:r>
        <w:rPr>
          <w:spacing w:val="-1"/>
          <w:sz w:val="18"/>
        </w:rPr>
        <w:t xml:space="preserve"> </w:t>
      </w:r>
      <w:r>
        <w:rPr>
          <w:sz w:val="18"/>
        </w:rPr>
        <w:t>on</w:t>
      </w:r>
      <w:r>
        <w:rPr>
          <w:spacing w:val="1"/>
          <w:sz w:val="18"/>
        </w:rPr>
        <w:t xml:space="preserve"> </w:t>
      </w:r>
      <w:r>
        <w:rPr>
          <w:sz w:val="18"/>
        </w:rPr>
        <w:t>Eurostat</w:t>
      </w:r>
      <w:r>
        <w:rPr>
          <w:spacing w:val="-4"/>
          <w:sz w:val="18"/>
        </w:rPr>
        <w:t xml:space="preserve"> </w:t>
      </w:r>
      <w:r>
        <w:rPr>
          <w:sz w:val="18"/>
        </w:rPr>
        <w:t>database</w:t>
      </w:r>
      <w:r>
        <w:rPr>
          <w:spacing w:val="-3"/>
          <w:sz w:val="18"/>
        </w:rPr>
        <w:t xml:space="preserve"> </w:t>
      </w:r>
      <w:r>
        <w:rPr>
          <w:sz w:val="18"/>
        </w:rPr>
        <w:t>extracted</w:t>
      </w:r>
      <w:r>
        <w:rPr>
          <w:spacing w:val="-1"/>
          <w:sz w:val="18"/>
        </w:rPr>
        <w:t xml:space="preserve"> </w:t>
      </w:r>
      <w:r>
        <w:rPr>
          <w:sz w:val="18"/>
        </w:rPr>
        <w:t>on</w:t>
      </w:r>
      <w:r>
        <w:rPr>
          <w:spacing w:val="-1"/>
          <w:sz w:val="18"/>
        </w:rPr>
        <w:t xml:space="preserve"> </w:t>
      </w:r>
      <w:r>
        <w:rPr>
          <w:sz w:val="18"/>
        </w:rPr>
        <w:t>14-04-2022</w:t>
      </w:r>
      <w:r>
        <w:rPr>
          <w:spacing w:val="-1"/>
          <w:sz w:val="18"/>
        </w:rPr>
        <w:t xml:space="preserve"> </w:t>
      </w:r>
      <w:r>
        <w:rPr>
          <w:sz w:val="18"/>
        </w:rPr>
        <w:t>and</w:t>
      </w:r>
      <w:r>
        <w:rPr>
          <w:spacing w:val="-4"/>
          <w:sz w:val="18"/>
        </w:rPr>
        <w:t xml:space="preserve"> </w:t>
      </w:r>
      <w:r>
        <w:rPr>
          <w:sz w:val="18"/>
        </w:rPr>
        <w:t>2)</w:t>
      </w:r>
      <w:r>
        <w:rPr>
          <w:spacing w:val="-1"/>
          <w:sz w:val="18"/>
        </w:rPr>
        <w:t xml:space="preserve"> </w:t>
      </w:r>
      <w:r>
        <w:rPr>
          <w:sz w:val="18"/>
        </w:rPr>
        <w:t>EU-SILC</w:t>
      </w:r>
      <w:r>
        <w:rPr>
          <w:spacing w:val="-3"/>
          <w:sz w:val="18"/>
        </w:rPr>
        <w:t xml:space="preserve"> </w:t>
      </w:r>
      <w:r>
        <w:rPr>
          <w:sz w:val="18"/>
        </w:rPr>
        <w:t>release</w:t>
      </w:r>
      <w:r>
        <w:rPr>
          <w:spacing w:val="-3"/>
          <w:sz w:val="18"/>
        </w:rPr>
        <w:t xml:space="preserve"> </w:t>
      </w:r>
      <w:r>
        <w:rPr>
          <w:sz w:val="18"/>
        </w:rPr>
        <w:t>1</w:t>
      </w:r>
      <w:r>
        <w:rPr>
          <w:spacing w:val="-1"/>
          <w:sz w:val="18"/>
        </w:rPr>
        <w:t xml:space="preserve"> </w:t>
      </w:r>
      <w:r>
        <w:rPr>
          <w:sz w:val="18"/>
        </w:rPr>
        <w:t>in</w:t>
      </w:r>
      <w:r>
        <w:rPr>
          <w:spacing w:val="-42"/>
          <w:sz w:val="18"/>
        </w:rPr>
        <w:t xml:space="preserve"> </w:t>
      </w:r>
      <w:r>
        <w:rPr>
          <w:sz w:val="18"/>
        </w:rPr>
        <w:t>2022,</w:t>
      </w:r>
      <w:r>
        <w:rPr>
          <w:spacing w:val="-2"/>
          <w:sz w:val="18"/>
        </w:rPr>
        <w:t xml:space="preserve"> </w:t>
      </w:r>
      <w:r>
        <w:rPr>
          <w:sz w:val="18"/>
        </w:rPr>
        <w:t>v.1,</w:t>
      </w:r>
      <w:r>
        <w:rPr>
          <w:spacing w:val="-1"/>
          <w:sz w:val="18"/>
        </w:rPr>
        <w:t xml:space="preserve"> </w:t>
      </w:r>
      <w:r>
        <w:rPr>
          <w:sz w:val="18"/>
        </w:rPr>
        <w:t>April</w:t>
      </w:r>
      <w:r>
        <w:rPr>
          <w:spacing w:val="-2"/>
          <w:sz w:val="18"/>
        </w:rPr>
        <w:t xml:space="preserve"> </w:t>
      </w:r>
      <w:r>
        <w:rPr>
          <w:sz w:val="18"/>
        </w:rPr>
        <w:t>2022.</w:t>
      </w:r>
    </w:p>
    <w:p w:rsidR="005B1E95" w:rsidRDefault="005B1E95">
      <w:pPr>
        <w:pStyle w:val="BodyText"/>
        <w:ind w:left="0"/>
      </w:pPr>
    </w:p>
    <w:p w:rsidR="005B1E95" w:rsidRDefault="005B1E95">
      <w:pPr>
        <w:pStyle w:val="BodyText"/>
        <w:spacing w:before="2"/>
        <w:ind w:left="0"/>
        <w:rPr>
          <w:sz w:val="26"/>
        </w:rPr>
      </w:pPr>
    </w:p>
    <w:p w:rsidR="005B1E95" w:rsidRDefault="00526895">
      <w:pPr>
        <w:pStyle w:val="Heading3"/>
        <w:ind w:right="241"/>
      </w:pPr>
      <w:r>
        <w:t>Table</w:t>
      </w:r>
      <w:r>
        <w:rPr>
          <w:spacing w:val="-6"/>
        </w:rPr>
        <w:t xml:space="preserve"> </w:t>
      </w:r>
      <w:r>
        <w:t>B.4:</w:t>
      </w:r>
      <w:r>
        <w:rPr>
          <w:spacing w:val="-6"/>
        </w:rPr>
        <w:t xml:space="preserve"> </w:t>
      </w:r>
      <w:r>
        <w:t>Employment</w:t>
      </w:r>
      <w:r>
        <w:rPr>
          <w:spacing w:val="-6"/>
        </w:rPr>
        <w:t xml:space="preserve"> </w:t>
      </w:r>
      <w:r>
        <w:t>rate</w:t>
      </w:r>
      <w:r>
        <w:rPr>
          <w:spacing w:val="-5"/>
        </w:rPr>
        <w:t xml:space="preserve"> </w:t>
      </w:r>
      <w:r>
        <w:t>of</w:t>
      </w:r>
      <w:r>
        <w:rPr>
          <w:spacing w:val="-2"/>
        </w:rPr>
        <w:t xml:space="preserve"> </w:t>
      </w:r>
      <w:r>
        <w:t>persons</w:t>
      </w:r>
      <w:r>
        <w:rPr>
          <w:spacing w:val="-1"/>
        </w:rPr>
        <w:t xml:space="preserve"> </w:t>
      </w:r>
      <w:r>
        <w:t>with</w:t>
      </w:r>
      <w:r>
        <w:rPr>
          <w:spacing w:val="-5"/>
        </w:rPr>
        <w:t xml:space="preserve"> </w:t>
      </w:r>
      <w:r>
        <w:t>disabilities</w:t>
      </w:r>
      <w:r>
        <w:rPr>
          <w:spacing w:val="-4"/>
        </w:rPr>
        <w:t xml:space="preserve"> </w:t>
      </w:r>
      <w:r>
        <w:t>(aged</w:t>
      </w:r>
      <w:r>
        <w:rPr>
          <w:spacing w:val="-4"/>
        </w:rPr>
        <w:t xml:space="preserve"> </w:t>
      </w:r>
      <w:r>
        <w:t>20-64)</w:t>
      </w:r>
      <w:r>
        <w:rPr>
          <w:spacing w:val="-5"/>
        </w:rPr>
        <w:t xml:space="preserve"> </w:t>
      </w:r>
      <w:r>
        <w:t>by</w:t>
      </w:r>
      <w:r>
        <w:rPr>
          <w:spacing w:val="-2"/>
        </w:rPr>
        <w:t xml:space="preserve"> </w:t>
      </w:r>
      <w:r>
        <w:t>degree</w:t>
      </w:r>
      <w:r>
        <w:rPr>
          <w:spacing w:val="-7"/>
        </w:rPr>
        <w:t xml:space="preserve"> </w:t>
      </w:r>
      <w:r>
        <w:t>of</w:t>
      </w:r>
      <w:r>
        <w:rPr>
          <w:spacing w:val="-2"/>
        </w:rPr>
        <w:t xml:space="preserve"> </w:t>
      </w:r>
      <w:r>
        <w:t>disability,</w:t>
      </w:r>
      <w:r>
        <w:rPr>
          <w:spacing w:val="-57"/>
        </w:rPr>
        <w:t xml:space="preserve"> </w:t>
      </w:r>
      <w:r>
        <w:t>EU</w:t>
      </w:r>
      <w:r>
        <w:rPr>
          <w:spacing w:val="-2"/>
        </w:rPr>
        <w:t xml:space="preserve"> </w:t>
      </w:r>
      <w:r>
        <w:t>level,</w:t>
      </w:r>
      <w:r>
        <w:rPr>
          <w:spacing w:val="-1"/>
        </w:rPr>
        <w:t xml:space="preserve"> </w:t>
      </w:r>
      <w:r>
        <w:t>2020,</w:t>
      </w:r>
      <w:r>
        <w:rPr>
          <w:spacing w:val="-1"/>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031"/>
        <w:gridCol w:w="3120"/>
        <w:gridCol w:w="3026"/>
      </w:tblGrid>
      <w:tr w:rsidR="005B1E95">
        <w:trPr>
          <w:trHeight w:val="260"/>
        </w:trPr>
        <w:tc>
          <w:tcPr>
            <w:tcW w:w="3031" w:type="dxa"/>
            <w:tcBorders>
              <w:left w:val="nil"/>
              <w:right w:val="single" w:sz="4" w:space="0" w:color="000000"/>
            </w:tcBorders>
          </w:tcPr>
          <w:p w:rsidR="005B1E95" w:rsidRDefault="00526895">
            <w:pPr>
              <w:pStyle w:val="TableParagraph"/>
              <w:spacing w:before="28"/>
              <w:ind w:left="829" w:right="784"/>
              <w:rPr>
                <w:b/>
                <w:sz w:val="18"/>
              </w:rPr>
            </w:pPr>
            <w:r>
              <w:rPr>
                <w:b/>
                <w:sz w:val="18"/>
              </w:rPr>
              <w:t>Severe</w:t>
            </w:r>
            <w:r>
              <w:rPr>
                <w:b/>
                <w:spacing w:val="-2"/>
                <w:sz w:val="18"/>
              </w:rPr>
              <w:t xml:space="preserve"> </w:t>
            </w:r>
            <w:r>
              <w:rPr>
                <w:b/>
                <w:sz w:val="18"/>
              </w:rPr>
              <w:t>disabilities</w:t>
            </w:r>
          </w:p>
        </w:tc>
        <w:tc>
          <w:tcPr>
            <w:tcW w:w="3120" w:type="dxa"/>
            <w:tcBorders>
              <w:left w:val="single" w:sz="4" w:space="0" w:color="000000"/>
              <w:right w:val="single" w:sz="4" w:space="0" w:color="000000"/>
            </w:tcBorders>
          </w:tcPr>
          <w:p w:rsidR="005B1E95" w:rsidRDefault="00526895">
            <w:pPr>
              <w:pStyle w:val="TableParagraph"/>
              <w:spacing w:before="28"/>
              <w:ind w:left="740" w:right="718"/>
              <w:rPr>
                <w:b/>
                <w:sz w:val="18"/>
              </w:rPr>
            </w:pPr>
            <w:r>
              <w:rPr>
                <w:b/>
                <w:sz w:val="18"/>
              </w:rPr>
              <w:t>Moderate</w:t>
            </w:r>
            <w:r>
              <w:rPr>
                <w:b/>
                <w:spacing w:val="-3"/>
                <w:sz w:val="18"/>
              </w:rPr>
              <w:t xml:space="preserve"> </w:t>
            </w:r>
            <w:r>
              <w:rPr>
                <w:b/>
                <w:sz w:val="18"/>
              </w:rPr>
              <w:t>disabilities</w:t>
            </w:r>
          </w:p>
        </w:tc>
        <w:tc>
          <w:tcPr>
            <w:tcW w:w="3026" w:type="dxa"/>
            <w:tcBorders>
              <w:left w:val="single" w:sz="4" w:space="0" w:color="000000"/>
              <w:right w:val="nil"/>
            </w:tcBorders>
          </w:tcPr>
          <w:p w:rsidR="005B1E95" w:rsidRDefault="00526895">
            <w:pPr>
              <w:pStyle w:val="TableParagraph"/>
              <w:spacing w:before="28"/>
              <w:ind w:left="740" w:right="739"/>
              <w:rPr>
                <w:b/>
                <w:sz w:val="18"/>
              </w:rPr>
            </w:pPr>
            <w:r>
              <w:rPr>
                <w:b/>
                <w:sz w:val="18"/>
              </w:rPr>
              <w:t>Without</w:t>
            </w:r>
            <w:r>
              <w:rPr>
                <w:b/>
                <w:spacing w:val="-5"/>
                <w:sz w:val="18"/>
              </w:rPr>
              <w:t xml:space="preserve"> </w:t>
            </w:r>
            <w:r>
              <w:rPr>
                <w:b/>
                <w:sz w:val="18"/>
              </w:rPr>
              <w:t>disabilities</w:t>
            </w:r>
          </w:p>
        </w:tc>
      </w:tr>
      <w:tr w:rsidR="005B1E95">
        <w:trPr>
          <w:trHeight w:val="260"/>
        </w:trPr>
        <w:tc>
          <w:tcPr>
            <w:tcW w:w="3031" w:type="dxa"/>
            <w:tcBorders>
              <w:left w:val="nil"/>
              <w:right w:val="single" w:sz="4" w:space="0" w:color="000000"/>
            </w:tcBorders>
          </w:tcPr>
          <w:p w:rsidR="005B1E95" w:rsidRDefault="00526895">
            <w:pPr>
              <w:pStyle w:val="TableParagraph"/>
              <w:spacing w:before="23"/>
              <w:ind w:left="829" w:right="779"/>
              <w:rPr>
                <w:sz w:val="18"/>
              </w:rPr>
            </w:pPr>
            <w:r>
              <w:rPr>
                <w:sz w:val="18"/>
              </w:rPr>
              <w:t>29.6</w:t>
            </w:r>
          </w:p>
        </w:tc>
        <w:tc>
          <w:tcPr>
            <w:tcW w:w="3120" w:type="dxa"/>
            <w:tcBorders>
              <w:left w:val="single" w:sz="4" w:space="0" w:color="000000"/>
              <w:right w:val="single" w:sz="4" w:space="0" w:color="000000"/>
            </w:tcBorders>
          </w:tcPr>
          <w:p w:rsidR="005B1E95" w:rsidRDefault="00526895">
            <w:pPr>
              <w:pStyle w:val="TableParagraph"/>
              <w:spacing w:before="23"/>
              <w:ind w:left="740" w:right="713"/>
              <w:rPr>
                <w:sz w:val="18"/>
              </w:rPr>
            </w:pPr>
            <w:r>
              <w:rPr>
                <w:sz w:val="18"/>
              </w:rPr>
              <w:t>58.3</w:t>
            </w:r>
          </w:p>
        </w:tc>
        <w:tc>
          <w:tcPr>
            <w:tcW w:w="3026" w:type="dxa"/>
            <w:tcBorders>
              <w:left w:val="single" w:sz="4" w:space="0" w:color="000000"/>
              <w:right w:val="nil"/>
            </w:tcBorders>
          </w:tcPr>
          <w:p w:rsidR="005B1E95" w:rsidRDefault="00526895">
            <w:pPr>
              <w:pStyle w:val="TableParagraph"/>
              <w:spacing w:before="23"/>
              <w:ind w:left="740" w:right="730"/>
              <w:rPr>
                <w:sz w:val="18"/>
              </w:rPr>
            </w:pPr>
            <w:r>
              <w:rPr>
                <w:sz w:val="18"/>
              </w:rPr>
              <w:t>75.1</w:t>
            </w:r>
          </w:p>
        </w:tc>
      </w:tr>
    </w:tbl>
    <w:p w:rsidR="005B1E95" w:rsidRDefault="00526895">
      <w:pPr>
        <w:spacing w:before="115" w:line="259" w:lineRule="auto"/>
        <w:ind w:left="140" w:right="243"/>
        <w:rPr>
          <w:sz w:val="18"/>
        </w:rPr>
      </w:pPr>
      <w:r>
        <w:rPr>
          <w:sz w:val="18"/>
        </w:rPr>
        <w:t>Source: S. Grammenos (2022), “European comparative data on persons with disabilities”, European Disability Expertise,</w:t>
      </w:r>
      <w:r>
        <w:rPr>
          <w:spacing w:val="1"/>
          <w:sz w:val="18"/>
        </w:rPr>
        <w:t xml:space="preserve"> </w:t>
      </w:r>
      <w:r>
        <w:rPr>
          <w:sz w:val="18"/>
        </w:rPr>
        <w:t>forthcoming.</w:t>
      </w:r>
      <w:r>
        <w:rPr>
          <w:spacing w:val="-3"/>
          <w:sz w:val="18"/>
        </w:rPr>
        <w:t xml:space="preserve"> </w:t>
      </w:r>
      <w:r>
        <w:rPr>
          <w:sz w:val="18"/>
        </w:rPr>
        <w:t>Data</w:t>
      </w:r>
      <w:r>
        <w:rPr>
          <w:spacing w:val="-3"/>
          <w:sz w:val="18"/>
        </w:rPr>
        <w:t xml:space="preserve"> </w:t>
      </w:r>
      <w:r>
        <w:rPr>
          <w:sz w:val="18"/>
        </w:rPr>
        <w:t>source:</w:t>
      </w:r>
      <w:r>
        <w:rPr>
          <w:spacing w:val="41"/>
          <w:sz w:val="18"/>
        </w:rPr>
        <w:t xml:space="preserve"> </w:t>
      </w:r>
      <w:r>
        <w:rPr>
          <w:sz w:val="18"/>
        </w:rPr>
        <w:t>EU-SILC release</w:t>
      </w:r>
      <w:r>
        <w:rPr>
          <w:spacing w:val="-3"/>
          <w:sz w:val="18"/>
        </w:rPr>
        <w:t xml:space="preserve"> </w:t>
      </w:r>
      <w:r>
        <w:rPr>
          <w:sz w:val="18"/>
        </w:rPr>
        <w:t>1</w:t>
      </w:r>
      <w:r>
        <w:rPr>
          <w:spacing w:val="-1"/>
          <w:sz w:val="18"/>
        </w:rPr>
        <w:t xml:space="preserve"> </w:t>
      </w:r>
      <w:r>
        <w:rPr>
          <w:sz w:val="18"/>
        </w:rPr>
        <w:t>in</w:t>
      </w:r>
      <w:r>
        <w:rPr>
          <w:spacing w:val="-3"/>
          <w:sz w:val="18"/>
        </w:rPr>
        <w:t xml:space="preserve"> </w:t>
      </w:r>
      <w:r>
        <w:rPr>
          <w:sz w:val="18"/>
        </w:rPr>
        <w:t>2022,</w:t>
      </w:r>
      <w:r>
        <w:rPr>
          <w:spacing w:val="-2"/>
          <w:sz w:val="18"/>
        </w:rPr>
        <w:t xml:space="preserve"> </w:t>
      </w:r>
      <w:r>
        <w:rPr>
          <w:sz w:val="18"/>
        </w:rPr>
        <w:t>v.1,</w:t>
      </w:r>
      <w:r>
        <w:rPr>
          <w:spacing w:val="-1"/>
          <w:sz w:val="18"/>
        </w:rPr>
        <w:t xml:space="preserve"> </w:t>
      </w:r>
      <w:r>
        <w:rPr>
          <w:sz w:val="18"/>
        </w:rPr>
        <w:t>April</w:t>
      </w:r>
      <w:r>
        <w:rPr>
          <w:spacing w:val="-4"/>
          <w:sz w:val="18"/>
        </w:rPr>
        <w:t xml:space="preserve"> </w:t>
      </w:r>
      <w:r>
        <w:rPr>
          <w:sz w:val="18"/>
        </w:rPr>
        <w:t>2022</w:t>
      </w:r>
      <w:r>
        <w:rPr>
          <w:spacing w:val="-3"/>
          <w:sz w:val="18"/>
        </w:rPr>
        <w:t xml:space="preserve"> </w:t>
      </w:r>
      <w:r>
        <w:rPr>
          <w:sz w:val="18"/>
        </w:rPr>
        <w:t>and</w:t>
      </w:r>
      <w:r>
        <w:rPr>
          <w:spacing w:val="-2"/>
          <w:sz w:val="18"/>
        </w:rPr>
        <w:t xml:space="preserve"> </w:t>
      </w:r>
      <w:r>
        <w:rPr>
          <w:sz w:val="18"/>
        </w:rPr>
        <w:t>own</w:t>
      </w:r>
      <w:r>
        <w:rPr>
          <w:spacing w:val="-1"/>
          <w:sz w:val="18"/>
        </w:rPr>
        <w:t xml:space="preserve"> </w:t>
      </w:r>
      <w:r>
        <w:rPr>
          <w:sz w:val="18"/>
        </w:rPr>
        <w:t>calculations</w:t>
      </w:r>
      <w:r>
        <w:rPr>
          <w:spacing w:val="-2"/>
          <w:sz w:val="18"/>
        </w:rPr>
        <w:t xml:space="preserve"> </w:t>
      </w:r>
      <w:r>
        <w:rPr>
          <w:sz w:val="18"/>
        </w:rPr>
        <w:t>for</w:t>
      </w:r>
      <w:r>
        <w:rPr>
          <w:spacing w:val="-3"/>
          <w:sz w:val="18"/>
        </w:rPr>
        <w:t xml:space="preserve"> </w:t>
      </w:r>
      <w:r>
        <w:rPr>
          <w:sz w:val="18"/>
        </w:rPr>
        <w:t>Germany</w:t>
      </w:r>
      <w:r>
        <w:rPr>
          <w:spacing w:val="-4"/>
          <w:sz w:val="18"/>
        </w:rPr>
        <w:t xml:space="preserve"> </w:t>
      </w:r>
      <w:r>
        <w:rPr>
          <w:sz w:val="18"/>
        </w:rPr>
        <w:t>and Italy,</w:t>
      </w:r>
      <w:r>
        <w:rPr>
          <w:spacing w:val="-1"/>
          <w:sz w:val="18"/>
        </w:rPr>
        <w:t xml:space="preserve"> </w:t>
      </w:r>
      <w:r>
        <w:rPr>
          <w:sz w:val="18"/>
        </w:rPr>
        <w:t>affecting</w:t>
      </w:r>
      <w:r>
        <w:rPr>
          <w:spacing w:val="-3"/>
          <w:sz w:val="18"/>
        </w:rPr>
        <w:t xml:space="preserve"> </w:t>
      </w:r>
      <w:r>
        <w:rPr>
          <w:sz w:val="18"/>
        </w:rPr>
        <w:t>the</w:t>
      </w:r>
      <w:r>
        <w:rPr>
          <w:spacing w:val="-42"/>
          <w:sz w:val="18"/>
        </w:rPr>
        <w:t xml:space="preserve"> </w:t>
      </w:r>
      <w:r>
        <w:rPr>
          <w:sz w:val="18"/>
        </w:rPr>
        <w:t>EU</w:t>
      </w:r>
      <w:r>
        <w:rPr>
          <w:spacing w:val="-2"/>
          <w:sz w:val="18"/>
        </w:rPr>
        <w:t xml:space="preserve"> </w:t>
      </w:r>
      <w:r>
        <w:rPr>
          <w:sz w:val="18"/>
        </w:rPr>
        <w:t>aggregate.</w:t>
      </w:r>
    </w:p>
    <w:p w:rsidR="005B1E95" w:rsidRDefault="005B1E95">
      <w:pPr>
        <w:pStyle w:val="BodyText"/>
        <w:ind w:left="0"/>
      </w:pPr>
    </w:p>
    <w:p w:rsidR="005B1E95" w:rsidRDefault="005B1E95">
      <w:pPr>
        <w:pStyle w:val="BodyText"/>
        <w:spacing w:before="2"/>
        <w:ind w:left="0"/>
        <w:rPr>
          <w:sz w:val="22"/>
        </w:rPr>
      </w:pPr>
    </w:p>
    <w:p w:rsidR="005B1E95" w:rsidRDefault="00526895">
      <w:pPr>
        <w:pStyle w:val="Heading3"/>
        <w:ind w:right="246"/>
      </w:pPr>
      <w:r>
        <w:t>Table</w:t>
      </w:r>
      <w:r>
        <w:rPr>
          <w:spacing w:val="18"/>
        </w:rPr>
        <w:t xml:space="preserve"> </w:t>
      </w:r>
      <w:r>
        <w:t>B.5:</w:t>
      </w:r>
      <w:r>
        <w:rPr>
          <w:spacing w:val="19"/>
        </w:rPr>
        <w:t xml:space="preserve"> </w:t>
      </w:r>
      <w:r>
        <w:t>Persons</w:t>
      </w:r>
      <w:r>
        <w:rPr>
          <w:spacing w:val="21"/>
        </w:rPr>
        <w:t xml:space="preserve"> </w:t>
      </w:r>
      <w:r>
        <w:t>declaring</w:t>
      </w:r>
      <w:r>
        <w:rPr>
          <w:spacing w:val="21"/>
        </w:rPr>
        <w:t xml:space="preserve"> </w:t>
      </w:r>
      <w:r>
        <w:t>that</w:t>
      </w:r>
      <w:r>
        <w:rPr>
          <w:spacing w:val="21"/>
        </w:rPr>
        <w:t xml:space="preserve"> </w:t>
      </w:r>
      <w:r>
        <w:t>they</w:t>
      </w:r>
      <w:r>
        <w:rPr>
          <w:spacing w:val="21"/>
        </w:rPr>
        <w:t xml:space="preserve"> </w:t>
      </w:r>
      <w:r>
        <w:t>work</w:t>
      </w:r>
      <w:r>
        <w:rPr>
          <w:spacing w:val="21"/>
        </w:rPr>
        <w:t xml:space="preserve"> </w:t>
      </w:r>
      <w:r>
        <w:t>less</w:t>
      </w:r>
      <w:r>
        <w:rPr>
          <w:spacing w:val="21"/>
        </w:rPr>
        <w:t xml:space="preserve"> </w:t>
      </w:r>
      <w:r>
        <w:t>than</w:t>
      </w:r>
      <w:r>
        <w:rPr>
          <w:spacing w:val="23"/>
        </w:rPr>
        <w:t xml:space="preserve"> </w:t>
      </w:r>
      <w:r>
        <w:t>30</w:t>
      </w:r>
      <w:r>
        <w:rPr>
          <w:spacing w:val="21"/>
        </w:rPr>
        <w:t xml:space="preserve"> </w:t>
      </w:r>
      <w:r>
        <w:t>hours</w:t>
      </w:r>
      <w:r>
        <w:rPr>
          <w:spacing w:val="21"/>
        </w:rPr>
        <w:t xml:space="preserve"> </w:t>
      </w:r>
      <w:r>
        <w:t>per</w:t>
      </w:r>
      <w:r>
        <w:rPr>
          <w:spacing w:val="20"/>
        </w:rPr>
        <w:t xml:space="preserve"> </w:t>
      </w:r>
      <w:r>
        <w:t>week</w:t>
      </w:r>
      <w:r>
        <w:rPr>
          <w:spacing w:val="19"/>
        </w:rPr>
        <w:t xml:space="preserve"> </w:t>
      </w:r>
      <w:r>
        <w:t>due</w:t>
      </w:r>
      <w:r>
        <w:rPr>
          <w:spacing w:val="19"/>
        </w:rPr>
        <w:t xml:space="preserve"> </w:t>
      </w:r>
      <w:r>
        <w:t>to</w:t>
      </w:r>
      <w:r>
        <w:rPr>
          <w:spacing w:val="21"/>
        </w:rPr>
        <w:t xml:space="preserve"> </w:t>
      </w:r>
      <w:r>
        <w:t>personal</w:t>
      </w:r>
      <w:r>
        <w:rPr>
          <w:spacing w:val="-57"/>
        </w:rPr>
        <w:t xml:space="preserve"> </w:t>
      </w:r>
      <w:r>
        <w:t>illness</w:t>
      </w:r>
      <w:r>
        <w:rPr>
          <w:spacing w:val="1"/>
        </w:rPr>
        <w:t xml:space="preserve"> </w:t>
      </w:r>
      <w:r>
        <w:t>or</w:t>
      </w:r>
      <w:r>
        <w:rPr>
          <w:spacing w:val="-3"/>
        </w:rPr>
        <w:t xml:space="preserve"> </w:t>
      </w:r>
      <w:r>
        <w:t>disability,</w:t>
      </w:r>
      <w:r>
        <w:rPr>
          <w:spacing w:val="-1"/>
        </w:rPr>
        <w:t xml:space="preserve"> </w:t>
      </w:r>
      <w:r>
        <w:t>EU</w:t>
      </w:r>
      <w:r>
        <w:rPr>
          <w:spacing w:val="-3"/>
        </w:rPr>
        <w:t xml:space="preserve"> </w:t>
      </w:r>
      <w:r>
        <w:t>level,</w:t>
      </w:r>
      <w:r>
        <w:rPr>
          <w:spacing w:val="-1"/>
        </w:rPr>
        <w:t xml:space="preserve"> </w:t>
      </w:r>
      <w:r>
        <w:t>2020,</w:t>
      </w:r>
      <w:r>
        <w:rPr>
          <w:spacing w:val="-1"/>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642"/>
        <w:gridCol w:w="4536"/>
      </w:tblGrid>
      <w:tr w:rsidR="005B1E95">
        <w:trPr>
          <w:trHeight w:val="344"/>
        </w:trPr>
        <w:tc>
          <w:tcPr>
            <w:tcW w:w="4642" w:type="dxa"/>
            <w:tcBorders>
              <w:left w:val="nil"/>
              <w:right w:val="single" w:sz="4" w:space="0" w:color="000000"/>
            </w:tcBorders>
          </w:tcPr>
          <w:p w:rsidR="005B1E95" w:rsidRDefault="00526895">
            <w:pPr>
              <w:pStyle w:val="TableParagraph"/>
              <w:spacing w:before="69"/>
              <w:ind w:left="1397" w:right="1355"/>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4536" w:type="dxa"/>
            <w:tcBorders>
              <w:left w:val="single" w:sz="4" w:space="0" w:color="000000"/>
              <w:right w:val="nil"/>
            </w:tcBorders>
          </w:tcPr>
          <w:p w:rsidR="005B1E95" w:rsidRDefault="00526895">
            <w:pPr>
              <w:pStyle w:val="TableParagraph"/>
              <w:spacing w:before="69"/>
              <w:ind w:left="1199" w:right="1199"/>
              <w:rPr>
                <w:b/>
                <w:sz w:val="18"/>
              </w:rPr>
            </w:pPr>
            <w:r>
              <w:rPr>
                <w:b/>
                <w:sz w:val="18"/>
              </w:rPr>
              <w:t>Persons</w:t>
            </w:r>
            <w:r>
              <w:rPr>
                <w:b/>
                <w:spacing w:val="-3"/>
                <w:sz w:val="18"/>
              </w:rPr>
              <w:t xml:space="preserve"> </w:t>
            </w:r>
            <w:r>
              <w:rPr>
                <w:b/>
                <w:sz w:val="18"/>
              </w:rPr>
              <w:t>without</w:t>
            </w:r>
            <w:r>
              <w:rPr>
                <w:b/>
                <w:spacing w:val="-5"/>
                <w:sz w:val="18"/>
              </w:rPr>
              <w:t xml:space="preserve"> </w:t>
            </w:r>
            <w:r>
              <w:rPr>
                <w:b/>
                <w:sz w:val="18"/>
              </w:rPr>
              <w:t>disabilities</w:t>
            </w:r>
          </w:p>
        </w:tc>
      </w:tr>
      <w:tr w:rsidR="005B1E95">
        <w:trPr>
          <w:trHeight w:val="250"/>
        </w:trPr>
        <w:tc>
          <w:tcPr>
            <w:tcW w:w="4642" w:type="dxa"/>
            <w:tcBorders>
              <w:left w:val="nil"/>
              <w:right w:val="single" w:sz="4" w:space="0" w:color="000000"/>
            </w:tcBorders>
          </w:tcPr>
          <w:p w:rsidR="005B1E95" w:rsidRDefault="00526895">
            <w:pPr>
              <w:pStyle w:val="TableParagraph"/>
              <w:spacing w:before="16"/>
              <w:ind w:left="1397" w:right="1350"/>
              <w:rPr>
                <w:sz w:val="18"/>
              </w:rPr>
            </w:pPr>
            <w:r>
              <w:rPr>
                <w:sz w:val="18"/>
              </w:rPr>
              <w:t>30.7</w:t>
            </w:r>
          </w:p>
        </w:tc>
        <w:tc>
          <w:tcPr>
            <w:tcW w:w="4536" w:type="dxa"/>
            <w:tcBorders>
              <w:left w:val="single" w:sz="4" w:space="0" w:color="000000"/>
              <w:right w:val="nil"/>
            </w:tcBorders>
          </w:tcPr>
          <w:p w:rsidR="005B1E95" w:rsidRDefault="00526895">
            <w:pPr>
              <w:pStyle w:val="TableParagraph"/>
              <w:spacing w:before="16"/>
              <w:ind w:left="1199" w:right="1188"/>
              <w:rPr>
                <w:sz w:val="18"/>
              </w:rPr>
            </w:pPr>
            <w:r>
              <w:rPr>
                <w:sz w:val="18"/>
              </w:rPr>
              <w:t>1.4</w:t>
            </w:r>
          </w:p>
        </w:tc>
      </w:tr>
    </w:tbl>
    <w:p w:rsidR="005B1E95" w:rsidRDefault="00526895">
      <w:pPr>
        <w:spacing w:before="28" w:line="278" w:lineRule="auto"/>
        <w:ind w:left="140" w:right="249"/>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“The</w:t>
      </w:r>
      <w:r>
        <w:rPr>
          <w:spacing w:val="-3"/>
          <w:sz w:val="18"/>
        </w:rPr>
        <w:t xml:space="preserve"> </w:t>
      </w:r>
      <w:r>
        <w:rPr>
          <w:sz w:val="18"/>
        </w:rPr>
        <w:t>employment</w:t>
      </w:r>
      <w:r>
        <w:rPr>
          <w:spacing w:val="-2"/>
          <w:sz w:val="18"/>
        </w:rPr>
        <w:t xml:space="preserve"> </w:t>
      </w:r>
      <w:r>
        <w:rPr>
          <w:sz w:val="18"/>
        </w:rPr>
        <w:t>of</w:t>
      </w:r>
      <w:r>
        <w:rPr>
          <w:spacing w:val="-5"/>
          <w:sz w:val="18"/>
        </w:rPr>
        <w:t xml:space="preserve"> </w:t>
      </w:r>
      <w:r>
        <w:rPr>
          <w:sz w:val="18"/>
        </w:rPr>
        <w:t>persons</w:t>
      </w:r>
      <w:r>
        <w:rPr>
          <w:spacing w:val="-2"/>
          <w:sz w:val="18"/>
        </w:rPr>
        <w:t xml:space="preserve"> </w:t>
      </w:r>
      <w:r>
        <w:rPr>
          <w:sz w:val="18"/>
        </w:rPr>
        <w:t>with</w:t>
      </w:r>
      <w:r>
        <w:rPr>
          <w:spacing w:val="-3"/>
          <w:sz w:val="18"/>
        </w:rPr>
        <w:t xml:space="preserve"> </w:t>
      </w:r>
      <w:r>
        <w:rPr>
          <w:sz w:val="18"/>
        </w:rPr>
        <w:t>disabilities”,</w:t>
      </w:r>
      <w:r>
        <w:rPr>
          <w:spacing w:val="-4"/>
          <w:sz w:val="18"/>
        </w:rPr>
        <w:t xml:space="preserve"> </w:t>
      </w:r>
      <w:r>
        <w:rPr>
          <w:sz w:val="18"/>
        </w:rPr>
        <w:t>European</w:t>
      </w:r>
      <w:r>
        <w:rPr>
          <w:spacing w:val="-3"/>
          <w:sz w:val="18"/>
        </w:rPr>
        <w:t xml:space="preserve"> </w:t>
      </w:r>
      <w:r>
        <w:rPr>
          <w:sz w:val="18"/>
        </w:rPr>
        <w:t>Disability</w:t>
      </w:r>
      <w:r>
        <w:rPr>
          <w:spacing w:val="-3"/>
          <w:sz w:val="18"/>
        </w:rPr>
        <w:t xml:space="preserve"> </w:t>
      </w:r>
      <w:r>
        <w:rPr>
          <w:sz w:val="18"/>
        </w:rPr>
        <w:t>Expertise,</w:t>
      </w:r>
      <w:r>
        <w:rPr>
          <w:spacing w:val="-4"/>
          <w:sz w:val="18"/>
        </w:rPr>
        <w:t xml:space="preserve"> </w:t>
      </w:r>
      <w:r>
        <w:rPr>
          <w:sz w:val="18"/>
        </w:rPr>
        <w:t>forthcoming.</w:t>
      </w:r>
      <w:r>
        <w:rPr>
          <w:spacing w:val="-1"/>
          <w:sz w:val="18"/>
        </w:rPr>
        <w:t xml:space="preserve"> </w:t>
      </w:r>
      <w:r>
        <w:rPr>
          <w:sz w:val="18"/>
        </w:rPr>
        <w:t>Data</w:t>
      </w:r>
      <w:r>
        <w:rPr>
          <w:spacing w:val="-42"/>
          <w:sz w:val="18"/>
        </w:rPr>
        <w:t xml:space="preserve"> </w:t>
      </w:r>
      <w:r>
        <w:rPr>
          <w:sz w:val="18"/>
        </w:rPr>
        <w:t>sources: EU-SILC</w:t>
      </w:r>
      <w:r>
        <w:rPr>
          <w:spacing w:val="1"/>
          <w:sz w:val="18"/>
        </w:rPr>
        <w:t xml:space="preserve"> </w:t>
      </w:r>
      <w:r>
        <w:rPr>
          <w:sz w:val="18"/>
        </w:rPr>
        <w:t>UDB</w:t>
      </w:r>
      <w:r>
        <w:rPr>
          <w:spacing w:val="1"/>
          <w:sz w:val="18"/>
        </w:rPr>
        <w:t xml:space="preserve"> </w:t>
      </w:r>
      <w:r>
        <w:rPr>
          <w:sz w:val="18"/>
        </w:rPr>
        <w:t>2018,</w:t>
      </w:r>
      <w:r>
        <w:rPr>
          <w:spacing w:val="-3"/>
          <w:sz w:val="18"/>
        </w:rPr>
        <w:t xml:space="preserve"> </w:t>
      </w:r>
      <w:r>
        <w:rPr>
          <w:sz w:val="18"/>
        </w:rPr>
        <w:t>release</w:t>
      </w:r>
      <w:r>
        <w:rPr>
          <w:spacing w:val="-1"/>
          <w:sz w:val="18"/>
        </w:rPr>
        <w:t xml:space="preserve"> </w:t>
      </w:r>
      <w:r>
        <w:rPr>
          <w:sz w:val="18"/>
        </w:rPr>
        <w:t>2020,</w:t>
      </w:r>
      <w:r>
        <w:rPr>
          <w:spacing w:val="-1"/>
          <w:sz w:val="18"/>
        </w:rPr>
        <w:t xml:space="preserve"> </w:t>
      </w:r>
      <w:r>
        <w:rPr>
          <w:sz w:val="18"/>
        </w:rPr>
        <w:t>v.1,</w:t>
      </w:r>
      <w:r>
        <w:rPr>
          <w:spacing w:val="1"/>
          <w:sz w:val="18"/>
        </w:rPr>
        <w:t xml:space="preserve"> </w:t>
      </w:r>
      <w:r>
        <w:rPr>
          <w:sz w:val="18"/>
        </w:rPr>
        <w:t>and</w:t>
      </w:r>
      <w:r>
        <w:rPr>
          <w:spacing w:val="-2"/>
          <w:sz w:val="18"/>
        </w:rPr>
        <w:t xml:space="preserve"> </w:t>
      </w:r>
      <w:r>
        <w:rPr>
          <w:sz w:val="18"/>
        </w:rPr>
        <w:t>EU-SILC</w:t>
      </w:r>
      <w:r>
        <w:rPr>
          <w:spacing w:val="-1"/>
          <w:sz w:val="18"/>
        </w:rPr>
        <w:t xml:space="preserve"> </w:t>
      </w:r>
      <w:r>
        <w:rPr>
          <w:sz w:val="18"/>
        </w:rPr>
        <w:t>UDB</w:t>
      </w:r>
      <w:r>
        <w:rPr>
          <w:spacing w:val="-1"/>
          <w:sz w:val="18"/>
        </w:rPr>
        <w:t xml:space="preserve"> </w:t>
      </w:r>
      <w:r>
        <w:rPr>
          <w:sz w:val="18"/>
        </w:rPr>
        <w:t>2020,</w:t>
      </w:r>
      <w:r>
        <w:rPr>
          <w:spacing w:val="-3"/>
          <w:sz w:val="18"/>
        </w:rPr>
        <w:t xml:space="preserve"> </w:t>
      </w:r>
      <w:r>
        <w:rPr>
          <w:sz w:val="18"/>
        </w:rPr>
        <w:t>v.1,</w:t>
      </w:r>
      <w:r>
        <w:rPr>
          <w:spacing w:val="-1"/>
          <w:sz w:val="18"/>
        </w:rPr>
        <w:t xml:space="preserve"> </w:t>
      </w:r>
      <w:r>
        <w:rPr>
          <w:sz w:val="18"/>
        </w:rPr>
        <w:t>April</w:t>
      </w:r>
      <w:r>
        <w:rPr>
          <w:spacing w:val="-2"/>
          <w:sz w:val="18"/>
        </w:rPr>
        <w:t xml:space="preserve"> </w:t>
      </w:r>
      <w:r>
        <w:rPr>
          <w:sz w:val="18"/>
        </w:rPr>
        <w:t>2022.</w:t>
      </w:r>
    </w:p>
    <w:p w:rsidR="005B1E95" w:rsidRDefault="005B1E95">
      <w:pPr>
        <w:spacing w:line="278" w:lineRule="auto"/>
        <w:rPr>
          <w:sz w:val="18"/>
        </w:rPr>
        <w:sectPr w:rsidR="005B1E95">
          <w:pgSz w:w="12240" w:h="15840"/>
          <w:pgMar w:top="1360" w:right="1200" w:bottom="1160" w:left="1300" w:header="0" w:footer="964" w:gutter="0"/>
          <w:cols w:space="720"/>
        </w:sectPr>
      </w:pPr>
    </w:p>
    <w:p w:rsidR="005B1E95" w:rsidRDefault="00526895">
      <w:pPr>
        <w:spacing w:before="68" w:line="278" w:lineRule="auto"/>
        <w:ind w:left="140" w:right="298"/>
        <w:rPr>
          <w:sz w:val="18"/>
        </w:rPr>
      </w:pPr>
      <w:r>
        <w:rPr>
          <w:sz w:val="18"/>
        </w:rPr>
        <w:t>Note:</w:t>
      </w:r>
      <w:r>
        <w:rPr>
          <w:spacing w:val="-2"/>
          <w:sz w:val="18"/>
        </w:rPr>
        <w:t xml:space="preserve"> </w:t>
      </w:r>
      <w:r>
        <w:rPr>
          <w:sz w:val="18"/>
        </w:rPr>
        <w:t>Data</w:t>
      </w:r>
      <w:r>
        <w:rPr>
          <w:spacing w:val="-2"/>
          <w:sz w:val="18"/>
        </w:rPr>
        <w:t xml:space="preserve"> </w:t>
      </w:r>
      <w:r>
        <w:rPr>
          <w:sz w:val="18"/>
        </w:rPr>
        <w:t>cover</w:t>
      </w:r>
      <w:r>
        <w:rPr>
          <w:spacing w:val="-2"/>
          <w:sz w:val="18"/>
        </w:rPr>
        <w:t xml:space="preserve"> </w:t>
      </w:r>
      <w:r>
        <w:rPr>
          <w:sz w:val="18"/>
        </w:rPr>
        <w:t>only</w:t>
      </w:r>
      <w:r>
        <w:rPr>
          <w:spacing w:val="-5"/>
          <w:sz w:val="18"/>
        </w:rPr>
        <w:t xml:space="preserve"> </w:t>
      </w:r>
      <w:r>
        <w:rPr>
          <w:sz w:val="18"/>
        </w:rPr>
        <w:t>persons</w:t>
      </w:r>
      <w:r>
        <w:rPr>
          <w:spacing w:val="-2"/>
          <w:sz w:val="18"/>
        </w:rPr>
        <w:t xml:space="preserve"> </w:t>
      </w:r>
      <w:r>
        <w:rPr>
          <w:sz w:val="18"/>
        </w:rPr>
        <w:t>working</w:t>
      </w:r>
      <w:r>
        <w:rPr>
          <w:spacing w:val="-2"/>
          <w:sz w:val="18"/>
        </w:rPr>
        <w:t xml:space="preserve"> </w:t>
      </w:r>
      <w:r>
        <w:rPr>
          <w:sz w:val="18"/>
        </w:rPr>
        <w:t>less</w:t>
      </w:r>
      <w:r>
        <w:rPr>
          <w:spacing w:val="-1"/>
          <w:sz w:val="18"/>
        </w:rPr>
        <w:t xml:space="preserve"> </w:t>
      </w:r>
      <w:r>
        <w:rPr>
          <w:sz w:val="18"/>
        </w:rPr>
        <w:t>than</w:t>
      </w:r>
      <w:r>
        <w:rPr>
          <w:spacing w:val="-2"/>
          <w:sz w:val="18"/>
        </w:rPr>
        <w:t xml:space="preserve"> </w:t>
      </w:r>
      <w:r>
        <w:rPr>
          <w:sz w:val="18"/>
        </w:rPr>
        <w:t>30</w:t>
      </w:r>
      <w:r>
        <w:rPr>
          <w:spacing w:val="-3"/>
          <w:sz w:val="18"/>
        </w:rPr>
        <w:t xml:space="preserve"> </w:t>
      </w:r>
      <w:r>
        <w:rPr>
          <w:sz w:val="18"/>
        </w:rPr>
        <w:t>hours</w:t>
      </w:r>
      <w:r>
        <w:rPr>
          <w:spacing w:val="-1"/>
          <w:sz w:val="18"/>
        </w:rPr>
        <w:t xml:space="preserve"> </w:t>
      </w:r>
      <w:r>
        <w:rPr>
          <w:sz w:val="18"/>
        </w:rPr>
        <w:t>per</w:t>
      </w:r>
      <w:r>
        <w:rPr>
          <w:spacing w:val="-2"/>
          <w:sz w:val="18"/>
        </w:rPr>
        <w:t xml:space="preserve"> </w:t>
      </w:r>
      <w:r>
        <w:rPr>
          <w:sz w:val="18"/>
        </w:rPr>
        <w:t>week. Data</w:t>
      </w:r>
      <w:r>
        <w:rPr>
          <w:spacing w:val="-2"/>
          <w:sz w:val="18"/>
        </w:rPr>
        <w:t xml:space="preserve"> </w:t>
      </w:r>
      <w:r>
        <w:rPr>
          <w:sz w:val="18"/>
        </w:rPr>
        <w:t>for</w:t>
      </w:r>
      <w:r>
        <w:rPr>
          <w:spacing w:val="-3"/>
          <w:sz w:val="18"/>
        </w:rPr>
        <w:t xml:space="preserve"> </w:t>
      </w:r>
      <w:r>
        <w:rPr>
          <w:sz w:val="18"/>
        </w:rPr>
        <w:t>Germany</w:t>
      </w:r>
      <w:r>
        <w:rPr>
          <w:spacing w:val="-3"/>
          <w:sz w:val="18"/>
        </w:rPr>
        <w:t xml:space="preserve"> </w:t>
      </w:r>
      <w:r>
        <w:rPr>
          <w:sz w:val="18"/>
        </w:rPr>
        <w:t>and Italy</w:t>
      </w:r>
      <w:r>
        <w:rPr>
          <w:spacing w:val="-3"/>
          <w:sz w:val="18"/>
        </w:rPr>
        <w:t xml:space="preserve"> </w:t>
      </w:r>
      <w:r>
        <w:rPr>
          <w:sz w:val="18"/>
        </w:rPr>
        <w:t>refer to</w:t>
      </w:r>
      <w:r>
        <w:rPr>
          <w:spacing w:val="-2"/>
          <w:sz w:val="18"/>
        </w:rPr>
        <w:t xml:space="preserve"> </w:t>
      </w:r>
      <w:r>
        <w:rPr>
          <w:sz w:val="18"/>
        </w:rPr>
        <w:t>2019.</w:t>
      </w:r>
      <w:r>
        <w:rPr>
          <w:spacing w:val="-4"/>
          <w:sz w:val="18"/>
        </w:rPr>
        <w:t xml:space="preserve"> </w:t>
      </w:r>
      <w:r>
        <w:rPr>
          <w:sz w:val="18"/>
        </w:rPr>
        <w:t>This</w:t>
      </w:r>
      <w:r>
        <w:rPr>
          <w:spacing w:val="-2"/>
          <w:sz w:val="18"/>
        </w:rPr>
        <w:t xml:space="preserve"> </w:t>
      </w:r>
      <w:r>
        <w:rPr>
          <w:sz w:val="18"/>
        </w:rPr>
        <w:t>affects</w:t>
      </w:r>
      <w:r>
        <w:rPr>
          <w:spacing w:val="-2"/>
          <w:sz w:val="18"/>
        </w:rPr>
        <w:t xml:space="preserve"> </w:t>
      </w:r>
      <w:r>
        <w:rPr>
          <w:sz w:val="18"/>
        </w:rPr>
        <w:t>the</w:t>
      </w:r>
      <w:r>
        <w:rPr>
          <w:spacing w:val="-42"/>
          <w:sz w:val="18"/>
        </w:rPr>
        <w:t xml:space="preserve"> </w:t>
      </w:r>
      <w:r>
        <w:rPr>
          <w:sz w:val="18"/>
        </w:rPr>
        <w:t>EU</w:t>
      </w:r>
      <w:r>
        <w:rPr>
          <w:spacing w:val="-2"/>
          <w:sz w:val="18"/>
        </w:rPr>
        <w:t xml:space="preserve"> </w:t>
      </w:r>
      <w:r>
        <w:rPr>
          <w:sz w:val="18"/>
        </w:rPr>
        <w:t>aggregate.</w:t>
      </w:r>
    </w:p>
    <w:p w:rsidR="005B1E95" w:rsidRDefault="005B1E95">
      <w:pPr>
        <w:pStyle w:val="BodyText"/>
        <w:spacing w:before="8"/>
        <w:ind w:left="0"/>
        <w:rPr>
          <w:sz w:val="28"/>
        </w:rPr>
      </w:pPr>
    </w:p>
    <w:p w:rsidR="005B1E95" w:rsidRDefault="00526895">
      <w:pPr>
        <w:pStyle w:val="Heading3"/>
        <w:spacing w:before="1"/>
        <w:ind w:right="242"/>
      </w:pPr>
      <w:r>
        <w:t>Table</w:t>
      </w:r>
      <w:r>
        <w:rPr>
          <w:spacing w:val="5"/>
        </w:rPr>
        <w:t xml:space="preserve"> </w:t>
      </w:r>
      <w:r>
        <w:t>B.6:</w:t>
      </w:r>
      <w:r>
        <w:rPr>
          <w:spacing w:val="6"/>
        </w:rPr>
        <w:t xml:space="preserve"> </w:t>
      </w:r>
      <w:r>
        <w:t>Persons</w:t>
      </w:r>
      <w:r>
        <w:rPr>
          <w:spacing w:val="8"/>
        </w:rPr>
        <w:t xml:space="preserve"> </w:t>
      </w:r>
      <w:r>
        <w:t>who</w:t>
      </w:r>
      <w:r>
        <w:rPr>
          <w:spacing w:val="8"/>
        </w:rPr>
        <w:t xml:space="preserve"> </w:t>
      </w:r>
      <w:r>
        <w:t>would</w:t>
      </w:r>
      <w:r>
        <w:rPr>
          <w:spacing w:val="8"/>
        </w:rPr>
        <w:t xml:space="preserve"> </w:t>
      </w:r>
      <w:r>
        <w:t>like</w:t>
      </w:r>
      <w:r>
        <w:rPr>
          <w:spacing w:val="9"/>
        </w:rPr>
        <w:t xml:space="preserve"> </w:t>
      </w:r>
      <w:r>
        <w:t>to</w:t>
      </w:r>
      <w:r>
        <w:rPr>
          <w:spacing w:val="6"/>
        </w:rPr>
        <w:t xml:space="preserve"> </w:t>
      </w:r>
      <w:r>
        <w:t>work</w:t>
      </w:r>
      <w:r>
        <w:rPr>
          <w:spacing w:val="7"/>
        </w:rPr>
        <w:t xml:space="preserve"> </w:t>
      </w:r>
      <w:r>
        <w:t>more</w:t>
      </w:r>
      <w:r>
        <w:rPr>
          <w:spacing w:val="8"/>
        </w:rPr>
        <w:t xml:space="preserve"> </w:t>
      </w:r>
      <w:r>
        <w:t>hours</w:t>
      </w:r>
      <w:r>
        <w:rPr>
          <w:spacing w:val="7"/>
        </w:rPr>
        <w:t xml:space="preserve"> </w:t>
      </w:r>
      <w:r>
        <w:t>but</w:t>
      </w:r>
      <w:r>
        <w:rPr>
          <w:spacing w:val="6"/>
        </w:rPr>
        <w:t xml:space="preserve"> </w:t>
      </w:r>
      <w:r>
        <w:t>cannot</w:t>
      </w:r>
      <w:r>
        <w:rPr>
          <w:spacing w:val="8"/>
        </w:rPr>
        <w:t xml:space="preserve"> </w:t>
      </w:r>
      <w:r>
        <w:t>find</w:t>
      </w:r>
      <w:r>
        <w:rPr>
          <w:spacing w:val="10"/>
        </w:rPr>
        <w:t xml:space="preserve"> </w:t>
      </w:r>
      <w:r>
        <w:t>a</w:t>
      </w:r>
      <w:r>
        <w:rPr>
          <w:spacing w:val="8"/>
        </w:rPr>
        <w:t xml:space="preserve"> </w:t>
      </w:r>
      <w:r>
        <w:t>job(s)</w:t>
      </w:r>
      <w:r>
        <w:rPr>
          <w:spacing w:val="7"/>
        </w:rPr>
        <w:t xml:space="preserve"> </w:t>
      </w:r>
      <w:r>
        <w:t>or</w:t>
      </w:r>
      <w:r>
        <w:rPr>
          <w:spacing w:val="6"/>
        </w:rPr>
        <w:t xml:space="preserve"> </w:t>
      </w:r>
      <w:r>
        <w:t>work(s)</w:t>
      </w:r>
      <w:r>
        <w:rPr>
          <w:spacing w:val="-57"/>
        </w:rPr>
        <w:t xml:space="preserve"> </w:t>
      </w:r>
      <w:r>
        <w:t>of more</w:t>
      </w:r>
      <w:r>
        <w:rPr>
          <w:spacing w:val="-3"/>
        </w:rPr>
        <w:t xml:space="preserve"> </w:t>
      </w:r>
      <w:r>
        <w:t>hours,</w:t>
      </w:r>
      <w:r>
        <w:rPr>
          <w:spacing w:val="-1"/>
        </w:rPr>
        <w:t xml:space="preserve"> </w:t>
      </w:r>
      <w:r>
        <w:t>EU</w:t>
      </w:r>
      <w:r>
        <w:rPr>
          <w:spacing w:val="-1"/>
        </w:rPr>
        <w:t xml:space="preserve"> </w:t>
      </w:r>
      <w:r>
        <w:t>level,</w:t>
      </w:r>
      <w:r>
        <w:rPr>
          <w:spacing w:val="-1"/>
        </w:rPr>
        <w:t xml:space="preserve"> </w:t>
      </w:r>
      <w:r>
        <w:t>2020,</w:t>
      </w:r>
      <w:r>
        <w:rPr>
          <w:spacing w:val="-1"/>
        </w:rPr>
        <w:t xml:space="preserve"> </w:t>
      </w:r>
      <w:r>
        <w:t>%</w:t>
      </w:r>
    </w:p>
    <w:p w:rsidR="005B1E95" w:rsidRDefault="005B1E95">
      <w:pPr>
        <w:pStyle w:val="BodyText"/>
        <w:spacing w:before="5" w:after="1"/>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586"/>
        <w:gridCol w:w="4579"/>
      </w:tblGrid>
      <w:tr w:rsidR="005B1E95">
        <w:trPr>
          <w:trHeight w:val="413"/>
        </w:trPr>
        <w:tc>
          <w:tcPr>
            <w:tcW w:w="4586" w:type="dxa"/>
            <w:tcBorders>
              <w:left w:val="nil"/>
              <w:right w:val="single" w:sz="4" w:space="0" w:color="000000"/>
            </w:tcBorders>
          </w:tcPr>
          <w:p w:rsidR="005B1E95" w:rsidRDefault="00526895">
            <w:pPr>
              <w:pStyle w:val="TableParagraph"/>
              <w:spacing w:before="105"/>
              <w:ind w:left="1370" w:right="1325"/>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4579" w:type="dxa"/>
            <w:tcBorders>
              <w:left w:val="single" w:sz="4" w:space="0" w:color="000000"/>
              <w:right w:val="nil"/>
            </w:tcBorders>
          </w:tcPr>
          <w:p w:rsidR="005B1E95" w:rsidRDefault="00526895">
            <w:pPr>
              <w:pStyle w:val="TableParagraph"/>
              <w:spacing w:line="208" w:lineRule="exact"/>
              <w:ind w:left="1680" w:right="1658"/>
              <w:rPr>
                <w:b/>
                <w:sz w:val="18"/>
              </w:rPr>
            </w:pPr>
            <w:r>
              <w:rPr>
                <w:b/>
                <w:spacing w:val="-1"/>
                <w:sz w:val="18"/>
              </w:rPr>
              <w:t xml:space="preserve">Persons </w:t>
            </w:r>
            <w:r>
              <w:rPr>
                <w:b/>
                <w:sz w:val="18"/>
              </w:rPr>
              <w:t>without</w:t>
            </w:r>
            <w:r>
              <w:rPr>
                <w:b/>
                <w:spacing w:val="-42"/>
                <w:sz w:val="18"/>
              </w:rPr>
              <w:t xml:space="preserve"> </w:t>
            </w:r>
            <w:r>
              <w:rPr>
                <w:b/>
                <w:sz w:val="18"/>
              </w:rPr>
              <w:t>disabilities</w:t>
            </w:r>
          </w:p>
        </w:tc>
      </w:tr>
      <w:tr w:rsidR="005B1E95">
        <w:trPr>
          <w:trHeight w:val="344"/>
        </w:trPr>
        <w:tc>
          <w:tcPr>
            <w:tcW w:w="4586" w:type="dxa"/>
            <w:tcBorders>
              <w:left w:val="nil"/>
              <w:right w:val="single" w:sz="4" w:space="0" w:color="000000"/>
            </w:tcBorders>
          </w:tcPr>
          <w:p w:rsidR="005B1E95" w:rsidRDefault="00526895">
            <w:pPr>
              <w:pStyle w:val="TableParagraph"/>
              <w:spacing w:before="62"/>
              <w:ind w:left="1370" w:right="1320"/>
              <w:rPr>
                <w:sz w:val="18"/>
              </w:rPr>
            </w:pPr>
            <w:r>
              <w:rPr>
                <w:sz w:val="18"/>
              </w:rPr>
              <w:t>14.7</w:t>
            </w:r>
          </w:p>
        </w:tc>
        <w:tc>
          <w:tcPr>
            <w:tcW w:w="4579" w:type="dxa"/>
            <w:tcBorders>
              <w:left w:val="single" w:sz="4" w:space="0" w:color="000000"/>
              <w:right w:val="nil"/>
            </w:tcBorders>
          </w:tcPr>
          <w:p w:rsidR="005B1E95" w:rsidRDefault="00526895">
            <w:pPr>
              <w:pStyle w:val="TableParagraph"/>
              <w:spacing w:before="62"/>
              <w:ind w:left="1680" w:right="1657"/>
              <w:rPr>
                <w:sz w:val="18"/>
              </w:rPr>
            </w:pPr>
            <w:r>
              <w:rPr>
                <w:sz w:val="18"/>
              </w:rPr>
              <w:t>21.1</w:t>
            </w:r>
          </w:p>
        </w:tc>
      </w:tr>
    </w:tbl>
    <w:p w:rsidR="005B1E95" w:rsidRDefault="00526895">
      <w:pPr>
        <w:spacing w:before="28" w:line="278" w:lineRule="auto"/>
        <w:ind w:left="140" w:right="249"/>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“The</w:t>
      </w:r>
      <w:r>
        <w:rPr>
          <w:spacing w:val="-3"/>
          <w:sz w:val="18"/>
        </w:rPr>
        <w:t xml:space="preserve"> </w:t>
      </w:r>
      <w:r>
        <w:rPr>
          <w:sz w:val="18"/>
        </w:rPr>
        <w:t>employment</w:t>
      </w:r>
      <w:r>
        <w:rPr>
          <w:spacing w:val="-2"/>
          <w:sz w:val="18"/>
        </w:rPr>
        <w:t xml:space="preserve"> </w:t>
      </w:r>
      <w:r>
        <w:rPr>
          <w:sz w:val="18"/>
        </w:rPr>
        <w:t>of</w:t>
      </w:r>
      <w:r>
        <w:rPr>
          <w:spacing w:val="-5"/>
          <w:sz w:val="18"/>
        </w:rPr>
        <w:t xml:space="preserve"> </w:t>
      </w:r>
      <w:r>
        <w:rPr>
          <w:sz w:val="18"/>
        </w:rPr>
        <w:t>persons</w:t>
      </w:r>
      <w:r>
        <w:rPr>
          <w:spacing w:val="-2"/>
          <w:sz w:val="18"/>
        </w:rPr>
        <w:t xml:space="preserve"> </w:t>
      </w:r>
      <w:r>
        <w:rPr>
          <w:sz w:val="18"/>
        </w:rPr>
        <w:t>with</w:t>
      </w:r>
      <w:r>
        <w:rPr>
          <w:spacing w:val="-3"/>
          <w:sz w:val="18"/>
        </w:rPr>
        <w:t xml:space="preserve"> </w:t>
      </w:r>
      <w:r>
        <w:rPr>
          <w:sz w:val="18"/>
        </w:rPr>
        <w:t>disabilities”,</w:t>
      </w:r>
      <w:r>
        <w:rPr>
          <w:spacing w:val="-4"/>
          <w:sz w:val="18"/>
        </w:rPr>
        <w:t xml:space="preserve"> </w:t>
      </w:r>
      <w:r>
        <w:rPr>
          <w:sz w:val="18"/>
        </w:rPr>
        <w:t>European</w:t>
      </w:r>
      <w:r>
        <w:rPr>
          <w:spacing w:val="-3"/>
          <w:sz w:val="18"/>
        </w:rPr>
        <w:t xml:space="preserve"> </w:t>
      </w:r>
      <w:r>
        <w:rPr>
          <w:sz w:val="18"/>
        </w:rPr>
        <w:t>Disability</w:t>
      </w:r>
      <w:r>
        <w:rPr>
          <w:spacing w:val="-3"/>
          <w:sz w:val="18"/>
        </w:rPr>
        <w:t xml:space="preserve"> </w:t>
      </w:r>
      <w:r>
        <w:rPr>
          <w:sz w:val="18"/>
        </w:rPr>
        <w:t>Expertise,</w:t>
      </w:r>
      <w:r>
        <w:rPr>
          <w:spacing w:val="-4"/>
          <w:sz w:val="18"/>
        </w:rPr>
        <w:t xml:space="preserve"> </w:t>
      </w:r>
      <w:r>
        <w:rPr>
          <w:sz w:val="18"/>
        </w:rPr>
        <w:t>forthcoming.</w:t>
      </w:r>
      <w:r>
        <w:rPr>
          <w:spacing w:val="-1"/>
          <w:sz w:val="18"/>
        </w:rPr>
        <w:t xml:space="preserve"> </w:t>
      </w:r>
      <w:r>
        <w:rPr>
          <w:sz w:val="18"/>
        </w:rPr>
        <w:t>Data</w:t>
      </w:r>
      <w:r>
        <w:rPr>
          <w:spacing w:val="-42"/>
          <w:sz w:val="18"/>
        </w:rPr>
        <w:t xml:space="preserve"> </w:t>
      </w:r>
      <w:r>
        <w:rPr>
          <w:sz w:val="18"/>
        </w:rPr>
        <w:t>sources: EU-SILC</w:t>
      </w:r>
      <w:r>
        <w:rPr>
          <w:spacing w:val="1"/>
          <w:sz w:val="18"/>
        </w:rPr>
        <w:t xml:space="preserve"> </w:t>
      </w:r>
      <w:r>
        <w:rPr>
          <w:sz w:val="18"/>
        </w:rPr>
        <w:t>UDB</w:t>
      </w:r>
      <w:r>
        <w:rPr>
          <w:spacing w:val="1"/>
          <w:sz w:val="18"/>
        </w:rPr>
        <w:t xml:space="preserve"> </w:t>
      </w:r>
      <w:r>
        <w:rPr>
          <w:sz w:val="18"/>
        </w:rPr>
        <w:t>2018,</w:t>
      </w:r>
      <w:r>
        <w:rPr>
          <w:spacing w:val="-3"/>
          <w:sz w:val="18"/>
        </w:rPr>
        <w:t xml:space="preserve"> </w:t>
      </w:r>
      <w:r>
        <w:rPr>
          <w:sz w:val="18"/>
        </w:rPr>
        <w:t>release</w:t>
      </w:r>
      <w:r>
        <w:rPr>
          <w:spacing w:val="-1"/>
          <w:sz w:val="18"/>
        </w:rPr>
        <w:t xml:space="preserve"> </w:t>
      </w:r>
      <w:r>
        <w:rPr>
          <w:sz w:val="18"/>
        </w:rPr>
        <w:t>2020,</w:t>
      </w:r>
      <w:r>
        <w:rPr>
          <w:spacing w:val="-1"/>
          <w:sz w:val="18"/>
        </w:rPr>
        <w:t xml:space="preserve"> </w:t>
      </w:r>
      <w:r>
        <w:rPr>
          <w:sz w:val="18"/>
        </w:rPr>
        <w:t>v.1,</w:t>
      </w:r>
      <w:r>
        <w:rPr>
          <w:spacing w:val="1"/>
          <w:sz w:val="18"/>
        </w:rPr>
        <w:t xml:space="preserve"> </w:t>
      </w:r>
      <w:r>
        <w:rPr>
          <w:sz w:val="18"/>
        </w:rPr>
        <w:t>and</w:t>
      </w:r>
      <w:r>
        <w:rPr>
          <w:spacing w:val="-2"/>
          <w:sz w:val="18"/>
        </w:rPr>
        <w:t xml:space="preserve"> </w:t>
      </w:r>
      <w:r>
        <w:rPr>
          <w:sz w:val="18"/>
        </w:rPr>
        <w:t>EU-SILC</w:t>
      </w:r>
      <w:r>
        <w:rPr>
          <w:spacing w:val="-1"/>
          <w:sz w:val="18"/>
        </w:rPr>
        <w:t xml:space="preserve"> </w:t>
      </w:r>
      <w:r>
        <w:rPr>
          <w:sz w:val="18"/>
        </w:rPr>
        <w:t>UDB</w:t>
      </w:r>
      <w:r>
        <w:rPr>
          <w:spacing w:val="-1"/>
          <w:sz w:val="18"/>
        </w:rPr>
        <w:t xml:space="preserve"> </w:t>
      </w:r>
      <w:r>
        <w:rPr>
          <w:sz w:val="18"/>
        </w:rPr>
        <w:t>2020,</w:t>
      </w:r>
      <w:r>
        <w:rPr>
          <w:spacing w:val="-3"/>
          <w:sz w:val="18"/>
        </w:rPr>
        <w:t xml:space="preserve"> </w:t>
      </w:r>
      <w:r>
        <w:rPr>
          <w:sz w:val="18"/>
        </w:rPr>
        <w:t>v.1,</w:t>
      </w:r>
      <w:r>
        <w:rPr>
          <w:spacing w:val="-1"/>
          <w:sz w:val="18"/>
        </w:rPr>
        <w:t xml:space="preserve"> </w:t>
      </w:r>
      <w:r>
        <w:rPr>
          <w:sz w:val="18"/>
        </w:rPr>
        <w:t>April</w:t>
      </w:r>
      <w:r>
        <w:rPr>
          <w:spacing w:val="-2"/>
          <w:sz w:val="18"/>
        </w:rPr>
        <w:t xml:space="preserve"> </w:t>
      </w:r>
      <w:r>
        <w:rPr>
          <w:sz w:val="18"/>
        </w:rPr>
        <w:t>2022.</w:t>
      </w:r>
    </w:p>
    <w:p w:rsidR="005B1E95" w:rsidRDefault="005B1E95">
      <w:pPr>
        <w:pStyle w:val="BodyText"/>
        <w:spacing w:before="10"/>
        <w:ind w:left="0"/>
      </w:pPr>
    </w:p>
    <w:p w:rsidR="005B1E95" w:rsidRDefault="00526895">
      <w:pPr>
        <w:spacing w:line="278" w:lineRule="auto"/>
        <w:ind w:left="140" w:right="298"/>
        <w:rPr>
          <w:sz w:val="18"/>
        </w:rPr>
      </w:pPr>
      <w:r>
        <w:rPr>
          <w:sz w:val="18"/>
        </w:rPr>
        <w:t>Note:</w:t>
      </w:r>
      <w:r>
        <w:rPr>
          <w:spacing w:val="-2"/>
          <w:sz w:val="18"/>
        </w:rPr>
        <w:t xml:space="preserve"> </w:t>
      </w:r>
      <w:r>
        <w:rPr>
          <w:sz w:val="18"/>
        </w:rPr>
        <w:t>Data</w:t>
      </w:r>
      <w:r>
        <w:rPr>
          <w:spacing w:val="-2"/>
          <w:sz w:val="18"/>
        </w:rPr>
        <w:t xml:space="preserve"> </w:t>
      </w:r>
      <w:r>
        <w:rPr>
          <w:sz w:val="18"/>
        </w:rPr>
        <w:t>cover</w:t>
      </w:r>
      <w:r>
        <w:rPr>
          <w:spacing w:val="-2"/>
          <w:sz w:val="18"/>
        </w:rPr>
        <w:t xml:space="preserve"> </w:t>
      </w:r>
      <w:r>
        <w:rPr>
          <w:sz w:val="18"/>
        </w:rPr>
        <w:t>only</w:t>
      </w:r>
      <w:r>
        <w:rPr>
          <w:spacing w:val="-5"/>
          <w:sz w:val="18"/>
        </w:rPr>
        <w:t xml:space="preserve"> </w:t>
      </w:r>
      <w:r>
        <w:rPr>
          <w:sz w:val="18"/>
        </w:rPr>
        <w:t>persons</w:t>
      </w:r>
      <w:r>
        <w:rPr>
          <w:spacing w:val="-2"/>
          <w:sz w:val="18"/>
        </w:rPr>
        <w:t xml:space="preserve"> </w:t>
      </w:r>
      <w:r>
        <w:rPr>
          <w:sz w:val="18"/>
        </w:rPr>
        <w:t>working</w:t>
      </w:r>
      <w:r>
        <w:rPr>
          <w:spacing w:val="-2"/>
          <w:sz w:val="18"/>
        </w:rPr>
        <w:t xml:space="preserve"> </w:t>
      </w:r>
      <w:r>
        <w:rPr>
          <w:sz w:val="18"/>
        </w:rPr>
        <w:t>less</w:t>
      </w:r>
      <w:r>
        <w:rPr>
          <w:spacing w:val="-1"/>
          <w:sz w:val="18"/>
        </w:rPr>
        <w:t xml:space="preserve"> </w:t>
      </w:r>
      <w:r>
        <w:rPr>
          <w:sz w:val="18"/>
        </w:rPr>
        <w:t>than</w:t>
      </w:r>
      <w:r>
        <w:rPr>
          <w:spacing w:val="-2"/>
          <w:sz w:val="18"/>
        </w:rPr>
        <w:t xml:space="preserve"> </w:t>
      </w:r>
      <w:r>
        <w:rPr>
          <w:sz w:val="18"/>
        </w:rPr>
        <w:t>30</w:t>
      </w:r>
      <w:r>
        <w:rPr>
          <w:spacing w:val="-3"/>
          <w:sz w:val="18"/>
        </w:rPr>
        <w:t xml:space="preserve"> </w:t>
      </w:r>
      <w:r>
        <w:rPr>
          <w:sz w:val="18"/>
        </w:rPr>
        <w:t>hours</w:t>
      </w:r>
      <w:r>
        <w:rPr>
          <w:spacing w:val="-1"/>
          <w:sz w:val="18"/>
        </w:rPr>
        <w:t xml:space="preserve"> </w:t>
      </w:r>
      <w:r>
        <w:rPr>
          <w:sz w:val="18"/>
        </w:rPr>
        <w:t>per</w:t>
      </w:r>
      <w:r>
        <w:rPr>
          <w:spacing w:val="-2"/>
          <w:sz w:val="18"/>
        </w:rPr>
        <w:t xml:space="preserve"> </w:t>
      </w:r>
      <w:r>
        <w:rPr>
          <w:sz w:val="18"/>
        </w:rPr>
        <w:t>week. Data</w:t>
      </w:r>
      <w:r>
        <w:rPr>
          <w:spacing w:val="-2"/>
          <w:sz w:val="18"/>
        </w:rPr>
        <w:t xml:space="preserve"> </w:t>
      </w:r>
      <w:r>
        <w:rPr>
          <w:sz w:val="18"/>
        </w:rPr>
        <w:t>for</w:t>
      </w:r>
      <w:r>
        <w:rPr>
          <w:spacing w:val="-3"/>
          <w:sz w:val="18"/>
        </w:rPr>
        <w:t xml:space="preserve"> </w:t>
      </w:r>
      <w:r>
        <w:rPr>
          <w:sz w:val="18"/>
        </w:rPr>
        <w:t>Germany</w:t>
      </w:r>
      <w:r>
        <w:rPr>
          <w:spacing w:val="-3"/>
          <w:sz w:val="18"/>
        </w:rPr>
        <w:t xml:space="preserve"> </w:t>
      </w:r>
      <w:r>
        <w:rPr>
          <w:sz w:val="18"/>
        </w:rPr>
        <w:t>and Italy</w:t>
      </w:r>
      <w:r>
        <w:rPr>
          <w:spacing w:val="-3"/>
          <w:sz w:val="18"/>
        </w:rPr>
        <w:t xml:space="preserve"> </w:t>
      </w:r>
      <w:r>
        <w:rPr>
          <w:sz w:val="18"/>
        </w:rPr>
        <w:t>refer to</w:t>
      </w:r>
      <w:r>
        <w:rPr>
          <w:spacing w:val="-2"/>
          <w:sz w:val="18"/>
        </w:rPr>
        <w:t xml:space="preserve"> </w:t>
      </w:r>
      <w:r>
        <w:rPr>
          <w:sz w:val="18"/>
        </w:rPr>
        <w:t>2019.</w:t>
      </w:r>
      <w:r>
        <w:rPr>
          <w:spacing w:val="-4"/>
          <w:sz w:val="18"/>
        </w:rPr>
        <w:t xml:space="preserve"> </w:t>
      </w:r>
      <w:r>
        <w:rPr>
          <w:sz w:val="18"/>
        </w:rPr>
        <w:t>This</w:t>
      </w:r>
      <w:r>
        <w:rPr>
          <w:spacing w:val="-2"/>
          <w:sz w:val="18"/>
        </w:rPr>
        <w:t xml:space="preserve"> </w:t>
      </w:r>
      <w:r>
        <w:rPr>
          <w:sz w:val="18"/>
        </w:rPr>
        <w:t>affects</w:t>
      </w:r>
      <w:r>
        <w:rPr>
          <w:spacing w:val="-2"/>
          <w:sz w:val="18"/>
        </w:rPr>
        <w:t xml:space="preserve"> </w:t>
      </w:r>
      <w:r>
        <w:rPr>
          <w:sz w:val="18"/>
        </w:rPr>
        <w:t>the</w:t>
      </w:r>
      <w:r>
        <w:rPr>
          <w:spacing w:val="-42"/>
          <w:sz w:val="18"/>
        </w:rPr>
        <w:t xml:space="preserve"> </w:t>
      </w:r>
      <w:r>
        <w:rPr>
          <w:sz w:val="18"/>
        </w:rPr>
        <w:t>EU</w:t>
      </w:r>
      <w:r>
        <w:rPr>
          <w:spacing w:val="-2"/>
          <w:sz w:val="18"/>
        </w:rPr>
        <w:t xml:space="preserve"> </w:t>
      </w:r>
      <w:r>
        <w:rPr>
          <w:sz w:val="18"/>
        </w:rPr>
        <w:t>aggregate.</w:t>
      </w:r>
    </w:p>
    <w:p w:rsidR="005B1E95" w:rsidRDefault="005B1E95">
      <w:pPr>
        <w:pStyle w:val="BodyText"/>
        <w:spacing w:before="8"/>
        <w:ind w:left="0"/>
        <w:rPr>
          <w:sz w:val="28"/>
        </w:rPr>
      </w:pPr>
    </w:p>
    <w:p w:rsidR="005B1E95" w:rsidRDefault="00526895">
      <w:pPr>
        <w:pStyle w:val="Heading3"/>
      </w:pPr>
      <w:r>
        <w:t>Table</w:t>
      </w:r>
      <w:r>
        <w:rPr>
          <w:spacing w:val="-5"/>
        </w:rPr>
        <w:t xml:space="preserve"> </w:t>
      </w:r>
      <w:r>
        <w:t>B.7:</w:t>
      </w:r>
      <w:r>
        <w:rPr>
          <w:spacing w:val="-4"/>
        </w:rPr>
        <w:t xml:space="preserve"> </w:t>
      </w:r>
      <w:r>
        <w:t>Unemployment</w:t>
      </w:r>
      <w:r>
        <w:rPr>
          <w:spacing w:val="-2"/>
        </w:rPr>
        <w:t xml:space="preserve"> </w:t>
      </w:r>
      <w:r>
        <w:t>(persons</w:t>
      </w:r>
      <w:r>
        <w:rPr>
          <w:spacing w:val="1"/>
        </w:rPr>
        <w:t xml:space="preserve"> </w:t>
      </w:r>
      <w:r>
        <w:t>aged</w:t>
      </w:r>
      <w:r>
        <w:rPr>
          <w:spacing w:val="-2"/>
        </w:rPr>
        <w:t xml:space="preserve"> </w:t>
      </w:r>
      <w:r>
        <w:t>20-64),</w:t>
      </w:r>
      <w:r>
        <w:rPr>
          <w:spacing w:val="-4"/>
        </w:rPr>
        <w:t xml:space="preserve"> </w:t>
      </w:r>
      <w:r>
        <w:t>EU level,</w:t>
      </w:r>
      <w:r>
        <w:rPr>
          <w:spacing w:val="-3"/>
        </w:rPr>
        <w:t xml:space="preserve"> </w:t>
      </w:r>
      <w:r>
        <w:t>2020,</w:t>
      </w:r>
      <w:r>
        <w:rPr>
          <w:spacing w:val="-2"/>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3"/>
        </w:trPr>
        <w:tc>
          <w:tcPr>
            <w:tcW w:w="3427" w:type="dxa"/>
            <w:tcBorders>
              <w:left w:val="nil"/>
              <w:right w:val="single" w:sz="4" w:space="0" w:color="000000"/>
            </w:tcBorders>
          </w:tcPr>
          <w:p w:rsidR="005B1E95" w:rsidRDefault="00526895">
            <w:pPr>
              <w:pStyle w:val="TableParagraph"/>
              <w:spacing w:before="102"/>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2"/>
              <w:ind w:left="609" w:right="592"/>
              <w:rPr>
                <w:b/>
                <w:sz w:val="18"/>
              </w:rPr>
            </w:pPr>
            <w:r>
              <w:rPr>
                <w:b/>
                <w:sz w:val="18"/>
              </w:rPr>
              <w:t>Total</w:t>
            </w:r>
          </w:p>
        </w:tc>
      </w:tr>
      <w:tr w:rsidR="005B1E95">
        <w:trPr>
          <w:trHeight w:val="270"/>
        </w:trPr>
        <w:tc>
          <w:tcPr>
            <w:tcW w:w="3427" w:type="dxa"/>
            <w:tcBorders>
              <w:left w:val="nil"/>
              <w:right w:val="single" w:sz="4" w:space="0" w:color="000000"/>
            </w:tcBorders>
          </w:tcPr>
          <w:p w:rsidR="005B1E95" w:rsidRDefault="00526895">
            <w:pPr>
              <w:pStyle w:val="TableParagraph"/>
              <w:spacing w:before="25"/>
              <w:ind w:left="789" w:right="742"/>
              <w:rPr>
                <w:sz w:val="18"/>
              </w:rPr>
            </w:pPr>
            <w:r>
              <w:rPr>
                <w:sz w:val="18"/>
              </w:rPr>
              <w:t>17.7</w:t>
            </w:r>
          </w:p>
        </w:tc>
        <w:tc>
          <w:tcPr>
            <w:tcW w:w="3521" w:type="dxa"/>
            <w:tcBorders>
              <w:left w:val="single" w:sz="4" w:space="0" w:color="000000"/>
              <w:right w:val="single" w:sz="4" w:space="0" w:color="000000"/>
            </w:tcBorders>
          </w:tcPr>
          <w:p w:rsidR="005B1E95" w:rsidRDefault="00526895">
            <w:pPr>
              <w:pStyle w:val="TableParagraph"/>
              <w:spacing w:before="25"/>
              <w:ind w:left="1590" w:right="1563"/>
              <w:rPr>
                <w:sz w:val="18"/>
              </w:rPr>
            </w:pPr>
            <w:r>
              <w:rPr>
                <w:sz w:val="18"/>
              </w:rPr>
              <w:t>8.6</w:t>
            </w:r>
          </w:p>
        </w:tc>
        <w:tc>
          <w:tcPr>
            <w:tcW w:w="2218" w:type="dxa"/>
            <w:tcBorders>
              <w:left w:val="single" w:sz="4" w:space="0" w:color="000000"/>
              <w:right w:val="nil"/>
            </w:tcBorders>
          </w:tcPr>
          <w:p w:rsidR="005B1E95" w:rsidRDefault="00526895">
            <w:pPr>
              <w:pStyle w:val="TableParagraph"/>
              <w:spacing w:before="30"/>
              <w:ind w:left="611" w:right="592"/>
              <w:rPr>
                <w:b/>
                <w:sz w:val="18"/>
              </w:rPr>
            </w:pPr>
            <w:r>
              <w:rPr>
                <w:b/>
                <w:sz w:val="18"/>
              </w:rPr>
              <w:t>9.9</w:t>
            </w:r>
          </w:p>
        </w:tc>
      </w:tr>
    </w:tbl>
    <w:p w:rsidR="005B1E95" w:rsidRDefault="00526895">
      <w:pPr>
        <w:spacing w:before="115" w:line="259" w:lineRule="auto"/>
        <w:ind w:left="140" w:right="243"/>
        <w:rPr>
          <w:sz w:val="18"/>
        </w:rPr>
      </w:pPr>
      <w:r>
        <w:rPr>
          <w:sz w:val="18"/>
        </w:rPr>
        <w:t>Source: S. Grammenos (2022), “European comparative data on persons with disabilities”, European Disability Expertise,</w:t>
      </w:r>
      <w:r>
        <w:rPr>
          <w:spacing w:val="1"/>
          <w:sz w:val="18"/>
        </w:rPr>
        <w:t xml:space="preserve"> </w:t>
      </w:r>
      <w:r>
        <w:rPr>
          <w:sz w:val="18"/>
        </w:rPr>
        <w:t>forthcoming.</w:t>
      </w:r>
      <w:r>
        <w:rPr>
          <w:spacing w:val="-3"/>
          <w:sz w:val="18"/>
        </w:rPr>
        <w:t xml:space="preserve"> </w:t>
      </w:r>
      <w:r>
        <w:rPr>
          <w:sz w:val="18"/>
        </w:rPr>
        <w:t>Data</w:t>
      </w:r>
      <w:r>
        <w:rPr>
          <w:spacing w:val="-3"/>
          <w:sz w:val="18"/>
        </w:rPr>
        <w:t xml:space="preserve"> </w:t>
      </w:r>
      <w:r>
        <w:rPr>
          <w:sz w:val="18"/>
        </w:rPr>
        <w:t>source:</w:t>
      </w:r>
      <w:r>
        <w:rPr>
          <w:spacing w:val="41"/>
          <w:sz w:val="18"/>
        </w:rPr>
        <w:t xml:space="preserve"> </w:t>
      </w:r>
      <w:r>
        <w:rPr>
          <w:sz w:val="18"/>
        </w:rPr>
        <w:t>EU-SILC release</w:t>
      </w:r>
      <w:r>
        <w:rPr>
          <w:spacing w:val="-3"/>
          <w:sz w:val="18"/>
        </w:rPr>
        <w:t xml:space="preserve"> </w:t>
      </w:r>
      <w:r>
        <w:rPr>
          <w:sz w:val="18"/>
        </w:rPr>
        <w:t>1</w:t>
      </w:r>
      <w:r>
        <w:rPr>
          <w:spacing w:val="-1"/>
          <w:sz w:val="18"/>
        </w:rPr>
        <w:t xml:space="preserve"> </w:t>
      </w:r>
      <w:r>
        <w:rPr>
          <w:sz w:val="18"/>
        </w:rPr>
        <w:t>in</w:t>
      </w:r>
      <w:r>
        <w:rPr>
          <w:spacing w:val="-3"/>
          <w:sz w:val="18"/>
        </w:rPr>
        <w:t xml:space="preserve"> </w:t>
      </w:r>
      <w:r>
        <w:rPr>
          <w:sz w:val="18"/>
        </w:rPr>
        <w:t>2022,</w:t>
      </w:r>
      <w:r>
        <w:rPr>
          <w:spacing w:val="-2"/>
          <w:sz w:val="18"/>
        </w:rPr>
        <w:t xml:space="preserve"> </w:t>
      </w:r>
      <w:r>
        <w:rPr>
          <w:sz w:val="18"/>
        </w:rPr>
        <w:t>v.1,</w:t>
      </w:r>
      <w:r>
        <w:rPr>
          <w:spacing w:val="-1"/>
          <w:sz w:val="18"/>
        </w:rPr>
        <w:t xml:space="preserve"> </w:t>
      </w:r>
      <w:r>
        <w:rPr>
          <w:sz w:val="18"/>
        </w:rPr>
        <w:t>April</w:t>
      </w:r>
      <w:r>
        <w:rPr>
          <w:spacing w:val="-4"/>
          <w:sz w:val="18"/>
        </w:rPr>
        <w:t xml:space="preserve"> </w:t>
      </w:r>
      <w:r>
        <w:rPr>
          <w:sz w:val="18"/>
        </w:rPr>
        <w:t>2022</w:t>
      </w:r>
      <w:r>
        <w:rPr>
          <w:spacing w:val="-3"/>
          <w:sz w:val="18"/>
        </w:rPr>
        <w:t xml:space="preserve"> </w:t>
      </w:r>
      <w:r>
        <w:rPr>
          <w:sz w:val="18"/>
        </w:rPr>
        <w:t>and</w:t>
      </w:r>
      <w:r>
        <w:rPr>
          <w:spacing w:val="-2"/>
          <w:sz w:val="18"/>
        </w:rPr>
        <w:t xml:space="preserve"> </w:t>
      </w:r>
      <w:r>
        <w:rPr>
          <w:sz w:val="18"/>
        </w:rPr>
        <w:t>own</w:t>
      </w:r>
      <w:r>
        <w:rPr>
          <w:spacing w:val="-1"/>
          <w:sz w:val="18"/>
        </w:rPr>
        <w:t xml:space="preserve"> </w:t>
      </w:r>
      <w:r>
        <w:rPr>
          <w:sz w:val="18"/>
        </w:rPr>
        <w:t>calculations</w:t>
      </w:r>
      <w:r>
        <w:rPr>
          <w:spacing w:val="-2"/>
          <w:sz w:val="18"/>
        </w:rPr>
        <w:t xml:space="preserve"> </w:t>
      </w:r>
      <w:r>
        <w:rPr>
          <w:sz w:val="18"/>
        </w:rPr>
        <w:t>for</w:t>
      </w:r>
      <w:r>
        <w:rPr>
          <w:spacing w:val="-3"/>
          <w:sz w:val="18"/>
        </w:rPr>
        <w:t xml:space="preserve"> </w:t>
      </w:r>
      <w:r>
        <w:rPr>
          <w:sz w:val="18"/>
        </w:rPr>
        <w:t>Germany</w:t>
      </w:r>
      <w:r>
        <w:rPr>
          <w:spacing w:val="-4"/>
          <w:sz w:val="18"/>
        </w:rPr>
        <w:t xml:space="preserve"> </w:t>
      </w:r>
      <w:r>
        <w:rPr>
          <w:sz w:val="18"/>
        </w:rPr>
        <w:t>and Italy,</w:t>
      </w:r>
      <w:r>
        <w:rPr>
          <w:spacing w:val="-1"/>
          <w:sz w:val="18"/>
        </w:rPr>
        <w:t xml:space="preserve"> </w:t>
      </w:r>
      <w:r>
        <w:rPr>
          <w:sz w:val="18"/>
        </w:rPr>
        <w:t>affecting</w:t>
      </w:r>
      <w:r>
        <w:rPr>
          <w:spacing w:val="-3"/>
          <w:sz w:val="18"/>
        </w:rPr>
        <w:t xml:space="preserve"> </w:t>
      </w:r>
      <w:r>
        <w:rPr>
          <w:sz w:val="18"/>
        </w:rPr>
        <w:t>the</w:t>
      </w:r>
      <w:r>
        <w:rPr>
          <w:spacing w:val="-42"/>
          <w:sz w:val="18"/>
        </w:rPr>
        <w:t xml:space="preserve"> </w:t>
      </w:r>
      <w:r>
        <w:rPr>
          <w:sz w:val="18"/>
        </w:rPr>
        <w:t>EU</w:t>
      </w:r>
      <w:r>
        <w:rPr>
          <w:spacing w:val="-2"/>
          <w:sz w:val="18"/>
        </w:rPr>
        <w:t xml:space="preserve"> </w:t>
      </w:r>
      <w:r>
        <w:rPr>
          <w:sz w:val="18"/>
        </w:rPr>
        <w:t>aggregate.</w:t>
      </w:r>
    </w:p>
    <w:p w:rsidR="005B1E95" w:rsidRDefault="00526895">
      <w:pPr>
        <w:spacing w:before="119"/>
        <w:ind w:left="140"/>
        <w:rPr>
          <w:sz w:val="18"/>
        </w:rPr>
      </w:pPr>
      <w:r>
        <w:rPr>
          <w:sz w:val="18"/>
        </w:rPr>
        <w:t>Note:</w:t>
      </w:r>
      <w:r>
        <w:rPr>
          <w:spacing w:val="-2"/>
          <w:sz w:val="18"/>
        </w:rPr>
        <w:t xml:space="preserve"> </w:t>
      </w:r>
      <w:r>
        <w:rPr>
          <w:sz w:val="18"/>
        </w:rPr>
        <w:t>the</w:t>
      </w:r>
      <w:r>
        <w:rPr>
          <w:spacing w:val="-6"/>
          <w:sz w:val="18"/>
        </w:rPr>
        <w:t xml:space="preserve"> </w:t>
      </w:r>
      <w:r>
        <w:rPr>
          <w:sz w:val="18"/>
        </w:rPr>
        <w:t>data</w:t>
      </w:r>
      <w:r>
        <w:rPr>
          <w:spacing w:val="-2"/>
          <w:sz w:val="18"/>
        </w:rPr>
        <w:t xml:space="preserve"> </w:t>
      </w:r>
      <w:r>
        <w:rPr>
          <w:sz w:val="18"/>
        </w:rPr>
        <w:t>are</w:t>
      </w:r>
      <w:r>
        <w:rPr>
          <w:spacing w:val="-3"/>
          <w:sz w:val="18"/>
        </w:rPr>
        <w:t xml:space="preserve"> </w:t>
      </w:r>
      <w:r>
        <w:rPr>
          <w:sz w:val="18"/>
        </w:rPr>
        <w:t>indicative</w:t>
      </w:r>
      <w:r>
        <w:rPr>
          <w:spacing w:val="-2"/>
          <w:sz w:val="18"/>
        </w:rPr>
        <w:t xml:space="preserve"> </w:t>
      </w:r>
      <w:r>
        <w:rPr>
          <w:sz w:val="18"/>
        </w:rPr>
        <w:t>(estimations</w:t>
      </w:r>
      <w:r>
        <w:rPr>
          <w:spacing w:val="-2"/>
          <w:sz w:val="18"/>
        </w:rPr>
        <w:t xml:space="preserve"> </w:t>
      </w:r>
      <w:r>
        <w:rPr>
          <w:sz w:val="18"/>
        </w:rPr>
        <w:t>based</w:t>
      </w:r>
      <w:r>
        <w:rPr>
          <w:spacing w:val="-3"/>
          <w:sz w:val="18"/>
        </w:rPr>
        <w:t xml:space="preserve"> </w:t>
      </w:r>
      <w:r>
        <w:rPr>
          <w:sz w:val="18"/>
        </w:rPr>
        <w:t>on</w:t>
      </w:r>
      <w:r>
        <w:rPr>
          <w:spacing w:val="-1"/>
          <w:sz w:val="18"/>
        </w:rPr>
        <w:t xml:space="preserve"> </w:t>
      </w:r>
      <w:r>
        <w:rPr>
          <w:sz w:val="18"/>
        </w:rPr>
        <w:t>self-declarations)</w:t>
      </w:r>
    </w:p>
    <w:p w:rsidR="005B1E95" w:rsidRDefault="005B1E95">
      <w:pPr>
        <w:pStyle w:val="BodyText"/>
        <w:ind w:left="0"/>
      </w:pPr>
    </w:p>
    <w:p w:rsidR="005B1E95" w:rsidRDefault="005B1E95">
      <w:pPr>
        <w:pStyle w:val="BodyText"/>
        <w:spacing w:before="2"/>
        <w:ind w:left="0"/>
        <w:rPr>
          <w:sz w:val="22"/>
        </w:rPr>
      </w:pPr>
    </w:p>
    <w:p w:rsidR="005B1E95" w:rsidRDefault="00526895">
      <w:pPr>
        <w:pStyle w:val="Heading3"/>
        <w:spacing w:before="1"/>
        <w:ind w:right="247"/>
      </w:pPr>
      <w:r>
        <w:t>Table</w:t>
      </w:r>
      <w:r>
        <w:rPr>
          <w:spacing w:val="-6"/>
        </w:rPr>
        <w:t xml:space="preserve"> </w:t>
      </w:r>
      <w:r>
        <w:t>B.8:</w:t>
      </w:r>
      <w:r>
        <w:rPr>
          <w:spacing w:val="-6"/>
        </w:rPr>
        <w:t xml:space="preserve"> </w:t>
      </w:r>
      <w:r>
        <w:t>Unemployment</w:t>
      </w:r>
      <w:r>
        <w:rPr>
          <w:spacing w:val="-3"/>
        </w:rPr>
        <w:t xml:space="preserve"> </w:t>
      </w:r>
      <w:r>
        <w:t>rate</w:t>
      </w:r>
      <w:r>
        <w:rPr>
          <w:spacing w:val="-6"/>
        </w:rPr>
        <w:t xml:space="preserve"> </w:t>
      </w:r>
      <w:r>
        <w:t>of</w:t>
      </w:r>
      <w:r>
        <w:rPr>
          <w:spacing w:val="-1"/>
        </w:rPr>
        <w:t xml:space="preserve"> </w:t>
      </w:r>
      <w:r>
        <w:t>persons</w:t>
      </w:r>
      <w:r>
        <w:rPr>
          <w:spacing w:val="-1"/>
        </w:rPr>
        <w:t xml:space="preserve"> </w:t>
      </w:r>
      <w:r>
        <w:t>with</w:t>
      </w:r>
      <w:r>
        <w:rPr>
          <w:spacing w:val="-4"/>
        </w:rPr>
        <w:t xml:space="preserve"> </w:t>
      </w:r>
      <w:r>
        <w:t>disabilities</w:t>
      </w:r>
      <w:r>
        <w:rPr>
          <w:spacing w:val="-4"/>
        </w:rPr>
        <w:t xml:space="preserve"> </w:t>
      </w:r>
      <w:r>
        <w:t>(aged</w:t>
      </w:r>
      <w:r>
        <w:rPr>
          <w:spacing w:val="-4"/>
        </w:rPr>
        <w:t xml:space="preserve"> </w:t>
      </w:r>
      <w:r>
        <w:t>20-64)</w:t>
      </w:r>
      <w:r>
        <w:rPr>
          <w:spacing w:val="-4"/>
        </w:rPr>
        <w:t xml:space="preserve"> </w:t>
      </w:r>
      <w:r>
        <w:t>by</w:t>
      </w:r>
      <w:r>
        <w:rPr>
          <w:spacing w:val="-4"/>
        </w:rPr>
        <w:t xml:space="preserve"> </w:t>
      </w:r>
      <w:r>
        <w:t>gender,</w:t>
      </w:r>
      <w:r>
        <w:rPr>
          <w:spacing w:val="-5"/>
        </w:rPr>
        <w:t xml:space="preserve"> </w:t>
      </w:r>
      <w:r>
        <w:t>EU</w:t>
      </w:r>
      <w:r>
        <w:rPr>
          <w:spacing w:val="-6"/>
        </w:rPr>
        <w:t xml:space="preserve"> </w:t>
      </w:r>
      <w:r>
        <w:t>level,</w:t>
      </w:r>
      <w:r>
        <w:rPr>
          <w:spacing w:val="-57"/>
        </w:rPr>
        <w:t xml:space="preserve"> </w:t>
      </w:r>
      <w:r>
        <w:t>2020,</w:t>
      </w:r>
      <w:r>
        <w:rPr>
          <w:spacing w:val="-2"/>
        </w:rPr>
        <w:t xml:space="preserve"> </w:t>
      </w:r>
      <w:r>
        <w:t>%</w:t>
      </w:r>
    </w:p>
    <w:p w:rsidR="005B1E95" w:rsidRDefault="005B1E95">
      <w:pPr>
        <w:pStyle w:val="BodyText"/>
        <w:spacing w:before="5" w:after="1"/>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4620"/>
        <w:gridCol w:w="4546"/>
      </w:tblGrid>
      <w:tr w:rsidR="005B1E95">
        <w:trPr>
          <w:trHeight w:val="258"/>
        </w:trPr>
        <w:tc>
          <w:tcPr>
            <w:tcW w:w="4620" w:type="dxa"/>
            <w:tcBorders>
              <w:left w:val="nil"/>
              <w:right w:val="single" w:sz="4" w:space="0" w:color="000000"/>
            </w:tcBorders>
          </w:tcPr>
          <w:p w:rsidR="005B1E95" w:rsidRDefault="00526895">
            <w:pPr>
              <w:pStyle w:val="TableParagraph"/>
              <w:spacing w:before="25"/>
              <w:ind w:left="1374" w:right="1327"/>
              <w:rPr>
                <w:b/>
                <w:sz w:val="18"/>
              </w:rPr>
            </w:pPr>
            <w:r>
              <w:rPr>
                <w:b/>
                <w:sz w:val="18"/>
              </w:rPr>
              <w:t>Females</w:t>
            </w:r>
            <w:r>
              <w:rPr>
                <w:b/>
                <w:spacing w:val="-3"/>
                <w:sz w:val="18"/>
              </w:rPr>
              <w:t xml:space="preserve"> </w:t>
            </w:r>
            <w:r>
              <w:rPr>
                <w:b/>
                <w:sz w:val="18"/>
              </w:rPr>
              <w:t>with</w:t>
            </w:r>
            <w:r>
              <w:rPr>
                <w:b/>
                <w:spacing w:val="-3"/>
                <w:sz w:val="18"/>
              </w:rPr>
              <w:t xml:space="preserve"> </w:t>
            </w:r>
            <w:r>
              <w:rPr>
                <w:b/>
                <w:sz w:val="18"/>
              </w:rPr>
              <w:t>disabilities</w:t>
            </w:r>
          </w:p>
        </w:tc>
        <w:tc>
          <w:tcPr>
            <w:tcW w:w="4546" w:type="dxa"/>
            <w:tcBorders>
              <w:left w:val="single" w:sz="4" w:space="0" w:color="000000"/>
              <w:right w:val="nil"/>
            </w:tcBorders>
          </w:tcPr>
          <w:p w:rsidR="005B1E95" w:rsidRDefault="00526895">
            <w:pPr>
              <w:pStyle w:val="TableParagraph"/>
              <w:spacing w:before="25"/>
              <w:ind w:left="1405" w:right="1391"/>
              <w:rPr>
                <w:b/>
                <w:sz w:val="18"/>
              </w:rPr>
            </w:pPr>
            <w:r>
              <w:rPr>
                <w:b/>
                <w:sz w:val="18"/>
              </w:rPr>
              <w:t>Males</w:t>
            </w:r>
            <w:r>
              <w:rPr>
                <w:b/>
                <w:spacing w:val="-5"/>
                <w:sz w:val="18"/>
              </w:rPr>
              <w:t xml:space="preserve"> </w:t>
            </w:r>
            <w:r>
              <w:rPr>
                <w:b/>
                <w:sz w:val="18"/>
              </w:rPr>
              <w:t>with</w:t>
            </w:r>
            <w:r>
              <w:rPr>
                <w:b/>
                <w:spacing w:val="-2"/>
                <w:sz w:val="18"/>
              </w:rPr>
              <w:t xml:space="preserve"> </w:t>
            </w:r>
            <w:r>
              <w:rPr>
                <w:b/>
                <w:sz w:val="18"/>
              </w:rPr>
              <w:t>disabilities</w:t>
            </w:r>
          </w:p>
        </w:tc>
      </w:tr>
      <w:tr w:rsidR="005B1E95">
        <w:trPr>
          <w:trHeight w:val="260"/>
        </w:trPr>
        <w:tc>
          <w:tcPr>
            <w:tcW w:w="4620" w:type="dxa"/>
            <w:tcBorders>
              <w:left w:val="nil"/>
              <w:right w:val="single" w:sz="4" w:space="0" w:color="000000"/>
            </w:tcBorders>
          </w:tcPr>
          <w:p w:rsidR="005B1E95" w:rsidRDefault="00526895">
            <w:pPr>
              <w:pStyle w:val="TableParagraph"/>
              <w:spacing w:before="21"/>
              <w:ind w:left="1374" w:right="1324"/>
              <w:rPr>
                <w:sz w:val="18"/>
              </w:rPr>
            </w:pPr>
            <w:r>
              <w:rPr>
                <w:sz w:val="18"/>
              </w:rPr>
              <w:t>17.9</w:t>
            </w:r>
          </w:p>
        </w:tc>
        <w:tc>
          <w:tcPr>
            <w:tcW w:w="4546" w:type="dxa"/>
            <w:tcBorders>
              <w:left w:val="single" w:sz="4" w:space="0" w:color="000000"/>
              <w:right w:val="nil"/>
            </w:tcBorders>
          </w:tcPr>
          <w:p w:rsidR="005B1E95" w:rsidRDefault="00526895">
            <w:pPr>
              <w:pStyle w:val="TableParagraph"/>
              <w:spacing w:before="21"/>
              <w:ind w:left="1405" w:right="1383"/>
              <w:rPr>
                <w:sz w:val="18"/>
              </w:rPr>
            </w:pPr>
            <w:r>
              <w:rPr>
                <w:sz w:val="18"/>
              </w:rPr>
              <w:t>17.4</w:t>
            </w:r>
          </w:p>
        </w:tc>
      </w:tr>
    </w:tbl>
    <w:p w:rsidR="005B1E95" w:rsidRDefault="00526895">
      <w:pPr>
        <w:spacing w:before="115" w:line="259" w:lineRule="auto"/>
        <w:ind w:left="140" w:right="243"/>
        <w:rPr>
          <w:sz w:val="18"/>
        </w:rPr>
      </w:pPr>
      <w:r>
        <w:rPr>
          <w:sz w:val="18"/>
        </w:rPr>
        <w:t>Source: S. Grammenos (2022), “European comparative data on persons with disabilities”, European Disability Expertise,</w:t>
      </w:r>
      <w:r>
        <w:rPr>
          <w:spacing w:val="1"/>
          <w:sz w:val="18"/>
        </w:rPr>
        <w:t xml:space="preserve"> </w:t>
      </w:r>
      <w:r>
        <w:rPr>
          <w:sz w:val="18"/>
        </w:rPr>
        <w:t>forthcoming.</w:t>
      </w:r>
      <w:r>
        <w:rPr>
          <w:spacing w:val="-3"/>
          <w:sz w:val="18"/>
        </w:rPr>
        <w:t xml:space="preserve"> </w:t>
      </w:r>
      <w:r>
        <w:rPr>
          <w:sz w:val="18"/>
        </w:rPr>
        <w:t>Data</w:t>
      </w:r>
      <w:r>
        <w:rPr>
          <w:spacing w:val="-3"/>
          <w:sz w:val="18"/>
        </w:rPr>
        <w:t xml:space="preserve"> </w:t>
      </w:r>
      <w:r>
        <w:rPr>
          <w:sz w:val="18"/>
        </w:rPr>
        <w:t>source:</w:t>
      </w:r>
      <w:r>
        <w:rPr>
          <w:spacing w:val="41"/>
          <w:sz w:val="18"/>
        </w:rPr>
        <w:t xml:space="preserve"> </w:t>
      </w:r>
      <w:r>
        <w:rPr>
          <w:sz w:val="18"/>
        </w:rPr>
        <w:t>EU-SILC release</w:t>
      </w:r>
      <w:r>
        <w:rPr>
          <w:spacing w:val="-3"/>
          <w:sz w:val="18"/>
        </w:rPr>
        <w:t xml:space="preserve"> </w:t>
      </w:r>
      <w:r>
        <w:rPr>
          <w:sz w:val="18"/>
        </w:rPr>
        <w:t>1</w:t>
      </w:r>
      <w:r>
        <w:rPr>
          <w:spacing w:val="-1"/>
          <w:sz w:val="18"/>
        </w:rPr>
        <w:t xml:space="preserve"> </w:t>
      </w:r>
      <w:r>
        <w:rPr>
          <w:sz w:val="18"/>
        </w:rPr>
        <w:t>in</w:t>
      </w:r>
      <w:r>
        <w:rPr>
          <w:spacing w:val="-3"/>
          <w:sz w:val="18"/>
        </w:rPr>
        <w:t xml:space="preserve"> </w:t>
      </w:r>
      <w:r>
        <w:rPr>
          <w:sz w:val="18"/>
        </w:rPr>
        <w:t>2022,</w:t>
      </w:r>
      <w:r>
        <w:rPr>
          <w:spacing w:val="-2"/>
          <w:sz w:val="18"/>
        </w:rPr>
        <w:t xml:space="preserve"> </w:t>
      </w:r>
      <w:r>
        <w:rPr>
          <w:sz w:val="18"/>
        </w:rPr>
        <w:t>v.1,</w:t>
      </w:r>
      <w:r>
        <w:rPr>
          <w:spacing w:val="-1"/>
          <w:sz w:val="18"/>
        </w:rPr>
        <w:t xml:space="preserve"> </w:t>
      </w:r>
      <w:r>
        <w:rPr>
          <w:sz w:val="18"/>
        </w:rPr>
        <w:t>April</w:t>
      </w:r>
      <w:r>
        <w:rPr>
          <w:spacing w:val="-4"/>
          <w:sz w:val="18"/>
        </w:rPr>
        <w:t xml:space="preserve"> </w:t>
      </w:r>
      <w:r>
        <w:rPr>
          <w:sz w:val="18"/>
        </w:rPr>
        <w:t>2022</w:t>
      </w:r>
      <w:r>
        <w:rPr>
          <w:spacing w:val="-3"/>
          <w:sz w:val="18"/>
        </w:rPr>
        <w:t xml:space="preserve"> </w:t>
      </w:r>
      <w:r>
        <w:rPr>
          <w:sz w:val="18"/>
        </w:rPr>
        <w:t>and</w:t>
      </w:r>
      <w:r>
        <w:rPr>
          <w:spacing w:val="-2"/>
          <w:sz w:val="18"/>
        </w:rPr>
        <w:t xml:space="preserve"> </w:t>
      </w:r>
      <w:r>
        <w:rPr>
          <w:sz w:val="18"/>
        </w:rPr>
        <w:t>own</w:t>
      </w:r>
      <w:r>
        <w:rPr>
          <w:spacing w:val="-1"/>
          <w:sz w:val="18"/>
        </w:rPr>
        <w:t xml:space="preserve"> </w:t>
      </w:r>
      <w:r>
        <w:rPr>
          <w:sz w:val="18"/>
        </w:rPr>
        <w:t>calculations</w:t>
      </w:r>
      <w:r>
        <w:rPr>
          <w:spacing w:val="-2"/>
          <w:sz w:val="18"/>
        </w:rPr>
        <w:t xml:space="preserve"> </w:t>
      </w:r>
      <w:r>
        <w:rPr>
          <w:sz w:val="18"/>
        </w:rPr>
        <w:t>for</w:t>
      </w:r>
      <w:r>
        <w:rPr>
          <w:spacing w:val="-3"/>
          <w:sz w:val="18"/>
        </w:rPr>
        <w:t xml:space="preserve"> </w:t>
      </w:r>
      <w:r>
        <w:rPr>
          <w:sz w:val="18"/>
        </w:rPr>
        <w:t>Germany</w:t>
      </w:r>
      <w:r>
        <w:rPr>
          <w:spacing w:val="-4"/>
          <w:sz w:val="18"/>
        </w:rPr>
        <w:t xml:space="preserve"> </w:t>
      </w:r>
      <w:r>
        <w:rPr>
          <w:sz w:val="18"/>
        </w:rPr>
        <w:t>and Italy,</w:t>
      </w:r>
      <w:r>
        <w:rPr>
          <w:spacing w:val="-1"/>
          <w:sz w:val="18"/>
        </w:rPr>
        <w:t xml:space="preserve"> </w:t>
      </w:r>
      <w:r>
        <w:rPr>
          <w:sz w:val="18"/>
        </w:rPr>
        <w:t>affecting</w:t>
      </w:r>
      <w:r>
        <w:rPr>
          <w:spacing w:val="-3"/>
          <w:sz w:val="18"/>
        </w:rPr>
        <w:t xml:space="preserve"> </w:t>
      </w:r>
      <w:r>
        <w:rPr>
          <w:sz w:val="18"/>
        </w:rPr>
        <w:t>the</w:t>
      </w:r>
      <w:r>
        <w:rPr>
          <w:spacing w:val="-42"/>
          <w:sz w:val="18"/>
        </w:rPr>
        <w:t xml:space="preserve"> </w:t>
      </w:r>
      <w:r>
        <w:rPr>
          <w:sz w:val="18"/>
        </w:rPr>
        <w:t>EU</w:t>
      </w:r>
      <w:r>
        <w:rPr>
          <w:spacing w:val="-2"/>
          <w:sz w:val="18"/>
        </w:rPr>
        <w:t xml:space="preserve"> </w:t>
      </w:r>
      <w:r>
        <w:rPr>
          <w:sz w:val="18"/>
        </w:rPr>
        <w:t>aggregate.</w:t>
      </w:r>
    </w:p>
    <w:p w:rsidR="005B1E95" w:rsidRDefault="005B1E95">
      <w:pPr>
        <w:pStyle w:val="BodyText"/>
        <w:ind w:left="0"/>
      </w:pPr>
    </w:p>
    <w:p w:rsidR="005B1E95" w:rsidRDefault="005B1E95">
      <w:pPr>
        <w:pStyle w:val="BodyText"/>
        <w:ind w:left="0"/>
        <w:rPr>
          <w:sz w:val="22"/>
        </w:rPr>
      </w:pPr>
    </w:p>
    <w:p w:rsidR="005B1E95" w:rsidRDefault="00526895">
      <w:pPr>
        <w:pStyle w:val="Heading3"/>
      </w:pPr>
      <w:r>
        <w:t>Table</w:t>
      </w:r>
      <w:r>
        <w:rPr>
          <w:spacing w:val="-4"/>
        </w:rPr>
        <w:t xml:space="preserve"> </w:t>
      </w:r>
      <w:r>
        <w:t>B.9:</w:t>
      </w:r>
      <w:r>
        <w:rPr>
          <w:spacing w:val="-4"/>
        </w:rPr>
        <w:t xml:space="preserve"> </w:t>
      </w:r>
      <w:r>
        <w:t>Youth</w:t>
      </w:r>
      <w:r>
        <w:rPr>
          <w:spacing w:val="-2"/>
        </w:rPr>
        <w:t xml:space="preserve"> </w:t>
      </w:r>
      <w:r>
        <w:t>unemployment</w:t>
      </w:r>
      <w:r>
        <w:rPr>
          <w:spacing w:val="-1"/>
        </w:rPr>
        <w:t xml:space="preserve"> </w:t>
      </w:r>
      <w:r>
        <w:t>(aged</w:t>
      </w:r>
      <w:r>
        <w:rPr>
          <w:spacing w:val="-2"/>
        </w:rPr>
        <w:t xml:space="preserve"> </w:t>
      </w:r>
      <w:r>
        <w:t>16-24),</w:t>
      </w:r>
      <w:r>
        <w:rPr>
          <w:spacing w:val="-2"/>
        </w:rPr>
        <w:t xml:space="preserve"> </w:t>
      </w:r>
      <w:r>
        <w:t>EU</w:t>
      </w:r>
      <w:r>
        <w:rPr>
          <w:spacing w:val="-4"/>
        </w:rPr>
        <w:t xml:space="preserve"> </w:t>
      </w:r>
      <w:r>
        <w:t>level,</w:t>
      </w:r>
      <w:r>
        <w:rPr>
          <w:spacing w:val="-2"/>
        </w:rPr>
        <w:t xml:space="preserve"> </w:t>
      </w:r>
      <w:r>
        <w:t>2020,</w:t>
      </w:r>
      <w:r>
        <w:rPr>
          <w:spacing w:val="-2"/>
        </w:rPr>
        <w:t xml:space="preserve"> </w:t>
      </w:r>
      <w:r>
        <w:t>%</w:t>
      </w:r>
    </w:p>
    <w:p w:rsidR="005B1E95" w:rsidRDefault="005B1E95">
      <w:pPr>
        <w:pStyle w:val="BodyText"/>
        <w:spacing w:before="6"/>
        <w:ind w:left="0"/>
        <w:rPr>
          <w:b/>
          <w:sz w:val="10"/>
        </w:rPr>
      </w:pPr>
    </w:p>
    <w:tbl>
      <w:tblPr>
        <w:tblW w:w="0" w:type="auto"/>
        <w:tblInd w:w="1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134"/>
        <w:gridCol w:w="3120"/>
        <w:gridCol w:w="3120"/>
      </w:tblGrid>
      <w:tr w:rsidR="005B1E95">
        <w:trPr>
          <w:trHeight w:val="414"/>
        </w:trPr>
        <w:tc>
          <w:tcPr>
            <w:tcW w:w="3134" w:type="dxa"/>
            <w:tcBorders>
              <w:left w:val="nil"/>
              <w:right w:val="single" w:sz="4" w:space="0" w:color="000000"/>
            </w:tcBorders>
          </w:tcPr>
          <w:p w:rsidR="005B1E95" w:rsidRDefault="00526895">
            <w:pPr>
              <w:pStyle w:val="TableParagraph"/>
              <w:spacing w:before="105"/>
              <w:ind w:left="643" w:right="601"/>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120" w:type="dxa"/>
            <w:tcBorders>
              <w:left w:val="single" w:sz="4" w:space="0" w:color="000000"/>
              <w:right w:val="single" w:sz="4" w:space="0" w:color="000000"/>
            </w:tcBorders>
          </w:tcPr>
          <w:p w:rsidR="005B1E95" w:rsidRDefault="00526895">
            <w:pPr>
              <w:pStyle w:val="TableParagraph"/>
              <w:spacing w:line="206" w:lineRule="exact"/>
              <w:ind w:left="1159" w:right="912" w:hanging="209"/>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3120" w:type="dxa"/>
            <w:tcBorders>
              <w:left w:val="single" w:sz="4" w:space="0" w:color="000000"/>
              <w:right w:val="nil"/>
            </w:tcBorders>
          </w:tcPr>
          <w:p w:rsidR="005B1E95" w:rsidRDefault="00526895">
            <w:pPr>
              <w:pStyle w:val="TableParagraph"/>
              <w:spacing w:before="105"/>
              <w:ind w:left="1341" w:right="1323"/>
              <w:rPr>
                <w:b/>
                <w:sz w:val="18"/>
              </w:rPr>
            </w:pPr>
            <w:r>
              <w:rPr>
                <w:b/>
                <w:sz w:val="18"/>
              </w:rPr>
              <w:t>Total</w:t>
            </w:r>
          </w:p>
        </w:tc>
      </w:tr>
      <w:tr w:rsidR="005B1E95">
        <w:trPr>
          <w:trHeight w:val="397"/>
        </w:trPr>
        <w:tc>
          <w:tcPr>
            <w:tcW w:w="3134" w:type="dxa"/>
            <w:tcBorders>
              <w:left w:val="nil"/>
              <w:right w:val="single" w:sz="4" w:space="0" w:color="000000"/>
            </w:tcBorders>
          </w:tcPr>
          <w:p w:rsidR="005B1E95" w:rsidRDefault="00526895">
            <w:pPr>
              <w:pStyle w:val="TableParagraph"/>
              <w:spacing w:before="90"/>
              <w:ind w:left="643" w:right="595"/>
              <w:rPr>
                <w:sz w:val="18"/>
              </w:rPr>
            </w:pPr>
            <w:r>
              <w:rPr>
                <w:sz w:val="18"/>
              </w:rPr>
              <w:t>31.3</w:t>
            </w:r>
          </w:p>
        </w:tc>
        <w:tc>
          <w:tcPr>
            <w:tcW w:w="3120" w:type="dxa"/>
            <w:tcBorders>
              <w:left w:val="single" w:sz="4" w:space="0" w:color="000000"/>
              <w:right w:val="single" w:sz="4" w:space="0" w:color="000000"/>
            </w:tcBorders>
          </w:tcPr>
          <w:p w:rsidR="005B1E95" w:rsidRDefault="00526895">
            <w:pPr>
              <w:pStyle w:val="TableParagraph"/>
              <w:spacing w:before="90"/>
              <w:ind w:left="740" w:right="712"/>
              <w:rPr>
                <w:sz w:val="18"/>
              </w:rPr>
            </w:pPr>
            <w:r>
              <w:rPr>
                <w:sz w:val="18"/>
              </w:rPr>
              <w:t>21.2</w:t>
            </w:r>
          </w:p>
        </w:tc>
        <w:tc>
          <w:tcPr>
            <w:tcW w:w="3120" w:type="dxa"/>
            <w:tcBorders>
              <w:left w:val="single" w:sz="4" w:space="0" w:color="000000"/>
              <w:right w:val="nil"/>
            </w:tcBorders>
          </w:tcPr>
          <w:p w:rsidR="005B1E95" w:rsidRDefault="00526895">
            <w:pPr>
              <w:pStyle w:val="TableParagraph"/>
              <w:spacing w:before="95"/>
              <w:ind w:left="1341" w:right="1317"/>
              <w:rPr>
                <w:b/>
                <w:sz w:val="18"/>
              </w:rPr>
            </w:pPr>
            <w:r>
              <w:rPr>
                <w:b/>
                <w:sz w:val="18"/>
              </w:rPr>
              <w:t>21.5</w:t>
            </w:r>
          </w:p>
        </w:tc>
      </w:tr>
    </w:tbl>
    <w:p w:rsidR="005B1E95" w:rsidRDefault="00526895">
      <w:pPr>
        <w:spacing w:before="115" w:line="261" w:lineRule="auto"/>
        <w:ind w:left="140" w:right="29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p>
    <w:p w:rsidR="005B1E95" w:rsidRDefault="00526895">
      <w:pPr>
        <w:spacing w:before="117" w:line="259" w:lineRule="auto"/>
        <w:ind w:left="140" w:right="298"/>
        <w:rPr>
          <w:sz w:val="18"/>
        </w:rPr>
      </w:pPr>
      <w:r>
        <w:rPr>
          <w:sz w:val="18"/>
        </w:rPr>
        <w:t>Note:</w:t>
      </w:r>
      <w:r>
        <w:rPr>
          <w:spacing w:val="-2"/>
          <w:sz w:val="18"/>
        </w:rPr>
        <w:t xml:space="preserve"> </w:t>
      </w:r>
      <w:r>
        <w:rPr>
          <w:sz w:val="18"/>
        </w:rPr>
        <w:t>Available EU-SILC</w:t>
      </w:r>
      <w:r>
        <w:rPr>
          <w:spacing w:val="-3"/>
          <w:sz w:val="18"/>
        </w:rPr>
        <w:t xml:space="preserve"> </w:t>
      </w:r>
      <w:r>
        <w:rPr>
          <w:sz w:val="18"/>
        </w:rPr>
        <w:t>2020</w:t>
      </w:r>
      <w:r>
        <w:rPr>
          <w:spacing w:val="-3"/>
          <w:sz w:val="18"/>
        </w:rPr>
        <w:t xml:space="preserve"> </w:t>
      </w:r>
      <w:r>
        <w:rPr>
          <w:sz w:val="18"/>
        </w:rPr>
        <w:t>microdata</w:t>
      </w:r>
      <w:r>
        <w:rPr>
          <w:spacing w:val="-1"/>
          <w:sz w:val="18"/>
        </w:rPr>
        <w:t xml:space="preserve"> </w:t>
      </w:r>
      <w:r>
        <w:rPr>
          <w:sz w:val="18"/>
        </w:rPr>
        <w:t>for research,</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time</w:t>
      </w:r>
      <w:r>
        <w:rPr>
          <w:spacing w:val="-2"/>
          <w:sz w:val="18"/>
        </w:rPr>
        <w:t xml:space="preserve"> </w:t>
      </w:r>
      <w:r>
        <w:rPr>
          <w:sz w:val="18"/>
        </w:rPr>
        <w:t>of</w:t>
      </w:r>
      <w:r>
        <w:rPr>
          <w:spacing w:val="-4"/>
          <w:sz w:val="18"/>
        </w:rPr>
        <w:t xml:space="preserve"> </w:t>
      </w:r>
      <w:r>
        <w:rPr>
          <w:sz w:val="18"/>
        </w:rPr>
        <w:t>elaborating</w:t>
      </w:r>
      <w:r>
        <w:rPr>
          <w:spacing w:val="-3"/>
          <w:sz w:val="18"/>
        </w:rPr>
        <w:t xml:space="preserve"> </w:t>
      </w:r>
      <w:r>
        <w:rPr>
          <w:sz w:val="18"/>
        </w:rPr>
        <w:t>the</w:t>
      </w:r>
      <w:r>
        <w:rPr>
          <w:spacing w:val="-2"/>
          <w:sz w:val="18"/>
        </w:rPr>
        <w:t xml:space="preserve"> </w:t>
      </w:r>
      <w:r>
        <w:rPr>
          <w:sz w:val="18"/>
        </w:rPr>
        <w:t>abovementioned</w:t>
      </w:r>
      <w:r>
        <w:rPr>
          <w:spacing w:val="-3"/>
          <w:sz w:val="18"/>
        </w:rPr>
        <w:t xml:space="preserve"> </w:t>
      </w:r>
      <w:r>
        <w:rPr>
          <w:sz w:val="18"/>
        </w:rPr>
        <w:t>report,</w:t>
      </w:r>
      <w:r>
        <w:rPr>
          <w:spacing w:val="-3"/>
          <w:sz w:val="18"/>
        </w:rPr>
        <w:t xml:space="preserve"> </w:t>
      </w:r>
      <w:r>
        <w:rPr>
          <w:sz w:val="18"/>
        </w:rPr>
        <w:t>do</w:t>
      </w:r>
      <w:r>
        <w:rPr>
          <w:spacing w:val="-3"/>
          <w:sz w:val="18"/>
        </w:rPr>
        <w:t xml:space="preserve"> </w:t>
      </w:r>
      <w:r>
        <w:rPr>
          <w:sz w:val="18"/>
        </w:rPr>
        <w:t>not contain</w:t>
      </w:r>
      <w:r>
        <w:rPr>
          <w:spacing w:val="-2"/>
          <w:sz w:val="18"/>
        </w:rPr>
        <w:t xml:space="preserve"> </w:t>
      </w:r>
      <w:r>
        <w:rPr>
          <w:sz w:val="18"/>
        </w:rPr>
        <w:t>data</w:t>
      </w:r>
      <w:r>
        <w:rPr>
          <w:spacing w:val="-42"/>
          <w:sz w:val="18"/>
        </w:rPr>
        <w:t xml:space="preserve"> </w:t>
      </w:r>
      <w:r>
        <w:rPr>
          <w:sz w:val="18"/>
        </w:rPr>
        <w:t>for Germany and Italy. In order to fill this gap, EU-SILC 2019 indicators were used for these countries, corrected for 2019-2020</w:t>
      </w:r>
      <w:r>
        <w:rPr>
          <w:spacing w:val="-42"/>
          <w:sz w:val="18"/>
        </w:rPr>
        <w:t xml:space="preserve"> </w:t>
      </w:r>
      <w:r>
        <w:rPr>
          <w:sz w:val="18"/>
        </w:rPr>
        <w:t>change. As correction factor, the percentage change drawn from the LFS survey has been used. Consequently, these indicators</w:t>
      </w:r>
      <w:r>
        <w:rPr>
          <w:spacing w:val="1"/>
          <w:sz w:val="18"/>
        </w:rPr>
        <w:t xml:space="preserve"> </w:t>
      </w:r>
      <w:r>
        <w:rPr>
          <w:sz w:val="18"/>
        </w:rPr>
        <w:t>are</w:t>
      </w:r>
      <w:r>
        <w:rPr>
          <w:spacing w:val="-2"/>
          <w:sz w:val="18"/>
        </w:rPr>
        <w:t xml:space="preserve"> </w:t>
      </w:r>
      <w:r>
        <w:rPr>
          <w:sz w:val="18"/>
        </w:rPr>
        <w:t>indicative.</w:t>
      </w:r>
      <w:r>
        <w:rPr>
          <w:spacing w:val="-1"/>
          <w:sz w:val="18"/>
        </w:rPr>
        <w:t xml:space="preserve"> </w:t>
      </w:r>
      <w:r>
        <w:rPr>
          <w:sz w:val="18"/>
        </w:rPr>
        <w:t>This</w:t>
      </w:r>
      <w:r>
        <w:rPr>
          <w:spacing w:val="-1"/>
          <w:sz w:val="18"/>
        </w:rPr>
        <w:t xml:space="preserve"> </w:t>
      </w:r>
      <w:r>
        <w:rPr>
          <w:sz w:val="18"/>
        </w:rPr>
        <w:t>affects the</w:t>
      </w:r>
      <w:r>
        <w:rPr>
          <w:spacing w:val="-1"/>
          <w:sz w:val="18"/>
        </w:rPr>
        <w:t xml:space="preserve"> </w:t>
      </w:r>
      <w:r>
        <w:rPr>
          <w:sz w:val="18"/>
        </w:rPr>
        <w:t>EU</w:t>
      </w:r>
      <w:r>
        <w:rPr>
          <w:spacing w:val="-1"/>
          <w:sz w:val="18"/>
        </w:rPr>
        <w:t xml:space="preserve"> </w:t>
      </w:r>
      <w:r>
        <w:rPr>
          <w:sz w:val="18"/>
        </w:rPr>
        <w:t>aggregate.</w:t>
      </w:r>
    </w:p>
    <w:p w:rsidR="005B1E95" w:rsidRDefault="005B1E95">
      <w:pPr>
        <w:pStyle w:val="BodyText"/>
        <w:ind w:left="0"/>
      </w:pPr>
    </w:p>
    <w:p w:rsidR="005B1E95" w:rsidRDefault="005B1E95">
      <w:pPr>
        <w:pStyle w:val="BodyText"/>
        <w:ind w:left="0"/>
        <w:rPr>
          <w:sz w:val="22"/>
        </w:rPr>
      </w:pPr>
    </w:p>
    <w:p w:rsidR="005B1E95" w:rsidRDefault="00526895">
      <w:pPr>
        <w:pStyle w:val="Heading3"/>
      </w:pPr>
      <w:r>
        <w:t>Table</w:t>
      </w:r>
      <w:r>
        <w:rPr>
          <w:spacing w:val="-5"/>
        </w:rPr>
        <w:t xml:space="preserve"> </w:t>
      </w:r>
      <w:r>
        <w:t>B.10:</w:t>
      </w:r>
      <w:r>
        <w:rPr>
          <w:spacing w:val="-4"/>
        </w:rPr>
        <w:t xml:space="preserve"> </w:t>
      </w:r>
      <w:r>
        <w:t>Labour market</w:t>
      </w:r>
      <w:r>
        <w:rPr>
          <w:spacing w:val="-5"/>
        </w:rPr>
        <w:t xml:space="preserve"> </w:t>
      </w:r>
      <w:r>
        <w:t>participation</w:t>
      </w:r>
      <w:r>
        <w:rPr>
          <w:spacing w:val="1"/>
        </w:rPr>
        <w:t xml:space="preserve"> </w:t>
      </w:r>
      <w:r>
        <w:t>(employed</w:t>
      </w:r>
      <w:r>
        <w:rPr>
          <w:spacing w:val="-4"/>
        </w:rPr>
        <w:t xml:space="preserve"> </w:t>
      </w:r>
      <w:r>
        <w:t>or</w:t>
      </w:r>
      <w:r>
        <w:rPr>
          <w:spacing w:val="-2"/>
        </w:rPr>
        <w:t xml:space="preserve"> </w:t>
      </w:r>
      <w:r>
        <w:t>unemployed),</w:t>
      </w:r>
      <w:r>
        <w:rPr>
          <w:spacing w:val="1"/>
        </w:rPr>
        <w:t xml:space="preserve"> </w:t>
      </w:r>
      <w:r>
        <w:t>EU</w:t>
      </w:r>
      <w:r>
        <w:rPr>
          <w:spacing w:val="-3"/>
        </w:rPr>
        <w:t xml:space="preserve"> </w:t>
      </w:r>
      <w:r>
        <w:t>level,</w:t>
      </w:r>
      <w:r>
        <w:rPr>
          <w:spacing w:val="-2"/>
        </w:rPr>
        <w:t xml:space="preserve"> </w:t>
      </w:r>
      <w:r>
        <w:t>2020,</w:t>
      </w:r>
      <w:r>
        <w:rPr>
          <w:spacing w:val="-2"/>
        </w:rPr>
        <w:t xml:space="preserve"> </w:t>
      </w:r>
      <w:r>
        <w:t>%</w:t>
      </w:r>
    </w:p>
    <w:p w:rsidR="005B1E95" w:rsidRDefault="005B1E95">
      <w:pPr>
        <w:sectPr w:rsidR="005B1E95">
          <w:pgSz w:w="12240" w:h="15840"/>
          <w:pgMar w:top="1400" w:right="1200" w:bottom="1160" w:left="1300" w:header="0" w:footer="964" w:gutter="0"/>
          <w:cols w:space="720"/>
        </w:sectPr>
      </w:pPr>
    </w:p>
    <w:p w:rsidR="005B1E95" w:rsidRDefault="00526895">
      <w:pPr>
        <w:pStyle w:val="BodyText"/>
        <w:spacing w:before="134" w:line="256" w:lineRule="auto"/>
        <w:ind w:right="290"/>
      </w:pPr>
      <w:r>
        <w:t>This</w:t>
      </w:r>
      <w:r>
        <w:rPr>
          <w:spacing w:val="-4"/>
        </w:rPr>
        <w:t xml:space="preserve"> </w:t>
      </w:r>
      <w:r>
        <w:t>implies</w:t>
      </w:r>
      <w:r>
        <w:rPr>
          <w:spacing w:val="-3"/>
        </w:rPr>
        <w:t xml:space="preserve"> </w:t>
      </w:r>
      <w:r>
        <w:t>that</w:t>
      </w:r>
      <w:r>
        <w:rPr>
          <w:spacing w:val="-3"/>
        </w:rPr>
        <w:t xml:space="preserve"> </w:t>
      </w:r>
      <w:r>
        <w:t>about</w:t>
      </w:r>
      <w:r>
        <w:rPr>
          <w:spacing w:val="-3"/>
        </w:rPr>
        <w:t xml:space="preserve"> </w:t>
      </w:r>
      <w:r>
        <w:t>26.9</w:t>
      </w:r>
      <w:r>
        <w:rPr>
          <w:spacing w:val="3"/>
        </w:rPr>
        <w:t xml:space="preserve"> </w:t>
      </w:r>
      <w:r>
        <w:t>million</w:t>
      </w:r>
      <w:r>
        <w:rPr>
          <w:spacing w:val="-3"/>
        </w:rPr>
        <w:t xml:space="preserve"> </w:t>
      </w:r>
      <w:r>
        <w:t>persons</w:t>
      </w:r>
      <w:r>
        <w:rPr>
          <w:spacing w:val="-2"/>
        </w:rPr>
        <w:t xml:space="preserve"> </w:t>
      </w:r>
      <w:r>
        <w:t>with</w:t>
      </w:r>
      <w:r>
        <w:rPr>
          <w:spacing w:val="-3"/>
        </w:rPr>
        <w:t xml:space="preserve"> </w:t>
      </w:r>
      <w:r>
        <w:t>disabilities</w:t>
      </w:r>
      <w:r>
        <w:rPr>
          <w:spacing w:val="-1"/>
        </w:rPr>
        <w:t xml:space="preserve"> </w:t>
      </w:r>
      <w:r>
        <w:t>(aged</w:t>
      </w:r>
      <w:r>
        <w:rPr>
          <w:spacing w:val="-2"/>
        </w:rPr>
        <w:t xml:space="preserve"> </w:t>
      </w:r>
      <w:r>
        <w:t>20-64)</w:t>
      </w:r>
      <w:r>
        <w:rPr>
          <w:spacing w:val="-3"/>
        </w:rPr>
        <w:t xml:space="preserve"> </w:t>
      </w:r>
      <w:r>
        <w:t>are</w:t>
      </w:r>
      <w:r>
        <w:rPr>
          <w:spacing w:val="-4"/>
        </w:rPr>
        <w:t xml:space="preserve"> </w:t>
      </w:r>
      <w:r>
        <w:t>economically</w:t>
      </w:r>
      <w:r>
        <w:rPr>
          <w:spacing w:val="-3"/>
        </w:rPr>
        <w:t xml:space="preserve"> </w:t>
      </w:r>
      <w:r>
        <w:t>active</w:t>
      </w:r>
      <w:r>
        <w:rPr>
          <w:spacing w:val="-2"/>
        </w:rPr>
        <w:t xml:space="preserve"> </w:t>
      </w:r>
      <w:r>
        <w:t>out</w:t>
      </w:r>
      <w:r>
        <w:rPr>
          <w:spacing w:val="-2"/>
        </w:rPr>
        <w:t xml:space="preserve"> </w:t>
      </w:r>
      <w:r>
        <w:t>of</w:t>
      </w:r>
      <w:r>
        <w:rPr>
          <w:spacing w:val="-3"/>
        </w:rPr>
        <w:t xml:space="preserve"> </w:t>
      </w:r>
      <w:r>
        <w:t>43.7</w:t>
      </w:r>
      <w:r>
        <w:rPr>
          <w:spacing w:val="-47"/>
        </w:rPr>
        <w:t xml:space="preserve"> </w:t>
      </w:r>
      <w:r>
        <w:t>million</w:t>
      </w:r>
      <w:r>
        <w:rPr>
          <w:spacing w:val="-2"/>
        </w:rPr>
        <w:t xml:space="preserve"> </w:t>
      </w:r>
      <w:r>
        <w:t>persons</w:t>
      </w:r>
      <w:r>
        <w:rPr>
          <w:spacing w:val="1"/>
        </w:rPr>
        <w:t xml:space="preserve"> </w:t>
      </w:r>
      <w:r>
        <w:t>with</w:t>
      </w:r>
      <w:r>
        <w:rPr>
          <w:spacing w:val="-1"/>
        </w:rPr>
        <w:t xml:space="preserve"> </w:t>
      </w:r>
      <w:r>
        <w:t>disabilities</w:t>
      </w:r>
      <w:r>
        <w:rPr>
          <w:spacing w:val="-1"/>
        </w:rPr>
        <w:t xml:space="preserve"> </w:t>
      </w:r>
      <w:r>
        <w:t>of</w:t>
      </w:r>
      <w:r>
        <w:rPr>
          <w:spacing w:val="-2"/>
        </w:rPr>
        <w:t xml:space="preserve"> </w:t>
      </w:r>
      <w:r>
        <w:t>the</w:t>
      </w:r>
      <w:r>
        <w:rPr>
          <w:spacing w:val="1"/>
        </w:rPr>
        <w:t xml:space="preserve"> </w:t>
      </w:r>
      <w:r>
        <w:t>same age group.</w:t>
      </w:r>
    </w:p>
    <w:p w:rsidR="005B1E95" w:rsidRDefault="005B1E95">
      <w:pPr>
        <w:pStyle w:val="BodyText"/>
        <w:spacing w:before="5"/>
        <w:ind w:left="0"/>
        <w:rPr>
          <w:sz w:val="21"/>
        </w:rPr>
      </w:pPr>
    </w:p>
    <w:p w:rsidR="005B1E95" w:rsidRDefault="00526895">
      <w:pPr>
        <w:pStyle w:val="Heading2"/>
        <w:numPr>
          <w:ilvl w:val="0"/>
          <w:numId w:val="2"/>
        </w:numPr>
        <w:tabs>
          <w:tab w:val="left" w:pos="480"/>
        </w:tabs>
        <w:ind w:left="479" w:hanging="340"/>
      </w:pPr>
      <w:r>
        <w:t>Participation</w:t>
      </w:r>
      <w:r>
        <w:rPr>
          <w:spacing w:val="-2"/>
        </w:rPr>
        <w:t xml:space="preserve"> </w:t>
      </w:r>
      <w:r>
        <w:t>in</w:t>
      </w:r>
      <w:r>
        <w:rPr>
          <w:spacing w:val="-1"/>
        </w:rPr>
        <w:t xml:space="preserve"> </w:t>
      </w:r>
      <w:r>
        <w:t>education</w:t>
      </w:r>
      <w:r>
        <w:rPr>
          <w:spacing w:val="-3"/>
        </w:rPr>
        <w:t xml:space="preserve"> </w:t>
      </w:r>
      <w:r>
        <w:t>and</w:t>
      </w:r>
      <w:r>
        <w:rPr>
          <w:spacing w:val="-2"/>
        </w:rPr>
        <w:t xml:space="preserve"> </w:t>
      </w:r>
      <w:r>
        <w:t>training</w:t>
      </w:r>
    </w:p>
    <w:p w:rsidR="005B1E95" w:rsidRDefault="00526895">
      <w:pPr>
        <w:pStyle w:val="Heading3"/>
        <w:spacing w:before="244"/>
        <w:ind w:right="248"/>
      </w:pPr>
      <w:r>
        <w:t>Table</w:t>
      </w:r>
      <w:r>
        <w:rPr>
          <w:spacing w:val="-12"/>
        </w:rPr>
        <w:t xml:space="preserve"> </w:t>
      </w:r>
      <w:r>
        <w:t>C.1:</w:t>
      </w:r>
      <w:r>
        <w:rPr>
          <w:spacing w:val="-11"/>
        </w:rPr>
        <w:t xml:space="preserve"> </w:t>
      </w:r>
      <w:r>
        <w:t>Population</w:t>
      </w:r>
      <w:r>
        <w:rPr>
          <w:spacing w:val="-9"/>
        </w:rPr>
        <w:t xml:space="preserve"> </w:t>
      </w:r>
      <w:r>
        <w:t>aged</w:t>
      </w:r>
      <w:r>
        <w:rPr>
          <w:spacing w:val="-10"/>
        </w:rPr>
        <w:t xml:space="preserve"> </w:t>
      </w:r>
      <w:r>
        <w:t>25-64</w:t>
      </w:r>
      <w:r>
        <w:rPr>
          <w:spacing w:val="-10"/>
        </w:rPr>
        <w:t xml:space="preserve"> </w:t>
      </w:r>
      <w:r>
        <w:t>declaring</w:t>
      </w:r>
      <w:r>
        <w:rPr>
          <w:spacing w:val="-9"/>
        </w:rPr>
        <w:t xml:space="preserve"> </w:t>
      </w:r>
      <w:r>
        <w:t>to</w:t>
      </w:r>
      <w:r>
        <w:rPr>
          <w:spacing w:val="-9"/>
        </w:rPr>
        <w:t xml:space="preserve"> </w:t>
      </w:r>
      <w:r>
        <w:t>currently</w:t>
      </w:r>
      <w:r>
        <w:rPr>
          <w:spacing w:val="-9"/>
        </w:rPr>
        <w:t xml:space="preserve"> </w:t>
      </w:r>
      <w:r>
        <w:t>participate</w:t>
      </w:r>
      <w:r>
        <w:rPr>
          <w:spacing w:val="-11"/>
        </w:rPr>
        <w:t xml:space="preserve"> </w:t>
      </w:r>
      <w:r>
        <w:t>in</w:t>
      </w:r>
      <w:r>
        <w:rPr>
          <w:spacing w:val="-9"/>
        </w:rPr>
        <w:t xml:space="preserve"> </w:t>
      </w:r>
      <w:r>
        <w:t>an</w:t>
      </w:r>
      <w:r>
        <w:rPr>
          <w:spacing w:val="-6"/>
        </w:rPr>
        <w:t xml:space="preserve"> </w:t>
      </w:r>
      <w:r>
        <w:t>(formal)</w:t>
      </w:r>
      <w:r>
        <w:rPr>
          <w:spacing w:val="-10"/>
        </w:rPr>
        <w:t xml:space="preserve"> </w:t>
      </w:r>
      <w:r>
        <w:t>education</w:t>
      </w:r>
      <w:r>
        <w:rPr>
          <w:spacing w:val="-57"/>
        </w:rPr>
        <w:t xml:space="preserve"> </w:t>
      </w:r>
      <w:r>
        <w:t>programme</w:t>
      </w:r>
      <w:r>
        <w:rPr>
          <w:spacing w:val="-4"/>
        </w:rPr>
        <w:t xml:space="preserve"> </w:t>
      </w:r>
      <w:r>
        <w:t>or</w:t>
      </w:r>
      <w:r>
        <w:rPr>
          <w:spacing w:val="-2"/>
        </w:rPr>
        <w:t xml:space="preserve"> </w:t>
      </w:r>
      <w:r>
        <w:t>to</w:t>
      </w:r>
      <w:r>
        <w:rPr>
          <w:spacing w:val="-2"/>
        </w:rPr>
        <w:t xml:space="preserve"> </w:t>
      </w:r>
      <w:r>
        <w:t>have</w:t>
      </w:r>
      <w:r>
        <w:rPr>
          <w:spacing w:val="1"/>
        </w:rPr>
        <w:t xml:space="preserve"> </w:t>
      </w:r>
      <w:r>
        <w:t>recently</w:t>
      </w:r>
      <w:r>
        <w:rPr>
          <w:spacing w:val="-2"/>
        </w:rPr>
        <w:t xml:space="preserve"> </w:t>
      </w:r>
      <w:r>
        <w:t>attained</w:t>
      </w:r>
      <w:r>
        <w:rPr>
          <w:spacing w:val="-3"/>
        </w:rPr>
        <w:t xml:space="preserve"> </w:t>
      </w:r>
      <w:r>
        <w:t>their</w:t>
      </w:r>
      <w:r>
        <w:rPr>
          <w:spacing w:val="-2"/>
        </w:rPr>
        <w:t xml:space="preserve"> </w:t>
      </w:r>
      <w:r>
        <w:t>highest</w:t>
      </w:r>
      <w:r>
        <w:rPr>
          <w:spacing w:val="-1"/>
        </w:rPr>
        <w:t xml:space="preserve"> </w:t>
      </w:r>
      <w:r>
        <w:t>education</w:t>
      </w:r>
      <w:r>
        <w:rPr>
          <w:spacing w:val="-2"/>
        </w:rPr>
        <w:t xml:space="preserve"> </w:t>
      </w:r>
      <w:r>
        <w:t>level,</w:t>
      </w:r>
      <w:r>
        <w:rPr>
          <w:spacing w:val="-2"/>
        </w:rPr>
        <w:t xml:space="preserve"> </w:t>
      </w:r>
      <w:r>
        <w:t>EU</w:t>
      </w:r>
      <w:r>
        <w:rPr>
          <w:spacing w:val="-2"/>
        </w:rPr>
        <w:t xml:space="preserve"> </w:t>
      </w:r>
      <w:r>
        <w:t>level,</w:t>
      </w:r>
      <w:r>
        <w:rPr>
          <w:spacing w:val="-2"/>
        </w:rPr>
        <w:t xml:space="preserve"> </w:t>
      </w:r>
      <w:r>
        <w:t>2020,</w:t>
      </w:r>
      <w:r>
        <w:rPr>
          <w:spacing w:val="-2"/>
        </w:rPr>
        <w:t xml:space="preserve"> </w:t>
      </w:r>
      <w:r>
        <w:t>%</w:t>
      </w:r>
    </w:p>
    <w:p w:rsidR="005B1E95" w:rsidRDefault="005B1E95">
      <w:pPr>
        <w:pStyle w:val="BodyText"/>
        <w:spacing w:before="5" w:after="1"/>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4"/>
        </w:trPr>
        <w:tc>
          <w:tcPr>
            <w:tcW w:w="3427" w:type="dxa"/>
            <w:tcBorders>
              <w:left w:val="nil"/>
              <w:right w:val="single" w:sz="4" w:space="0" w:color="000000"/>
            </w:tcBorders>
          </w:tcPr>
          <w:p w:rsidR="005B1E95" w:rsidRDefault="00526895">
            <w:pPr>
              <w:pStyle w:val="TableParagraph"/>
              <w:spacing w:before="102"/>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2"/>
              <w:ind w:left="609" w:right="592"/>
              <w:rPr>
                <w:b/>
                <w:sz w:val="18"/>
              </w:rPr>
            </w:pPr>
            <w:r>
              <w:rPr>
                <w:b/>
                <w:sz w:val="18"/>
              </w:rPr>
              <w:t>Total</w:t>
            </w:r>
          </w:p>
        </w:tc>
      </w:tr>
      <w:tr w:rsidR="005B1E95">
        <w:trPr>
          <w:trHeight w:val="270"/>
        </w:trPr>
        <w:tc>
          <w:tcPr>
            <w:tcW w:w="3427" w:type="dxa"/>
            <w:tcBorders>
              <w:left w:val="nil"/>
              <w:right w:val="single" w:sz="4" w:space="0" w:color="000000"/>
            </w:tcBorders>
          </w:tcPr>
          <w:p w:rsidR="005B1E95" w:rsidRDefault="00526895">
            <w:pPr>
              <w:pStyle w:val="TableParagraph"/>
              <w:spacing w:before="25"/>
              <w:ind w:left="789" w:right="740"/>
              <w:rPr>
                <w:sz w:val="18"/>
              </w:rPr>
            </w:pPr>
            <w:r>
              <w:rPr>
                <w:sz w:val="18"/>
              </w:rPr>
              <w:t>3.3</w:t>
            </w:r>
          </w:p>
        </w:tc>
        <w:tc>
          <w:tcPr>
            <w:tcW w:w="3521" w:type="dxa"/>
            <w:tcBorders>
              <w:left w:val="single" w:sz="4" w:space="0" w:color="000000"/>
              <w:right w:val="single" w:sz="4" w:space="0" w:color="000000"/>
            </w:tcBorders>
          </w:tcPr>
          <w:p w:rsidR="005B1E95" w:rsidRDefault="00526895">
            <w:pPr>
              <w:pStyle w:val="TableParagraph"/>
              <w:spacing w:before="25"/>
              <w:ind w:left="1590" w:right="1563"/>
              <w:rPr>
                <w:sz w:val="18"/>
              </w:rPr>
            </w:pPr>
            <w:r>
              <w:rPr>
                <w:sz w:val="18"/>
              </w:rPr>
              <w:t>5.4</w:t>
            </w:r>
          </w:p>
        </w:tc>
        <w:tc>
          <w:tcPr>
            <w:tcW w:w="2218" w:type="dxa"/>
            <w:tcBorders>
              <w:left w:val="single" w:sz="4" w:space="0" w:color="000000"/>
              <w:right w:val="nil"/>
            </w:tcBorders>
          </w:tcPr>
          <w:p w:rsidR="005B1E95" w:rsidRDefault="00526895">
            <w:pPr>
              <w:pStyle w:val="TableParagraph"/>
              <w:spacing w:before="30"/>
              <w:ind w:left="17"/>
              <w:rPr>
                <w:b/>
                <w:sz w:val="18"/>
              </w:rPr>
            </w:pPr>
            <w:r>
              <w:rPr>
                <w:b/>
                <w:w w:val="99"/>
                <w:sz w:val="18"/>
              </w:rPr>
              <w:t>5</w:t>
            </w:r>
          </w:p>
        </w:tc>
      </w:tr>
    </w:tbl>
    <w:p w:rsidR="005B1E95" w:rsidRDefault="00526895">
      <w:pPr>
        <w:spacing w:before="115" w:line="259" w:lineRule="auto"/>
        <w:ind w:left="140" w:firstLine="44"/>
        <w:rPr>
          <w:sz w:val="18"/>
        </w:rPr>
      </w:pPr>
      <w:r>
        <w:rPr>
          <w:sz w:val="18"/>
        </w:rPr>
        <w:t>Source:</w:t>
      </w:r>
      <w:r>
        <w:rPr>
          <w:spacing w:val="-3"/>
          <w:sz w:val="18"/>
        </w:rPr>
        <w:t xml:space="preserve"> </w:t>
      </w:r>
      <w:r>
        <w:rPr>
          <w:sz w:val="18"/>
        </w:rPr>
        <w:t>S.</w:t>
      </w:r>
      <w:r>
        <w:rPr>
          <w:spacing w:val="-2"/>
          <w:sz w:val="18"/>
        </w:rPr>
        <w:t xml:space="preserve"> </w:t>
      </w:r>
      <w:r>
        <w:rPr>
          <w:sz w:val="18"/>
        </w:rPr>
        <w:t>Grammenos</w:t>
      </w:r>
      <w:r>
        <w:rPr>
          <w:spacing w:val="-3"/>
          <w:sz w:val="18"/>
        </w:rPr>
        <w:t xml:space="preserve"> </w:t>
      </w:r>
      <w:r>
        <w:rPr>
          <w:sz w:val="18"/>
        </w:rPr>
        <w:t>(2022),</w:t>
      </w:r>
      <w:r>
        <w:rPr>
          <w:spacing w:val="-2"/>
          <w:sz w:val="18"/>
        </w:rPr>
        <w:t xml:space="preserve"> </w:t>
      </w:r>
      <w:r>
        <w:rPr>
          <w:sz w:val="18"/>
        </w:rPr>
        <w:t>“European comparative</w:t>
      </w:r>
      <w:r>
        <w:rPr>
          <w:spacing w:val="-4"/>
          <w:sz w:val="18"/>
        </w:rPr>
        <w:t xml:space="preserve"> </w:t>
      </w:r>
      <w:r>
        <w:rPr>
          <w:sz w:val="18"/>
        </w:rPr>
        <w:t>data</w:t>
      </w:r>
      <w:r>
        <w:rPr>
          <w:spacing w:val="-3"/>
          <w:sz w:val="18"/>
        </w:rPr>
        <w:t xml:space="preserve"> </w:t>
      </w:r>
      <w:r>
        <w:rPr>
          <w:sz w:val="18"/>
        </w:rPr>
        <w:t>on</w:t>
      </w:r>
      <w:r>
        <w:rPr>
          <w:spacing w:val="-4"/>
          <w:sz w:val="18"/>
        </w:rPr>
        <w:t xml:space="preserve"> </w:t>
      </w:r>
      <w:r>
        <w:rPr>
          <w:sz w:val="18"/>
        </w:rPr>
        <w:t>persons</w:t>
      </w:r>
      <w:r>
        <w:rPr>
          <w:spacing w:val="-3"/>
          <w:sz w:val="18"/>
        </w:rPr>
        <w:t xml:space="preserve"> </w:t>
      </w:r>
      <w:r>
        <w:rPr>
          <w:sz w:val="18"/>
        </w:rPr>
        <w:t>with</w:t>
      </w:r>
      <w:r>
        <w:rPr>
          <w:spacing w:val="-2"/>
          <w:sz w:val="18"/>
        </w:rPr>
        <w:t xml:space="preserve"> </w:t>
      </w:r>
      <w:r>
        <w:rPr>
          <w:sz w:val="18"/>
        </w:rPr>
        <w:t>disabilities”,</w:t>
      </w:r>
      <w:r>
        <w:rPr>
          <w:spacing w:val="-2"/>
          <w:sz w:val="18"/>
        </w:rPr>
        <w:t xml:space="preserve"> </w:t>
      </w:r>
      <w:r>
        <w:rPr>
          <w:sz w:val="18"/>
        </w:rPr>
        <w:t>European</w:t>
      </w:r>
      <w:r>
        <w:rPr>
          <w:spacing w:val="-3"/>
          <w:sz w:val="18"/>
        </w:rPr>
        <w:t xml:space="preserve"> </w:t>
      </w:r>
      <w:r>
        <w:rPr>
          <w:sz w:val="18"/>
        </w:rPr>
        <w:t>Disability</w:t>
      </w:r>
      <w:r>
        <w:rPr>
          <w:spacing w:val="-7"/>
          <w:sz w:val="18"/>
        </w:rPr>
        <w:t xml:space="preserve"> </w:t>
      </w:r>
      <w:r>
        <w:rPr>
          <w:sz w:val="18"/>
        </w:rPr>
        <w:t>Expertise,</w:t>
      </w:r>
      <w:r>
        <w:rPr>
          <w:spacing w:val="-42"/>
          <w:sz w:val="18"/>
        </w:rPr>
        <w:t xml:space="preserve"> </w:t>
      </w:r>
      <w:r>
        <w:rPr>
          <w:sz w:val="18"/>
        </w:rPr>
        <w:t>forthcoming.</w:t>
      </w:r>
      <w:r>
        <w:rPr>
          <w:spacing w:val="-2"/>
          <w:sz w:val="18"/>
        </w:rPr>
        <w:t xml:space="preserve"> </w:t>
      </w:r>
      <w:r>
        <w:rPr>
          <w:sz w:val="18"/>
        </w:rPr>
        <w:t>Data</w:t>
      </w:r>
      <w:r>
        <w:rPr>
          <w:spacing w:val="-1"/>
          <w:sz w:val="18"/>
        </w:rPr>
        <w:t xml:space="preserve"> </w:t>
      </w:r>
      <w:r>
        <w:rPr>
          <w:sz w:val="18"/>
        </w:rPr>
        <w:t>source:</w:t>
      </w:r>
      <w:r>
        <w:rPr>
          <w:spacing w:val="44"/>
          <w:sz w:val="18"/>
        </w:rPr>
        <w:t xml:space="preserve"> </w:t>
      </w:r>
      <w:r>
        <w:rPr>
          <w:sz w:val="18"/>
        </w:rPr>
        <w:t>EU-SILC release</w:t>
      </w:r>
      <w:r>
        <w:rPr>
          <w:spacing w:val="-1"/>
          <w:sz w:val="18"/>
        </w:rPr>
        <w:t xml:space="preserve"> </w:t>
      </w:r>
      <w:r>
        <w:rPr>
          <w:sz w:val="18"/>
        </w:rPr>
        <w:t>1 in</w:t>
      </w:r>
      <w:r>
        <w:rPr>
          <w:spacing w:val="-1"/>
          <w:sz w:val="18"/>
        </w:rPr>
        <w:t xml:space="preserve"> </w:t>
      </w:r>
      <w:r>
        <w:rPr>
          <w:sz w:val="18"/>
        </w:rPr>
        <w:t>2022,</w:t>
      </w:r>
      <w:r>
        <w:rPr>
          <w:spacing w:val="-1"/>
          <w:sz w:val="18"/>
        </w:rPr>
        <w:t xml:space="preserve"> </w:t>
      </w:r>
      <w:r>
        <w:rPr>
          <w:sz w:val="18"/>
        </w:rPr>
        <w:t>v.1, April</w:t>
      </w:r>
      <w:r>
        <w:rPr>
          <w:spacing w:val="-2"/>
          <w:sz w:val="18"/>
        </w:rPr>
        <w:t xml:space="preserve"> </w:t>
      </w:r>
      <w:r>
        <w:rPr>
          <w:sz w:val="18"/>
        </w:rPr>
        <w:t>2022</w:t>
      </w:r>
      <w:r>
        <w:rPr>
          <w:spacing w:val="-2"/>
          <w:sz w:val="18"/>
        </w:rPr>
        <w:t xml:space="preserve"> </w:t>
      </w:r>
      <w:r>
        <w:rPr>
          <w:sz w:val="18"/>
        </w:rPr>
        <w:t>and</w:t>
      </w:r>
      <w:r>
        <w:rPr>
          <w:spacing w:val="-1"/>
          <w:sz w:val="18"/>
        </w:rPr>
        <w:t xml:space="preserve"> </w:t>
      </w:r>
      <w:r>
        <w:rPr>
          <w:sz w:val="18"/>
        </w:rPr>
        <w:t>EU-SILC</w:t>
      </w:r>
      <w:r>
        <w:rPr>
          <w:spacing w:val="-2"/>
          <w:sz w:val="18"/>
        </w:rPr>
        <w:t xml:space="preserve"> </w:t>
      </w:r>
      <w:r>
        <w:rPr>
          <w:sz w:val="18"/>
        </w:rPr>
        <w:t>UDB 2019.</w:t>
      </w:r>
    </w:p>
    <w:p w:rsidR="005B1E95" w:rsidRDefault="00526895">
      <w:pPr>
        <w:spacing w:before="119" w:line="259" w:lineRule="auto"/>
        <w:ind w:left="140" w:right="249"/>
        <w:rPr>
          <w:sz w:val="18"/>
        </w:rPr>
      </w:pPr>
      <w:r>
        <w:rPr>
          <w:sz w:val="18"/>
        </w:rPr>
        <w:t>Note:</w:t>
      </w:r>
      <w:r>
        <w:rPr>
          <w:spacing w:val="-2"/>
          <w:sz w:val="18"/>
        </w:rPr>
        <w:t xml:space="preserve"> </w:t>
      </w:r>
      <w:r>
        <w:rPr>
          <w:sz w:val="18"/>
        </w:rPr>
        <w:t>Available EU-SILC</w:t>
      </w:r>
      <w:r>
        <w:rPr>
          <w:spacing w:val="-3"/>
          <w:sz w:val="18"/>
        </w:rPr>
        <w:t xml:space="preserve"> </w:t>
      </w:r>
      <w:r>
        <w:rPr>
          <w:sz w:val="18"/>
        </w:rPr>
        <w:t>2020</w:t>
      </w:r>
      <w:r>
        <w:rPr>
          <w:spacing w:val="-3"/>
          <w:sz w:val="18"/>
        </w:rPr>
        <w:t xml:space="preserve"> </w:t>
      </w:r>
      <w:r>
        <w:rPr>
          <w:sz w:val="18"/>
        </w:rPr>
        <w:t>microdata</w:t>
      </w:r>
      <w:r>
        <w:rPr>
          <w:spacing w:val="-1"/>
          <w:sz w:val="18"/>
        </w:rPr>
        <w:t xml:space="preserve"> </w:t>
      </w:r>
      <w:r>
        <w:rPr>
          <w:sz w:val="18"/>
        </w:rPr>
        <w:t>for research,</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time</w:t>
      </w:r>
      <w:r>
        <w:rPr>
          <w:spacing w:val="-2"/>
          <w:sz w:val="18"/>
        </w:rPr>
        <w:t xml:space="preserve"> </w:t>
      </w:r>
      <w:r>
        <w:rPr>
          <w:sz w:val="18"/>
        </w:rPr>
        <w:t>of</w:t>
      </w:r>
      <w:r>
        <w:rPr>
          <w:spacing w:val="-4"/>
          <w:sz w:val="18"/>
        </w:rPr>
        <w:t xml:space="preserve"> </w:t>
      </w:r>
      <w:r>
        <w:rPr>
          <w:sz w:val="18"/>
        </w:rPr>
        <w:t>elaborating</w:t>
      </w:r>
      <w:r>
        <w:rPr>
          <w:spacing w:val="-3"/>
          <w:sz w:val="18"/>
        </w:rPr>
        <w:t xml:space="preserve"> </w:t>
      </w:r>
      <w:r>
        <w:rPr>
          <w:sz w:val="18"/>
        </w:rPr>
        <w:t>the</w:t>
      </w:r>
      <w:r>
        <w:rPr>
          <w:spacing w:val="-2"/>
          <w:sz w:val="18"/>
        </w:rPr>
        <w:t xml:space="preserve"> </w:t>
      </w:r>
      <w:r>
        <w:rPr>
          <w:sz w:val="18"/>
        </w:rPr>
        <w:t>abovementioned</w:t>
      </w:r>
      <w:r>
        <w:rPr>
          <w:spacing w:val="-3"/>
          <w:sz w:val="18"/>
        </w:rPr>
        <w:t xml:space="preserve"> </w:t>
      </w:r>
      <w:r>
        <w:rPr>
          <w:sz w:val="18"/>
        </w:rPr>
        <w:t>report,</w:t>
      </w:r>
      <w:r>
        <w:rPr>
          <w:spacing w:val="-3"/>
          <w:sz w:val="18"/>
        </w:rPr>
        <w:t xml:space="preserve"> </w:t>
      </w:r>
      <w:r>
        <w:rPr>
          <w:sz w:val="18"/>
        </w:rPr>
        <w:t>do</w:t>
      </w:r>
      <w:r>
        <w:rPr>
          <w:spacing w:val="-3"/>
          <w:sz w:val="18"/>
        </w:rPr>
        <w:t xml:space="preserve"> </w:t>
      </w:r>
      <w:r>
        <w:rPr>
          <w:sz w:val="18"/>
        </w:rPr>
        <w:t>not contain</w:t>
      </w:r>
      <w:r>
        <w:rPr>
          <w:spacing w:val="-2"/>
          <w:sz w:val="18"/>
        </w:rPr>
        <w:t xml:space="preserve"> </w:t>
      </w:r>
      <w:r>
        <w:rPr>
          <w:sz w:val="18"/>
        </w:rPr>
        <w:t>data</w:t>
      </w:r>
      <w:r>
        <w:rPr>
          <w:spacing w:val="-42"/>
          <w:sz w:val="18"/>
        </w:rPr>
        <w:t xml:space="preserve"> </w:t>
      </w:r>
      <w:r>
        <w:rPr>
          <w:sz w:val="18"/>
        </w:rPr>
        <w:t>for Germany and Italy. In order to fill this gap, EU-SILC 2019 indicators were used for these countries. Consequently, these</w:t>
      </w:r>
      <w:r>
        <w:rPr>
          <w:spacing w:val="1"/>
          <w:sz w:val="18"/>
        </w:rPr>
        <w:t xml:space="preserve"> </w:t>
      </w:r>
      <w:r>
        <w:rPr>
          <w:sz w:val="18"/>
        </w:rPr>
        <w:t>indicators</w:t>
      </w:r>
      <w:r>
        <w:rPr>
          <w:spacing w:val="-2"/>
          <w:sz w:val="18"/>
        </w:rPr>
        <w:t xml:space="preserve"> </w:t>
      </w:r>
      <w:r>
        <w:rPr>
          <w:sz w:val="18"/>
        </w:rPr>
        <w:t>are</w:t>
      </w:r>
      <w:r>
        <w:rPr>
          <w:spacing w:val="-1"/>
          <w:sz w:val="18"/>
        </w:rPr>
        <w:t xml:space="preserve"> </w:t>
      </w:r>
      <w:r>
        <w:rPr>
          <w:sz w:val="18"/>
        </w:rPr>
        <w:t>indicative.</w:t>
      </w:r>
      <w:r>
        <w:rPr>
          <w:spacing w:val="-1"/>
          <w:sz w:val="18"/>
        </w:rPr>
        <w:t xml:space="preserve"> </w:t>
      </w:r>
      <w:r>
        <w:rPr>
          <w:sz w:val="18"/>
        </w:rPr>
        <w:t>This</w:t>
      </w:r>
      <w:r>
        <w:rPr>
          <w:spacing w:val="-1"/>
          <w:sz w:val="18"/>
        </w:rPr>
        <w:t xml:space="preserve"> </w:t>
      </w:r>
      <w:r>
        <w:rPr>
          <w:sz w:val="18"/>
        </w:rPr>
        <w:t>affects</w:t>
      </w:r>
      <w:r>
        <w:rPr>
          <w:spacing w:val="1"/>
          <w:sz w:val="18"/>
        </w:rPr>
        <w:t xml:space="preserve"> </w:t>
      </w:r>
      <w:r>
        <w:rPr>
          <w:sz w:val="18"/>
        </w:rPr>
        <w:t>the</w:t>
      </w:r>
      <w:r>
        <w:rPr>
          <w:spacing w:val="-2"/>
          <w:sz w:val="18"/>
        </w:rPr>
        <w:t xml:space="preserve"> </w:t>
      </w:r>
      <w:r>
        <w:rPr>
          <w:sz w:val="18"/>
        </w:rPr>
        <w:t>EU</w:t>
      </w:r>
      <w:r>
        <w:rPr>
          <w:spacing w:val="-1"/>
          <w:sz w:val="18"/>
        </w:rPr>
        <w:t xml:space="preserve"> </w:t>
      </w:r>
      <w:r>
        <w:rPr>
          <w:sz w:val="18"/>
        </w:rPr>
        <w:t>aggregate.</w:t>
      </w:r>
    </w:p>
    <w:p w:rsidR="005B1E95" w:rsidRDefault="005B1E95">
      <w:pPr>
        <w:pStyle w:val="BodyText"/>
        <w:ind w:left="0"/>
      </w:pPr>
    </w:p>
    <w:p w:rsidR="005B1E95" w:rsidRDefault="005B1E95">
      <w:pPr>
        <w:pStyle w:val="BodyText"/>
        <w:ind w:left="0"/>
        <w:rPr>
          <w:sz w:val="22"/>
        </w:rPr>
      </w:pPr>
    </w:p>
    <w:p w:rsidR="005B1E95" w:rsidRDefault="00526895">
      <w:pPr>
        <w:pStyle w:val="Heading3"/>
      </w:pPr>
      <w:r>
        <w:t>Table</w:t>
      </w:r>
      <w:r>
        <w:rPr>
          <w:spacing w:val="-4"/>
        </w:rPr>
        <w:t xml:space="preserve"> </w:t>
      </w:r>
      <w:r>
        <w:t>C.2:</w:t>
      </w:r>
      <w:r>
        <w:rPr>
          <w:spacing w:val="-4"/>
        </w:rPr>
        <w:t xml:space="preserve"> </w:t>
      </w:r>
      <w:r>
        <w:t>Early</w:t>
      </w:r>
      <w:r>
        <w:rPr>
          <w:spacing w:val="-1"/>
        </w:rPr>
        <w:t xml:space="preserve"> </w:t>
      </w:r>
      <w:r>
        <w:t>school</w:t>
      </w:r>
      <w:r>
        <w:rPr>
          <w:spacing w:val="-2"/>
        </w:rPr>
        <w:t xml:space="preserve"> </w:t>
      </w:r>
      <w:r>
        <w:t>leavers</w:t>
      </w:r>
      <w:r>
        <w:rPr>
          <w:spacing w:val="-3"/>
        </w:rPr>
        <w:t xml:space="preserve"> </w:t>
      </w:r>
      <w:r>
        <w:t>aged</w:t>
      </w:r>
      <w:r>
        <w:rPr>
          <w:spacing w:val="-2"/>
        </w:rPr>
        <w:t xml:space="preserve"> </w:t>
      </w:r>
      <w:r>
        <w:t>18-24,</w:t>
      </w:r>
      <w:r>
        <w:rPr>
          <w:spacing w:val="-2"/>
        </w:rPr>
        <w:t xml:space="preserve"> </w:t>
      </w:r>
      <w:r>
        <w:t>EU</w:t>
      </w:r>
      <w:r>
        <w:rPr>
          <w:spacing w:val="2"/>
        </w:rPr>
        <w:t xml:space="preserve"> </w:t>
      </w:r>
      <w:r>
        <w:t>level,</w:t>
      </w:r>
      <w:r>
        <w:rPr>
          <w:spacing w:val="-2"/>
        </w:rPr>
        <w:t xml:space="preserve"> </w:t>
      </w:r>
      <w:r>
        <w:t>2020,</w:t>
      </w:r>
      <w:r>
        <w:rPr>
          <w:spacing w:val="-1"/>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4"/>
        </w:trPr>
        <w:tc>
          <w:tcPr>
            <w:tcW w:w="3427" w:type="dxa"/>
            <w:tcBorders>
              <w:left w:val="nil"/>
              <w:right w:val="single" w:sz="4" w:space="0" w:color="000000"/>
            </w:tcBorders>
          </w:tcPr>
          <w:p w:rsidR="005B1E95" w:rsidRDefault="00526895">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5"/>
              <w:ind w:left="609" w:right="592"/>
              <w:rPr>
                <w:b/>
                <w:sz w:val="18"/>
              </w:rPr>
            </w:pPr>
            <w:r>
              <w:rPr>
                <w:b/>
                <w:sz w:val="18"/>
              </w:rPr>
              <w:t>Total</w:t>
            </w:r>
          </w:p>
        </w:tc>
      </w:tr>
      <w:tr w:rsidR="005B1E95">
        <w:trPr>
          <w:trHeight w:val="416"/>
        </w:trPr>
        <w:tc>
          <w:tcPr>
            <w:tcW w:w="3427" w:type="dxa"/>
            <w:tcBorders>
              <w:left w:val="nil"/>
              <w:right w:val="single" w:sz="4" w:space="0" w:color="000000"/>
            </w:tcBorders>
          </w:tcPr>
          <w:p w:rsidR="005B1E95" w:rsidRDefault="00526895">
            <w:pPr>
              <w:pStyle w:val="TableParagraph"/>
              <w:spacing w:before="100"/>
              <w:ind w:left="789" w:right="742"/>
              <w:rPr>
                <w:sz w:val="18"/>
              </w:rPr>
            </w:pPr>
            <w:r>
              <w:rPr>
                <w:sz w:val="18"/>
              </w:rPr>
              <w:t>22.9</w:t>
            </w:r>
          </w:p>
        </w:tc>
        <w:tc>
          <w:tcPr>
            <w:tcW w:w="3521" w:type="dxa"/>
            <w:tcBorders>
              <w:left w:val="single" w:sz="4" w:space="0" w:color="000000"/>
              <w:right w:val="single" w:sz="4" w:space="0" w:color="000000"/>
            </w:tcBorders>
          </w:tcPr>
          <w:p w:rsidR="005B1E95" w:rsidRDefault="00526895">
            <w:pPr>
              <w:pStyle w:val="TableParagraph"/>
              <w:spacing w:before="100"/>
              <w:ind w:left="1590" w:right="1563"/>
              <w:rPr>
                <w:sz w:val="18"/>
              </w:rPr>
            </w:pPr>
            <w:r>
              <w:rPr>
                <w:sz w:val="18"/>
              </w:rPr>
              <w:t>9.3</w:t>
            </w:r>
          </w:p>
        </w:tc>
        <w:tc>
          <w:tcPr>
            <w:tcW w:w="2218" w:type="dxa"/>
            <w:tcBorders>
              <w:left w:val="single" w:sz="4" w:space="0" w:color="000000"/>
              <w:right w:val="nil"/>
            </w:tcBorders>
          </w:tcPr>
          <w:p w:rsidR="005B1E95" w:rsidRDefault="00526895">
            <w:pPr>
              <w:pStyle w:val="TableParagraph"/>
              <w:spacing w:before="1" w:line="204" w:lineRule="exact"/>
              <w:ind w:left="613" w:right="591"/>
              <w:rPr>
                <w:b/>
                <w:sz w:val="18"/>
              </w:rPr>
            </w:pPr>
            <w:r>
              <w:rPr>
                <w:b/>
                <w:sz w:val="18"/>
              </w:rPr>
              <w:t>10.3</w:t>
            </w:r>
          </w:p>
          <w:p w:rsidR="005B1E95" w:rsidRDefault="00526895">
            <w:pPr>
              <w:pStyle w:val="TableParagraph"/>
              <w:spacing w:line="190" w:lineRule="exact"/>
              <w:ind w:left="613" w:right="592"/>
              <w:rPr>
                <w:sz w:val="18"/>
              </w:rPr>
            </w:pPr>
            <w:r>
              <w:rPr>
                <w:sz w:val="18"/>
              </w:rPr>
              <w:t>(Target: &lt;10)</w:t>
            </w:r>
          </w:p>
        </w:tc>
      </w:tr>
    </w:tbl>
    <w:p w:rsidR="005B1E95" w:rsidRDefault="00526895">
      <w:pPr>
        <w:spacing w:before="115" w:line="259" w:lineRule="auto"/>
        <w:ind w:left="140" w:right="29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3"/>
          <w:sz w:val="18"/>
        </w:rPr>
        <w:t xml:space="preserve"> </w:t>
      </w:r>
      <w:r>
        <w:rPr>
          <w:sz w:val="18"/>
        </w:rPr>
        <w:t>Data</w:t>
      </w:r>
      <w:r>
        <w:rPr>
          <w:spacing w:val="-2"/>
          <w:sz w:val="18"/>
        </w:rPr>
        <w:t xml:space="preserve"> </w:t>
      </w:r>
      <w:r>
        <w:rPr>
          <w:sz w:val="18"/>
        </w:rPr>
        <w:t>source:</w:t>
      </w:r>
      <w:r>
        <w:rPr>
          <w:spacing w:val="-1"/>
          <w:sz w:val="18"/>
        </w:rPr>
        <w:t xml:space="preserve"> </w:t>
      </w:r>
      <w:r>
        <w:rPr>
          <w:sz w:val="18"/>
        </w:rPr>
        <w:t>EU-SILC</w:t>
      </w:r>
      <w:r>
        <w:rPr>
          <w:spacing w:val="-1"/>
          <w:sz w:val="18"/>
        </w:rPr>
        <w:t xml:space="preserve"> </w:t>
      </w:r>
      <w:r>
        <w:rPr>
          <w:sz w:val="18"/>
        </w:rPr>
        <w:t>release 1 in</w:t>
      </w:r>
      <w:r>
        <w:rPr>
          <w:spacing w:val="-2"/>
          <w:sz w:val="18"/>
        </w:rPr>
        <w:t xml:space="preserve"> </w:t>
      </w:r>
      <w:r>
        <w:rPr>
          <w:sz w:val="18"/>
        </w:rPr>
        <w:t>2022,</w:t>
      </w:r>
      <w:r>
        <w:rPr>
          <w:spacing w:val="-3"/>
          <w:sz w:val="18"/>
        </w:rPr>
        <w:t xml:space="preserve"> </w:t>
      </w:r>
      <w:r>
        <w:rPr>
          <w:sz w:val="18"/>
        </w:rPr>
        <w:t>v.1,</w:t>
      </w:r>
      <w:r>
        <w:rPr>
          <w:spacing w:val="-3"/>
          <w:sz w:val="18"/>
        </w:rPr>
        <w:t xml:space="preserve"> </w:t>
      </w:r>
      <w:r>
        <w:rPr>
          <w:sz w:val="18"/>
        </w:rPr>
        <w:t>April</w:t>
      </w:r>
      <w:r>
        <w:rPr>
          <w:spacing w:val="-3"/>
          <w:sz w:val="18"/>
        </w:rPr>
        <w:t xml:space="preserve"> </w:t>
      </w:r>
      <w:r>
        <w:rPr>
          <w:sz w:val="18"/>
        </w:rPr>
        <w:t>2022</w:t>
      </w:r>
      <w:r>
        <w:rPr>
          <w:spacing w:val="-2"/>
          <w:sz w:val="18"/>
        </w:rPr>
        <w:t xml:space="preserve"> </w:t>
      </w:r>
      <w:r>
        <w:rPr>
          <w:sz w:val="18"/>
        </w:rPr>
        <w:t>and</w:t>
      </w:r>
      <w:r>
        <w:rPr>
          <w:spacing w:val="-2"/>
          <w:sz w:val="18"/>
        </w:rPr>
        <w:t xml:space="preserve"> </w:t>
      </w:r>
      <w:r>
        <w:rPr>
          <w:sz w:val="18"/>
        </w:rPr>
        <w:t>own calculations</w:t>
      </w:r>
      <w:r>
        <w:rPr>
          <w:spacing w:val="-1"/>
          <w:sz w:val="18"/>
        </w:rPr>
        <w:t xml:space="preserve"> </w:t>
      </w:r>
      <w:r>
        <w:rPr>
          <w:sz w:val="18"/>
        </w:rPr>
        <w:t>for</w:t>
      </w:r>
      <w:r>
        <w:rPr>
          <w:spacing w:val="-2"/>
          <w:sz w:val="18"/>
        </w:rPr>
        <w:t xml:space="preserve"> </w:t>
      </w:r>
      <w:r>
        <w:rPr>
          <w:sz w:val="18"/>
        </w:rPr>
        <w:t>Germany</w:t>
      </w:r>
      <w:r>
        <w:rPr>
          <w:spacing w:val="-3"/>
          <w:sz w:val="18"/>
        </w:rPr>
        <w:t xml:space="preserve"> </w:t>
      </w:r>
      <w:r>
        <w:rPr>
          <w:sz w:val="18"/>
        </w:rPr>
        <w:t>and Italy.</w:t>
      </w:r>
    </w:p>
    <w:p w:rsidR="005B1E95" w:rsidRDefault="005B1E95">
      <w:pPr>
        <w:pStyle w:val="BodyText"/>
        <w:ind w:left="0"/>
      </w:pPr>
    </w:p>
    <w:p w:rsidR="005B1E95" w:rsidRDefault="005B1E95">
      <w:pPr>
        <w:pStyle w:val="BodyText"/>
        <w:spacing w:before="1"/>
        <w:ind w:left="0"/>
        <w:rPr>
          <w:sz w:val="24"/>
        </w:rPr>
      </w:pPr>
    </w:p>
    <w:p w:rsidR="005B1E95" w:rsidRDefault="00526895">
      <w:pPr>
        <w:pStyle w:val="Heading3"/>
        <w:ind w:right="244"/>
      </w:pPr>
      <w:r>
        <w:t>Table</w:t>
      </w:r>
      <w:r>
        <w:rPr>
          <w:spacing w:val="9"/>
        </w:rPr>
        <w:t xml:space="preserve"> </w:t>
      </w:r>
      <w:r>
        <w:t>C.3:</w:t>
      </w:r>
      <w:r>
        <w:rPr>
          <w:spacing w:val="10"/>
        </w:rPr>
        <w:t xml:space="preserve"> </w:t>
      </w:r>
      <w:r>
        <w:t>Young</w:t>
      </w:r>
      <w:r>
        <w:rPr>
          <w:spacing w:val="13"/>
        </w:rPr>
        <w:t xml:space="preserve"> </w:t>
      </w:r>
      <w:r>
        <w:t>people</w:t>
      </w:r>
      <w:r>
        <w:rPr>
          <w:spacing w:val="13"/>
        </w:rPr>
        <w:t xml:space="preserve"> </w:t>
      </w:r>
      <w:r>
        <w:t>aged</w:t>
      </w:r>
      <w:r>
        <w:rPr>
          <w:spacing w:val="13"/>
        </w:rPr>
        <w:t xml:space="preserve"> </w:t>
      </w:r>
      <w:r>
        <w:t>16-29</w:t>
      </w:r>
      <w:r>
        <w:rPr>
          <w:spacing w:val="14"/>
        </w:rPr>
        <w:t xml:space="preserve"> </w:t>
      </w:r>
      <w:r>
        <w:t>neither</w:t>
      </w:r>
      <w:r>
        <w:rPr>
          <w:spacing w:val="14"/>
        </w:rPr>
        <w:t xml:space="preserve"> </w:t>
      </w:r>
      <w:r>
        <w:t>in</w:t>
      </w:r>
      <w:r>
        <w:rPr>
          <w:spacing w:val="15"/>
        </w:rPr>
        <w:t xml:space="preserve"> </w:t>
      </w:r>
      <w:r>
        <w:t>employment</w:t>
      </w:r>
      <w:r>
        <w:rPr>
          <w:spacing w:val="17"/>
        </w:rPr>
        <w:t xml:space="preserve"> </w:t>
      </w:r>
      <w:r>
        <w:t>nor</w:t>
      </w:r>
      <w:r>
        <w:rPr>
          <w:spacing w:val="13"/>
        </w:rPr>
        <w:t xml:space="preserve"> </w:t>
      </w:r>
      <w:r>
        <w:t>in</w:t>
      </w:r>
      <w:r>
        <w:rPr>
          <w:spacing w:val="14"/>
        </w:rPr>
        <w:t xml:space="preserve"> </w:t>
      </w:r>
      <w:r>
        <w:t>education</w:t>
      </w:r>
      <w:r>
        <w:rPr>
          <w:spacing w:val="15"/>
        </w:rPr>
        <w:t xml:space="preserve"> </w:t>
      </w:r>
      <w:r>
        <w:t>and</w:t>
      </w:r>
      <w:r>
        <w:rPr>
          <w:spacing w:val="15"/>
        </w:rPr>
        <w:t xml:space="preserve"> </w:t>
      </w:r>
      <w:r>
        <w:t>training</w:t>
      </w:r>
      <w:r>
        <w:rPr>
          <w:spacing w:val="-57"/>
        </w:rPr>
        <w:t xml:space="preserve"> </w:t>
      </w:r>
      <w:r>
        <w:t>(NEET),</w:t>
      </w:r>
      <w:r>
        <w:rPr>
          <w:spacing w:val="-2"/>
        </w:rPr>
        <w:t xml:space="preserve"> </w:t>
      </w:r>
      <w:r>
        <w:t>EU</w:t>
      </w:r>
      <w:r>
        <w:rPr>
          <w:spacing w:val="1"/>
        </w:rPr>
        <w:t xml:space="preserve"> </w:t>
      </w:r>
      <w:r>
        <w:t>level,</w:t>
      </w:r>
      <w:r>
        <w:rPr>
          <w:spacing w:val="-1"/>
        </w:rPr>
        <w:t xml:space="preserve"> </w:t>
      </w:r>
      <w:r>
        <w:t>2020,</w:t>
      </w:r>
      <w:r>
        <w:rPr>
          <w:spacing w:val="-1"/>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4"/>
        </w:trPr>
        <w:tc>
          <w:tcPr>
            <w:tcW w:w="3427" w:type="dxa"/>
            <w:tcBorders>
              <w:left w:val="nil"/>
              <w:right w:val="single" w:sz="4" w:space="0" w:color="000000"/>
            </w:tcBorders>
          </w:tcPr>
          <w:p w:rsidR="005B1E95" w:rsidRDefault="00526895">
            <w:pPr>
              <w:pStyle w:val="TableParagraph"/>
              <w:spacing w:before="102"/>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2"/>
              <w:ind w:left="911"/>
              <w:jc w:val="left"/>
              <w:rPr>
                <w:b/>
                <w:sz w:val="18"/>
              </w:rPr>
            </w:pPr>
            <w:r>
              <w:rPr>
                <w:b/>
                <w:sz w:val="18"/>
              </w:rPr>
              <w:t>Total</w:t>
            </w:r>
          </w:p>
        </w:tc>
      </w:tr>
      <w:tr w:rsidR="005B1E95">
        <w:trPr>
          <w:trHeight w:val="270"/>
        </w:trPr>
        <w:tc>
          <w:tcPr>
            <w:tcW w:w="3427" w:type="dxa"/>
            <w:tcBorders>
              <w:left w:val="nil"/>
              <w:right w:val="single" w:sz="4" w:space="0" w:color="000000"/>
            </w:tcBorders>
          </w:tcPr>
          <w:p w:rsidR="005B1E95" w:rsidRDefault="00526895">
            <w:pPr>
              <w:pStyle w:val="TableParagraph"/>
              <w:spacing w:before="25"/>
              <w:ind w:left="789" w:right="742"/>
              <w:rPr>
                <w:sz w:val="18"/>
              </w:rPr>
            </w:pPr>
            <w:r>
              <w:rPr>
                <w:sz w:val="18"/>
              </w:rPr>
              <w:t>30.6</w:t>
            </w:r>
          </w:p>
        </w:tc>
        <w:tc>
          <w:tcPr>
            <w:tcW w:w="3521" w:type="dxa"/>
            <w:tcBorders>
              <w:left w:val="single" w:sz="4" w:space="0" w:color="000000"/>
              <w:right w:val="single" w:sz="4" w:space="0" w:color="000000"/>
            </w:tcBorders>
          </w:tcPr>
          <w:p w:rsidR="005B1E95" w:rsidRDefault="00526895">
            <w:pPr>
              <w:pStyle w:val="TableParagraph"/>
              <w:spacing w:before="25"/>
              <w:ind w:left="1592" w:right="1563"/>
              <w:rPr>
                <w:sz w:val="18"/>
              </w:rPr>
            </w:pPr>
            <w:r>
              <w:rPr>
                <w:sz w:val="18"/>
              </w:rPr>
              <w:t>12.6</w:t>
            </w:r>
          </w:p>
        </w:tc>
        <w:tc>
          <w:tcPr>
            <w:tcW w:w="2218" w:type="dxa"/>
            <w:tcBorders>
              <w:left w:val="single" w:sz="4" w:space="0" w:color="000000"/>
              <w:right w:val="nil"/>
            </w:tcBorders>
          </w:tcPr>
          <w:p w:rsidR="005B1E95" w:rsidRDefault="00526895">
            <w:pPr>
              <w:pStyle w:val="TableParagraph"/>
              <w:spacing w:before="30"/>
              <w:ind w:left="959"/>
              <w:jc w:val="left"/>
              <w:rPr>
                <w:b/>
                <w:sz w:val="18"/>
              </w:rPr>
            </w:pPr>
            <w:r>
              <w:rPr>
                <w:b/>
                <w:sz w:val="18"/>
              </w:rPr>
              <w:t>14.1</w:t>
            </w:r>
          </w:p>
        </w:tc>
      </w:tr>
    </w:tbl>
    <w:p w:rsidR="005B1E95" w:rsidRDefault="00526895">
      <w:pPr>
        <w:spacing w:before="115" w:line="259" w:lineRule="auto"/>
        <w:ind w:left="140" w:right="290"/>
        <w:rPr>
          <w:sz w:val="18"/>
        </w:rPr>
      </w:pPr>
      <w:r>
        <w:rPr>
          <w:sz w:val="18"/>
        </w:rPr>
        <w:t>Source: S. Grammenos (2022), “European comparative data on persons with disabilities”, European Disability Expertise,</w:t>
      </w:r>
      <w:r>
        <w:rPr>
          <w:spacing w:val="1"/>
          <w:sz w:val="18"/>
        </w:rPr>
        <w:t xml:space="preserve"> </w:t>
      </w:r>
      <w:r>
        <w:rPr>
          <w:sz w:val="18"/>
        </w:rPr>
        <w:t>forthcoming.</w:t>
      </w:r>
      <w:r>
        <w:rPr>
          <w:spacing w:val="-3"/>
          <w:sz w:val="18"/>
        </w:rPr>
        <w:t xml:space="preserve"> </w:t>
      </w:r>
      <w:r>
        <w:rPr>
          <w:sz w:val="18"/>
        </w:rPr>
        <w:t>Data</w:t>
      </w:r>
      <w:r>
        <w:rPr>
          <w:spacing w:val="-3"/>
          <w:sz w:val="18"/>
        </w:rPr>
        <w:t xml:space="preserve"> </w:t>
      </w:r>
      <w:r>
        <w:rPr>
          <w:sz w:val="18"/>
        </w:rPr>
        <w:t>source:</w:t>
      </w:r>
      <w:r>
        <w:rPr>
          <w:spacing w:val="4"/>
          <w:sz w:val="18"/>
        </w:rPr>
        <w:t xml:space="preserve"> </w:t>
      </w:r>
      <w:r>
        <w:rPr>
          <w:sz w:val="18"/>
        </w:rPr>
        <w:t>Data</w:t>
      </w:r>
      <w:r>
        <w:rPr>
          <w:spacing w:val="-1"/>
          <w:sz w:val="18"/>
        </w:rPr>
        <w:t xml:space="preserve"> </w:t>
      </w:r>
      <w:r>
        <w:rPr>
          <w:sz w:val="18"/>
        </w:rPr>
        <w:t>source:</w:t>
      </w:r>
      <w:r>
        <w:rPr>
          <w:spacing w:val="42"/>
          <w:sz w:val="18"/>
        </w:rPr>
        <w:t xml:space="preserve"> </w:t>
      </w:r>
      <w:r>
        <w:rPr>
          <w:sz w:val="18"/>
        </w:rPr>
        <w:t>EU-SILC</w:t>
      </w:r>
      <w:r>
        <w:rPr>
          <w:spacing w:val="-3"/>
          <w:sz w:val="18"/>
        </w:rPr>
        <w:t xml:space="preserve"> </w:t>
      </w:r>
      <w:r>
        <w:rPr>
          <w:sz w:val="18"/>
        </w:rPr>
        <w:t>release</w:t>
      </w:r>
      <w:r>
        <w:rPr>
          <w:spacing w:val="-2"/>
          <w:sz w:val="18"/>
        </w:rPr>
        <w:t xml:space="preserve"> </w:t>
      </w:r>
      <w:r>
        <w:rPr>
          <w:sz w:val="18"/>
        </w:rPr>
        <w:t>1</w:t>
      </w:r>
      <w:r>
        <w:rPr>
          <w:spacing w:val="-1"/>
          <w:sz w:val="18"/>
        </w:rPr>
        <w:t xml:space="preserve"> </w:t>
      </w:r>
      <w:r>
        <w:rPr>
          <w:sz w:val="18"/>
        </w:rPr>
        <w:t>in</w:t>
      </w:r>
      <w:r>
        <w:rPr>
          <w:spacing w:val="-3"/>
          <w:sz w:val="18"/>
        </w:rPr>
        <w:t xml:space="preserve"> </w:t>
      </w:r>
      <w:r>
        <w:rPr>
          <w:sz w:val="18"/>
        </w:rPr>
        <w:t>2022,</w:t>
      </w:r>
      <w:r>
        <w:rPr>
          <w:spacing w:val="-1"/>
          <w:sz w:val="18"/>
        </w:rPr>
        <w:t xml:space="preserve"> </w:t>
      </w:r>
      <w:r>
        <w:rPr>
          <w:sz w:val="18"/>
        </w:rPr>
        <w:t>v.1,</w:t>
      </w:r>
      <w:r>
        <w:rPr>
          <w:spacing w:val="-3"/>
          <w:sz w:val="18"/>
        </w:rPr>
        <w:t xml:space="preserve"> </w:t>
      </w:r>
      <w:r>
        <w:rPr>
          <w:sz w:val="18"/>
        </w:rPr>
        <w:t>April</w:t>
      </w:r>
      <w:r>
        <w:rPr>
          <w:spacing w:val="-1"/>
          <w:sz w:val="18"/>
        </w:rPr>
        <w:t xml:space="preserve"> </w:t>
      </w:r>
      <w:r>
        <w:rPr>
          <w:sz w:val="18"/>
        </w:rPr>
        <w:t>2022</w:t>
      </w:r>
      <w:r>
        <w:rPr>
          <w:spacing w:val="-1"/>
          <w:sz w:val="18"/>
        </w:rPr>
        <w:t xml:space="preserve"> </w:t>
      </w:r>
      <w:r>
        <w:rPr>
          <w:sz w:val="18"/>
        </w:rPr>
        <w:t>and</w:t>
      </w:r>
      <w:r>
        <w:rPr>
          <w:spacing w:val="-1"/>
          <w:sz w:val="18"/>
        </w:rPr>
        <w:t xml:space="preserve"> </w:t>
      </w:r>
      <w:r>
        <w:rPr>
          <w:sz w:val="18"/>
        </w:rPr>
        <w:t>EU-SILC</w:t>
      </w:r>
      <w:r>
        <w:rPr>
          <w:spacing w:val="-3"/>
          <w:sz w:val="18"/>
        </w:rPr>
        <w:t xml:space="preserve"> </w:t>
      </w:r>
      <w:r>
        <w:rPr>
          <w:sz w:val="18"/>
        </w:rPr>
        <w:t>UDB</w:t>
      </w:r>
      <w:r>
        <w:rPr>
          <w:spacing w:val="-3"/>
          <w:sz w:val="18"/>
        </w:rPr>
        <w:t xml:space="preserve"> </w:t>
      </w:r>
      <w:r>
        <w:rPr>
          <w:sz w:val="18"/>
        </w:rPr>
        <w:t>2019</w:t>
      </w:r>
      <w:r>
        <w:rPr>
          <w:spacing w:val="-1"/>
          <w:sz w:val="18"/>
        </w:rPr>
        <w:t xml:space="preserve"> </w:t>
      </w:r>
      <w:r>
        <w:rPr>
          <w:sz w:val="18"/>
        </w:rPr>
        <w:t>for</w:t>
      </w:r>
      <w:r>
        <w:rPr>
          <w:spacing w:val="-3"/>
          <w:sz w:val="18"/>
        </w:rPr>
        <w:t xml:space="preserve"> </w:t>
      </w:r>
      <w:r>
        <w:rPr>
          <w:sz w:val="18"/>
        </w:rPr>
        <w:t>Germany</w:t>
      </w:r>
      <w:r>
        <w:rPr>
          <w:spacing w:val="-3"/>
          <w:sz w:val="18"/>
        </w:rPr>
        <w:t xml:space="preserve"> </w:t>
      </w:r>
      <w:r>
        <w:rPr>
          <w:sz w:val="18"/>
        </w:rPr>
        <w:t>and</w:t>
      </w:r>
      <w:r>
        <w:rPr>
          <w:spacing w:val="-42"/>
          <w:sz w:val="18"/>
        </w:rPr>
        <w:t xml:space="preserve"> </w:t>
      </w:r>
      <w:r>
        <w:rPr>
          <w:sz w:val="18"/>
        </w:rPr>
        <w:t>Italy.</w:t>
      </w:r>
    </w:p>
    <w:p w:rsidR="005B1E95" w:rsidRDefault="00526895">
      <w:pPr>
        <w:spacing w:before="119" w:line="259" w:lineRule="auto"/>
        <w:ind w:left="140" w:right="249"/>
        <w:rPr>
          <w:sz w:val="18"/>
        </w:rPr>
      </w:pPr>
      <w:r>
        <w:rPr>
          <w:sz w:val="18"/>
        </w:rPr>
        <w:t>Note:</w:t>
      </w:r>
      <w:r>
        <w:rPr>
          <w:spacing w:val="-2"/>
          <w:sz w:val="18"/>
        </w:rPr>
        <w:t xml:space="preserve"> </w:t>
      </w:r>
      <w:r>
        <w:rPr>
          <w:sz w:val="18"/>
        </w:rPr>
        <w:t>Available EU-SILC</w:t>
      </w:r>
      <w:r>
        <w:rPr>
          <w:spacing w:val="-3"/>
          <w:sz w:val="18"/>
        </w:rPr>
        <w:t xml:space="preserve"> </w:t>
      </w:r>
      <w:r>
        <w:rPr>
          <w:sz w:val="18"/>
        </w:rPr>
        <w:t>2020</w:t>
      </w:r>
      <w:r>
        <w:rPr>
          <w:spacing w:val="-3"/>
          <w:sz w:val="18"/>
        </w:rPr>
        <w:t xml:space="preserve"> </w:t>
      </w:r>
      <w:r>
        <w:rPr>
          <w:sz w:val="18"/>
        </w:rPr>
        <w:t>microdata</w:t>
      </w:r>
      <w:r>
        <w:rPr>
          <w:spacing w:val="-1"/>
          <w:sz w:val="18"/>
        </w:rPr>
        <w:t xml:space="preserve"> </w:t>
      </w:r>
      <w:r>
        <w:rPr>
          <w:sz w:val="18"/>
        </w:rPr>
        <w:t>for research,</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time</w:t>
      </w:r>
      <w:r>
        <w:rPr>
          <w:spacing w:val="-2"/>
          <w:sz w:val="18"/>
        </w:rPr>
        <w:t xml:space="preserve"> </w:t>
      </w:r>
      <w:r>
        <w:rPr>
          <w:sz w:val="18"/>
        </w:rPr>
        <w:t>of</w:t>
      </w:r>
      <w:r>
        <w:rPr>
          <w:spacing w:val="-4"/>
          <w:sz w:val="18"/>
        </w:rPr>
        <w:t xml:space="preserve"> </w:t>
      </w:r>
      <w:r>
        <w:rPr>
          <w:sz w:val="18"/>
        </w:rPr>
        <w:t>elaborating</w:t>
      </w:r>
      <w:r>
        <w:rPr>
          <w:spacing w:val="-3"/>
          <w:sz w:val="18"/>
        </w:rPr>
        <w:t xml:space="preserve"> </w:t>
      </w:r>
      <w:r>
        <w:rPr>
          <w:sz w:val="18"/>
        </w:rPr>
        <w:t>the</w:t>
      </w:r>
      <w:r>
        <w:rPr>
          <w:spacing w:val="-2"/>
          <w:sz w:val="18"/>
        </w:rPr>
        <w:t xml:space="preserve"> </w:t>
      </w:r>
      <w:r>
        <w:rPr>
          <w:sz w:val="18"/>
        </w:rPr>
        <w:t>abovementioned</w:t>
      </w:r>
      <w:r>
        <w:rPr>
          <w:spacing w:val="-3"/>
          <w:sz w:val="18"/>
        </w:rPr>
        <w:t xml:space="preserve"> </w:t>
      </w:r>
      <w:r>
        <w:rPr>
          <w:sz w:val="18"/>
        </w:rPr>
        <w:t>report,</w:t>
      </w:r>
      <w:r>
        <w:rPr>
          <w:spacing w:val="-3"/>
          <w:sz w:val="18"/>
        </w:rPr>
        <w:t xml:space="preserve"> </w:t>
      </w:r>
      <w:r>
        <w:rPr>
          <w:sz w:val="18"/>
        </w:rPr>
        <w:t>do</w:t>
      </w:r>
      <w:r>
        <w:rPr>
          <w:spacing w:val="-3"/>
          <w:sz w:val="18"/>
        </w:rPr>
        <w:t xml:space="preserve"> </w:t>
      </w:r>
      <w:r>
        <w:rPr>
          <w:sz w:val="18"/>
        </w:rPr>
        <w:t>not contain</w:t>
      </w:r>
      <w:r>
        <w:rPr>
          <w:spacing w:val="-2"/>
          <w:sz w:val="18"/>
        </w:rPr>
        <w:t xml:space="preserve"> </w:t>
      </w:r>
      <w:r>
        <w:rPr>
          <w:sz w:val="18"/>
        </w:rPr>
        <w:t>data</w:t>
      </w:r>
      <w:r>
        <w:rPr>
          <w:spacing w:val="-42"/>
          <w:sz w:val="18"/>
        </w:rPr>
        <w:t xml:space="preserve"> </w:t>
      </w:r>
      <w:r>
        <w:rPr>
          <w:sz w:val="18"/>
        </w:rPr>
        <w:t>for Germany and Italy. In order to fill this gap, EU-SILC 2019 indicators have been used for these countries. Consequently, the</w:t>
      </w:r>
      <w:r>
        <w:rPr>
          <w:spacing w:val="1"/>
          <w:sz w:val="18"/>
        </w:rPr>
        <w:t xml:space="preserve"> </w:t>
      </w:r>
      <w:r>
        <w:rPr>
          <w:sz w:val="18"/>
        </w:rPr>
        <w:t>indicators are indicative. The LFS provides relatively stable estimates between 2019-2020 for Italy but an important increase for</w:t>
      </w:r>
      <w:r>
        <w:rPr>
          <w:spacing w:val="-42"/>
          <w:sz w:val="18"/>
        </w:rPr>
        <w:t xml:space="preserve"> </w:t>
      </w:r>
      <w:r>
        <w:rPr>
          <w:sz w:val="18"/>
        </w:rPr>
        <w:t>Germany (+ 1.5 percentage points). These LFS estimates refer to all persons (Data extracted on 21/05/2022 from Eurostat). The</w:t>
      </w:r>
      <w:r>
        <w:rPr>
          <w:spacing w:val="1"/>
          <w:sz w:val="18"/>
        </w:rPr>
        <w:t xml:space="preserve"> </w:t>
      </w:r>
      <w:r>
        <w:rPr>
          <w:sz w:val="18"/>
        </w:rPr>
        <w:t>sample</w:t>
      </w:r>
      <w:r>
        <w:rPr>
          <w:spacing w:val="-2"/>
          <w:sz w:val="18"/>
        </w:rPr>
        <w:t xml:space="preserve"> </w:t>
      </w:r>
      <w:r>
        <w:rPr>
          <w:sz w:val="18"/>
        </w:rPr>
        <w:t>of</w:t>
      </w:r>
      <w:r>
        <w:rPr>
          <w:spacing w:val="-3"/>
          <w:sz w:val="18"/>
        </w:rPr>
        <w:t xml:space="preserve"> </w:t>
      </w:r>
      <w:r>
        <w:rPr>
          <w:sz w:val="18"/>
        </w:rPr>
        <w:t>Bulgaria</w:t>
      </w:r>
      <w:r>
        <w:rPr>
          <w:spacing w:val="-2"/>
          <w:sz w:val="18"/>
        </w:rPr>
        <w:t xml:space="preserve"> </w:t>
      </w:r>
      <w:r>
        <w:rPr>
          <w:sz w:val="18"/>
        </w:rPr>
        <w:t>is</w:t>
      </w:r>
      <w:r>
        <w:rPr>
          <w:spacing w:val="1"/>
          <w:sz w:val="18"/>
        </w:rPr>
        <w:t xml:space="preserve"> </w:t>
      </w:r>
      <w:r>
        <w:rPr>
          <w:sz w:val="18"/>
        </w:rPr>
        <w:t>relatively</w:t>
      </w:r>
      <w:r>
        <w:rPr>
          <w:spacing w:val="-4"/>
          <w:sz w:val="18"/>
        </w:rPr>
        <w:t xml:space="preserve"> </w:t>
      </w:r>
      <w:r>
        <w:rPr>
          <w:sz w:val="18"/>
        </w:rPr>
        <w:t>small</w:t>
      </w:r>
      <w:r>
        <w:rPr>
          <w:spacing w:val="1"/>
          <w:sz w:val="18"/>
        </w:rPr>
        <w:t xml:space="preserve"> </w:t>
      </w:r>
      <w:r>
        <w:rPr>
          <w:sz w:val="18"/>
        </w:rPr>
        <w:t>and</w:t>
      </w:r>
      <w:r>
        <w:rPr>
          <w:spacing w:val="1"/>
          <w:sz w:val="18"/>
        </w:rPr>
        <w:t xml:space="preserve"> </w:t>
      </w:r>
      <w:r>
        <w:rPr>
          <w:sz w:val="18"/>
        </w:rPr>
        <w:t>the</w:t>
      </w:r>
      <w:r>
        <w:rPr>
          <w:spacing w:val="-2"/>
          <w:sz w:val="18"/>
        </w:rPr>
        <w:t xml:space="preserve"> </w:t>
      </w:r>
      <w:r>
        <w:rPr>
          <w:sz w:val="18"/>
        </w:rPr>
        <w:t>estimate</w:t>
      </w:r>
      <w:r>
        <w:rPr>
          <w:spacing w:val="-1"/>
          <w:sz w:val="18"/>
        </w:rPr>
        <w:t xml:space="preserve"> </w:t>
      </w:r>
      <w:r>
        <w:rPr>
          <w:sz w:val="18"/>
        </w:rPr>
        <w:t>is</w:t>
      </w:r>
      <w:r>
        <w:rPr>
          <w:spacing w:val="1"/>
          <w:sz w:val="18"/>
        </w:rPr>
        <w:t xml:space="preserve"> </w:t>
      </w:r>
      <w:r>
        <w:rPr>
          <w:sz w:val="18"/>
        </w:rPr>
        <w:t>indicative. This</w:t>
      </w:r>
      <w:r>
        <w:rPr>
          <w:spacing w:val="-1"/>
          <w:sz w:val="18"/>
        </w:rPr>
        <w:t xml:space="preserve"> </w:t>
      </w:r>
      <w:r>
        <w:rPr>
          <w:sz w:val="18"/>
        </w:rPr>
        <w:t>affects</w:t>
      </w:r>
      <w:r>
        <w:rPr>
          <w:spacing w:val="-1"/>
          <w:sz w:val="18"/>
        </w:rPr>
        <w:t xml:space="preserve"> </w:t>
      </w:r>
      <w:r>
        <w:rPr>
          <w:sz w:val="18"/>
        </w:rPr>
        <w:t>the</w:t>
      </w:r>
      <w:r>
        <w:rPr>
          <w:spacing w:val="-1"/>
          <w:sz w:val="18"/>
        </w:rPr>
        <w:t xml:space="preserve"> </w:t>
      </w:r>
      <w:r>
        <w:rPr>
          <w:sz w:val="18"/>
        </w:rPr>
        <w:t>EU</w:t>
      </w:r>
      <w:r>
        <w:rPr>
          <w:spacing w:val="-1"/>
          <w:sz w:val="18"/>
        </w:rPr>
        <w:t xml:space="preserve"> </w:t>
      </w:r>
      <w:r>
        <w:rPr>
          <w:sz w:val="18"/>
        </w:rPr>
        <w:t>aggregate.</w:t>
      </w:r>
    </w:p>
    <w:p w:rsidR="005B1E95" w:rsidRDefault="005B1E95">
      <w:pPr>
        <w:pStyle w:val="BodyText"/>
        <w:ind w:left="0"/>
      </w:pPr>
    </w:p>
    <w:p w:rsidR="005B1E95" w:rsidRDefault="005B1E95">
      <w:pPr>
        <w:pStyle w:val="BodyText"/>
        <w:spacing w:before="1"/>
        <w:ind w:left="0"/>
        <w:rPr>
          <w:sz w:val="22"/>
        </w:rPr>
      </w:pPr>
    </w:p>
    <w:p w:rsidR="005B1E95" w:rsidRDefault="00526895">
      <w:pPr>
        <w:spacing w:before="1"/>
        <w:ind w:left="140" w:right="244"/>
        <w:rPr>
          <w:b/>
          <w:sz w:val="24"/>
        </w:rPr>
      </w:pPr>
      <w:r>
        <w:rPr>
          <w:b/>
          <w:sz w:val="24"/>
        </w:rPr>
        <w:t>Table</w:t>
      </w:r>
      <w:r>
        <w:rPr>
          <w:b/>
          <w:spacing w:val="15"/>
          <w:sz w:val="24"/>
        </w:rPr>
        <w:t xml:space="preserve"> </w:t>
      </w:r>
      <w:r>
        <w:rPr>
          <w:b/>
          <w:sz w:val="24"/>
        </w:rPr>
        <w:t>C.4:</w:t>
      </w:r>
      <w:r>
        <w:rPr>
          <w:b/>
          <w:spacing w:val="18"/>
          <w:sz w:val="24"/>
        </w:rPr>
        <w:t xml:space="preserve"> </w:t>
      </w:r>
      <w:r>
        <w:rPr>
          <w:b/>
          <w:sz w:val="24"/>
        </w:rPr>
        <w:t>Population</w:t>
      </w:r>
      <w:r>
        <w:rPr>
          <w:b/>
          <w:spacing w:val="21"/>
          <w:sz w:val="24"/>
        </w:rPr>
        <w:t xml:space="preserve"> </w:t>
      </w:r>
      <w:r>
        <w:rPr>
          <w:b/>
          <w:sz w:val="24"/>
        </w:rPr>
        <w:t>aged</w:t>
      </w:r>
      <w:r>
        <w:rPr>
          <w:b/>
          <w:spacing w:val="18"/>
          <w:sz w:val="24"/>
        </w:rPr>
        <w:t xml:space="preserve"> </w:t>
      </w:r>
      <w:r>
        <w:rPr>
          <w:b/>
          <w:sz w:val="24"/>
        </w:rPr>
        <w:t>30-34</w:t>
      </w:r>
      <w:r>
        <w:rPr>
          <w:b/>
          <w:spacing w:val="18"/>
          <w:sz w:val="24"/>
        </w:rPr>
        <w:t xml:space="preserve"> </w:t>
      </w:r>
      <w:r>
        <w:rPr>
          <w:b/>
          <w:sz w:val="24"/>
        </w:rPr>
        <w:t>who</w:t>
      </w:r>
      <w:r>
        <w:rPr>
          <w:b/>
          <w:spacing w:val="19"/>
          <w:sz w:val="24"/>
        </w:rPr>
        <w:t xml:space="preserve"> </w:t>
      </w:r>
      <w:r>
        <w:rPr>
          <w:b/>
          <w:sz w:val="24"/>
        </w:rPr>
        <w:t>have</w:t>
      </w:r>
      <w:r>
        <w:rPr>
          <w:b/>
          <w:spacing w:val="15"/>
          <w:sz w:val="24"/>
        </w:rPr>
        <w:t xml:space="preserve"> </w:t>
      </w:r>
      <w:r>
        <w:rPr>
          <w:b/>
          <w:sz w:val="24"/>
        </w:rPr>
        <w:t>completed</w:t>
      </w:r>
      <w:r>
        <w:rPr>
          <w:b/>
          <w:spacing w:val="18"/>
          <w:sz w:val="24"/>
        </w:rPr>
        <w:t xml:space="preserve"> </w:t>
      </w:r>
      <w:r>
        <w:rPr>
          <w:b/>
          <w:sz w:val="24"/>
        </w:rPr>
        <w:t>a</w:t>
      </w:r>
      <w:r>
        <w:rPr>
          <w:b/>
          <w:spacing w:val="19"/>
          <w:sz w:val="24"/>
        </w:rPr>
        <w:t xml:space="preserve"> </w:t>
      </w:r>
      <w:r>
        <w:rPr>
          <w:b/>
          <w:sz w:val="24"/>
        </w:rPr>
        <w:t>tertiary</w:t>
      </w:r>
      <w:r>
        <w:rPr>
          <w:b/>
          <w:spacing w:val="15"/>
          <w:sz w:val="24"/>
        </w:rPr>
        <w:t xml:space="preserve"> </w:t>
      </w:r>
      <w:r>
        <w:rPr>
          <w:b/>
          <w:sz w:val="24"/>
        </w:rPr>
        <w:t>or</w:t>
      </w:r>
      <w:r>
        <w:rPr>
          <w:b/>
          <w:spacing w:val="21"/>
          <w:sz w:val="24"/>
        </w:rPr>
        <w:t xml:space="preserve"> </w:t>
      </w:r>
      <w:r>
        <w:rPr>
          <w:b/>
          <w:sz w:val="24"/>
        </w:rPr>
        <w:t>equivalent</w:t>
      </w:r>
      <w:r>
        <w:rPr>
          <w:b/>
          <w:spacing w:val="19"/>
          <w:sz w:val="24"/>
        </w:rPr>
        <w:t xml:space="preserve"> </w:t>
      </w:r>
      <w:r>
        <w:rPr>
          <w:b/>
          <w:sz w:val="24"/>
        </w:rPr>
        <w:t>education,</w:t>
      </w:r>
      <w:r>
        <w:rPr>
          <w:b/>
          <w:spacing w:val="-57"/>
          <w:sz w:val="24"/>
        </w:rPr>
        <w:t xml:space="preserve"> </w:t>
      </w:r>
      <w:r>
        <w:rPr>
          <w:b/>
          <w:sz w:val="24"/>
        </w:rPr>
        <w:t>EU</w:t>
      </w:r>
      <w:r>
        <w:rPr>
          <w:b/>
          <w:spacing w:val="-2"/>
          <w:sz w:val="24"/>
        </w:rPr>
        <w:t xml:space="preserve"> </w:t>
      </w:r>
      <w:r>
        <w:rPr>
          <w:b/>
          <w:sz w:val="24"/>
        </w:rPr>
        <w:t>level,</w:t>
      </w:r>
      <w:r>
        <w:rPr>
          <w:b/>
          <w:spacing w:val="-1"/>
          <w:sz w:val="24"/>
        </w:rPr>
        <w:t xml:space="preserve"> </w:t>
      </w:r>
      <w:r>
        <w:rPr>
          <w:b/>
          <w:sz w:val="24"/>
        </w:rPr>
        <w:t>2020,</w:t>
      </w:r>
      <w:r>
        <w:rPr>
          <w:b/>
          <w:spacing w:val="-1"/>
          <w:sz w:val="24"/>
        </w:rPr>
        <w:t xml:space="preserve"> </w:t>
      </w:r>
      <w:r>
        <w:rPr>
          <w:b/>
          <w:sz w:val="24"/>
        </w:rPr>
        <w:t>%</w:t>
      </w:r>
    </w:p>
    <w:p w:rsidR="005B1E95" w:rsidRDefault="005B1E95">
      <w:pPr>
        <w:rPr>
          <w:sz w:val="24"/>
        </w:rPr>
        <w:sectPr w:rsidR="005B1E95">
          <w:headerReference w:type="default" r:id="rId14"/>
          <w:footerReference w:type="default" r:id="rId15"/>
          <w:pgSz w:w="12240" w:h="15840"/>
          <w:pgMar w:top="2760" w:right="1200" w:bottom="1160" w:left="1300" w:header="2336" w:footer="964" w:gutter="0"/>
          <w:cols w:space="720"/>
        </w:sectPr>
      </w:pPr>
    </w:p>
    <w:p w:rsidR="005B1E95" w:rsidRDefault="005B1E95">
      <w:pPr>
        <w:pStyle w:val="BodyText"/>
        <w:spacing w:before="4"/>
        <w:ind w:left="0"/>
        <w:rPr>
          <w:b/>
          <w:sz w:val="13"/>
        </w:rPr>
      </w:pPr>
    </w:p>
    <w:p w:rsidR="005B1E95" w:rsidRDefault="00526895">
      <w:pPr>
        <w:pStyle w:val="Heading2"/>
        <w:numPr>
          <w:ilvl w:val="0"/>
          <w:numId w:val="2"/>
        </w:numPr>
        <w:tabs>
          <w:tab w:val="left" w:pos="480"/>
        </w:tabs>
        <w:spacing w:before="88"/>
        <w:ind w:left="479" w:hanging="340"/>
      </w:pPr>
      <w:r>
        <w:t>Risk</w:t>
      </w:r>
      <w:r>
        <w:rPr>
          <w:spacing w:val="-6"/>
        </w:rPr>
        <w:t xml:space="preserve"> </w:t>
      </w:r>
      <w:r>
        <w:t>of</w:t>
      </w:r>
      <w:r>
        <w:rPr>
          <w:spacing w:val="-1"/>
        </w:rPr>
        <w:t xml:space="preserve"> </w:t>
      </w:r>
      <w:r>
        <w:t>poverty</w:t>
      </w:r>
      <w:r>
        <w:rPr>
          <w:spacing w:val="2"/>
        </w:rPr>
        <w:t xml:space="preserve"> </w:t>
      </w:r>
      <w:r>
        <w:t>and</w:t>
      </w:r>
      <w:r>
        <w:rPr>
          <w:spacing w:val="-1"/>
        </w:rPr>
        <w:t xml:space="preserve"> </w:t>
      </w:r>
      <w:r>
        <w:t>social</w:t>
      </w:r>
      <w:r>
        <w:rPr>
          <w:spacing w:val="-1"/>
        </w:rPr>
        <w:t xml:space="preserve"> </w:t>
      </w:r>
      <w:r>
        <w:t>exclusion</w:t>
      </w:r>
    </w:p>
    <w:p w:rsidR="005B1E95" w:rsidRDefault="005B1E95">
      <w:pPr>
        <w:pStyle w:val="BodyText"/>
        <w:ind w:left="0"/>
        <w:rPr>
          <w:b/>
          <w:sz w:val="30"/>
        </w:rPr>
      </w:pPr>
    </w:p>
    <w:p w:rsidR="005B1E95" w:rsidRDefault="00526895">
      <w:pPr>
        <w:pStyle w:val="Heading3"/>
        <w:spacing w:before="259"/>
      </w:pPr>
      <w:r>
        <w:t>Table</w:t>
      </w:r>
      <w:r>
        <w:rPr>
          <w:spacing w:val="-4"/>
        </w:rPr>
        <w:t xml:space="preserve"> </w:t>
      </w:r>
      <w:r>
        <w:t>D.1:</w:t>
      </w:r>
      <w:r>
        <w:rPr>
          <w:spacing w:val="-4"/>
        </w:rPr>
        <w:t xml:space="preserve"> </w:t>
      </w:r>
      <w:r>
        <w:t>Population</w:t>
      </w:r>
      <w:r>
        <w:rPr>
          <w:spacing w:val="-2"/>
        </w:rPr>
        <w:t xml:space="preserve"> </w:t>
      </w:r>
      <w:r>
        <w:t>aged</w:t>
      </w:r>
      <w:r>
        <w:rPr>
          <w:spacing w:val="-2"/>
        </w:rPr>
        <w:t xml:space="preserve"> </w:t>
      </w:r>
      <w:r>
        <w:t>16</w:t>
      </w:r>
      <w:r>
        <w:rPr>
          <w:spacing w:val="-2"/>
        </w:rPr>
        <w:t xml:space="preserve"> </w:t>
      </w:r>
      <w:r>
        <w:t>and</w:t>
      </w:r>
      <w:r>
        <w:rPr>
          <w:spacing w:val="2"/>
        </w:rPr>
        <w:t xml:space="preserve"> </w:t>
      </w:r>
      <w:r>
        <w:t>over</w:t>
      </w:r>
      <w:r>
        <w:rPr>
          <w:spacing w:val="-5"/>
        </w:rPr>
        <w:t xml:space="preserve"> </w:t>
      </w:r>
      <w:r>
        <w:t>at</w:t>
      </w:r>
      <w:r>
        <w:rPr>
          <w:spacing w:val="-3"/>
        </w:rPr>
        <w:t xml:space="preserve"> </w:t>
      </w:r>
      <w:r>
        <w:t>risk</w:t>
      </w:r>
      <w:r>
        <w:rPr>
          <w:spacing w:val="1"/>
        </w:rPr>
        <w:t xml:space="preserve"> </w:t>
      </w:r>
      <w:r>
        <w:t>of poverty</w:t>
      </w:r>
      <w:r>
        <w:rPr>
          <w:spacing w:val="-1"/>
        </w:rPr>
        <w:t xml:space="preserve"> </w:t>
      </w:r>
      <w:r>
        <w:t>by</w:t>
      </w:r>
      <w:r>
        <w:rPr>
          <w:spacing w:val="1"/>
        </w:rPr>
        <w:t xml:space="preserve"> </w:t>
      </w:r>
      <w:r>
        <w:t>disability</w:t>
      </w:r>
      <w:r>
        <w:rPr>
          <w:spacing w:val="-4"/>
        </w:rPr>
        <w:t xml:space="preserve"> </w:t>
      </w:r>
      <w:r>
        <w:t>status,</w:t>
      </w:r>
      <w:r>
        <w:rPr>
          <w:spacing w:val="-2"/>
        </w:rPr>
        <w:t xml:space="preserve"> </w:t>
      </w:r>
      <w:r>
        <w:t>EU</w:t>
      </w:r>
      <w:r>
        <w:rPr>
          <w:spacing w:val="-1"/>
        </w:rPr>
        <w:t xml:space="preserve"> </w:t>
      </w:r>
      <w:r>
        <w:t>level,</w:t>
      </w:r>
      <w:r>
        <w:rPr>
          <w:spacing w:val="-2"/>
        </w:rPr>
        <w:t xml:space="preserve"> </w:t>
      </w:r>
      <w:r>
        <w:t>%</w:t>
      </w:r>
    </w:p>
    <w:p w:rsidR="005B1E95" w:rsidRDefault="005B1E95">
      <w:pPr>
        <w:pStyle w:val="BodyText"/>
        <w:spacing w:before="5" w:after="1"/>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8"/>
        <w:gridCol w:w="1157"/>
        <w:gridCol w:w="1157"/>
        <w:gridCol w:w="773"/>
        <w:gridCol w:w="1157"/>
        <w:gridCol w:w="1157"/>
        <w:gridCol w:w="655"/>
      </w:tblGrid>
      <w:tr w:rsidR="005B1E95">
        <w:trPr>
          <w:trHeight w:val="298"/>
        </w:trPr>
        <w:tc>
          <w:tcPr>
            <w:tcW w:w="3110" w:type="dxa"/>
            <w:gridSpan w:val="3"/>
            <w:tcBorders>
              <w:left w:val="nil"/>
              <w:right w:val="single" w:sz="4" w:space="0" w:color="000000"/>
            </w:tcBorders>
          </w:tcPr>
          <w:p w:rsidR="005B1E95" w:rsidRDefault="00526895">
            <w:pPr>
              <w:pStyle w:val="TableParagraph"/>
              <w:spacing w:before="47"/>
              <w:ind w:left="1241" w:right="1194"/>
              <w:rPr>
                <w:b/>
                <w:sz w:val="18"/>
              </w:rPr>
            </w:pPr>
            <w:r>
              <w:rPr>
                <w:b/>
                <w:sz w:val="18"/>
              </w:rPr>
              <w:t>Females</w:t>
            </w:r>
          </w:p>
        </w:tc>
        <w:tc>
          <w:tcPr>
            <w:tcW w:w="3087" w:type="dxa"/>
            <w:gridSpan w:val="3"/>
            <w:tcBorders>
              <w:left w:val="single" w:sz="4" w:space="0" w:color="000000"/>
              <w:right w:val="single" w:sz="4" w:space="0" w:color="000000"/>
            </w:tcBorders>
          </w:tcPr>
          <w:p w:rsidR="005B1E95" w:rsidRDefault="00526895">
            <w:pPr>
              <w:pStyle w:val="TableParagraph"/>
              <w:spacing w:before="47"/>
              <w:ind w:left="1302" w:right="1274"/>
              <w:rPr>
                <w:b/>
                <w:sz w:val="18"/>
              </w:rPr>
            </w:pPr>
            <w:r>
              <w:rPr>
                <w:b/>
                <w:sz w:val="18"/>
              </w:rPr>
              <w:t>Males</w:t>
            </w:r>
          </w:p>
        </w:tc>
        <w:tc>
          <w:tcPr>
            <w:tcW w:w="2969" w:type="dxa"/>
            <w:gridSpan w:val="3"/>
            <w:tcBorders>
              <w:left w:val="single" w:sz="4" w:space="0" w:color="000000"/>
              <w:right w:val="nil"/>
            </w:tcBorders>
          </w:tcPr>
          <w:p w:rsidR="005B1E95" w:rsidRDefault="00526895">
            <w:pPr>
              <w:pStyle w:val="TableParagraph"/>
              <w:spacing w:before="47"/>
              <w:ind w:left="1263" w:right="1250"/>
              <w:rPr>
                <w:b/>
                <w:sz w:val="18"/>
              </w:rPr>
            </w:pPr>
            <w:r>
              <w:rPr>
                <w:b/>
                <w:sz w:val="18"/>
              </w:rPr>
              <w:t>Total</w:t>
            </w:r>
          </w:p>
        </w:tc>
      </w:tr>
      <w:tr w:rsidR="005B1E95">
        <w:trPr>
          <w:trHeight w:val="620"/>
        </w:trPr>
        <w:tc>
          <w:tcPr>
            <w:tcW w:w="1068" w:type="dxa"/>
            <w:tcBorders>
              <w:left w:val="nil"/>
              <w:right w:val="single" w:sz="4" w:space="0" w:color="000000"/>
            </w:tcBorders>
          </w:tcPr>
          <w:p w:rsidR="005B1E95" w:rsidRDefault="00526895">
            <w:pPr>
              <w:pStyle w:val="TableParagraph"/>
              <w:spacing w:line="206" w:lineRule="exact"/>
              <w:ind w:left="144" w:right="98" w:firstLine="4"/>
              <w:rPr>
                <w:b/>
                <w:sz w:val="18"/>
              </w:rPr>
            </w:pPr>
            <w:r>
              <w:rPr>
                <w:b/>
                <w:sz w:val="18"/>
              </w:rPr>
              <w:t>Persons</w:t>
            </w:r>
            <w:r>
              <w:rPr>
                <w:b/>
                <w:spacing w:val="1"/>
                <w:sz w:val="18"/>
              </w:rPr>
              <w:t xml:space="preserve"> </w:t>
            </w:r>
            <w:r>
              <w:rPr>
                <w:b/>
                <w:sz w:val="18"/>
              </w:rPr>
              <w:t>with</w:t>
            </w:r>
            <w:r>
              <w:rPr>
                <w:b/>
                <w:spacing w:val="1"/>
                <w:sz w:val="18"/>
              </w:rPr>
              <w:t xml:space="preserve"> </w:t>
            </w:r>
            <w:r>
              <w:rPr>
                <w:b/>
                <w:spacing w:val="-1"/>
                <w:sz w:val="18"/>
              </w:rPr>
              <w:t>disabilities</w:t>
            </w:r>
          </w:p>
        </w:tc>
        <w:tc>
          <w:tcPr>
            <w:tcW w:w="1154" w:type="dxa"/>
            <w:tcBorders>
              <w:left w:val="single" w:sz="4" w:space="0" w:color="000000"/>
              <w:right w:val="single" w:sz="4" w:space="0" w:color="000000"/>
            </w:tcBorders>
          </w:tcPr>
          <w:p w:rsidR="005B1E95" w:rsidRDefault="00526895">
            <w:pPr>
              <w:pStyle w:val="TableParagraph"/>
              <w:spacing w:line="206" w:lineRule="exact"/>
              <w:ind w:right="124"/>
              <w:rPr>
                <w:b/>
                <w:sz w:val="18"/>
              </w:rPr>
            </w:pPr>
            <w:r>
              <w:rPr>
                <w:b/>
                <w:sz w:val="18"/>
              </w:rPr>
              <w:t>Persons</w:t>
            </w:r>
            <w:r>
              <w:rPr>
                <w:b/>
                <w:spacing w:val="1"/>
                <w:sz w:val="18"/>
              </w:rPr>
              <w:t xml:space="preserve"> </w:t>
            </w:r>
            <w:r>
              <w:rPr>
                <w:b/>
                <w:sz w:val="18"/>
              </w:rPr>
              <w:t>without</w:t>
            </w:r>
            <w:r>
              <w:rPr>
                <w:b/>
                <w:spacing w:val="1"/>
                <w:sz w:val="18"/>
              </w:rPr>
              <w:t xml:space="preserve"> </w:t>
            </w:r>
            <w:r>
              <w:rPr>
                <w:b/>
                <w:sz w:val="18"/>
              </w:rPr>
              <w:t>disabilities</w:t>
            </w:r>
          </w:p>
        </w:tc>
        <w:tc>
          <w:tcPr>
            <w:tcW w:w="888" w:type="dxa"/>
            <w:tcBorders>
              <w:left w:val="single" w:sz="4" w:space="0" w:color="000000"/>
              <w:right w:val="single" w:sz="4" w:space="0" w:color="000000"/>
            </w:tcBorders>
          </w:tcPr>
          <w:p w:rsidR="005B1E95" w:rsidRDefault="005B1E95">
            <w:pPr>
              <w:pStyle w:val="TableParagraph"/>
              <w:spacing w:before="1"/>
              <w:ind w:left="0"/>
              <w:jc w:val="left"/>
              <w:rPr>
                <w:b/>
                <w:sz w:val="18"/>
              </w:rPr>
            </w:pPr>
          </w:p>
          <w:p w:rsidR="005B1E95" w:rsidRDefault="00526895">
            <w:pPr>
              <w:pStyle w:val="TableParagraph"/>
              <w:ind w:left="247"/>
              <w:jc w:val="left"/>
              <w:rPr>
                <w:b/>
                <w:sz w:val="18"/>
              </w:rPr>
            </w:pPr>
            <w:r>
              <w:rPr>
                <w:b/>
                <w:sz w:val="18"/>
              </w:rPr>
              <w:t>Total</w:t>
            </w:r>
          </w:p>
        </w:tc>
        <w:tc>
          <w:tcPr>
            <w:tcW w:w="1157" w:type="dxa"/>
            <w:tcBorders>
              <w:left w:val="single" w:sz="4" w:space="0" w:color="000000"/>
              <w:right w:val="single" w:sz="4" w:space="0" w:color="000000"/>
            </w:tcBorders>
          </w:tcPr>
          <w:p w:rsidR="005B1E95" w:rsidRDefault="00526895">
            <w:pPr>
              <w:pStyle w:val="TableParagraph"/>
              <w:spacing w:line="206" w:lineRule="exact"/>
              <w:ind w:right="127"/>
              <w:rPr>
                <w:b/>
                <w:sz w:val="18"/>
              </w:rPr>
            </w:pPr>
            <w:r>
              <w:rPr>
                <w:b/>
                <w:sz w:val="18"/>
              </w:rPr>
              <w:t>Persons</w:t>
            </w:r>
            <w:r>
              <w:rPr>
                <w:b/>
                <w:spacing w:val="1"/>
                <w:sz w:val="18"/>
              </w:rPr>
              <w:t xml:space="preserve"> </w:t>
            </w:r>
            <w:r>
              <w:rPr>
                <w:b/>
                <w:sz w:val="18"/>
              </w:rPr>
              <w:t>with</w:t>
            </w:r>
            <w:r>
              <w:rPr>
                <w:b/>
                <w:spacing w:val="1"/>
                <w:sz w:val="18"/>
              </w:rPr>
              <w:t xml:space="preserve"> </w:t>
            </w:r>
            <w:r>
              <w:rPr>
                <w:b/>
                <w:sz w:val="18"/>
              </w:rPr>
              <w:t>disabilities</w:t>
            </w:r>
          </w:p>
        </w:tc>
        <w:tc>
          <w:tcPr>
            <w:tcW w:w="1157" w:type="dxa"/>
            <w:tcBorders>
              <w:left w:val="single" w:sz="4" w:space="0" w:color="000000"/>
              <w:right w:val="single" w:sz="4" w:space="0" w:color="000000"/>
            </w:tcBorders>
          </w:tcPr>
          <w:p w:rsidR="005B1E95" w:rsidRDefault="00526895">
            <w:pPr>
              <w:pStyle w:val="TableParagraph"/>
              <w:spacing w:line="206" w:lineRule="exact"/>
              <w:ind w:right="127"/>
              <w:rPr>
                <w:b/>
                <w:sz w:val="18"/>
              </w:rPr>
            </w:pPr>
            <w:r>
              <w:rPr>
                <w:b/>
                <w:sz w:val="18"/>
              </w:rPr>
              <w:t>Persons</w:t>
            </w:r>
            <w:r>
              <w:rPr>
                <w:b/>
                <w:spacing w:val="1"/>
                <w:sz w:val="18"/>
              </w:rPr>
              <w:t xml:space="preserve"> </w:t>
            </w:r>
            <w:r>
              <w:rPr>
                <w:b/>
                <w:sz w:val="18"/>
              </w:rPr>
              <w:t>without</w:t>
            </w:r>
            <w:r>
              <w:rPr>
                <w:b/>
                <w:spacing w:val="1"/>
                <w:sz w:val="18"/>
              </w:rPr>
              <w:t xml:space="preserve"> </w:t>
            </w:r>
            <w:r>
              <w:rPr>
                <w:b/>
                <w:sz w:val="18"/>
              </w:rPr>
              <w:t>disabilities</w:t>
            </w:r>
          </w:p>
        </w:tc>
        <w:tc>
          <w:tcPr>
            <w:tcW w:w="773" w:type="dxa"/>
            <w:tcBorders>
              <w:left w:val="single" w:sz="4" w:space="0" w:color="000000"/>
              <w:right w:val="single" w:sz="4" w:space="0" w:color="000000"/>
            </w:tcBorders>
          </w:tcPr>
          <w:p w:rsidR="005B1E95" w:rsidRDefault="005B1E95">
            <w:pPr>
              <w:pStyle w:val="TableParagraph"/>
              <w:spacing w:before="1"/>
              <w:ind w:left="0"/>
              <w:jc w:val="left"/>
              <w:rPr>
                <w:b/>
                <w:sz w:val="18"/>
              </w:rPr>
            </w:pPr>
          </w:p>
          <w:p w:rsidR="005B1E95" w:rsidRDefault="00526895">
            <w:pPr>
              <w:pStyle w:val="TableParagraph"/>
              <w:ind w:left="189"/>
              <w:jc w:val="left"/>
              <w:rPr>
                <w:b/>
                <w:sz w:val="18"/>
              </w:rPr>
            </w:pPr>
            <w:r>
              <w:rPr>
                <w:b/>
                <w:sz w:val="18"/>
              </w:rPr>
              <w:t>Total</w:t>
            </w:r>
          </w:p>
        </w:tc>
        <w:tc>
          <w:tcPr>
            <w:tcW w:w="1157" w:type="dxa"/>
            <w:tcBorders>
              <w:left w:val="single" w:sz="4" w:space="0" w:color="000000"/>
              <w:right w:val="single" w:sz="4" w:space="0" w:color="000000"/>
            </w:tcBorders>
          </w:tcPr>
          <w:p w:rsidR="005B1E95" w:rsidRDefault="00526895">
            <w:pPr>
              <w:pStyle w:val="TableParagraph"/>
              <w:spacing w:line="206" w:lineRule="exact"/>
              <w:ind w:right="128"/>
              <w:rPr>
                <w:b/>
                <w:sz w:val="18"/>
              </w:rPr>
            </w:pPr>
            <w:r>
              <w:rPr>
                <w:b/>
                <w:sz w:val="18"/>
              </w:rPr>
              <w:t>Persons</w:t>
            </w:r>
            <w:r>
              <w:rPr>
                <w:b/>
                <w:spacing w:val="1"/>
                <w:sz w:val="18"/>
              </w:rPr>
              <w:t xml:space="preserve"> </w:t>
            </w:r>
            <w:r>
              <w:rPr>
                <w:b/>
                <w:sz w:val="18"/>
              </w:rPr>
              <w:t>with</w:t>
            </w:r>
            <w:r>
              <w:rPr>
                <w:b/>
                <w:spacing w:val="1"/>
                <w:sz w:val="18"/>
              </w:rPr>
              <w:t xml:space="preserve"> </w:t>
            </w:r>
            <w:r>
              <w:rPr>
                <w:b/>
                <w:spacing w:val="-1"/>
                <w:sz w:val="18"/>
              </w:rPr>
              <w:t>disabilities</w:t>
            </w:r>
          </w:p>
        </w:tc>
        <w:tc>
          <w:tcPr>
            <w:tcW w:w="1157" w:type="dxa"/>
            <w:tcBorders>
              <w:left w:val="single" w:sz="4" w:space="0" w:color="000000"/>
              <w:right w:val="single" w:sz="4" w:space="0" w:color="000000"/>
            </w:tcBorders>
          </w:tcPr>
          <w:p w:rsidR="005B1E95" w:rsidRDefault="00526895">
            <w:pPr>
              <w:pStyle w:val="TableParagraph"/>
              <w:spacing w:line="206" w:lineRule="exact"/>
              <w:ind w:right="128"/>
              <w:rPr>
                <w:b/>
                <w:sz w:val="18"/>
              </w:rPr>
            </w:pPr>
            <w:r>
              <w:rPr>
                <w:b/>
                <w:sz w:val="18"/>
              </w:rPr>
              <w:t>Persons</w:t>
            </w:r>
            <w:r>
              <w:rPr>
                <w:b/>
                <w:spacing w:val="1"/>
                <w:sz w:val="18"/>
              </w:rPr>
              <w:t xml:space="preserve"> </w:t>
            </w:r>
            <w:r>
              <w:rPr>
                <w:b/>
                <w:sz w:val="18"/>
              </w:rPr>
              <w:t>without</w:t>
            </w:r>
            <w:r>
              <w:rPr>
                <w:b/>
                <w:spacing w:val="1"/>
                <w:sz w:val="18"/>
              </w:rPr>
              <w:t xml:space="preserve"> </w:t>
            </w:r>
            <w:r>
              <w:rPr>
                <w:b/>
                <w:spacing w:val="-1"/>
                <w:sz w:val="18"/>
              </w:rPr>
              <w:t>disabilities</w:t>
            </w:r>
          </w:p>
        </w:tc>
        <w:tc>
          <w:tcPr>
            <w:tcW w:w="655" w:type="dxa"/>
            <w:tcBorders>
              <w:left w:val="single" w:sz="4" w:space="0" w:color="000000"/>
              <w:right w:val="nil"/>
            </w:tcBorders>
          </w:tcPr>
          <w:p w:rsidR="005B1E95" w:rsidRDefault="005B1E95">
            <w:pPr>
              <w:pStyle w:val="TableParagraph"/>
              <w:spacing w:before="1"/>
              <w:ind w:left="0"/>
              <w:jc w:val="left"/>
              <w:rPr>
                <w:b/>
                <w:sz w:val="18"/>
              </w:rPr>
            </w:pPr>
          </w:p>
          <w:p w:rsidR="005B1E95" w:rsidRDefault="00526895">
            <w:pPr>
              <w:pStyle w:val="TableParagraph"/>
              <w:ind w:left="128"/>
              <w:jc w:val="left"/>
              <w:rPr>
                <w:b/>
                <w:sz w:val="18"/>
              </w:rPr>
            </w:pPr>
            <w:r>
              <w:rPr>
                <w:b/>
                <w:sz w:val="18"/>
              </w:rPr>
              <w:t>Total</w:t>
            </w:r>
          </w:p>
        </w:tc>
      </w:tr>
    </w:tbl>
    <w:p w:rsidR="005B1E95" w:rsidRDefault="00526895">
      <w:pPr>
        <w:spacing w:before="48" w:after="47"/>
        <w:ind w:left="2030" w:right="2122"/>
        <w:jc w:val="center"/>
        <w:rPr>
          <w:b/>
          <w:sz w:val="18"/>
        </w:rPr>
      </w:pPr>
      <w:r>
        <w:rPr>
          <w:b/>
          <w:sz w:val="18"/>
        </w:rPr>
        <w:t>2020</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8"/>
        <w:gridCol w:w="1157"/>
        <w:gridCol w:w="1157"/>
        <w:gridCol w:w="773"/>
        <w:gridCol w:w="1157"/>
        <w:gridCol w:w="1157"/>
        <w:gridCol w:w="655"/>
      </w:tblGrid>
      <w:tr w:rsidR="005B1E95">
        <w:trPr>
          <w:trHeight w:val="298"/>
        </w:trPr>
        <w:tc>
          <w:tcPr>
            <w:tcW w:w="1068" w:type="dxa"/>
            <w:tcBorders>
              <w:left w:val="nil"/>
              <w:right w:val="single" w:sz="4" w:space="0" w:color="000000"/>
            </w:tcBorders>
          </w:tcPr>
          <w:p w:rsidR="005B1E95" w:rsidRDefault="00526895">
            <w:pPr>
              <w:pStyle w:val="TableParagraph"/>
              <w:spacing w:before="42"/>
              <w:ind w:left="398"/>
              <w:jc w:val="left"/>
              <w:rPr>
                <w:sz w:val="18"/>
              </w:rPr>
            </w:pPr>
            <w:r>
              <w:rPr>
                <w:sz w:val="18"/>
              </w:rPr>
              <w:t>22.0</w:t>
            </w:r>
          </w:p>
        </w:tc>
        <w:tc>
          <w:tcPr>
            <w:tcW w:w="1154"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15.5</w:t>
            </w:r>
          </w:p>
        </w:tc>
        <w:tc>
          <w:tcPr>
            <w:tcW w:w="888" w:type="dxa"/>
            <w:tcBorders>
              <w:left w:val="single" w:sz="4" w:space="0" w:color="000000"/>
              <w:right w:val="single" w:sz="4" w:space="0" w:color="000000"/>
            </w:tcBorders>
          </w:tcPr>
          <w:p w:rsidR="005B1E95" w:rsidRDefault="00526895">
            <w:pPr>
              <w:pStyle w:val="TableParagraph"/>
              <w:spacing w:before="47"/>
              <w:ind w:left="295"/>
              <w:jc w:val="left"/>
              <w:rPr>
                <w:b/>
                <w:sz w:val="18"/>
              </w:rPr>
            </w:pPr>
            <w:r>
              <w:rPr>
                <w:b/>
                <w:sz w:val="18"/>
              </w:rPr>
              <w:t>17.3</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19.6</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14.1</w:t>
            </w:r>
          </w:p>
        </w:tc>
        <w:tc>
          <w:tcPr>
            <w:tcW w:w="773" w:type="dxa"/>
            <w:tcBorders>
              <w:left w:val="single" w:sz="4" w:space="0" w:color="000000"/>
              <w:right w:val="single" w:sz="4" w:space="0" w:color="000000"/>
            </w:tcBorders>
          </w:tcPr>
          <w:p w:rsidR="005B1E95" w:rsidRDefault="00526895">
            <w:pPr>
              <w:pStyle w:val="TableParagraph"/>
              <w:spacing w:before="47"/>
              <w:ind w:left="237"/>
              <w:jc w:val="left"/>
              <w:rPr>
                <w:b/>
                <w:sz w:val="18"/>
              </w:rPr>
            </w:pPr>
            <w:r>
              <w:rPr>
                <w:b/>
                <w:sz w:val="18"/>
              </w:rPr>
              <w:t>15.3</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21.0</w:t>
            </w:r>
          </w:p>
        </w:tc>
        <w:tc>
          <w:tcPr>
            <w:tcW w:w="1157" w:type="dxa"/>
            <w:tcBorders>
              <w:left w:val="single" w:sz="4" w:space="0" w:color="000000"/>
              <w:right w:val="single" w:sz="4" w:space="0" w:color="000000"/>
            </w:tcBorders>
          </w:tcPr>
          <w:p w:rsidR="005B1E95" w:rsidRDefault="00526895">
            <w:pPr>
              <w:pStyle w:val="TableParagraph"/>
              <w:spacing w:before="42"/>
              <w:ind w:left="154" w:right="129"/>
              <w:rPr>
                <w:sz w:val="18"/>
              </w:rPr>
            </w:pPr>
            <w:r>
              <w:rPr>
                <w:sz w:val="18"/>
              </w:rPr>
              <w:t>14.8</w:t>
            </w:r>
          </w:p>
        </w:tc>
        <w:tc>
          <w:tcPr>
            <w:tcW w:w="655" w:type="dxa"/>
            <w:tcBorders>
              <w:left w:val="single" w:sz="4" w:space="0" w:color="000000"/>
              <w:right w:val="nil"/>
            </w:tcBorders>
          </w:tcPr>
          <w:p w:rsidR="005B1E95" w:rsidRDefault="00526895">
            <w:pPr>
              <w:pStyle w:val="TableParagraph"/>
              <w:spacing w:before="47"/>
              <w:ind w:left="176"/>
              <w:jc w:val="left"/>
              <w:rPr>
                <w:b/>
                <w:sz w:val="18"/>
              </w:rPr>
            </w:pPr>
            <w:r>
              <w:rPr>
                <w:b/>
                <w:sz w:val="18"/>
              </w:rPr>
              <w:t>16.3</w:t>
            </w:r>
          </w:p>
        </w:tc>
      </w:tr>
    </w:tbl>
    <w:p w:rsidR="005B1E95" w:rsidRDefault="00526895">
      <w:pPr>
        <w:spacing w:before="48" w:after="47"/>
        <w:ind w:left="2030" w:right="2122"/>
        <w:jc w:val="center"/>
        <w:rPr>
          <w:b/>
          <w:sz w:val="18"/>
        </w:rPr>
      </w:pPr>
      <w:r>
        <w:rPr>
          <w:b/>
          <w:sz w:val="18"/>
        </w:rPr>
        <w:t>2021</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8"/>
        <w:gridCol w:w="1157"/>
        <w:gridCol w:w="1157"/>
        <w:gridCol w:w="773"/>
        <w:gridCol w:w="1157"/>
        <w:gridCol w:w="1157"/>
        <w:gridCol w:w="655"/>
      </w:tblGrid>
      <w:tr w:rsidR="005B1E95">
        <w:trPr>
          <w:trHeight w:val="301"/>
        </w:trPr>
        <w:tc>
          <w:tcPr>
            <w:tcW w:w="1068" w:type="dxa"/>
            <w:tcBorders>
              <w:left w:val="nil"/>
              <w:right w:val="single" w:sz="4" w:space="0" w:color="000000"/>
            </w:tcBorders>
          </w:tcPr>
          <w:p w:rsidR="005B1E95" w:rsidRDefault="00526895">
            <w:pPr>
              <w:pStyle w:val="TableParagraph"/>
              <w:spacing w:before="42"/>
              <w:ind w:left="398"/>
              <w:jc w:val="left"/>
              <w:rPr>
                <w:sz w:val="18"/>
              </w:rPr>
            </w:pPr>
            <w:r>
              <w:rPr>
                <w:sz w:val="18"/>
              </w:rPr>
              <w:t>22.1</w:t>
            </w:r>
          </w:p>
        </w:tc>
        <w:tc>
          <w:tcPr>
            <w:tcW w:w="1154"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15.5</w:t>
            </w:r>
          </w:p>
        </w:tc>
        <w:tc>
          <w:tcPr>
            <w:tcW w:w="888" w:type="dxa"/>
            <w:tcBorders>
              <w:left w:val="single" w:sz="4" w:space="0" w:color="000000"/>
              <w:right w:val="single" w:sz="4" w:space="0" w:color="000000"/>
            </w:tcBorders>
          </w:tcPr>
          <w:p w:rsidR="005B1E95" w:rsidRDefault="00526895">
            <w:pPr>
              <w:pStyle w:val="TableParagraph"/>
              <w:spacing w:before="47"/>
              <w:ind w:left="295"/>
              <w:jc w:val="left"/>
              <w:rPr>
                <w:b/>
                <w:sz w:val="18"/>
              </w:rPr>
            </w:pPr>
            <w:r>
              <w:rPr>
                <w:b/>
                <w:sz w:val="18"/>
              </w:rPr>
              <w:t>17.3</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19.7</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14.2</w:t>
            </w:r>
          </w:p>
        </w:tc>
        <w:tc>
          <w:tcPr>
            <w:tcW w:w="773" w:type="dxa"/>
            <w:tcBorders>
              <w:left w:val="single" w:sz="4" w:space="0" w:color="000000"/>
              <w:right w:val="single" w:sz="4" w:space="0" w:color="000000"/>
            </w:tcBorders>
          </w:tcPr>
          <w:p w:rsidR="005B1E95" w:rsidRDefault="00526895">
            <w:pPr>
              <w:pStyle w:val="TableParagraph"/>
              <w:spacing w:before="47"/>
              <w:ind w:left="237"/>
              <w:jc w:val="left"/>
              <w:rPr>
                <w:b/>
                <w:sz w:val="18"/>
              </w:rPr>
            </w:pPr>
            <w:r>
              <w:rPr>
                <w:b/>
                <w:sz w:val="18"/>
              </w:rPr>
              <w:t>15.5</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21.1</w:t>
            </w:r>
          </w:p>
        </w:tc>
        <w:tc>
          <w:tcPr>
            <w:tcW w:w="1157" w:type="dxa"/>
            <w:tcBorders>
              <w:left w:val="single" w:sz="4" w:space="0" w:color="000000"/>
              <w:right w:val="single" w:sz="4" w:space="0" w:color="000000"/>
            </w:tcBorders>
          </w:tcPr>
          <w:p w:rsidR="005B1E95" w:rsidRDefault="00526895">
            <w:pPr>
              <w:pStyle w:val="TableParagraph"/>
              <w:spacing w:before="42"/>
              <w:ind w:left="154" w:right="129"/>
              <w:rPr>
                <w:sz w:val="18"/>
              </w:rPr>
            </w:pPr>
            <w:r>
              <w:rPr>
                <w:sz w:val="18"/>
              </w:rPr>
              <w:t>14.9</w:t>
            </w:r>
          </w:p>
        </w:tc>
        <w:tc>
          <w:tcPr>
            <w:tcW w:w="655" w:type="dxa"/>
            <w:tcBorders>
              <w:left w:val="single" w:sz="4" w:space="0" w:color="000000"/>
              <w:right w:val="nil"/>
            </w:tcBorders>
          </w:tcPr>
          <w:p w:rsidR="005B1E95" w:rsidRDefault="00526895">
            <w:pPr>
              <w:pStyle w:val="TableParagraph"/>
              <w:spacing w:before="47"/>
              <w:ind w:left="176"/>
              <w:jc w:val="left"/>
              <w:rPr>
                <w:b/>
                <w:sz w:val="18"/>
              </w:rPr>
            </w:pPr>
            <w:r>
              <w:rPr>
                <w:b/>
                <w:sz w:val="18"/>
              </w:rPr>
              <w:t>16.4</w:t>
            </w:r>
          </w:p>
        </w:tc>
      </w:tr>
    </w:tbl>
    <w:p w:rsidR="005B1E95" w:rsidRPr="00526895" w:rsidRDefault="00526895">
      <w:pPr>
        <w:spacing w:before="115"/>
        <w:ind w:left="140"/>
        <w:rPr>
          <w:sz w:val="18"/>
          <w:lang w:val="fr-BE"/>
        </w:rPr>
      </w:pPr>
      <w:r w:rsidRPr="00526895">
        <w:rPr>
          <w:sz w:val="18"/>
          <w:lang w:val="fr-BE"/>
        </w:rPr>
        <w:t>Source:</w:t>
      </w:r>
      <w:r w:rsidRPr="00526895">
        <w:rPr>
          <w:spacing w:val="-2"/>
          <w:sz w:val="18"/>
          <w:lang w:val="fr-BE"/>
        </w:rPr>
        <w:t xml:space="preserve"> </w:t>
      </w:r>
      <w:r w:rsidRPr="00526895">
        <w:rPr>
          <w:sz w:val="18"/>
          <w:lang w:val="fr-BE"/>
        </w:rPr>
        <w:t>Eurostat</w:t>
      </w:r>
      <w:r w:rsidRPr="00526895">
        <w:rPr>
          <w:spacing w:val="-4"/>
          <w:sz w:val="18"/>
          <w:lang w:val="fr-BE"/>
        </w:rPr>
        <w:t xml:space="preserve"> </w:t>
      </w:r>
      <w:r w:rsidRPr="00526895">
        <w:rPr>
          <w:sz w:val="18"/>
          <w:lang w:val="fr-BE"/>
        </w:rPr>
        <w:t>database,</w:t>
      </w:r>
      <w:r w:rsidRPr="00526895">
        <w:rPr>
          <w:spacing w:val="-3"/>
          <w:sz w:val="18"/>
          <w:lang w:val="fr-BE"/>
        </w:rPr>
        <w:t xml:space="preserve"> </w:t>
      </w:r>
      <w:r w:rsidRPr="00526895">
        <w:rPr>
          <w:sz w:val="18"/>
          <w:lang w:val="fr-BE"/>
        </w:rPr>
        <w:t>EU-SILC</w:t>
      </w:r>
      <w:r w:rsidRPr="00526895">
        <w:rPr>
          <w:spacing w:val="-3"/>
          <w:sz w:val="18"/>
          <w:lang w:val="fr-BE"/>
        </w:rPr>
        <w:t xml:space="preserve"> </w:t>
      </w:r>
      <w:r w:rsidRPr="00526895">
        <w:rPr>
          <w:sz w:val="18"/>
          <w:lang w:val="fr-BE"/>
        </w:rPr>
        <w:t>dataset</w:t>
      </w:r>
      <w:r w:rsidRPr="00526895">
        <w:rPr>
          <w:spacing w:val="2"/>
          <w:sz w:val="18"/>
          <w:lang w:val="fr-BE"/>
        </w:rPr>
        <w:t xml:space="preserve"> </w:t>
      </w:r>
      <w:r w:rsidRPr="00526895">
        <w:rPr>
          <w:color w:val="0562C1"/>
          <w:sz w:val="18"/>
          <w:u w:val="single" w:color="0562C1"/>
          <w:lang w:val="fr-BE"/>
        </w:rPr>
        <w:t>hlth_dpe020</w:t>
      </w:r>
    </w:p>
    <w:p w:rsidR="005B1E95" w:rsidRPr="00526895" w:rsidRDefault="005B1E95">
      <w:pPr>
        <w:pStyle w:val="BodyText"/>
        <w:ind w:left="0"/>
        <w:rPr>
          <w:lang w:val="fr-BE"/>
        </w:rPr>
      </w:pPr>
    </w:p>
    <w:p w:rsidR="005B1E95" w:rsidRPr="00526895" w:rsidRDefault="005B1E95">
      <w:pPr>
        <w:pStyle w:val="BodyText"/>
        <w:spacing w:before="4"/>
        <w:ind w:left="0"/>
        <w:rPr>
          <w:sz w:val="17"/>
          <w:lang w:val="fr-BE"/>
        </w:rPr>
      </w:pPr>
    </w:p>
    <w:p w:rsidR="005B1E95" w:rsidRDefault="00526895">
      <w:pPr>
        <w:pStyle w:val="Heading3"/>
        <w:spacing w:before="90"/>
        <w:ind w:right="240"/>
      </w:pPr>
      <w:r>
        <w:t>Table</w:t>
      </w:r>
      <w:r>
        <w:rPr>
          <w:spacing w:val="-3"/>
        </w:rPr>
        <w:t xml:space="preserve"> </w:t>
      </w:r>
      <w:r>
        <w:t>D.2:</w:t>
      </w:r>
      <w:r>
        <w:rPr>
          <w:spacing w:val="1"/>
        </w:rPr>
        <w:t xml:space="preserve"> </w:t>
      </w:r>
      <w:r>
        <w:t>Severely</w:t>
      </w:r>
      <w:r>
        <w:rPr>
          <w:spacing w:val="5"/>
        </w:rPr>
        <w:t xml:space="preserve"> </w:t>
      </w:r>
      <w:r>
        <w:t>materially</w:t>
      </w:r>
      <w:r>
        <w:rPr>
          <w:spacing w:val="1"/>
        </w:rPr>
        <w:t xml:space="preserve"> </w:t>
      </w:r>
      <w:r>
        <w:t>deprived</w:t>
      </w:r>
      <w:r>
        <w:rPr>
          <w:spacing w:val="1"/>
        </w:rPr>
        <w:t xml:space="preserve"> </w:t>
      </w:r>
      <w:r>
        <w:t>persons (aged</w:t>
      </w:r>
      <w:r>
        <w:rPr>
          <w:spacing w:val="1"/>
        </w:rPr>
        <w:t xml:space="preserve"> </w:t>
      </w:r>
      <w:r>
        <w:t>16</w:t>
      </w:r>
      <w:r>
        <w:rPr>
          <w:spacing w:val="1"/>
        </w:rPr>
        <w:t xml:space="preserve"> </w:t>
      </w:r>
      <w:r>
        <w:t>and</w:t>
      </w:r>
      <w:r>
        <w:rPr>
          <w:spacing w:val="2"/>
        </w:rPr>
        <w:t xml:space="preserve"> </w:t>
      </w:r>
      <w:r>
        <w:t>over)</w:t>
      </w:r>
      <w:r>
        <w:rPr>
          <w:spacing w:val="2"/>
        </w:rPr>
        <w:t xml:space="preserve"> </w:t>
      </w:r>
      <w:r>
        <w:t>by disability</w:t>
      </w:r>
      <w:r>
        <w:rPr>
          <w:spacing w:val="1"/>
        </w:rPr>
        <w:t xml:space="preserve"> </w:t>
      </w:r>
      <w:r>
        <w:t>status,</w:t>
      </w:r>
      <w:r>
        <w:rPr>
          <w:spacing w:val="1"/>
        </w:rPr>
        <w:t xml:space="preserve"> </w:t>
      </w:r>
      <w:r>
        <w:t>EU</w:t>
      </w:r>
      <w:r>
        <w:rPr>
          <w:spacing w:val="-57"/>
        </w:rPr>
        <w:t xml:space="preserve"> </w:t>
      </w:r>
      <w:r>
        <w:t>level,</w:t>
      </w:r>
      <w:r>
        <w:rPr>
          <w:spacing w:val="1"/>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3"/>
        <w:gridCol w:w="1157"/>
        <w:gridCol w:w="1157"/>
        <w:gridCol w:w="775"/>
        <w:gridCol w:w="1157"/>
        <w:gridCol w:w="1157"/>
        <w:gridCol w:w="658"/>
      </w:tblGrid>
      <w:tr w:rsidR="005B1E95">
        <w:trPr>
          <w:trHeight w:val="301"/>
        </w:trPr>
        <w:tc>
          <w:tcPr>
            <w:tcW w:w="3105" w:type="dxa"/>
            <w:gridSpan w:val="3"/>
            <w:tcBorders>
              <w:left w:val="nil"/>
              <w:right w:val="single" w:sz="4" w:space="0" w:color="000000"/>
            </w:tcBorders>
          </w:tcPr>
          <w:p w:rsidR="005B1E95" w:rsidRDefault="00526895">
            <w:pPr>
              <w:pStyle w:val="TableParagraph"/>
              <w:spacing w:before="47"/>
              <w:ind w:left="1238" w:right="1191"/>
              <w:rPr>
                <w:b/>
                <w:sz w:val="18"/>
              </w:rPr>
            </w:pPr>
            <w:r>
              <w:rPr>
                <w:b/>
                <w:sz w:val="18"/>
              </w:rPr>
              <w:t>Females</w:t>
            </w:r>
          </w:p>
        </w:tc>
        <w:tc>
          <w:tcPr>
            <w:tcW w:w="3089" w:type="dxa"/>
            <w:gridSpan w:val="3"/>
            <w:tcBorders>
              <w:left w:val="single" w:sz="4" w:space="0" w:color="000000"/>
              <w:right w:val="single" w:sz="4" w:space="0" w:color="000000"/>
            </w:tcBorders>
          </w:tcPr>
          <w:p w:rsidR="005B1E95" w:rsidRDefault="00526895">
            <w:pPr>
              <w:pStyle w:val="TableParagraph"/>
              <w:spacing w:before="47"/>
              <w:ind w:left="678" w:right="653"/>
              <w:rPr>
                <w:b/>
                <w:sz w:val="18"/>
              </w:rPr>
            </w:pPr>
            <w:r>
              <w:rPr>
                <w:b/>
                <w:sz w:val="18"/>
              </w:rPr>
              <w:t>Males</w:t>
            </w:r>
          </w:p>
        </w:tc>
        <w:tc>
          <w:tcPr>
            <w:tcW w:w="2972" w:type="dxa"/>
            <w:gridSpan w:val="3"/>
            <w:tcBorders>
              <w:left w:val="single" w:sz="4" w:space="0" w:color="000000"/>
              <w:right w:val="nil"/>
            </w:tcBorders>
          </w:tcPr>
          <w:p w:rsidR="005B1E95" w:rsidRDefault="00526895">
            <w:pPr>
              <w:pStyle w:val="TableParagraph"/>
              <w:spacing w:before="47"/>
              <w:ind w:left="1266" w:right="1250"/>
              <w:rPr>
                <w:b/>
                <w:sz w:val="18"/>
              </w:rPr>
            </w:pPr>
            <w:r>
              <w:rPr>
                <w:b/>
                <w:sz w:val="18"/>
              </w:rPr>
              <w:t>Total</w:t>
            </w:r>
          </w:p>
        </w:tc>
      </w:tr>
      <w:tr w:rsidR="005B1E95">
        <w:trPr>
          <w:trHeight w:val="620"/>
        </w:trPr>
        <w:tc>
          <w:tcPr>
            <w:tcW w:w="1068" w:type="dxa"/>
            <w:tcBorders>
              <w:left w:val="nil"/>
              <w:right w:val="single" w:sz="4" w:space="0" w:color="000000"/>
            </w:tcBorders>
          </w:tcPr>
          <w:p w:rsidR="005B1E95" w:rsidRDefault="00526895">
            <w:pPr>
              <w:pStyle w:val="TableParagraph"/>
              <w:ind w:left="256" w:right="206"/>
              <w:rPr>
                <w:b/>
                <w:sz w:val="18"/>
              </w:rPr>
            </w:pPr>
            <w:r>
              <w:rPr>
                <w:b/>
                <w:spacing w:val="-1"/>
                <w:sz w:val="18"/>
              </w:rPr>
              <w:t>Persons</w:t>
            </w:r>
            <w:r>
              <w:rPr>
                <w:b/>
                <w:spacing w:val="-42"/>
                <w:sz w:val="18"/>
              </w:rPr>
              <w:t xml:space="preserve"> </w:t>
            </w:r>
            <w:r>
              <w:rPr>
                <w:b/>
                <w:sz w:val="18"/>
              </w:rPr>
              <w:t>with</w:t>
            </w:r>
          </w:p>
          <w:p w:rsidR="005B1E95" w:rsidRDefault="00526895">
            <w:pPr>
              <w:pStyle w:val="TableParagraph"/>
              <w:spacing w:line="186" w:lineRule="exact"/>
              <w:ind w:left="122" w:right="79"/>
              <w:rPr>
                <w:b/>
                <w:sz w:val="18"/>
              </w:rPr>
            </w:pPr>
            <w:r>
              <w:rPr>
                <w:b/>
                <w:sz w:val="18"/>
              </w:rPr>
              <w:t>disabilities</w:t>
            </w:r>
          </w:p>
        </w:tc>
        <w:tc>
          <w:tcPr>
            <w:tcW w:w="1154" w:type="dxa"/>
            <w:tcBorders>
              <w:left w:val="single" w:sz="4" w:space="0" w:color="000000"/>
              <w:right w:val="single" w:sz="4" w:space="0" w:color="000000"/>
            </w:tcBorders>
          </w:tcPr>
          <w:p w:rsidR="005B1E95" w:rsidRDefault="00526895">
            <w:pPr>
              <w:pStyle w:val="TableParagraph"/>
              <w:ind w:right="125"/>
              <w:rPr>
                <w:b/>
                <w:sz w:val="18"/>
              </w:rPr>
            </w:pPr>
            <w:r>
              <w:rPr>
                <w:b/>
                <w:spacing w:val="-1"/>
                <w:sz w:val="18"/>
              </w:rPr>
              <w:t>Persons</w:t>
            </w:r>
            <w:r>
              <w:rPr>
                <w:b/>
                <w:spacing w:val="-42"/>
                <w:sz w:val="18"/>
              </w:rPr>
              <w:t xml:space="preserve"> </w:t>
            </w:r>
            <w:r>
              <w:rPr>
                <w:b/>
                <w:sz w:val="18"/>
              </w:rPr>
              <w:t>without</w:t>
            </w:r>
          </w:p>
          <w:p w:rsidR="005B1E95" w:rsidRDefault="00526895">
            <w:pPr>
              <w:pStyle w:val="TableParagraph"/>
              <w:spacing w:line="186" w:lineRule="exact"/>
              <w:ind w:right="127"/>
              <w:rPr>
                <w:b/>
                <w:sz w:val="18"/>
              </w:rPr>
            </w:pPr>
            <w:r>
              <w:rPr>
                <w:b/>
                <w:sz w:val="18"/>
              </w:rPr>
              <w:t>disabilities</w:t>
            </w:r>
          </w:p>
        </w:tc>
        <w:tc>
          <w:tcPr>
            <w:tcW w:w="883" w:type="dxa"/>
            <w:tcBorders>
              <w:left w:val="single" w:sz="4" w:space="0" w:color="000000"/>
              <w:right w:val="single" w:sz="4" w:space="0" w:color="000000"/>
            </w:tcBorders>
          </w:tcPr>
          <w:p w:rsidR="005B1E95" w:rsidRDefault="005B1E95">
            <w:pPr>
              <w:pStyle w:val="TableParagraph"/>
              <w:spacing w:before="10"/>
              <w:ind w:left="0"/>
              <w:jc w:val="left"/>
              <w:rPr>
                <w:b/>
                <w:sz w:val="17"/>
              </w:rPr>
            </w:pPr>
          </w:p>
          <w:p w:rsidR="005B1E95" w:rsidRDefault="00526895">
            <w:pPr>
              <w:pStyle w:val="TableParagraph"/>
              <w:ind w:left="244"/>
              <w:jc w:val="left"/>
              <w:rPr>
                <w:b/>
                <w:sz w:val="18"/>
              </w:rPr>
            </w:pPr>
            <w:r>
              <w:rPr>
                <w:b/>
                <w:sz w:val="18"/>
              </w:rPr>
              <w:t>Total</w:t>
            </w:r>
          </w:p>
        </w:tc>
        <w:tc>
          <w:tcPr>
            <w:tcW w:w="1157" w:type="dxa"/>
            <w:tcBorders>
              <w:left w:val="single" w:sz="4" w:space="0" w:color="000000"/>
              <w:right w:val="single" w:sz="4" w:space="0" w:color="000000"/>
            </w:tcBorders>
          </w:tcPr>
          <w:p w:rsidR="005B1E95" w:rsidRDefault="00526895">
            <w:pPr>
              <w:pStyle w:val="TableParagraph"/>
              <w:ind w:right="126"/>
              <w:rPr>
                <w:b/>
                <w:sz w:val="18"/>
              </w:rPr>
            </w:pPr>
            <w:r>
              <w:rPr>
                <w:b/>
                <w:spacing w:val="-1"/>
                <w:sz w:val="18"/>
              </w:rPr>
              <w:t>Persons</w:t>
            </w:r>
            <w:r>
              <w:rPr>
                <w:b/>
                <w:spacing w:val="-42"/>
                <w:sz w:val="18"/>
              </w:rPr>
              <w:t xml:space="preserve"> </w:t>
            </w:r>
            <w:r>
              <w:rPr>
                <w:b/>
                <w:sz w:val="18"/>
              </w:rPr>
              <w:t>with</w:t>
            </w:r>
          </w:p>
          <w:p w:rsidR="005B1E95" w:rsidRDefault="00526895">
            <w:pPr>
              <w:pStyle w:val="TableParagraph"/>
              <w:spacing w:line="186" w:lineRule="exact"/>
              <w:ind w:right="129"/>
              <w:rPr>
                <w:b/>
                <w:sz w:val="18"/>
              </w:rPr>
            </w:pPr>
            <w:r>
              <w:rPr>
                <w:b/>
                <w:sz w:val="18"/>
              </w:rPr>
              <w:t>disabilities</w:t>
            </w:r>
          </w:p>
        </w:tc>
        <w:tc>
          <w:tcPr>
            <w:tcW w:w="1157" w:type="dxa"/>
            <w:tcBorders>
              <w:left w:val="single" w:sz="4" w:space="0" w:color="000000"/>
              <w:right w:val="single" w:sz="4" w:space="0" w:color="000000"/>
            </w:tcBorders>
          </w:tcPr>
          <w:p w:rsidR="005B1E95" w:rsidRDefault="00526895">
            <w:pPr>
              <w:pStyle w:val="TableParagraph"/>
              <w:ind w:right="126"/>
              <w:rPr>
                <w:b/>
                <w:sz w:val="18"/>
              </w:rPr>
            </w:pPr>
            <w:r>
              <w:rPr>
                <w:b/>
                <w:spacing w:val="-1"/>
                <w:sz w:val="18"/>
              </w:rPr>
              <w:t>Persons</w:t>
            </w:r>
            <w:r>
              <w:rPr>
                <w:b/>
                <w:spacing w:val="-42"/>
                <w:sz w:val="18"/>
              </w:rPr>
              <w:t xml:space="preserve"> </w:t>
            </w:r>
            <w:r>
              <w:rPr>
                <w:b/>
                <w:sz w:val="18"/>
              </w:rPr>
              <w:t>without</w:t>
            </w:r>
          </w:p>
          <w:p w:rsidR="005B1E95" w:rsidRDefault="00526895">
            <w:pPr>
              <w:pStyle w:val="TableParagraph"/>
              <w:spacing w:line="186" w:lineRule="exact"/>
              <w:ind w:right="129"/>
              <w:rPr>
                <w:b/>
                <w:sz w:val="18"/>
              </w:rPr>
            </w:pPr>
            <w:r>
              <w:rPr>
                <w:b/>
                <w:sz w:val="18"/>
              </w:rPr>
              <w:t>disabilities</w:t>
            </w:r>
          </w:p>
        </w:tc>
        <w:tc>
          <w:tcPr>
            <w:tcW w:w="775" w:type="dxa"/>
            <w:tcBorders>
              <w:left w:val="single" w:sz="4" w:space="0" w:color="000000"/>
              <w:right w:val="single" w:sz="4" w:space="0" w:color="000000"/>
            </w:tcBorders>
          </w:tcPr>
          <w:p w:rsidR="005B1E95" w:rsidRDefault="005B1E95">
            <w:pPr>
              <w:pStyle w:val="TableParagraph"/>
              <w:spacing w:before="10"/>
              <w:ind w:left="0"/>
              <w:jc w:val="left"/>
              <w:rPr>
                <w:b/>
                <w:sz w:val="17"/>
              </w:rPr>
            </w:pPr>
          </w:p>
          <w:p w:rsidR="005B1E95" w:rsidRDefault="00526895">
            <w:pPr>
              <w:pStyle w:val="TableParagraph"/>
              <w:ind w:left="189"/>
              <w:jc w:val="left"/>
              <w:rPr>
                <w:b/>
                <w:sz w:val="18"/>
              </w:rPr>
            </w:pPr>
            <w:r>
              <w:rPr>
                <w:b/>
                <w:sz w:val="18"/>
              </w:rPr>
              <w:t>Total</w:t>
            </w:r>
          </w:p>
        </w:tc>
        <w:tc>
          <w:tcPr>
            <w:tcW w:w="1157" w:type="dxa"/>
            <w:tcBorders>
              <w:left w:val="single" w:sz="4" w:space="0" w:color="000000"/>
              <w:right w:val="single" w:sz="4" w:space="0" w:color="000000"/>
            </w:tcBorders>
          </w:tcPr>
          <w:p w:rsidR="005B1E95" w:rsidRDefault="00526895">
            <w:pPr>
              <w:pStyle w:val="TableParagraph"/>
              <w:ind w:right="126"/>
              <w:rPr>
                <w:b/>
                <w:sz w:val="18"/>
              </w:rPr>
            </w:pPr>
            <w:r>
              <w:rPr>
                <w:b/>
                <w:spacing w:val="-1"/>
                <w:sz w:val="18"/>
              </w:rPr>
              <w:t>Persons</w:t>
            </w:r>
            <w:r>
              <w:rPr>
                <w:b/>
                <w:spacing w:val="-42"/>
                <w:sz w:val="18"/>
              </w:rPr>
              <w:t xml:space="preserve"> </w:t>
            </w:r>
            <w:r>
              <w:rPr>
                <w:b/>
                <w:sz w:val="18"/>
              </w:rPr>
              <w:t>with</w:t>
            </w:r>
          </w:p>
          <w:p w:rsidR="005B1E95" w:rsidRDefault="00526895">
            <w:pPr>
              <w:pStyle w:val="TableParagraph"/>
              <w:spacing w:line="186" w:lineRule="exact"/>
              <w:ind w:right="129"/>
              <w:rPr>
                <w:b/>
                <w:sz w:val="18"/>
              </w:rPr>
            </w:pPr>
            <w:r>
              <w:rPr>
                <w:b/>
                <w:sz w:val="18"/>
              </w:rPr>
              <w:t>disabilities</w:t>
            </w:r>
          </w:p>
        </w:tc>
        <w:tc>
          <w:tcPr>
            <w:tcW w:w="1157" w:type="dxa"/>
            <w:tcBorders>
              <w:left w:val="single" w:sz="4" w:space="0" w:color="000000"/>
              <w:right w:val="single" w:sz="4" w:space="0" w:color="000000"/>
            </w:tcBorders>
          </w:tcPr>
          <w:p w:rsidR="005B1E95" w:rsidRDefault="00526895">
            <w:pPr>
              <w:pStyle w:val="TableParagraph"/>
              <w:ind w:right="128"/>
              <w:rPr>
                <w:b/>
                <w:sz w:val="18"/>
              </w:rPr>
            </w:pPr>
            <w:r>
              <w:rPr>
                <w:b/>
                <w:spacing w:val="-1"/>
                <w:sz w:val="18"/>
              </w:rPr>
              <w:t>Persons</w:t>
            </w:r>
            <w:r>
              <w:rPr>
                <w:b/>
                <w:spacing w:val="-42"/>
                <w:sz w:val="18"/>
              </w:rPr>
              <w:t xml:space="preserve"> </w:t>
            </w:r>
            <w:r>
              <w:rPr>
                <w:b/>
                <w:sz w:val="18"/>
              </w:rPr>
              <w:t>without</w:t>
            </w:r>
          </w:p>
          <w:p w:rsidR="005B1E95" w:rsidRDefault="00526895">
            <w:pPr>
              <w:pStyle w:val="TableParagraph"/>
              <w:spacing w:line="186" w:lineRule="exact"/>
              <w:ind w:left="155" w:right="129"/>
              <w:rPr>
                <w:b/>
                <w:sz w:val="18"/>
              </w:rPr>
            </w:pPr>
            <w:r>
              <w:rPr>
                <w:b/>
                <w:sz w:val="18"/>
              </w:rPr>
              <w:t>disabilities</w:t>
            </w:r>
          </w:p>
        </w:tc>
        <w:tc>
          <w:tcPr>
            <w:tcW w:w="658" w:type="dxa"/>
            <w:tcBorders>
              <w:left w:val="single" w:sz="4" w:space="0" w:color="000000"/>
              <w:right w:val="nil"/>
            </w:tcBorders>
          </w:tcPr>
          <w:p w:rsidR="005B1E95" w:rsidRDefault="005B1E95">
            <w:pPr>
              <w:pStyle w:val="TableParagraph"/>
              <w:spacing w:before="10"/>
              <w:ind w:left="0"/>
              <w:jc w:val="left"/>
              <w:rPr>
                <w:b/>
                <w:sz w:val="17"/>
              </w:rPr>
            </w:pPr>
          </w:p>
          <w:p w:rsidR="005B1E95" w:rsidRDefault="00526895">
            <w:pPr>
              <w:pStyle w:val="TableParagraph"/>
              <w:ind w:left="131"/>
              <w:jc w:val="left"/>
              <w:rPr>
                <w:b/>
                <w:sz w:val="18"/>
              </w:rPr>
            </w:pPr>
            <w:r>
              <w:rPr>
                <w:b/>
                <w:sz w:val="18"/>
              </w:rPr>
              <w:t>Total</w:t>
            </w:r>
          </w:p>
        </w:tc>
      </w:tr>
    </w:tbl>
    <w:p w:rsidR="005B1E95" w:rsidRDefault="00526895">
      <w:pPr>
        <w:spacing w:before="48" w:after="45"/>
        <w:ind w:left="2030" w:right="2122"/>
        <w:jc w:val="center"/>
        <w:rPr>
          <w:b/>
          <w:sz w:val="18"/>
        </w:rPr>
      </w:pPr>
      <w:r>
        <w:rPr>
          <w:b/>
          <w:sz w:val="18"/>
        </w:rPr>
        <w:t>2020</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3"/>
        <w:gridCol w:w="1157"/>
        <w:gridCol w:w="1157"/>
        <w:gridCol w:w="775"/>
        <w:gridCol w:w="1157"/>
        <w:gridCol w:w="1157"/>
        <w:gridCol w:w="658"/>
      </w:tblGrid>
      <w:tr w:rsidR="005B1E95">
        <w:trPr>
          <w:trHeight w:val="301"/>
        </w:trPr>
        <w:tc>
          <w:tcPr>
            <w:tcW w:w="1068" w:type="dxa"/>
            <w:tcBorders>
              <w:left w:val="nil"/>
              <w:right w:val="single" w:sz="4" w:space="0" w:color="000000"/>
            </w:tcBorders>
          </w:tcPr>
          <w:p w:rsidR="005B1E95" w:rsidRDefault="00526895">
            <w:pPr>
              <w:pStyle w:val="TableParagraph"/>
              <w:spacing w:before="42"/>
              <w:ind w:left="398"/>
              <w:jc w:val="left"/>
              <w:rPr>
                <w:sz w:val="18"/>
              </w:rPr>
            </w:pPr>
            <w:r>
              <w:rPr>
                <w:sz w:val="18"/>
              </w:rPr>
              <w:t>11.9</w:t>
            </w:r>
          </w:p>
        </w:tc>
        <w:tc>
          <w:tcPr>
            <w:tcW w:w="1154" w:type="dxa"/>
            <w:tcBorders>
              <w:left w:val="single" w:sz="4" w:space="0" w:color="000000"/>
              <w:right w:val="single" w:sz="4" w:space="0" w:color="000000"/>
            </w:tcBorders>
          </w:tcPr>
          <w:p w:rsidR="005B1E95" w:rsidRDefault="00526895">
            <w:pPr>
              <w:pStyle w:val="TableParagraph"/>
              <w:spacing w:before="42"/>
              <w:ind w:right="124"/>
              <w:rPr>
                <w:sz w:val="18"/>
              </w:rPr>
            </w:pPr>
            <w:r>
              <w:rPr>
                <w:sz w:val="18"/>
              </w:rPr>
              <w:t>5.8</w:t>
            </w:r>
          </w:p>
        </w:tc>
        <w:tc>
          <w:tcPr>
            <w:tcW w:w="883" w:type="dxa"/>
            <w:tcBorders>
              <w:left w:val="single" w:sz="4" w:space="0" w:color="000000"/>
              <w:right w:val="single" w:sz="4" w:space="0" w:color="000000"/>
            </w:tcBorders>
          </w:tcPr>
          <w:p w:rsidR="005B1E95" w:rsidRDefault="00526895">
            <w:pPr>
              <w:pStyle w:val="TableParagraph"/>
              <w:spacing w:before="47"/>
              <w:ind w:left="319" w:right="289"/>
              <w:rPr>
                <w:b/>
                <w:sz w:val="18"/>
              </w:rPr>
            </w:pPr>
            <w:r>
              <w:rPr>
                <w:b/>
                <w:sz w:val="18"/>
              </w:rPr>
              <w:t>7.4</w:t>
            </w:r>
          </w:p>
        </w:tc>
        <w:tc>
          <w:tcPr>
            <w:tcW w:w="1157"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10.6</w:t>
            </w:r>
          </w:p>
        </w:tc>
        <w:tc>
          <w:tcPr>
            <w:tcW w:w="1157"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5.1</w:t>
            </w:r>
          </w:p>
        </w:tc>
        <w:tc>
          <w:tcPr>
            <w:tcW w:w="775" w:type="dxa"/>
            <w:tcBorders>
              <w:left w:val="single" w:sz="4" w:space="0" w:color="000000"/>
              <w:right w:val="single" w:sz="4" w:space="0" w:color="000000"/>
            </w:tcBorders>
          </w:tcPr>
          <w:p w:rsidR="005B1E95" w:rsidRDefault="00526895">
            <w:pPr>
              <w:pStyle w:val="TableParagraph"/>
              <w:spacing w:before="47"/>
              <w:ind w:left="263" w:right="236"/>
              <w:rPr>
                <w:b/>
                <w:sz w:val="18"/>
              </w:rPr>
            </w:pPr>
            <w:r>
              <w:rPr>
                <w:b/>
                <w:sz w:val="18"/>
              </w:rPr>
              <w:t>6.4</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11.3</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5.4</w:t>
            </w:r>
          </w:p>
        </w:tc>
        <w:tc>
          <w:tcPr>
            <w:tcW w:w="658" w:type="dxa"/>
            <w:tcBorders>
              <w:left w:val="single" w:sz="4" w:space="0" w:color="000000"/>
              <w:right w:val="nil"/>
            </w:tcBorders>
          </w:tcPr>
          <w:p w:rsidR="005B1E95" w:rsidRDefault="00526895">
            <w:pPr>
              <w:pStyle w:val="TableParagraph"/>
              <w:spacing w:before="47"/>
              <w:ind w:left="225"/>
              <w:jc w:val="left"/>
              <w:rPr>
                <w:b/>
                <w:sz w:val="18"/>
              </w:rPr>
            </w:pPr>
            <w:r>
              <w:rPr>
                <w:b/>
                <w:sz w:val="18"/>
              </w:rPr>
              <w:t>6.9</w:t>
            </w:r>
          </w:p>
        </w:tc>
      </w:tr>
    </w:tbl>
    <w:p w:rsidR="005B1E95" w:rsidRDefault="00526895">
      <w:pPr>
        <w:spacing w:before="48" w:after="45"/>
        <w:ind w:left="2030" w:right="2122"/>
        <w:jc w:val="center"/>
        <w:rPr>
          <w:b/>
          <w:sz w:val="18"/>
        </w:rPr>
      </w:pPr>
      <w:r>
        <w:rPr>
          <w:b/>
          <w:sz w:val="18"/>
        </w:rPr>
        <w:t>2021</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3"/>
        <w:gridCol w:w="1157"/>
        <w:gridCol w:w="1157"/>
        <w:gridCol w:w="775"/>
        <w:gridCol w:w="1157"/>
        <w:gridCol w:w="1157"/>
        <w:gridCol w:w="658"/>
      </w:tblGrid>
      <w:tr w:rsidR="005B1E95">
        <w:trPr>
          <w:trHeight w:val="301"/>
        </w:trPr>
        <w:tc>
          <w:tcPr>
            <w:tcW w:w="1068" w:type="dxa"/>
            <w:tcBorders>
              <w:left w:val="nil"/>
              <w:right w:val="single" w:sz="4" w:space="0" w:color="000000"/>
            </w:tcBorders>
          </w:tcPr>
          <w:p w:rsidR="005B1E95" w:rsidRDefault="00526895">
            <w:pPr>
              <w:pStyle w:val="TableParagraph"/>
              <w:spacing w:before="42"/>
              <w:ind w:left="398"/>
              <w:jc w:val="left"/>
              <w:rPr>
                <w:sz w:val="18"/>
              </w:rPr>
            </w:pPr>
            <w:r>
              <w:rPr>
                <w:sz w:val="18"/>
              </w:rPr>
              <w:t>11.2</w:t>
            </w:r>
          </w:p>
        </w:tc>
        <w:tc>
          <w:tcPr>
            <w:tcW w:w="1154" w:type="dxa"/>
            <w:tcBorders>
              <w:left w:val="single" w:sz="4" w:space="0" w:color="000000"/>
              <w:right w:val="single" w:sz="4" w:space="0" w:color="000000"/>
            </w:tcBorders>
          </w:tcPr>
          <w:p w:rsidR="005B1E95" w:rsidRDefault="00526895">
            <w:pPr>
              <w:pStyle w:val="TableParagraph"/>
              <w:spacing w:before="42"/>
              <w:ind w:right="124"/>
              <w:rPr>
                <w:sz w:val="18"/>
              </w:rPr>
            </w:pPr>
            <w:r>
              <w:rPr>
                <w:sz w:val="18"/>
              </w:rPr>
              <w:t>5.1</w:t>
            </w:r>
          </w:p>
        </w:tc>
        <w:tc>
          <w:tcPr>
            <w:tcW w:w="883" w:type="dxa"/>
            <w:tcBorders>
              <w:left w:val="single" w:sz="4" w:space="0" w:color="000000"/>
              <w:right w:val="single" w:sz="4" w:space="0" w:color="000000"/>
            </w:tcBorders>
          </w:tcPr>
          <w:p w:rsidR="005B1E95" w:rsidRDefault="00526895">
            <w:pPr>
              <w:pStyle w:val="TableParagraph"/>
              <w:spacing w:before="47"/>
              <w:ind w:left="319" w:right="289"/>
              <w:rPr>
                <w:b/>
                <w:sz w:val="18"/>
              </w:rPr>
            </w:pPr>
            <w:r>
              <w:rPr>
                <w:b/>
                <w:sz w:val="18"/>
              </w:rPr>
              <w:t>6.8</w:t>
            </w:r>
          </w:p>
        </w:tc>
        <w:tc>
          <w:tcPr>
            <w:tcW w:w="1157"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10.5</w:t>
            </w:r>
          </w:p>
        </w:tc>
        <w:tc>
          <w:tcPr>
            <w:tcW w:w="1157"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4.6</w:t>
            </w:r>
          </w:p>
        </w:tc>
        <w:tc>
          <w:tcPr>
            <w:tcW w:w="775" w:type="dxa"/>
            <w:tcBorders>
              <w:left w:val="single" w:sz="4" w:space="0" w:color="000000"/>
              <w:right w:val="single" w:sz="4" w:space="0" w:color="000000"/>
            </w:tcBorders>
          </w:tcPr>
          <w:p w:rsidR="005B1E95" w:rsidRDefault="00526895">
            <w:pPr>
              <w:pStyle w:val="TableParagraph"/>
              <w:spacing w:before="47"/>
              <w:ind w:left="263" w:right="236"/>
              <w:rPr>
                <w:b/>
                <w:sz w:val="18"/>
              </w:rPr>
            </w:pPr>
            <w:r>
              <w:rPr>
                <w:b/>
                <w:sz w:val="18"/>
              </w:rPr>
              <w:t>5.9</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10.9</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4.9</w:t>
            </w:r>
          </w:p>
        </w:tc>
        <w:tc>
          <w:tcPr>
            <w:tcW w:w="658" w:type="dxa"/>
            <w:tcBorders>
              <w:left w:val="single" w:sz="4" w:space="0" w:color="000000"/>
              <w:right w:val="nil"/>
            </w:tcBorders>
          </w:tcPr>
          <w:p w:rsidR="005B1E95" w:rsidRDefault="00526895">
            <w:pPr>
              <w:pStyle w:val="TableParagraph"/>
              <w:spacing w:before="47"/>
              <w:ind w:left="225"/>
              <w:jc w:val="left"/>
              <w:rPr>
                <w:b/>
                <w:sz w:val="18"/>
              </w:rPr>
            </w:pPr>
            <w:r>
              <w:rPr>
                <w:b/>
                <w:sz w:val="18"/>
              </w:rPr>
              <w:t>6.4</w:t>
            </w:r>
          </w:p>
        </w:tc>
      </w:tr>
    </w:tbl>
    <w:p w:rsidR="005B1E95" w:rsidRPr="00526895" w:rsidRDefault="00526895">
      <w:pPr>
        <w:spacing w:before="115"/>
        <w:ind w:left="140"/>
        <w:rPr>
          <w:sz w:val="18"/>
          <w:lang w:val="fr-BE"/>
        </w:rPr>
      </w:pPr>
      <w:r w:rsidRPr="00526895">
        <w:rPr>
          <w:sz w:val="18"/>
          <w:lang w:val="fr-BE"/>
        </w:rPr>
        <w:t>Source:</w:t>
      </w:r>
      <w:r w:rsidRPr="00526895">
        <w:rPr>
          <w:spacing w:val="-3"/>
          <w:sz w:val="18"/>
          <w:lang w:val="fr-BE"/>
        </w:rPr>
        <w:t xml:space="preserve"> </w:t>
      </w:r>
      <w:r w:rsidRPr="00526895">
        <w:rPr>
          <w:sz w:val="18"/>
          <w:lang w:val="fr-BE"/>
        </w:rPr>
        <w:t>Eurostat</w:t>
      </w:r>
      <w:r w:rsidRPr="00526895">
        <w:rPr>
          <w:spacing w:val="-4"/>
          <w:sz w:val="18"/>
          <w:lang w:val="fr-BE"/>
        </w:rPr>
        <w:t xml:space="preserve"> </w:t>
      </w:r>
      <w:r w:rsidRPr="00526895">
        <w:rPr>
          <w:sz w:val="18"/>
          <w:lang w:val="fr-BE"/>
        </w:rPr>
        <w:t>database,</w:t>
      </w:r>
      <w:r w:rsidRPr="00526895">
        <w:rPr>
          <w:spacing w:val="-3"/>
          <w:sz w:val="18"/>
          <w:lang w:val="fr-BE"/>
        </w:rPr>
        <w:t xml:space="preserve"> </w:t>
      </w:r>
      <w:r w:rsidRPr="00526895">
        <w:rPr>
          <w:sz w:val="18"/>
          <w:lang w:val="fr-BE"/>
        </w:rPr>
        <w:t>EU-SILC</w:t>
      </w:r>
      <w:r w:rsidRPr="00526895">
        <w:rPr>
          <w:spacing w:val="-3"/>
          <w:sz w:val="18"/>
          <w:lang w:val="fr-BE"/>
        </w:rPr>
        <w:t xml:space="preserve"> </w:t>
      </w:r>
      <w:r w:rsidRPr="00526895">
        <w:rPr>
          <w:sz w:val="18"/>
          <w:lang w:val="fr-BE"/>
        </w:rPr>
        <w:t>dataset</w:t>
      </w:r>
      <w:r w:rsidRPr="00526895">
        <w:rPr>
          <w:spacing w:val="1"/>
          <w:sz w:val="18"/>
          <w:lang w:val="fr-BE"/>
        </w:rPr>
        <w:t xml:space="preserve"> </w:t>
      </w:r>
      <w:r w:rsidRPr="00526895">
        <w:rPr>
          <w:color w:val="0562C1"/>
          <w:sz w:val="18"/>
          <w:u w:val="single" w:color="0562C1"/>
          <w:lang w:val="fr-BE"/>
        </w:rPr>
        <w:t>hlth_dm010</w:t>
      </w:r>
    </w:p>
    <w:p w:rsidR="005B1E95" w:rsidRPr="00526895" w:rsidRDefault="005B1E95">
      <w:pPr>
        <w:pStyle w:val="BodyText"/>
        <w:ind w:left="0"/>
        <w:rPr>
          <w:lang w:val="fr-BE"/>
        </w:rPr>
      </w:pPr>
    </w:p>
    <w:p w:rsidR="005B1E95" w:rsidRDefault="00526895">
      <w:pPr>
        <w:pStyle w:val="Heading3"/>
        <w:spacing w:before="222"/>
        <w:ind w:right="411"/>
      </w:pPr>
      <w:r>
        <w:t>Table</w:t>
      </w:r>
      <w:r>
        <w:rPr>
          <w:spacing w:val="-4"/>
        </w:rPr>
        <w:t xml:space="preserve"> </w:t>
      </w:r>
      <w:r>
        <w:t>D.3:</w:t>
      </w:r>
      <w:r>
        <w:rPr>
          <w:spacing w:val="-4"/>
        </w:rPr>
        <w:t xml:space="preserve"> </w:t>
      </w:r>
      <w:r>
        <w:t>Population</w:t>
      </w:r>
      <w:r>
        <w:rPr>
          <w:spacing w:val="-1"/>
        </w:rPr>
        <w:t xml:space="preserve"> </w:t>
      </w:r>
      <w:r>
        <w:t>aged</w:t>
      </w:r>
      <w:r>
        <w:rPr>
          <w:spacing w:val="-3"/>
        </w:rPr>
        <w:t xml:space="preserve"> </w:t>
      </w:r>
      <w:r>
        <w:t>16</w:t>
      </w:r>
      <w:r>
        <w:rPr>
          <w:spacing w:val="-2"/>
        </w:rPr>
        <w:t xml:space="preserve"> </w:t>
      </w:r>
      <w:r>
        <w:t>and</w:t>
      </w:r>
      <w:r>
        <w:rPr>
          <w:spacing w:val="3"/>
        </w:rPr>
        <w:t xml:space="preserve"> </w:t>
      </w:r>
      <w:r>
        <w:t>over</w:t>
      </w:r>
      <w:r>
        <w:rPr>
          <w:spacing w:val="-5"/>
        </w:rPr>
        <w:t xml:space="preserve"> </w:t>
      </w:r>
      <w:r>
        <w:t>at-risk-of-poverty</w:t>
      </w:r>
      <w:r>
        <w:rPr>
          <w:spacing w:val="-2"/>
        </w:rPr>
        <w:t xml:space="preserve"> </w:t>
      </w:r>
      <w:r>
        <w:t>or</w:t>
      </w:r>
      <w:r>
        <w:rPr>
          <w:spacing w:val="-3"/>
        </w:rPr>
        <w:t xml:space="preserve"> </w:t>
      </w:r>
      <w:r>
        <w:t>social</w:t>
      </w:r>
      <w:r>
        <w:rPr>
          <w:spacing w:val="-2"/>
        </w:rPr>
        <w:t xml:space="preserve"> </w:t>
      </w:r>
      <w:r>
        <w:t>exclusion</w:t>
      </w:r>
      <w:r>
        <w:rPr>
          <w:spacing w:val="1"/>
        </w:rPr>
        <w:t xml:space="preserve"> </w:t>
      </w:r>
      <w:r>
        <w:t>by</w:t>
      </w:r>
      <w:r>
        <w:rPr>
          <w:spacing w:val="-3"/>
        </w:rPr>
        <w:t xml:space="preserve"> </w:t>
      </w:r>
      <w:r>
        <w:t>disability</w:t>
      </w:r>
      <w:r>
        <w:rPr>
          <w:spacing w:val="-57"/>
        </w:rPr>
        <w:t xml:space="preserve"> </w:t>
      </w:r>
      <w:r>
        <w:t>status</w:t>
      </w:r>
      <w:r>
        <w:rPr>
          <w:spacing w:val="-2"/>
        </w:rPr>
        <w:t xml:space="preserve"> </w:t>
      </w:r>
      <w:r>
        <w:t>and</w:t>
      </w:r>
      <w:r>
        <w:rPr>
          <w:spacing w:val="2"/>
        </w:rPr>
        <w:t xml:space="preserve"> </w:t>
      </w:r>
      <w:r>
        <w:t>gender,</w:t>
      </w:r>
      <w:r>
        <w:rPr>
          <w:spacing w:val="-1"/>
        </w:rPr>
        <w:t xml:space="preserve"> </w:t>
      </w:r>
      <w:r>
        <w:t>EU</w:t>
      </w:r>
      <w:r>
        <w:rPr>
          <w:spacing w:val="1"/>
        </w:rPr>
        <w:t xml:space="preserve"> </w:t>
      </w:r>
      <w:r>
        <w:t>level,</w:t>
      </w:r>
      <w:r>
        <w:rPr>
          <w:spacing w:val="-1"/>
        </w:rPr>
        <w:t xml:space="preserve"> </w:t>
      </w:r>
      <w:r>
        <w:t>%</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3"/>
        <w:gridCol w:w="1157"/>
        <w:gridCol w:w="1157"/>
        <w:gridCol w:w="775"/>
        <w:gridCol w:w="1157"/>
        <w:gridCol w:w="1157"/>
        <w:gridCol w:w="658"/>
      </w:tblGrid>
      <w:tr w:rsidR="005B1E95">
        <w:trPr>
          <w:trHeight w:val="298"/>
        </w:trPr>
        <w:tc>
          <w:tcPr>
            <w:tcW w:w="3105" w:type="dxa"/>
            <w:gridSpan w:val="3"/>
            <w:tcBorders>
              <w:left w:val="nil"/>
              <w:right w:val="single" w:sz="4" w:space="0" w:color="000000"/>
            </w:tcBorders>
          </w:tcPr>
          <w:p w:rsidR="005B1E95" w:rsidRDefault="00526895">
            <w:pPr>
              <w:pStyle w:val="TableParagraph"/>
              <w:spacing w:before="47"/>
              <w:ind w:left="1238" w:right="1191"/>
              <w:rPr>
                <w:b/>
                <w:sz w:val="18"/>
              </w:rPr>
            </w:pPr>
            <w:r>
              <w:rPr>
                <w:b/>
                <w:sz w:val="18"/>
              </w:rPr>
              <w:t>Females</w:t>
            </w:r>
          </w:p>
        </w:tc>
        <w:tc>
          <w:tcPr>
            <w:tcW w:w="3089" w:type="dxa"/>
            <w:gridSpan w:val="3"/>
            <w:tcBorders>
              <w:left w:val="single" w:sz="4" w:space="0" w:color="000000"/>
              <w:right w:val="single" w:sz="4" w:space="0" w:color="000000"/>
            </w:tcBorders>
          </w:tcPr>
          <w:p w:rsidR="005B1E95" w:rsidRDefault="00526895">
            <w:pPr>
              <w:pStyle w:val="TableParagraph"/>
              <w:spacing w:before="47"/>
              <w:ind w:left="678" w:right="653"/>
              <w:rPr>
                <w:b/>
                <w:sz w:val="18"/>
              </w:rPr>
            </w:pPr>
            <w:r>
              <w:rPr>
                <w:b/>
                <w:sz w:val="18"/>
              </w:rPr>
              <w:t>Males</w:t>
            </w:r>
          </w:p>
        </w:tc>
        <w:tc>
          <w:tcPr>
            <w:tcW w:w="2972" w:type="dxa"/>
            <w:gridSpan w:val="3"/>
            <w:tcBorders>
              <w:left w:val="single" w:sz="4" w:space="0" w:color="000000"/>
              <w:right w:val="nil"/>
            </w:tcBorders>
          </w:tcPr>
          <w:p w:rsidR="005B1E95" w:rsidRDefault="00526895">
            <w:pPr>
              <w:pStyle w:val="TableParagraph"/>
              <w:spacing w:before="47"/>
              <w:ind w:left="1266" w:right="1250"/>
              <w:rPr>
                <w:b/>
                <w:sz w:val="18"/>
              </w:rPr>
            </w:pPr>
            <w:r>
              <w:rPr>
                <w:b/>
                <w:sz w:val="18"/>
              </w:rPr>
              <w:t>Total</w:t>
            </w:r>
          </w:p>
        </w:tc>
      </w:tr>
      <w:tr w:rsidR="005B1E95">
        <w:trPr>
          <w:trHeight w:val="620"/>
        </w:trPr>
        <w:tc>
          <w:tcPr>
            <w:tcW w:w="1068" w:type="dxa"/>
            <w:tcBorders>
              <w:left w:val="nil"/>
              <w:right w:val="single" w:sz="4" w:space="0" w:color="000000"/>
            </w:tcBorders>
          </w:tcPr>
          <w:p w:rsidR="005B1E95" w:rsidRDefault="00526895">
            <w:pPr>
              <w:pStyle w:val="TableParagraph"/>
              <w:spacing w:line="206" w:lineRule="exact"/>
              <w:ind w:left="143" w:right="98" w:firstLine="4"/>
              <w:rPr>
                <w:b/>
                <w:sz w:val="18"/>
              </w:rPr>
            </w:pPr>
            <w:r>
              <w:rPr>
                <w:b/>
                <w:sz w:val="18"/>
              </w:rPr>
              <w:t>Persons</w:t>
            </w:r>
            <w:r>
              <w:rPr>
                <w:b/>
                <w:spacing w:val="1"/>
                <w:sz w:val="18"/>
              </w:rPr>
              <w:t xml:space="preserve"> </w:t>
            </w:r>
            <w:r>
              <w:rPr>
                <w:b/>
                <w:sz w:val="18"/>
              </w:rPr>
              <w:t>with</w:t>
            </w:r>
            <w:r>
              <w:rPr>
                <w:b/>
                <w:spacing w:val="1"/>
                <w:sz w:val="18"/>
              </w:rPr>
              <w:t xml:space="preserve"> </w:t>
            </w:r>
            <w:r>
              <w:rPr>
                <w:b/>
                <w:sz w:val="18"/>
              </w:rPr>
              <w:t>disabilities</w:t>
            </w:r>
          </w:p>
        </w:tc>
        <w:tc>
          <w:tcPr>
            <w:tcW w:w="1154" w:type="dxa"/>
            <w:tcBorders>
              <w:left w:val="single" w:sz="4" w:space="0" w:color="000000"/>
              <w:right w:val="single" w:sz="4" w:space="0" w:color="000000"/>
            </w:tcBorders>
          </w:tcPr>
          <w:p w:rsidR="005B1E95" w:rsidRDefault="00526895">
            <w:pPr>
              <w:pStyle w:val="TableParagraph"/>
              <w:spacing w:line="206" w:lineRule="exact"/>
              <w:ind w:right="124"/>
              <w:rPr>
                <w:b/>
                <w:sz w:val="18"/>
              </w:rPr>
            </w:pPr>
            <w:r>
              <w:rPr>
                <w:b/>
                <w:sz w:val="18"/>
              </w:rPr>
              <w:t>Persons</w:t>
            </w:r>
            <w:r>
              <w:rPr>
                <w:b/>
                <w:spacing w:val="1"/>
                <w:sz w:val="18"/>
              </w:rPr>
              <w:t xml:space="preserve"> </w:t>
            </w:r>
            <w:r>
              <w:rPr>
                <w:b/>
                <w:sz w:val="18"/>
              </w:rPr>
              <w:t>without</w:t>
            </w:r>
            <w:r>
              <w:rPr>
                <w:b/>
                <w:spacing w:val="1"/>
                <w:sz w:val="18"/>
              </w:rPr>
              <w:t xml:space="preserve"> </w:t>
            </w:r>
            <w:r>
              <w:rPr>
                <w:b/>
                <w:sz w:val="18"/>
              </w:rPr>
              <w:t>disabilities</w:t>
            </w:r>
          </w:p>
        </w:tc>
        <w:tc>
          <w:tcPr>
            <w:tcW w:w="883" w:type="dxa"/>
            <w:tcBorders>
              <w:left w:val="single" w:sz="4" w:space="0" w:color="000000"/>
              <w:right w:val="single" w:sz="4" w:space="0" w:color="000000"/>
            </w:tcBorders>
          </w:tcPr>
          <w:p w:rsidR="005B1E95" w:rsidRDefault="005B1E95">
            <w:pPr>
              <w:pStyle w:val="TableParagraph"/>
              <w:spacing w:before="1"/>
              <w:ind w:left="0"/>
              <w:jc w:val="left"/>
              <w:rPr>
                <w:b/>
                <w:sz w:val="18"/>
              </w:rPr>
            </w:pPr>
          </w:p>
          <w:p w:rsidR="005B1E95" w:rsidRDefault="00526895">
            <w:pPr>
              <w:pStyle w:val="TableParagraph"/>
              <w:ind w:left="244"/>
              <w:jc w:val="left"/>
              <w:rPr>
                <w:b/>
                <w:sz w:val="18"/>
              </w:rPr>
            </w:pPr>
            <w:r>
              <w:rPr>
                <w:b/>
                <w:sz w:val="18"/>
              </w:rPr>
              <w:t>Total</w:t>
            </w:r>
          </w:p>
        </w:tc>
        <w:tc>
          <w:tcPr>
            <w:tcW w:w="1157" w:type="dxa"/>
            <w:tcBorders>
              <w:left w:val="single" w:sz="4" w:space="0" w:color="000000"/>
              <w:right w:val="single" w:sz="4" w:space="0" w:color="000000"/>
            </w:tcBorders>
          </w:tcPr>
          <w:p w:rsidR="005B1E95" w:rsidRDefault="00526895">
            <w:pPr>
              <w:pStyle w:val="TableParagraph"/>
              <w:spacing w:line="206" w:lineRule="exact"/>
              <w:ind w:right="126"/>
              <w:rPr>
                <w:b/>
                <w:sz w:val="18"/>
              </w:rPr>
            </w:pPr>
            <w:r>
              <w:rPr>
                <w:b/>
                <w:sz w:val="18"/>
              </w:rPr>
              <w:t>Persons</w:t>
            </w:r>
            <w:r>
              <w:rPr>
                <w:b/>
                <w:spacing w:val="1"/>
                <w:sz w:val="18"/>
              </w:rPr>
              <w:t xml:space="preserve"> </w:t>
            </w:r>
            <w:r>
              <w:rPr>
                <w:b/>
                <w:sz w:val="18"/>
              </w:rPr>
              <w:t>with</w:t>
            </w:r>
            <w:r>
              <w:rPr>
                <w:b/>
                <w:spacing w:val="1"/>
                <w:sz w:val="18"/>
              </w:rPr>
              <w:t xml:space="preserve"> </w:t>
            </w:r>
            <w:r>
              <w:rPr>
                <w:b/>
                <w:spacing w:val="-1"/>
                <w:sz w:val="18"/>
              </w:rPr>
              <w:t>disabilities</w:t>
            </w:r>
          </w:p>
        </w:tc>
        <w:tc>
          <w:tcPr>
            <w:tcW w:w="1157" w:type="dxa"/>
            <w:tcBorders>
              <w:left w:val="single" w:sz="4" w:space="0" w:color="000000"/>
              <w:right w:val="single" w:sz="4" w:space="0" w:color="000000"/>
            </w:tcBorders>
          </w:tcPr>
          <w:p w:rsidR="005B1E95" w:rsidRDefault="00526895">
            <w:pPr>
              <w:pStyle w:val="TableParagraph"/>
              <w:spacing w:line="206" w:lineRule="exact"/>
              <w:ind w:right="127"/>
              <w:rPr>
                <w:b/>
                <w:sz w:val="18"/>
              </w:rPr>
            </w:pPr>
            <w:r>
              <w:rPr>
                <w:b/>
                <w:sz w:val="18"/>
              </w:rPr>
              <w:t>Persons</w:t>
            </w:r>
            <w:r>
              <w:rPr>
                <w:b/>
                <w:spacing w:val="1"/>
                <w:sz w:val="18"/>
              </w:rPr>
              <w:t xml:space="preserve"> </w:t>
            </w:r>
            <w:r>
              <w:rPr>
                <w:b/>
                <w:sz w:val="18"/>
              </w:rPr>
              <w:t>without</w:t>
            </w:r>
            <w:r>
              <w:rPr>
                <w:b/>
                <w:spacing w:val="1"/>
                <w:sz w:val="18"/>
              </w:rPr>
              <w:t xml:space="preserve"> </w:t>
            </w:r>
            <w:r>
              <w:rPr>
                <w:b/>
                <w:sz w:val="18"/>
              </w:rPr>
              <w:t>disabilities</w:t>
            </w:r>
          </w:p>
        </w:tc>
        <w:tc>
          <w:tcPr>
            <w:tcW w:w="775" w:type="dxa"/>
            <w:tcBorders>
              <w:left w:val="single" w:sz="4" w:space="0" w:color="000000"/>
              <w:right w:val="single" w:sz="4" w:space="0" w:color="000000"/>
            </w:tcBorders>
          </w:tcPr>
          <w:p w:rsidR="005B1E95" w:rsidRDefault="005B1E95">
            <w:pPr>
              <w:pStyle w:val="TableParagraph"/>
              <w:spacing w:before="1"/>
              <w:ind w:left="0"/>
              <w:jc w:val="left"/>
              <w:rPr>
                <w:b/>
                <w:sz w:val="18"/>
              </w:rPr>
            </w:pPr>
          </w:p>
          <w:p w:rsidR="005B1E95" w:rsidRDefault="00526895">
            <w:pPr>
              <w:pStyle w:val="TableParagraph"/>
              <w:ind w:left="189"/>
              <w:jc w:val="left"/>
              <w:rPr>
                <w:b/>
                <w:sz w:val="18"/>
              </w:rPr>
            </w:pPr>
            <w:r>
              <w:rPr>
                <w:b/>
                <w:sz w:val="18"/>
              </w:rPr>
              <w:t>Total</w:t>
            </w:r>
          </w:p>
        </w:tc>
        <w:tc>
          <w:tcPr>
            <w:tcW w:w="1157" w:type="dxa"/>
            <w:tcBorders>
              <w:left w:val="single" w:sz="4" w:space="0" w:color="000000"/>
              <w:right w:val="single" w:sz="4" w:space="0" w:color="000000"/>
            </w:tcBorders>
          </w:tcPr>
          <w:p w:rsidR="005B1E95" w:rsidRDefault="00526895">
            <w:pPr>
              <w:pStyle w:val="TableParagraph"/>
              <w:spacing w:line="206" w:lineRule="exact"/>
              <w:ind w:right="127"/>
              <w:rPr>
                <w:b/>
                <w:sz w:val="18"/>
              </w:rPr>
            </w:pPr>
            <w:r>
              <w:rPr>
                <w:b/>
                <w:sz w:val="18"/>
              </w:rPr>
              <w:t>Persons</w:t>
            </w:r>
            <w:r>
              <w:rPr>
                <w:b/>
                <w:spacing w:val="1"/>
                <w:sz w:val="18"/>
              </w:rPr>
              <w:t xml:space="preserve"> </w:t>
            </w:r>
            <w:r>
              <w:rPr>
                <w:b/>
                <w:sz w:val="18"/>
              </w:rPr>
              <w:t>with</w:t>
            </w:r>
            <w:r>
              <w:rPr>
                <w:b/>
                <w:spacing w:val="1"/>
                <w:sz w:val="18"/>
              </w:rPr>
              <w:t xml:space="preserve"> </w:t>
            </w:r>
            <w:r>
              <w:rPr>
                <w:b/>
                <w:sz w:val="18"/>
              </w:rPr>
              <w:t>disabilities</w:t>
            </w:r>
          </w:p>
        </w:tc>
        <w:tc>
          <w:tcPr>
            <w:tcW w:w="1157" w:type="dxa"/>
            <w:tcBorders>
              <w:left w:val="single" w:sz="4" w:space="0" w:color="000000"/>
              <w:right w:val="single" w:sz="4" w:space="0" w:color="000000"/>
            </w:tcBorders>
          </w:tcPr>
          <w:p w:rsidR="005B1E95" w:rsidRDefault="00526895">
            <w:pPr>
              <w:pStyle w:val="TableParagraph"/>
              <w:spacing w:line="206" w:lineRule="exact"/>
              <w:ind w:right="127"/>
              <w:rPr>
                <w:b/>
                <w:sz w:val="18"/>
              </w:rPr>
            </w:pPr>
            <w:r>
              <w:rPr>
                <w:b/>
                <w:sz w:val="18"/>
              </w:rPr>
              <w:t>Persons</w:t>
            </w:r>
            <w:r>
              <w:rPr>
                <w:b/>
                <w:spacing w:val="1"/>
                <w:sz w:val="18"/>
              </w:rPr>
              <w:t xml:space="preserve"> </w:t>
            </w:r>
            <w:r>
              <w:rPr>
                <w:b/>
                <w:sz w:val="18"/>
              </w:rPr>
              <w:t>without</w:t>
            </w:r>
            <w:r>
              <w:rPr>
                <w:b/>
                <w:spacing w:val="1"/>
                <w:sz w:val="18"/>
              </w:rPr>
              <w:t xml:space="preserve"> </w:t>
            </w:r>
            <w:r>
              <w:rPr>
                <w:b/>
                <w:sz w:val="18"/>
              </w:rPr>
              <w:t>disabilities</w:t>
            </w:r>
          </w:p>
        </w:tc>
        <w:tc>
          <w:tcPr>
            <w:tcW w:w="658" w:type="dxa"/>
            <w:tcBorders>
              <w:left w:val="single" w:sz="4" w:space="0" w:color="000000"/>
              <w:right w:val="nil"/>
            </w:tcBorders>
          </w:tcPr>
          <w:p w:rsidR="005B1E95" w:rsidRDefault="005B1E95">
            <w:pPr>
              <w:pStyle w:val="TableParagraph"/>
              <w:spacing w:before="1"/>
              <w:ind w:left="0"/>
              <w:jc w:val="left"/>
              <w:rPr>
                <w:b/>
                <w:sz w:val="18"/>
              </w:rPr>
            </w:pPr>
          </w:p>
          <w:p w:rsidR="005B1E95" w:rsidRDefault="00526895">
            <w:pPr>
              <w:pStyle w:val="TableParagraph"/>
              <w:ind w:left="131"/>
              <w:jc w:val="left"/>
              <w:rPr>
                <w:b/>
                <w:sz w:val="18"/>
              </w:rPr>
            </w:pPr>
            <w:r>
              <w:rPr>
                <w:b/>
                <w:sz w:val="18"/>
              </w:rPr>
              <w:t>Total</w:t>
            </w:r>
          </w:p>
        </w:tc>
      </w:tr>
    </w:tbl>
    <w:p w:rsidR="005B1E95" w:rsidRDefault="00526895">
      <w:pPr>
        <w:spacing w:before="48" w:after="47"/>
        <w:ind w:left="2030" w:right="2122"/>
        <w:jc w:val="center"/>
        <w:rPr>
          <w:b/>
          <w:sz w:val="18"/>
        </w:rPr>
      </w:pPr>
      <w:r>
        <w:rPr>
          <w:b/>
          <w:sz w:val="18"/>
        </w:rPr>
        <w:t>2020</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3"/>
        <w:gridCol w:w="1157"/>
        <w:gridCol w:w="1157"/>
        <w:gridCol w:w="775"/>
        <w:gridCol w:w="1157"/>
        <w:gridCol w:w="1157"/>
        <w:gridCol w:w="658"/>
      </w:tblGrid>
      <w:tr w:rsidR="005B1E95">
        <w:trPr>
          <w:trHeight w:val="298"/>
        </w:trPr>
        <w:tc>
          <w:tcPr>
            <w:tcW w:w="1068" w:type="dxa"/>
            <w:tcBorders>
              <w:left w:val="nil"/>
              <w:right w:val="single" w:sz="4" w:space="0" w:color="000000"/>
            </w:tcBorders>
          </w:tcPr>
          <w:p w:rsidR="005B1E95" w:rsidRDefault="00526895">
            <w:pPr>
              <w:pStyle w:val="TableParagraph"/>
              <w:spacing w:before="42"/>
              <w:ind w:left="398"/>
              <w:jc w:val="left"/>
              <w:rPr>
                <w:sz w:val="18"/>
              </w:rPr>
            </w:pPr>
            <w:r>
              <w:rPr>
                <w:sz w:val="18"/>
              </w:rPr>
              <w:t>34.8</w:t>
            </w:r>
          </w:p>
        </w:tc>
        <w:tc>
          <w:tcPr>
            <w:tcW w:w="1154"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20.1</w:t>
            </w:r>
          </w:p>
        </w:tc>
        <w:tc>
          <w:tcPr>
            <w:tcW w:w="883" w:type="dxa"/>
            <w:tcBorders>
              <w:left w:val="single" w:sz="4" w:space="0" w:color="000000"/>
              <w:right w:val="single" w:sz="4" w:space="0" w:color="000000"/>
            </w:tcBorders>
          </w:tcPr>
          <w:p w:rsidR="005B1E95" w:rsidRDefault="00526895">
            <w:pPr>
              <w:pStyle w:val="TableParagraph"/>
              <w:spacing w:before="47"/>
              <w:ind w:left="292"/>
              <w:jc w:val="left"/>
              <w:rPr>
                <w:b/>
                <w:sz w:val="18"/>
              </w:rPr>
            </w:pPr>
            <w:r>
              <w:rPr>
                <w:b/>
                <w:sz w:val="18"/>
              </w:rPr>
              <w:t>22.8</w:t>
            </w:r>
          </w:p>
        </w:tc>
        <w:tc>
          <w:tcPr>
            <w:tcW w:w="1157"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34.3</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18.6</w:t>
            </w:r>
          </w:p>
        </w:tc>
        <w:tc>
          <w:tcPr>
            <w:tcW w:w="775" w:type="dxa"/>
            <w:tcBorders>
              <w:left w:val="single" w:sz="4" w:space="0" w:color="000000"/>
              <w:right w:val="single" w:sz="4" w:space="0" w:color="000000"/>
            </w:tcBorders>
          </w:tcPr>
          <w:p w:rsidR="005B1E95" w:rsidRDefault="00526895">
            <w:pPr>
              <w:pStyle w:val="TableParagraph"/>
              <w:spacing w:before="47"/>
              <w:ind w:left="237"/>
              <w:jc w:val="left"/>
              <w:rPr>
                <w:b/>
                <w:sz w:val="18"/>
              </w:rPr>
            </w:pPr>
            <w:r>
              <w:rPr>
                <w:b/>
                <w:sz w:val="18"/>
              </w:rPr>
              <w:t>21.1</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34.6</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19.4</w:t>
            </w:r>
          </w:p>
        </w:tc>
        <w:tc>
          <w:tcPr>
            <w:tcW w:w="658" w:type="dxa"/>
            <w:tcBorders>
              <w:left w:val="single" w:sz="4" w:space="0" w:color="000000"/>
              <w:right w:val="nil"/>
            </w:tcBorders>
          </w:tcPr>
          <w:p w:rsidR="005B1E95" w:rsidRDefault="00526895">
            <w:pPr>
              <w:pStyle w:val="TableParagraph"/>
              <w:spacing w:before="47"/>
              <w:ind w:left="179"/>
              <w:jc w:val="left"/>
              <w:rPr>
                <w:b/>
                <w:sz w:val="18"/>
              </w:rPr>
            </w:pPr>
            <w:r>
              <w:rPr>
                <w:b/>
                <w:sz w:val="18"/>
              </w:rPr>
              <w:t>22.0</w:t>
            </w:r>
          </w:p>
        </w:tc>
      </w:tr>
    </w:tbl>
    <w:p w:rsidR="005B1E95" w:rsidRDefault="00526895">
      <w:pPr>
        <w:spacing w:before="48" w:after="47"/>
        <w:ind w:left="2030" w:right="2122"/>
        <w:jc w:val="center"/>
        <w:rPr>
          <w:b/>
          <w:sz w:val="18"/>
        </w:rPr>
      </w:pPr>
      <w:r>
        <w:rPr>
          <w:b/>
          <w:sz w:val="18"/>
        </w:rPr>
        <w:t>2021</w:t>
      </w: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68"/>
        <w:gridCol w:w="1154"/>
        <w:gridCol w:w="883"/>
        <w:gridCol w:w="1157"/>
        <w:gridCol w:w="1157"/>
        <w:gridCol w:w="775"/>
        <w:gridCol w:w="1157"/>
        <w:gridCol w:w="1157"/>
        <w:gridCol w:w="658"/>
      </w:tblGrid>
      <w:tr w:rsidR="005B1E95">
        <w:trPr>
          <w:trHeight w:val="301"/>
        </w:trPr>
        <w:tc>
          <w:tcPr>
            <w:tcW w:w="1068" w:type="dxa"/>
            <w:tcBorders>
              <w:left w:val="nil"/>
              <w:right w:val="single" w:sz="4" w:space="0" w:color="000000"/>
            </w:tcBorders>
          </w:tcPr>
          <w:p w:rsidR="005B1E95" w:rsidRDefault="00526895">
            <w:pPr>
              <w:pStyle w:val="TableParagraph"/>
              <w:spacing w:before="42"/>
              <w:ind w:left="398"/>
              <w:jc w:val="left"/>
              <w:rPr>
                <w:sz w:val="18"/>
              </w:rPr>
            </w:pPr>
            <w:r>
              <w:rPr>
                <w:sz w:val="18"/>
              </w:rPr>
              <w:t>34.8</w:t>
            </w:r>
          </w:p>
        </w:tc>
        <w:tc>
          <w:tcPr>
            <w:tcW w:w="1154"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20.4</w:t>
            </w:r>
          </w:p>
        </w:tc>
        <w:tc>
          <w:tcPr>
            <w:tcW w:w="883" w:type="dxa"/>
            <w:tcBorders>
              <w:left w:val="single" w:sz="4" w:space="0" w:color="000000"/>
              <w:right w:val="single" w:sz="4" w:space="0" w:color="000000"/>
            </w:tcBorders>
          </w:tcPr>
          <w:p w:rsidR="005B1E95" w:rsidRDefault="00526895">
            <w:pPr>
              <w:pStyle w:val="TableParagraph"/>
              <w:spacing w:before="47"/>
              <w:ind w:left="292"/>
              <w:jc w:val="left"/>
              <w:rPr>
                <w:b/>
                <w:sz w:val="18"/>
              </w:rPr>
            </w:pPr>
            <w:r>
              <w:rPr>
                <w:b/>
                <w:sz w:val="18"/>
              </w:rPr>
              <w:t>23.0</w:t>
            </w:r>
          </w:p>
        </w:tc>
        <w:tc>
          <w:tcPr>
            <w:tcW w:w="1157" w:type="dxa"/>
            <w:tcBorders>
              <w:left w:val="single" w:sz="4" w:space="0" w:color="000000"/>
              <w:right w:val="single" w:sz="4" w:space="0" w:color="000000"/>
            </w:tcBorders>
          </w:tcPr>
          <w:p w:rsidR="005B1E95" w:rsidRDefault="00526895">
            <w:pPr>
              <w:pStyle w:val="TableParagraph"/>
              <w:spacing w:before="42"/>
              <w:ind w:right="127"/>
              <w:rPr>
                <w:sz w:val="18"/>
              </w:rPr>
            </w:pPr>
            <w:r>
              <w:rPr>
                <w:sz w:val="18"/>
              </w:rPr>
              <w:t>35.3</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18.7</w:t>
            </w:r>
          </w:p>
        </w:tc>
        <w:tc>
          <w:tcPr>
            <w:tcW w:w="775" w:type="dxa"/>
            <w:tcBorders>
              <w:left w:val="single" w:sz="4" w:space="0" w:color="000000"/>
              <w:right w:val="single" w:sz="4" w:space="0" w:color="000000"/>
            </w:tcBorders>
          </w:tcPr>
          <w:p w:rsidR="005B1E95" w:rsidRDefault="00526895">
            <w:pPr>
              <w:pStyle w:val="TableParagraph"/>
              <w:spacing w:before="47"/>
              <w:ind w:left="237"/>
              <w:jc w:val="left"/>
              <w:rPr>
                <w:b/>
                <w:sz w:val="18"/>
              </w:rPr>
            </w:pPr>
            <w:r>
              <w:rPr>
                <w:b/>
                <w:sz w:val="18"/>
              </w:rPr>
              <w:t>21.4</w:t>
            </w:r>
          </w:p>
        </w:tc>
        <w:tc>
          <w:tcPr>
            <w:tcW w:w="1157" w:type="dxa"/>
            <w:tcBorders>
              <w:left w:val="single" w:sz="4" w:space="0" w:color="000000"/>
              <w:right w:val="single" w:sz="4" w:space="0" w:color="000000"/>
            </w:tcBorders>
          </w:tcPr>
          <w:p w:rsidR="005B1E95" w:rsidRDefault="00526895">
            <w:pPr>
              <w:pStyle w:val="TableParagraph"/>
              <w:spacing w:before="42"/>
              <w:ind w:right="128"/>
              <w:rPr>
                <w:sz w:val="18"/>
              </w:rPr>
            </w:pPr>
            <w:r>
              <w:rPr>
                <w:sz w:val="18"/>
              </w:rPr>
              <w:t>35.0</w:t>
            </w:r>
          </w:p>
        </w:tc>
        <w:tc>
          <w:tcPr>
            <w:tcW w:w="1157" w:type="dxa"/>
            <w:tcBorders>
              <w:left w:val="single" w:sz="4" w:space="0" w:color="000000"/>
              <w:right w:val="single" w:sz="4" w:space="0" w:color="000000"/>
            </w:tcBorders>
          </w:tcPr>
          <w:p w:rsidR="005B1E95" w:rsidRDefault="00526895">
            <w:pPr>
              <w:pStyle w:val="TableParagraph"/>
              <w:spacing w:before="42"/>
              <w:ind w:right="129"/>
              <w:rPr>
                <w:sz w:val="18"/>
              </w:rPr>
            </w:pPr>
            <w:r>
              <w:rPr>
                <w:sz w:val="18"/>
              </w:rPr>
              <w:t>19.5</w:t>
            </w:r>
          </w:p>
        </w:tc>
        <w:tc>
          <w:tcPr>
            <w:tcW w:w="658" w:type="dxa"/>
            <w:tcBorders>
              <w:left w:val="single" w:sz="4" w:space="0" w:color="000000"/>
              <w:right w:val="nil"/>
            </w:tcBorders>
          </w:tcPr>
          <w:p w:rsidR="005B1E95" w:rsidRDefault="00526895">
            <w:pPr>
              <w:pStyle w:val="TableParagraph"/>
              <w:spacing w:before="47"/>
              <w:ind w:left="179"/>
              <w:jc w:val="left"/>
              <w:rPr>
                <w:b/>
                <w:sz w:val="18"/>
              </w:rPr>
            </w:pPr>
            <w:r>
              <w:rPr>
                <w:b/>
                <w:sz w:val="18"/>
              </w:rPr>
              <w:t>22.2</w:t>
            </w:r>
          </w:p>
        </w:tc>
      </w:tr>
    </w:tbl>
    <w:p w:rsidR="005B1E95" w:rsidRDefault="005B1E95">
      <w:pPr>
        <w:rPr>
          <w:sz w:val="18"/>
        </w:rPr>
        <w:sectPr w:rsidR="005B1E95">
          <w:headerReference w:type="default" r:id="rId16"/>
          <w:footerReference w:type="default" r:id="rId17"/>
          <w:pgSz w:w="12240" w:h="15840"/>
          <w:pgMar w:top="2680" w:right="1200" w:bottom="1160" w:left="1300" w:header="2250" w:footer="964" w:gutter="0"/>
          <w:cols w:space="720"/>
        </w:sectPr>
      </w:pPr>
    </w:p>
    <w:p w:rsidR="005B1E95" w:rsidRPr="00526895" w:rsidRDefault="00526895">
      <w:pPr>
        <w:spacing w:before="68"/>
        <w:ind w:left="140"/>
        <w:rPr>
          <w:sz w:val="18"/>
          <w:lang w:val="fr-BE"/>
        </w:rPr>
      </w:pPr>
      <w:r w:rsidRPr="00526895">
        <w:rPr>
          <w:sz w:val="18"/>
          <w:lang w:val="fr-BE"/>
        </w:rPr>
        <w:t>Source:</w:t>
      </w:r>
      <w:r w:rsidRPr="00526895">
        <w:rPr>
          <w:spacing w:val="-2"/>
          <w:sz w:val="18"/>
          <w:lang w:val="fr-BE"/>
        </w:rPr>
        <w:t xml:space="preserve"> </w:t>
      </w:r>
      <w:r w:rsidRPr="00526895">
        <w:rPr>
          <w:sz w:val="18"/>
          <w:lang w:val="fr-BE"/>
        </w:rPr>
        <w:t>Eurostat</w:t>
      </w:r>
      <w:r w:rsidRPr="00526895">
        <w:rPr>
          <w:spacing w:val="-4"/>
          <w:sz w:val="18"/>
          <w:lang w:val="fr-BE"/>
        </w:rPr>
        <w:t xml:space="preserve"> </w:t>
      </w:r>
      <w:r w:rsidRPr="00526895">
        <w:rPr>
          <w:sz w:val="18"/>
          <w:lang w:val="fr-BE"/>
        </w:rPr>
        <w:t>database,</w:t>
      </w:r>
      <w:r w:rsidRPr="00526895">
        <w:rPr>
          <w:spacing w:val="-3"/>
          <w:sz w:val="18"/>
          <w:lang w:val="fr-BE"/>
        </w:rPr>
        <w:t xml:space="preserve"> </w:t>
      </w:r>
      <w:r w:rsidRPr="00526895">
        <w:rPr>
          <w:sz w:val="18"/>
          <w:lang w:val="fr-BE"/>
        </w:rPr>
        <w:t>EU-SILC</w:t>
      </w:r>
      <w:r w:rsidRPr="00526895">
        <w:rPr>
          <w:spacing w:val="-3"/>
          <w:sz w:val="18"/>
          <w:lang w:val="fr-BE"/>
        </w:rPr>
        <w:t xml:space="preserve"> </w:t>
      </w:r>
      <w:r w:rsidRPr="00526895">
        <w:rPr>
          <w:sz w:val="18"/>
          <w:lang w:val="fr-BE"/>
        </w:rPr>
        <w:t>dataset</w:t>
      </w:r>
      <w:r w:rsidRPr="00526895">
        <w:rPr>
          <w:spacing w:val="2"/>
          <w:sz w:val="18"/>
          <w:lang w:val="fr-BE"/>
        </w:rPr>
        <w:t xml:space="preserve"> </w:t>
      </w:r>
      <w:r w:rsidRPr="00526895">
        <w:rPr>
          <w:color w:val="0562C1"/>
          <w:sz w:val="18"/>
          <w:u w:val="single" w:color="0562C1"/>
          <w:lang w:val="fr-BE"/>
        </w:rPr>
        <w:t>hlth_dpe010</w:t>
      </w:r>
    </w:p>
    <w:p w:rsidR="005B1E95" w:rsidRPr="00526895" w:rsidRDefault="005B1E95">
      <w:pPr>
        <w:pStyle w:val="BodyText"/>
        <w:ind w:left="0"/>
        <w:rPr>
          <w:lang w:val="fr-BE"/>
        </w:rPr>
      </w:pPr>
    </w:p>
    <w:p w:rsidR="005B1E95" w:rsidRPr="00526895" w:rsidRDefault="005B1E95">
      <w:pPr>
        <w:pStyle w:val="BodyText"/>
        <w:spacing w:before="1"/>
        <w:ind w:left="0"/>
        <w:rPr>
          <w:sz w:val="22"/>
          <w:lang w:val="fr-BE"/>
        </w:rPr>
      </w:pPr>
    </w:p>
    <w:p w:rsidR="005B1E95" w:rsidRDefault="00526895">
      <w:pPr>
        <w:pStyle w:val="Heading3"/>
      </w:pPr>
      <w:r>
        <w:rPr>
          <w:w w:val="95"/>
        </w:rPr>
        <w:t>Table</w:t>
      </w:r>
      <w:r>
        <w:rPr>
          <w:spacing w:val="14"/>
          <w:w w:val="95"/>
        </w:rPr>
        <w:t xml:space="preserve"> </w:t>
      </w:r>
      <w:r>
        <w:rPr>
          <w:w w:val="95"/>
        </w:rPr>
        <w:t>D.4:</w:t>
      </w:r>
      <w:r>
        <w:rPr>
          <w:spacing w:val="19"/>
          <w:w w:val="95"/>
        </w:rPr>
        <w:t xml:space="preserve"> </w:t>
      </w:r>
      <w:r>
        <w:rPr>
          <w:w w:val="95"/>
        </w:rPr>
        <w:t>Population</w:t>
      </w:r>
      <w:r>
        <w:rPr>
          <w:spacing w:val="18"/>
          <w:w w:val="95"/>
        </w:rPr>
        <w:t xml:space="preserve"> </w:t>
      </w:r>
      <w:r>
        <w:rPr>
          <w:w w:val="95"/>
        </w:rPr>
        <w:t>living</w:t>
      </w:r>
      <w:r>
        <w:rPr>
          <w:spacing w:val="22"/>
          <w:w w:val="95"/>
        </w:rPr>
        <w:t xml:space="preserve"> </w:t>
      </w:r>
      <w:r>
        <w:rPr>
          <w:w w:val="95"/>
        </w:rPr>
        <w:t>in</w:t>
      </w:r>
      <w:r>
        <w:rPr>
          <w:spacing w:val="18"/>
          <w:w w:val="95"/>
        </w:rPr>
        <w:t xml:space="preserve"> </w:t>
      </w:r>
      <w:r>
        <w:rPr>
          <w:w w:val="95"/>
        </w:rPr>
        <w:t>households</w:t>
      </w:r>
      <w:r>
        <w:rPr>
          <w:spacing w:val="18"/>
          <w:w w:val="95"/>
        </w:rPr>
        <w:t xml:space="preserve"> </w:t>
      </w:r>
      <w:r>
        <w:rPr>
          <w:w w:val="95"/>
        </w:rPr>
        <w:t>with</w:t>
      </w:r>
      <w:r>
        <w:rPr>
          <w:spacing w:val="15"/>
          <w:w w:val="95"/>
        </w:rPr>
        <w:t xml:space="preserve"> </w:t>
      </w:r>
      <w:r>
        <w:rPr>
          <w:w w:val="95"/>
        </w:rPr>
        <w:t>very</w:t>
      </w:r>
      <w:r>
        <w:rPr>
          <w:spacing w:val="15"/>
          <w:w w:val="95"/>
        </w:rPr>
        <w:t xml:space="preserve"> </w:t>
      </w:r>
      <w:r>
        <w:rPr>
          <w:w w:val="95"/>
        </w:rPr>
        <w:t>low</w:t>
      </w:r>
      <w:r>
        <w:rPr>
          <w:spacing w:val="22"/>
          <w:w w:val="95"/>
        </w:rPr>
        <w:t xml:space="preserve"> </w:t>
      </w:r>
      <w:r>
        <w:rPr>
          <w:w w:val="95"/>
        </w:rPr>
        <w:t>work</w:t>
      </w:r>
      <w:r>
        <w:rPr>
          <w:spacing w:val="18"/>
          <w:w w:val="95"/>
        </w:rPr>
        <w:t xml:space="preserve"> </w:t>
      </w:r>
      <w:r>
        <w:rPr>
          <w:w w:val="95"/>
        </w:rPr>
        <w:t>intensity</w:t>
      </w:r>
      <w:r>
        <w:rPr>
          <w:spacing w:val="19"/>
          <w:w w:val="95"/>
        </w:rPr>
        <w:t xml:space="preserve"> </w:t>
      </w:r>
      <w:r>
        <w:rPr>
          <w:w w:val="95"/>
        </w:rPr>
        <w:t>(age</w:t>
      </w:r>
      <w:r>
        <w:rPr>
          <w:spacing w:val="18"/>
          <w:w w:val="95"/>
        </w:rPr>
        <w:t xml:space="preserve"> </w:t>
      </w:r>
      <w:r>
        <w:rPr>
          <w:w w:val="95"/>
        </w:rPr>
        <w:t>16-59),</w:t>
      </w:r>
      <w:r>
        <w:rPr>
          <w:spacing w:val="15"/>
          <w:w w:val="95"/>
        </w:rPr>
        <w:t xml:space="preserve"> </w:t>
      </w:r>
      <w:r>
        <w:rPr>
          <w:w w:val="95"/>
        </w:rPr>
        <w:t>EU</w:t>
      </w:r>
      <w:r>
        <w:rPr>
          <w:spacing w:val="15"/>
          <w:w w:val="95"/>
        </w:rPr>
        <w:t xml:space="preserve"> </w:t>
      </w:r>
      <w:r>
        <w:rPr>
          <w:w w:val="95"/>
        </w:rPr>
        <w:t>level,</w:t>
      </w:r>
      <w:r>
        <w:rPr>
          <w:spacing w:val="-54"/>
          <w:w w:val="95"/>
        </w:rPr>
        <w:t xml:space="preserve"> </w:t>
      </w:r>
      <w:r>
        <w:t>2020,</w:t>
      </w:r>
      <w:r>
        <w:rPr>
          <w:spacing w:val="-2"/>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3"/>
        </w:trPr>
        <w:tc>
          <w:tcPr>
            <w:tcW w:w="3427" w:type="dxa"/>
            <w:tcBorders>
              <w:left w:val="nil"/>
              <w:right w:val="single" w:sz="4" w:space="0" w:color="000000"/>
            </w:tcBorders>
          </w:tcPr>
          <w:p w:rsidR="005B1E95" w:rsidRDefault="00526895">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8"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5"/>
              <w:ind w:left="609" w:right="592"/>
              <w:rPr>
                <w:b/>
                <w:sz w:val="18"/>
              </w:rPr>
            </w:pPr>
            <w:r>
              <w:rPr>
                <w:b/>
                <w:sz w:val="18"/>
              </w:rPr>
              <w:t>Total</w:t>
            </w:r>
          </w:p>
        </w:tc>
      </w:tr>
      <w:tr w:rsidR="005B1E95">
        <w:trPr>
          <w:trHeight w:val="268"/>
        </w:trPr>
        <w:tc>
          <w:tcPr>
            <w:tcW w:w="3427" w:type="dxa"/>
            <w:tcBorders>
              <w:left w:val="nil"/>
              <w:right w:val="single" w:sz="4" w:space="0" w:color="000000"/>
            </w:tcBorders>
          </w:tcPr>
          <w:p w:rsidR="005B1E95" w:rsidRDefault="00526895">
            <w:pPr>
              <w:pStyle w:val="TableParagraph"/>
              <w:spacing w:before="26"/>
              <w:ind w:left="789" w:right="742"/>
              <w:rPr>
                <w:sz w:val="18"/>
              </w:rPr>
            </w:pPr>
            <w:r>
              <w:rPr>
                <w:sz w:val="18"/>
              </w:rPr>
              <w:t>22.4</w:t>
            </w:r>
          </w:p>
        </w:tc>
        <w:tc>
          <w:tcPr>
            <w:tcW w:w="3521" w:type="dxa"/>
            <w:tcBorders>
              <w:left w:val="single" w:sz="4" w:space="0" w:color="000000"/>
              <w:right w:val="single" w:sz="4" w:space="0" w:color="000000"/>
            </w:tcBorders>
          </w:tcPr>
          <w:p w:rsidR="005B1E95" w:rsidRDefault="00526895">
            <w:pPr>
              <w:pStyle w:val="TableParagraph"/>
              <w:spacing w:before="26"/>
              <w:ind w:left="1590" w:right="1563"/>
              <w:rPr>
                <w:sz w:val="18"/>
              </w:rPr>
            </w:pPr>
            <w:r>
              <w:rPr>
                <w:sz w:val="18"/>
              </w:rPr>
              <w:t>6.6</w:t>
            </w:r>
          </w:p>
        </w:tc>
        <w:tc>
          <w:tcPr>
            <w:tcW w:w="2218" w:type="dxa"/>
            <w:tcBorders>
              <w:left w:val="single" w:sz="4" w:space="0" w:color="000000"/>
              <w:right w:val="nil"/>
            </w:tcBorders>
          </w:tcPr>
          <w:p w:rsidR="005B1E95" w:rsidRDefault="00526895">
            <w:pPr>
              <w:pStyle w:val="TableParagraph"/>
              <w:spacing w:before="31"/>
              <w:ind w:left="611" w:right="592"/>
              <w:rPr>
                <w:b/>
                <w:sz w:val="18"/>
              </w:rPr>
            </w:pPr>
            <w:r>
              <w:rPr>
                <w:b/>
                <w:sz w:val="18"/>
              </w:rPr>
              <w:t>9.0</w:t>
            </w:r>
          </w:p>
        </w:tc>
      </w:tr>
    </w:tbl>
    <w:p w:rsidR="005B1E95" w:rsidRDefault="00526895">
      <w:pPr>
        <w:spacing w:before="148" w:line="278" w:lineRule="auto"/>
        <w:ind w:left="140" w:right="29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2"/>
          <w:sz w:val="18"/>
        </w:rPr>
        <w:t xml:space="preserve"> </w:t>
      </w:r>
      <w:r>
        <w:rPr>
          <w:sz w:val="18"/>
        </w:rPr>
        <w:t>Data</w:t>
      </w:r>
      <w:r>
        <w:rPr>
          <w:spacing w:val="-2"/>
          <w:sz w:val="18"/>
        </w:rPr>
        <w:t xml:space="preserve"> </w:t>
      </w:r>
      <w:r>
        <w:rPr>
          <w:sz w:val="18"/>
        </w:rPr>
        <w:t>source:</w:t>
      </w:r>
      <w:r>
        <w:rPr>
          <w:spacing w:val="-1"/>
          <w:sz w:val="18"/>
        </w:rPr>
        <w:t xml:space="preserve"> </w:t>
      </w:r>
      <w:r>
        <w:rPr>
          <w:sz w:val="18"/>
        </w:rPr>
        <w:t>Eurostat</w:t>
      </w:r>
      <w:r>
        <w:rPr>
          <w:spacing w:val="-1"/>
          <w:sz w:val="18"/>
        </w:rPr>
        <w:t xml:space="preserve"> </w:t>
      </w:r>
      <w:r>
        <w:rPr>
          <w:sz w:val="18"/>
        </w:rPr>
        <w:t>database,</w:t>
      </w:r>
      <w:r>
        <w:rPr>
          <w:spacing w:val="-2"/>
          <w:sz w:val="18"/>
        </w:rPr>
        <w:t xml:space="preserve"> </w:t>
      </w:r>
      <w:r>
        <w:rPr>
          <w:sz w:val="18"/>
        </w:rPr>
        <w:t>EU-SILC</w:t>
      </w:r>
      <w:r>
        <w:rPr>
          <w:spacing w:val="-2"/>
          <w:sz w:val="18"/>
        </w:rPr>
        <w:t xml:space="preserve"> </w:t>
      </w:r>
      <w:r>
        <w:rPr>
          <w:sz w:val="18"/>
        </w:rPr>
        <w:t>dataset</w:t>
      </w:r>
      <w:r>
        <w:rPr>
          <w:spacing w:val="5"/>
          <w:sz w:val="18"/>
        </w:rPr>
        <w:t xml:space="preserve"> </w:t>
      </w:r>
      <w:r>
        <w:rPr>
          <w:color w:val="0562C1"/>
          <w:sz w:val="18"/>
          <w:u w:val="single" w:color="0562C1"/>
        </w:rPr>
        <w:t>hlth_dpe040</w:t>
      </w:r>
      <w:r>
        <w:rPr>
          <w:color w:val="0562C1"/>
          <w:sz w:val="18"/>
        </w:rPr>
        <w:t xml:space="preserve"> </w:t>
      </w:r>
      <w:r>
        <w:rPr>
          <w:sz w:val="18"/>
        </w:rPr>
        <w:t>(data</w:t>
      </w:r>
      <w:r>
        <w:rPr>
          <w:spacing w:val="-1"/>
          <w:sz w:val="18"/>
        </w:rPr>
        <w:t xml:space="preserve"> </w:t>
      </w:r>
      <w:r>
        <w:rPr>
          <w:sz w:val="18"/>
        </w:rPr>
        <w:t>extracted on 14/04/2022)</w:t>
      </w:r>
    </w:p>
    <w:p w:rsidR="005B1E95" w:rsidRDefault="005B1E95">
      <w:pPr>
        <w:pStyle w:val="BodyText"/>
        <w:ind w:left="0"/>
        <w:rPr>
          <w:sz w:val="21"/>
        </w:rPr>
      </w:pPr>
    </w:p>
    <w:p w:rsidR="005B1E95" w:rsidRDefault="00526895">
      <w:pPr>
        <w:pStyle w:val="Heading3"/>
        <w:spacing w:before="89"/>
        <w:ind w:right="249"/>
      </w:pPr>
      <w:r>
        <w:t>Table</w:t>
      </w:r>
      <w:r>
        <w:rPr>
          <w:spacing w:val="18"/>
        </w:rPr>
        <w:t xml:space="preserve"> </w:t>
      </w:r>
      <w:r>
        <w:t>D.5:</w:t>
      </w:r>
      <w:r>
        <w:rPr>
          <w:spacing w:val="20"/>
        </w:rPr>
        <w:t xml:space="preserve"> </w:t>
      </w:r>
      <w:r>
        <w:t>Population</w:t>
      </w:r>
      <w:r>
        <w:rPr>
          <w:spacing w:val="23"/>
        </w:rPr>
        <w:t xml:space="preserve"> </w:t>
      </w:r>
      <w:r>
        <w:t>aged</w:t>
      </w:r>
      <w:r>
        <w:rPr>
          <w:spacing w:val="20"/>
        </w:rPr>
        <w:t xml:space="preserve"> </w:t>
      </w:r>
      <w:r>
        <w:t>50</w:t>
      </w:r>
      <w:r>
        <w:rPr>
          <w:spacing w:val="21"/>
        </w:rPr>
        <w:t xml:space="preserve"> </w:t>
      </w:r>
      <w:r>
        <w:t>and</w:t>
      </w:r>
      <w:r>
        <w:rPr>
          <w:spacing w:val="22"/>
        </w:rPr>
        <w:t xml:space="preserve"> </w:t>
      </w:r>
      <w:r>
        <w:t>over</w:t>
      </w:r>
      <w:r>
        <w:rPr>
          <w:spacing w:val="19"/>
        </w:rPr>
        <w:t xml:space="preserve"> </w:t>
      </w:r>
      <w:r>
        <w:t>who</w:t>
      </w:r>
      <w:r>
        <w:rPr>
          <w:spacing w:val="23"/>
        </w:rPr>
        <w:t xml:space="preserve"> </w:t>
      </w:r>
      <w:r>
        <w:t>received</w:t>
      </w:r>
      <w:r>
        <w:rPr>
          <w:spacing w:val="20"/>
        </w:rPr>
        <w:t xml:space="preserve"> </w:t>
      </w:r>
      <w:r>
        <w:t>a</w:t>
      </w:r>
      <w:r>
        <w:rPr>
          <w:spacing w:val="21"/>
        </w:rPr>
        <w:t xml:space="preserve"> </w:t>
      </w:r>
      <w:r>
        <w:t>governmental</w:t>
      </w:r>
      <w:r>
        <w:rPr>
          <w:spacing w:val="20"/>
        </w:rPr>
        <w:t xml:space="preserve"> </w:t>
      </w:r>
      <w:r>
        <w:t>support</w:t>
      </w:r>
      <w:r>
        <w:rPr>
          <w:spacing w:val="20"/>
        </w:rPr>
        <w:t xml:space="preserve"> </w:t>
      </w:r>
      <w:r>
        <w:t>due</w:t>
      </w:r>
      <w:r>
        <w:rPr>
          <w:spacing w:val="21"/>
        </w:rPr>
        <w:t xml:space="preserve"> </w:t>
      </w:r>
      <w:r>
        <w:t>to</w:t>
      </w:r>
      <w:r>
        <w:rPr>
          <w:spacing w:val="20"/>
        </w:rPr>
        <w:t xml:space="preserve"> </w:t>
      </w:r>
      <w:r>
        <w:t>the</w:t>
      </w:r>
      <w:r>
        <w:rPr>
          <w:spacing w:val="-57"/>
        </w:rPr>
        <w:t xml:space="preserve"> </w:t>
      </w:r>
      <w:r>
        <w:t>COVID-19</w:t>
      </w:r>
      <w:r>
        <w:rPr>
          <w:spacing w:val="1"/>
        </w:rPr>
        <w:t xml:space="preserve"> </w:t>
      </w:r>
      <w:r>
        <w:t>crisis</w:t>
      </w:r>
      <w:r>
        <w:rPr>
          <w:spacing w:val="-1"/>
        </w:rPr>
        <w:t xml:space="preserve"> </w:t>
      </w:r>
      <w:r>
        <w:t>in</w:t>
      </w:r>
      <w:r>
        <w:rPr>
          <w:spacing w:val="-1"/>
        </w:rPr>
        <w:t xml:space="preserve"> </w:t>
      </w:r>
      <w:r>
        <w:t>2021</w:t>
      </w:r>
      <w:r>
        <w:rPr>
          <w:spacing w:val="-1"/>
        </w:rPr>
        <w:t xml:space="preserve"> </w:t>
      </w:r>
      <w:r>
        <w:t>by</w:t>
      </w:r>
      <w:r>
        <w:rPr>
          <w:spacing w:val="-2"/>
        </w:rPr>
        <w:t xml:space="preserve"> </w:t>
      </w:r>
      <w:r>
        <w:t>disability</w:t>
      </w:r>
      <w:r>
        <w:rPr>
          <w:spacing w:val="-1"/>
        </w:rPr>
        <w:t xml:space="preserve"> </w:t>
      </w:r>
      <w:r>
        <w:t>status,</w:t>
      </w:r>
      <w:r>
        <w:rPr>
          <w:spacing w:val="-1"/>
        </w:rPr>
        <w:t xml:space="preserve"> </w:t>
      </w:r>
      <w:r>
        <w:t>EU-26,</w:t>
      </w:r>
      <w:r>
        <w:rPr>
          <w:spacing w:val="-1"/>
        </w:rPr>
        <w:t xml:space="preserve"> </w:t>
      </w:r>
      <w:r>
        <w:t>%</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4"/>
        </w:trPr>
        <w:tc>
          <w:tcPr>
            <w:tcW w:w="3427" w:type="dxa"/>
            <w:tcBorders>
              <w:left w:val="nil"/>
              <w:right w:val="single" w:sz="4" w:space="0" w:color="000000"/>
            </w:tcBorders>
          </w:tcPr>
          <w:p w:rsidR="005B1E95" w:rsidRDefault="00526895">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5"/>
              <w:ind w:left="609" w:right="592"/>
              <w:rPr>
                <w:b/>
                <w:sz w:val="18"/>
              </w:rPr>
            </w:pPr>
            <w:r>
              <w:rPr>
                <w:b/>
                <w:sz w:val="18"/>
              </w:rPr>
              <w:t>Total</w:t>
            </w:r>
          </w:p>
        </w:tc>
      </w:tr>
      <w:tr w:rsidR="005B1E95">
        <w:trPr>
          <w:trHeight w:val="272"/>
        </w:trPr>
        <w:tc>
          <w:tcPr>
            <w:tcW w:w="3427" w:type="dxa"/>
            <w:tcBorders>
              <w:left w:val="nil"/>
              <w:right w:val="single" w:sz="4" w:space="0" w:color="000000"/>
            </w:tcBorders>
          </w:tcPr>
          <w:p w:rsidR="005B1E95" w:rsidRDefault="00526895">
            <w:pPr>
              <w:pStyle w:val="TableParagraph"/>
              <w:spacing w:before="28"/>
              <w:ind w:left="789" w:right="740"/>
              <w:rPr>
                <w:sz w:val="18"/>
              </w:rPr>
            </w:pPr>
            <w:r>
              <w:rPr>
                <w:sz w:val="18"/>
              </w:rPr>
              <w:t>6.1</w:t>
            </w:r>
          </w:p>
        </w:tc>
        <w:tc>
          <w:tcPr>
            <w:tcW w:w="3521" w:type="dxa"/>
            <w:tcBorders>
              <w:left w:val="single" w:sz="4" w:space="0" w:color="000000"/>
              <w:right w:val="single" w:sz="4" w:space="0" w:color="000000"/>
            </w:tcBorders>
          </w:tcPr>
          <w:p w:rsidR="005B1E95" w:rsidRDefault="00526895">
            <w:pPr>
              <w:pStyle w:val="TableParagraph"/>
              <w:spacing w:before="28"/>
              <w:ind w:left="1590" w:right="1563"/>
              <w:rPr>
                <w:sz w:val="18"/>
              </w:rPr>
            </w:pPr>
            <w:r>
              <w:rPr>
                <w:sz w:val="18"/>
              </w:rPr>
              <w:t>7.7</w:t>
            </w:r>
          </w:p>
        </w:tc>
        <w:tc>
          <w:tcPr>
            <w:tcW w:w="2218" w:type="dxa"/>
            <w:tcBorders>
              <w:left w:val="single" w:sz="4" w:space="0" w:color="000000"/>
              <w:right w:val="nil"/>
            </w:tcBorders>
          </w:tcPr>
          <w:p w:rsidR="005B1E95" w:rsidRDefault="00526895">
            <w:pPr>
              <w:pStyle w:val="TableParagraph"/>
              <w:spacing w:before="33"/>
              <w:ind w:left="611" w:right="592"/>
              <w:rPr>
                <w:b/>
                <w:sz w:val="18"/>
              </w:rPr>
            </w:pPr>
            <w:r>
              <w:rPr>
                <w:b/>
                <w:sz w:val="18"/>
              </w:rPr>
              <w:t>7.0</w:t>
            </w:r>
          </w:p>
        </w:tc>
      </w:tr>
    </w:tbl>
    <w:p w:rsidR="005B1E95" w:rsidRDefault="00526895">
      <w:pPr>
        <w:spacing w:before="148"/>
        <w:ind w:left="140"/>
        <w:rPr>
          <w:sz w:val="18"/>
        </w:rPr>
      </w:pPr>
      <w:r>
        <w:rPr>
          <w:sz w:val="18"/>
        </w:rPr>
        <w:t>Source:</w:t>
      </w:r>
      <w:r>
        <w:rPr>
          <w:spacing w:val="-2"/>
          <w:sz w:val="18"/>
        </w:rPr>
        <w:t xml:space="preserve"> </w:t>
      </w:r>
      <w:r>
        <w:rPr>
          <w:sz w:val="18"/>
        </w:rPr>
        <w:t>SHARE Wave</w:t>
      </w:r>
      <w:r>
        <w:rPr>
          <w:spacing w:val="-3"/>
          <w:sz w:val="18"/>
        </w:rPr>
        <w:t xml:space="preserve"> </w:t>
      </w:r>
      <w:r>
        <w:rPr>
          <w:sz w:val="18"/>
        </w:rPr>
        <w:t>9. COVID-19</w:t>
      </w:r>
      <w:r>
        <w:rPr>
          <w:spacing w:val="-2"/>
          <w:sz w:val="18"/>
        </w:rPr>
        <w:t xml:space="preserve"> </w:t>
      </w:r>
      <w:r>
        <w:rPr>
          <w:sz w:val="18"/>
        </w:rPr>
        <w:t>Survey</w:t>
      </w:r>
      <w:r>
        <w:rPr>
          <w:spacing w:val="-5"/>
          <w:sz w:val="18"/>
        </w:rPr>
        <w:t xml:space="preserve"> </w:t>
      </w:r>
      <w:r>
        <w:rPr>
          <w:sz w:val="18"/>
        </w:rPr>
        <w:t>2.</w:t>
      </w:r>
      <w:r>
        <w:rPr>
          <w:spacing w:val="-1"/>
          <w:sz w:val="18"/>
        </w:rPr>
        <w:t xml:space="preserve"> </w:t>
      </w:r>
      <w:r>
        <w:rPr>
          <w:sz w:val="18"/>
        </w:rPr>
        <w:t>Release</w:t>
      </w:r>
      <w:r>
        <w:rPr>
          <w:spacing w:val="-2"/>
          <w:sz w:val="18"/>
        </w:rPr>
        <w:t xml:space="preserve"> </w:t>
      </w:r>
      <w:r>
        <w:rPr>
          <w:sz w:val="18"/>
        </w:rPr>
        <w:t>version:</w:t>
      </w:r>
      <w:r>
        <w:rPr>
          <w:spacing w:val="-1"/>
          <w:sz w:val="18"/>
        </w:rPr>
        <w:t xml:space="preserve"> </w:t>
      </w:r>
      <w:r>
        <w:rPr>
          <w:sz w:val="18"/>
        </w:rPr>
        <w:t>8.0.0.</w:t>
      </w:r>
    </w:p>
    <w:p w:rsidR="005B1E95" w:rsidRDefault="005B1E95">
      <w:pPr>
        <w:pStyle w:val="BodyText"/>
        <w:ind w:left="0"/>
      </w:pPr>
    </w:p>
    <w:p w:rsidR="005B1E95" w:rsidRDefault="005B1E95">
      <w:pPr>
        <w:pStyle w:val="BodyText"/>
        <w:spacing w:before="1"/>
        <w:ind w:left="0"/>
        <w:rPr>
          <w:sz w:val="22"/>
        </w:rPr>
      </w:pPr>
    </w:p>
    <w:p w:rsidR="005B1E95" w:rsidRDefault="00526895">
      <w:pPr>
        <w:pStyle w:val="Heading3"/>
        <w:ind w:right="242"/>
      </w:pPr>
      <w:r>
        <w:t>Table</w:t>
      </w:r>
      <w:r>
        <w:rPr>
          <w:spacing w:val="27"/>
        </w:rPr>
        <w:t xml:space="preserve"> </w:t>
      </w:r>
      <w:r>
        <w:t>D.6:</w:t>
      </w:r>
      <w:r>
        <w:rPr>
          <w:spacing w:val="27"/>
        </w:rPr>
        <w:t xml:space="preserve"> </w:t>
      </w:r>
      <w:r>
        <w:t>Mean</w:t>
      </w:r>
      <w:r>
        <w:rPr>
          <w:spacing w:val="31"/>
        </w:rPr>
        <w:t xml:space="preserve"> </w:t>
      </w:r>
      <w:r>
        <w:t>value</w:t>
      </w:r>
      <w:r>
        <w:rPr>
          <w:spacing w:val="27"/>
        </w:rPr>
        <w:t xml:space="preserve"> </w:t>
      </w:r>
      <w:r>
        <w:t>of</w:t>
      </w:r>
      <w:r>
        <w:rPr>
          <w:spacing w:val="32"/>
        </w:rPr>
        <w:t xml:space="preserve"> </w:t>
      </w:r>
      <w:r>
        <w:t>total</w:t>
      </w:r>
      <w:r>
        <w:rPr>
          <w:spacing w:val="28"/>
        </w:rPr>
        <w:t xml:space="preserve"> </w:t>
      </w:r>
      <w:r>
        <w:t>net</w:t>
      </w:r>
      <w:r>
        <w:rPr>
          <w:spacing w:val="26"/>
        </w:rPr>
        <w:t xml:space="preserve"> </w:t>
      </w:r>
      <w:r>
        <w:t>wealth</w:t>
      </w:r>
      <w:r>
        <w:rPr>
          <w:spacing w:val="29"/>
        </w:rPr>
        <w:t xml:space="preserve"> </w:t>
      </w:r>
      <w:r>
        <w:t>of</w:t>
      </w:r>
      <w:r>
        <w:rPr>
          <w:spacing w:val="25"/>
        </w:rPr>
        <w:t xml:space="preserve"> </w:t>
      </w:r>
      <w:r>
        <w:t>persons</w:t>
      </w:r>
      <w:r>
        <w:rPr>
          <w:spacing w:val="31"/>
        </w:rPr>
        <w:t xml:space="preserve"> </w:t>
      </w:r>
      <w:r>
        <w:t>with</w:t>
      </w:r>
      <w:r>
        <w:rPr>
          <w:spacing w:val="30"/>
        </w:rPr>
        <w:t xml:space="preserve"> </w:t>
      </w:r>
      <w:r>
        <w:t>disabilities</w:t>
      </w:r>
      <w:r>
        <w:rPr>
          <w:spacing w:val="30"/>
        </w:rPr>
        <w:t xml:space="preserve"> </w:t>
      </w:r>
      <w:r>
        <w:t>as</w:t>
      </w:r>
      <w:r>
        <w:rPr>
          <w:spacing w:val="31"/>
        </w:rPr>
        <w:t xml:space="preserve"> </w:t>
      </w:r>
      <w:r>
        <w:t>a</w:t>
      </w:r>
      <w:r>
        <w:rPr>
          <w:spacing w:val="27"/>
        </w:rPr>
        <w:t xml:space="preserve"> </w:t>
      </w:r>
      <w:r>
        <w:t>proportion</w:t>
      </w:r>
      <w:r>
        <w:rPr>
          <w:spacing w:val="30"/>
        </w:rPr>
        <w:t xml:space="preserve"> </w:t>
      </w:r>
      <w:r>
        <w:t>to</w:t>
      </w:r>
      <w:r>
        <w:rPr>
          <w:spacing w:val="-57"/>
        </w:rPr>
        <w:t xml:space="preserve"> </w:t>
      </w:r>
      <w:r>
        <w:t>persons</w:t>
      </w:r>
      <w:r>
        <w:rPr>
          <w:spacing w:val="-2"/>
        </w:rPr>
        <w:t xml:space="preserve"> </w:t>
      </w:r>
      <w:r>
        <w:t>without disabilities,</w:t>
      </w:r>
      <w:r>
        <w:rPr>
          <w:spacing w:val="-1"/>
        </w:rPr>
        <w:t xml:space="preserve"> </w:t>
      </w:r>
      <w:r>
        <w:t>EU-28,</w:t>
      </w:r>
      <w:r>
        <w:rPr>
          <w:spacing w:val="-2"/>
        </w:rPr>
        <w:t xml:space="preserve"> </w:t>
      </w:r>
      <w:r>
        <w:t>2016.</w:t>
      </w:r>
      <w:r>
        <w:rPr>
          <w:spacing w:val="-1"/>
        </w:rPr>
        <w:t xml:space="preserve"> </w:t>
      </w:r>
      <w:r>
        <w:t>Age</w:t>
      </w:r>
      <w:r>
        <w:rPr>
          <w:spacing w:val="-2"/>
        </w:rPr>
        <w:t xml:space="preserve"> </w:t>
      </w:r>
      <w:r>
        <w:t>adjusted</w:t>
      </w:r>
      <w:r>
        <w:rPr>
          <w:spacing w:val="-1"/>
        </w:rPr>
        <w:t xml:space="preserve"> </w:t>
      </w:r>
      <w:r>
        <w:t>(Experimental</w:t>
      </w:r>
      <w:r>
        <w:rPr>
          <w:spacing w:val="-2"/>
        </w:rPr>
        <w:t xml:space="preserve"> </w:t>
      </w:r>
      <w:r>
        <w:t>data)</w:t>
      </w:r>
    </w:p>
    <w:p w:rsidR="005B1E95" w:rsidRDefault="005B1E95">
      <w:pPr>
        <w:pStyle w:val="BodyText"/>
        <w:spacing w:before="6"/>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146"/>
        <w:gridCol w:w="566"/>
      </w:tblGrid>
      <w:tr w:rsidR="005B1E95">
        <w:trPr>
          <w:trHeight w:val="286"/>
        </w:trPr>
        <w:tc>
          <w:tcPr>
            <w:tcW w:w="3146" w:type="dxa"/>
            <w:tcBorders>
              <w:left w:val="nil"/>
              <w:right w:val="single" w:sz="4" w:space="0" w:color="000000"/>
            </w:tcBorders>
          </w:tcPr>
          <w:p w:rsidR="005B1E95" w:rsidRDefault="005B1E95">
            <w:pPr>
              <w:pStyle w:val="TableParagraph"/>
              <w:ind w:left="0"/>
              <w:jc w:val="left"/>
              <w:rPr>
                <w:sz w:val="20"/>
              </w:rPr>
            </w:pPr>
          </w:p>
        </w:tc>
        <w:tc>
          <w:tcPr>
            <w:tcW w:w="566" w:type="dxa"/>
            <w:tcBorders>
              <w:left w:val="single" w:sz="4" w:space="0" w:color="000000"/>
              <w:right w:val="nil"/>
            </w:tcBorders>
          </w:tcPr>
          <w:p w:rsidR="005B1E95" w:rsidRDefault="00526895">
            <w:pPr>
              <w:pStyle w:val="TableParagraph"/>
              <w:spacing w:before="9"/>
              <w:ind w:left="153"/>
              <w:jc w:val="left"/>
              <w:rPr>
                <w:b/>
                <w:sz w:val="20"/>
              </w:rPr>
            </w:pPr>
            <w:r>
              <w:rPr>
                <w:b/>
                <w:sz w:val="20"/>
              </w:rPr>
              <w:t>EU</w:t>
            </w:r>
          </w:p>
        </w:tc>
      </w:tr>
      <w:tr w:rsidR="005B1E95">
        <w:trPr>
          <w:trHeight w:val="289"/>
        </w:trPr>
        <w:tc>
          <w:tcPr>
            <w:tcW w:w="3146" w:type="dxa"/>
            <w:tcBorders>
              <w:left w:val="nil"/>
              <w:bottom w:val="single" w:sz="4" w:space="0" w:color="000000"/>
              <w:right w:val="single" w:sz="4" w:space="0" w:color="000000"/>
            </w:tcBorders>
          </w:tcPr>
          <w:p w:rsidR="005B1E95" w:rsidRDefault="00526895">
            <w:pPr>
              <w:pStyle w:val="TableParagraph"/>
              <w:spacing w:before="12"/>
              <w:ind w:left="136"/>
              <w:jc w:val="left"/>
              <w:rPr>
                <w:b/>
                <w:sz w:val="20"/>
              </w:rPr>
            </w:pPr>
            <w:r>
              <w:rPr>
                <w:b/>
                <w:sz w:val="20"/>
              </w:rPr>
              <w:t>Persons</w:t>
            </w:r>
            <w:r>
              <w:rPr>
                <w:b/>
                <w:spacing w:val="-5"/>
                <w:sz w:val="20"/>
              </w:rPr>
              <w:t xml:space="preserve"> </w:t>
            </w:r>
            <w:r>
              <w:rPr>
                <w:b/>
                <w:sz w:val="20"/>
              </w:rPr>
              <w:t>without</w:t>
            </w:r>
            <w:r>
              <w:rPr>
                <w:b/>
                <w:spacing w:val="-2"/>
                <w:sz w:val="20"/>
              </w:rPr>
              <w:t xml:space="preserve"> </w:t>
            </w:r>
            <w:r>
              <w:rPr>
                <w:b/>
                <w:sz w:val="20"/>
              </w:rPr>
              <w:t>disabilities</w:t>
            </w:r>
          </w:p>
        </w:tc>
        <w:tc>
          <w:tcPr>
            <w:tcW w:w="566" w:type="dxa"/>
            <w:tcBorders>
              <w:left w:val="single" w:sz="4" w:space="0" w:color="000000"/>
              <w:bottom w:val="single" w:sz="4" w:space="0" w:color="000000"/>
              <w:right w:val="nil"/>
            </w:tcBorders>
          </w:tcPr>
          <w:p w:rsidR="005B1E95" w:rsidRDefault="00526895">
            <w:pPr>
              <w:pStyle w:val="TableParagraph"/>
              <w:spacing w:before="7"/>
              <w:ind w:left="141"/>
              <w:jc w:val="left"/>
              <w:rPr>
                <w:sz w:val="20"/>
              </w:rPr>
            </w:pPr>
            <w:r>
              <w:rPr>
                <w:sz w:val="20"/>
              </w:rPr>
              <w:t>100</w:t>
            </w:r>
          </w:p>
        </w:tc>
      </w:tr>
      <w:tr w:rsidR="005B1E95">
        <w:trPr>
          <w:trHeight w:val="287"/>
        </w:trPr>
        <w:tc>
          <w:tcPr>
            <w:tcW w:w="3146" w:type="dxa"/>
            <w:tcBorders>
              <w:top w:val="single" w:sz="4" w:space="0" w:color="000000"/>
              <w:left w:val="nil"/>
              <w:bottom w:val="single" w:sz="4" w:space="0" w:color="000000"/>
              <w:right w:val="single" w:sz="4" w:space="0" w:color="000000"/>
            </w:tcBorders>
          </w:tcPr>
          <w:p w:rsidR="005B1E95" w:rsidRDefault="00526895">
            <w:pPr>
              <w:pStyle w:val="TableParagraph"/>
              <w:spacing w:before="10"/>
              <w:ind w:left="136"/>
              <w:jc w:val="left"/>
              <w:rPr>
                <w:b/>
                <w:sz w:val="20"/>
              </w:rPr>
            </w:pPr>
            <w:r>
              <w:rPr>
                <w:b/>
                <w:sz w:val="20"/>
              </w:rPr>
              <w:t>All</w:t>
            </w:r>
            <w:r>
              <w:rPr>
                <w:b/>
                <w:spacing w:val="-3"/>
                <w:sz w:val="20"/>
              </w:rPr>
              <w:t xml:space="preserve"> </w:t>
            </w:r>
            <w:r>
              <w:rPr>
                <w:b/>
                <w:sz w:val="20"/>
              </w:rPr>
              <w:t>persons</w:t>
            </w:r>
            <w:r>
              <w:rPr>
                <w:b/>
                <w:spacing w:val="-3"/>
                <w:sz w:val="20"/>
              </w:rPr>
              <w:t xml:space="preserve"> </w:t>
            </w:r>
            <w:r>
              <w:rPr>
                <w:b/>
                <w:sz w:val="20"/>
              </w:rPr>
              <w:t>with</w:t>
            </w:r>
            <w:r>
              <w:rPr>
                <w:b/>
                <w:spacing w:val="-3"/>
                <w:sz w:val="20"/>
              </w:rPr>
              <w:t xml:space="preserve"> </w:t>
            </w:r>
            <w:r>
              <w:rPr>
                <w:b/>
                <w:sz w:val="20"/>
              </w:rPr>
              <w:t>disabilities</w:t>
            </w:r>
          </w:p>
        </w:tc>
        <w:tc>
          <w:tcPr>
            <w:tcW w:w="566" w:type="dxa"/>
            <w:tcBorders>
              <w:top w:val="single" w:sz="4" w:space="0" w:color="000000"/>
              <w:left w:val="single" w:sz="4" w:space="0" w:color="000000"/>
              <w:bottom w:val="single" w:sz="4" w:space="0" w:color="000000"/>
              <w:right w:val="nil"/>
            </w:tcBorders>
          </w:tcPr>
          <w:p w:rsidR="005B1E95" w:rsidRDefault="00526895">
            <w:pPr>
              <w:pStyle w:val="TableParagraph"/>
              <w:spacing w:before="29"/>
              <w:ind w:left="117"/>
              <w:jc w:val="left"/>
              <w:rPr>
                <w:sz w:val="20"/>
              </w:rPr>
            </w:pPr>
            <w:r>
              <w:rPr>
                <w:sz w:val="20"/>
              </w:rPr>
              <w:t>74.4</w:t>
            </w:r>
          </w:p>
        </w:tc>
      </w:tr>
      <w:tr w:rsidR="005B1E95">
        <w:trPr>
          <w:trHeight w:val="287"/>
        </w:trPr>
        <w:tc>
          <w:tcPr>
            <w:tcW w:w="3146" w:type="dxa"/>
            <w:tcBorders>
              <w:top w:val="single" w:sz="4" w:space="0" w:color="000000"/>
              <w:left w:val="nil"/>
              <w:bottom w:val="single" w:sz="4" w:space="0" w:color="000000"/>
              <w:right w:val="single" w:sz="4" w:space="0" w:color="000000"/>
            </w:tcBorders>
          </w:tcPr>
          <w:p w:rsidR="005B1E95" w:rsidRDefault="00526895">
            <w:pPr>
              <w:pStyle w:val="TableParagraph"/>
              <w:spacing w:before="10"/>
              <w:ind w:left="136"/>
              <w:jc w:val="left"/>
              <w:rPr>
                <w:b/>
                <w:sz w:val="20"/>
              </w:rPr>
            </w:pPr>
            <w:r>
              <w:rPr>
                <w:b/>
                <w:sz w:val="20"/>
              </w:rPr>
              <w:t>Persons</w:t>
            </w:r>
            <w:r>
              <w:rPr>
                <w:b/>
                <w:spacing w:val="-4"/>
                <w:sz w:val="20"/>
              </w:rPr>
              <w:t xml:space="preserve"> </w:t>
            </w:r>
            <w:r>
              <w:rPr>
                <w:b/>
                <w:sz w:val="20"/>
              </w:rPr>
              <w:t>with</w:t>
            </w:r>
            <w:r>
              <w:rPr>
                <w:b/>
                <w:spacing w:val="-3"/>
                <w:sz w:val="20"/>
              </w:rPr>
              <w:t xml:space="preserve"> </w:t>
            </w:r>
            <w:r>
              <w:rPr>
                <w:b/>
                <w:sz w:val="20"/>
              </w:rPr>
              <w:t>moderate</w:t>
            </w:r>
            <w:r>
              <w:rPr>
                <w:b/>
                <w:spacing w:val="-3"/>
                <w:sz w:val="20"/>
              </w:rPr>
              <w:t xml:space="preserve"> </w:t>
            </w:r>
            <w:r>
              <w:rPr>
                <w:b/>
                <w:sz w:val="20"/>
              </w:rPr>
              <w:t>disabilities</w:t>
            </w:r>
          </w:p>
        </w:tc>
        <w:tc>
          <w:tcPr>
            <w:tcW w:w="566" w:type="dxa"/>
            <w:tcBorders>
              <w:top w:val="single" w:sz="4" w:space="0" w:color="000000"/>
              <w:left w:val="single" w:sz="4" w:space="0" w:color="000000"/>
              <w:bottom w:val="single" w:sz="4" w:space="0" w:color="000000"/>
              <w:right w:val="nil"/>
            </w:tcBorders>
          </w:tcPr>
          <w:p w:rsidR="005B1E95" w:rsidRDefault="00526895">
            <w:pPr>
              <w:pStyle w:val="TableParagraph"/>
              <w:spacing w:before="29"/>
              <w:ind w:left="117"/>
              <w:jc w:val="left"/>
              <w:rPr>
                <w:sz w:val="20"/>
              </w:rPr>
            </w:pPr>
            <w:r>
              <w:rPr>
                <w:sz w:val="20"/>
              </w:rPr>
              <w:t>77.1</w:t>
            </w:r>
          </w:p>
        </w:tc>
      </w:tr>
      <w:tr w:rsidR="005B1E95">
        <w:trPr>
          <w:trHeight w:val="289"/>
        </w:trPr>
        <w:tc>
          <w:tcPr>
            <w:tcW w:w="3146" w:type="dxa"/>
            <w:tcBorders>
              <w:top w:val="single" w:sz="4" w:space="0" w:color="000000"/>
              <w:left w:val="nil"/>
              <w:right w:val="single" w:sz="4" w:space="0" w:color="000000"/>
            </w:tcBorders>
          </w:tcPr>
          <w:p w:rsidR="005B1E95" w:rsidRDefault="00526895">
            <w:pPr>
              <w:pStyle w:val="TableParagraph"/>
              <w:spacing w:before="10"/>
              <w:ind w:left="136"/>
              <w:jc w:val="left"/>
              <w:rPr>
                <w:b/>
                <w:sz w:val="20"/>
              </w:rPr>
            </w:pPr>
            <w:r>
              <w:rPr>
                <w:b/>
                <w:sz w:val="20"/>
              </w:rPr>
              <w:t>Persons</w:t>
            </w:r>
            <w:r>
              <w:rPr>
                <w:b/>
                <w:spacing w:val="-3"/>
                <w:sz w:val="20"/>
              </w:rPr>
              <w:t xml:space="preserve"> </w:t>
            </w:r>
            <w:r>
              <w:rPr>
                <w:b/>
                <w:sz w:val="20"/>
              </w:rPr>
              <w:t>with</w:t>
            </w:r>
            <w:r>
              <w:rPr>
                <w:b/>
                <w:spacing w:val="-3"/>
                <w:sz w:val="20"/>
              </w:rPr>
              <w:t xml:space="preserve"> </w:t>
            </w:r>
            <w:r>
              <w:rPr>
                <w:b/>
                <w:sz w:val="20"/>
              </w:rPr>
              <w:t>severe</w:t>
            </w:r>
            <w:r>
              <w:rPr>
                <w:b/>
                <w:spacing w:val="-2"/>
                <w:sz w:val="20"/>
              </w:rPr>
              <w:t xml:space="preserve"> </w:t>
            </w:r>
            <w:r>
              <w:rPr>
                <w:b/>
                <w:sz w:val="20"/>
              </w:rPr>
              <w:t>disabilities</w:t>
            </w:r>
          </w:p>
        </w:tc>
        <w:tc>
          <w:tcPr>
            <w:tcW w:w="566" w:type="dxa"/>
            <w:tcBorders>
              <w:top w:val="single" w:sz="4" w:space="0" w:color="000000"/>
              <w:left w:val="single" w:sz="4" w:space="0" w:color="000000"/>
              <w:right w:val="nil"/>
            </w:tcBorders>
          </w:tcPr>
          <w:p w:rsidR="005B1E95" w:rsidRDefault="00526895">
            <w:pPr>
              <w:pStyle w:val="TableParagraph"/>
              <w:spacing w:before="29"/>
              <w:ind w:left="117"/>
              <w:jc w:val="left"/>
              <w:rPr>
                <w:sz w:val="20"/>
              </w:rPr>
            </w:pPr>
            <w:r>
              <w:rPr>
                <w:sz w:val="20"/>
              </w:rPr>
              <w:t>67.9</w:t>
            </w:r>
          </w:p>
        </w:tc>
      </w:tr>
    </w:tbl>
    <w:p w:rsidR="005B1E95" w:rsidRDefault="00526895">
      <w:pPr>
        <w:spacing w:before="115" w:line="259" w:lineRule="auto"/>
        <w:ind w:left="140" w:right="29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2"/>
          <w:sz w:val="18"/>
        </w:rPr>
        <w:t xml:space="preserve"> </w:t>
      </w:r>
      <w:r>
        <w:rPr>
          <w:sz w:val="18"/>
        </w:rPr>
        <w:t>Data</w:t>
      </w:r>
      <w:r>
        <w:rPr>
          <w:spacing w:val="-1"/>
          <w:sz w:val="18"/>
        </w:rPr>
        <w:t xml:space="preserve"> </w:t>
      </w:r>
      <w:r>
        <w:rPr>
          <w:sz w:val="18"/>
        </w:rPr>
        <w:t>source: EU-SILC 2016</w:t>
      </w:r>
      <w:r>
        <w:rPr>
          <w:spacing w:val="-1"/>
          <w:sz w:val="18"/>
        </w:rPr>
        <w:t xml:space="preserve"> </w:t>
      </w:r>
      <w:r>
        <w:rPr>
          <w:sz w:val="18"/>
        </w:rPr>
        <w:t>and</w:t>
      </w:r>
      <w:r>
        <w:rPr>
          <w:spacing w:val="-1"/>
          <w:sz w:val="18"/>
        </w:rPr>
        <w:t xml:space="preserve"> </w:t>
      </w:r>
      <w:r>
        <w:rPr>
          <w:sz w:val="18"/>
        </w:rPr>
        <w:t>own calculations.</w:t>
      </w:r>
    </w:p>
    <w:p w:rsidR="005B1E95" w:rsidRDefault="00526895">
      <w:pPr>
        <w:spacing w:before="119"/>
        <w:ind w:left="140"/>
        <w:rPr>
          <w:sz w:val="18"/>
        </w:rPr>
      </w:pPr>
      <w:r>
        <w:rPr>
          <w:sz w:val="18"/>
        </w:rPr>
        <w:t>Note:</w:t>
      </w:r>
      <w:r>
        <w:rPr>
          <w:spacing w:val="-2"/>
          <w:sz w:val="18"/>
        </w:rPr>
        <w:t xml:space="preserve"> </w:t>
      </w:r>
      <w:r>
        <w:rPr>
          <w:sz w:val="18"/>
        </w:rPr>
        <w:t>The</w:t>
      </w:r>
      <w:r>
        <w:rPr>
          <w:spacing w:val="-2"/>
          <w:sz w:val="18"/>
        </w:rPr>
        <w:t xml:space="preserve"> </w:t>
      </w:r>
      <w:r>
        <w:rPr>
          <w:sz w:val="18"/>
        </w:rPr>
        <w:t>data</w:t>
      </w:r>
      <w:r>
        <w:rPr>
          <w:spacing w:val="-2"/>
          <w:sz w:val="18"/>
        </w:rPr>
        <w:t xml:space="preserve"> </w:t>
      </w:r>
      <w:r>
        <w:rPr>
          <w:sz w:val="18"/>
        </w:rPr>
        <w:t>cover</w:t>
      </w:r>
      <w:r>
        <w:rPr>
          <w:spacing w:val="-2"/>
          <w:sz w:val="18"/>
        </w:rPr>
        <w:t xml:space="preserve"> </w:t>
      </w:r>
      <w:r>
        <w:rPr>
          <w:sz w:val="18"/>
        </w:rPr>
        <w:t>persons</w:t>
      </w:r>
      <w:r>
        <w:rPr>
          <w:spacing w:val="-2"/>
          <w:sz w:val="18"/>
        </w:rPr>
        <w:t xml:space="preserve"> </w:t>
      </w:r>
      <w:r>
        <w:rPr>
          <w:sz w:val="18"/>
        </w:rPr>
        <w:t>aged 16+.</w:t>
      </w:r>
    </w:p>
    <w:p w:rsidR="005B1E95" w:rsidRDefault="005B1E95">
      <w:pPr>
        <w:pStyle w:val="BodyText"/>
        <w:ind w:left="0"/>
      </w:pPr>
    </w:p>
    <w:p w:rsidR="005B1E95" w:rsidRDefault="005B1E95">
      <w:pPr>
        <w:pStyle w:val="BodyText"/>
        <w:spacing w:before="1"/>
        <w:ind w:left="0"/>
        <w:rPr>
          <w:sz w:val="27"/>
        </w:rPr>
      </w:pPr>
    </w:p>
    <w:p w:rsidR="005B1E95" w:rsidRDefault="00526895">
      <w:pPr>
        <w:pStyle w:val="Heading3"/>
        <w:ind w:right="248"/>
      </w:pPr>
      <w:r>
        <w:t>Table</w:t>
      </w:r>
      <w:r>
        <w:rPr>
          <w:spacing w:val="-4"/>
        </w:rPr>
        <w:t xml:space="preserve"> </w:t>
      </w:r>
      <w:r>
        <w:t>D.7:</w:t>
      </w:r>
      <w:r>
        <w:rPr>
          <w:spacing w:val="-4"/>
        </w:rPr>
        <w:t xml:space="preserve"> </w:t>
      </w:r>
      <w:r>
        <w:t>Population</w:t>
      </w:r>
      <w:r>
        <w:rPr>
          <w:spacing w:val="-2"/>
        </w:rPr>
        <w:t xml:space="preserve"> </w:t>
      </w:r>
      <w:r>
        <w:t>aged</w:t>
      </w:r>
      <w:r>
        <w:rPr>
          <w:spacing w:val="2"/>
        </w:rPr>
        <w:t xml:space="preserve"> </w:t>
      </w:r>
      <w:r>
        <w:t>16</w:t>
      </w:r>
      <w:r>
        <w:rPr>
          <w:spacing w:val="-2"/>
        </w:rPr>
        <w:t xml:space="preserve"> </w:t>
      </w:r>
      <w:r>
        <w:t>and</w:t>
      </w:r>
      <w:r>
        <w:rPr>
          <w:spacing w:val="-2"/>
        </w:rPr>
        <w:t xml:space="preserve"> </w:t>
      </w:r>
      <w:r>
        <w:t>over</w:t>
      </w:r>
      <w:r>
        <w:rPr>
          <w:spacing w:val="-4"/>
        </w:rPr>
        <w:t xml:space="preserve"> </w:t>
      </w:r>
      <w:r>
        <w:t>who</w:t>
      </w:r>
      <w:r>
        <w:rPr>
          <w:spacing w:val="-2"/>
        </w:rPr>
        <w:t xml:space="preserve"> </w:t>
      </w:r>
      <w:r>
        <w:t>declare</w:t>
      </w:r>
      <w:r>
        <w:rPr>
          <w:spacing w:val="-5"/>
        </w:rPr>
        <w:t xml:space="preserve"> </w:t>
      </w:r>
      <w:r>
        <w:t>unable</w:t>
      </w:r>
      <w:r>
        <w:rPr>
          <w:spacing w:val="-2"/>
        </w:rPr>
        <w:t xml:space="preserve"> </w:t>
      </w:r>
      <w:r>
        <w:t>to</w:t>
      </w:r>
      <w:r>
        <w:rPr>
          <w:spacing w:val="-2"/>
        </w:rPr>
        <w:t xml:space="preserve"> </w:t>
      </w:r>
      <w:r>
        <w:t>keep</w:t>
      </w:r>
      <w:r>
        <w:rPr>
          <w:spacing w:val="-2"/>
        </w:rPr>
        <w:t xml:space="preserve"> </w:t>
      </w:r>
      <w:r>
        <w:t>home</w:t>
      </w:r>
      <w:r>
        <w:rPr>
          <w:spacing w:val="-4"/>
        </w:rPr>
        <w:t xml:space="preserve"> </w:t>
      </w:r>
      <w:r>
        <w:t>adequately</w:t>
      </w:r>
      <w:r>
        <w:rPr>
          <w:spacing w:val="-2"/>
        </w:rPr>
        <w:t xml:space="preserve"> </w:t>
      </w:r>
      <w:r>
        <w:t>warm</w:t>
      </w:r>
      <w:r>
        <w:rPr>
          <w:spacing w:val="-57"/>
        </w:rPr>
        <w:t xml:space="preserve"> </w:t>
      </w:r>
      <w:r>
        <w:t>by,</w:t>
      </w:r>
      <w:r>
        <w:rPr>
          <w:spacing w:val="-2"/>
        </w:rPr>
        <w:t xml:space="preserve"> </w:t>
      </w:r>
      <w:r>
        <w:t>2020,</w:t>
      </w:r>
      <w:r>
        <w:rPr>
          <w:spacing w:val="-1"/>
        </w:rPr>
        <w:t xml:space="preserve"> </w:t>
      </w:r>
      <w:r>
        <w:t>EU-level</w:t>
      </w:r>
    </w:p>
    <w:p w:rsidR="005B1E95" w:rsidRDefault="005B1E95">
      <w:pPr>
        <w:pStyle w:val="BodyText"/>
        <w:spacing w:before="5" w:after="1"/>
        <w:ind w:left="0"/>
        <w:rPr>
          <w:b/>
          <w:sz w:val="10"/>
        </w:r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4"/>
        </w:trPr>
        <w:tc>
          <w:tcPr>
            <w:tcW w:w="3427" w:type="dxa"/>
            <w:tcBorders>
              <w:left w:val="nil"/>
              <w:right w:val="single" w:sz="4" w:space="0" w:color="000000"/>
            </w:tcBorders>
          </w:tcPr>
          <w:p w:rsidR="005B1E95" w:rsidRDefault="00526895">
            <w:pPr>
              <w:pStyle w:val="TableParagraph"/>
              <w:spacing w:before="102"/>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8"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2"/>
              <w:ind w:left="609" w:right="592"/>
              <w:rPr>
                <w:b/>
                <w:sz w:val="18"/>
              </w:rPr>
            </w:pPr>
            <w:r>
              <w:rPr>
                <w:b/>
                <w:sz w:val="18"/>
              </w:rPr>
              <w:t>Total</w:t>
            </w:r>
          </w:p>
        </w:tc>
      </w:tr>
      <w:tr w:rsidR="005B1E95">
        <w:trPr>
          <w:trHeight w:val="268"/>
        </w:trPr>
        <w:tc>
          <w:tcPr>
            <w:tcW w:w="3427" w:type="dxa"/>
            <w:tcBorders>
              <w:left w:val="nil"/>
              <w:right w:val="single" w:sz="4" w:space="0" w:color="000000"/>
            </w:tcBorders>
          </w:tcPr>
          <w:p w:rsidR="005B1E95" w:rsidRDefault="00526895">
            <w:pPr>
              <w:pStyle w:val="TableParagraph"/>
              <w:spacing w:before="23"/>
              <w:ind w:left="789" w:right="742"/>
              <w:rPr>
                <w:sz w:val="18"/>
              </w:rPr>
            </w:pPr>
            <w:r>
              <w:rPr>
                <w:sz w:val="18"/>
              </w:rPr>
              <w:t>10.6</w:t>
            </w:r>
          </w:p>
        </w:tc>
        <w:tc>
          <w:tcPr>
            <w:tcW w:w="3521" w:type="dxa"/>
            <w:tcBorders>
              <w:left w:val="single" w:sz="4" w:space="0" w:color="000000"/>
              <w:right w:val="single" w:sz="4" w:space="0" w:color="000000"/>
            </w:tcBorders>
          </w:tcPr>
          <w:p w:rsidR="005B1E95" w:rsidRDefault="00526895">
            <w:pPr>
              <w:pStyle w:val="TableParagraph"/>
              <w:spacing w:before="23"/>
              <w:ind w:left="1590" w:right="1563"/>
              <w:rPr>
                <w:sz w:val="18"/>
              </w:rPr>
            </w:pPr>
            <w:r>
              <w:rPr>
                <w:sz w:val="18"/>
              </w:rPr>
              <w:t>6.5</w:t>
            </w:r>
          </w:p>
        </w:tc>
        <w:tc>
          <w:tcPr>
            <w:tcW w:w="2218" w:type="dxa"/>
            <w:tcBorders>
              <w:left w:val="single" w:sz="4" w:space="0" w:color="000000"/>
              <w:right w:val="nil"/>
            </w:tcBorders>
          </w:tcPr>
          <w:p w:rsidR="005B1E95" w:rsidRDefault="00526895">
            <w:pPr>
              <w:pStyle w:val="TableParagraph"/>
              <w:spacing w:before="28"/>
              <w:ind w:left="611" w:right="592"/>
              <w:rPr>
                <w:b/>
                <w:sz w:val="18"/>
              </w:rPr>
            </w:pPr>
            <w:r>
              <w:rPr>
                <w:b/>
                <w:sz w:val="18"/>
              </w:rPr>
              <w:t>7.5</w:t>
            </w:r>
          </w:p>
        </w:tc>
      </w:tr>
    </w:tbl>
    <w:p w:rsidR="005B1E95" w:rsidRDefault="00526895">
      <w:pPr>
        <w:spacing w:before="115" w:line="259" w:lineRule="auto"/>
        <w:ind w:left="140" w:right="29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2"/>
          <w:sz w:val="18"/>
        </w:rPr>
        <w:t xml:space="preserve"> </w:t>
      </w:r>
      <w:r>
        <w:rPr>
          <w:sz w:val="18"/>
        </w:rPr>
        <w:t>Data</w:t>
      </w:r>
      <w:r>
        <w:rPr>
          <w:spacing w:val="-2"/>
          <w:sz w:val="18"/>
        </w:rPr>
        <w:t xml:space="preserve"> </w:t>
      </w:r>
      <w:r>
        <w:rPr>
          <w:sz w:val="18"/>
        </w:rPr>
        <w:t>source:</w:t>
      </w:r>
      <w:r>
        <w:rPr>
          <w:spacing w:val="-1"/>
          <w:sz w:val="18"/>
        </w:rPr>
        <w:t xml:space="preserve"> </w:t>
      </w:r>
      <w:r>
        <w:rPr>
          <w:sz w:val="18"/>
        </w:rPr>
        <w:t>Eurostat</w:t>
      </w:r>
      <w:r>
        <w:rPr>
          <w:spacing w:val="-1"/>
          <w:sz w:val="18"/>
        </w:rPr>
        <w:t xml:space="preserve"> </w:t>
      </w:r>
      <w:r>
        <w:rPr>
          <w:sz w:val="18"/>
        </w:rPr>
        <w:t>database,</w:t>
      </w:r>
      <w:r>
        <w:rPr>
          <w:spacing w:val="-2"/>
          <w:sz w:val="18"/>
        </w:rPr>
        <w:t xml:space="preserve"> </w:t>
      </w:r>
      <w:r>
        <w:rPr>
          <w:sz w:val="18"/>
        </w:rPr>
        <w:t>EU-SILC</w:t>
      </w:r>
      <w:r>
        <w:rPr>
          <w:spacing w:val="-2"/>
          <w:sz w:val="18"/>
        </w:rPr>
        <w:t xml:space="preserve"> </w:t>
      </w:r>
      <w:r>
        <w:rPr>
          <w:sz w:val="18"/>
        </w:rPr>
        <w:t>dataset</w:t>
      </w:r>
      <w:r>
        <w:rPr>
          <w:spacing w:val="5"/>
          <w:sz w:val="18"/>
        </w:rPr>
        <w:t xml:space="preserve"> </w:t>
      </w:r>
      <w:r>
        <w:rPr>
          <w:color w:val="0562C1"/>
          <w:sz w:val="18"/>
          <w:u w:val="single" w:color="0562C1"/>
        </w:rPr>
        <w:t>hlth_dhc140</w:t>
      </w:r>
      <w:r>
        <w:rPr>
          <w:color w:val="0562C1"/>
          <w:sz w:val="18"/>
        </w:rPr>
        <w:t xml:space="preserve"> </w:t>
      </w:r>
      <w:r>
        <w:rPr>
          <w:sz w:val="18"/>
        </w:rPr>
        <w:t>(data</w:t>
      </w:r>
      <w:r>
        <w:rPr>
          <w:spacing w:val="-1"/>
          <w:sz w:val="18"/>
        </w:rPr>
        <w:t xml:space="preserve"> </w:t>
      </w:r>
      <w:r>
        <w:rPr>
          <w:sz w:val="18"/>
        </w:rPr>
        <w:t>extracted on 31/05/2022)</w:t>
      </w:r>
    </w:p>
    <w:p w:rsidR="005B1E95" w:rsidRDefault="005B1E95">
      <w:pPr>
        <w:pStyle w:val="BodyText"/>
        <w:ind w:left="0"/>
      </w:pPr>
    </w:p>
    <w:p w:rsidR="005B1E95" w:rsidRDefault="005B1E95">
      <w:pPr>
        <w:pStyle w:val="BodyText"/>
        <w:spacing w:before="10"/>
        <w:ind w:left="0"/>
        <w:rPr>
          <w:sz w:val="22"/>
        </w:rPr>
      </w:pPr>
    </w:p>
    <w:p w:rsidR="005B1E95" w:rsidRDefault="00526895">
      <w:pPr>
        <w:pStyle w:val="Heading3"/>
        <w:ind w:right="248"/>
      </w:pPr>
      <w:r>
        <w:t>Table</w:t>
      </w:r>
      <w:r>
        <w:rPr>
          <w:spacing w:val="32"/>
        </w:rPr>
        <w:t xml:space="preserve"> </w:t>
      </w:r>
      <w:r>
        <w:t>D.8:</w:t>
      </w:r>
      <w:r>
        <w:rPr>
          <w:spacing w:val="32"/>
        </w:rPr>
        <w:t xml:space="preserve"> </w:t>
      </w:r>
      <w:r>
        <w:t>Population</w:t>
      </w:r>
      <w:r>
        <w:rPr>
          <w:spacing w:val="37"/>
        </w:rPr>
        <w:t xml:space="preserve"> </w:t>
      </w:r>
      <w:r>
        <w:t>aged</w:t>
      </w:r>
      <w:r>
        <w:rPr>
          <w:spacing w:val="34"/>
        </w:rPr>
        <w:t xml:space="preserve"> </w:t>
      </w:r>
      <w:r>
        <w:t>16</w:t>
      </w:r>
      <w:r>
        <w:rPr>
          <w:spacing w:val="34"/>
        </w:rPr>
        <w:t xml:space="preserve"> </w:t>
      </w:r>
      <w:r>
        <w:t>and</w:t>
      </w:r>
      <w:r>
        <w:rPr>
          <w:spacing w:val="37"/>
        </w:rPr>
        <w:t xml:space="preserve"> </w:t>
      </w:r>
      <w:r>
        <w:t>over</w:t>
      </w:r>
      <w:r>
        <w:rPr>
          <w:spacing w:val="32"/>
        </w:rPr>
        <w:t xml:space="preserve"> </w:t>
      </w:r>
      <w:r>
        <w:t>reporting</w:t>
      </w:r>
      <w:r>
        <w:rPr>
          <w:spacing w:val="34"/>
        </w:rPr>
        <w:t xml:space="preserve"> </w:t>
      </w:r>
      <w:r>
        <w:t>unmet</w:t>
      </w:r>
      <w:r>
        <w:rPr>
          <w:spacing w:val="34"/>
        </w:rPr>
        <w:t xml:space="preserve"> </w:t>
      </w:r>
      <w:r>
        <w:t>needs</w:t>
      </w:r>
      <w:r>
        <w:rPr>
          <w:spacing w:val="34"/>
        </w:rPr>
        <w:t xml:space="preserve"> </w:t>
      </w:r>
      <w:r>
        <w:t>for</w:t>
      </w:r>
      <w:r>
        <w:rPr>
          <w:spacing w:val="34"/>
        </w:rPr>
        <w:t xml:space="preserve"> </w:t>
      </w:r>
      <w:r>
        <w:t>medical</w:t>
      </w:r>
      <w:r>
        <w:rPr>
          <w:spacing w:val="34"/>
        </w:rPr>
        <w:t xml:space="preserve"> </w:t>
      </w:r>
      <w:r>
        <w:t>care</w:t>
      </w:r>
      <w:r>
        <w:rPr>
          <w:spacing w:val="31"/>
        </w:rPr>
        <w:t xml:space="preserve"> </w:t>
      </w:r>
      <w:r>
        <w:t>due</w:t>
      </w:r>
      <w:r>
        <w:rPr>
          <w:spacing w:val="33"/>
        </w:rPr>
        <w:t xml:space="preserve"> </w:t>
      </w:r>
      <w:r>
        <w:t>to</w:t>
      </w:r>
      <w:r>
        <w:rPr>
          <w:spacing w:val="-57"/>
        </w:rPr>
        <w:t xml:space="preserve"> </w:t>
      </w:r>
      <w:r>
        <w:t>‘financial</w:t>
      </w:r>
      <w:r>
        <w:rPr>
          <w:spacing w:val="-2"/>
        </w:rPr>
        <w:t xml:space="preserve"> </w:t>
      </w:r>
      <w:r>
        <w:t>reasons’,</w:t>
      </w:r>
      <w:r>
        <w:rPr>
          <w:spacing w:val="-1"/>
        </w:rPr>
        <w:t xml:space="preserve"> </w:t>
      </w:r>
      <w:r>
        <w:t>‘waiting</w:t>
      </w:r>
      <w:r>
        <w:rPr>
          <w:spacing w:val="-1"/>
        </w:rPr>
        <w:t xml:space="preserve"> </w:t>
      </w:r>
      <w:r>
        <w:t>list’</w:t>
      </w:r>
      <w:r>
        <w:rPr>
          <w:spacing w:val="-2"/>
        </w:rPr>
        <w:t xml:space="preserve"> </w:t>
      </w:r>
      <w:r>
        <w:t>or</w:t>
      </w:r>
      <w:r>
        <w:rPr>
          <w:spacing w:val="-3"/>
        </w:rPr>
        <w:t xml:space="preserve"> </w:t>
      </w:r>
      <w:r>
        <w:t>‘too</w:t>
      </w:r>
      <w:r>
        <w:rPr>
          <w:spacing w:val="-1"/>
        </w:rPr>
        <w:t xml:space="preserve"> </w:t>
      </w:r>
      <w:r>
        <w:t>far</w:t>
      </w:r>
      <w:r>
        <w:rPr>
          <w:spacing w:val="-4"/>
        </w:rPr>
        <w:t xml:space="preserve"> </w:t>
      </w:r>
      <w:r>
        <w:t>to</w:t>
      </w:r>
      <w:r>
        <w:rPr>
          <w:spacing w:val="-1"/>
        </w:rPr>
        <w:t xml:space="preserve"> </w:t>
      </w:r>
      <w:r>
        <w:t>travel’,</w:t>
      </w:r>
      <w:r>
        <w:rPr>
          <w:spacing w:val="-1"/>
        </w:rPr>
        <w:t xml:space="preserve"> </w:t>
      </w:r>
      <w:r>
        <w:t>2020,</w:t>
      </w:r>
      <w:r>
        <w:rPr>
          <w:spacing w:val="-1"/>
        </w:rPr>
        <w:t xml:space="preserve"> </w:t>
      </w:r>
      <w:r>
        <w:t>EU</w:t>
      </w:r>
      <w:r>
        <w:rPr>
          <w:spacing w:val="-2"/>
        </w:rPr>
        <w:t xml:space="preserve"> </w:t>
      </w:r>
      <w:r>
        <w:t>level,</w:t>
      </w:r>
      <w:r>
        <w:rPr>
          <w:spacing w:val="2"/>
        </w:rPr>
        <w:t xml:space="preserve"> </w:t>
      </w:r>
      <w:r>
        <w:t>%</w:t>
      </w:r>
    </w:p>
    <w:p w:rsidR="005B1E95" w:rsidRDefault="005B1E95">
      <w:pPr>
        <w:sectPr w:rsidR="005B1E95">
          <w:headerReference w:type="default" r:id="rId18"/>
          <w:footerReference w:type="default" r:id="rId19"/>
          <w:pgSz w:w="12240" w:h="15840"/>
          <w:pgMar w:top="1400" w:right="1200" w:bottom="1160" w:left="1300" w:header="0" w:footer="964" w:gutter="0"/>
          <w:cols w:space="720"/>
        </w:sectPr>
      </w:pPr>
    </w:p>
    <w:tbl>
      <w:tblPr>
        <w:tblW w:w="0" w:type="auto"/>
        <w:tblInd w:w="22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5B1E95">
        <w:trPr>
          <w:trHeight w:val="413"/>
        </w:trPr>
        <w:tc>
          <w:tcPr>
            <w:tcW w:w="3427" w:type="dxa"/>
            <w:tcBorders>
              <w:left w:val="nil"/>
              <w:right w:val="single" w:sz="4" w:space="0" w:color="000000"/>
            </w:tcBorders>
          </w:tcPr>
          <w:p w:rsidR="005B1E95" w:rsidRDefault="00526895">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5B1E95" w:rsidRDefault="00526895">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5B1E95" w:rsidRDefault="00526895">
            <w:pPr>
              <w:pStyle w:val="TableParagraph"/>
              <w:spacing w:before="105"/>
              <w:ind w:left="609" w:right="592"/>
              <w:rPr>
                <w:b/>
                <w:sz w:val="18"/>
              </w:rPr>
            </w:pPr>
            <w:r>
              <w:rPr>
                <w:b/>
                <w:sz w:val="18"/>
              </w:rPr>
              <w:t>Total</w:t>
            </w:r>
          </w:p>
        </w:tc>
      </w:tr>
      <w:tr w:rsidR="005B1E95">
        <w:trPr>
          <w:trHeight w:val="270"/>
        </w:trPr>
        <w:tc>
          <w:tcPr>
            <w:tcW w:w="3427" w:type="dxa"/>
            <w:tcBorders>
              <w:left w:val="nil"/>
              <w:right w:val="single" w:sz="4" w:space="0" w:color="000000"/>
            </w:tcBorders>
          </w:tcPr>
          <w:p w:rsidR="005B1E95" w:rsidRDefault="00526895">
            <w:pPr>
              <w:pStyle w:val="TableParagraph"/>
              <w:spacing w:before="28"/>
              <w:ind w:left="789" w:right="740"/>
              <w:rPr>
                <w:sz w:val="18"/>
              </w:rPr>
            </w:pPr>
            <w:r>
              <w:rPr>
                <w:sz w:val="18"/>
              </w:rPr>
              <w:t>4.1</w:t>
            </w:r>
          </w:p>
        </w:tc>
        <w:tc>
          <w:tcPr>
            <w:tcW w:w="3521" w:type="dxa"/>
            <w:tcBorders>
              <w:left w:val="single" w:sz="4" w:space="0" w:color="000000"/>
              <w:right w:val="single" w:sz="4" w:space="0" w:color="000000"/>
            </w:tcBorders>
          </w:tcPr>
          <w:p w:rsidR="005B1E95" w:rsidRDefault="00526895">
            <w:pPr>
              <w:pStyle w:val="TableParagraph"/>
              <w:spacing w:before="28"/>
              <w:ind w:left="1590" w:right="1563"/>
              <w:rPr>
                <w:sz w:val="18"/>
              </w:rPr>
            </w:pPr>
            <w:r>
              <w:rPr>
                <w:sz w:val="18"/>
              </w:rPr>
              <w:t>0.9</w:t>
            </w:r>
          </w:p>
        </w:tc>
        <w:tc>
          <w:tcPr>
            <w:tcW w:w="2218" w:type="dxa"/>
            <w:tcBorders>
              <w:left w:val="single" w:sz="4" w:space="0" w:color="000000"/>
              <w:right w:val="nil"/>
            </w:tcBorders>
          </w:tcPr>
          <w:p w:rsidR="005B1E95" w:rsidRDefault="00526895">
            <w:pPr>
              <w:pStyle w:val="TableParagraph"/>
              <w:spacing w:before="33"/>
              <w:ind w:left="611" w:right="592"/>
              <w:rPr>
                <w:b/>
                <w:sz w:val="18"/>
              </w:rPr>
            </w:pPr>
            <w:r>
              <w:rPr>
                <w:b/>
                <w:sz w:val="18"/>
              </w:rPr>
              <w:t>1.7</w:t>
            </w:r>
          </w:p>
        </w:tc>
      </w:tr>
    </w:tbl>
    <w:p w:rsidR="005B1E95" w:rsidRDefault="00526895">
      <w:pPr>
        <w:spacing w:before="115" w:line="261" w:lineRule="auto"/>
        <w:ind w:left="140" w:right="29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3"/>
          <w:sz w:val="18"/>
        </w:rPr>
        <w:t xml:space="preserve"> </w:t>
      </w:r>
      <w:r>
        <w:rPr>
          <w:sz w:val="18"/>
        </w:rPr>
        <w:t>Data</w:t>
      </w:r>
      <w:r>
        <w:rPr>
          <w:spacing w:val="-2"/>
          <w:sz w:val="18"/>
        </w:rPr>
        <w:t xml:space="preserve"> </w:t>
      </w:r>
      <w:r>
        <w:rPr>
          <w:sz w:val="18"/>
        </w:rPr>
        <w:t>source:</w:t>
      </w:r>
      <w:r>
        <w:rPr>
          <w:spacing w:val="42"/>
          <w:sz w:val="18"/>
        </w:rPr>
        <w:t xml:space="preserve"> </w:t>
      </w:r>
      <w:r>
        <w:rPr>
          <w:sz w:val="18"/>
        </w:rPr>
        <w:t>EU-SILC release</w:t>
      </w:r>
      <w:r>
        <w:rPr>
          <w:spacing w:val="-2"/>
          <w:sz w:val="18"/>
        </w:rPr>
        <w:t xml:space="preserve"> </w:t>
      </w:r>
      <w:r>
        <w:rPr>
          <w:sz w:val="18"/>
        </w:rPr>
        <w:t>1 in</w:t>
      </w:r>
      <w:r>
        <w:rPr>
          <w:spacing w:val="-3"/>
          <w:sz w:val="18"/>
        </w:rPr>
        <w:t xml:space="preserve"> </w:t>
      </w:r>
      <w:r>
        <w:rPr>
          <w:sz w:val="18"/>
        </w:rPr>
        <w:t>2022,</w:t>
      </w:r>
      <w:r>
        <w:rPr>
          <w:spacing w:val="-2"/>
          <w:sz w:val="18"/>
        </w:rPr>
        <w:t xml:space="preserve"> </w:t>
      </w:r>
      <w:r>
        <w:rPr>
          <w:sz w:val="18"/>
        </w:rPr>
        <w:t>v.1, April</w:t>
      </w:r>
      <w:r>
        <w:rPr>
          <w:spacing w:val="-3"/>
          <w:sz w:val="18"/>
        </w:rPr>
        <w:t xml:space="preserve"> </w:t>
      </w:r>
      <w:r>
        <w:rPr>
          <w:sz w:val="18"/>
        </w:rPr>
        <w:t>2022</w:t>
      </w:r>
      <w:r>
        <w:rPr>
          <w:spacing w:val="-3"/>
          <w:sz w:val="18"/>
        </w:rPr>
        <w:t xml:space="preserve"> </w:t>
      </w:r>
      <w:r>
        <w:rPr>
          <w:sz w:val="18"/>
        </w:rPr>
        <w:t>and</w:t>
      </w:r>
      <w:r>
        <w:rPr>
          <w:spacing w:val="-2"/>
          <w:sz w:val="18"/>
        </w:rPr>
        <w:t xml:space="preserve"> </w:t>
      </w:r>
      <w:r>
        <w:rPr>
          <w:sz w:val="18"/>
        </w:rPr>
        <w:t>own calculations</w:t>
      </w:r>
      <w:r>
        <w:rPr>
          <w:spacing w:val="-1"/>
          <w:sz w:val="18"/>
        </w:rPr>
        <w:t xml:space="preserve"> </w:t>
      </w:r>
      <w:r>
        <w:rPr>
          <w:sz w:val="18"/>
        </w:rPr>
        <w:t>for</w:t>
      </w:r>
      <w:r>
        <w:rPr>
          <w:spacing w:val="-3"/>
          <w:sz w:val="18"/>
        </w:rPr>
        <w:t xml:space="preserve"> </w:t>
      </w:r>
      <w:r>
        <w:rPr>
          <w:sz w:val="18"/>
        </w:rPr>
        <w:t>Germany</w:t>
      </w:r>
      <w:r>
        <w:rPr>
          <w:spacing w:val="-3"/>
          <w:sz w:val="18"/>
        </w:rPr>
        <w:t xml:space="preserve"> </w:t>
      </w:r>
      <w:r>
        <w:rPr>
          <w:sz w:val="18"/>
        </w:rPr>
        <w:t>and Italy.</w:t>
      </w:r>
    </w:p>
    <w:p w:rsidR="005B1E95" w:rsidRDefault="005B1E95">
      <w:pPr>
        <w:pStyle w:val="BodyText"/>
        <w:ind w:left="0"/>
      </w:pPr>
    </w:p>
    <w:p w:rsidR="005B1E95" w:rsidRDefault="005B1E95">
      <w:pPr>
        <w:pStyle w:val="BodyText"/>
        <w:ind w:left="0"/>
      </w:pPr>
    </w:p>
    <w:p w:rsidR="005B1E95" w:rsidRDefault="005B1E95">
      <w:pPr>
        <w:pStyle w:val="BodyText"/>
        <w:ind w:left="0"/>
      </w:pPr>
    </w:p>
    <w:p w:rsidR="005B1E95" w:rsidRDefault="005B1E95">
      <w:pPr>
        <w:pStyle w:val="BodyText"/>
        <w:ind w:left="0"/>
      </w:pPr>
    </w:p>
    <w:p w:rsidR="00526895" w:rsidRDefault="00526895">
      <w:pPr>
        <w:rPr>
          <w:b/>
          <w:bCs/>
          <w:sz w:val="32"/>
          <w:szCs w:val="32"/>
        </w:rPr>
      </w:pPr>
      <w:r>
        <w:br w:type="page"/>
      </w:r>
    </w:p>
    <w:p w:rsidR="00526895" w:rsidRDefault="00526895" w:rsidP="00526895">
      <w:pPr>
        <w:pStyle w:val="Heading1"/>
      </w:pPr>
      <w:r>
        <w:t>GLOSSARY</w:t>
      </w:r>
    </w:p>
    <w:p w:rsidR="00526895" w:rsidRDefault="00526895" w:rsidP="00526895">
      <w:pPr>
        <w:tabs>
          <w:tab w:val="left" w:pos="3020"/>
        </w:tabs>
        <w:spacing w:before="270"/>
        <w:ind w:left="140"/>
        <w:rPr>
          <w:sz w:val="24"/>
        </w:rPr>
      </w:pPr>
      <w:r>
        <w:rPr>
          <w:sz w:val="24"/>
        </w:rPr>
        <w:t>AHI</w:t>
      </w:r>
      <w:r>
        <w:rPr>
          <w:sz w:val="24"/>
        </w:rPr>
        <w:tab/>
        <w:t>Affordable</w:t>
      </w:r>
      <w:r>
        <w:rPr>
          <w:spacing w:val="-5"/>
          <w:sz w:val="24"/>
        </w:rPr>
        <w:t xml:space="preserve"> </w:t>
      </w:r>
      <w:r>
        <w:rPr>
          <w:sz w:val="24"/>
        </w:rPr>
        <w:t>Housing</w:t>
      </w:r>
      <w:r>
        <w:rPr>
          <w:spacing w:val="-3"/>
          <w:sz w:val="24"/>
        </w:rPr>
        <w:t xml:space="preserve"> </w:t>
      </w:r>
      <w:r>
        <w:rPr>
          <w:sz w:val="24"/>
        </w:rPr>
        <w:t>Initiative</w:t>
      </w:r>
    </w:p>
    <w:p w:rsidR="00526895" w:rsidRDefault="00526895" w:rsidP="00526895">
      <w:pPr>
        <w:tabs>
          <w:tab w:val="left" w:pos="3019"/>
        </w:tabs>
        <w:ind w:left="140"/>
        <w:rPr>
          <w:sz w:val="24"/>
        </w:rPr>
      </w:pPr>
      <w:r>
        <w:rPr>
          <w:sz w:val="24"/>
        </w:rPr>
        <w:t>AI</w:t>
      </w:r>
      <w:r>
        <w:rPr>
          <w:sz w:val="24"/>
        </w:rPr>
        <w:tab/>
        <w:t>Artificial</w:t>
      </w:r>
      <w:r>
        <w:rPr>
          <w:spacing w:val="-3"/>
          <w:sz w:val="24"/>
        </w:rPr>
        <w:t xml:space="preserve"> </w:t>
      </w:r>
      <w:r>
        <w:rPr>
          <w:sz w:val="24"/>
        </w:rPr>
        <w:t>Intelligence</w:t>
      </w:r>
    </w:p>
    <w:p w:rsidR="00526895" w:rsidRDefault="00526895" w:rsidP="00526895">
      <w:pPr>
        <w:tabs>
          <w:tab w:val="left" w:pos="3019"/>
        </w:tabs>
        <w:ind w:left="140"/>
        <w:rPr>
          <w:sz w:val="24"/>
        </w:rPr>
      </w:pPr>
      <w:r>
        <w:rPr>
          <w:sz w:val="24"/>
        </w:rPr>
        <w:t>AMIF</w:t>
      </w:r>
      <w:r>
        <w:rPr>
          <w:sz w:val="24"/>
        </w:rPr>
        <w:tab/>
        <w:t>Asylum,</w:t>
      </w:r>
      <w:r>
        <w:rPr>
          <w:spacing w:val="-5"/>
          <w:sz w:val="24"/>
        </w:rPr>
        <w:t xml:space="preserve"> </w:t>
      </w:r>
      <w:r>
        <w:rPr>
          <w:sz w:val="24"/>
        </w:rPr>
        <w:t>Migration</w:t>
      </w:r>
      <w:r>
        <w:rPr>
          <w:spacing w:val="-4"/>
          <w:sz w:val="24"/>
        </w:rPr>
        <w:t xml:space="preserve"> </w:t>
      </w:r>
      <w:r>
        <w:rPr>
          <w:sz w:val="24"/>
        </w:rPr>
        <w:t>and Integration</w:t>
      </w:r>
      <w:r>
        <w:rPr>
          <w:spacing w:val="-5"/>
          <w:sz w:val="24"/>
        </w:rPr>
        <w:t xml:space="preserve"> </w:t>
      </w:r>
      <w:r>
        <w:rPr>
          <w:sz w:val="24"/>
        </w:rPr>
        <w:t>Fund</w:t>
      </w:r>
    </w:p>
    <w:p w:rsidR="00526895" w:rsidRDefault="00526895" w:rsidP="00526895">
      <w:pPr>
        <w:tabs>
          <w:tab w:val="left" w:pos="3018"/>
        </w:tabs>
        <w:ind w:left="140"/>
        <w:rPr>
          <w:sz w:val="24"/>
        </w:rPr>
      </w:pPr>
      <w:r>
        <w:rPr>
          <w:sz w:val="24"/>
        </w:rPr>
        <w:t>ASDEC</w:t>
      </w:r>
      <w:r>
        <w:rPr>
          <w:sz w:val="24"/>
        </w:rPr>
        <w:tab/>
        <w:t>Association</w:t>
      </w:r>
      <w:r>
        <w:rPr>
          <w:spacing w:val="-2"/>
          <w:sz w:val="24"/>
        </w:rPr>
        <w:t xml:space="preserve"> </w:t>
      </w:r>
      <w:r>
        <w:rPr>
          <w:sz w:val="24"/>
        </w:rPr>
        <w:t>of</w:t>
      </w:r>
      <w:r>
        <w:rPr>
          <w:spacing w:val="-4"/>
          <w:sz w:val="24"/>
        </w:rPr>
        <w:t xml:space="preserve"> </w:t>
      </w:r>
      <w:r>
        <w:rPr>
          <w:sz w:val="24"/>
        </w:rPr>
        <w:t>Staff</w:t>
      </w:r>
      <w:r>
        <w:rPr>
          <w:spacing w:val="-2"/>
          <w:sz w:val="24"/>
        </w:rPr>
        <w:t xml:space="preserve"> </w:t>
      </w:r>
      <w:r>
        <w:rPr>
          <w:sz w:val="24"/>
        </w:rPr>
        <w:t>with</w:t>
      </w:r>
      <w:r>
        <w:rPr>
          <w:spacing w:val="1"/>
          <w:sz w:val="24"/>
        </w:rPr>
        <w:t xml:space="preserve"> </w:t>
      </w:r>
      <w:r>
        <w:rPr>
          <w:sz w:val="24"/>
        </w:rPr>
        <w:t>a</w:t>
      </w:r>
      <w:r>
        <w:rPr>
          <w:spacing w:val="-2"/>
          <w:sz w:val="24"/>
        </w:rPr>
        <w:t xml:space="preserve"> </w:t>
      </w:r>
      <w:r>
        <w:rPr>
          <w:sz w:val="24"/>
        </w:rPr>
        <w:t>Disability</w:t>
      </w:r>
      <w:r>
        <w:rPr>
          <w:spacing w:val="-4"/>
          <w:sz w:val="24"/>
        </w:rPr>
        <w:t xml:space="preserve"> </w:t>
      </w:r>
      <w:r>
        <w:rPr>
          <w:sz w:val="24"/>
        </w:rPr>
        <w:t>in</w:t>
      </w:r>
      <w:r>
        <w:rPr>
          <w:spacing w:val="-2"/>
          <w:sz w:val="24"/>
        </w:rPr>
        <w:t xml:space="preserve"> </w:t>
      </w:r>
      <w:r>
        <w:rPr>
          <w:sz w:val="24"/>
        </w:rPr>
        <w:t>the</w:t>
      </w:r>
      <w:r>
        <w:rPr>
          <w:spacing w:val="-2"/>
          <w:sz w:val="24"/>
        </w:rPr>
        <w:t xml:space="preserve"> </w:t>
      </w:r>
      <w:r>
        <w:rPr>
          <w:sz w:val="24"/>
        </w:rPr>
        <w:t>European</w:t>
      </w:r>
      <w:r>
        <w:rPr>
          <w:spacing w:val="-2"/>
          <w:sz w:val="24"/>
        </w:rPr>
        <w:t xml:space="preserve"> </w:t>
      </w:r>
      <w:r>
        <w:rPr>
          <w:sz w:val="24"/>
        </w:rPr>
        <w:t>Commission</w:t>
      </w:r>
    </w:p>
    <w:p w:rsidR="00526895" w:rsidRDefault="00526895" w:rsidP="00526895">
      <w:pPr>
        <w:tabs>
          <w:tab w:val="left" w:pos="3017"/>
        </w:tabs>
        <w:ind w:left="140"/>
        <w:rPr>
          <w:sz w:val="24"/>
        </w:rPr>
      </w:pPr>
      <w:r>
        <w:rPr>
          <w:sz w:val="24"/>
        </w:rPr>
        <w:t>AVMSD</w:t>
      </w:r>
      <w:r>
        <w:rPr>
          <w:sz w:val="24"/>
        </w:rPr>
        <w:tab/>
        <w:t>Audiovisual</w:t>
      </w:r>
      <w:r>
        <w:rPr>
          <w:spacing w:val="-3"/>
          <w:sz w:val="24"/>
        </w:rPr>
        <w:t xml:space="preserve"> </w:t>
      </w:r>
      <w:r>
        <w:rPr>
          <w:sz w:val="24"/>
        </w:rPr>
        <w:t>Media</w:t>
      </w:r>
      <w:r>
        <w:rPr>
          <w:spacing w:val="-4"/>
          <w:sz w:val="24"/>
        </w:rPr>
        <w:t xml:space="preserve"> </w:t>
      </w:r>
      <w:r>
        <w:rPr>
          <w:sz w:val="24"/>
        </w:rPr>
        <w:t>Services</w:t>
      </w:r>
      <w:r>
        <w:rPr>
          <w:spacing w:val="-4"/>
          <w:sz w:val="24"/>
        </w:rPr>
        <w:t xml:space="preserve"> </w:t>
      </w:r>
      <w:r>
        <w:rPr>
          <w:sz w:val="24"/>
        </w:rPr>
        <w:t>Directive</w:t>
      </w:r>
    </w:p>
    <w:p w:rsidR="00526895" w:rsidRDefault="00526895" w:rsidP="00526895">
      <w:pPr>
        <w:tabs>
          <w:tab w:val="left" w:pos="3019"/>
        </w:tabs>
        <w:ind w:left="3019" w:right="290" w:hanging="2880"/>
        <w:rPr>
          <w:sz w:val="24"/>
        </w:rPr>
      </w:pPr>
      <w:r>
        <w:rPr>
          <w:sz w:val="24"/>
        </w:rPr>
        <w:t>BMVI</w:t>
      </w:r>
      <w:r>
        <w:rPr>
          <w:sz w:val="24"/>
        </w:rPr>
        <w:tab/>
        <w:t>Instrument</w:t>
      </w:r>
      <w:r>
        <w:rPr>
          <w:spacing w:val="-4"/>
          <w:sz w:val="24"/>
        </w:rPr>
        <w:t xml:space="preserve"> </w:t>
      </w:r>
      <w:r>
        <w:rPr>
          <w:sz w:val="24"/>
        </w:rPr>
        <w:t>for Financial Support</w:t>
      </w:r>
      <w:r>
        <w:rPr>
          <w:spacing w:val="-3"/>
          <w:sz w:val="24"/>
        </w:rPr>
        <w:t xml:space="preserve"> </w:t>
      </w:r>
      <w:r>
        <w:rPr>
          <w:sz w:val="24"/>
        </w:rPr>
        <w:t>for</w:t>
      </w:r>
      <w:r>
        <w:rPr>
          <w:spacing w:val="-4"/>
          <w:sz w:val="24"/>
        </w:rPr>
        <w:t xml:space="preserve"> </w:t>
      </w:r>
      <w:r>
        <w:rPr>
          <w:sz w:val="24"/>
        </w:rPr>
        <w:t>Border</w:t>
      </w:r>
      <w:r>
        <w:rPr>
          <w:spacing w:val="-3"/>
          <w:sz w:val="24"/>
        </w:rPr>
        <w:t xml:space="preserve"> </w:t>
      </w:r>
      <w:r>
        <w:rPr>
          <w:sz w:val="24"/>
        </w:rPr>
        <w:t>Management</w:t>
      </w:r>
      <w:r>
        <w:rPr>
          <w:spacing w:val="-3"/>
          <w:sz w:val="24"/>
        </w:rPr>
        <w:t xml:space="preserve"> </w:t>
      </w:r>
      <w:r>
        <w:rPr>
          <w:sz w:val="24"/>
        </w:rPr>
        <w:t>and</w:t>
      </w:r>
      <w:r>
        <w:rPr>
          <w:spacing w:val="-3"/>
          <w:sz w:val="24"/>
        </w:rPr>
        <w:t xml:space="preserve"> </w:t>
      </w:r>
      <w:r>
        <w:rPr>
          <w:sz w:val="24"/>
        </w:rPr>
        <w:t>Visa</w:t>
      </w:r>
      <w:r>
        <w:rPr>
          <w:spacing w:val="-57"/>
          <w:sz w:val="24"/>
        </w:rPr>
        <w:t xml:space="preserve"> </w:t>
      </w:r>
      <w:r>
        <w:rPr>
          <w:sz w:val="24"/>
        </w:rPr>
        <w:t>Policy</w:t>
      </w:r>
    </w:p>
    <w:p w:rsidR="00526895" w:rsidRDefault="00526895" w:rsidP="00526895">
      <w:pPr>
        <w:tabs>
          <w:tab w:val="left" w:pos="3018"/>
        </w:tabs>
        <w:ind w:left="140"/>
        <w:rPr>
          <w:sz w:val="24"/>
        </w:rPr>
      </w:pPr>
      <w:r>
        <w:rPr>
          <w:sz w:val="24"/>
        </w:rPr>
        <w:t>CAP</w:t>
      </w:r>
      <w:r>
        <w:rPr>
          <w:sz w:val="24"/>
        </w:rPr>
        <w:tab/>
        <w:t>Common</w:t>
      </w:r>
      <w:r>
        <w:rPr>
          <w:spacing w:val="-3"/>
          <w:sz w:val="24"/>
        </w:rPr>
        <w:t xml:space="preserve"> </w:t>
      </w:r>
      <w:r>
        <w:rPr>
          <w:sz w:val="24"/>
        </w:rPr>
        <w:t>Agricultural Policy</w:t>
      </w:r>
    </w:p>
    <w:p w:rsidR="00526895" w:rsidRDefault="00526895" w:rsidP="00526895">
      <w:pPr>
        <w:tabs>
          <w:tab w:val="left" w:pos="3018"/>
        </w:tabs>
        <w:ind w:left="140"/>
        <w:rPr>
          <w:sz w:val="24"/>
        </w:rPr>
      </w:pPr>
      <w:r>
        <w:rPr>
          <w:sz w:val="24"/>
        </w:rPr>
        <w:t>CARE</w:t>
      </w:r>
      <w:r>
        <w:rPr>
          <w:sz w:val="24"/>
        </w:rPr>
        <w:tab/>
        <w:t>Cohesion’s</w:t>
      </w:r>
      <w:r>
        <w:rPr>
          <w:spacing w:val="-5"/>
          <w:sz w:val="24"/>
        </w:rPr>
        <w:t xml:space="preserve"> </w:t>
      </w:r>
      <w:r>
        <w:rPr>
          <w:sz w:val="24"/>
        </w:rPr>
        <w:t>Action</w:t>
      </w:r>
      <w:r>
        <w:rPr>
          <w:spacing w:val="-2"/>
          <w:sz w:val="24"/>
        </w:rPr>
        <w:t xml:space="preserve"> </w:t>
      </w:r>
      <w:r>
        <w:rPr>
          <w:sz w:val="24"/>
        </w:rPr>
        <w:t>for</w:t>
      </w:r>
      <w:r>
        <w:rPr>
          <w:spacing w:val="-2"/>
          <w:sz w:val="24"/>
        </w:rPr>
        <w:t xml:space="preserve"> </w:t>
      </w:r>
      <w:r>
        <w:rPr>
          <w:sz w:val="24"/>
        </w:rPr>
        <w:t>Refugees in</w:t>
      </w:r>
      <w:r>
        <w:rPr>
          <w:spacing w:val="-2"/>
          <w:sz w:val="24"/>
        </w:rPr>
        <w:t xml:space="preserve"> </w:t>
      </w:r>
      <w:r>
        <w:rPr>
          <w:sz w:val="24"/>
        </w:rPr>
        <w:t>Europe</w:t>
      </w:r>
    </w:p>
    <w:p w:rsidR="00526895" w:rsidRDefault="00526895" w:rsidP="00526895">
      <w:pPr>
        <w:tabs>
          <w:tab w:val="left" w:pos="3018"/>
        </w:tabs>
        <w:ind w:left="140"/>
        <w:rPr>
          <w:sz w:val="24"/>
        </w:rPr>
      </w:pPr>
      <w:r>
        <w:rPr>
          <w:sz w:val="24"/>
        </w:rPr>
        <w:t>CEF</w:t>
      </w:r>
      <w:r>
        <w:rPr>
          <w:sz w:val="24"/>
        </w:rPr>
        <w:tab/>
        <w:t>Connecting</w:t>
      </w:r>
      <w:r>
        <w:rPr>
          <w:spacing w:val="-3"/>
          <w:sz w:val="24"/>
        </w:rPr>
        <w:t xml:space="preserve"> </w:t>
      </w:r>
      <w:r>
        <w:rPr>
          <w:sz w:val="24"/>
        </w:rPr>
        <w:t>Europe</w:t>
      </w:r>
      <w:r>
        <w:rPr>
          <w:spacing w:val="-2"/>
          <w:sz w:val="24"/>
        </w:rPr>
        <w:t xml:space="preserve"> </w:t>
      </w:r>
      <w:r>
        <w:rPr>
          <w:sz w:val="24"/>
        </w:rPr>
        <w:t>Facility</w:t>
      </w:r>
    </w:p>
    <w:p w:rsidR="00526895" w:rsidRDefault="00526895" w:rsidP="00526895">
      <w:pPr>
        <w:tabs>
          <w:tab w:val="left" w:pos="3018"/>
        </w:tabs>
        <w:spacing w:before="1"/>
        <w:ind w:left="140"/>
        <w:rPr>
          <w:sz w:val="24"/>
        </w:rPr>
      </w:pPr>
      <w:r>
        <w:rPr>
          <w:sz w:val="24"/>
        </w:rPr>
        <w:t>CERV</w:t>
      </w:r>
      <w:r>
        <w:rPr>
          <w:sz w:val="24"/>
        </w:rPr>
        <w:tab/>
        <w:t>Citizens,</w:t>
      </w:r>
      <w:r>
        <w:rPr>
          <w:spacing w:val="-3"/>
          <w:sz w:val="24"/>
        </w:rPr>
        <w:t xml:space="preserve"> </w:t>
      </w:r>
      <w:r>
        <w:rPr>
          <w:sz w:val="24"/>
        </w:rPr>
        <w:t>Equality,</w:t>
      </w:r>
      <w:r>
        <w:rPr>
          <w:spacing w:val="-3"/>
          <w:sz w:val="24"/>
        </w:rPr>
        <w:t xml:space="preserve"> </w:t>
      </w:r>
      <w:r>
        <w:rPr>
          <w:sz w:val="24"/>
        </w:rPr>
        <w:t>Rights and</w:t>
      </w:r>
      <w:r>
        <w:rPr>
          <w:spacing w:val="-3"/>
          <w:sz w:val="24"/>
        </w:rPr>
        <w:t xml:space="preserve"> </w:t>
      </w:r>
      <w:r>
        <w:rPr>
          <w:sz w:val="24"/>
        </w:rPr>
        <w:t>Values</w:t>
      </w:r>
      <w:r>
        <w:rPr>
          <w:spacing w:val="-3"/>
          <w:sz w:val="24"/>
        </w:rPr>
        <w:t xml:space="preserve"> </w:t>
      </w:r>
      <w:r>
        <w:rPr>
          <w:sz w:val="24"/>
        </w:rPr>
        <w:t>programme</w:t>
      </w:r>
    </w:p>
    <w:p w:rsidR="00526895" w:rsidRDefault="00526895" w:rsidP="00526895">
      <w:pPr>
        <w:tabs>
          <w:tab w:val="left" w:pos="3018"/>
        </w:tabs>
        <w:ind w:left="140"/>
        <w:rPr>
          <w:sz w:val="24"/>
        </w:rPr>
      </w:pPr>
      <w:r>
        <w:rPr>
          <w:sz w:val="24"/>
        </w:rPr>
        <w:t>CF</w:t>
      </w:r>
      <w:r>
        <w:rPr>
          <w:sz w:val="24"/>
        </w:rPr>
        <w:tab/>
        <w:t>Cohesion</w:t>
      </w:r>
      <w:r>
        <w:rPr>
          <w:spacing w:val="-3"/>
          <w:sz w:val="24"/>
        </w:rPr>
        <w:t xml:space="preserve"> </w:t>
      </w:r>
      <w:r>
        <w:rPr>
          <w:sz w:val="24"/>
        </w:rPr>
        <w:t>Fund</w:t>
      </w:r>
    </w:p>
    <w:p w:rsidR="00526895" w:rsidRDefault="00526895" w:rsidP="00526895">
      <w:pPr>
        <w:tabs>
          <w:tab w:val="left" w:pos="3018"/>
        </w:tabs>
        <w:ind w:left="140"/>
        <w:rPr>
          <w:sz w:val="24"/>
        </w:rPr>
      </w:pPr>
      <w:r>
        <w:rPr>
          <w:sz w:val="24"/>
        </w:rPr>
        <w:t>Charter</w:t>
      </w:r>
      <w:r>
        <w:rPr>
          <w:sz w:val="24"/>
        </w:rPr>
        <w:tab/>
        <w:t>Charter</w:t>
      </w:r>
      <w:r>
        <w:rPr>
          <w:spacing w:val="-5"/>
          <w:sz w:val="24"/>
        </w:rPr>
        <w:t xml:space="preserve"> </w:t>
      </w:r>
      <w:r>
        <w:rPr>
          <w:sz w:val="24"/>
        </w:rPr>
        <w:t>of</w:t>
      </w:r>
      <w:r>
        <w:rPr>
          <w:spacing w:val="1"/>
          <w:sz w:val="24"/>
        </w:rPr>
        <w:t xml:space="preserve"> </w:t>
      </w:r>
      <w:r>
        <w:rPr>
          <w:sz w:val="24"/>
        </w:rPr>
        <w:t>Fundamental</w:t>
      </w:r>
      <w:r>
        <w:rPr>
          <w:spacing w:val="-4"/>
          <w:sz w:val="24"/>
        </w:rPr>
        <w:t xml:space="preserve"> </w:t>
      </w:r>
      <w:r>
        <w:rPr>
          <w:sz w:val="24"/>
        </w:rPr>
        <w:t>Rights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European</w:t>
      </w:r>
      <w:r>
        <w:rPr>
          <w:spacing w:val="-3"/>
          <w:sz w:val="24"/>
        </w:rPr>
        <w:t xml:space="preserve"> </w:t>
      </w:r>
      <w:r>
        <w:rPr>
          <w:sz w:val="24"/>
        </w:rPr>
        <w:t>Union</w:t>
      </w:r>
    </w:p>
    <w:p w:rsidR="00526895" w:rsidRDefault="00526895" w:rsidP="00526895">
      <w:pPr>
        <w:tabs>
          <w:tab w:val="left" w:pos="3018"/>
        </w:tabs>
        <w:ind w:left="140"/>
        <w:rPr>
          <w:sz w:val="24"/>
        </w:rPr>
      </w:pPr>
      <w:r>
        <w:rPr>
          <w:sz w:val="24"/>
        </w:rPr>
        <w:t>Commission</w:t>
      </w:r>
      <w:r>
        <w:rPr>
          <w:sz w:val="24"/>
        </w:rPr>
        <w:tab/>
        <w:t>European</w:t>
      </w:r>
      <w:r>
        <w:rPr>
          <w:spacing w:val="-4"/>
          <w:sz w:val="24"/>
        </w:rPr>
        <w:t xml:space="preserve"> </w:t>
      </w:r>
      <w:r>
        <w:rPr>
          <w:sz w:val="24"/>
        </w:rPr>
        <w:t>Commission</w:t>
      </w:r>
    </w:p>
    <w:p w:rsidR="00526895" w:rsidRDefault="00526895" w:rsidP="00526895">
      <w:pPr>
        <w:tabs>
          <w:tab w:val="left" w:pos="3017"/>
        </w:tabs>
        <w:ind w:left="140"/>
        <w:rPr>
          <w:sz w:val="24"/>
        </w:rPr>
      </w:pPr>
      <w:r>
        <w:rPr>
          <w:sz w:val="24"/>
        </w:rPr>
        <w:t>Committee</w:t>
      </w:r>
      <w:r>
        <w:rPr>
          <w:sz w:val="24"/>
        </w:rPr>
        <w:tab/>
        <w:t>UN</w:t>
      </w:r>
      <w:r>
        <w:rPr>
          <w:spacing w:val="-4"/>
          <w:sz w:val="24"/>
        </w:rPr>
        <w:t xml:space="preserve"> </w:t>
      </w:r>
      <w:r>
        <w:rPr>
          <w:sz w:val="24"/>
        </w:rPr>
        <w:t>Committee</w:t>
      </w:r>
      <w:r>
        <w:rPr>
          <w:spacing w:val="-3"/>
          <w:sz w:val="24"/>
        </w:rPr>
        <w:t xml:space="preserve"> </w:t>
      </w:r>
      <w:r>
        <w:rPr>
          <w:sz w:val="24"/>
        </w:rPr>
        <w:t>on</w:t>
      </w:r>
      <w:r>
        <w:rPr>
          <w:spacing w:val="-1"/>
          <w:sz w:val="24"/>
        </w:rPr>
        <w:t xml:space="preserve"> </w:t>
      </w:r>
      <w:r>
        <w:rPr>
          <w:sz w:val="24"/>
        </w:rPr>
        <w:t>the</w:t>
      </w:r>
      <w:r>
        <w:rPr>
          <w:spacing w:val="-3"/>
          <w:sz w:val="24"/>
        </w:rPr>
        <w:t xml:space="preserve"> </w:t>
      </w:r>
      <w:r>
        <w:rPr>
          <w:sz w:val="24"/>
        </w:rPr>
        <w:t>Rights</w:t>
      </w:r>
      <w:r>
        <w:rPr>
          <w:spacing w:val="-1"/>
          <w:sz w:val="24"/>
        </w:rPr>
        <w:t xml:space="preserve"> </w:t>
      </w:r>
      <w:r>
        <w:rPr>
          <w:sz w:val="24"/>
        </w:rPr>
        <w:t>of</w:t>
      </w:r>
      <w:r>
        <w:rPr>
          <w:spacing w:val="-1"/>
          <w:sz w:val="24"/>
        </w:rPr>
        <w:t xml:space="preserve"> </w:t>
      </w:r>
      <w:r>
        <w:rPr>
          <w:sz w:val="24"/>
        </w:rPr>
        <w:t>Persons</w:t>
      </w:r>
      <w:r>
        <w:rPr>
          <w:spacing w:val="-2"/>
          <w:sz w:val="24"/>
        </w:rPr>
        <w:t xml:space="preserve"> </w:t>
      </w:r>
      <w:r>
        <w:rPr>
          <w:sz w:val="24"/>
        </w:rPr>
        <w:t>with</w:t>
      </w:r>
      <w:r>
        <w:rPr>
          <w:spacing w:val="-1"/>
          <w:sz w:val="24"/>
        </w:rPr>
        <w:t xml:space="preserve"> </w:t>
      </w:r>
      <w:r>
        <w:rPr>
          <w:sz w:val="24"/>
        </w:rPr>
        <w:t>Disabilities</w:t>
      </w:r>
    </w:p>
    <w:p w:rsidR="00526895" w:rsidRDefault="00526895" w:rsidP="00526895">
      <w:pPr>
        <w:tabs>
          <w:tab w:val="left" w:pos="3018"/>
        </w:tabs>
        <w:ind w:left="140"/>
        <w:rPr>
          <w:sz w:val="24"/>
        </w:rPr>
      </w:pPr>
      <w:r>
        <w:rPr>
          <w:sz w:val="24"/>
        </w:rPr>
        <w:t>Council</w:t>
      </w:r>
      <w:r>
        <w:rPr>
          <w:sz w:val="24"/>
        </w:rPr>
        <w:tab/>
        <w:t>Council</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European</w:t>
      </w:r>
      <w:r>
        <w:rPr>
          <w:spacing w:val="1"/>
          <w:sz w:val="24"/>
        </w:rPr>
        <w:t xml:space="preserve"> </w:t>
      </w:r>
      <w:r>
        <w:rPr>
          <w:sz w:val="24"/>
        </w:rPr>
        <w:t>Union</w:t>
      </w:r>
    </w:p>
    <w:p w:rsidR="00526895" w:rsidRDefault="00526895" w:rsidP="00526895">
      <w:pPr>
        <w:tabs>
          <w:tab w:val="left" w:pos="3016"/>
        </w:tabs>
        <w:ind w:left="140"/>
        <w:rPr>
          <w:sz w:val="24"/>
        </w:rPr>
      </w:pPr>
      <w:r>
        <w:rPr>
          <w:sz w:val="24"/>
        </w:rPr>
        <w:t>Court</w:t>
      </w:r>
      <w:r>
        <w:rPr>
          <w:spacing w:val="-1"/>
          <w:sz w:val="24"/>
        </w:rPr>
        <w:t xml:space="preserve"> </w:t>
      </w:r>
      <w:r>
        <w:rPr>
          <w:sz w:val="24"/>
        </w:rPr>
        <w:t>of</w:t>
      </w:r>
      <w:r>
        <w:rPr>
          <w:spacing w:val="-1"/>
          <w:sz w:val="24"/>
        </w:rPr>
        <w:t xml:space="preserve"> </w:t>
      </w:r>
      <w:r>
        <w:rPr>
          <w:sz w:val="24"/>
        </w:rPr>
        <w:t>Justice</w:t>
      </w:r>
      <w:r>
        <w:rPr>
          <w:sz w:val="24"/>
        </w:rPr>
        <w:tab/>
        <w:t>Court</w:t>
      </w:r>
      <w:r>
        <w:rPr>
          <w:spacing w:val="-3"/>
          <w:sz w:val="24"/>
        </w:rPr>
        <w:t xml:space="preserve"> </w:t>
      </w:r>
      <w:r>
        <w:rPr>
          <w:sz w:val="24"/>
        </w:rPr>
        <w:t>of</w:t>
      </w:r>
      <w:r>
        <w:rPr>
          <w:spacing w:val="-3"/>
          <w:sz w:val="24"/>
        </w:rPr>
        <w:t xml:space="preserve"> </w:t>
      </w:r>
      <w:r>
        <w:rPr>
          <w:sz w:val="24"/>
        </w:rPr>
        <w:t>Justice</w:t>
      </w:r>
      <w:r>
        <w:rPr>
          <w:spacing w:val="-4"/>
          <w:sz w:val="24"/>
        </w:rPr>
        <w:t xml:space="preserve"> </w:t>
      </w:r>
      <w:r>
        <w:rPr>
          <w:sz w:val="24"/>
        </w:rPr>
        <w:t>of</w:t>
      </w:r>
      <w:r>
        <w:rPr>
          <w:spacing w:val="-2"/>
          <w:sz w:val="24"/>
        </w:rPr>
        <w:t xml:space="preserve"> </w:t>
      </w:r>
      <w:r>
        <w:rPr>
          <w:sz w:val="24"/>
        </w:rPr>
        <w:t>the</w:t>
      </w:r>
      <w:r>
        <w:rPr>
          <w:spacing w:val="-1"/>
          <w:sz w:val="24"/>
        </w:rPr>
        <w:t xml:space="preserve"> </w:t>
      </w:r>
      <w:r>
        <w:rPr>
          <w:sz w:val="24"/>
        </w:rPr>
        <w:t>European</w:t>
      </w:r>
      <w:r>
        <w:rPr>
          <w:spacing w:val="-1"/>
          <w:sz w:val="24"/>
        </w:rPr>
        <w:t xml:space="preserve"> </w:t>
      </w:r>
      <w:r>
        <w:rPr>
          <w:sz w:val="24"/>
        </w:rPr>
        <w:t>Union</w:t>
      </w:r>
    </w:p>
    <w:p w:rsidR="00526895" w:rsidRDefault="00526895" w:rsidP="00526895">
      <w:pPr>
        <w:tabs>
          <w:tab w:val="left" w:pos="3020"/>
        </w:tabs>
        <w:ind w:left="140"/>
        <w:rPr>
          <w:sz w:val="24"/>
        </w:rPr>
      </w:pPr>
      <w:r>
        <w:rPr>
          <w:sz w:val="24"/>
        </w:rPr>
        <w:t>CSO</w:t>
      </w:r>
      <w:r>
        <w:rPr>
          <w:sz w:val="24"/>
        </w:rPr>
        <w:tab/>
        <w:t>Civil</w:t>
      </w:r>
      <w:r>
        <w:rPr>
          <w:spacing w:val="1"/>
          <w:sz w:val="24"/>
        </w:rPr>
        <w:t xml:space="preserve"> </w:t>
      </w:r>
      <w:r>
        <w:rPr>
          <w:sz w:val="24"/>
        </w:rPr>
        <w:t>society</w:t>
      </w:r>
      <w:r>
        <w:rPr>
          <w:spacing w:val="-9"/>
          <w:sz w:val="24"/>
        </w:rPr>
        <w:t xml:space="preserve"> </w:t>
      </w:r>
      <w:r>
        <w:rPr>
          <w:sz w:val="24"/>
        </w:rPr>
        <w:t>organisation</w:t>
      </w:r>
    </w:p>
    <w:p w:rsidR="00526895" w:rsidRDefault="00526895" w:rsidP="00526895">
      <w:pPr>
        <w:tabs>
          <w:tab w:val="left" w:pos="3017"/>
        </w:tabs>
        <w:ind w:left="140" w:right="293"/>
        <w:rPr>
          <w:sz w:val="24"/>
        </w:rPr>
      </w:pPr>
      <w:r>
        <w:rPr>
          <w:sz w:val="24"/>
        </w:rPr>
        <w:t>DG</w:t>
      </w:r>
      <w:r>
        <w:rPr>
          <w:spacing w:val="-1"/>
          <w:sz w:val="24"/>
        </w:rPr>
        <w:t xml:space="preserve"> </w:t>
      </w:r>
      <w:r>
        <w:rPr>
          <w:sz w:val="24"/>
        </w:rPr>
        <w:t>EMPL</w:t>
      </w:r>
      <w:r>
        <w:rPr>
          <w:sz w:val="24"/>
        </w:rPr>
        <w:tab/>
        <w:t>Directorate-General</w:t>
      </w:r>
      <w:r>
        <w:rPr>
          <w:spacing w:val="-4"/>
          <w:sz w:val="24"/>
        </w:rPr>
        <w:t xml:space="preserve"> </w:t>
      </w:r>
      <w:r>
        <w:rPr>
          <w:sz w:val="24"/>
        </w:rPr>
        <w:t>for</w:t>
      </w:r>
      <w:r>
        <w:rPr>
          <w:spacing w:val="-5"/>
          <w:sz w:val="24"/>
        </w:rPr>
        <w:t xml:space="preserve"> </w:t>
      </w:r>
      <w:r>
        <w:rPr>
          <w:sz w:val="24"/>
        </w:rPr>
        <w:t>Employment,</w:t>
      </w:r>
      <w:r>
        <w:rPr>
          <w:spacing w:val="-4"/>
          <w:sz w:val="24"/>
        </w:rPr>
        <w:t xml:space="preserve"> </w:t>
      </w:r>
      <w:r>
        <w:rPr>
          <w:sz w:val="24"/>
        </w:rPr>
        <w:t>Social</w:t>
      </w:r>
      <w:r>
        <w:rPr>
          <w:spacing w:val="-4"/>
          <w:sz w:val="24"/>
        </w:rPr>
        <w:t xml:space="preserve"> </w:t>
      </w:r>
      <w:r>
        <w:rPr>
          <w:sz w:val="24"/>
        </w:rPr>
        <w:t>Affairs,</w:t>
      </w:r>
      <w:r>
        <w:rPr>
          <w:spacing w:val="-4"/>
          <w:sz w:val="24"/>
        </w:rPr>
        <w:t xml:space="preserve"> </w:t>
      </w:r>
      <w:r>
        <w:rPr>
          <w:sz w:val="24"/>
        </w:rPr>
        <w:t>and</w:t>
      </w:r>
      <w:r>
        <w:rPr>
          <w:spacing w:val="-2"/>
          <w:sz w:val="24"/>
        </w:rPr>
        <w:t xml:space="preserve"> </w:t>
      </w:r>
      <w:r>
        <w:rPr>
          <w:sz w:val="24"/>
        </w:rPr>
        <w:t>Inclusion</w:t>
      </w:r>
      <w:r>
        <w:rPr>
          <w:spacing w:val="-57"/>
          <w:sz w:val="24"/>
        </w:rPr>
        <w:t xml:space="preserve"> </w:t>
      </w:r>
      <w:r>
        <w:rPr>
          <w:sz w:val="24"/>
        </w:rPr>
        <w:t>DMA</w:t>
      </w:r>
      <w:r>
        <w:rPr>
          <w:sz w:val="24"/>
        </w:rPr>
        <w:tab/>
        <w:t>Digital</w:t>
      </w:r>
      <w:r>
        <w:rPr>
          <w:spacing w:val="-2"/>
          <w:sz w:val="24"/>
        </w:rPr>
        <w:t xml:space="preserve"> </w:t>
      </w:r>
      <w:r>
        <w:rPr>
          <w:sz w:val="24"/>
        </w:rPr>
        <w:t>Markets</w:t>
      </w:r>
      <w:r>
        <w:rPr>
          <w:spacing w:val="-1"/>
          <w:sz w:val="24"/>
        </w:rPr>
        <w:t xml:space="preserve"> </w:t>
      </w:r>
      <w:r>
        <w:rPr>
          <w:sz w:val="24"/>
        </w:rPr>
        <w:t>Act</w:t>
      </w:r>
    </w:p>
    <w:p w:rsidR="00526895" w:rsidRDefault="00526895" w:rsidP="00526895">
      <w:pPr>
        <w:tabs>
          <w:tab w:val="left" w:pos="3019"/>
        </w:tabs>
        <w:ind w:left="140"/>
        <w:rPr>
          <w:sz w:val="24"/>
        </w:rPr>
      </w:pPr>
      <w:r>
        <w:rPr>
          <w:sz w:val="24"/>
        </w:rPr>
        <w:t>DSA</w:t>
      </w:r>
      <w:r>
        <w:rPr>
          <w:sz w:val="24"/>
        </w:rPr>
        <w:tab/>
        <w:t>Digital</w:t>
      </w:r>
      <w:r>
        <w:rPr>
          <w:spacing w:val="-4"/>
          <w:sz w:val="24"/>
        </w:rPr>
        <w:t xml:space="preserve"> </w:t>
      </w:r>
      <w:r>
        <w:rPr>
          <w:sz w:val="24"/>
        </w:rPr>
        <w:t>Services</w:t>
      </w:r>
      <w:r>
        <w:rPr>
          <w:spacing w:val="-6"/>
          <w:sz w:val="24"/>
        </w:rPr>
        <w:t xml:space="preserve"> </w:t>
      </w:r>
      <w:r>
        <w:rPr>
          <w:sz w:val="24"/>
        </w:rPr>
        <w:t>Act</w:t>
      </w:r>
    </w:p>
    <w:p w:rsidR="00526895" w:rsidRDefault="00526895" w:rsidP="00526895">
      <w:pPr>
        <w:tabs>
          <w:tab w:val="left" w:pos="3019"/>
        </w:tabs>
        <w:ind w:left="140"/>
        <w:rPr>
          <w:sz w:val="24"/>
        </w:rPr>
      </w:pPr>
      <w:r>
        <w:rPr>
          <w:sz w:val="24"/>
        </w:rPr>
        <w:t>DSG</w:t>
      </w:r>
      <w:r>
        <w:rPr>
          <w:sz w:val="24"/>
        </w:rPr>
        <w:tab/>
        <w:t>Disability</w:t>
      </w:r>
      <w:r>
        <w:rPr>
          <w:spacing w:val="-8"/>
          <w:sz w:val="24"/>
        </w:rPr>
        <w:t xml:space="preserve"> </w:t>
      </w:r>
      <w:r>
        <w:rPr>
          <w:sz w:val="24"/>
        </w:rPr>
        <w:t>Support</w:t>
      </w:r>
      <w:r>
        <w:rPr>
          <w:spacing w:val="-1"/>
          <w:sz w:val="24"/>
        </w:rPr>
        <w:t xml:space="preserve"> </w:t>
      </w:r>
      <w:r>
        <w:rPr>
          <w:sz w:val="24"/>
        </w:rPr>
        <w:t>Group</w:t>
      </w:r>
    </w:p>
    <w:p w:rsidR="00526895" w:rsidRDefault="00526895" w:rsidP="00526895">
      <w:pPr>
        <w:tabs>
          <w:tab w:val="left" w:pos="3019"/>
        </w:tabs>
        <w:ind w:left="140"/>
        <w:rPr>
          <w:sz w:val="24"/>
        </w:rPr>
      </w:pPr>
      <w:r>
        <w:rPr>
          <w:sz w:val="24"/>
        </w:rPr>
        <w:t>EAA</w:t>
      </w:r>
      <w:r>
        <w:rPr>
          <w:sz w:val="24"/>
        </w:rPr>
        <w:tab/>
        <w:t>European</w:t>
      </w:r>
      <w:r>
        <w:rPr>
          <w:spacing w:val="-3"/>
          <w:sz w:val="24"/>
        </w:rPr>
        <w:t xml:space="preserve"> </w:t>
      </w:r>
      <w:r>
        <w:rPr>
          <w:sz w:val="24"/>
        </w:rPr>
        <w:t>Accessibility</w:t>
      </w:r>
      <w:r>
        <w:rPr>
          <w:spacing w:val="-6"/>
          <w:sz w:val="24"/>
        </w:rPr>
        <w:t xml:space="preserve"> </w:t>
      </w:r>
      <w:r>
        <w:rPr>
          <w:sz w:val="24"/>
        </w:rPr>
        <w:t>Act</w:t>
      </w:r>
    </w:p>
    <w:p w:rsidR="00526895" w:rsidRDefault="00526895" w:rsidP="00526895">
      <w:pPr>
        <w:tabs>
          <w:tab w:val="left" w:pos="3020"/>
        </w:tabs>
        <w:ind w:left="140"/>
        <w:rPr>
          <w:sz w:val="24"/>
        </w:rPr>
      </w:pPr>
      <w:r>
        <w:rPr>
          <w:sz w:val="24"/>
        </w:rPr>
        <w:t>EaSI</w:t>
      </w:r>
      <w:r>
        <w:rPr>
          <w:sz w:val="24"/>
        </w:rPr>
        <w:tab/>
        <w:t>Employment</w:t>
      </w:r>
      <w:r>
        <w:rPr>
          <w:spacing w:val="-4"/>
          <w:sz w:val="24"/>
        </w:rPr>
        <w:t xml:space="preserve"> </w:t>
      </w:r>
      <w:r>
        <w:rPr>
          <w:sz w:val="24"/>
        </w:rPr>
        <w:t>and</w:t>
      </w:r>
      <w:r>
        <w:rPr>
          <w:spacing w:val="-3"/>
          <w:sz w:val="24"/>
        </w:rPr>
        <w:t xml:space="preserve"> </w:t>
      </w:r>
      <w:r>
        <w:rPr>
          <w:sz w:val="24"/>
        </w:rPr>
        <w:t>Social Innovation</w:t>
      </w:r>
    </w:p>
    <w:p w:rsidR="00526895" w:rsidRDefault="00526895" w:rsidP="00526895">
      <w:pPr>
        <w:tabs>
          <w:tab w:val="left" w:pos="3019"/>
        </w:tabs>
        <w:ind w:left="140"/>
        <w:rPr>
          <w:sz w:val="24"/>
        </w:rPr>
      </w:pPr>
      <w:r>
        <w:rPr>
          <w:sz w:val="24"/>
        </w:rPr>
        <w:t>EASNIE</w:t>
      </w:r>
      <w:r>
        <w:rPr>
          <w:sz w:val="24"/>
        </w:rPr>
        <w:tab/>
        <w:t>European</w:t>
      </w:r>
      <w:r>
        <w:rPr>
          <w:spacing w:val="-3"/>
          <w:sz w:val="24"/>
        </w:rPr>
        <w:t xml:space="preserve"> </w:t>
      </w:r>
      <w:r>
        <w:rPr>
          <w:sz w:val="24"/>
        </w:rPr>
        <w:t>Agency</w:t>
      </w:r>
      <w:r>
        <w:rPr>
          <w:spacing w:val="-5"/>
          <w:sz w:val="24"/>
        </w:rPr>
        <w:t xml:space="preserve"> </w:t>
      </w:r>
      <w:r>
        <w:rPr>
          <w:sz w:val="24"/>
        </w:rPr>
        <w:t>for</w:t>
      </w:r>
      <w:r>
        <w:rPr>
          <w:spacing w:val="-5"/>
          <w:sz w:val="24"/>
        </w:rPr>
        <w:t xml:space="preserve"> </w:t>
      </w:r>
      <w:r>
        <w:rPr>
          <w:sz w:val="24"/>
        </w:rPr>
        <w:t>Special</w:t>
      </w:r>
      <w:r>
        <w:rPr>
          <w:spacing w:val="-3"/>
          <w:sz w:val="24"/>
        </w:rPr>
        <w:t xml:space="preserve"> </w:t>
      </w:r>
      <w:r>
        <w:rPr>
          <w:sz w:val="24"/>
        </w:rPr>
        <w:t>Needs</w:t>
      </w:r>
      <w:r>
        <w:rPr>
          <w:spacing w:val="-3"/>
          <w:sz w:val="24"/>
        </w:rPr>
        <w:t xml:space="preserve"> </w:t>
      </w:r>
      <w:r>
        <w:rPr>
          <w:sz w:val="24"/>
        </w:rPr>
        <w:t>and</w:t>
      </w:r>
      <w:r>
        <w:rPr>
          <w:spacing w:val="2"/>
          <w:sz w:val="24"/>
        </w:rPr>
        <w:t xml:space="preserve"> </w:t>
      </w:r>
      <w:r>
        <w:rPr>
          <w:sz w:val="24"/>
        </w:rPr>
        <w:t>Inclusive</w:t>
      </w:r>
      <w:r>
        <w:rPr>
          <w:spacing w:val="-4"/>
          <w:sz w:val="24"/>
        </w:rPr>
        <w:t xml:space="preserve"> </w:t>
      </w:r>
      <w:r>
        <w:rPr>
          <w:sz w:val="24"/>
        </w:rPr>
        <w:t>Education</w:t>
      </w:r>
    </w:p>
    <w:p w:rsidR="00526895" w:rsidRDefault="00526895" w:rsidP="00526895">
      <w:pPr>
        <w:tabs>
          <w:tab w:val="left" w:pos="3018"/>
        </w:tabs>
        <w:ind w:left="140"/>
        <w:rPr>
          <w:sz w:val="24"/>
        </w:rPr>
      </w:pPr>
      <w:r>
        <w:rPr>
          <w:sz w:val="24"/>
        </w:rPr>
        <w:t>ECDC</w:t>
      </w:r>
      <w:r>
        <w:rPr>
          <w:sz w:val="24"/>
        </w:rPr>
        <w:tab/>
        <w:t>European</w:t>
      </w:r>
      <w:r>
        <w:rPr>
          <w:spacing w:val="-3"/>
          <w:sz w:val="24"/>
        </w:rPr>
        <w:t xml:space="preserve"> </w:t>
      </w:r>
      <w:r>
        <w:rPr>
          <w:sz w:val="24"/>
        </w:rPr>
        <w:t>Centre</w:t>
      </w:r>
      <w:r>
        <w:rPr>
          <w:spacing w:val="-5"/>
          <w:sz w:val="24"/>
        </w:rPr>
        <w:t xml:space="preserve"> </w:t>
      </w:r>
      <w:r>
        <w:rPr>
          <w:sz w:val="24"/>
        </w:rPr>
        <w:t>for</w:t>
      </w:r>
      <w:r>
        <w:rPr>
          <w:spacing w:val="1"/>
          <w:sz w:val="24"/>
        </w:rPr>
        <w:t xml:space="preserve"> </w:t>
      </w:r>
      <w:r>
        <w:rPr>
          <w:sz w:val="24"/>
        </w:rPr>
        <w:t>Disease</w:t>
      </w:r>
      <w:r>
        <w:rPr>
          <w:spacing w:val="-3"/>
          <w:sz w:val="24"/>
        </w:rPr>
        <w:t xml:space="preserve"> </w:t>
      </w:r>
      <w:r>
        <w:rPr>
          <w:sz w:val="24"/>
        </w:rPr>
        <w:t>Prevention</w:t>
      </w:r>
      <w:r>
        <w:rPr>
          <w:spacing w:val="-3"/>
          <w:sz w:val="24"/>
        </w:rPr>
        <w:t xml:space="preserve"> </w:t>
      </w:r>
      <w:r>
        <w:rPr>
          <w:sz w:val="24"/>
        </w:rPr>
        <w:t>and</w:t>
      </w:r>
      <w:r>
        <w:rPr>
          <w:spacing w:val="-2"/>
          <w:sz w:val="24"/>
        </w:rPr>
        <w:t xml:space="preserve"> </w:t>
      </w:r>
      <w:r>
        <w:rPr>
          <w:sz w:val="24"/>
        </w:rPr>
        <w:t>Control</w:t>
      </w:r>
    </w:p>
    <w:p w:rsidR="00526895" w:rsidRDefault="00526895" w:rsidP="00526895">
      <w:pPr>
        <w:tabs>
          <w:tab w:val="left" w:pos="3019"/>
        </w:tabs>
        <w:ind w:left="140"/>
        <w:rPr>
          <w:sz w:val="24"/>
        </w:rPr>
      </w:pPr>
      <w:r>
        <w:rPr>
          <w:sz w:val="24"/>
        </w:rPr>
        <w:t>ECG</w:t>
      </w:r>
      <w:r>
        <w:rPr>
          <w:sz w:val="24"/>
        </w:rPr>
        <w:tab/>
        <w:t>European</w:t>
      </w:r>
      <w:r>
        <w:rPr>
          <w:spacing w:val="-3"/>
          <w:sz w:val="24"/>
        </w:rPr>
        <w:t xml:space="preserve"> </w:t>
      </w:r>
      <w:r>
        <w:rPr>
          <w:sz w:val="24"/>
        </w:rPr>
        <w:t>Child</w:t>
      </w:r>
      <w:r>
        <w:rPr>
          <w:spacing w:val="-3"/>
          <w:sz w:val="24"/>
        </w:rPr>
        <w:t xml:space="preserve"> </w:t>
      </w:r>
      <w:r>
        <w:rPr>
          <w:sz w:val="24"/>
        </w:rPr>
        <w:t>Guarantee</w:t>
      </w:r>
    </w:p>
    <w:p w:rsidR="00526895" w:rsidRDefault="00526895" w:rsidP="00526895">
      <w:pPr>
        <w:tabs>
          <w:tab w:val="left" w:pos="3019"/>
        </w:tabs>
        <w:ind w:left="140"/>
        <w:rPr>
          <w:sz w:val="24"/>
        </w:rPr>
      </w:pPr>
      <w:r>
        <w:rPr>
          <w:sz w:val="24"/>
        </w:rPr>
        <w:t>ECNE</w:t>
      </w:r>
      <w:r>
        <w:rPr>
          <w:sz w:val="24"/>
        </w:rPr>
        <w:tab/>
        <w:t>European</w:t>
      </w:r>
      <w:r>
        <w:rPr>
          <w:spacing w:val="-4"/>
          <w:sz w:val="24"/>
        </w:rPr>
        <w:t xml:space="preserve"> </w:t>
      </w:r>
      <w:r>
        <w:rPr>
          <w:sz w:val="24"/>
        </w:rPr>
        <w:t>Cooperation</w:t>
      </w:r>
      <w:r>
        <w:rPr>
          <w:spacing w:val="-3"/>
          <w:sz w:val="24"/>
        </w:rPr>
        <w:t xml:space="preserve"> </w:t>
      </w:r>
      <w:r>
        <w:rPr>
          <w:sz w:val="24"/>
        </w:rPr>
        <w:t>Network</w:t>
      </w:r>
      <w:r>
        <w:rPr>
          <w:spacing w:val="-4"/>
          <w:sz w:val="24"/>
        </w:rPr>
        <w:t xml:space="preserve"> </w:t>
      </w:r>
      <w:r>
        <w:rPr>
          <w:sz w:val="24"/>
        </w:rPr>
        <w:t>on</w:t>
      </w:r>
      <w:r>
        <w:rPr>
          <w:spacing w:val="-3"/>
          <w:sz w:val="24"/>
        </w:rPr>
        <w:t xml:space="preserve"> </w:t>
      </w:r>
      <w:r>
        <w:rPr>
          <w:sz w:val="24"/>
        </w:rPr>
        <w:t>Elections</w:t>
      </w:r>
    </w:p>
    <w:p w:rsidR="00526895" w:rsidRDefault="00526895" w:rsidP="00526895">
      <w:pPr>
        <w:tabs>
          <w:tab w:val="left" w:pos="3020"/>
        </w:tabs>
        <w:ind w:left="140"/>
        <w:rPr>
          <w:sz w:val="24"/>
        </w:rPr>
      </w:pPr>
      <w:r>
        <w:rPr>
          <w:sz w:val="24"/>
        </w:rPr>
        <w:t>EDE</w:t>
      </w:r>
      <w:r>
        <w:rPr>
          <w:sz w:val="24"/>
        </w:rPr>
        <w:tab/>
        <w:t>European</w:t>
      </w:r>
      <w:r>
        <w:rPr>
          <w:spacing w:val="-2"/>
          <w:sz w:val="24"/>
        </w:rPr>
        <w:t xml:space="preserve"> </w:t>
      </w:r>
      <w:r>
        <w:rPr>
          <w:sz w:val="24"/>
        </w:rPr>
        <w:t>Disability</w:t>
      </w:r>
      <w:r>
        <w:rPr>
          <w:spacing w:val="-6"/>
          <w:sz w:val="24"/>
        </w:rPr>
        <w:t xml:space="preserve"> </w:t>
      </w:r>
      <w:r>
        <w:rPr>
          <w:sz w:val="24"/>
        </w:rPr>
        <w:t>Expertise</w:t>
      </w:r>
    </w:p>
    <w:p w:rsidR="00526895" w:rsidRDefault="00526895" w:rsidP="00526895">
      <w:pPr>
        <w:tabs>
          <w:tab w:val="left" w:pos="3019"/>
        </w:tabs>
        <w:ind w:left="140"/>
        <w:rPr>
          <w:sz w:val="24"/>
        </w:rPr>
      </w:pPr>
      <w:r>
        <w:rPr>
          <w:sz w:val="24"/>
        </w:rPr>
        <w:t>EDF</w:t>
      </w:r>
      <w:r>
        <w:rPr>
          <w:sz w:val="24"/>
        </w:rPr>
        <w:tab/>
        <w:t>European</w:t>
      </w:r>
      <w:r>
        <w:rPr>
          <w:spacing w:val="-2"/>
          <w:sz w:val="24"/>
        </w:rPr>
        <w:t xml:space="preserve"> </w:t>
      </w:r>
      <w:r>
        <w:rPr>
          <w:sz w:val="24"/>
        </w:rPr>
        <w:t>Disability</w:t>
      </w:r>
      <w:r>
        <w:rPr>
          <w:spacing w:val="-5"/>
          <w:sz w:val="24"/>
        </w:rPr>
        <w:t xml:space="preserve"> </w:t>
      </w:r>
      <w:r>
        <w:rPr>
          <w:sz w:val="24"/>
        </w:rPr>
        <w:t>Forum</w:t>
      </w:r>
    </w:p>
    <w:p w:rsidR="00526895" w:rsidRDefault="00526895" w:rsidP="00526895">
      <w:pPr>
        <w:tabs>
          <w:tab w:val="left" w:pos="3019"/>
        </w:tabs>
        <w:ind w:left="140"/>
        <w:rPr>
          <w:sz w:val="24"/>
        </w:rPr>
      </w:pPr>
      <w:r>
        <w:rPr>
          <w:sz w:val="24"/>
        </w:rPr>
        <w:t>EEAS</w:t>
      </w:r>
      <w:r>
        <w:rPr>
          <w:sz w:val="24"/>
        </w:rPr>
        <w:tab/>
        <w:t>European</w:t>
      </w:r>
      <w:r>
        <w:rPr>
          <w:spacing w:val="-4"/>
          <w:sz w:val="24"/>
        </w:rPr>
        <w:t xml:space="preserve"> </w:t>
      </w:r>
      <w:r>
        <w:rPr>
          <w:sz w:val="24"/>
        </w:rPr>
        <w:t>External</w:t>
      </w:r>
      <w:r>
        <w:rPr>
          <w:spacing w:val="-3"/>
          <w:sz w:val="24"/>
        </w:rPr>
        <w:t xml:space="preserve"> </w:t>
      </w:r>
      <w:r>
        <w:rPr>
          <w:sz w:val="24"/>
        </w:rPr>
        <w:t>Action</w:t>
      </w:r>
      <w:r>
        <w:rPr>
          <w:spacing w:val="-3"/>
          <w:sz w:val="24"/>
        </w:rPr>
        <w:t xml:space="preserve"> </w:t>
      </w:r>
      <w:r>
        <w:rPr>
          <w:sz w:val="24"/>
        </w:rPr>
        <w:t>Service</w:t>
      </w:r>
    </w:p>
    <w:p w:rsidR="00526895" w:rsidRDefault="00526895" w:rsidP="00526895">
      <w:pPr>
        <w:tabs>
          <w:tab w:val="left" w:pos="3018"/>
        </w:tabs>
        <w:ind w:left="140"/>
        <w:rPr>
          <w:sz w:val="24"/>
        </w:rPr>
      </w:pPr>
      <w:r>
        <w:rPr>
          <w:sz w:val="24"/>
        </w:rPr>
        <w:t>EESC</w:t>
      </w:r>
      <w:r>
        <w:rPr>
          <w:sz w:val="24"/>
        </w:rPr>
        <w:tab/>
        <w:t>European</w:t>
      </w:r>
      <w:r>
        <w:rPr>
          <w:spacing w:val="-4"/>
          <w:sz w:val="24"/>
        </w:rPr>
        <w:t xml:space="preserve"> </w:t>
      </w:r>
      <w:r>
        <w:rPr>
          <w:sz w:val="24"/>
        </w:rPr>
        <w:t>Economic and Social</w:t>
      </w:r>
      <w:r>
        <w:rPr>
          <w:spacing w:val="-2"/>
          <w:sz w:val="24"/>
        </w:rPr>
        <w:t xml:space="preserve"> </w:t>
      </w:r>
      <w:r>
        <w:rPr>
          <w:sz w:val="24"/>
        </w:rPr>
        <w:t>Committee</w:t>
      </w:r>
    </w:p>
    <w:p w:rsidR="00526895" w:rsidRDefault="00526895" w:rsidP="00526895">
      <w:pPr>
        <w:tabs>
          <w:tab w:val="left" w:pos="3019"/>
        </w:tabs>
        <w:ind w:left="140"/>
        <w:rPr>
          <w:sz w:val="24"/>
        </w:rPr>
      </w:pPr>
      <w:r>
        <w:rPr>
          <w:sz w:val="24"/>
        </w:rPr>
        <w:t>EIGE</w:t>
      </w:r>
      <w:r>
        <w:rPr>
          <w:sz w:val="24"/>
        </w:rPr>
        <w:tab/>
        <w:t>European Institute</w:t>
      </w:r>
      <w:r>
        <w:rPr>
          <w:spacing w:val="-2"/>
          <w:sz w:val="24"/>
        </w:rPr>
        <w:t xml:space="preserve"> </w:t>
      </w:r>
      <w:r>
        <w:rPr>
          <w:sz w:val="24"/>
        </w:rPr>
        <w:t>for</w:t>
      </w:r>
      <w:r>
        <w:rPr>
          <w:spacing w:val="-4"/>
          <w:sz w:val="24"/>
        </w:rPr>
        <w:t xml:space="preserve"> </w:t>
      </w:r>
      <w:r>
        <w:rPr>
          <w:sz w:val="24"/>
        </w:rPr>
        <w:t>Gender</w:t>
      </w:r>
      <w:r>
        <w:rPr>
          <w:spacing w:val="-2"/>
          <w:sz w:val="24"/>
        </w:rPr>
        <w:t xml:space="preserve"> </w:t>
      </w:r>
      <w:r>
        <w:rPr>
          <w:sz w:val="24"/>
        </w:rPr>
        <w:t>Equality</w:t>
      </w:r>
    </w:p>
    <w:p w:rsidR="00526895" w:rsidRDefault="00526895" w:rsidP="00526895">
      <w:pPr>
        <w:tabs>
          <w:tab w:val="left" w:pos="3018"/>
        </w:tabs>
        <w:ind w:left="140"/>
        <w:rPr>
          <w:sz w:val="24"/>
        </w:rPr>
      </w:pPr>
      <w:r>
        <w:rPr>
          <w:sz w:val="24"/>
        </w:rPr>
        <w:t>EMFAF</w:t>
      </w:r>
      <w:r>
        <w:rPr>
          <w:sz w:val="24"/>
        </w:rPr>
        <w:tab/>
        <w:t>European</w:t>
      </w:r>
      <w:r>
        <w:rPr>
          <w:spacing w:val="-3"/>
          <w:sz w:val="24"/>
        </w:rPr>
        <w:t xml:space="preserve"> </w:t>
      </w:r>
      <w:r>
        <w:rPr>
          <w:sz w:val="24"/>
        </w:rPr>
        <w:t>Maritime,</w:t>
      </w:r>
      <w:r>
        <w:rPr>
          <w:spacing w:val="-3"/>
          <w:sz w:val="24"/>
        </w:rPr>
        <w:t xml:space="preserve"> </w:t>
      </w:r>
      <w:r>
        <w:rPr>
          <w:sz w:val="24"/>
        </w:rPr>
        <w:t>Fisheries</w:t>
      </w:r>
      <w:r>
        <w:rPr>
          <w:spacing w:val="-2"/>
          <w:sz w:val="24"/>
        </w:rPr>
        <w:t xml:space="preserve"> </w:t>
      </w:r>
      <w:r>
        <w:rPr>
          <w:sz w:val="24"/>
        </w:rPr>
        <w:t>and</w:t>
      </w:r>
      <w:r>
        <w:rPr>
          <w:spacing w:val="-3"/>
          <w:sz w:val="24"/>
        </w:rPr>
        <w:t xml:space="preserve"> </w:t>
      </w:r>
      <w:r>
        <w:rPr>
          <w:sz w:val="24"/>
        </w:rPr>
        <w:t>Aquaculture</w:t>
      </w:r>
      <w:r>
        <w:rPr>
          <w:spacing w:val="-3"/>
          <w:sz w:val="24"/>
        </w:rPr>
        <w:t xml:space="preserve"> </w:t>
      </w:r>
      <w:r>
        <w:rPr>
          <w:sz w:val="24"/>
        </w:rPr>
        <w:t>Fund</w:t>
      </w:r>
    </w:p>
    <w:p w:rsidR="00526895" w:rsidRDefault="00526895" w:rsidP="00526895">
      <w:pPr>
        <w:tabs>
          <w:tab w:val="left" w:pos="3019"/>
        </w:tabs>
        <w:ind w:left="140"/>
        <w:rPr>
          <w:sz w:val="24"/>
        </w:rPr>
      </w:pPr>
      <w:r>
        <w:rPr>
          <w:sz w:val="24"/>
        </w:rPr>
        <w:t>EPSR</w:t>
      </w:r>
      <w:r>
        <w:rPr>
          <w:sz w:val="24"/>
        </w:rPr>
        <w:tab/>
        <w:t>European</w:t>
      </w:r>
      <w:r>
        <w:rPr>
          <w:spacing w:val="-3"/>
          <w:sz w:val="24"/>
        </w:rPr>
        <w:t xml:space="preserve"> </w:t>
      </w:r>
      <w:r>
        <w:rPr>
          <w:sz w:val="24"/>
        </w:rPr>
        <w:t>Pillar</w:t>
      </w:r>
      <w:r>
        <w:rPr>
          <w:spacing w:val="-5"/>
          <w:sz w:val="24"/>
        </w:rPr>
        <w:t xml:space="preserve"> </w:t>
      </w:r>
      <w:r>
        <w:rPr>
          <w:sz w:val="24"/>
        </w:rPr>
        <w:t>of</w:t>
      </w:r>
      <w:r>
        <w:rPr>
          <w:spacing w:val="-2"/>
          <w:sz w:val="24"/>
        </w:rPr>
        <w:t xml:space="preserve"> </w:t>
      </w:r>
      <w:r>
        <w:rPr>
          <w:sz w:val="24"/>
        </w:rPr>
        <w:t>Social Rights</w:t>
      </w:r>
    </w:p>
    <w:p w:rsidR="00526895" w:rsidRDefault="00526895" w:rsidP="00526895">
      <w:pPr>
        <w:tabs>
          <w:tab w:val="left" w:pos="3019"/>
        </w:tabs>
        <w:ind w:left="140"/>
        <w:rPr>
          <w:sz w:val="24"/>
        </w:rPr>
      </w:pPr>
      <w:r>
        <w:rPr>
          <w:sz w:val="24"/>
        </w:rPr>
        <w:t>ERA</w:t>
      </w:r>
      <w:r>
        <w:rPr>
          <w:sz w:val="24"/>
        </w:rPr>
        <w:tab/>
        <w:t>Academy</w:t>
      </w:r>
      <w:r>
        <w:rPr>
          <w:spacing w:val="-6"/>
          <w:sz w:val="24"/>
        </w:rPr>
        <w:t xml:space="preserve"> </w:t>
      </w:r>
      <w:r>
        <w:rPr>
          <w:sz w:val="24"/>
        </w:rPr>
        <w:t>of</w:t>
      </w:r>
      <w:r>
        <w:rPr>
          <w:spacing w:val="2"/>
          <w:sz w:val="24"/>
        </w:rPr>
        <w:t xml:space="preserve"> </w:t>
      </w:r>
      <w:r>
        <w:rPr>
          <w:sz w:val="24"/>
        </w:rPr>
        <w:t>European</w:t>
      </w:r>
      <w:r>
        <w:rPr>
          <w:spacing w:val="-1"/>
          <w:sz w:val="24"/>
        </w:rPr>
        <w:t xml:space="preserve"> </w:t>
      </w:r>
      <w:r>
        <w:rPr>
          <w:sz w:val="24"/>
        </w:rPr>
        <w:t>Law</w:t>
      </w:r>
    </w:p>
    <w:p w:rsidR="00526895" w:rsidRDefault="00526895" w:rsidP="00526895">
      <w:pPr>
        <w:tabs>
          <w:tab w:val="left" w:pos="3018"/>
        </w:tabs>
        <w:ind w:left="861" w:right="2534" w:hanging="722"/>
        <w:rPr>
          <w:sz w:val="24"/>
        </w:rPr>
      </w:pPr>
      <w:r>
        <w:rPr>
          <w:sz w:val="24"/>
        </w:rPr>
        <w:t>ERDF</w:t>
      </w:r>
      <w:r>
        <w:rPr>
          <w:sz w:val="24"/>
        </w:rPr>
        <w:tab/>
      </w:r>
      <w:r>
        <w:rPr>
          <w:sz w:val="24"/>
        </w:rPr>
        <w:tab/>
        <w:t>European</w:t>
      </w:r>
      <w:r>
        <w:rPr>
          <w:spacing w:val="-6"/>
          <w:sz w:val="24"/>
        </w:rPr>
        <w:t xml:space="preserve"> </w:t>
      </w:r>
      <w:r>
        <w:rPr>
          <w:sz w:val="24"/>
        </w:rPr>
        <w:t>Regional</w:t>
      </w:r>
      <w:r>
        <w:rPr>
          <w:spacing w:val="-8"/>
          <w:sz w:val="24"/>
        </w:rPr>
        <w:t xml:space="preserve"> </w:t>
      </w:r>
      <w:r>
        <w:rPr>
          <w:sz w:val="24"/>
        </w:rPr>
        <w:t>Development</w:t>
      </w:r>
      <w:r>
        <w:rPr>
          <w:spacing w:val="-9"/>
          <w:sz w:val="24"/>
        </w:rPr>
        <w:t xml:space="preserve"> </w:t>
      </w:r>
      <w:r>
        <w:rPr>
          <w:sz w:val="24"/>
        </w:rPr>
        <w:t>Fund</w:t>
      </w:r>
    </w:p>
    <w:p w:rsidR="00526895" w:rsidRDefault="00526895" w:rsidP="00526895">
      <w:pPr>
        <w:tabs>
          <w:tab w:val="left" w:pos="3018"/>
        </w:tabs>
        <w:ind w:left="861" w:right="2534" w:hanging="722"/>
        <w:rPr>
          <w:sz w:val="24"/>
        </w:rPr>
      </w:pPr>
      <w:r>
        <w:rPr>
          <w:sz w:val="24"/>
        </w:rPr>
        <w:t>ESC</w:t>
      </w:r>
      <w:r>
        <w:rPr>
          <w:sz w:val="24"/>
        </w:rPr>
        <w:tab/>
      </w:r>
      <w:r>
        <w:rPr>
          <w:sz w:val="24"/>
        </w:rPr>
        <w:tab/>
      </w:r>
      <w:r>
        <w:rPr>
          <w:spacing w:val="-57"/>
          <w:sz w:val="24"/>
        </w:rPr>
        <w:t xml:space="preserve"> </w:t>
      </w:r>
      <w:r>
        <w:rPr>
          <w:sz w:val="24"/>
        </w:rPr>
        <w:t>European</w:t>
      </w:r>
      <w:r>
        <w:rPr>
          <w:spacing w:val="-2"/>
          <w:sz w:val="24"/>
        </w:rPr>
        <w:t xml:space="preserve"> </w:t>
      </w:r>
      <w:r>
        <w:rPr>
          <w:sz w:val="24"/>
        </w:rPr>
        <w:t>Solidarity</w:t>
      </w:r>
      <w:r>
        <w:rPr>
          <w:spacing w:val="-5"/>
          <w:sz w:val="24"/>
        </w:rPr>
        <w:t xml:space="preserve"> </w:t>
      </w:r>
      <w:r>
        <w:rPr>
          <w:sz w:val="24"/>
        </w:rPr>
        <w:t>Corps</w:t>
      </w:r>
    </w:p>
    <w:p w:rsidR="00526895" w:rsidRDefault="00526895" w:rsidP="00526895">
      <w:pPr>
        <w:tabs>
          <w:tab w:val="left" w:pos="3019"/>
        </w:tabs>
        <w:ind w:left="140"/>
        <w:rPr>
          <w:sz w:val="24"/>
        </w:rPr>
      </w:pPr>
      <w:r>
        <w:rPr>
          <w:sz w:val="24"/>
        </w:rPr>
        <w:t>ESF+</w:t>
      </w:r>
      <w:r>
        <w:rPr>
          <w:sz w:val="24"/>
        </w:rPr>
        <w:tab/>
        <w:t>European</w:t>
      </w:r>
      <w:r>
        <w:rPr>
          <w:spacing w:val="-3"/>
          <w:sz w:val="24"/>
        </w:rPr>
        <w:t xml:space="preserve"> </w:t>
      </w:r>
      <w:r>
        <w:rPr>
          <w:sz w:val="24"/>
        </w:rPr>
        <w:t>Social</w:t>
      </w:r>
      <w:r>
        <w:rPr>
          <w:spacing w:val="-1"/>
          <w:sz w:val="24"/>
        </w:rPr>
        <w:t xml:space="preserve"> </w:t>
      </w:r>
      <w:r>
        <w:rPr>
          <w:sz w:val="24"/>
        </w:rPr>
        <w:t>Fund</w:t>
      </w:r>
      <w:r>
        <w:rPr>
          <w:spacing w:val="-3"/>
          <w:sz w:val="24"/>
        </w:rPr>
        <w:t xml:space="preserve"> </w:t>
      </w:r>
      <w:r>
        <w:rPr>
          <w:sz w:val="24"/>
        </w:rPr>
        <w:t>Plus</w:t>
      </w:r>
      <w:r>
        <w:rPr>
          <w:spacing w:val="-3"/>
          <w:sz w:val="24"/>
        </w:rPr>
        <w:t xml:space="preserve"> </w:t>
      </w:r>
      <w:r>
        <w:rPr>
          <w:sz w:val="24"/>
        </w:rPr>
        <w:t>(successor</w:t>
      </w:r>
      <w:r>
        <w:rPr>
          <w:spacing w:val="-3"/>
          <w:sz w:val="24"/>
        </w:rPr>
        <w:t xml:space="preserve"> </w:t>
      </w:r>
      <w:r>
        <w:rPr>
          <w:sz w:val="24"/>
        </w:rPr>
        <w:t>to</w:t>
      </w:r>
      <w:r>
        <w:rPr>
          <w:spacing w:val="-3"/>
          <w:sz w:val="24"/>
        </w:rPr>
        <w:t xml:space="preserve"> </w:t>
      </w:r>
      <w:r>
        <w:rPr>
          <w:sz w:val="24"/>
        </w:rPr>
        <w:t>ESF)</w:t>
      </w:r>
    </w:p>
    <w:p w:rsidR="00526895" w:rsidRDefault="00526895" w:rsidP="00526895">
      <w:pPr>
        <w:tabs>
          <w:tab w:val="left" w:pos="3019"/>
        </w:tabs>
        <w:ind w:left="140"/>
        <w:rPr>
          <w:sz w:val="24"/>
        </w:rPr>
      </w:pPr>
      <w:r>
        <w:rPr>
          <w:sz w:val="24"/>
        </w:rPr>
        <w:t>ESI</w:t>
      </w:r>
      <w:r>
        <w:rPr>
          <w:spacing w:val="-5"/>
          <w:sz w:val="24"/>
        </w:rPr>
        <w:t xml:space="preserve"> </w:t>
      </w:r>
      <w:r>
        <w:rPr>
          <w:sz w:val="24"/>
        </w:rPr>
        <w:t>Funds</w:t>
      </w:r>
      <w:r>
        <w:rPr>
          <w:sz w:val="24"/>
        </w:rPr>
        <w:tab/>
        <w:t>European</w:t>
      </w:r>
      <w:r>
        <w:rPr>
          <w:spacing w:val="-4"/>
          <w:sz w:val="24"/>
        </w:rPr>
        <w:t xml:space="preserve"> </w:t>
      </w:r>
      <w:r>
        <w:rPr>
          <w:sz w:val="24"/>
        </w:rPr>
        <w:t>Structural</w:t>
      </w:r>
      <w:r>
        <w:rPr>
          <w:spacing w:val="-3"/>
          <w:sz w:val="24"/>
        </w:rPr>
        <w:t xml:space="preserve"> </w:t>
      </w:r>
      <w:r>
        <w:rPr>
          <w:sz w:val="24"/>
        </w:rPr>
        <w:t>and</w:t>
      </w:r>
      <w:r>
        <w:rPr>
          <w:spacing w:val="-1"/>
          <w:sz w:val="24"/>
        </w:rPr>
        <w:t xml:space="preserve"> </w:t>
      </w:r>
      <w:r>
        <w:rPr>
          <w:sz w:val="24"/>
        </w:rPr>
        <w:t>Investment</w:t>
      </w:r>
      <w:r>
        <w:rPr>
          <w:spacing w:val="-4"/>
          <w:sz w:val="24"/>
        </w:rPr>
        <w:t xml:space="preserve"> </w:t>
      </w:r>
      <w:r>
        <w:rPr>
          <w:sz w:val="24"/>
        </w:rPr>
        <w:t>Funds</w:t>
      </w:r>
    </w:p>
    <w:p w:rsidR="00526895" w:rsidRDefault="00526895" w:rsidP="00526895">
      <w:pPr>
        <w:tabs>
          <w:tab w:val="left" w:pos="3019"/>
        </w:tabs>
        <w:ind w:left="140"/>
        <w:rPr>
          <w:sz w:val="24"/>
        </w:rPr>
      </w:pPr>
      <w:r>
        <w:rPr>
          <w:sz w:val="24"/>
        </w:rPr>
        <w:t>ESO</w:t>
      </w:r>
      <w:r>
        <w:rPr>
          <w:sz w:val="24"/>
        </w:rPr>
        <w:tab/>
        <w:t>European</w:t>
      </w:r>
      <w:r>
        <w:rPr>
          <w:spacing w:val="-5"/>
          <w:sz w:val="24"/>
        </w:rPr>
        <w:t xml:space="preserve"> </w:t>
      </w:r>
      <w:r>
        <w:rPr>
          <w:sz w:val="24"/>
        </w:rPr>
        <w:t>Standards</w:t>
      </w:r>
      <w:r>
        <w:rPr>
          <w:spacing w:val="-1"/>
          <w:sz w:val="24"/>
        </w:rPr>
        <w:t xml:space="preserve"> </w:t>
      </w:r>
      <w:r>
        <w:rPr>
          <w:sz w:val="24"/>
        </w:rPr>
        <w:t>Organisation</w:t>
      </w:r>
    </w:p>
    <w:p w:rsidR="00526895" w:rsidRDefault="00526895" w:rsidP="00526895">
      <w:pPr>
        <w:tabs>
          <w:tab w:val="left" w:pos="3019"/>
        </w:tabs>
        <w:ind w:left="140"/>
        <w:rPr>
          <w:sz w:val="24"/>
        </w:rPr>
      </w:pPr>
      <w:r>
        <w:rPr>
          <w:sz w:val="24"/>
        </w:rPr>
        <w:t>EU</w:t>
      </w:r>
      <w:r>
        <w:rPr>
          <w:sz w:val="24"/>
        </w:rPr>
        <w:tab/>
        <w:t>European</w:t>
      </w:r>
      <w:r>
        <w:rPr>
          <w:spacing w:val="-4"/>
          <w:sz w:val="24"/>
        </w:rPr>
        <w:t xml:space="preserve"> </w:t>
      </w:r>
      <w:r>
        <w:rPr>
          <w:sz w:val="24"/>
        </w:rPr>
        <w:t>Union</w:t>
      </w:r>
    </w:p>
    <w:p w:rsidR="00526895" w:rsidRDefault="00526895" w:rsidP="00526895">
      <w:pPr>
        <w:tabs>
          <w:tab w:val="left" w:pos="3019"/>
        </w:tabs>
        <w:ind w:left="140"/>
        <w:rPr>
          <w:sz w:val="24"/>
        </w:rPr>
      </w:pPr>
      <w:r>
        <w:rPr>
          <w:sz w:val="24"/>
        </w:rPr>
        <w:t>EU-LFS</w:t>
      </w:r>
      <w:r>
        <w:rPr>
          <w:sz w:val="24"/>
        </w:rPr>
        <w:tab/>
        <w:t>European</w:t>
      </w:r>
      <w:r>
        <w:rPr>
          <w:spacing w:val="-3"/>
          <w:sz w:val="24"/>
        </w:rPr>
        <w:t xml:space="preserve"> </w:t>
      </w:r>
      <w:r>
        <w:rPr>
          <w:sz w:val="24"/>
        </w:rPr>
        <w:t>Union Labour</w:t>
      </w:r>
      <w:r>
        <w:rPr>
          <w:spacing w:val="-3"/>
          <w:sz w:val="24"/>
        </w:rPr>
        <w:t xml:space="preserve"> </w:t>
      </w:r>
      <w:r>
        <w:rPr>
          <w:sz w:val="24"/>
        </w:rPr>
        <w:t>Force</w:t>
      </w:r>
      <w:r>
        <w:rPr>
          <w:spacing w:val="-3"/>
          <w:sz w:val="24"/>
        </w:rPr>
        <w:t xml:space="preserve"> </w:t>
      </w:r>
      <w:r>
        <w:rPr>
          <w:sz w:val="24"/>
        </w:rPr>
        <w:t>Survey</w:t>
      </w:r>
    </w:p>
    <w:p w:rsidR="00526895" w:rsidRDefault="00526895" w:rsidP="00526895">
      <w:pPr>
        <w:rPr>
          <w:sz w:val="24"/>
        </w:rPr>
        <w:sectPr w:rsidR="00526895" w:rsidSect="00526895">
          <w:footerReference w:type="default" r:id="rId20"/>
          <w:pgSz w:w="12240" w:h="15840"/>
          <w:pgMar w:top="1380" w:right="1200" w:bottom="1160" w:left="1300" w:header="720" w:footer="964" w:gutter="0"/>
          <w:pgNumType w:start="47"/>
          <w:cols w:space="720"/>
        </w:sectPr>
      </w:pPr>
    </w:p>
    <w:p w:rsidR="00526895" w:rsidRDefault="00526895" w:rsidP="00526895">
      <w:pPr>
        <w:tabs>
          <w:tab w:val="left" w:pos="3017"/>
        </w:tabs>
        <w:spacing w:before="74"/>
        <w:ind w:left="140"/>
        <w:rPr>
          <w:sz w:val="24"/>
        </w:rPr>
      </w:pPr>
      <w:r>
        <w:rPr>
          <w:sz w:val="24"/>
        </w:rPr>
        <w:t>Eurostat</w:t>
      </w:r>
      <w:r>
        <w:rPr>
          <w:sz w:val="24"/>
        </w:rPr>
        <w:tab/>
        <w:t>Statistical</w:t>
      </w:r>
      <w:r>
        <w:rPr>
          <w:spacing w:val="-4"/>
          <w:sz w:val="24"/>
        </w:rPr>
        <w:t xml:space="preserve"> </w:t>
      </w:r>
      <w:r>
        <w:rPr>
          <w:sz w:val="24"/>
        </w:rPr>
        <w:t>office</w:t>
      </w:r>
      <w:r>
        <w:rPr>
          <w:spacing w:val="-4"/>
          <w:sz w:val="24"/>
        </w:rPr>
        <w:t xml:space="preserve"> </w:t>
      </w:r>
      <w:r>
        <w:rPr>
          <w:sz w:val="24"/>
        </w:rPr>
        <w:t>of</w:t>
      </w:r>
      <w:r>
        <w:rPr>
          <w:spacing w:val="-2"/>
          <w:sz w:val="24"/>
        </w:rPr>
        <w:t xml:space="preserve"> </w:t>
      </w:r>
      <w:r>
        <w:rPr>
          <w:sz w:val="24"/>
        </w:rPr>
        <w:t>the</w:t>
      </w:r>
      <w:r>
        <w:rPr>
          <w:spacing w:val="-2"/>
          <w:sz w:val="24"/>
        </w:rPr>
        <w:t xml:space="preserve"> </w:t>
      </w:r>
      <w:r>
        <w:rPr>
          <w:sz w:val="24"/>
        </w:rPr>
        <w:t>European</w:t>
      </w:r>
      <w:r>
        <w:rPr>
          <w:spacing w:val="-2"/>
          <w:sz w:val="24"/>
        </w:rPr>
        <w:t xml:space="preserve"> </w:t>
      </w:r>
      <w:r>
        <w:rPr>
          <w:sz w:val="24"/>
        </w:rPr>
        <w:t>Union</w:t>
      </w:r>
    </w:p>
    <w:p w:rsidR="00526895" w:rsidRDefault="00526895" w:rsidP="00526895">
      <w:pPr>
        <w:tabs>
          <w:tab w:val="left" w:pos="3019"/>
        </w:tabs>
        <w:ind w:left="140"/>
        <w:rPr>
          <w:sz w:val="24"/>
        </w:rPr>
      </w:pPr>
      <w:r>
        <w:rPr>
          <w:sz w:val="24"/>
        </w:rPr>
        <w:t>EU-SILC</w:t>
      </w:r>
      <w:r>
        <w:rPr>
          <w:sz w:val="24"/>
        </w:rPr>
        <w:tab/>
        <w:t>European</w:t>
      </w:r>
      <w:r>
        <w:rPr>
          <w:spacing w:val="-3"/>
          <w:sz w:val="24"/>
        </w:rPr>
        <w:t xml:space="preserve"> </w:t>
      </w:r>
      <w:r>
        <w:rPr>
          <w:sz w:val="24"/>
        </w:rPr>
        <w:t>Union</w:t>
      </w:r>
      <w:r>
        <w:rPr>
          <w:spacing w:val="-3"/>
          <w:sz w:val="24"/>
        </w:rPr>
        <w:t xml:space="preserve"> </w:t>
      </w:r>
      <w:r>
        <w:rPr>
          <w:sz w:val="24"/>
        </w:rPr>
        <w:t>Statistics</w:t>
      </w:r>
      <w:r>
        <w:rPr>
          <w:spacing w:val="-3"/>
          <w:sz w:val="24"/>
        </w:rPr>
        <w:t xml:space="preserve"> </w:t>
      </w:r>
      <w:r>
        <w:rPr>
          <w:sz w:val="24"/>
        </w:rPr>
        <w:t>on Income</w:t>
      </w:r>
      <w:r>
        <w:rPr>
          <w:spacing w:val="-3"/>
          <w:sz w:val="24"/>
        </w:rPr>
        <w:t xml:space="preserve"> </w:t>
      </w:r>
      <w:r>
        <w:rPr>
          <w:sz w:val="24"/>
        </w:rPr>
        <w:t>and Living</w:t>
      </w:r>
      <w:r>
        <w:rPr>
          <w:spacing w:val="-3"/>
          <w:sz w:val="24"/>
        </w:rPr>
        <w:t xml:space="preserve"> </w:t>
      </w:r>
      <w:r>
        <w:rPr>
          <w:sz w:val="24"/>
        </w:rPr>
        <w:t>Conditions</w:t>
      </w:r>
    </w:p>
    <w:p w:rsidR="00526895" w:rsidRDefault="00526895" w:rsidP="00526895">
      <w:pPr>
        <w:tabs>
          <w:tab w:val="left" w:pos="3018"/>
        </w:tabs>
        <w:ind w:left="140"/>
        <w:rPr>
          <w:sz w:val="24"/>
        </w:rPr>
      </w:pPr>
      <w:r>
        <w:rPr>
          <w:sz w:val="24"/>
        </w:rPr>
        <w:t>FRA</w:t>
      </w:r>
      <w:r>
        <w:rPr>
          <w:sz w:val="24"/>
        </w:rPr>
        <w:tab/>
        <w:t>European</w:t>
      </w:r>
      <w:r>
        <w:rPr>
          <w:spacing w:val="-4"/>
          <w:sz w:val="24"/>
        </w:rPr>
        <w:t xml:space="preserve"> </w:t>
      </w:r>
      <w:r>
        <w:rPr>
          <w:sz w:val="24"/>
        </w:rPr>
        <w:t>Union</w:t>
      </w:r>
      <w:r>
        <w:rPr>
          <w:spacing w:val="-3"/>
          <w:sz w:val="24"/>
        </w:rPr>
        <w:t xml:space="preserve"> </w:t>
      </w:r>
      <w:r>
        <w:rPr>
          <w:sz w:val="24"/>
        </w:rPr>
        <w:t>Agency</w:t>
      </w:r>
      <w:r>
        <w:rPr>
          <w:spacing w:val="-4"/>
          <w:sz w:val="24"/>
        </w:rPr>
        <w:t xml:space="preserve"> </w:t>
      </w:r>
      <w:r>
        <w:rPr>
          <w:sz w:val="24"/>
        </w:rPr>
        <w:t>for</w:t>
      </w:r>
      <w:r>
        <w:rPr>
          <w:spacing w:val="-3"/>
          <w:sz w:val="24"/>
        </w:rPr>
        <w:t xml:space="preserve"> </w:t>
      </w:r>
      <w:r>
        <w:rPr>
          <w:sz w:val="24"/>
        </w:rPr>
        <w:t>Fundamental</w:t>
      </w:r>
      <w:r>
        <w:rPr>
          <w:spacing w:val="-4"/>
          <w:sz w:val="24"/>
        </w:rPr>
        <w:t xml:space="preserve"> </w:t>
      </w:r>
      <w:r>
        <w:rPr>
          <w:sz w:val="24"/>
        </w:rPr>
        <w:t>Rights</w:t>
      </w:r>
    </w:p>
    <w:p w:rsidR="00526895" w:rsidRDefault="00526895" w:rsidP="00526895">
      <w:pPr>
        <w:tabs>
          <w:tab w:val="left" w:pos="3019"/>
        </w:tabs>
        <w:ind w:left="140"/>
        <w:rPr>
          <w:sz w:val="24"/>
        </w:rPr>
      </w:pPr>
      <w:r>
        <w:rPr>
          <w:sz w:val="24"/>
        </w:rPr>
        <w:t>GALI</w:t>
      </w:r>
      <w:r>
        <w:rPr>
          <w:sz w:val="24"/>
        </w:rPr>
        <w:tab/>
        <w:t>Global</w:t>
      </w:r>
      <w:r>
        <w:rPr>
          <w:spacing w:val="-5"/>
          <w:sz w:val="24"/>
        </w:rPr>
        <w:t xml:space="preserve"> </w:t>
      </w:r>
      <w:r>
        <w:rPr>
          <w:sz w:val="24"/>
        </w:rPr>
        <w:t>Activity</w:t>
      </w:r>
      <w:r>
        <w:rPr>
          <w:spacing w:val="-5"/>
          <w:sz w:val="24"/>
        </w:rPr>
        <w:t xml:space="preserve"> </w:t>
      </w:r>
      <w:r>
        <w:rPr>
          <w:sz w:val="24"/>
        </w:rPr>
        <w:t>Limitation Indicator</w:t>
      </w:r>
    </w:p>
    <w:p w:rsidR="00526895" w:rsidRDefault="00526895" w:rsidP="00526895">
      <w:pPr>
        <w:tabs>
          <w:tab w:val="left" w:pos="3019"/>
        </w:tabs>
        <w:ind w:left="140"/>
        <w:rPr>
          <w:sz w:val="24"/>
        </w:rPr>
      </w:pPr>
      <w:r>
        <w:rPr>
          <w:sz w:val="24"/>
        </w:rPr>
        <w:t>GLAD</w:t>
      </w:r>
      <w:r>
        <w:rPr>
          <w:sz w:val="24"/>
        </w:rPr>
        <w:tab/>
        <w:t>Global</w:t>
      </w:r>
      <w:r>
        <w:rPr>
          <w:spacing w:val="-2"/>
          <w:sz w:val="24"/>
        </w:rPr>
        <w:t xml:space="preserve"> </w:t>
      </w:r>
      <w:r>
        <w:rPr>
          <w:sz w:val="24"/>
        </w:rPr>
        <w:t>Action</w:t>
      </w:r>
      <w:r>
        <w:rPr>
          <w:spacing w:val="-2"/>
          <w:sz w:val="24"/>
        </w:rPr>
        <w:t xml:space="preserve"> </w:t>
      </w:r>
      <w:r>
        <w:rPr>
          <w:sz w:val="24"/>
        </w:rPr>
        <w:t>on</w:t>
      </w:r>
      <w:r>
        <w:rPr>
          <w:spacing w:val="-2"/>
          <w:sz w:val="24"/>
        </w:rPr>
        <w:t xml:space="preserve"> </w:t>
      </w:r>
      <w:r>
        <w:rPr>
          <w:sz w:val="24"/>
        </w:rPr>
        <w:t>Disability</w:t>
      </w:r>
    </w:p>
    <w:p w:rsidR="00526895" w:rsidRDefault="00526895" w:rsidP="00526895">
      <w:pPr>
        <w:tabs>
          <w:tab w:val="left" w:pos="3019"/>
        </w:tabs>
        <w:ind w:left="140"/>
        <w:rPr>
          <w:sz w:val="24"/>
        </w:rPr>
      </w:pPr>
      <w:r>
        <w:rPr>
          <w:sz w:val="24"/>
        </w:rPr>
        <w:t>HRBA</w:t>
      </w:r>
      <w:r>
        <w:rPr>
          <w:sz w:val="24"/>
        </w:rPr>
        <w:tab/>
        <w:t>Human</w:t>
      </w:r>
      <w:r>
        <w:rPr>
          <w:spacing w:val="-5"/>
          <w:sz w:val="24"/>
        </w:rPr>
        <w:t xml:space="preserve"> </w:t>
      </w:r>
      <w:r>
        <w:rPr>
          <w:sz w:val="24"/>
        </w:rPr>
        <w:t>Rights-Based</w:t>
      </w:r>
      <w:r>
        <w:rPr>
          <w:spacing w:val="-1"/>
          <w:sz w:val="24"/>
        </w:rPr>
        <w:t xml:space="preserve"> </w:t>
      </w:r>
      <w:r>
        <w:rPr>
          <w:sz w:val="24"/>
        </w:rPr>
        <w:t>Approach</w:t>
      </w:r>
    </w:p>
    <w:p w:rsidR="00526895" w:rsidRDefault="00526895" w:rsidP="00526895">
      <w:pPr>
        <w:tabs>
          <w:tab w:val="left" w:pos="3020"/>
        </w:tabs>
        <w:ind w:left="140"/>
        <w:rPr>
          <w:sz w:val="24"/>
        </w:rPr>
      </w:pPr>
      <w:r>
        <w:rPr>
          <w:sz w:val="24"/>
        </w:rPr>
        <w:t>ISF</w:t>
      </w:r>
      <w:r>
        <w:rPr>
          <w:sz w:val="24"/>
        </w:rPr>
        <w:tab/>
        <w:t>Internal</w:t>
      </w:r>
      <w:r>
        <w:rPr>
          <w:spacing w:val="-4"/>
          <w:sz w:val="24"/>
        </w:rPr>
        <w:t xml:space="preserve"> </w:t>
      </w:r>
      <w:r>
        <w:rPr>
          <w:sz w:val="24"/>
        </w:rPr>
        <w:t>Security</w:t>
      </w:r>
      <w:r>
        <w:rPr>
          <w:spacing w:val="-4"/>
          <w:sz w:val="24"/>
        </w:rPr>
        <w:t xml:space="preserve"> </w:t>
      </w:r>
      <w:r>
        <w:rPr>
          <w:sz w:val="24"/>
        </w:rPr>
        <w:t>Fund</w:t>
      </w:r>
    </w:p>
    <w:p w:rsidR="00526895" w:rsidRDefault="00526895" w:rsidP="00526895">
      <w:pPr>
        <w:tabs>
          <w:tab w:val="left" w:pos="3020"/>
        </w:tabs>
        <w:ind w:left="140"/>
        <w:rPr>
          <w:sz w:val="24"/>
        </w:rPr>
      </w:pPr>
      <w:r>
        <w:rPr>
          <w:sz w:val="24"/>
        </w:rPr>
        <w:t>ISG</w:t>
      </w:r>
      <w:r>
        <w:rPr>
          <w:sz w:val="24"/>
        </w:rPr>
        <w:tab/>
        <w:t>Inter-Service</w:t>
      </w:r>
      <w:r>
        <w:rPr>
          <w:spacing w:val="-5"/>
          <w:sz w:val="24"/>
        </w:rPr>
        <w:t xml:space="preserve"> </w:t>
      </w:r>
      <w:r>
        <w:rPr>
          <w:sz w:val="24"/>
        </w:rPr>
        <w:t>Group</w:t>
      </w:r>
    </w:p>
    <w:p w:rsidR="00526895" w:rsidRDefault="00526895" w:rsidP="00526895">
      <w:pPr>
        <w:tabs>
          <w:tab w:val="left" w:pos="3019"/>
        </w:tabs>
        <w:ind w:left="140"/>
        <w:rPr>
          <w:sz w:val="24"/>
        </w:rPr>
      </w:pPr>
      <w:r>
        <w:rPr>
          <w:sz w:val="24"/>
        </w:rPr>
        <w:t>ISL</w:t>
      </w:r>
      <w:r>
        <w:rPr>
          <w:sz w:val="24"/>
        </w:rPr>
        <w:tab/>
        <w:t>International</w:t>
      </w:r>
      <w:r>
        <w:rPr>
          <w:spacing w:val="-5"/>
          <w:sz w:val="24"/>
        </w:rPr>
        <w:t xml:space="preserve"> </w:t>
      </w:r>
      <w:r>
        <w:rPr>
          <w:sz w:val="24"/>
        </w:rPr>
        <w:t>Sign</w:t>
      </w:r>
      <w:r>
        <w:rPr>
          <w:spacing w:val="-1"/>
          <w:sz w:val="24"/>
        </w:rPr>
        <w:t xml:space="preserve"> </w:t>
      </w:r>
      <w:r>
        <w:rPr>
          <w:sz w:val="24"/>
        </w:rPr>
        <w:t>Language</w:t>
      </w:r>
    </w:p>
    <w:p w:rsidR="00526895" w:rsidRDefault="00526895" w:rsidP="00526895">
      <w:pPr>
        <w:tabs>
          <w:tab w:val="left" w:pos="3019"/>
        </w:tabs>
        <w:ind w:left="140"/>
        <w:rPr>
          <w:sz w:val="24"/>
        </w:rPr>
      </w:pPr>
      <w:r>
        <w:rPr>
          <w:sz w:val="24"/>
        </w:rPr>
        <w:t>JSIS</w:t>
      </w:r>
      <w:r>
        <w:rPr>
          <w:sz w:val="24"/>
        </w:rPr>
        <w:tab/>
        <w:t>Joint</w:t>
      </w:r>
      <w:r>
        <w:rPr>
          <w:spacing w:val="-4"/>
          <w:sz w:val="24"/>
        </w:rPr>
        <w:t xml:space="preserve"> </w:t>
      </w:r>
      <w:r>
        <w:rPr>
          <w:sz w:val="24"/>
        </w:rPr>
        <w:t>Sickness</w:t>
      </w:r>
      <w:r>
        <w:rPr>
          <w:spacing w:val="-1"/>
          <w:sz w:val="24"/>
        </w:rPr>
        <w:t xml:space="preserve"> </w:t>
      </w:r>
      <w:r>
        <w:rPr>
          <w:sz w:val="24"/>
        </w:rPr>
        <w:t>Insurance</w:t>
      </w:r>
      <w:r>
        <w:rPr>
          <w:spacing w:val="-5"/>
          <w:sz w:val="24"/>
        </w:rPr>
        <w:t xml:space="preserve"> </w:t>
      </w:r>
      <w:r>
        <w:rPr>
          <w:sz w:val="24"/>
        </w:rPr>
        <w:t>Scheme</w:t>
      </w:r>
    </w:p>
    <w:p w:rsidR="00526895" w:rsidRDefault="00526895" w:rsidP="00526895">
      <w:pPr>
        <w:tabs>
          <w:tab w:val="left" w:pos="3019"/>
        </w:tabs>
        <w:ind w:left="140"/>
        <w:rPr>
          <w:sz w:val="24"/>
        </w:rPr>
      </w:pPr>
      <w:r>
        <w:rPr>
          <w:sz w:val="24"/>
        </w:rPr>
        <w:t>JTF</w:t>
      </w:r>
      <w:r>
        <w:rPr>
          <w:sz w:val="24"/>
        </w:rPr>
        <w:tab/>
        <w:t>Just Transition</w:t>
      </w:r>
      <w:r>
        <w:rPr>
          <w:spacing w:val="-3"/>
          <w:sz w:val="24"/>
        </w:rPr>
        <w:t xml:space="preserve"> </w:t>
      </w:r>
      <w:r>
        <w:rPr>
          <w:sz w:val="24"/>
        </w:rPr>
        <w:t>Fund</w:t>
      </w:r>
    </w:p>
    <w:p w:rsidR="00526895" w:rsidRDefault="00526895" w:rsidP="00526895">
      <w:pPr>
        <w:tabs>
          <w:tab w:val="left" w:pos="3019"/>
        </w:tabs>
        <w:ind w:left="140"/>
        <w:rPr>
          <w:sz w:val="24"/>
        </w:rPr>
      </w:pPr>
      <w:r>
        <w:rPr>
          <w:sz w:val="24"/>
        </w:rPr>
        <w:t>LGBTIQ</w:t>
      </w:r>
      <w:r>
        <w:rPr>
          <w:sz w:val="24"/>
        </w:rPr>
        <w:tab/>
        <w:t>Lesbian, gay,</w:t>
      </w:r>
      <w:r>
        <w:rPr>
          <w:spacing w:val="-4"/>
          <w:sz w:val="24"/>
        </w:rPr>
        <w:t xml:space="preserve"> </w:t>
      </w:r>
      <w:r>
        <w:rPr>
          <w:sz w:val="24"/>
        </w:rPr>
        <w:t>bisexual,</w:t>
      </w:r>
      <w:r>
        <w:rPr>
          <w:spacing w:val="-4"/>
          <w:sz w:val="24"/>
        </w:rPr>
        <w:t xml:space="preserve"> </w:t>
      </w:r>
      <w:r>
        <w:rPr>
          <w:sz w:val="24"/>
        </w:rPr>
        <w:t>transgender,</w:t>
      </w:r>
      <w:r>
        <w:rPr>
          <w:spacing w:val="-4"/>
          <w:sz w:val="24"/>
        </w:rPr>
        <w:t xml:space="preserve"> </w:t>
      </w:r>
      <w:r>
        <w:rPr>
          <w:sz w:val="24"/>
        </w:rPr>
        <w:t>intersex</w:t>
      </w:r>
      <w:r>
        <w:rPr>
          <w:spacing w:val="-1"/>
          <w:sz w:val="24"/>
        </w:rPr>
        <w:t xml:space="preserve"> </w:t>
      </w:r>
      <w:r>
        <w:rPr>
          <w:sz w:val="24"/>
        </w:rPr>
        <w:t>and</w:t>
      </w:r>
      <w:r>
        <w:rPr>
          <w:spacing w:val="-4"/>
          <w:sz w:val="24"/>
        </w:rPr>
        <w:t xml:space="preserve"> </w:t>
      </w:r>
      <w:r>
        <w:rPr>
          <w:sz w:val="24"/>
        </w:rPr>
        <w:t>queer</w:t>
      </w:r>
    </w:p>
    <w:p w:rsidR="00526895" w:rsidRDefault="00526895" w:rsidP="00526895">
      <w:pPr>
        <w:tabs>
          <w:tab w:val="left" w:pos="3018"/>
        </w:tabs>
        <w:ind w:left="140"/>
        <w:rPr>
          <w:sz w:val="24"/>
        </w:rPr>
      </w:pPr>
      <w:r>
        <w:rPr>
          <w:sz w:val="24"/>
        </w:rPr>
        <w:t>MFF</w:t>
      </w:r>
      <w:r>
        <w:rPr>
          <w:sz w:val="24"/>
        </w:rPr>
        <w:tab/>
        <w:t>Multiannual</w:t>
      </w:r>
      <w:r>
        <w:rPr>
          <w:spacing w:val="-4"/>
          <w:sz w:val="24"/>
        </w:rPr>
        <w:t xml:space="preserve"> </w:t>
      </w:r>
      <w:r>
        <w:rPr>
          <w:sz w:val="24"/>
        </w:rPr>
        <w:t>Financial</w:t>
      </w:r>
      <w:r>
        <w:rPr>
          <w:spacing w:val="-1"/>
          <w:sz w:val="24"/>
        </w:rPr>
        <w:t xml:space="preserve"> </w:t>
      </w:r>
      <w:r>
        <w:rPr>
          <w:sz w:val="24"/>
        </w:rPr>
        <w:t>Framework</w:t>
      </w:r>
    </w:p>
    <w:p w:rsidR="00526895" w:rsidRDefault="00526895" w:rsidP="00526895">
      <w:pPr>
        <w:tabs>
          <w:tab w:val="left" w:pos="3018"/>
        </w:tabs>
        <w:ind w:left="140"/>
        <w:rPr>
          <w:sz w:val="24"/>
        </w:rPr>
      </w:pPr>
      <w:r>
        <w:rPr>
          <w:sz w:val="24"/>
        </w:rPr>
        <w:t>MISSOC</w:t>
      </w:r>
      <w:r>
        <w:rPr>
          <w:sz w:val="24"/>
        </w:rPr>
        <w:tab/>
        <w:t>Mutual</w:t>
      </w:r>
      <w:r>
        <w:rPr>
          <w:spacing w:val="-2"/>
          <w:sz w:val="24"/>
        </w:rPr>
        <w:t xml:space="preserve"> </w:t>
      </w:r>
      <w:r>
        <w:rPr>
          <w:sz w:val="24"/>
        </w:rPr>
        <w:t>Information</w:t>
      </w:r>
      <w:r>
        <w:rPr>
          <w:spacing w:val="-2"/>
          <w:sz w:val="24"/>
        </w:rPr>
        <w:t xml:space="preserve"> </w:t>
      </w:r>
      <w:r>
        <w:rPr>
          <w:sz w:val="24"/>
        </w:rPr>
        <w:t>System</w:t>
      </w:r>
      <w:r>
        <w:rPr>
          <w:spacing w:val="-1"/>
          <w:sz w:val="24"/>
        </w:rPr>
        <w:t xml:space="preserve"> </w:t>
      </w:r>
      <w:r>
        <w:rPr>
          <w:sz w:val="24"/>
        </w:rPr>
        <w:t>on</w:t>
      </w:r>
      <w:r>
        <w:rPr>
          <w:spacing w:val="-3"/>
          <w:sz w:val="24"/>
        </w:rPr>
        <w:t xml:space="preserve"> </w:t>
      </w:r>
      <w:r>
        <w:rPr>
          <w:sz w:val="24"/>
        </w:rPr>
        <w:t>Social</w:t>
      </w:r>
      <w:r>
        <w:rPr>
          <w:spacing w:val="-3"/>
          <w:sz w:val="24"/>
        </w:rPr>
        <w:t xml:space="preserve"> </w:t>
      </w:r>
      <w:r>
        <w:rPr>
          <w:sz w:val="24"/>
        </w:rPr>
        <w:t>Protection</w:t>
      </w:r>
    </w:p>
    <w:p w:rsidR="00526895" w:rsidRDefault="00526895" w:rsidP="00526895">
      <w:pPr>
        <w:tabs>
          <w:tab w:val="left" w:pos="3018"/>
        </w:tabs>
        <w:ind w:left="140"/>
        <w:rPr>
          <w:sz w:val="24"/>
        </w:rPr>
      </w:pPr>
      <w:r>
        <w:rPr>
          <w:sz w:val="24"/>
        </w:rPr>
        <w:t>MS</w:t>
      </w:r>
      <w:r>
        <w:rPr>
          <w:sz w:val="24"/>
        </w:rPr>
        <w:tab/>
        <w:t>Member</w:t>
      </w:r>
      <w:r>
        <w:rPr>
          <w:spacing w:val="-3"/>
          <w:sz w:val="24"/>
        </w:rPr>
        <w:t xml:space="preserve"> </w:t>
      </w:r>
      <w:r>
        <w:rPr>
          <w:sz w:val="24"/>
        </w:rPr>
        <w:t>State</w:t>
      </w:r>
    </w:p>
    <w:p w:rsidR="00526895" w:rsidRDefault="00526895" w:rsidP="00526895">
      <w:pPr>
        <w:tabs>
          <w:tab w:val="left" w:pos="3018"/>
        </w:tabs>
        <w:ind w:left="140"/>
        <w:rPr>
          <w:sz w:val="24"/>
        </w:rPr>
      </w:pPr>
      <w:r>
        <w:rPr>
          <w:sz w:val="24"/>
        </w:rPr>
        <w:t>MSCA</w:t>
      </w:r>
      <w:r>
        <w:rPr>
          <w:sz w:val="24"/>
        </w:rPr>
        <w:tab/>
        <w:t>Marie</w:t>
      </w:r>
      <w:r>
        <w:rPr>
          <w:spacing w:val="-3"/>
          <w:sz w:val="24"/>
        </w:rPr>
        <w:t xml:space="preserve"> </w:t>
      </w:r>
      <w:r>
        <w:rPr>
          <w:sz w:val="24"/>
        </w:rPr>
        <w:t>Skłodowska-Curie</w:t>
      </w:r>
      <w:r>
        <w:rPr>
          <w:spacing w:val="-1"/>
          <w:sz w:val="24"/>
        </w:rPr>
        <w:t xml:space="preserve"> </w:t>
      </w:r>
      <w:r>
        <w:rPr>
          <w:sz w:val="24"/>
        </w:rPr>
        <w:t>Actions</w:t>
      </w:r>
    </w:p>
    <w:p w:rsidR="00526895" w:rsidRDefault="00526895" w:rsidP="00526895">
      <w:pPr>
        <w:tabs>
          <w:tab w:val="left" w:pos="3019"/>
        </w:tabs>
        <w:ind w:left="140"/>
        <w:rPr>
          <w:sz w:val="24"/>
        </w:rPr>
      </w:pPr>
      <w:r>
        <w:rPr>
          <w:sz w:val="24"/>
        </w:rPr>
        <w:t>NCD</w:t>
      </w:r>
      <w:r>
        <w:rPr>
          <w:sz w:val="24"/>
        </w:rPr>
        <w:tab/>
        <w:t>Non-Communicable</w:t>
      </w:r>
      <w:r>
        <w:rPr>
          <w:spacing w:val="-5"/>
          <w:sz w:val="24"/>
        </w:rPr>
        <w:t xml:space="preserve"> </w:t>
      </w:r>
      <w:r>
        <w:rPr>
          <w:sz w:val="24"/>
        </w:rPr>
        <w:t>Disease</w:t>
      </w:r>
    </w:p>
    <w:p w:rsidR="00526895" w:rsidRDefault="00526895" w:rsidP="00526895">
      <w:pPr>
        <w:tabs>
          <w:tab w:val="left" w:pos="3018"/>
        </w:tabs>
        <w:ind w:left="140"/>
        <w:rPr>
          <w:sz w:val="24"/>
        </w:rPr>
      </w:pPr>
      <w:r>
        <w:rPr>
          <w:sz w:val="24"/>
        </w:rPr>
        <w:t>NCP</w:t>
      </w:r>
      <w:r>
        <w:rPr>
          <w:sz w:val="24"/>
        </w:rPr>
        <w:tab/>
        <w:t>National</w:t>
      </w:r>
      <w:r>
        <w:rPr>
          <w:spacing w:val="-2"/>
          <w:sz w:val="24"/>
        </w:rPr>
        <w:t xml:space="preserve"> </w:t>
      </w:r>
      <w:r>
        <w:rPr>
          <w:sz w:val="24"/>
        </w:rPr>
        <w:t>Contact</w:t>
      </w:r>
      <w:r>
        <w:rPr>
          <w:spacing w:val="-2"/>
          <w:sz w:val="24"/>
        </w:rPr>
        <w:t xml:space="preserve"> </w:t>
      </w:r>
      <w:r>
        <w:rPr>
          <w:sz w:val="24"/>
        </w:rPr>
        <w:t>Point</w:t>
      </w:r>
    </w:p>
    <w:p w:rsidR="00526895" w:rsidRDefault="00526895" w:rsidP="00526895">
      <w:pPr>
        <w:tabs>
          <w:tab w:val="left" w:pos="3018"/>
        </w:tabs>
        <w:ind w:left="3020" w:right="871" w:hanging="2880"/>
        <w:rPr>
          <w:sz w:val="24"/>
        </w:rPr>
      </w:pPr>
      <w:r>
        <w:rPr>
          <w:sz w:val="24"/>
        </w:rPr>
        <w:t>NDICI-GE</w:t>
      </w:r>
      <w:r>
        <w:rPr>
          <w:sz w:val="24"/>
        </w:rPr>
        <w:tab/>
        <w:t>Neighbourhood,</w:t>
      </w:r>
      <w:r>
        <w:rPr>
          <w:spacing w:val="-8"/>
          <w:sz w:val="24"/>
        </w:rPr>
        <w:t xml:space="preserve"> </w:t>
      </w:r>
      <w:r>
        <w:rPr>
          <w:sz w:val="24"/>
        </w:rPr>
        <w:t>Development</w:t>
      </w:r>
      <w:r>
        <w:rPr>
          <w:spacing w:val="-7"/>
          <w:sz w:val="24"/>
        </w:rPr>
        <w:t xml:space="preserve"> </w:t>
      </w:r>
      <w:r>
        <w:rPr>
          <w:sz w:val="24"/>
        </w:rPr>
        <w:t>and</w:t>
      </w:r>
      <w:r>
        <w:rPr>
          <w:spacing w:val="-4"/>
          <w:sz w:val="24"/>
        </w:rPr>
        <w:t xml:space="preserve"> </w:t>
      </w:r>
      <w:r>
        <w:rPr>
          <w:sz w:val="24"/>
        </w:rPr>
        <w:t>International</w:t>
      </w:r>
      <w:r>
        <w:rPr>
          <w:spacing w:val="-7"/>
          <w:sz w:val="24"/>
        </w:rPr>
        <w:t xml:space="preserve"> </w:t>
      </w:r>
      <w:r>
        <w:rPr>
          <w:sz w:val="24"/>
        </w:rPr>
        <w:t>Cooperation</w:t>
      </w:r>
      <w:r>
        <w:rPr>
          <w:spacing w:val="-57"/>
          <w:sz w:val="24"/>
        </w:rPr>
        <w:t xml:space="preserve"> </w:t>
      </w:r>
      <w:r>
        <w:rPr>
          <w:sz w:val="24"/>
        </w:rPr>
        <w:t>Instrument</w:t>
      </w:r>
      <w:r>
        <w:rPr>
          <w:spacing w:val="1"/>
          <w:sz w:val="24"/>
        </w:rPr>
        <w:t xml:space="preserve"> </w:t>
      </w:r>
      <w:r>
        <w:rPr>
          <w:sz w:val="24"/>
        </w:rPr>
        <w:t>–</w:t>
      </w:r>
      <w:r>
        <w:rPr>
          <w:spacing w:val="-1"/>
          <w:sz w:val="24"/>
        </w:rPr>
        <w:t xml:space="preserve"> </w:t>
      </w:r>
      <w:r>
        <w:rPr>
          <w:sz w:val="24"/>
        </w:rPr>
        <w:t>Global</w:t>
      </w:r>
      <w:r>
        <w:rPr>
          <w:spacing w:val="-2"/>
          <w:sz w:val="24"/>
        </w:rPr>
        <w:t xml:space="preserve"> </w:t>
      </w:r>
      <w:r>
        <w:rPr>
          <w:sz w:val="24"/>
        </w:rPr>
        <w:t>Europe</w:t>
      </w:r>
    </w:p>
    <w:p w:rsidR="00526895" w:rsidRDefault="00526895" w:rsidP="00526895">
      <w:pPr>
        <w:tabs>
          <w:tab w:val="left" w:pos="3019"/>
        </w:tabs>
        <w:spacing w:before="1"/>
        <w:ind w:left="140"/>
        <w:rPr>
          <w:sz w:val="24"/>
        </w:rPr>
      </w:pPr>
      <w:r>
        <w:rPr>
          <w:sz w:val="24"/>
        </w:rPr>
        <w:t>NEB</w:t>
      </w:r>
      <w:r>
        <w:rPr>
          <w:sz w:val="24"/>
        </w:rPr>
        <w:tab/>
        <w:t>New</w:t>
      </w:r>
      <w:r>
        <w:rPr>
          <w:spacing w:val="-5"/>
          <w:sz w:val="24"/>
        </w:rPr>
        <w:t xml:space="preserve"> </w:t>
      </w:r>
      <w:r>
        <w:rPr>
          <w:sz w:val="24"/>
        </w:rPr>
        <w:t>European</w:t>
      </w:r>
      <w:r>
        <w:rPr>
          <w:spacing w:val="-2"/>
          <w:sz w:val="24"/>
        </w:rPr>
        <w:t xml:space="preserve"> </w:t>
      </w:r>
      <w:r>
        <w:rPr>
          <w:sz w:val="24"/>
        </w:rPr>
        <w:t>Bauhaus</w:t>
      </w:r>
    </w:p>
    <w:p w:rsidR="00526895" w:rsidRDefault="00526895" w:rsidP="00526895">
      <w:pPr>
        <w:tabs>
          <w:tab w:val="left" w:pos="3020"/>
        </w:tabs>
        <w:ind w:left="140"/>
        <w:rPr>
          <w:sz w:val="24"/>
        </w:rPr>
      </w:pPr>
      <w:r>
        <w:rPr>
          <w:sz w:val="24"/>
        </w:rPr>
        <w:t>NGO</w:t>
      </w:r>
      <w:r>
        <w:rPr>
          <w:sz w:val="24"/>
        </w:rPr>
        <w:tab/>
        <w:t>Non-governmental</w:t>
      </w:r>
      <w:r>
        <w:rPr>
          <w:spacing w:val="-6"/>
          <w:sz w:val="24"/>
        </w:rPr>
        <w:t xml:space="preserve"> </w:t>
      </w:r>
      <w:r>
        <w:rPr>
          <w:sz w:val="24"/>
        </w:rPr>
        <w:t>organisation</w:t>
      </w:r>
    </w:p>
    <w:p w:rsidR="00526895" w:rsidRDefault="00526895" w:rsidP="00526895">
      <w:pPr>
        <w:tabs>
          <w:tab w:val="left" w:pos="3019"/>
        </w:tabs>
        <w:ind w:left="140"/>
        <w:rPr>
          <w:sz w:val="24"/>
        </w:rPr>
      </w:pPr>
      <w:r>
        <w:rPr>
          <w:sz w:val="24"/>
        </w:rPr>
        <w:t>OECD</w:t>
      </w:r>
      <w:r>
        <w:rPr>
          <w:sz w:val="24"/>
        </w:rPr>
        <w:tab/>
        <w:t>Organisation</w:t>
      </w:r>
      <w:r>
        <w:rPr>
          <w:spacing w:val="-4"/>
          <w:sz w:val="24"/>
        </w:rPr>
        <w:t xml:space="preserve"> </w:t>
      </w:r>
      <w:r>
        <w:rPr>
          <w:sz w:val="24"/>
        </w:rPr>
        <w:t>for</w:t>
      </w:r>
      <w:r>
        <w:rPr>
          <w:spacing w:val="-3"/>
          <w:sz w:val="24"/>
        </w:rPr>
        <w:t xml:space="preserve"> </w:t>
      </w:r>
      <w:r>
        <w:rPr>
          <w:sz w:val="24"/>
        </w:rPr>
        <w:t>Economic</w:t>
      </w:r>
      <w:r>
        <w:rPr>
          <w:spacing w:val="-6"/>
          <w:sz w:val="24"/>
        </w:rPr>
        <w:t xml:space="preserve"> </w:t>
      </w:r>
      <w:r>
        <w:rPr>
          <w:sz w:val="24"/>
        </w:rPr>
        <w:t>Co-operation</w:t>
      </w:r>
      <w:r>
        <w:rPr>
          <w:spacing w:val="-3"/>
          <w:sz w:val="24"/>
        </w:rPr>
        <w:t xml:space="preserve"> </w:t>
      </w:r>
      <w:r>
        <w:rPr>
          <w:sz w:val="24"/>
        </w:rPr>
        <w:t>and</w:t>
      </w:r>
      <w:r>
        <w:rPr>
          <w:spacing w:val="-3"/>
          <w:sz w:val="24"/>
        </w:rPr>
        <w:t xml:space="preserve"> </w:t>
      </w:r>
      <w:r>
        <w:rPr>
          <w:sz w:val="24"/>
        </w:rPr>
        <w:t>Development</w:t>
      </w:r>
    </w:p>
    <w:p w:rsidR="00526895" w:rsidRDefault="00526895" w:rsidP="00526895">
      <w:pPr>
        <w:tabs>
          <w:tab w:val="left" w:pos="3019"/>
        </w:tabs>
        <w:ind w:left="140"/>
        <w:rPr>
          <w:sz w:val="24"/>
        </w:rPr>
      </w:pPr>
      <w:r>
        <w:rPr>
          <w:sz w:val="24"/>
        </w:rPr>
        <w:t>OHCHR</w:t>
      </w:r>
      <w:r>
        <w:rPr>
          <w:sz w:val="24"/>
        </w:rPr>
        <w:tab/>
        <w:t>Office</w:t>
      </w:r>
      <w:r>
        <w:rPr>
          <w:spacing w:val="-2"/>
          <w:sz w:val="24"/>
        </w:rPr>
        <w:t xml:space="preserve"> </w:t>
      </w:r>
      <w:r>
        <w:rPr>
          <w:sz w:val="24"/>
        </w:rPr>
        <w:t>of</w:t>
      </w:r>
      <w:r>
        <w:rPr>
          <w:spacing w:val="-3"/>
          <w:sz w:val="24"/>
        </w:rPr>
        <w:t xml:space="preserve"> </w:t>
      </w:r>
      <w:r>
        <w:rPr>
          <w:sz w:val="24"/>
        </w:rPr>
        <w:t>the</w:t>
      </w:r>
      <w:r>
        <w:rPr>
          <w:spacing w:val="-4"/>
          <w:sz w:val="24"/>
        </w:rPr>
        <w:t xml:space="preserve"> </w:t>
      </w:r>
      <w:r>
        <w:rPr>
          <w:sz w:val="24"/>
        </w:rPr>
        <w:t>High</w:t>
      </w:r>
      <w:r>
        <w:rPr>
          <w:spacing w:val="-1"/>
          <w:sz w:val="24"/>
        </w:rPr>
        <w:t xml:space="preserve"> </w:t>
      </w:r>
      <w:r>
        <w:rPr>
          <w:sz w:val="24"/>
        </w:rPr>
        <w:t>Commissioner</w:t>
      </w:r>
      <w:r>
        <w:rPr>
          <w:spacing w:val="-4"/>
          <w:sz w:val="24"/>
        </w:rPr>
        <w:t xml:space="preserve"> </w:t>
      </w:r>
      <w:r>
        <w:rPr>
          <w:sz w:val="24"/>
        </w:rPr>
        <w:t>for</w:t>
      </w:r>
      <w:r>
        <w:rPr>
          <w:spacing w:val="-1"/>
          <w:sz w:val="24"/>
        </w:rPr>
        <w:t xml:space="preserve"> </w:t>
      </w:r>
      <w:r>
        <w:rPr>
          <w:sz w:val="24"/>
        </w:rPr>
        <w:t>Human</w:t>
      </w:r>
      <w:r>
        <w:rPr>
          <w:spacing w:val="-4"/>
          <w:sz w:val="24"/>
        </w:rPr>
        <w:t xml:space="preserve"> </w:t>
      </w:r>
      <w:r>
        <w:rPr>
          <w:sz w:val="24"/>
        </w:rPr>
        <w:t>Rights</w:t>
      </w:r>
    </w:p>
    <w:p w:rsidR="00526895" w:rsidRDefault="00526895" w:rsidP="00526895">
      <w:pPr>
        <w:tabs>
          <w:tab w:val="left" w:pos="3017"/>
        </w:tabs>
        <w:ind w:left="140"/>
        <w:rPr>
          <w:sz w:val="24"/>
        </w:rPr>
      </w:pPr>
      <w:r>
        <w:rPr>
          <w:sz w:val="24"/>
        </w:rPr>
        <w:t>Ombudsman</w:t>
      </w:r>
      <w:r>
        <w:rPr>
          <w:sz w:val="24"/>
        </w:rPr>
        <w:tab/>
        <w:t>European</w:t>
      </w:r>
      <w:r>
        <w:rPr>
          <w:spacing w:val="-2"/>
          <w:sz w:val="24"/>
        </w:rPr>
        <w:t xml:space="preserve"> </w:t>
      </w:r>
      <w:r>
        <w:rPr>
          <w:sz w:val="24"/>
        </w:rPr>
        <w:t>Ombudsman</w:t>
      </w:r>
    </w:p>
    <w:p w:rsidR="00526895" w:rsidRDefault="00526895" w:rsidP="00526895">
      <w:pPr>
        <w:tabs>
          <w:tab w:val="left" w:pos="3018"/>
        </w:tabs>
        <w:ind w:left="3020" w:right="1227" w:hanging="2880"/>
        <w:rPr>
          <w:sz w:val="24"/>
        </w:rPr>
      </w:pPr>
      <w:r>
        <w:rPr>
          <w:sz w:val="24"/>
        </w:rPr>
        <w:t>OP</w:t>
      </w:r>
      <w:r>
        <w:rPr>
          <w:sz w:val="24"/>
        </w:rPr>
        <w:tab/>
        <w:t>Optional</w:t>
      </w:r>
      <w:r>
        <w:rPr>
          <w:spacing w:val="-3"/>
          <w:sz w:val="24"/>
        </w:rPr>
        <w:t xml:space="preserve"> </w:t>
      </w:r>
      <w:r>
        <w:rPr>
          <w:sz w:val="24"/>
        </w:rPr>
        <w:t>Protocol</w:t>
      </w:r>
      <w:r>
        <w:rPr>
          <w:spacing w:val="-2"/>
          <w:sz w:val="24"/>
        </w:rPr>
        <w:t xml:space="preserve"> </w:t>
      </w:r>
      <w:r>
        <w:rPr>
          <w:sz w:val="24"/>
        </w:rPr>
        <w:t>to</w:t>
      </w:r>
      <w:r>
        <w:rPr>
          <w:spacing w:val="-2"/>
          <w:sz w:val="24"/>
        </w:rPr>
        <w:t xml:space="preserve"> </w:t>
      </w:r>
      <w:r>
        <w:rPr>
          <w:sz w:val="24"/>
        </w:rPr>
        <w:t>the</w:t>
      </w:r>
      <w:r>
        <w:rPr>
          <w:spacing w:val="-2"/>
          <w:sz w:val="24"/>
        </w:rPr>
        <w:t xml:space="preserve"> </w:t>
      </w:r>
      <w:r>
        <w:rPr>
          <w:sz w:val="24"/>
        </w:rPr>
        <w:t>UN</w:t>
      </w:r>
      <w:r>
        <w:rPr>
          <w:spacing w:val="-4"/>
          <w:sz w:val="24"/>
        </w:rPr>
        <w:t xml:space="preserve"> </w:t>
      </w:r>
      <w:r>
        <w:rPr>
          <w:sz w:val="24"/>
        </w:rPr>
        <w:t>Convention</w:t>
      </w:r>
      <w:r>
        <w:rPr>
          <w:spacing w:val="-2"/>
          <w:sz w:val="24"/>
        </w:rPr>
        <w:t xml:space="preserve"> </w:t>
      </w:r>
      <w:r>
        <w:rPr>
          <w:sz w:val="24"/>
        </w:rPr>
        <w:t>on</w:t>
      </w:r>
      <w:r>
        <w:rPr>
          <w:spacing w:val="-2"/>
          <w:sz w:val="24"/>
        </w:rPr>
        <w:t xml:space="preserve"> </w:t>
      </w:r>
      <w:r>
        <w:rPr>
          <w:sz w:val="24"/>
        </w:rPr>
        <w:t>the</w:t>
      </w:r>
      <w:r>
        <w:rPr>
          <w:spacing w:val="-2"/>
          <w:sz w:val="24"/>
        </w:rPr>
        <w:t xml:space="preserve"> </w:t>
      </w:r>
      <w:r>
        <w:rPr>
          <w:sz w:val="24"/>
        </w:rPr>
        <w:t>Rights of</w:t>
      </w:r>
      <w:r>
        <w:rPr>
          <w:spacing w:val="-57"/>
          <w:sz w:val="24"/>
        </w:rPr>
        <w:t xml:space="preserve"> </w:t>
      </w:r>
      <w:r>
        <w:rPr>
          <w:sz w:val="24"/>
        </w:rPr>
        <w:t>Persons</w:t>
      </w:r>
      <w:r>
        <w:rPr>
          <w:spacing w:val="-2"/>
          <w:sz w:val="24"/>
        </w:rPr>
        <w:t xml:space="preserve"> </w:t>
      </w:r>
      <w:r>
        <w:rPr>
          <w:sz w:val="24"/>
        </w:rPr>
        <w:t>with</w:t>
      </w:r>
      <w:r>
        <w:rPr>
          <w:spacing w:val="-1"/>
          <w:sz w:val="24"/>
        </w:rPr>
        <w:t xml:space="preserve"> </w:t>
      </w:r>
      <w:r>
        <w:rPr>
          <w:sz w:val="24"/>
        </w:rPr>
        <w:t>Disabilities</w:t>
      </w:r>
    </w:p>
    <w:p w:rsidR="00526895" w:rsidRDefault="00526895" w:rsidP="00526895">
      <w:pPr>
        <w:tabs>
          <w:tab w:val="left" w:pos="3019"/>
        </w:tabs>
        <w:ind w:left="140"/>
        <w:rPr>
          <w:sz w:val="24"/>
        </w:rPr>
      </w:pPr>
      <w:r>
        <w:rPr>
          <w:sz w:val="24"/>
        </w:rPr>
        <w:t>OPD</w:t>
      </w:r>
      <w:r>
        <w:rPr>
          <w:sz w:val="24"/>
        </w:rPr>
        <w:tab/>
        <w:t>Organisation</w:t>
      </w:r>
      <w:r>
        <w:rPr>
          <w:spacing w:val="-3"/>
          <w:sz w:val="24"/>
        </w:rPr>
        <w:t xml:space="preserve"> </w:t>
      </w:r>
      <w:r>
        <w:rPr>
          <w:sz w:val="24"/>
        </w:rPr>
        <w:t>of</w:t>
      </w:r>
      <w:r>
        <w:rPr>
          <w:spacing w:val="-4"/>
          <w:sz w:val="24"/>
        </w:rPr>
        <w:t xml:space="preserve"> </w:t>
      </w:r>
      <w:r>
        <w:rPr>
          <w:sz w:val="24"/>
        </w:rPr>
        <w:t>persons</w:t>
      </w:r>
      <w:r>
        <w:rPr>
          <w:spacing w:val="-2"/>
          <w:sz w:val="24"/>
        </w:rPr>
        <w:t xml:space="preserve"> </w:t>
      </w:r>
      <w:r>
        <w:rPr>
          <w:sz w:val="24"/>
        </w:rPr>
        <w:t>with</w:t>
      </w:r>
      <w:r>
        <w:rPr>
          <w:spacing w:val="-2"/>
          <w:sz w:val="24"/>
        </w:rPr>
        <w:t xml:space="preserve"> </w:t>
      </w:r>
      <w:r>
        <w:rPr>
          <w:sz w:val="24"/>
        </w:rPr>
        <w:t>disabilities</w:t>
      </w:r>
    </w:p>
    <w:p w:rsidR="00526895" w:rsidRDefault="00526895" w:rsidP="00526895">
      <w:pPr>
        <w:tabs>
          <w:tab w:val="left" w:pos="3017"/>
        </w:tabs>
        <w:ind w:left="140"/>
        <w:rPr>
          <w:sz w:val="24"/>
        </w:rPr>
      </w:pPr>
      <w:r>
        <w:rPr>
          <w:sz w:val="24"/>
        </w:rPr>
        <w:t>Parliament</w:t>
      </w:r>
      <w:r>
        <w:rPr>
          <w:sz w:val="24"/>
        </w:rPr>
        <w:tab/>
        <w:t>European</w:t>
      </w:r>
      <w:r>
        <w:rPr>
          <w:spacing w:val="-4"/>
          <w:sz w:val="24"/>
        </w:rPr>
        <w:t xml:space="preserve"> </w:t>
      </w:r>
      <w:r>
        <w:rPr>
          <w:sz w:val="24"/>
        </w:rPr>
        <w:t>Parliament</w:t>
      </w:r>
    </w:p>
    <w:p w:rsidR="00526895" w:rsidRDefault="00526895" w:rsidP="00526895">
      <w:pPr>
        <w:tabs>
          <w:tab w:val="left" w:pos="3020"/>
        </w:tabs>
        <w:ind w:left="140"/>
        <w:rPr>
          <w:sz w:val="24"/>
        </w:rPr>
      </w:pPr>
      <w:r>
        <w:rPr>
          <w:sz w:val="24"/>
        </w:rPr>
        <w:t>PES</w:t>
      </w:r>
      <w:r>
        <w:rPr>
          <w:sz w:val="24"/>
        </w:rPr>
        <w:tab/>
        <w:t>Public</w:t>
      </w:r>
      <w:r>
        <w:rPr>
          <w:spacing w:val="-5"/>
          <w:sz w:val="24"/>
        </w:rPr>
        <w:t xml:space="preserve"> </w:t>
      </w:r>
      <w:r>
        <w:rPr>
          <w:sz w:val="24"/>
        </w:rPr>
        <w:t>Employment</w:t>
      </w:r>
      <w:r>
        <w:rPr>
          <w:spacing w:val="-3"/>
          <w:sz w:val="24"/>
        </w:rPr>
        <w:t xml:space="preserve"> </w:t>
      </w:r>
      <w:r>
        <w:rPr>
          <w:sz w:val="24"/>
        </w:rPr>
        <w:t>Services</w:t>
      </w:r>
    </w:p>
    <w:p w:rsidR="00526895" w:rsidRDefault="00526895" w:rsidP="00526895">
      <w:pPr>
        <w:tabs>
          <w:tab w:val="left" w:pos="3019"/>
        </w:tabs>
        <w:ind w:left="140"/>
        <w:rPr>
          <w:sz w:val="24"/>
        </w:rPr>
      </w:pPr>
      <w:r>
        <w:rPr>
          <w:sz w:val="24"/>
        </w:rPr>
        <w:t>RA</w:t>
      </w:r>
      <w:r>
        <w:rPr>
          <w:sz w:val="24"/>
        </w:rPr>
        <w:tab/>
        <w:t>Reasonable</w:t>
      </w:r>
      <w:r>
        <w:rPr>
          <w:spacing w:val="-7"/>
          <w:sz w:val="24"/>
        </w:rPr>
        <w:t xml:space="preserve"> </w:t>
      </w:r>
      <w:r>
        <w:rPr>
          <w:sz w:val="24"/>
        </w:rPr>
        <w:t>Accommodation</w:t>
      </w:r>
    </w:p>
    <w:p w:rsidR="00526895" w:rsidRDefault="00526895" w:rsidP="00526895">
      <w:pPr>
        <w:tabs>
          <w:tab w:val="left" w:pos="3017"/>
        </w:tabs>
        <w:ind w:left="140" w:right="570"/>
        <w:rPr>
          <w:sz w:val="24"/>
        </w:rPr>
      </w:pPr>
      <w:r>
        <w:rPr>
          <w:sz w:val="24"/>
        </w:rPr>
        <w:t>REACT-EU</w:t>
      </w:r>
      <w:r>
        <w:rPr>
          <w:sz w:val="24"/>
        </w:rPr>
        <w:tab/>
        <w:t>Recovery</w:t>
      </w:r>
      <w:r>
        <w:rPr>
          <w:spacing w:val="-6"/>
          <w:sz w:val="24"/>
        </w:rPr>
        <w:t xml:space="preserve"> </w:t>
      </w:r>
      <w:r>
        <w:rPr>
          <w:sz w:val="24"/>
        </w:rPr>
        <w:t>Assistance</w:t>
      </w:r>
      <w:r>
        <w:rPr>
          <w:spacing w:val="-4"/>
          <w:sz w:val="24"/>
        </w:rPr>
        <w:t xml:space="preserve"> </w:t>
      </w:r>
      <w:r>
        <w:rPr>
          <w:sz w:val="24"/>
        </w:rPr>
        <w:t>for</w:t>
      </w:r>
      <w:r>
        <w:rPr>
          <w:spacing w:val="-2"/>
          <w:sz w:val="24"/>
        </w:rPr>
        <w:t xml:space="preserve"> </w:t>
      </w:r>
      <w:r>
        <w:rPr>
          <w:sz w:val="24"/>
        </w:rPr>
        <w:t>Cohesion</w:t>
      </w:r>
      <w:r>
        <w:rPr>
          <w:spacing w:val="-2"/>
          <w:sz w:val="24"/>
        </w:rPr>
        <w:t xml:space="preserve"> </w:t>
      </w:r>
      <w:r>
        <w:rPr>
          <w:sz w:val="24"/>
        </w:rPr>
        <w:t>and</w:t>
      </w:r>
      <w:r>
        <w:rPr>
          <w:spacing w:val="1"/>
          <w:sz w:val="24"/>
        </w:rPr>
        <w:t xml:space="preserve"> </w:t>
      </w:r>
      <w:r>
        <w:rPr>
          <w:sz w:val="24"/>
        </w:rPr>
        <w:t>the</w:t>
      </w:r>
      <w:r>
        <w:rPr>
          <w:spacing w:val="-4"/>
          <w:sz w:val="24"/>
        </w:rPr>
        <w:t xml:space="preserve"> </w:t>
      </w:r>
      <w:r>
        <w:rPr>
          <w:sz w:val="24"/>
        </w:rPr>
        <w:t>Territories</w:t>
      </w:r>
      <w:r>
        <w:rPr>
          <w:spacing w:val="-2"/>
          <w:sz w:val="24"/>
        </w:rPr>
        <w:t xml:space="preserve"> </w:t>
      </w:r>
      <w:r>
        <w:rPr>
          <w:sz w:val="24"/>
        </w:rPr>
        <w:t>of</w:t>
      </w:r>
      <w:r>
        <w:rPr>
          <w:spacing w:val="-2"/>
          <w:sz w:val="24"/>
        </w:rPr>
        <w:t xml:space="preserve"> </w:t>
      </w:r>
      <w:r>
        <w:rPr>
          <w:sz w:val="24"/>
        </w:rPr>
        <w:t>Europe</w:t>
      </w:r>
      <w:r>
        <w:rPr>
          <w:spacing w:val="-57"/>
          <w:sz w:val="24"/>
        </w:rPr>
        <w:t xml:space="preserve"> </w:t>
      </w:r>
      <w:r>
        <w:rPr>
          <w:sz w:val="24"/>
        </w:rPr>
        <w:t>R&amp;I</w:t>
      </w:r>
      <w:r>
        <w:rPr>
          <w:sz w:val="24"/>
        </w:rPr>
        <w:tab/>
        <w:t>Research</w:t>
      </w:r>
      <w:r>
        <w:rPr>
          <w:spacing w:val="1"/>
          <w:sz w:val="24"/>
        </w:rPr>
        <w:t xml:space="preserve"> </w:t>
      </w:r>
      <w:r>
        <w:rPr>
          <w:sz w:val="24"/>
        </w:rPr>
        <w:t>and</w:t>
      </w:r>
      <w:r>
        <w:rPr>
          <w:spacing w:val="2"/>
          <w:sz w:val="24"/>
        </w:rPr>
        <w:t xml:space="preserve"> </w:t>
      </w:r>
      <w:r>
        <w:rPr>
          <w:sz w:val="24"/>
        </w:rPr>
        <w:t>Innovation</w:t>
      </w:r>
    </w:p>
    <w:p w:rsidR="00526895" w:rsidRDefault="00526895" w:rsidP="00526895">
      <w:pPr>
        <w:tabs>
          <w:tab w:val="left" w:pos="3019"/>
        </w:tabs>
        <w:ind w:left="140"/>
        <w:rPr>
          <w:sz w:val="24"/>
        </w:rPr>
      </w:pPr>
      <w:r>
        <w:rPr>
          <w:sz w:val="24"/>
        </w:rPr>
        <w:t>RRF</w:t>
      </w:r>
      <w:r>
        <w:rPr>
          <w:sz w:val="24"/>
        </w:rPr>
        <w:tab/>
        <w:t>Recovery</w:t>
      </w:r>
      <w:r>
        <w:rPr>
          <w:spacing w:val="-3"/>
          <w:sz w:val="24"/>
        </w:rPr>
        <w:t xml:space="preserve"> </w:t>
      </w:r>
      <w:r>
        <w:rPr>
          <w:sz w:val="24"/>
        </w:rPr>
        <w:t>and</w:t>
      </w:r>
      <w:r>
        <w:rPr>
          <w:spacing w:val="-1"/>
          <w:sz w:val="24"/>
        </w:rPr>
        <w:t xml:space="preserve"> </w:t>
      </w:r>
      <w:r>
        <w:rPr>
          <w:sz w:val="24"/>
        </w:rPr>
        <w:t>Resilience</w:t>
      </w:r>
      <w:r>
        <w:rPr>
          <w:spacing w:val="-2"/>
          <w:sz w:val="24"/>
        </w:rPr>
        <w:t xml:space="preserve"> </w:t>
      </w:r>
      <w:r>
        <w:rPr>
          <w:sz w:val="24"/>
        </w:rPr>
        <w:t>Facility</w:t>
      </w:r>
    </w:p>
    <w:p w:rsidR="00526895" w:rsidRDefault="00526895" w:rsidP="00526895">
      <w:pPr>
        <w:tabs>
          <w:tab w:val="left" w:pos="3019"/>
        </w:tabs>
        <w:ind w:left="140"/>
        <w:rPr>
          <w:sz w:val="24"/>
        </w:rPr>
      </w:pPr>
      <w:r>
        <w:rPr>
          <w:sz w:val="24"/>
        </w:rPr>
        <w:t>RRP</w:t>
      </w:r>
      <w:r>
        <w:rPr>
          <w:sz w:val="24"/>
        </w:rPr>
        <w:tab/>
        <w:t>Recovery</w:t>
      </w:r>
      <w:r>
        <w:rPr>
          <w:spacing w:val="-4"/>
          <w:sz w:val="24"/>
        </w:rPr>
        <w:t xml:space="preserve"> </w:t>
      </w:r>
      <w:r>
        <w:rPr>
          <w:sz w:val="24"/>
        </w:rPr>
        <w:t>and</w:t>
      </w:r>
      <w:r>
        <w:rPr>
          <w:spacing w:val="-1"/>
          <w:sz w:val="24"/>
        </w:rPr>
        <w:t xml:space="preserve"> </w:t>
      </w:r>
      <w:r>
        <w:rPr>
          <w:sz w:val="24"/>
        </w:rPr>
        <w:t>Resilience</w:t>
      </w:r>
      <w:r>
        <w:rPr>
          <w:spacing w:val="-2"/>
          <w:sz w:val="24"/>
        </w:rPr>
        <w:t xml:space="preserve"> </w:t>
      </w:r>
      <w:r>
        <w:rPr>
          <w:sz w:val="24"/>
        </w:rPr>
        <w:t>Plan</w:t>
      </w:r>
    </w:p>
    <w:p w:rsidR="00526895" w:rsidRDefault="00526895" w:rsidP="00526895">
      <w:pPr>
        <w:tabs>
          <w:tab w:val="left" w:pos="3020"/>
        </w:tabs>
        <w:ind w:left="140"/>
        <w:rPr>
          <w:sz w:val="24"/>
        </w:rPr>
      </w:pPr>
      <w:r>
        <w:rPr>
          <w:sz w:val="24"/>
        </w:rPr>
        <w:t>SRC</w:t>
      </w:r>
      <w:r>
        <w:rPr>
          <w:sz w:val="24"/>
        </w:rPr>
        <w:tab/>
        <w:t>Strategy</w:t>
      </w:r>
      <w:r>
        <w:rPr>
          <w:spacing w:val="-5"/>
          <w:sz w:val="24"/>
        </w:rPr>
        <w:t xml:space="preserve"> </w:t>
      </w:r>
      <w:r>
        <w:rPr>
          <w:sz w:val="24"/>
        </w:rPr>
        <w:t>on</w:t>
      </w:r>
      <w:r>
        <w:rPr>
          <w:spacing w:val="-1"/>
          <w:sz w:val="24"/>
        </w:rPr>
        <w:t xml:space="preserve"> </w:t>
      </w:r>
      <w:r>
        <w:rPr>
          <w:sz w:val="24"/>
        </w:rPr>
        <w:t>the</w:t>
      </w:r>
      <w:r>
        <w:rPr>
          <w:spacing w:val="-3"/>
          <w:sz w:val="24"/>
        </w:rPr>
        <w:t xml:space="preserve"> </w:t>
      </w:r>
      <w:r>
        <w:rPr>
          <w:sz w:val="24"/>
        </w:rPr>
        <w:t>Rights</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Child</w:t>
      </w:r>
    </w:p>
    <w:p w:rsidR="00526895" w:rsidRDefault="00526895" w:rsidP="00526895">
      <w:pPr>
        <w:tabs>
          <w:tab w:val="left" w:pos="3018"/>
        </w:tabs>
        <w:ind w:left="140"/>
        <w:rPr>
          <w:sz w:val="24"/>
        </w:rPr>
      </w:pPr>
      <w:r>
        <w:rPr>
          <w:sz w:val="24"/>
        </w:rPr>
        <w:t>SRHR</w:t>
      </w:r>
      <w:r>
        <w:rPr>
          <w:sz w:val="24"/>
        </w:rPr>
        <w:tab/>
        <w:t>Sexual</w:t>
      </w:r>
      <w:r>
        <w:rPr>
          <w:spacing w:val="-4"/>
          <w:sz w:val="24"/>
        </w:rPr>
        <w:t xml:space="preserve"> </w:t>
      </w:r>
      <w:r>
        <w:rPr>
          <w:sz w:val="24"/>
        </w:rPr>
        <w:t>and</w:t>
      </w:r>
      <w:r>
        <w:rPr>
          <w:spacing w:val="-4"/>
          <w:sz w:val="24"/>
        </w:rPr>
        <w:t xml:space="preserve"> </w:t>
      </w:r>
      <w:r>
        <w:rPr>
          <w:sz w:val="24"/>
        </w:rPr>
        <w:t>reproductive health</w:t>
      </w:r>
      <w:r>
        <w:rPr>
          <w:spacing w:val="-3"/>
          <w:sz w:val="24"/>
        </w:rPr>
        <w:t xml:space="preserve"> </w:t>
      </w:r>
      <w:r>
        <w:rPr>
          <w:sz w:val="24"/>
        </w:rPr>
        <w:t>and</w:t>
      </w:r>
      <w:r>
        <w:rPr>
          <w:spacing w:val="-3"/>
          <w:sz w:val="24"/>
        </w:rPr>
        <w:t xml:space="preserve"> </w:t>
      </w:r>
      <w:r>
        <w:rPr>
          <w:sz w:val="24"/>
        </w:rPr>
        <w:t>rights</w:t>
      </w:r>
    </w:p>
    <w:p w:rsidR="00526895" w:rsidRDefault="00526895" w:rsidP="00526895">
      <w:pPr>
        <w:tabs>
          <w:tab w:val="left" w:pos="3019"/>
        </w:tabs>
        <w:ind w:left="3020" w:right="1132" w:hanging="2880"/>
        <w:rPr>
          <w:sz w:val="24"/>
        </w:rPr>
      </w:pPr>
      <w:r>
        <w:rPr>
          <w:sz w:val="24"/>
        </w:rPr>
        <w:t>Strategy</w:t>
      </w:r>
      <w:r>
        <w:rPr>
          <w:sz w:val="24"/>
        </w:rPr>
        <w:tab/>
        <w:t>Union</w:t>
      </w:r>
      <w:r>
        <w:rPr>
          <w:spacing w:val="-2"/>
          <w:sz w:val="24"/>
        </w:rPr>
        <w:t xml:space="preserve"> </w:t>
      </w:r>
      <w:r>
        <w:rPr>
          <w:sz w:val="24"/>
        </w:rPr>
        <w:t>of</w:t>
      </w:r>
      <w:r>
        <w:rPr>
          <w:spacing w:val="-1"/>
          <w:sz w:val="24"/>
        </w:rPr>
        <w:t xml:space="preserve"> </w:t>
      </w:r>
      <w:r>
        <w:rPr>
          <w:sz w:val="24"/>
        </w:rPr>
        <w:t>Equality:</w:t>
      </w:r>
      <w:r>
        <w:rPr>
          <w:spacing w:val="-2"/>
          <w:sz w:val="24"/>
        </w:rPr>
        <w:t xml:space="preserve"> </w:t>
      </w:r>
      <w:r>
        <w:rPr>
          <w:sz w:val="24"/>
        </w:rPr>
        <w:t>Strategy</w:t>
      </w:r>
      <w:r>
        <w:rPr>
          <w:spacing w:val="-5"/>
          <w:sz w:val="24"/>
        </w:rPr>
        <w:t xml:space="preserve"> </w:t>
      </w:r>
      <w:r>
        <w:rPr>
          <w:sz w:val="24"/>
        </w:rPr>
        <w:t>for</w:t>
      </w:r>
      <w:r>
        <w:rPr>
          <w:spacing w:val="-3"/>
          <w:sz w:val="24"/>
        </w:rPr>
        <w:t xml:space="preserve"> </w:t>
      </w:r>
      <w:r>
        <w:rPr>
          <w:sz w:val="24"/>
        </w:rPr>
        <w:t>the</w:t>
      </w:r>
      <w:r>
        <w:rPr>
          <w:spacing w:val="-4"/>
          <w:sz w:val="24"/>
        </w:rPr>
        <w:t xml:space="preserve"> </w:t>
      </w:r>
      <w:r>
        <w:rPr>
          <w:sz w:val="24"/>
        </w:rPr>
        <w:t>Rights</w:t>
      </w:r>
      <w:r>
        <w:rPr>
          <w:spacing w:val="-1"/>
          <w:sz w:val="24"/>
        </w:rPr>
        <w:t xml:space="preserve"> </w:t>
      </w:r>
      <w:r>
        <w:rPr>
          <w:sz w:val="24"/>
        </w:rPr>
        <w:t>of</w:t>
      </w:r>
      <w:r>
        <w:rPr>
          <w:spacing w:val="-2"/>
          <w:sz w:val="24"/>
        </w:rPr>
        <w:t xml:space="preserve"> </w:t>
      </w:r>
      <w:r>
        <w:rPr>
          <w:sz w:val="24"/>
        </w:rPr>
        <w:t>Persons</w:t>
      </w:r>
      <w:r>
        <w:rPr>
          <w:spacing w:val="-1"/>
          <w:sz w:val="24"/>
        </w:rPr>
        <w:t xml:space="preserve"> </w:t>
      </w:r>
      <w:r>
        <w:rPr>
          <w:sz w:val="24"/>
        </w:rPr>
        <w:t>with</w:t>
      </w:r>
      <w:r>
        <w:rPr>
          <w:spacing w:val="-57"/>
          <w:sz w:val="24"/>
        </w:rPr>
        <w:t xml:space="preserve"> </w:t>
      </w:r>
      <w:r>
        <w:rPr>
          <w:sz w:val="24"/>
        </w:rPr>
        <w:t>Disabilities</w:t>
      </w:r>
      <w:r>
        <w:rPr>
          <w:spacing w:val="-4"/>
          <w:sz w:val="24"/>
        </w:rPr>
        <w:t xml:space="preserve"> </w:t>
      </w:r>
      <w:r>
        <w:rPr>
          <w:sz w:val="24"/>
        </w:rPr>
        <w:t>2021-2030</w:t>
      </w:r>
    </w:p>
    <w:p w:rsidR="00526895" w:rsidRDefault="00526895" w:rsidP="00526895">
      <w:pPr>
        <w:tabs>
          <w:tab w:val="left" w:pos="3020"/>
        </w:tabs>
        <w:ind w:left="140"/>
        <w:rPr>
          <w:sz w:val="24"/>
        </w:rPr>
      </w:pPr>
      <w:r>
        <w:rPr>
          <w:sz w:val="24"/>
        </w:rPr>
        <w:t>SWD</w:t>
      </w:r>
      <w:r>
        <w:rPr>
          <w:sz w:val="24"/>
        </w:rPr>
        <w:tab/>
        <w:t>Staff</w:t>
      </w:r>
      <w:r>
        <w:rPr>
          <w:spacing w:val="-4"/>
          <w:sz w:val="24"/>
        </w:rPr>
        <w:t xml:space="preserve"> </w:t>
      </w:r>
      <w:r>
        <w:rPr>
          <w:sz w:val="24"/>
        </w:rPr>
        <w:t>Working</w:t>
      </w:r>
      <w:r>
        <w:rPr>
          <w:spacing w:val="-4"/>
          <w:sz w:val="24"/>
        </w:rPr>
        <w:t xml:space="preserve"> </w:t>
      </w:r>
      <w:r>
        <w:rPr>
          <w:sz w:val="24"/>
        </w:rPr>
        <w:t>Document</w:t>
      </w:r>
    </w:p>
    <w:p w:rsidR="00526895" w:rsidRDefault="00526895" w:rsidP="00526895">
      <w:pPr>
        <w:tabs>
          <w:tab w:val="left" w:pos="3019"/>
        </w:tabs>
        <w:ind w:left="140"/>
        <w:rPr>
          <w:sz w:val="24"/>
        </w:rPr>
      </w:pPr>
      <w:r>
        <w:rPr>
          <w:sz w:val="24"/>
        </w:rPr>
        <w:t>TAIEX</w:t>
      </w:r>
      <w:r>
        <w:rPr>
          <w:sz w:val="24"/>
        </w:rPr>
        <w:tab/>
        <w:t>Technical</w:t>
      </w:r>
      <w:r>
        <w:rPr>
          <w:spacing w:val="-5"/>
          <w:sz w:val="24"/>
        </w:rPr>
        <w:t xml:space="preserve"> </w:t>
      </w:r>
      <w:r>
        <w:rPr>
          <w:sz w:val="24"/>
        </w:rPr>
        <w:t>Assistance</w:t>
      </w:r>
      <w:r>
        <w:rPr>
          <w:spacing w:val="-6"/>
          <w:sz w:val="24"/>
        </w:rPr>
        <w:t xml:space="preserve"> </w:t>
      </w:r>
      <w:r>
        <w:rPr>
          <w:sz w:val="24"/>
        </w:rPr>
        <w:t>and</w:t>
      </w:r>
      <w:r>
        <w:rPr>
          <w:spacing w:val="2"/>
          <w:sz w:val="24"/>
        </w:rPr>
        <w:t xml:space="preserve"> </w:t>
      </w:r>
      <w:r>
        <w:rPr>
          <w:sz w:val="24"/>
        </w:rPr>
        <w:t>Information</w:t>
      </w:r>
      <w:r>
        <w:rPr>
          <w:spacing w:val="-4"/>
          <w:sz w:val="24"/>
        </w:rPr>
        <w:t xml:space="preserve"> </w:t>
      </w:r>
      <w:r>
        <w:rPr>
          <w:sz w:val="24"/>
        </w:rPr>
        <w:t>Exchange</w:t>
      </w:r>
    </w:p>
    <w:p w:rsidR="00526895" w:rsidRDefault="00526895" w:rsidP="00526895">
      <w:pPr>
        <w:tabs>
          <w:tab w:val="left" w:pos="3018"/>
        </w:tabs>
        <w:ind w:left="140"/>
        <w:rPr>
          <w:sz w:val="24"/>
        </w:rPr>
      </w:pPr>
      <w:r>
        <w:rPr>
          <w:sz w:val="24"/>
        </w:rPr>
        <w:t>TEN-T</w:t>
      </w:r>
      <w:r>
        <w:rPr>
          <w:sz w:val="24"/>
        </w:rPr>
        <w:tab/>
        <w:t>Trans-European</w:t>
      </w:r>
      <w:r>
        <w:rPr>
          <w:spacing w:val="-2"/>
          <w:sz w:val="24"/>
        </w:rPr>
        <w:t xml:space="preserve"> </w:t>
      </w:r>
      <w:r>
        <w:rPr>
          <w:sz w:val="24"/>
        </w:rPr>
        <w:t>Transport</w:t>
      </w:r>
      <w:r>
        <w:rPr>
          <w:spacing w:val="-4"/>
          <w:sz w:val="24"/>
        </w:rPr>
        <w:t xml:space="preserve"> </w:t>
      </w:r>
      <w:r>
        <w:rPr>
          <w:sz w:val="24"/>
        </w:rPr>
        <w:t>Network</w:t>
      </w:r>
    </w:p>
    <w:p w:rsidR="00526895" w:rsidRDefault="00526895" w:rsidP="00526895">
      <w:pPr>
        <w:tabs>
          <w:tab w:val="left" w:pos="3018"/>
        </w:tabs>
        <w:ind w:left="140"/>
        <w:rPr>
          <w:sz w:val="24"/>
        </w:rPr>
      </w:pPr>
      <w:r>
        <w:rPr>
          <w:sz w:val="24"/>
        </w:rPr>
        <w:t>TF</w:t>
      </w:r>
      <w:r>
        <w:rPr>
          <w:sz w:val="24"/>
        </w:rPr>
        <w:tab/>
        <w:t>Task</w:t>
      </w:r>
      <w:r>
        <w:rPr>
          <w:spacing w:val="-3"/>
          <w:sz w:val="24"/>
        </w:rPr>
        <w:t xml:space="preserve"> </w:t>
      </w:r>
      <w:r>
        <w:rPr>
          <w:sz w:val="24"/>
        </w:rPr>
        <w:t>Force</w:t>
      </w:r>
    </w:p>
    <w:p w:rsidR="00526895" w:rsidRDefault="00526895" w:rsidP="00526895">
      <w:pPr>
        <w:tabs>
          <w:tab w:val="left" w:pos="3017"/>
        </w:tabs>
        <w:ind w:left="140"/>
        <w:rPr>
          <w:sz w:val="24"/>
        </w:rPr>
      </w:pPr>
      <w:r>
        <w:rPr>
          <w:sz w:val="24"/>
        </w:rPr>
        <w:t>TFEU</w:t>
      </w:r>
      <w:r>
        <w:rPr>
          <w:sz w:val="24"/>
        </w:rPr>
        <w:tab/>
        <w:t>Treaty</w:t>
      </w:r>
      <w:r>
        <w:rPr>
          <w:spacing w:val="-6"/>
          <w:sz w:val="24"/>
        </w:rPr>
        <w:t xml:space="preserve"> </w:t>
      </w:r>
      <w:r>
        <w:rPr>
          <w:sz w:val="24"/>
        </w:rPr>
        <w:t>on</w:t>
      </w:r>
      <w:r>
        <w:rPr>
          <w:spacing w:val="-1"/>
          <w:sz w:val="24"/>
        </w:rPr>
        <w:t xml:space="preserve"> </w:t>
      </w:r>
      <w:r>
        <w:rPr>
          <w:sz w:val="24"/>
        </w:rPr>
        <w:t>the</w:t>
      </w:r>
      <w:r>
        <w:rPr>
          <w:spacing w:val="1"/>
          <w:sz w:val="24"/>
        </w:rPr>
        <w:t xml:space="preserve"> </w:t>
      </w:r>
      <w:r>
        <w:rPr>
          <w:sz w:val="24"/>
        </w:rPr>
        <w:t>Functioning</w:t>
      </w:r>
      <w:r>
        <w:rPr>
          <w:spacing w:val="-1"/>
          <w:sz w:val="24"/>
        </w:rPr>
        <w:t xml:space="preserve"> </w:t>
      </w:r>
      <w:r>
        <w:rPr>
          <w:sz w:val="24"/>
        </w:rPr>
        <w:t>of</w:t>
      </w:r>
      <w:r>
        <w:rPr>
          <w:spacing w:val="-3"/>
          <w:sz w:val="24"/>
        </w:rPr>
        <w:t xml:space="preserve"> </w:t>
      </w:r>
      <w:r>
        <w:rPr>
          <w:sz w:val="24"/>
        </w:rPr>
        <w:t>the</w:t>
      </w:r>
      <w:r>
        <w:rPr>
          <w:spacing w:val="-2"/>
          <w:sz w:val="24"/>
        </w:rPr>
        <w:t xml:space="preserve"> </w:t>
      </w:r>
      <w:r>
        <w:rPr>
          <w:sz w:val="24"/>
        </w:rPr>
        <w:t>European</w:t>
      </w:r>
      <w:r>
        <w:rPr>
          <w:spacing w:val="-1"/>
          <w:sz w:val="24"/>
        </w:rPr>
        <w:t xml:space="preserve"> </w:t>
      </w:r>
      <w:r>
        <w:rPr>
          <w:sz w:val="24"/>
        </w:rPr>
        <w:t>Union</w:t>
      </w:r>
    </w:p>
    <w:p w:rsidR="00526895" w:rsidRDefault="00526895" w:rsidP="00526895">
      <w:pPr>
        <w:tabs>
          <w:tab w:val="left" w:pos="3019"/>
        </w:tabs>
        <w:ind w:left="140"/>
        <w:rPr>
          <w:sz w:val="24"/>
        </w:rPr>
      </w:pPr>
      <w:r>
        <w:rPr>
          <w:sz w:val="24"/>
        </w:rPr>
        <w:t>TSI</w:t>
      </w:r>
      <w:r>
        <w:rPr>
          <w:sz w:val="24"/>
        </w:rPr>
        <w:tab/>
        <w:t>Technical</w:t>
      </w:r>
      <w:r>
        <w:rPr>
          <w:spacing w:val="-5"/>
          <w:sz w:val="24"/>
        </w:rPr>
        <w:t xml:space="preserve"> </w:t>
      </w:r>
      <w:r>
        <w:rPr>
          <w:sz w:val="24"/>
        </w:rPr>
        <w:t>Support Instrument</w:t>
      </w:r>
    </w:p>
    <w:p w:rsidR="00526895" w:rsidRDefault="00526895" w:rsidP="00526895">
      <w:pPr>
        <w:tabs>
          <w:tab w:val="left" w:pos="3019"/>
        </w:tabs>
        <w:ind w:left="140"/>
        <w:rPr>
          <w:sz w:val="24"/>
        </w:rPr>
      </w:pPr>
      <w:r>
        <w:rPr>
          <w:sz w:val="24"/>
        </w:rPr>
        <w:t>TSI</w:t>
      </w:r>
      <w:r>
        <w:rPr>
          <w:sz w:val="24"/>
        </w:rPr>
        <w:tab/>
        <w:t>Technical</w:t>
      </w:r>
      <w:r>
        <w:rPr>
          <w:spacing w:val="-5"/>
          <w:sz w:val="24"/>
        </w:rPr>
        <w:t xml:space="preserve"> </w:t>
      </w:r>
      <w:r>
        <w:rPr>
          <w:sz w:val="24"/>
        </w:rPr>
        <w:t>Specifications</w:t>
      </w:r>
      <w:r>
        <w:rPr>
          <w:spacing w:val="1"/>
          <w:sz w:val="24"/>
        </w:rPr>
        <w:t xml:space="preserve"> </w:t>
      </w:r>
      <w:r>
        <w:rPr>
          <w:sz w:val="24"/>
        </w:rPr>
        <w:t>for</w:t>
      </w:r>
      <w:r>
        <w:rPr>
          <w:spacing w:val="-1"/>
          <w:sz w:val="24"/>
        </w:rPr>
        <w:t xml:space="preserve"> </w:t>
      </w:r>
      <w:r>
        <w:rPr>
          <w:sz w:val="24"/>
        </w:rPr>
        <w:t>Interoperability</w:t>
      </w:r>
    </w:p>
    <w:p w:rsidR="00526895" w:rsidRDefault="00526895" w:rsidP="00526895">
      <w:pPr>
        <w:rPr>
          <w:sz w:val="24"/>
        </w:rPr>
        <w:sectPr w:rsidR="00526895">
          <w:pgSz w:w="12240" w:h="15840"/>
          <w:pgMar w:top="1360" w:right="1200" w:bottom="1160" w:left="1300" w:header="0" w:footer="964" w:gutter="0"/>
          <w:cols w:space="720"/>
        </w:sectPr>
      </w:pPr>
    </w:p>
    <w:p w:rsidR="00526895" w:rsidRDefault="00526895" w:rsidP="00526895">
      <w:pPr>
        <w:tabs>
          <w:tab w:val="left" w:pos="3017"/>
        </w:tabs>
        <w:spacing w:before="74"/>
        <w:ind w:left="140"/>
        <w:rPr>
          <w:sz w:val="24"/>
        </w:rPr>
      </w:pPr>
      <w:r>
        <w:rPr>
          <w:sz w:val="24"/>
        </w:rPr>
        <w:t>UNCRPD</w:t>
      </w:r>
      <w:r>
        <w:rPr>
          <w:sz w:val="24"/>
        </w:rPr>
        <w:tab/>
        <w:t>UN</w:t>
      </w:r>
      <w:r>
        <w:rPr>
          <w:spacing w:val="-3"/>
          <w:sz w:val="24"/>
        </w:rPr>
        <w:t xml:space="preserve"> </w:t>
      </w:r>
      <w:r>
        <w:rPr>
          <w:sz w:val="24"/>
        </w:rPr>
        <w:t>Convention</w:t>
      </w:r>
      <w:r>
        <w:rPr>
          <w:spacing w:val="-2"/>
          <w:sz w:val="24"/>
        </w:rPr>
        <w:t xml:space="preserve"> </w:t>
      </w:r>
      <w:r>
        <w:rPr>
          <w:sz w:val="24"/>
        </w:rPr>
        <w:t>on</w:t>
      </w:r>
      <w:r>
        <w:rPr>
          <w:spacing w:val="-2"/>
          <w:sz w:val="24"/>
        </w:rPr>
        <w:t xml:space="preserve"> </w:t>
      </w:r>
      <w:r>
        <w:rPr>
          <w:sz w:val="24"/>
        </w:rPr>
        <w:t>the</w:t>
      </w:r>
      <w:r>
        <w:rPr>
          <w:spacing w:val="-2"/>
          <w:sz w:val="24"/>
        </w:rPr>
        <w:t xml:space="preserve"> </w:t>
      </w:r>
      <w:r>
        <w:rPr>
          <w:sz w:val="24"/>
        </w:rPr>
        <w:t>Rights</w:t>
      </w:r>
      <w:r>
        <w:rPr>
          <w:spacing w:val="-2"/>
          <w:sz w:val="24"/>
        </w:rPr>
        <w:t xml:space="preserve"> </w:t>
      </w:r>
      <w:r>
        <w:rPr>
          <w:sz w:val="24"/>
        </w:rPr>
        <w:t>of</w:t>
      </w:r>
      <w:r>
        <w:rPr>
          <w:spacing w:val="-2"/>
          <w:sz w:val="24"/>
        </w:rPr>
        <w:t xml:space="preserve"> </w:t>
      </w:r>
      <w:r>
        <w:rPr>
          <w:sz w:val="24"/>
        </w:rPr>
        <w:t>Persons</w:t>
      </w:r>
      <w:r>
        <w:rPr>
          <w:spacing w:val="-2"/>
          <w:sz w:val="24"/>
        </w:rPr>
        <w:t xml:space="preserve"> </w:t>
      </w:r>
      <w:r>
        <w:rPr>
          <w:sz w:val="24"/>
        </w:rPr>
        <w:t>with Disabilities</w:t>
      </w:r>
    </w:p>
    <w:p w:rsidR="00526895" w:rsidRDefault="00526895" w:rsidP="00526895">
      <w:pPr>
        <w:tabs>
          <w:tab w:val="left" w:pos="3020"/>
        </w:tabs>
        <w:ind w:left="140"/>
        <w:rPr>
          <w:sz w:val="24"/>
        </w:rPr>
      </w:pPr>
      <w:r>
        <w:rPr>
          <w:sz w:val="24"/>
        </w:rPr>
        <w:t>VET</w:t>
      </w:r>
      <w:r>
        <w:rPr>
          <w:sz w:val="24"/>
        </w:rPr>
        <w:tab/>
        <w:t>Vocational</w:t>
      </w:r>
      <w:r>
        <w:rPr>
          <w:spacing w:val="-3"/>
          <w:sz w:val="24"/>
        </w:rPr>
        <w:t xml:space="preserve"> </w:t>
      </w:r>
      <w:r>
        <w:rPr>
          <w:sz w:val="24"/>
        </w:rPr>
        <w:t>Education</w:t>
      </w:r>
      <w:r>
        <w:rPr>
          <w:spacing w:val="-3"/>
          <w:sz w:val="24"/>
        </w:rPr>
        <w:t xml:space="preserve"> </w:t>
      </w:r>
      <w:r>
        <w:rPr>
          <w:sz w:val="24"/>
        </w:rPr>
        <w:t>and</w:t>
      </w:r>
      <w:r>
        <w:rPr>
          <w:spacing w:val="-3"/>
          <w:sz w:val="24"/>
        </w:rPr>
        <w:t xml:space="preserve"> </w:t>
      </w:r>
      <w:r>
        <w:rPr>
          <w:sz w:val="24"/>
        </w:rPr>
        <w:t>Training</w:t>
      </w:r>
    </w:p>
    <w:p w:rsidR="00526895" w:rsidRDefault="00526895" w:rsidP="00526895">
      <w:pPr>
        <w:tabs>
          <w:tab w:val="left" w:pos="3018"/>
        </w:tabs>
        <w:ind w:left="140"/>
        <w:rPr>
          <w:sz w:val="24"/>
        </w:rPr>
      </w:pPr>
      <w:r>
        <w:rPr>
          <w:sz w:val="24"/>
        </w:rPr>
        <w:t>WAD</w:t>
      </w:r>
      <w:r>
        <w:rPr>
          <w:sz w:val="24"/>
        </w:rPr>
        <w:tab/>
        <w:t>Web</w:t>
      </w:r>
      <w:r>
        <w:rPr>
          <w:spacing w:val="-3"/>
          <w:sz w:val="24"/>
        </w:rPr>
        <w:t xml:space="preserve"> </w:t>
      </w:r>
      <w:r>
        <w:rPr>
          <w:sz w:val="24"/>
        </w:rPr>
        <w:t>Accessibility</w:t>
      </w:r>
      <w:r>
        <w:rPr>
          <w:spacing w:val="-3"/>
          <w:sz w:val="24"/>
        </w:rPr>
        <w:t xml:space="preserve"> </w:t>
      </w:r>
      <w:r>
        <w:rPr>
          <w:sz w:val="24"/>
        </w:rPr>
        <w:t>Directive</w:t>
      </w:r>
    </w:p>
    <w:p w:rsidR="00526895" w:rsidRDefault="00526895" w:rsidP="00526895">
      <w:pPr>
        <w:tabs>
          <w:tab w:val="left" w:pos="3018"/>
        </w:tabs>
        <w:ind w:left="140"/>
        <w:rPr>
          <w:sz w:val="24"/>
        </w:rPr>
      </w:pPr>
      <w:r>
        <w:rPr>
          <w:sz w:val="24"/>
        </w:rPr>
        <w:t>WCAG</w:t>
      </w:r>
      <w:r>
        <w:rPr>
          <w:sz w:val="24"/>
        </w:rPr>
        <w:tab/>
        <w:t>Web</w:t>
      </w:r>
      <w:r>
        <w:rPr>
          <w:spacing w:val="-3"/>
          <w:sz w:val="24"/>
        </w:rPr>
        <w:t xml:space="preserve"> </w:t>
      </w:r>
      <w:r>
        <w:rPr>
          <w:sz w:val="24"/>
        </w:rPr>
        <w:t>Content</w:t>
      </w:r>
      <w:r>
        <w:rPr>
          <w:spacing w:val="-2"/>
          <w:sz w:val="24"/>
        </w:rPr>
        <w:t xml:space="preserve"> </w:t>
      </w:r>
      <w:r>
        <w:rPr>
          <w:sz w:val="24"/>
        </w:rPr>
        <w:t>Accessibility</w:t>
      </w:r>
      <w:r>
        <w:rPr>
          <w:spacing w:val="-6"/>
          <w:sz w:val="24"/>
        </w:rPr>
        <w:t xml:space="preserve"> </w:t>
      </w:r>
      <w:r>
        <w:rPr>
          <w:sz w:val="24"/>
        </w:rPr>
        <w:t>Guidelines</w:t>
      </w:r>
    </w:p>
    <w:p w:rsidR="00526895" w:rsidRDefault="00526895" w:rsidP="00526895">
      <w:pPr>
        <w:tabs>
          <w:tab w:val="left" w:pos="3018"/>
        </w:tabs>
        <w:ind w:left="140"/>
        <w:rPr>
          <w:sz w:val="24"/>
        </w:rPr>
      </w:pPr>
      <w:r>
        <w:rPr>
          <w:sz w:val="24"/>
        </w:rPr>
        <w:t>WHO</w:t>
      </w:r>
      <w:r>
        <w:rPr>
          <w:sz w:val="24"/>
        </w:rPr>
        <w:tab/>
        <w:t>World</w:t>
      </w:r>
      <w:r>
        <w:rPr>
          <w:spacing w:val="-4"/>
          <w:sz w:val="24"/>
        </w:rPr>
        <w:t xml:space="preserve"> </w:t>
      </w:r>
      <w:r>
        <w:rPr>
          <w:sz w:val="24"/>
        </w:rPr>
        <w:t>Health Organization</w:t>
      </w:r>
    </w:p>
    <w:p w:rsidR="00526895" w:rsidRDefault="00526895" w:rsidP="00526895">
      <w:pPr>
        <w:tabs>
          <w:tab w:val="left" w:pos="3020"/>
        </w:tabs>
        <w:ind w:left="140"/>
        <w:rPr>
          <w:sz w:val="24"/>
        </w:rPr>
      </w:pPr>
      <w:r>
        <w:rPr>
          <w:sz w:val="24"/>
        </w:rPr>
        <w:t>WIPO</w:t>
      </w:r>
      <w:r>
        <w:rPr>
          <w:sz w:val="24"/>
        </w:rPr>
        <w:tab/>
        <w:t>World Intellectual</w:t>
      </w:r>
      <w:r>
        <w:rPr>
          <w:spacing w:val="-3"/>
          <w:sz w:val="24"/>
        </w:rPr>
        <w:t xml:space="preserve"> </w:t>
      </w:r>
      <w:r>
        <w:rPr>
          <w:sz w:val="24"/>
        </w:rPr>
        <w:t>Property</w:t>
      </w:r>
      <w:r>
        <w:rPr>
          <w:spacing w:val="-6"/>
          <w:sz w:val="24"/>
        </w:rPr>
        <w:t xml:space="preserve"> </w:t>
      </w:r>
      <w:r>
        <w:rPr>
          <w:sz w:val="24"/>
        </w:rPr>
        <w:t>Organization</w:t>
      </w:r>
    </w:p>
    <w:p w:rsidR="005B1E95" w:rsidRDefault="005B1E95">
      <w:pPr>
        <w:pStyle w:val="BodyText"/>
        <w:ind w:left="0"/>
      </w:pPr>
    </w:p>
    <w:p w:rsidR="005B1E95" w:rsidRDefault="005B1E95">
      <w:pPr>
        <w:pStyle w:val="BodyText"/>
        <w:ind w:left="0"/>
      </w:pPr>
    </w:p>
    <w:p w:rsidR="005B1E95" w:rsidRDefault="005B1E95">
      <w:pPr>
        <w:pStyle w:val="BodyText"/>
        <w:ind w:left="0"/>
      </w:pPr>
    </w:p>
    <w:p w:rsidR="005B1E95" w:rsidRDefault="005B1E95">
      <w:pPr>
        <w:pStyle w:val="BodyText"/>
        <w:ind w:left="0"/>
      </w:pPr>
    </w:p>
    <w:p w:rsidR="005B1E95" w:rsidRDefault="00706843" w:rsidP="00526895">
      <w:pPr>
        <w:pStyle w:val="Heading1"/>
      </w:pPr>
      <w:r>
        <w:rPr>
          <w:noProof/>
        </w:rPr>
        <mc:AlternateContent>
          <mc:Choice Requires="wps">
            <w:drawing>
              <wp:anchor distT="0" distB="0" distL="0" distR="0" simplePos="0" relativeHeight="487590912" behindDoc="1" locked="0" layoutInCell="1" allowOverlap="1">
                <wp:simplePos x="0" y="0"/>
                <wp:positionH relativeFrom="page">
                  <wp:posOffset>914400</wp:posOffset>
                </wp:positionH>
                <wp:positionV relativeFrom="paragraph">
                  <wp:posOffset>171450</wp:posOffset>
                </wp:positionV>
                <wp:extent cx="1828800" cy="6350"/>
                <wp:effectExtent l="0" t="0" r="0" b="0"/>
                <wp:wrapTopAndBottom/>
                <wp:docPr id="1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B98A06" id="Rectangle 4" o:spid="_x0000_s1026" style="position:absolute;margin-left:1in;margin-top:13.5pt;width:2in;height:.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" fillcolor="black" stroked="f">
                <w10:wrap type="topAndBottom" anchorx="page"/>
              </v:rect>
            </w:pict>
          </mc:Fallback>
        </mc:AlternateContent>
      </w:r>
      <w:r w:rsidR="00526895">
        <w:t>ENDNOTES</w:t>
      </w:r>
    </w:p>
    <w:p w:rsidR="005B1E95" w:rsidRDefault="005B1E95">
      <w:pPr>
        <w:pStyle w:val="BodyText"/>
        <w:spacing w:before="1"/>
        <w:ind w:left="0"/>
      </w:pPr>
    </w:p>
    <w:p w:rsidR="004B7FAC" w:rsidRDefault="004B7FAC">
      <w:pPr>
        <w:pStyle w:val="BodyText"/>
        <w:spacing w:before="1"/>
      </w:pPr>
    </w:p>
    <w:p w:rsidR="0037575C" w:rsidRPr="00223BF3" w:rsidRDefault="0037575C" w:rsidP="0037575C">
      <w:pPr>
        <w:pStyle w:val="EndnoteText"/>
        <w:numPr>
          <w:ilvl w:val="0"/>
          <w:numId w:val="15"/>
        </w:numPr>
        <w:jc w:val="both"/>
      </w:pPr>
      <w:r w:rsidRPr="00223BF3">
        <w:t>European Parliament resolution of 10 March 2021 on equal treatment in employment and occupation in light of the UNCRPD (</w:t>
      </w:r>
      <w:hyperlink r:id="rId21" w:history="1">
        <w:r w:rsidRPr="00223BF3">
          <w:rPr>
            <w:rStyle w:val="Hyperlink"/>
            <w:lang w:val="en-IE"/>
          </w:rPr>
          <w:t>P9_TA(2021)0075</w:t>
        </w:r>
      </w:hyperlink>
      <w:r w:rsidRPr="00223BF3">
        <w:t>), European Parliament resolution of 7 October 2021 on the protection of persons with disabilities through petitions: lessons learnt (</w:t>
      </w:r>
      <w:hyperlink r:id="rId22" w:history="1">
        <w:r w:rsidRPr="00223BF3">
          <w:rPr>
            <w:rStyle w:val="Hyperlink"/>
            <w:lang w:val="en-IE"/>
          </w:rPr>
          <w:t>P9_TA(2021)0414</w:t>
        </w:r>
      </w:hyperlink>
      <w:r w:rsidRPr="00223BF3">
        <w:t>), and European Parliament resolution of 13 December 2022 towards equal rights for persons with disabilities (</w:t>
      </w:r>
      <w:hyperlink r:id="rId23" w:history="1">
        <w:r w:rsidRPr="00223BF3">
          <w:rPr>
            <w:rStyle w:val="Hyperlink"/>
            <w:lang w:val="en-IE"/>
          </w:rPr>
          <w:t>P9_TA(2022)0435</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4" w:history="1">
        <w:r w:rsidRPr="00223BF3" w:rsidDel="008915E0">
          <w:rPr>
            <w:rStyle w:val="Hyperlink"/>
            <w:lang w:val="en-IE"/>
          </w:rPr>
          <w:t>Contribution to the EU report to the United Nations Convention on the Rights of Persons with Disabilities Committee (europa.eu)</w:t>
        </w:r>
        <w:r w:rsidRPr="00223BF3" w:rsidDel="006A7FAF">
          <w:rPr>
            <w:rStyle w:val="Hyperlink"/>
            <w:lang w:val="en-IE"/>
          </w:rPr>
          <w:t xml:space="preserve"> </w:t>
        </w:r>
      </w:hyperlink>
    </w:p>
    <w:p w:rsidR="0037575C" w:rsidRPr="00223BF3" w:rsidRDefault="0037575C" w:rsidP="0037575C">
      <w:pPr>
        <w:pStyle w:val="ListParagraph"/>
        <w:numPr>
          <w:ilvl w:val="0"/>
          <w:numId w:val="15"/>
        </w:numPr>
        <w:jc w:val="both"/>
        <w:rPr>
          <w:sz w:val="20"/>
          <w:szCs w:val="20"/>
        </w:rPr>
      </w:pPr>
      <w:r w:rsidRPr="00223BF3">
        <w:rPr>
          <w:sz w:val="20"/>
          <w:szCs w:val="20"/>
        </w:rPr>
        <w:t>See: Proposal for a Council Decision concerning the conclusion, by the European Community, of the Optional Protocol to the United Nations Convention on the Rights of Persons with Disabilities (</w:t>
      </w:r>
      <w:hyperlink r:id="rId25" w:history="1">
        <w:r w:rsidRPr="00223BF3">
          <w:rPr>
            <w:rStyle w:val="Hyperlink"/>
            <w:sz w:val="20"/>
            <w:szCs w:val="20"/>
            <w:lang w:val="en-IE"/>
          </w:rPr>
          <w:t>COM/2008/0530 final - COD 2008/0171</w:t>
        </w:r>
      </w:hyperlink>
      <w:r w:rsidRPr="00223BF3">
        <w:rPr>
          <w:sz w:val="20"/>
          <w:szCs w:val="20"/>
        </w:rPr>
        <w:t xml:space="preserve">). </w:t>
      </w:r>
    </w:p>
    <w:p w:rsidR="0037575C" w:rsidRPr="00223BF3" w:rsidRDefault="0037575C" w:rsidP="0037575C">
      <w:pPr>
        <w:pStyle w:val="EndnoteText"/>
        <w:numPr>
          <w:ilvl w:val="0"/>
          <w:numId w:val="15"/>
        </w:numPr>
        <w:jc w:val="both"/>
      </w:pPr>
      <w:r w:rsidRPr="00223BF3">
        <w:t>January 2023.</w:t>
      </w:r>
    </w:p>
    <w:p w:rsidR="0037575C" w:rsidRPr="00223BF3" w:rsidRDefault="0037575C" w:rsidP="0037575C">
      <w:pPr>
        <w:pStyle w:val="EndnoteText"/>
        <w:numPr>
          <w:ilvl w:val="0"/>
          <w:numId w:val="15"/>
        </w:numPr>
        <w:jc w:val="both"/>
        <w:rPr>
          <w:lang w:val="en-GB"/>
        </w:rPr>
      </w:pPr>
      <w:r w:rsidRPr="00223BF3">
        <w:t xml:space="preserve">Belgium, Czechia, Denmark, Germany, Estonia, Greece, Spain, France, Croatia, Italy, Cyprus, Latvia, Lithuania, Luxembourg, Hungary, Malta, Austria, Portugal, Slovenia, Slovakia, Finland, Sweden.  </w:t>
      </w:r>
    </w:p>
    <w:p w:rsidR="0037575C" w:rsidRPr="00223BF3" w:rsidRDefault="0037575C" w:rsidP="0037575C">
      <w:pPr>
        <w:pStyle w:val="EndnoteText"/>
        <w:numPr>
          <w:ilvl w:val="0"/>
          <w:numId w:val="15"/>
        </w:numPr>
      </w:pPr>
      <w:r w:rsidRPr="00223BF3">
        <w:t xml:space="preserve">Treaties are the starting point for EU law and are known in the EU as primary law. The body of law that comes from the principles and objectives of the treaties is known as secondary law; and includes regulations, directives, decisions, recommendations and opinions. See: </w:t>
      </w:r>
      <w:hyperlink r:id="rId26" w:history="1">
        <w:r w:rsidRPr="00223BF3">
          <w:rPr>
            <w:rStyle w:val="Hyperlink"/>
            <w:lang w:val="en-IE"/>
          </w:rPr>
          <w:t>Types of EU law</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7" w:history="1">
        <w:r w:rsidRPr="00223BF3">
          <w:rPr>
            <w:rStyle w:val="Hyperlink"/>
            <w:lang w:val="en-IE"/>
          </w:rPr>
          <w:t>Council Regulation (EU, Euratom) 2022/2496</w:t>
        </w:r>
      </w:hyperlink>
      <w:r w:rsidRPr="00223BF3">
        <w:t xml:space="preserve"> of 15 December 2022 amending Regulation (EU, Euratom) 2020/2093 laying down the multiannual financial framework for the years 2021 to 2027.  </w:t>
      </w:r>
    </w:p>
    <w:p w:rsidR="0037575C" w:rsidRPr="00223BF3" w:rsidRDefault="0037575C" w:rsidP="0037575C">
      <w:pPr>
        <w:pStyle w:val="EndnoteText"/>
        <w:numPr>
          <w:ilvl w:val="0"/>
          <w:numId w:val="15"/>
        </w:numPr>
        <w:jc w:val="both"/>
        <w:rPr>
          <w:lang w:val="en-US"/>
        </w:rPr>
      </w:pPr>
      <w:r w:rsidRPr="00223BF3">
        <w:rPr>
          <w:rStyle w:val="Hyperlink"/>
          <w:color w:val="000000" w:themeColor="text1"/>
          <w:lang w:val="en-IE" w:eastAsia="en-IE"/>
        </w:rPr>
        <w:t>The legal texts of the programmes, calls to execute the budget, and details on projects and actions are published on the Commission website.</w:t>
      </w:r>
      <w:r w:rsidRPr="00223BF3">
        <w:t xml:space="preserve"> For more information consult: </w:t>
      </w:r>
      <w:hyperlink r:id="rId28" w:history="1">
        <w:r w:rsidRPr="00223BF3">
          <w:rPr>
            <w:rStyle w:val="Hyperlink"/>
            <w:lang w:val="en-IE"/>
          </w:rPr>
          <w:t>EU budget</w:t>
        </w:r>
      </w:hyperlink>
      <w:r w:rsidRPr="00223BF3">
        <w:t>.</w:t>
      </w:r>
    </w:p>
    <w:p w:rsidR="0037575C" w:rsidRPr="00223BF3" w:rsidRDefault="0037575C" w:rsidP="0037575C">
      <w:pPr>
        <w:pStyle w:val="EndnoteText"/>
        <w:numPr>
          <w:ilvl w:val="0"/>
          <w:numId w:val="15"/>
        </w:numPr>
        <w:jc w:val="both"/>
      </w:pPr>
      <w:r w:rsidRPr="00223BF3">
        <w:t xml:space="preserve">See: </w:t>
      </w:r>
      <w:hyperlink r:id="rId29" w:history="1">
        <w:r w:rsidRPr="00223BF3">
          <w:rPr>
            <w:rStyle w:val="Hyperlink"/>
            <w:lang w:val="en-IE"/>
          </w:rPr>
          <w:t>Regulation (EU) 2021/1060</w:t>
        </w:r>
      </w:hyperlink>
      <w:r w:rsidRPr="00223BF3">
        <w:t xml:space="preserve"> of the European Parliament and of the Council of 24 June 2021 laying down common provisions on the European Regional Development Fund (ERDF), the European Social Fund Plus (ESF+; successor to the European Social Fund (ESF)), the Cohesion Fund (CF), the Just Transition Fund (JTF) and the European Maritime, Fisheries and Aquaculture Fund (EMFAF; successor to the European Maritime and Fisheries Fund (EMFF)) and financial rules for those and for the Asylum, Migration and Integration Fund (AMIF), the Internal Security Fund (ISF) and the Instrument for Financial Support for Border Management and Visa Policy (BMVI). </w:t>
      </w:r>
    </w:p>
    <w:p w:rsidR="0037575C" w:rsidRPr="00223BF3" w:rsidRDefault="0037575C" w:rsidP="0037575C">
      <w:pPr>
        <w:pStyle w:val="EndnoteText"/>
        <w:numPr>
          <w:ilvl w:val="0"/>
          <w:numId w:val="15"/>
        </w:numPr>
      </w:pPr>
      <w:r w:rsidRPr="00223BF3">
        <w:t xml:space="preserve">See: Art. 9.3 of </w:t>
      </w:r>
      <w:hyperlink r:id="rId30" w:history="1">
        <w:r w:rsidRPr="00223BF3">
          <w:rPr>
            <w:rStyle w:val="Hyperlink"/>
            <w:lang w:val="en-IE"/>
          </w:rPr>
          <w:t>Regulation (EU) 2021/1060</w:t>
        </w:r>
      </w:hyperlink>
      <w:r w:rsidRPr="00223BF3">
        <w:rPr>
          <w:rStyle w:val="Hyperlink"/>
          <w:lang w:val="en-IE"/>
        </w:rPr>
        <w:t>.</w:t>
      </w:r>
    </w:p>
    <w:p w:rsidR="0037575C" w:rsidRPr="00223BF3" w:rsidRDefault="0037575C" w:rsidP="0037575C">
      <w:pPr>
        <w:pStyle w:val="EndnoteText"/>
        <w:numPr>
          <w:ilvl w:val="0"/>
          <w:numId w:val="15"/>
        </w:numPr>
        <w:jc w:val="both"/>
      </w:pPr>
      <w:r w:rsidRPr="00223BF3">
        <w:rPr>
          <w:rStyle w:val="Hyperlink"/>
          <w:color w:val="000000" w:themeColor="text1"/>
          <w:lang w:val="en-IE" w:eastAsia="en-IE"/>
        </w:rPr>
        <w:t xml:space="preserve">The Commission does not prescribe specific amounts to be included, these are earmarked by the programme authorities. Under shared management, the responsibility for selecting operations and reporting under respective categories of expenditure lies with the programme authorities. </w:t>
      </w:r>
    </w:p>
    <w:p w:rsidR="0037575C" w:rsidRPr="00223BF3" w:rsidRDefault="0037575C" w:rsidP="0037575C">
      <w:pPr>
        <w:pStyle w:val="EndnoteText"/>
        <w:numPr>
          <w:ilvl w:val="0"/>
          <w:numId w:val="15"/>
        </w:numPr>
        <w:jc w:val="both"/>
      </w:pPr>
      <w:r w:rsidRPr="00223BF3">
        <w:rPr>
          <w:rStyle w:val="Hyperlink"/>
          <w:color w:val="000000" w:themeColor="text1"/>
          <w:lang w:val="en-IE" w:eastAsia="en-IE"/>
        </w:rPr>
        <w:t>As explained above, this figure could cover also support to other groups than persons with disabilities.</w:t>
      </w:r>
    </w:p>
    <w:p w:rsidR="0037575C" w:rsidRPr="00223BF3" w:rsidRDefault="0037575C" w:rsidP="0037575C">
      <w:pPr>
        <w:pStyle w:val="EndnoteText"/>
        <w:numPr>
          <w:ilvl w:val="0"/>
          <w:numId w:val="15"/>
        </w:numPr>
        <w:jc w:val="both"/>
      </w:pPr>
      <w:r w:rsidRPr="00223BF3">
        <w:rPr>
          <w:rStyle w:val="Hyperlink"/>
          <w:color w:val="000000" w:themeColor="text1"/>
          <w:lang w:val="en-IE" w:eastAsia="en-IE"/>
        </w:rPr>
        <w:t>Successor of the Structural Reform Support Programme 2017-2020.</w:t>
      </w:r>
    </w:p>
    <w:p w:rsidR="0037575C" w:rsidRPr="00223BF3" w:rsidRDefault="0037575C" w:rsidP="0037575C">
      <w:pPr>
        <w:pStyle w:val="EndnoteText"/>
        <w:numPr>
          <w:ilvl w:val="0"/>
          <w:numId w:val="15"/>
        </w:numPr>
        <w:jc w:val="both"/>
      </w:pPr>
      <w:r w:rsidRPr="00223BF3">
        <w:rPr>
          <w:rStyle w:val="Hyperlink"/>
          <w:color w:val="000000" w:themeColor="text1"/>
          <w:lang w:val="en-IE" w:eastAsia="en-IE"/>
        </w:rPr>
        <w:t>The Commission does not prescribe specific amounts to be included in the TSI programmes, these are earmarked by national and regional authorities based on the established needs.</w:t>
      </w:r>
    </w:p>
    <w:p w:rsidR="0037575C" w:rsidRPr="00223BF3" w:rsidRDefault="0037575C" w:rsidP="0037575C">
      <w:pPr>
        <w:pStyle w:val="EndnoteText"/>
        <w:numPr>
          <w:ilvl w:val="0"/>
          <w:numId w:val="15"/>
        </w:numPr>
        <w:jc w:val="both"/>
      </w:pPr>
      <w:r w:rsidRPr="00223BF3">
        <w:t xml:space="preserve">See: </w:t>
      </w:r>
      <w:hyperlink r:id="rId31" w:history="1">
        <w:r w:rsidRPr="00223BF3">
          <w:rPr>
            <w:rStyle w:val="Hyperlink"/>
            <w:lang w:val="en-IE"/>
          </w:rPr>
          <w:t>Commission Implementing Decision - framework of inclusion measures of Erasmus+ and European Solidarity Corps 2021-27</w:t>
        </w:r>
      </w:hyperlink>
      <w:r w:rsidRPr="00223BF3">
        <w:t xml:space="preserve">. </w:t>
      </w:r>
    </w:p>
    <w:p w:rsidR="0037575C" w:rsidRPr="00223BF3" w:rsidRDefault="0037575C" w:rsidP="0037575C">
      <w:pPr>
        <w:pStyle w:val="EndnoteText"/>
        <w:numPr>
          <w:ilvl w:val="0"/>
          <w:numId w:val="15"/>
        </w:numPr>
        <w:jc w:val="both"/>
      </w:pPr>
      <w:r w:rsidRPr="00223BF3">
        <w:t>As defined in Article 2(25) of the Erasmus+ Regulation, young people with fewer opportunities are those who, for economic, social, cultural, geographical or health reasons, a migrant background, or for reasons such as disability and educational difficulties or for any other reasons, including those that can give rise to discrimination under Article 21 of the Charter of Fundamental Rights of the European Union, face obstacles that prevent them from having effective access to opportunities under the programme.</w:t>
      </w:r>
    </w:p>
    <w:p w:rsidR="0037575C" w:rsidRPr="00223BF3" w:rsidRDefault="0037575C" w:rsidP="0037575C">
      <w:pPr>
        <w:pStyle w:val="EndnoteText"/>
        <w:numPr>
          <w:ilvl w:val="0"/>
          <w:numId w:val="15"/>
        </w:numPr>
        <w:rPr>
          <w:lang w:val="en-US"/>
        </w:rPr>
      </w:pPr>
      <w:r w:rsidRPr="00223BF3">
        <w:t>The information reflects the number of contracted projects until mid-November 2022 (in the fields of youth, school, VET, adult education and higher education). Data on the number of projects and contracted grant may further evolve with the finalisation of the selection and contracting of projects of 2022 Call year.</w:t>
      </w:r>
    </w:p>
    <w:p w:rsidR="0037575C" w:rsidRPr="00223BF3" w:rsidRDefault="0037575C" w:rsidP="0037575C">
      <w:pPr>
        <w:pStyle w:val="EndnoteText"/>
        <w:numPr>
          <w:ilvl w:val="0"/>
          <w:numId w:val="15"/>
        </w:numPr>
        <w:jc w:val="both"/>
      </w:pPr>
      <w:r w:rsidRPr="00223BF3">
        <w:t xml:space="preserve">See: </w:t>
      </w:r>
      <w:hyperlink r:id="rId32" w:history="1">
        <w:r w:rsidRPr="00223BF3">
          <w:rPr>
            <w:rStyle w:val="Hyperlink"/>
            <w:lang w:val="en-IE"/>
          </w:rPr>
          <w:t>Creative Europe</w:t>
        </w:r>
      </w:hyperlink>
      <w:r w:rsidRPr="00223BF3">
        <w:t xml:space="preserve"> programme. </w:t>
      </w:r>
    </w:p>
    <w:p w:rsidR="0037575C" w:rsidRPr="00223BF3" w:rsidRDefault="0037575C" w:rsidP="0037575C">
      <w:pPr>
        <w:pStyle w:val="EndnoteText"/>
        <w:numPr>
          <w:ilvl w:val="0"/>
          <w:numId w:val="15"/>
        </w:numPr>
      </w:pPr>
      <w:r w:rsidRPr="00223BF3">
        <w:t>Regulations are legal acts that apply automatically and uniformly to all EU countries as soon as they enter into force, without needing to be transposed into national law. They are binding in their entirety on all EU countries.</w:t>
      </w:r>
    </w:p>
    <w:p w:rsidR="0037575C" w:rsidRPr="00223BF3" w:rsidRDefault="0037575C" w:rsidP="0037575C">
      <w:pPr>
        <w:pStyle w:val="EndnoteText"/>
        <w:numPr>
          <w:ilvl w:val="0"/>
          <w:numId w:val="15"/>
        </w:numPr>
        <w:jc w:val="both"/>
      </w:pPr>
      <w:r w:rsidRPr="00223BF3">
        <w:t xml:space="preserve">See: </w:t>
      </w:r>
      <w:hyperlink r:id="rId33" w:history="1">
        <w:r w:rsidRPr="00223BF3">
          <w:rPr>
            <w:rStyle w:val="Hyperlink"/>
            <w:lang w:val="en-IE"/>
          </w:rPr>
          <w:t>Regulation (EU) 2021/695</w:t>
        </w:r>
      </w:hyperlink>
      <w:r w:rsidRPr="00223BF3">
        <w:t xml:space="preserve"> of the European Parliament and of the Council of 28 April 2021 establishing Horizon Europe – the Framework Programme for Research and Innovation, laying down its rules for participation and dissemination, and repealing Regulations (EU) No 1290/2013 and (EU) No 1291/2013 (Text with EEA relevance). </w:t>
      </w:r>
    </w:p>
    <w:p w:rsidR="0037575C" w:rsidRPr="00223BF3" w:rsidRDefault="0037575C" w:rsidP="0037575C">
      <w:pPr>
        <w:pStyle w:val="EndnoteText"/>
        <w:numPr>
          <w:ilvl w:val="0"/>
          <w:numId w:val="15"/>
        </w:numPr>
        <w:jc w:val="both"/>
      </w:pPr>
      <w:r w:rsidRPr="00223BF3">
        <w:t xml:space="preserve">See: </w:t>
      </w:r>
      <w:hyperlink r:id="rId34" w:history="1">
        <w:r w:rsidRPr="00223BF3">
          <w:rPr>
            <w:rStyle w:val="Hyperlink"/>
            <w:lang w:val="en-IE"/>
          </w:rPr>
          <w:t>Council Decision (EU) 2021/764</w:t>
        </w:r>
      </w:hyperlink>
      <w:r w:rsidRPr="00223BF3">
        <w:t xml:space="preserve"> of 10 May 2021 establishing the Specific Programme implementing Horizon Europe – the Framework Programme for Research and Innovation, and repealing Decision 2013/743/EU (Text with EEA relevance). </w:t>
      </w:r>
    </w:p>
    <w:p w:rsidR="0037575C" w:rsidRPr="00223BF3" w:rsidRDefault="0037575C" w:rsidP="0037575C">
      <w:pPr>
        <w:pStyle w:val="EndnoteText"/>
        <w:numPr>
          <w:ilvl w:val="0"/>
          <w:numId w:val="15"/>
        </w:numPr>
        <w:rPr>
          <w:lang w:val="en-US"/>
        </w:rPr>
      </w:pPr>
      <w:r w:rsidRPr="00223BF3">
        <w:t>Cluster 1 (Health), Cluster 2 (Culture, Creativity and Inclusive Society), and Cluster 4 (Digital, Industry and Space).</w:t>
      </w:r>
    </w:p>
    <w:p w:rsidR="0037575C" w:rsidRPr="00223BF3" w:rsidRDefault="0037575C" w:rsidP="0037575C">
      <w:pPr>
        <w:pStyle w:val="EndnoteText"/>
        <w:numPr>
          <w:ilvl w:val="0"/>
          <w:numId w:val="15"/>
        </w:numPr>
      </w:pPr>
      <w:r w:rsidRPr="00223BF3">
        <w:rPr>
          <w:rStyle w:val="Hyperlink"/>
          <w:color w:val="000000" w:themeColor="text1"/>
          <w:lang w:val="en-IE" w:eastAsia="en-IE"/>
        </w:rPr>
        <w:t>Health; Culture, Creativity and Inclusive Society; Digital, Industry and Space.</w:t>
      </w:r>
    </w:p>
    <w:p w:rsidR="0037575C" w:rsidRPr="00223BF3" w:rsidRDefault="0037575C" w:rsidP="0037575C">
      <w:pPr>
        <w:pStyle w:val="ListParagraph"/>
        <w:numPr>
          <w:ilvl w:val="0"/>
          <w:numId w:val="15"/>
        </w:numPr>
        <w:jc w:val="both"/>
        <w:rPr>
          <w:sz w:val="20"/>
          <w:szCs w:val="20"/>
        </w:rPr>
      </w:pPr>
      <w:r w:rsidRPr="00223BF3">
        <w:rPr>
          <w:rStyle w:val="Hyperlink"/>
          <w:color w:val="000000" w:themeColor="text1"/>
          <w:sz w:val="20"/>
          <w:szCs w:val="20"/>
          <w:lang w:val="en-IE" w:eastAsia="en-IE"/>
        </w:rPr>
        <w:t>The topics including references to disabilities were in the areas of health (5 topics); culture, creativity and inclusive society (8 topics); civil security for society (7 topics); digital, industry and space (1 topic); climate, energy and mobility (4 topics); food, bioeconomy, natural resources, agriculture and environment (7 topics).</w:t>
      </w:r>
    </w:p>
    <w:p w:rsidR="0037575C" w:rsidRPr="00223BF3" w:rsidRDefault="0037575C" w:rsidP="0037575C">
      <w:pPr>
        <w:pStyle w:val="EndnoteText"/>
        <w:numPr>
          <w:ilvl w:val="0"/>
          <w:numId w:val="15"/>
        </w:numPr>
        <w:rPr>
          <w:lang w:val="en-GB"/>
        </w:rPr>
      </w:pPr>
      <w:r w:rsidRPr="00223BF3">
        <w:rPr>
          <w:lang w:val="en-GB"/>
        </w:rPr>
        <w:t xml:space="preserve">See: </w:t>
      </w:r>
      <w:hyperlink r:id="rId35" w:history="1">
        <w:r w:rsidRPr="00223BF3">
          <w:rPr>
            <w:rStyle w:val="Hyperlink"/>
          </w:rPr>
          <w:t>Marie Skłodowska-Curie Actions</w:t>
        </w:r>
      </w:hyperlink>
      <w:r w:rsidRPr="00223BF3">
        <w:rPr>
          <w:lang w:val="en-GB"/>
        </w:rPr>
        <w:t xml:space="preserve"> (MSCA). </w:t>
      </w:r>
    </w:p>
    <w:p w:rsidR="0037575C" w:rsidRPr="00223BF3" w:rsidRDefault="0037575C" w:rsidP="0037575C">
      <w:pPr>
        <w:pStyle w:val="ListParagraph"/>
        <w:numPr>
          <w:ilvl w:val="0"/>
          <w:numId w:val="15"/>
        </w:numPr>
        <w:jc w:val="both"/>
        <w:rPr>
          <w:color w:val="000000" w:themeColor="text1"/>
          <w:sz w:val="20"/>
          <w:szCs w:val="20"/>
          <w:lang w:eastAsia="en-IE"/>
        </w:rPr>
      </w:pPr>
      <w:r w:rsidRPr="00223BF3">
        <w:rPr>
          <w:rStyle w:val="Hyperlink"/>
          <w:color w:val="000000" w:themeColor="text1"/>
          <w:sz w:val="20"/>
          <w:szCs w:val="20"/>
          <w:lang w:val="en-IE" w:eastAsia="en-IE"/>
        </w:rPr>
        <w:t xml:space="preserve">It is available under all MSCA schemes and can be used for the special needs of recruited doctoral candidates, postdoctoral researchers, and even R&amp;I staff sent on short-term secondments. The allowance can cover, for example, costs of assistance by third persons, supplementary travel/transportation costs, or expenses for the adaptation of the work environment (specialised equipment, PC screens, wheelchair ramps, etc.). </w:t>
      </w:r>
    </w:p>
    <w:p w:rsidR="0037575C" w:rsidRPr="00223BF3" w:rsidRDefault="0037575C" w:rsidP="0037575C">
      <w:pPr>
        <w:pStyle w:val="EndnoteText"/>
        <w:numPr>
          <w:ilvl w:val="0"/>
          <w:numId w:val="15"/>
        </w:numPr>
        <w:jc w:val="both"/>
      </w:pPr>
      <w:r w:rsidRPr="00223BF3">
        <w:t xml:space="preserve">See: </w:t>
      </w:r>
      <w:hyperlink r:id="rId36" w:history="1">
        <w:r w:rsidRPr="00223BF3">
          <w:rPr>
            <w:rStyle w:val="Hyperlink"/>
            <w:lang w:val="en-IE"/>
          </w:rPr>
          <w:t>Regulation (EU) 2021/1153</w:t>
        </w:r>
      </w:hyperlink>
      <w:r w:rsidRPr="00223BF3">
        <w:t xml:space="preserve"> of the European Parliament and of the Council of 7 July 2021 establishing the Connecting Europe Facility and repealing Regulations (EU) No 1316/2013 and (EU) No 283/2014 (Text with EEA relevance). </w:t>
      </w:r>
    </w:p>
    <w:p w:rsidR="0037575C" w:rsidRPr="00223BF3" w:rsidRDefault="0037575C" w:rsidP="0037575C">
      <w:pPr>
        <w:pStyle w:val="EndnoteText"/>
        <w:numPr>
          <w:ilvl w:val="0"/>
          <w:numId w:val="15"/>
        </w:numPr>
      </w:pPr>
      <w:r w:rsidRPr="00223BF3">
        <w:t>Persons with reduce mobility include persons with disabilities but also others with short-term impairments.</w:t>
      </w:r>
    </w:p>
    <w:p w:rsidR="0037575C" w:rsidRPr="00223BF3" w:rsidRDefault="0037575C" w:rsidP="0037575C">
      <w:pPr>
        <w:pStyle w:val="EndnoteText"/>
        <w:numPr>
          <w:ilvl w:val="0"/>
          <w:numId w:val="15"/>
        </w:numPr>
        <w:jc w:val="both"/>
      </w:pPr>
      <w:r w:rsidRPr="00223BF3">
        <w:t xml:space="preserve">See: </w:t>
      </w:r>
      <w:hyperlink r:id="rId37" w:history="1">
        <w:r w:rsidRPr="00223BF3">
          <w:rPr>
            <w:rStyle w:val="Hyperlink"/>
            <w:lang w:val="en-IE"/>
          </w:rPr>
          <w:t>Commission Regulation (EU) No 1300/2014</w:t>
        </w:r>
      </w:hyperlink>
      <w:r w:rsidRPr="00223BF3">
        <w:t xml:space="preserve"> of 18 November 2014 on the technical specifications for interoperability relating to accessibility of the Union's rail system for persons with disabilities and persons with reduced mobility (Text with EEA relevance) - PRM TSI. </w:t>
      </w:r>
    </w:p>
    <w:p w:rsidR="0037575C" w:rsidRPr="00223BF3" w:rsidRDefault="0037575C" w:rsidP="0037575C">
      <w:pPr>
        <w:pStyle w:val="ListParagraph"/>
        <w:numPr>
          <w:ilvl w:val="0"/>
          <w:numId w:val="15"/>
        </w:numPr>
        <w:jc w:val="both"/>
        <w:rPr>
          <w:color w:val="000000" w:themeColor="text1"/>
          <w:sz w:val="20"/>
          <w:szCs w:val="20"/>
          <w:lang w:eastAsia="en-IE"/>
        </w:rPr>
      </w:pPr>
      <w:r w:rsidRPr="00223BF3">
        <w:rPr>
          <w:rStyle w:val="Hyperlink"/>
          <w:color w:val="000000" w:themeColor="text1"/>
          <w:sz w:val="20"/>
          <w:szCs w:val="20"/>
          <w:lang w:val="en-IE" w:eastAsia="en-IE"/>
        </w:rPr>
        <w:t xml:space="preserve">See: </w:t>
      </w:r>
      <w:hyperlink r:id="rId38" w:history="1">
        <w:r w:rsidRPr="00223BF3">
          <w:rPr>
            <w:rStyle w:val="Hyperlink"/>
            <w:sz w:val="20"/>
            <w:szCs w:val="20"/>
            <w:lang w:val="en-IE" w:eastAsia="en-IE"/>
          </w:rPr>
          <w:t>Programme Regulation (EU) 2021/522</w:t>
        </w:r>
      </w:hyperlink>
      <w:r w:rsidRPr="00223BF3">
        <w:rPr>
          <w:rStyle w:val="Hyperlink"/>
          <w:color w:val="000000" w:themeColor="text1"/>
          <w:sz w:val="20"/>
          <w:szCs w:val="20"/>
          <w:lang w:val="en-IE" w:eastAsia="en-IE"/>
        </w:rPr>
        <w:t xml:space="preserve">.   </w:t>
      </w:r>
    </w:p>
    <w:p w:rsidR="0037575C" w:rsidRPr="00223BF3" w:rsidRDefault="0037575C" w:rsidP="0037575C">
      <w:pPr>
        <w:pStyle w:val="EndnoteText"/>
        <w:numPr>
          <w:ilvl w:val="0"/>
          <w:numId w:val="15"/>
        </w:numPr>
        <w:jc w:val="both"/>
      </w:pPr>
      <w:r w:rsidRPr="00223BF3">
        <w:t xml:space="preserve">See also paragraph 27, point b. </w:t>
      </w:r>
      <w:r w:rsidRPr="00223BF3">
        <w:rPr>
          <w:rStyle w:val="Hyperlink"/>
          <w:color w:val="000000" w:themeColor="text1"/>
          <w:lang w:val="en-IE" w:eastAsia="en-IE"/>
        </w:rPr>
        <w:t>The launch of the study is scheduled for early 2023, and the final report is planned to be produced after two years.</w:t>
      </w:r>
    </w:p>
    <w:p w:rsidR="0037575C" w:rsidRPr="00223BF3" w:rsidRDefault="0037575C" w:rsidP="0037575C">
      <w:pPr>
        <w:pStyle w:val="ListParagraph"/>
        <w:numPr>
          <w:ilvl w:val="0"/>
          <w:numId w:val="15"/>
        </w:numPr>
        <w:jc w:val="both"/>
        <w:rPr>
          <w:color w:val="000000" w:themeColor="text1"/>
          <w:sz w:val="20"/>
          <w:szCs w:val="20"/>
          <w:lang w:eastAsia="en-IE"/>
        </w:rPr>
      </w:pPr>
      <w:r w:rsidRPr="00223BF3">
        <w:rPr>
          <w:rStyle w:val="Hyperlink"/>
          <w:color w:val="000000" w:themeColor="text1"/>
          <w:sz w:val="20"/>
          <w:szCs w:val="20"/>
          <w:lang w:val="en-IE" w:eastAsia="en-IE"/>
        </w:rPr>
        <w:t>Focus area 6A: Facilitating diversification, creation and development of small enterprises, as well as job creation:  EUR 3 060.7 million (UK expenditure: EUR 335.9 million); Focus area 6B: Fostering local development in rural areas: EUR 15 295.7 million (UK expenditure: EUR 207 million); Focus area 6C: Enhancing the accessibility, use and quality of information and communication technologies (ICT) in rural areas: EUR 1 000.4 million (UK expenditure: EUR 75.3 million).</w:t>
      </w:r>
    </w:p>
    <w:p w:rsidR="0037575C" w:rsidRPr="00223BF3" w:rsidRDefault="0037575C" w:rsidP="0037575C">
      <w:pPr>
        <w:pStyle w:val="EndnoteText"/>
        <w:numPr>
          <w:ilvl w:val="0"/>
          <w:numId w:val="15"/>
        </w:numPr>
        <w:jc w:val="both"/>
      </w:pPr>
      <w:r w:rsidRPr="00223BF3">
        <w:t xml:space="preserve">See: </w:t>
      </w:r>
      <w:hyperlink r:id="rId39" w:history="1">
        <w:r w:rsidRPr="00223BF3">
          <w:rPr>
            <w:rStyle w:val="Hyperlink"/>
            <w:lang w:val="en-IE"/>
          </w:rPr>
          <w:t>European Network for Rural Development</w:t>
        </w:r>
      </w:hyperlink>
      <w:r w:rsidRPr="00223BF3">
        <w:t xml:space="preserve"> (ENRD). </w:t>
      </w:r>
    </w:p>
    <w:p w:rsidR="0037575C" w:rsidRPr="00223BF3" w:rsidRDefault="0037575C" w:rsidP="0037575C">
      <w:pPr>
        <w:pStyle w:val="EndnoteText"/>
        <w:numPr>
          <w:ilvl w:val="0"/>
          <w:numId w:val="15"/>
        </w:numPr>
        <w:jc w:val="both"/>
      </w:pPr>
      <w:r w:rsidRPr="00223BF3">
        <w:t xml:space="preserve">LEADER is a 'bottom up' approach, in which farmers, rural businesses, local organisations, public authorities and individuals from different sectors come together to form local action groups. See: </w:t>
      </w:r>
      <w:hyperlink r:id="rId40" w:history="1">
        <w:r w:rsidRPr="00223BF3">
          <w:rPr>
            <w:rStyle w:val="Hyperlink"/>
            <w:lang w:val="en-IE"/>
          </w:rPr>
          <w:t>LEADER/CLLD</w:t>
        </w:r>
      </w:hyperlink>
      <w:r w:rsidRPr="00223BF3">
        <w:t xml:space="preserve"> approach. </w:t>
      </w:r>
    </w:p>
    <w:p w:rsidR="0037575C" w:rsidRPr="00223BF3" w:rsidRDefault="0037575C" w:rsidP="0037575C">
      <w:pPr>
        <w:pStyle w:val="EndnoteText"/>
        <w:numPr>
          <w:ilvl w:val="0"/>
          <w:numId w:val="15"/>
        </w:numPr>
        <w:jc w:val="both"/>
      </w:pPr>
      <w:r w:rsidRPr="00223BF3">
        <w:rPr>
          <w:rStyle w:val="Hyperlink"/>
          <w:color w:val="000000" w:themeColor="text1"/>
          <w:lang w:val="en-IE" w:eastAsia="en-IE"/>
        </w:rPr>
        <w:t>These were used by the Commission services for contracts related to studies, projects and activities such as prizes for the Access City Award.</w:t>
      </w:r>
    </w:p>
    <w:p w:rsidR="0037575C" w:rsidRPr="00223BF3" w:rsidRDefault="0037575C" w:rsidP="0037575C">
      <w:pPr>
        <w:pStyle w:val="EndnoteText"/>
        <w:numPr>
          <w:ilvl w:val="0"/>
          <w:numId w:val="15"/>
        </w:numPr>
        <w:jc w:val="both"/>
      </w:pPr>
      <w:r w:rsidRPr="00223BF3">
        <w:t xml:space="preserve">See: </w:t>
      </w:r>
      <w:hyperlink r:id="rId41" w:history="1">
        <w:r w:rsidRPr="00223BF3">
          <w:rPr>
            <w:rStyle w:val="Hyperlink"/>
            <w:lang w:val="en-IE"/>
          </w:rPr>
          <w:t>Regulation (EU) 2021/947</w:t>
        </w:r>
      </w:hyperlink>
      <w:r w:rsidRPr="00223BF3">
        <w:t xml:space="preserve"> of the European Parliament and of the Council of 9 June 2021 establishing the Neighbourhood, Development and International Cooperation Instrument – Global Europe.</w:t>
      </w:r>
    </w:p>
    <w:p w:rsidR="0037575C" w:rsidRPr="00223BF3" w:rsidRDefault="0037575C" w:rsidP="0037575C">
      <w:pPr>
        <w:pStyle w:val="EndnoteText"/>
        <w:numPr>
          <w:ilvl w:val="0"/>
          <w:numId w:val="15"/>
        </w:numPr>
        <w:jc w:val="both"/>
      </w:pPr>
      <w:r w:rsidRPr="00223BF3">
        <w:t>See: Neighbourhood, Development and International Cooperation Instrument – Global Europe (</w:t>
      </w:r>
      <w:hyperlink r:id="rId42" w:history="1">
        <w:r w:rsidRPr="00223BF3">
          <w:rPr>
            <w:rStyle w:val="Hyperlink"/>
            <w:lang w:val="en-IE"/>
          </w:rPr>
          <w:t>NDICI – Global Europe</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43" w:history="1">
        <w:r w:rsidRPr="00223BF3">
          <w:rPr>
            <w:rStyle w:val="Hyperlink"/>
            <w:lang w:val="en-IE"/>
          </w:rPr>
          <w:t>Regulation (EU) 2021/1529</w:t>
        </w:r>
      </w:hyperlink>
      <w:r w:rsidRPr="00223BF3">
        <w:t xml:space="preserve"> of the European Parliament and of the Council of 15 September 2021 establishing the Instrument for Pre-Accession assistance (IPA III). </w:t>
      </w:r>
    </w:p>
    <w:p w:rsidR="0037575C" w:rsidRPr="00223BF3" w:rsidRDefault="0037575C" w:rsidP="0037575C">
      <w:pPr>
        <w:pStyle w:val="ListParagraph"/>
        <w:numPr>
          <w:ilvl w:val="0"/>
          <w:numId w:val="15"/>
        </w:numPr>
        <w:rPr>
          <w:rFonts w:eastAsiaTheme="minorHAnsi"/>
          <w:sz w:val="20"/>
          <w:szCs w:val="20"/>
          <w:lang w:eastAsia="en-IE"/>
        </w:rPr>
      </w:pPr>
      <w:r w:rsidRPr="00223BF3">
        <w:rPr>
          <w:sz w:val="20"/>
          <w:szCs w:val="20"/>
        </w:rPr>
        <w:t xml:space="preserve">See: </w:t>
      </w:r>
      <w:hyperlink r:id="rId44" w:anchor=":~:text=IPA%20III%20will%20support%20beneficiaries,EU%20membership%2C%20thereby%20contributing%20to" w:history="1">
        <w:r w:rsidRPr="00223BF3">
          <w:rPr>
            <w:rStyle w:val="Hyperlink"/>
            <w:sz w:val="20"/>
            <w:szCs w:val="20"/>
            <w:lang w:val="en-IE"/>
          </w:rPr>
          <w:t>Instrument for Pre-Accession assistance III</w:t>
        </w:r>
      </w:hyperlink>
      <w:r w:rsidRPr="00223BF3">
        <w:rPr>
          <w:sz w:val="20"/>
          <w:szCs w:val="20"/>
        </w:rPr>
        <w:t>.</w:t>
      </w:r>
    </w:p>
    <w:p w:rsidR="0037575C" w:rsidRPr="00223BF3" w:rsidRDefault="0037575C" w:rsidP="0037575C">
      <w:pPr>
        <w:pStyle w:val="EndnoteText"/>
        <w:numPr>
          <w:ilvl w:val="0"/>
          <w:numId w:val="15"/>
        </w:numPr>
      </w:pPr>
      <w:r w:rsidRPr="00223BF3">
        <w:t xml:space="preserve">Council Regulation (EC) No 1257/96 of 20 June 1996 concerning humanitarian aidOJ L 163, 2.7.1996, p. 1–6, Article 1. </w:t>
      </w:r>
    </w:p>
    <w:p w:rsidR="0037575C" w:rsidRPr="00223BF3" w:rsidRDefault="0037575C" w:rsidP="0037575C">
      <w:pPr>
        <w:pStyle w:val="EndnoteText"/>
        <w:numPr>
          <w:ilvl w:val="0"/>
          <w:numId w:val="15"/>
        </w:numPr>
      </w:pPr>
      <w:r w:rsidRPr="00223BF3">
        <w:t xml:space="preserve">Joint Statement by the Council and the Representatives of the Governments of the Member States meeting within the Council, the European Parliament and the European Commission, OJ C 25, 30.1.2008, p. 1–12, paragraph 39. </w:t>
      </w:r>
    </w:p>
    <w:p w:rsidR="0037575C" w:rsidRPr="00223BF3" w:rsidRDefault="0037575C" w:rsidP="0037575C">
      <w:pPr>
        <w:pStyle w:val="EndnoteText"/>
        <w:numPr>
          <w:ilvl w:val="0"/>
          <w:numId w:val="15"/>
        </w:numPr>
        <w:jc w:val="both"/>
      </w:pPr>
      <w:r w:rsidRPr="00223BF3">
        <w:t>See: Communication from the Commission to the European Parliament and the Council on the EU’s humanitarian action: new challenges, same principles (</w:t>
      </w:r>
      <w:hyperlink r:id="rId45" w:history="1">
        <w:r w:rsidRPr="00223BF3">
          <w:rPr>
            <w:rStyle w:val="Hyperlink"/>
            <w:lang w:val="en-IE"/>
          </w:rPr>
          <w:t>COM(2021) 110 final</w:t>
        </w:r>
      </w:hyperlink>
      <w:r w:rsidRPr="00223BF3">
        <w:t xml:space="preserve">). </w:t>
      </w:r>
    </w:p>
    <w:p w:rsidR="0037575C" w:rsidRPr="00223BF3" w:rsidRDefault="0037575C" w:rsidP="0037575C">
      <w:pPr>
        <w:pStyle w:val="EndnoteText"/>
        <w:numPr>
          <w:ilvl w:val="0"/>
          <w:numId w:val="15"/>
        </w:numPr>
        <w:jc w:val="both"/>
      </w:pPr>
      <w:r w:rsidRPr="00223BF3">
        <w:rPr>
          <w:rStyle w:val="Hyperlink"/>
          <w:color w:val="000000" w:themeColor="text1"/>
          <w:lang w:val="en-IE" w:eastAsia="en-IE"/>
        </w:rPr>
        <w:t xml:space="preserve">In this respect, the Commission has also strengthened disaggregated data collection by encouraging the use of the </w:t>
      </w:r>
      <w:hyperlink r:id="rId46" w:history="1">
        <w:r w:rsidRPr="00223BF3">
          <w:rPr>
            <w:rStyle w:val="Hyperlink"/>
            <w:lang w:val="en-IE" w:eastAsia="en-IE"/>
          </w:rPr>
          <w:t>Washington Short Set of Questions</w:t>
        </w:r>
      </w:hyperlink>
      <w:r w:rsidRPr="00223BF3">
        <w:t>.</w:t>
      </w:r>
    </w:p>
    <w:p w:rsidR="0037575C" w:rsidRPr="00223BF3" w:rsidRDefault="0037575C" w:rsidP="0037575C">
      <w:pPr>
        <w:pStyle w:val="EndnoteText"/>
        <w:numPr>
          <w:ilvl w:val="0"/>
          <w:numId w:val="15"/>
        </w:numPr>
        <w:jc w:val="both"/>
      </w:pPr>
      <w:r w:rsidRPr="00223BF3">
        <w:t xml:space="preserve">See: </w:t>
      </w:r>
      <w:hyperlink r:id="rId47" w:history="1">
        <w:r w:rsidRPr="00223BF3">
          <w:rPr>
            <w:rStyle w:val="Hyperlink"/>
            <w:lang w:val="en-IE"/>
          </w:rPr>
          <w:t>The Inclusion of Persons with Disabilities in EU-funded Humanitarian Aid Operations</w:t>
        </w:r>
      </w:hyperlink>
      <w:r w:rsidRPr="00223BF3">
        <w:t>.</w:t>
      </w:r>
    </w:p>
    <w:p w:rsidR="0037575C" w:rsidRPr="00223BF3" w:rsidRDefault="0037575C" w:rsidP="0037575C">
      <w:pPr>
        <w:pStyle w:val="EndnoteText"/>
        <w:numPr>
          <w:ilvl w:val="0"/>
          <w:numId w:val="15"/>
        </w:numPr>
        <w:jc w:val="both"/>
      </w:pPr>
      <w:r w:rsidRPr="00223BF3">
        <w:t xml:space="preserve">See: </w:t>
      </w:r>
      <w:hyperlink r:id="rId48" w:history="1">
        <w:r w:rsidRPr="00223BF3">
          <w:rPr>
            <w:rStyle w:val="Hyperlink"/>
            <w:lang w:val="en-IE"/>
          </w:rPr>
          <w:t>Better regulation: guidelines and toolbox</w:t>
        </w:r>
      </w:hyperlink>
      <w:r w:rsidRPr="00223BF3">
        <w:t xml:space="preserve">. </w:t>
      </w:r>
    </w:p>
    <w:p w:rsidR="0037575C" w:rsidRPr="00223BF3" w:rsidRDefault="0037575C" w:rsidP="0037575C">
      <w:pPr>
        <w:pStyle w:val="EndnoteText"/>
        <w:numPr>
          <w:ilvl w:val="0"/>
          <w:numId w:val="15"/>
        </w:numPr>
        <w:jc w:val="both"/>
      </w:pPr>
      <w:r w:rsidRPr="00223BF3">
        <w:t xml:space="preserve">The revision increases reference to disability concerns and in particular to the UNCRPD, and provides new or revised examples on how to identify and assess the impact of policy options on persons with disabilities. Tool#29 includes a checklist to help the Commission </w:t>
      </w:r>
      <w:r w:rsidRPr="00223BF3" w:rsidDel="005B455E">
        <w:t>in checking</w:t>
      </w:r>
      <w:r w:rsidRPr="00223BF3">
        <w:t xml:space="preserve"> the impact</w:t>
      </w:r>
      <w:r w:rsidRPr="00223BF3" w:rsidDel="005B455E">
        <w:t>s</w:t>
      </w:r>
      <w:r w:rsidRPr="00223BF3">
        <w:t xml:space="preserve"> of various policy options on equality, to ensure non-discrimination and </w:t>
      </w:r>
      <w:r w:rsidRPr="00223BF3" w:rsidDel="005B455E">
        <w:t xml:space="preserve">to </w:t>
      </w:r>
      <w:r w:rsidRPr="00223BF3">
        <w:t xml:space="preserve">promote equality. One example in Tool#30 draws attention to the impact </w:t>
      </w:r>
      <w:r w:rsidRPr="00223BF3" w:rsidDel="005B455E">
        <w:t xml:space="preserve">of options </w:t>
      </w:r>
      <w:r w:rsidRPr="00223BF3">
        <w:t>on the work organisation and skills development of persons with disabilities (e.g. use of IT and digital services if they are not accessible to persons with disabilities). In addition, Tool#30 provides information on useful sources on disability and relevant Sustainable Development Goals disability indicators.</w:t>
      </w:r>
    </w:p>
    <w:p w:rsidR="0037575C" w:rsidRPr="00223BF3" w:rsidRDefault="0037575C" w:rsidP="0037575C">
      <w:pPr>
        <w:pStyle w:val="EndnoteText"/>
        <w:numPr>
          <w:ilvl w:val="0"/>
          <w:numId w:val="15"/>
        </w:numPr>
        <w:jc w:val="both"/>
      </w:pPr>
      <w:r w:rsidRPr="00223BF3">
        <w:t>See: Council Decision of 26 November 2009 concerning the conclusion, by the European Community, of the United Nations Convention on the Rights of Persons with Disabilities</w:t>
      </w:r>
      <w:r w:rsidRPr="00223BF3">
        <w:rPr>
          <w:rStyle w:val="Hyperlink"/>
          <w:lang w:val="en-IE"/>
        </w:rPr>
        <w:t xml:space="preserve"> (</w:t>
      </w:r>
      <w:hyperlink r:id="rId49" w:history="1">
        <w:r w:rsidRPr="00223BF3">
          <w:rPr>
            <w:rStyle w:val="Hyperlink"/>
            <w:lang w:val="en-IE"/>
          </w:rPr>
          <w:t>2010/48/EC</w:t>
        </w:r>
      </w:hyperlink>
      <w:r w:rsidRPr="00223BF3">
        <w:rPr>
          <w:rStyle w:val="Hyperlink"/>
          <w:lang w:val="en-IE"/>
        </w:rPr>
        <w:t>)</w:t>
      </w:r>
      <w:r w:rsidRPr="00223BF3">
        <w:t xml:space="preserve">. </w:t>
      </w:r>
    </w:p>
    <w:p w:rsidR="0037575C" w:rsidRPr="00223BF3" w:rsidRDefault="0037575C" w:rsidP="0037575C">
      <w:pPr>
        <w:pStyle w:val="EndnoteText"/>
        <w:numPr>
          <w:ilvl w:val="0"/>
          <w:numId w:val="15"/>
        </w:numPr>
        <w:jc w:val="both"/>
        <w:rPr>
          <w:rStyle w:val="Hyperlink"/>
          <w:lang w:val="en-IE"/>
        </w:rPr>
      </w:pPr>
      <w:r w:rsidRPr="00223BF3">
        <w:t xml:space="preserve">See: </w:t>
      </w:r>
      <w:r w:rsidRPr="00223BF3">
        <w:fldChar w:fldCharType="begin"/>
      </w:r>
      <w:r w:rsidRPr="00223BF3">
        <w:instrText xml:space="preserve"> HYPERLINK "https://ec.europa.eu/social/BlobServlet?docId=16995&amp;langId=en" </w:instrText>
      </w:r>
      <w:r w:rsidRPr="00223BF3">
        <w:fldChar w:fldCharType="separate"/>
      </w:r>
      <w:r w:rsidRPr="00223BF3">
        <w:rPr>
          <w:rStyle w:val="Hyperlink"/>
          <w:lang w:val="en-IE"/>
        </w:rPr>
        <w:t>SWD(2017) 29 final Progress Report on the implementation of the European Disability Strategy (2010 -</w:t>
      </w:r>
    </w:p>
    <w:p w:rsidR="0037575C" w:rsidRPr="00223BF3" w:rsidRDefault="0037575C" w:rsidP="00A324BD">
      <w:pPr>
        <w:pStyle w:val="EndnoteText"/>
        <w:ind w:left="720"/>
        <w:jc w:val="both"/>
      </w:pPr>
      <w:r w:rsidRPr="00223BF3">
        <w:rPr>
          <w:rStyle w:val="Hyperlink"/>
          <w:lang w:val="en-IE"/>
        </w:rPr>
        <w:t>2020)</w:t>
      </w:r>
      <w:r w:rsidRPr="00223BF3">
        <w:fldChar w:fldCharType="end"/>
      </w:r>
      <w:r w:rsidRPr="00223BF3">
        <w:t xml:space="preserve">. </w:t>
      </w:r>
    </w:p>
    <w:p w:rsidR="0037575C" w:rsidRPr="00223BF3" w:rsidRDefault="0037575C" w:rsidP="0037575C">
      <w:pPr>
        <w:pStyle w:val="EndnoteText"/>
        <w:numPr>
          <w:ilvl w:val="0"/>
          <w:numId w:val="15"/>
        </w:numPr>
      </w:pPr>
      <w:r w:rsidRPr="00223BF3">
        <w:t xml:space="preserve">See also paragraph 34, point a. </w:t>
      </w:r>
    </w:p>
    <w:p w:rsidR="0037575C" w:rsidRPr="00223BF3" w:rsidRDefault="0037575C" w:rsidP="0037575C">
      <w:pPr>
        <w:pStyle w:val="EndnoteText"/>
        <w:numPr>
          <w:ilvl w:val="0"/>
          <w:numId w:val="15"/>
        </w:numPr>
      </w:pPr>
      <w:r w:rsidRPr="00223BF3">
        <w:t>Irrespectively of sex, racial or ethnic origin, age, disability, sexual orientation, religion or belief.</w:t>
      </w:r>
    </w:p>
    <w:p w:rsidR="0037575C" w:rsidRPr="00223BF3" w:rsidRDefault="0037575C" w:rsidP="0037575C">
      <w:pPr>
        <w:pStyle w:val="EndnoteText"/>
        <w:numPr>
          <w:ilvl w:val="0"/>
          <w:numId w:val="15"/>
        </w:numPr>
      </w:pPr>
      <w:r w:rsidRPr="00223BF3">
        <w:t>See also paragraph 1, point d.</w:t>
      </w:r>
    </w:p>
    <w:p w:rsidR="0037575C" w:rsidRPr="00223BF3" w:rsidRDefault="0037575C" w:rsidP="0037575C">
      <w:pPr>
        <w:pStyle w:val="EndnoteText"/>
        <w:numPr>
          <w:ilvl w:val="0"/>
          <w:numId w:val="15"/>
        </w:numPr>
      </w:pPr>
      <w:r w:rsidRPr="00223BF3">
        <w:t>Namely the Committees on Civil Liberties, Justice and Home Affairs (LIBE), Petitions (PETI), Human Rights (DROI), Development (DEVE), Budgets (BUDG), Environment, Public Health and Food Safety (ENVI), Internal Market and Consumer Protection (IMCO), Transport and Tourism (TRAN), Regional Development (REGI), Culture and Education (CULT), Legal Affairs (JURI) and Women’s Rights and Gender Equality (FEMM),</w:t>
      </w:r>
    </w:p>
    <w:p w:rsidR="0037575C" w:rsidRPr="00223BF3" w:rsidRDefault="0037575C" w:rsidP="0037575C">
      <w:pPr>
        <w:pStyle w:val="EndnoteText"/>
        <w:numPr>
          <w:ilvl w:val="0"/>
          <w:numId w:val="15"/>
        </w:numPr>
        <w:jc w:val="both"/>
      </w:pPr>
      <w:r w:rsidRPr="00223BF3">
        <w:t xml:space="preserve">See: </w:t>
      </w:r>
      <w:hyperlink r:id="rId50" w:history="1">
        <w:r w:rsidRPr="00223BF3">
          <w:rPr>
            <w:rStyle w:val="Hyperlink"/>
            <w:lang w:val="en-IE"/>
          </w:rPr>
          <w:t>Regulation (EU) 2020/852</w:t>
        </w:r>
      </w:hyperlink>
      <w:r w:rsidRPr="00223BF3">
        <w:t xml:space="preserve"> of the European Parliament and of the Council of 18 June 2020 on the establishment of a framework to facilitate sustainable investment, and amending Regulation (EU) 2019/2088 (Text with EEA relevance). </w:t>
      </w:r>
    </w:p>
    <w:p w:rsidR="0037575C" w:rsidRPr="00223BF3" w:rsidRDefault="0037575C" w:rsidP="0037575C">
      <w:pPr>
        <w:pStyle w:val="ListParagraph"/>
        <w:numPr>
          <w:ilvl w:val="0"/>
          <w:numId w:val="15"/>
        </w:numPr>
        <w:rPr>
          <w:color w:val="000000" w:themeColor="text1"/>
          <w:sz w:val="20"/>
          <w:szCs w:val="20"/>
        </w:rPr>
      </w:pPr>
      <w:r w:rsidRPr="00223BF3">
        <w:rPr>
          <w:sz w:val="20"/>
          <w:szCs w:val="20"/>
        </w:rPr>
        <w:t xml:space="preserve">See: </w:t>
      </w:r>
      <w:hyperlink r:id="rId51" w:history="1">
        <w:r w:rsidRPr="00223BF3">
          <w:rPr>
            <w:rStyle w:val="Hyperlink"/>
            <w:sz w:val="20"/>
            <w:szCs w:val="20"/>
            <w:lang w:val="en-IE"/>
          </w:rPr>
          <w:t>Final Report on Social Taxonomy</w:t>
        </w:r>
      </w:hyperlink>
      <w:r w:rsidRPr="00223BF3">
        <w:rPr>
          <w:rStyle w:val="Hyperlink"/>
          <w:sz w:val="20"/>
          <w:szCs w:val="20"/>
          <w:lang w:val="en-IE"/>
        </w:rPr>
        <w:t xml:space="preserve"> </w:t>
      </w:r>
      <w:r w:rsidRPr="00223BF3">
        <w:rPr>
          <w:sz w:val="20"/>
          <w:szCs w:val="20"/>
        </w:rPr>
        <w:t xml:space="preserve">(published on 28 February 2022). </w:t>
      </w:r>
    </w:p>
    <w:p w:rsidR="0037575C" w:rsidRPr="00223BF3" w:rsidRDefault="0037575C" w:rsidP="0037575C">
      <w:pPr>
        <w:pStyle w:val="EndnoteText"/>
        <w:numPr>
          <w:ilvl w:val="0"/>
          <w:numId w:val="15"/>
        </w:numPr>
      </w:pPr>
      <w:r w:rsidRPr="00223BF3">
        <w:t>For instance, Article 18 of the Taxonomy Regulation requires that economic activities comply with the minimum safeguards to be considered as environmentally sustainable in line with the Taxonomy. The minimum safeguards must ensure alignment, among others, with the UN Guiding Principles on Business and Human Rights.</w:t>
      </w:r>
    </w:p>
    <w:p w:rsidR="0037575C" w:rsidRPr="00223BF3" w:rsidRDefault="0037575C" w:rsidP="0037575C">
      <w:pPr>
        <w:pStyle w:val="EndnoteText"/>
        <w:numPr>
          <w:ilvl w:val="0"/>
          <w:numId w:val="15"/>
        </w:numPr>
      </w:pPr>
      <w:r w:rsidRPr="00223BF3">
        <w:t>Directives require EU countries to achieve a certain result, but leave them free to choose how to do so. EU countries must adopt measures to incorporate them into national law (transpose) in order to achieve the objectives set by the directive. National authorities must communicate these measures to the European Commission. Transposition into national law must take place by the deadline set when the directive is adopted (generally within 2 years). When a country does not transpose a directive, the Commission may initiate infringement proceedings.</w:t>
      </w:r>
    </w:p>
    <w:p w:rsidR="0037575C" w:rsidRPr="00223BF3" w:rsidRDefault="0037575C" w:rsidP="0037575C">
      <w:pPr>
        <w:pStyle w:val="EndnoteText"/>
        <w:numPr>
          <w:ilvl w:val="0"/>
          <w:numId w:val="15"/>
        </w:numPr>
      </w:pPr>
      <w:r w:rsidRPr="00223BF3">
        <w:t xml:space="preserve">See: </w:t>
      </w:r>
      <w:hyperlink r:id="rId52" w:history="1">
        <w:r w:rsidRPr="00223BF3">
          <w:rPr>
            <w:rStyle w:val="Hyperlink"/>
            <w:lang w:val="en-IE"/>
          </w:rPr>
          <w:t>Communication from the Commission – Enforcing EU law for a Europe that delivers</w:t>
        </w:r>
      </w:hyperlink>
      <w:r w:rsidRPr="00223BF3">
        <w:t>.</w:t>
      </w:r>
      <w:r w:rsidRPr="00223BF3" w:rsidDel="001524D7">
        <w:t xml:space="preserve"> </w:t>
      </w:r>
    </w:p>
    <w:p w:rsidR="0037575C" w:rsidRPr="00223BF3" w:rsidRDefault="0037575C" w:rsidP="0037575C">
      <w:pPr>
        <w:pStyle w:val="ListParagraph"/>
        <w:numPr>
          <w:ilvl w:val="0"/>
          <w:numId w:val="15"/>
        </w:numPr>
        <w:jc w:val="both"/>
        <w:rPr>
          <w:sz w:val="20"/>
          <w:szCs w:val="20"/>
        </w:rPr>
      </w:pPr>
      <w:r w:rsidRPr="00223BF3">
        <w:rPr>
          <w:sz w:val="20"/>
          <w:szCs w:val="20"/>
        </w:rPr>
        <w:t>Using the full potential of Article 260(3) TFEU introduced by the Lisbon Treaty, the Commission automatically opens such cases and systematically asks the Court of Justice to impose financial sanctions when MS fail to transpose directives on time. The Commission also systematically assesses whether the national measures notified to the Commission correctly transpose a given directive</w:t>
      </w:r>
      <w:r w:rsidRPr="00223BF3" w:rsidDel="006F66B8">
        <w:rPr>
          <w:sz w:val="20"/>
          <w:szCs w:val="20"/>
        </w:rPr>
        <w:t xml:space="preserve"> correctly</w:t>
      </w:r>
      <w:r w:rsidRPr="00223BF3">
        <w:rPr>
          <w:sz w:val="20"/>
          <w:szCs w:val="20"/>
        </w:rPr>
        <w:t xml:space="preserve">. If this is not the case, the Commission can ensure conformity of the national legislation with the directive by launching an infringement procedure on the basis of Article 258 TFEU where, ultimately, the Court of Justice could confirm that the MS failed to transpose the directive correctly.   </w:t>
      </w:r>
    </w:p>
    <w:p w:rsidR="0037575C" w:rsidRPr="00223BF3" w:rsidRDefault="0037575C" w:rsidP="0037575C">
      <w:pPr>
        <w:pStyle w:val="EndnoteText"/>
        <w:numPr>
          <w:ilvl w:val="0"/>
          <w:numId w:val="15"/>
        </w:numPr>
        <w:jc w:val="both"/>
      </w:pPr>
      <w:r w:rsidRPr="00223BF3">
        <w:t xml:space="preserve">See: </w:t>
      </w:r>
      <w:hyperlink r:id="rId53" w:history="1">
        <w:r w:rsidRPr="00223BF3">
          <w:rPr>
            <w:rStyle w:val="Hyperlink"/>
            <w:lang w:val="en-IE"/>
          </w:rPr>
          <w:t>Directive 2012/29/EU</w:t>
        </w:r>
      </w:hyperlink>
      <w:r w:rsidRPr="00223BF3">
        <w:t xml:space="preserve"> of the European Parliament and of the Council of 25 October 2012 establishing minimum standards on the rights, support and protection of victims of crime, and replacing Council Framework Decision 2001/220/JHA. </w:t>
      </w:r>
    </w:p>
    <w:p w:rsidR="0037575C" w:rsidRPr="00223BF3" w:rsidRDefault="0037575C" w:rsidP="0037575C">
      <w:pPr>
        <w:pStyle w:val="EndnoteText"/>
        <w:numPr>
          <w:ilvl w:val="0"/>
          <w:numId w:val="15"/>
        </w:numPr>
      </w:pPr>
      <w:r w:rsidRPr="00223BF3">
        <w:t>See: Evaluation of Directive 2012/29/EU (</w:t>
      </w:r>
      <w:hyperlink r:id="rId54" w:history="1">
        <w:r w:rsidRPr="00223BF3">
          <w:rPr>
            <w:rStyle w:val="Hyperlink"/>
            <w:lang w:val="en-IE"/>
          </w:rPr>
          <w:t>SWD/2022/0179 final</w:t>
        </w:r>
      </w:hyperlink>
      <w:r w:rsidRPr="00223BF3">
        <w:rPr>
          <w:rStyle w:val="Hyperlink"/>
          <w:lang w:val="en-IE"/>
        </w:rPr>
        <w:t>, June 2022</w:t>
      </w:r>
      <w:r w:rsidRPr="00223BF3">
        <w:t xml:space="preserve">). </w:t>
      </w:r>
    </w:p>
    <w:p w:rsidR="0037575C" w:rsidRPr="00223BF3" w:rsidRDefault="0037575C" w:rsidP="0037575C">
      <w:pPr>
        <w:pStyle w:val="EndnoteText"/>
        <w:numPr>
          <w:ilvl w:val="0"/>
          <w:numId w:val="15"/>
        </w:numPr>
        <w:jc w:val="both"/>
      </w:pPr>
      <w:r w:rsidRPr="00223BF3">
        <w:t xml:space="preserve">See: </w:t>
      </w:r>
      <w:hyperlink r:id="rId55" w:history="1">
        <w:r w:rsidRPr="00223BF3">
          <w:rPr>
            <w:rStyle w:val="Hyperlink"/>
            <w:lang w:val="en-IE"/>
          </w:rPr>
          <w:t>Council Directive 2000/78/EC</w:t>
        </w:r>
      </w:hyperlink>
      <w:r w:rsidRPr="00223BF3">
        <w:t xml:space="preserve"> of 27 November 2000 establishing a general framework for equal treatment in employment and occupation. </w:t>
      </w:r>
    </w:p>
    <w:p w:rsidR="0037575C" w:rsidRPr="00223BF3" w:rsidRDefault="0037575C" w:rsidP="0037575C">
      <w:pPr>
        <w:pStyle w:val="EndnoteText"/>
        <w:numPr>
          <w:ilvl w:val="0"/>
          <w:numId w:val="15"/>
        </w:numPr>
        <w:rPr>
          <w:lang w:val="en-US"/>
        </w:rPr>
      </w:pPr>
      <w:r w:rsidRPr="00223BF3">
        <w:t>A report on reasonable accommodation is to be delivered as part of the Disability Employment Package under the Strategy.</w:t>
      </w:r>
    </w:p>
    <w:p w:rsidR="0037575C" w:rsidRPr="00223BF3" w:rsidRDefault="0037575C" w:rsidP="0037575C">
      <w:pPr>
        <w:pStyle w:val="EndnoteText"/>
        <w:numPr>
          <w:ilvl w:val="0"/>
          <w:numId w:val="15"/>
        </w:numPr>
      </w:pPr>
      <w:r w:rsidRPr="00223BF3">
        <w:t xml:space="preserve">See: </w:t>
      </w:r>
      <w:hyperlink r:id="rId56" w:history="1">
        <w:r w:rsidRPr="00223BF3">
          <w:rPr>
            <w:rStyle w:val="Hyperlink"/>
            <w:lang w:val="en-IE"/>
          </w:rPr>
          <w:t>Report on the application of the Racial Equality Directive and the Employment Equality Directive</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57" w:history="1">
        <w:r w:rsidRPr="00223BF3">
          <w:rPr>
            <w:rStyle w:val="Hyperlink"/>
            <w:lang w:val="en-IE"/>
          </w:rPr>
          <w:t>Communication from the Commission - EU law: Better results through better application</w:t>
        </w:r>
      </w:hyperlink>
      <w:r w:rsidRPr="00223BF3">
        <w:t xml:space="preserve">. </w:t>
      </w:r>
    </w:p>
    <w:p w:rsidR="0037575C" w:rsidRPr="00223BF3" w:rsidRDefault="0037575C" w:rsidP="0037575C">
      <w:pPr>
        <w:pStyle w:val="paragraph"/>
        <w:numPr>
          <w:ilvl w:val="0"/>
          <w:numId w:val="15"/>
        </w:numPr>
        <w:spacing w:before="0" w:beforeAutospacing="0" w:after="0" w:afterAutospacing="0"/>
        <w:jc w:val="both"/>
        <w:textAlignment w:val="baseline"/>
        <w:rPr>
          <w:sz w:val="20"/>
          <w:szCs w:val="20"/>
        </w:rPr>
      </w:pPr>
      <w:r w:rsidRPr="00223BF3">
        <w:rPr>
          <w:rStyle w:val="normaltextrun"/>
          <w:sz w:val="20"/>
          <w:szCs w:val="20"/>
          <w:lang w:val="en-IE"/>
        </w:rPr>
        <w:t>See also paragraph 2, point c.</w:t>
      </w:r>
    </w:p>
    <w:p w:rsidR="0037575C" w:rsidRPr="00223BF3" w:rsidRDefault="0037575C" w:rsidP="0037575C">
      <w:pPr>
        <w:pStyle w:val="EndnoteText"/>
        <w:numPr>
          <w:ilvl w:val="0"/>
          <w:numId w:val="15"/>
        </w:numPr>
        <w:jc w:val="both"/>
      </w:pPr>
      <w:r w:rsidRPr="00223BF3">
        <w:t>Opening infringement procedures for individual situations would not be effective, considering the EU Court of Justice cannot order a given MS to pay damages to an individual adversely affected by an infringement of EU law.</w:t>
      </w:r>
    </w:p>
    <w:p w:rsidR="0037575C" w:rsidRPr="00223BF3" w:rsidRDefault="0037575C" w:rsidP="0037575C">
      <w:pPr>
        <w:pStyle w:val="EndnoteText"/>
        <w:numPr>
          <w:ilvl w:val="0"/>
          <w:numId w:val="15"/>
        </w:numPr>
        <w:jc w:val="both"/>
      </w:pPr>
      <w:r w:rsidRPr="00223BF3">
        <w:t xml:space="preserve">See also paragraph 1, point c.  </w:t>
      </w:r>
    </w:p>
    <w:p w:rsidR="0037575C" w:rsidRPr="00223BF3" w:rsidRDefault="0037575C" w:rsidP="0037575C">
      <w:pPr>
        <w:pStyle w:val="EndnoteText"/>
        <w:numPr>
          <w:ilvl w:val="0"/>
          <w:numId w:val="15"/>
        </w:numPr>
        <w:jc w:val="both"/>
      </w:pPr>
      <w:r w:rsidRPr="00223BF3">
        <w:t>In particular with regard to partnership (Art. 8.1), implementation (Art. 9.3), operation selection (Art. 73) as well as in terms of enabling conditions (Annex III) and specific objectives (Annex IV).</w:t>
      </w:r>
    </w:p>
    <w:p w:rsidR="0037575C" w:rsidRPr="00223BF3" w:rsidRDefault="0037575C" w:rsidP="0037575C">
      <w:pPr>
        <w:pStyle w:val="ListParagraph"/>
        <w:numPr>
          <w:ilvl w:val="0"/>
          <w:numId w:val="15"/>
        </w:numPr>
        <w:jc w:val="both"/>
        <w:rPr>
          <w:sz w:val="20"/>
          <w:szCs w:val="20"/>
        </w:rPr>
      </w:pPr>
      <w:r w:rsidRPr="00223BF3">
        <w:rPr>
          <w:sz w:val="20"/>
          <w:szCs w:val="20"/>
        </w:rPr>
        <w:t xml:space="preserve">Article 8.2 of the Neighbourhood, Development and International Cooperation Instrument (NDICI) reads as follows: “The Instrument shall apply a rights-based approach encompassing all human rights, whether civil and political or economic, social and cultural in order to integrate human rights principles, to support the right holders in claiming their rights, with a focus on poorer, marginalised and vulnerable people and groups, including persons with disabilities, and to assist partner countries in implementing their international human rights obligations. That approach shall be guided by the principles of “leaving no one behind”, equality and non-discrimination on any grounds.” </w:t>
      </w:r>
    </w:p>
    <w:p w:rsidR="0037575C" w:rsidRPr="00223BF3" w:rsidRDefault="0037575C" w:rsidP="0037575C">
      <w:pPr>
        <w:pStyle w:val="EndnoteText"/>
        <w:numPr>
          <w:ilvl w:val="0"/>
          <w:numId w:val="15"/>
        </w:numPr>
        <w:jc w:val="both"/>
      </w:pPr>
      <w:r w:rsidRPr="00223BF3">
        <w:t xml:space="preserve">Such as </w:t>
      </w:r>
      <w:r w:rsidRPr="00223BF3">
        <w:rPr>
          <w:rFonts w:eastAsiaTheme="minorHAnsi"/>
        </w:rPr>
        <w:t>advocacy, awareness raising, fighting discrimination, supporting the development of equality policies or of disability indicators for data collection.</w:t>
      </w:r>
    </w:p>
    <w:p w:rsidR="0037575C" w:rsidRPr="00223BF3" w:rsidRDefault="0037575C" w:rsidP="0037575C">
      <w:pPr>
        <w:pStyle w:val="EndnoteText"/>
        <w:numPr>
          <w:ilvl w:val="0"/>
          <w:numId w:val="15"/>
        </w:numPr>
        <w:jc w:val="both"/>
      </w:pPr>
      <w:r w:rsidRPr="00223BF3">
        <w:rPr>
          <w:rFonts w:eastAsiaTheme="minorHAnsi"/>
        </w:rPr>
        <w:t>FPAs are a long-term cooperation mechanisms that set out the framework conditions governing potential annual operating grants to partners based on a 4-year strategic action plan.</w:t>
      </w:r>
    </w:p>
    <w:p w:rsidR="0037575C" w:rsidRPr="00223BF3" w:rsidRDefault="0037575C" w:rsidP="0037575C">
      <w:pPr>
        <w:pStyle w:val="EndnoteText"/>
        <w:numPr>
          <w:ilvl w:val="0"/>
          <w:numId w:val="15"/>
        </w:numPr>
        <w:jc w:val="both"/>
        <w:rPr>
          <w:lang w:val="en-GB"/>
        </w:rPr>
      </w:pPr>
      <w:r w:rsidRPr="00223BF3">
        <w:rPr>
          <w:rFonts w:eastAsiaTheme="minorHAnsi"/>
        </w:rPr>
        <w:t xml:space="preserve">Activity funded by the Citizens, Equality, Rights and Values Programme (CERV) and the Employment and Social Innovation strand (EaSI) of the European Social Fund Plus (ESF+). </w:t>
      </w:r>
    </w:p>
    <w:p w:rsidR="0037575C" w:rsidRPr="00223BF3" w:rsidRDefault="0037575C" w:rsidP="0037575C">
      <w:pPr>
        <w:pStyle w:val="EndnoteText"/>
        <w:numPr>
          <w:ilvl w:val="0"/>
          <w:numId w:val="15"/>
        </w:numPr>
        <w:jc w:val="both"/>
      </w:pPr>
      <w:r w:rsidRPr="00223BF3">
        <w:rPr>
          <w:rFonts w:eastAsiaTheme="minorHAnsi"/>
        </w:rPr>
        <w:t xml:space="preserve">Such grants intend to cover regular expenses that enable the above-mentioned bodies to implement work programmes related to the political priorities of the </w:t>
      </w:r>
      <w:r w:rsidRPr="00223BF3">
        <w:rPr>
          <w:lang w:val="en-GB"/>
        </w:rPr>
        <w:t xml:space="preserve">Commission </w:t>
      </w:r>
      <w:r w:rsidRPr="00223BF3">
        <w:rPr>
          <w:rFonts w:eastAsiaTheme="minorHAnsi"/>
        </w:rPr>
        <w:t xml:space="preserve">in the disability area. The implementation of these work programmes allows the </w:t>
      </w:r>
      <w:r w:rsidRPr="00223BF3">
        <w:rPr>
          <w:lang w:val="en-GB"/>
        </w:rPr>
        <w:t xml:space="preserve">Commission </w:t>
      </w:r>
      <w:r w:rsidRPr="00223BF3">
        <w:rPr>
          <w:rFonts w:eastAsiaTheme="minorHAnsi"/>
        </w:rPr>
        <w:t xml:space="preserve">to benefit from the networks’ expertise on the challenges faced by persons with disabilities across MS as well as be supported in its outreach activities at EU, national, and local levels. The partnership of the </w:t>
      </w:r>
      <w:r w:rsidRPr="00223BF3">
        <w:rPr>
          <w:lang w:val="en-GB"/>
        </w:rPr>
        <w:t xml:space="preserve">Commission </w:t>
      </w:r>
      <w:r w:rsidRPr="00223BF3">
        <w:rPr>
          <w:rFonts w:eastAsiaTheme="minorHAnsi"/>
        </w:rPr>
        <w:t>and EU-level networks of disability organisations is of key importance in developing evidence-based and impactful policy making.</w:t>
      </w:r>
    </w:p>
    <w:p w:rsidR="0037575C" w:rsidRPr="00223BF3" w:rsidRDefault="0037575C" w:rsidP="0037575C">
      <w:pPr>
        <w:pStyle w:val="EndnoteText"/>
        <w:numPr>
          <w:ilvl w:val="0"/>
          <w:numId w:val="15"/>
        </w:numPr>
      </w:pPr>
      <w:r w:rsidRPr="00223BF3">
        <w:t xml:space="preserve">See: </w:t>
      </w:r>
      <w:hyperlink r:id="rId58" w:history="1">
        <w:r w:rsidRPr="00223BF3">
          <w:rPr>
            <w:rStyle w:val="Hyperlink"/>
            <w:lang w:val="en-IE"/>
          </w:rPr>
          <w:t>Equality Package: Commission proposes to strengthen equality bodies to fight discrimination</w:t>
        </w:r>
      </w:hyperlink>
      <w:r w:rsidRPr="00223BF3">
        <w:t>.</w:t>
      </w:r>
      <w:r w:rsidRPr="00223BF3" w:rsidDel="001524D7">
        <w:t xml:space="preserve"> </w:t>
      </w:r>
    </w:p>
    <w:p w:rsidR="0037575C" w:rsidRPr="00223BF3" w:rsidRDefault="0037575C" w:rsidP="0037575C">
      <w:pPr>
        <w:pStyle w:val="EndnoteText"/>
        <w:numPr>
          <w:ilvl w:val="0"/>
          <w:numId w:val="15"/>
        </w:numPr>
        <w:rPr>
          <w:lang w:val="en-US"/>
        </w:rPr>
      </w:pPr>
      <w:r w:rsidRPr="00223BF3">
        <w:rPr>
          <w:lang w:val="en-US"/>
        </w:rPr>
        <w:t xml:space="preserve">Directive 1979/7 and Directive 2000/78, see also paragraph 2, point d. </w:t>
      </w:r>
    </w:p>
    <w:p w:rsidR="0037575C" w:rsidRPr="00223BF3" w:rsidRDefault="0037575C" w:rsidP="0037575C">
      <w:pPr>
        <w:pStyle w:val="EndnoteText"/>
        <w:numPr>
          <w:ilvl w:val="0"/>
          <w:numId w:val="15"/>
        </w:numPr>
        <w:jc w:val="both"/>
      </w:pPr>
      <w:r w:rsidRPr="00223BF3">
        <w:t>The Strategy for the Rights of Persons with Disabilities, the Gender Equality Strategy, the EU Anti-racism Action Plan, the LGTBIQ Equality Strategy, the EU-Roma Strategic Framework for Equality, Inclusion and Participation, and the EU Strategy on Combating Antisemitism and Fostering Jewish Life.</w:t>
      </w:r>
    </w:p>
    <w:p w:rsidR="0037575C" w:rsidRPr="00223BF3" w:rsidRDefault="0037575C" w:rsidP="0037575C">
      <w:pPr>
        <w:pStyle w:val="EndnoteText"/>
        <w:numPr>
          <w:ilvl w:val="0"/>
          <w:numId w:val="15"/>
        </w:numPr>
        <w:jc w:val="both"/>
      </w:pPr>
      <w:r w:rsidRPr="00223BF3">
        <w:t>Migrant background is measured either through the “country of citizenship” (three main groups are used for dissemination purposes: nationals / foreign EU citizens / foreign non-EU citizens) or the “country of birth” (also with three main groups: native / foreign-born EU origin / foreign-born non-EU origin) variables.</w:t>
      </w:r>
    </w:p>
    <w:p w:rsidR="0037575C" w:rsidRPr="00223BF3" w:rsidRDefault="0037575C" w:rsidP="0037575C">
      <w:pPr>
        <w:pStyle w:val="EndnoteText"/>
        <w:numPr>
          <w:ilvl w:val="0"/>
          <w:numId w:val="15"/>
        </w:numPr>
        <w:jc w:val="both"/>
      </w:pPr>
      <w:r w:rsidRPr="00223BF3">
        <w:t>Respondents will be asked to select the main ground for the feeling of being discriminated against, with one of the grounds being “disability” or “long-term health problem.”</w:t>
      </w:r>
    </w:p>
    <w:p w:rsidR="0037575C" w:rsidRPr="00223BF3" w:rsidRDefault="0037575C" w:rsidP="0037575C">
      <w:pPr>
        <w:pStyle w:val="ListParagraph"/>
        <w:numPr>
          <w:ilvl w:val="0"/>
          <w:numId w:val="15"/>
        </w:numPr>
        <w:rPr>
          <w:sz w:val="20"/>
          <w:szCs w:val="20"/>
          <w:lang w:val="en-GB"/>
        </w:rPr>
      </w:pPr>
      <w:r w:rsidRPr="00223BF3">
        <w:rPr>
          <w:sz w:val="20"/>
          <w:szCs w:val="20"/>
        </w:rPr>
        <w:t xml:space="preserve"> </w:t>
      </w:r>
      <w:hyperlink r:id="rId59" w:history="1">
        <w:r w:rsidRPr="00223BF3">
          <w:rPr>
            <w:rStyle w:val="Hyperlink"/>
            <w:sz w:val="20"/>
            <w:szCs w:val="20"/>
          </w:rPr>
          <w:t>https://eur-lex.europa.eu/legal-content/EN/TXT/PDF/?uri=CELEX:52022PC0105&amp;from=EN</w:t>
        </w:r>
      </w:hyperlink>
    </w:p>
    <w:p w:rsidR="0037575C" w:rsidRPr="00223BF3" w:rsidRDefault="0037575C" w:rsidP="00A324BD">
      <w:pPr>
        <w:pStyle w:val="ListParagraph"/>
        <w:ind w:left="720" w:firstLine="0"/>
        <w:rPr>
          <w:sz w:val="20"/>
          <w:szCs w:val="20"/>
        </w:rPr>
      </w:pPr>
      <w:r w:rsidRPr="00223BF3">
        <w:rPr>
          <w:sz w:val="20"/>
          <w:szCs w:val="20"/>
          <w:lang w:val="en-GB"/>
        </w:rPr>
        <w:t>The proposal indicates that</w:t>
      </w:r>
      <w:r w:rsidRPr="00223BF3">
        <w:rPr>
          <w:sz w:val="20"/>
          <w:szCs w:val="20"/>
        </w:rPr>
        <w:t xml:space="preserve"> Member States should pay due regard to victims affected by such intersectional discrimination.</w:t>
      </w:r>
    </w:p>
    <w:p w:rsidR="0037575C" w:rsidRPr="00223BF3" w:rsidRDefault="0037575C" w:rsidP="00A324BD">
      <w:pPr>
        <w:pStyle w:val="ListParagraph"/>
        <w:ind w:left="720" w:firstLine="0"/>
        <w:rPr>
          <w:sz w:val="20"/>
          <w:szCs w:val="20"/>
          <w:lang w:val="pt-PT"/>
        </w:rPr>
      </w:pPr>
      <w:r w:rsidRPr="00223BF3">
        <w:rPr>
          <w:sz w:val="20"/>
          <w:szCs w:val="20"/>
          <w:lang w:val="en-GB"/>
        </w:rPr>
        <w:t xml:space="preserve">Proposal for a Directive to strengthen the application of the principle of equal pay for equal work or work of equal value between men and women through pay transparency and enforcement mechanisms. </w:t>
      </w:r>
      <w:r w:rsidRPr="00223BF3">
        <w:rPr>
          <w:sz w:val="20"/>
          <w:szCs w:val="20"/>
          <w:lang w:val="pt-PT"/>
        </w:rPr>
        <w:t>COM(2021) 93.</w:t>
      </w:r>
    </w:p>
    <w:p w:rsidR="0037575C" w:rsidRPr="00223BF3" w:rsidRDefault="0037575C" w:rsidP="00A324BD">
      <w:pPr>
        <w:pStyle w:val="ListParagraph"/>
        <w:ind w:left="720" w:firstLine="0"/>
        <w:rPr>
          <w:sz w:val="20"/>
          <w:szCs w:val="20"/>
          <w:lang w:val="pt-PT"/>
        </w:rPr>
      </w:pPr>
      <w:r w:rsidRPr="00223BF3">
        <w:rPr>
          <w:sz w:val="20"/>
          <w:szCs w:val="20"/>
          <w:lang w:val="pt-PT"/>
        </w:rPr>
        <w:t>https://eur-lex.europa.eu/legal-content/EN/TXT/?uri=CELEX%3A52021PC0093</w:t>
      </w:r>
    </w:p>
    <w:p w:rsidR="0037575C" w:rsidRPr="00223BF3" w:rsidRDefault="0037575C" w:rsidP="00A324BD">
      <w:pPr>
        <w:pStyle w:val="ListParagraph"/>
        <w:ind w:left="720" w:firstLine="0"/>
        <w:rPr>
          <w:sz w:val="20"/>
          <w:szCs w:val="20"/>
          <w:lang w:val="pt-PT"/>
        </w:rPr>
      </w:pPr>
      <w:r w:rsidRPr="00223BF3">
        <w:rPr>
          <w:sz w:val="20"/>
          <w:szCs w:val="20"/>
          <w:lang w:val="en-GB"/>
        </w:rPr>
        <w:t xml:space="preserve">Proposal for a Directive  on standards for equality bodies in the field of equal treatment and equal opportunities between women and men in matters of employment and occupation, and deleting Article 20 of Directive 2006/54/EC and Article 11 of Directive 2010/41/EU. </w:t>
      </w:r>
      <w:r w:rsidRPr="00223BF3">
        <w:rPr>
          <w:sz w:val="20"/>
          <w:szCs w:val="20"/>
          <w:lang w:val="pt-PT"/>
        </w:rPr>
        <w:t>COM(2022) 688.</w:t>
      </w:r>
    </w:p>
    <w:p w:rsidR="0037575C" w:rsidRPr="00223BF3" w:rsidRDefault="0037575C" w:rsidP="00A324BD">
      <w:pPr>
        <w:pStyle w:val="ListParagraph"/>
        <w:ind w:left="720" w:firstLine="0"/>
        <w:rPr>
          <w:sz w:val="20"/>
          <w:szCs w:val="20"/>
          <w:lang w:val="pt-PT"/>
        </w:rPr>
      </w:pPr>
      <w:r w:rsidRPr="00223BF3">
        <w:rPr>
          <w:sz w:val="20"/>
          <w:szCs w:val="20"/>
          <w:lang w:val="pt-PT"/>
        </w:rPr>
        <w:t>https://eur-lex.europa.eu/legal-content/EN/TXT/PDF/?uri=CELEX:52022PC0688&amp;from=EN</w:t>
      </w:r>
    </w:p>
    <w:p w:rsidR="0037575C" w:rsidRPr="00223BF3" w:rsidRDefault="0037575C" w:rsidP="0037575C">
      <w:pPr>
        <w:pStyle w:val="EndnoteText"/>
        <w:numPr>
          <w:ilvl w:val="0"/>
          <w:numId w:val="15"/>
        </w:numPr>
      </w:pPr>
      <w:r w:rsidRPr="00223BF3">
        <w:t xml:space="preserve">See: </w:t>
      </w:r>
      <w:hyperlink r:id="rId60" w:history="1">
        <w:r w:rsidRPr="00223BF3">
          <w:rPr>
            <w:rStyle w:val="Hyperlink"/>
            <w:lang w:val="en-IE"/>
          </w:rPr>
          <w:t>Action Coalitions: Global Acceleration Plan. Executive Summary</w:t>
        </w:r>
      </w:hyperlink>
      <w:r w:rsidRPr="00223BF3">
        <w:rPr>
          <w:rStyle w:val="Hyperlink"/>
          <w:lang w:val="en-IE"/>
        </w:rPr>
        <w:t xml:space="preserve"> (p. 16)</w:t>
      </w:r>
      <w:r w:rsidRPr="00223BF3">
        <w:t>.</w:t>
      </w:r>
    </w:p>
    <w:p w:rsidR="0037575C" w:rsidRPr="00223BF3" w:rsidRDefault="0037575C" w:rsidP="0037575C">
      <w:pPr>
        <w:pStyle w:val="EndnoteText"/>
        <w:numPr>
          <w:ilvl w:val="0"/>
          <w:numId w:val="15"/>
        </w:numPr>
      </w:pPr>
      <w:r w:rsidRPr="00223BF3">
        <w:t xml:space="preserve">See: </w:t>
      </w:r>
      <w:hyperlink r:id="rId61" w:history="1">
        <w:r w:rsidRPr="00223BF3">
          <w:rPr>
            <w:rStyle w:val="Hyperlink"/>
            <w:lang w:val="en-IE"/>
          </w:rPr>
          <w:t>Gender Equality Index</w:t>
        </w:r>
      </w:hyperlink>
      <w:r w:rsidRPr="00223BF3">
        <w:t xml:space="preserve">. </w:t>
      </w:r>
    </w:p>
    <w:p w:rsidR="0037575C" w:rsidRPr="00223BF3" w:rsidRDefault="0037575C" w:rsidP="0037575C">
      <w:pPr>
        <w:pStyle w:val="EndnoteText"/>
        <w:numPr>
          <w:ilvl w:val="0"/>
          <w:numId w:val="15"/>
        </w:numPr>
        <w:jc w:val="both"/>
      </w:pPr>
      <w:r w:rsidRPr="00223BF3">
        <w:t>See: EU strategy on the rights of the child (</w:t>
      </w:r>
      <w:hyperlink r:id="rId62" w:history="1">
        <w:r w:rsidRPr="00223BF3">
          <w:rPr>
            <w:rStyle w:val="Hyperlink"/>
            <w:lang w:val="en-IE"/>
          </w:rPr>
          <w:t>COM/2021/142 final</w:t>
        </w:r>
      </w:hyperlink>
      <w:r w:rsidRPr="00223BF3">
        <w:t>).</w:t>
      </w:r>
      <w:r w:rsidRPr="00223BF3" w:rsidDel="00525497">
        <w:t xml:space="preserve"> </w:t>
      </w:r>
    </w:p>
    <w:p w:rsidR="0037575C" w:rsidRPr="00223BF3" w:rsidRDefault="0037575C" w:rsidP="0037575C">
      <w:pPr>
        <w:pStyle w:val="EndnoteText"/>
        <w:numPr>
          <w:ilvl w:val="0"/>
          <w:numId w:val="15"/>
        </w:numPr>
        <w:jc w:val="both"/>
      </w:pPr>
      <w:r w:rsidRPr="00223BF3">
        <w:t>Eurostat is yet to investigate whether reliable data for children with disabilities can be produced regarding their material deprivation, access to health care, living arrangements and conditions. There is no data source with regard to children with disabilities not living in private households.</w:t>
      </w:r>
    </w:p>
    <w:p w:rsidR="0037575C" w:rsidRPr="00223BF3" w:rsidRDefault="0037575C" w:rsidP="0037575C">
      <w:pPr>
        <w:pStyle w:val="EndnoteText"/>
        <w:numPr>
          <w:ilvl w:val="0"/>
          <w:numId w:val="15"/>
        </w:numPr>
        <w:jc w:val="both"/>
      </w:pPr>
      <w:r w:rsidRPr="00223BF3">
        <w:t xml:space="preserve">See: </w:t>
      </w:r>
      <w:hyperlink r:id="rId63" w:history="1">
        <w:r w:rsidRPr="00223BF3">
          <w:rPr>
            <w:rStyle w:val="Hyperlink"/>
            <w:lang w:val="en-IE"/>
          </w:rPr>
          <w:t>Commission Implementing Regulation (EU) 2019/2242</w:t>
        </w:r>
      </w:hyperlink>
      <w:r w:rsidRPr="00223BF3">
        <w:t xml:space="preserve"> of 16 December 2019 specifying the technical items of data sets, establishing the technical formats and specifying the detailed arrangements and content of the quality reports on the organisation of a sample survey in the income and living conditions domain pursuant to Regulation (EU) 2019/1700 of the European Parliament and of the Council (Text with EEA relevance).</w:t>
      </w:r>
    </w:p>
    <w:p w:rsidR="0037575C" w:rsidRPr="00223BF3" w:rsidRDefault="0037575C" w:rsidP="0037575C">
      <w:pPr>
        <w:pStyle w:val="EndnoteText"/>
        <w:numPr>
          <w:ilvl w:val="0"/>
          <w:numId w:val="15"/>
        </w:numPr>
        <w:jc w:val="both"/>
      </w:pPr>
      <w:r w:rsidRPr="00223BF3">
        <w:t xml:space="preserve">See: </w:t>
      </w:r>
      <w:hyperlink r:id="rId64" w:history="1">
        <w:r w:rsidRPr="00223BF3">
          <w:rPr>
            <w:rStyle w:val="Hyperlink"/>
            <w:lang w:val="en-IE"/>
          </w:rPr>
          <w:t>European Child Guarantee</w:t>
        </w:r>
      </w:hyperlink>
      <w:r w:rsidRPr="00223BF3">
        <w:t xml:space="preserve">. Recommendations allow the EU institutions to make their views known and to suggest a line of action without imposing any legal obligation on those to whom it is addressed. They have no binding force. </w:t>
      </w:r>
    </w:p>
    <w:p w:rsidR="0037575C" w:rsidRPr="00223BF3" w:rsidRDefault="0037575C" w:rsidP="0037575C">
      <w:pPr>
        <w:pStyle w:val="EndnoteText"/>
        <w:numPr>
          <w:ilvl w:val="0"/>
          <w:numId w:val="15"/>
        </w:numPr>
        <w:rPr>
          <w:lang w:val="en-US"/>
        </w:rPr>
      </w:pPr>
      <w:r w:rsidRPr="00223BF3">
        <w:t>The Forum took place in a room accessible to speakers with disabilities, and subtitles were ensured for online hard of hearing participants.</w:t>
      </w:r>
    </w:p>
    <w:p w:rsidR="0037575C" w:rsidRPr="00223BF3" w:rsidRDefault="0037575C" w:rsidP="0037575C">
      <w:pPr>
        <w:pStyle w:val="EndnoteText"/>
        <w:numPr>
          <w:ilvl w:val="0"/>
          <w:numId w:val="15"/>
        </w:numPr>
        <w:jc w:val="both"/>
      </w:pPr>
      <w:r w:rsidRPr="00223BF3">
        <w:t xml:space="preserve">See: </w:t>
      </w:r>
      <w:hyperlink r:id="rId65" w:history="1">
        <w:r w:rsidRPr="00223BF3">
          <w:rPr>
            <w:rStyle w:val="Hyperlink"/>
            <w:lang w:val="en-IE"/>
          </w:rPr>
          <w:t>14th European Forum on the rights of the child: Bring children to the centre: empowering, protecting and including children</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66" w:history="1">
        <w:r w:rsidRPr="00223BF3">
          <w:rPr>
            <w:rStyle w:val="Hyperlink"/>
            <w:lang w:val="en-IE"/>
          </w:rPr>
          <w:t>Council Recommendation (EU) 2021/1004</w:t>
        </w:r>
      </w:hyperlink>
      <w:r w:rsidRPr="00223BF3">
        <w:t xml:space="preserve"> of 14 June 2021 establishing a European Child Guarantee. </w:t>
      </w:r>
    </w:p>
    <w:p w:rsidR="0037575C" w:rsidRPr="00223BF3" w:rsidRDefault="0037575C" w:rsidP="0037575C">
      <w:pPr>
        <w:pStyle w:val="EndnoteText"/>
        <w:numPr>
          <w:ilvl w:val="0"/>
          <w:numId w:val="15"/>
        </w:numPr>
        <w:jc w:val="both"/>
      </w:pPr>
      <w:r w:rsidRPr="00223BF3">
        <w:t>By end January 2023, eighteen MS had submitted their final action plans.</w:t>
      </w:r>
    </w:p>
    <w:p w:rsidR="0037575C" w:rsidRPr="00223BF3" w:rsidRDefault="0037575C" w:rsidP="0037575C">
      <w:pPr>
        <w:pStyle w:val="EndnoteText"/>
        <w:numPr>
          <w:ilvl w:val="0"/>
          <w:numId w:val="15"/>
        </w:numPr>
        <w:jc w:val="both"/>
      </w:pPr>
      <w:r w:rsidRPr="00223BF3">
        <w:t>The ECG Recommendation requires MS to report every two years on heir progress in implementing the ECG.</w:t>
      </w:r>
    </w:p>
    <w:p w:rsidR="0037575C" w:rsidRPr="00223BF3" w:rsidRDefault="0037575C" w:rsidP="0037575C">
      <w:pPr>
        <w:pStyle w:val="ListParagraph"/>
        <w:numPr>
          <w:ilvl w:val="0"/>
          <w:numId w:val="15"/>
        </w:numPr>
        <w:jc w:val="both"/>
        <w:rPr>
          <w:sz w:val="20"/>
          <w:szCs w:val="20"/>
          <w:lang w:val="en-GB"/>
        </w:rPr>
      </w:pPr>
      <w:r w:rsidRPr="00223BF3">
        <w:rPr>
          <w:sz w:val="20"/>
          <w:szCs w:val="20"/>
        </w:rPr>
        <w:t xml:space="preserve">These include: (1) </w:t>
      </w:r>
      <w:r w:rsidRPr="00223BF3">
        <w:rPr>
          <w:sz w:val="20"/>
          <w:szCs w:val="20"/>
          <w:lang w:val="en-GB"/>
        </w:rPr>
        <w:t xml:space="preserve">presentations to FRA stakeholders, such as the European child-friendly justice network, addressing the difficult access to justice for children with disabilities; (2) written input during the development and implementation of policy files, such as the European Child Guarantee, the Strategy on the Rights of the Child (2021-2024), and the Council of Europe Strategy for the Rights of the Child (2022-2027); (3) contributions to research projects, for example as member of the advisory board of the DataCare project by Eurochild/UNICEF or as project partner of the Norway Grant project with the Bulgarian National Statistical Institute – these reports specifically address children and persons with disabilities. </w:t>
      </w:r>
    </w:p>
    <w:p w:rsidR="0037575C" w:rsidRPr="00223BF3" w:rsidRDefault="0037575C" w:rsidP="0037575C">
      <w:pPr>
        <w:pStyle w:val="EndnoteText"/>
        <w:numPr>
          <w:ilvl w:val="0"/>
          <w:numId w:val="15"/>
        </w:numPr>
        <w:jc w:val="both"/>
      </w:pPr>
      <w:r w:rsidRPr="00223BF3">
        <w:t xml:space="preserve">See: </w:t>
      </w:r>
      <w:hyperlink r:id="rId67" w:history="1">
        <w:r w:rsidRPr="00223BF3">
          <w:rPr>
            <w:rStyle w:val="Hyperlink"/>
            <w:lang w:val="en-IE"/>
          </w:rPr>
          <w:t>Procedural safeguards for children who are suspects or accused persons in criminal proceedings</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68" w:history="1">
        <w:r w:rsidRPr="00223BF3">
          <w:rPr>
            <w:rStyle w:val="Hyperlink"/>
            <w:lang w:val="en-IE"/>
          </w:rPr>
          <w:t>Violence against children with disabilities: legislation, policies and programmes in the EU</w:t>
        </w:r>
      </w:hyperlink>
      <w:r w:rsidRPr="00223BF3">
        <w:t xml:space="preserve">. </w:t>
      </w:r>
    </w:p>
    <w:p w:rsidR="0037575C" w:rsidRPr="00223BF3" w:rsidRDefault="0037575C" w:rsidP="0037575C">
      <w:pPr>
        <w:pStyle w:val="EndnoteText"/>
        <w:numPr>
          <w:ilvl w:val="0"/>
          <w:numId w:val="15"/>
        </w:numPr>
      </w:pPr>
      <w:r w:rsidRPr="00223BF3">
        <w:t xml:space="preserve">See: </w:t>
      </w:r>
      <w:hyperlink r:id="rId69" w:history="1">
        <w:r w:rsidRPr="00223BF3">
          <w:rPr>
            <w:rStyle w:val="Hyperlink"/>
            <w:lang w:val="en-IE"/>
          </w:rPr>
          <w:t>How the EU helps fight discrimination at work</w:t>
        </w:r>
      </w:hyperlink>
      <w:r w:rsidRPr="00223BF3">
        <w:t xml:space="preserve">. </w:t>
      </w:r>
    </w:p>
    <w:p w:rsidR="0037575C" w:rsidRPr="00223BF3" w:rsidRDefault="0037575C" w:rsidP="0037575C">
      <w:pPr>
        <w:pStyle w:val="EndnoteText"/>
        <w:numPr>
          <w:ilvl w:val="0"/>
          <w:numId w:val="15"/>
        </w:numPr>
      </w:pPr>
      <w:r w:rsidRPr="00223BF3">
        <w:t xml:space="preserve">See: </w:t>
      </w:r>
      <w:hyperlink r:id="rId70" w:history="1">
        <w:r w:rsidRPr="00223BF3">
          <w:rPr>
            <w:rStyle w:val="Hyperlink"/>
            <w:lang w:val="en-IE"/>
          </w:rPr>
          <w:t>Together for Rights: the Strategy for persons with disabilities</w:t>
        </w:r>
      </w:hyperlink>
      <w:r w:rsidRPr="00223BF3">
        <w:t xml:space="preserve">. </w:t>
      </w:r>
      <w:r w:rsidRPr="00223BF3" w:rsidDel="00525497">
        <w:t xml:space="preserve"> </w:t>
      </w:r>
    </w:p>
    <w:p w:rsidR="0037575C" w:rsidRPr="00223BF3" w:rsidRDefault="0037575C" w:rsidP="0037575C">
      <w:pPr>
        <w:pStyle w:val="EndnoteText"/>
        <w:numPr>
          <w:ilvl w:val="0"/>
          <w:numId w:val="15"/>
        </w:numPr>
      </w:pPr>
      <w:r w:rsidRPr="00223BF3">
        <w:t>Internal document published on the EEAS intranet.</w:t>
      </w:r>
    </w:p>
    <w:p w:rsidR="0037575C" w:rsidRPr="00223BF3" w:rsidRDefault="0037575C" w:rsidP="0037575C">
      <w:pPr>
        <w:pStyle w:val="EndnoteText"/>
        <w:numPr>
          <w:ilvl w:val="0"/>
          <w:numId w:val="15"/>
        </w:numPr>
        <w:jc w:val="both"/>
      </w:pPr>
      <w:r w:rsidRPr="00223BF3">
        <w:t xml:space="preserve">Several activities on the EYY map of the European Youth Portal target young people with disabilities: (1) in Germany: </w:t>
      </w:r>
      <w:r w:rsidRPr="00223BF3">
        <w:rPr>
          <w:i/>
        </w:rPr>
        <w:t>Einfach machen: Auslandsjahr mit Behinderung</w:t>
      </w:r>
      <w:r w:rsidRPr="00223BF3">
        <w:t xml:space="preserve"> (Just do it: Year abroad with disability); (2) from the European Social and Economic Committee: </w:t>
      </w:r>
      <w:r w:rsidRPr="00223BF3">
        <w:rPr>
          <w:i/>
        </w:rPr>
        <w:t>Employment of young people with disabilities</w:t>
      </w:r>
      <w:r w:rsidRPr="00223BF3">
        <w:t xml:space="preserve">; (3) in France: </w:t>
      </w:r>
      <w:r w:rsidRPr="00223BF3">
        <w:rPr>
          <w:i/>
        </w:rPr>
        <w:t>Journée régionale “Inclusion dans les ACM”</w:t>
      </w:r>
      <w:r w:rsidRPr="00223BF3">
        <w:t xml:space="preserve"> (Regional day “Inclusion in reception centres for minors”).</w:t>
      </w:r>
    </w:p>
    <w:p w:rsidR="0037575C" w:rsidRPr="00223BF3" w:rsidRDefault="0037575C" w:rsidP="0037575C">
      <w:pPr>
        <w:pStyle w:val="EndnoteText"/>
        <w:numPr>
          <w:ilvl w:val="0"/>
          <w:numId w:val="15"/>
        </w:numPr>
        <w:rPr>
          <w:lang w:val="en-US"/>
        </w:rPr>
      </w:pPr>
      <w:r w:rsidRPr="00223BF3">
        <w:t>Europäische Rechtsakademie.</w:t>
      </w:r>
    </w:p>
    <w:p w:rsidR="0037575C" w:rsidRPr="00223BF3" w:rsidRDefault="0037575C" w:rsidP="0037575C">
      <w:pPr>
        <w:pStyle w:val="EndnoteText"/>
        <w:numPr>
          <w:ilvl w:val="0"/>
          <w:numId w:val="15"/>
        </w:numPr>
      </w:pPr>
      <w:r w:rsidRPr="00223BF3">
        <w:t xml:space="preserve">See: </w:t>
      </w:r>
      <w:hyperlink r:id="rId71" w:history="1">
        <w:r w:rsidRPr="00223BF3">
          <w:rPr>
            <w:rStyle w:val="Hyperlink"/>
            <w:lang w:val="en-IE"/>
          </w:rPr>
          <w:t>Inclusive education in action</w:t>
        </w:r>
      </w:hyperlink>
      <w:r w:rsidRPr="00223BF3">
        <w:t>.</w:t>
      </w:r>
    </w:p>
    <w:p w:rsidR="0037575C" w:rsidRPr="00223BF3" w:rsidRDefault="0037575C" w:rsidP="0037575C">
      <w:pPr>
        <w:pStyle w:val="EndnoteText"/>
        <w:numPr>
          <w:ilvl w:val="0"/>
          <w:numId w:val="15"/>
        </w:numPr>
        <w:rPr>
          <w:lang w:val="en-GB"/>
        </w:rPr>
      </w:pPr>
      <w:r w:rsidRPr="00223BF3">
        <w:rPr>
          <w:lang w:val="en-GB"/>
        </w:rPr>
        <w:t xml:space="preserve">The other priorities are digital transformation, environment and fight against climate change, participation in democratic life, common values and civic engagement. </w:t>
      </w:r>
    </w:p>
    <w:p w:rsidR="0037575C" w:rsidRPr="00223BF3" w:rsidRDefault="0037575C" w:rsidP="0037575C">
      <w:pPr>
        <w:pStyle w:val="EndnoteText"/>
        <w:numPr>
          <w:ilvl w:val="0"/>
          <w:numId w:val="15"/>
        </w:numPr>
      </w:pPr>
      <w:r w:rsidRPr="00223BF3">
        <w:t xml:space="preserve">See : </w:t>
      </w:r>
      <w:hyperlink r:id="rId72" w:history="1">
        <w:r w:rsidRPr="00223BF3">
          <w:rPr>
            <w:rStyle w:val="Hyperlink"/>
          </w:rPr>
          <w:t>SpicE –</w:t>
        </w:r>
        <w:r w:rsidRPr="00223BF3">
          <w:rPr>
            <w:rStyle w:val="Hyperlink"/>
            <w:lang w:val="en-IE"/>
          </w:rPr>
          <w:t xml:space="preserve"> Special Education STEAM Academy</w:t>
        </w:r>
      </w:hyperlink>
      <w:r w:rsidRPr="00223BF3">
        <w:rPr>
          <w:lang w:val="en-GB"/>
        </w:rPr>
        <w:t>.</w:t>
      </w:r>
    </w:p>
    <w:p w:rsidR="0037575C" w:rsidRPr="00223BF3" w:rsidRDefault="0037575C" w:rsidP="0037575C">
      <w:pPr>
        <w:pStyle w:val="EndnoteText"/>
        <w:numPr>
          <w:ilvl w:val="0"/>
          <w:numId w:val="15"/>
        </w:numPr>
        <w:rPr>
          <w:lang w:val="en-US"/>
        </w:rPr>
      </w:pPr>
      <w:r w:rsidRPr="00223BF3">
        <w:t>science, technology, engineering, the arts and mathematics.</w:t>
      </w:r>
    </w:p>
    <w:p w:rsidR="0037575C" w:rsidRPr="00223BF3" w:rsidRDefault="0037575C" w:rsidP="0037575C">
      <w:pPr>
        <w:pStyle w:val="EndnoteText"/>
        <w:numPr>
          <w:ilvl w:val="0"/>
          <w:numId w:val="15"/>
        </w:numPr>
      </w:pPr>
      <w:r w:rsidRPr="00223BF3">
        <w:t>This is the term used in the Erasmus+ programme, referring to people who, for economic, social, cultural, geographical or health reasons, or for reasons such as disability or barriers linked to education and training systems as well as barriers which can occur as a result of discriminations, face obstacles that prevent them from having effective access to opportunities under the Programme.</w:t>
      </w:r>
    </w:p>
    <w:p w:rsidR="0037575C" w:rsidRPr="00223BF3" w:rsidRDefault="0037575C" w:rsidP="0037575C">
      <w:pPr>
        <w:pStyle w:val="EndnoteText"/>
        <w:numPr>
          <w:ilvl w:val="0"/>
          <w:numId w:val="15"/>
        </w:numPr>
        <w:jc w:val="both"/>
        <w:rPr>
          <w:color w:val="000000" w:themeColor="text1"/>
        </w:rPr>
      </w:pPr>
      <w:r w:rsidRPr="00223BF3">
        <w:rPr>
          <w:color w:val="000000" w:themeColor="text1"/>
        </w:rPr>
        <w:t xml:space="preserve">See: </w:t>
      </w:r>
      <w:hyperlink r:id="rId73" w:history="1">
        <w:r w:rsidRPr="00223BF3">
          <w:rPr>
            <w:rStyle w:val="Hyperlink"/>
            <w:lang w:val="en-IE"/>
          </w:rPr>
          <w:t>Compendium of inspiring practices on inclusive and citizenship education</w:t>
        </w:r>
      </w:hyperlink>
      <w:r w:rsidRPr="00223BF3">
        <w:rPr>
          <w:color w:val="000000" w:themeColor="text1"/>
        </w:rPr>
        <w:t xml:space="preserve">. </w:t>
      </w:r>
    </w:p>
    <w:p w:rsidR="0037575C" w:rsidRPr="00223BF3" w:rsidRDefault="0037575C" w:rsidP="0037575C">
      <w:pPr>
        <w:pStyle w:val="EndnoteText"/>
        <w:numPr>
          <w:ilvl w:val="0"/>
          <w:numId w:val="15"/>
        </w:numPr>
        <w:jc w:val="both"/>
        <w:rPr>
          <w:color w:val="000000" w:themeColor="text1"/>
        </w:rPr>
      </w:pPr>
      <w:r w:rsidRPr="00223BF3">
        <w:rPr>
          <w:color w:val="000000" w:themeColor="text1"/>
        </w:rPr>
        <w:t xml:space="preserve">See: </w:t>
      </w:r>
      <w:hyperlink r:id="rId74" w:history="1">
        <w:r w:rsidRPr="00223BF3">
          <w:rPr>
            <w:rStyle w:val="Hyperlink"/>
            <w:lang w:val="en-IE"/>
          </w:rPr>
          <w:t>European Toolkit for Schools: Promoting inclusive education and tackling early school leaving</w:t>
        </w:r>
      </w:hyperlink>
      <w:r w:rsidRPr="00223BF3">
        <w:rPr>
          <w:color w:val="000000" w:themeColor="text1"/>
        </w:rPr>
        <w:t>.</w:t>
      </w:r>
    </w:p>
    <w:p w:rsidR="0037575C" w:rsidRPr="00223BF3" w:rsidRDefault="0037575C" w:rsidP="0037575C">
      <w:pPr>
        <w:pStyle w:val="EndnoteText"/>
        <w:numPr>
          <w:ilvl w:val="0"/>
          <w:numId w:val="15"/>
        </w:numPr>
        <w:jc w:val="both"/>
        <w:rPr>
          <w:color w:val="000000" w:themeColor="text1"/>
        </w:rPr>
      </w:pPr>
      <w:r w:rsidRPr="00223BF3">
        <w:rPr>
          <w:color w:val="000000" w:themeColor="text1"/>
        </w:rPr>
        <w:t xml:space="preserve">See: </w:t>
      </w:r>
      <w:hyperlink r:id="rId75" w:history="1">
        <w:r w:rsidRPr="00223BF3">
          <w:rPr>
            <w:rStyle w:val="Hyperlink"/>
            <w:lang w:val="en-IE"/>
          </w:rPr>
          <w:t>Toolkit for inclusive early childhood education and care: Providing high quality education and care to all young children</w:t>
        </w:r>
      </w:hyperlink>
      <w:r w:rsidRPr="00223BF3">
        <w:rPr>
          <w:color w:val="000000" w:themeColor="text1"/>
        </w:rPr>
        <w:t xml:space="preserve">. </w:t>
      </w:r>
    </w:p>
    <w:p w:rsidR="0037575C" w:rsidRPr="00223BF3" w:rsidRDefault="0037575C" w:rsidP="0037575C">
      <w:pPr>
        <w:pStyle w:val="EndnoteText"/>
        <w:numPr>
          <w:ilvl w:val="0"/>
          <w:numId w:val="15"/>
        </w:numPr>
        <w:jc w:val="both"/>
        <w:rPr>
          <w:color w:val="000000" w:themeColor="text1"/>
        </w:rPr>
      </w:pPr>
      <w:r w:rsidRPr="00223BF3">
        <w:rPr>
          <w:color w:val="000000" w:themeColor="text1"/>
        </w:rPr>
        <w:t xml:space="preserve">See: </w:t>
      </w:r>
      <w:hyperlink r:id="rId76" w:history="1">
        <w:r w:rsidRPr="00223BF3">
          <w:rPr>
            <w:rStyle w:val="Hyperlink"/>
            <w:lang w:val="en-IE"/>
          </w:rPr>
          <w:t>Webinar on Early childhood education and care in Europe: welcoming children with disabilities, and children with a migrant background</w:t>
        </w:r>
      </w:hyperlink>
      <w:r w:rsidRPr="00223BF3">
        <w:rPr>
          <w:color w:val="000000" w:themeColor="text1"/>
        </w:rPr>
        <w:t xml:space="preserve">. </w:t>
      </w:r>
    </w:p>
    <w:p w:rsidR="0037575C" w:rsidRPr="00223BF3" w:rsidRDefault="0037575C" w:rsidP="0037575C">
      <w:pPr>
        <w:pStyle w:val="EndnoteText"/>
        <w:numPr>
          <w:ilvl w:val="0"/>
          <w:numId w:val="15"/>
        </w:numPr>
      </w:pPr>
      <w:r w:rsidRPr="00223BF3">
        <w:t xml:space="preserve">See: </w:t>
      </w:r>
      <w:hyperlink r:id="rId77" w:history="1">
        <w:r w:rsidRPr="00223BF3">
          <w:rPr>
            <w:rStyle w:val="Hyperlink"/>
            <w:lang w:val="en-IE"/>
          </w:rPr>
          <w:t>Council Recommendation on Pathways to school success</w:t>
        </w:r>
      </w:hyperlink>
      <w:r w:rsidRPr="00223BF3">
        <w:t>.</w:t>
      </w:r>
    </w:p>
    <w:p w:rsidR="0037575C" w:rsidRPr="00223BF3" w:rsidRDefault="0037575C" w:rsidP="0037575C">
      <w:pPr>
        <w:pStyle w:val="EndnoteText"/>
        <w:numPr>
          <w:ilvl w:val="0"/>
          <w:numId w:val="15"/>
        </w:numPr>
        <w:jc w:val="both"/>
      </w:pPr>
      <w:r w:rsidRPr="00223BF3">
        <w:rPr>
          <w:color w:val="000000" w:themeColor="text1"/>
        </w:rPr>
        <w:t xml:space="preserve">See: </w:t>
      </w:r>
      <w:hyperlink r:id="rId78" w:history="1">
        <w:r w:rsidRPr="00223BF3">
          <w:rPr>
            <w:rStyle w:val="Hyperlink"/>
            <w:lang w:val="en-IE"/>
          </w:rPr>
          <w:t>Proposal for a Council Recommendation on the mobility of young volunteers across the European Union</w:t>
        </w:r>
      </w:hyperlink>
      <w:r w:rsidRPr="00223BF3">
        <w:rPr>
          <w:color w:val="000000" w:themeColor="text1"/>
        </w:rPr>
        <w:t>. The text, which updates the Council Recommendation from 2008, gained relevance for young people with disabilities by ensuring that access to transnational volunteering activities is a realistic opportunity for all young people. The recommendations mention the support of adequate structures in providing information and guidance regarding existing volunteering opportunities, in formats that are accessible to persons with disabilities. Additionally, organisers of volunteering activities are encouraged to promote social inclusion by providing, inter alia, reasonable and suitable accommodation that is accessible to young people, in particular those with disabilities.</w:t>
      </w:r>
    </w:p>
    <w:p w:rsidR="0037575C" w:rsidRPr="00223BF3" w:rsidRDefault="0037575C" w:rsidP="0037575C">
      <w:pPr>
        <w:pStyle w:val="EndnoteText"/>
        <w:numPr>
          <w:ilvl w:val="0"/>
          <w:numId w:val="15"/>
        </w:numPr>
        <w:jc w:val="both"/>
        <w:rPr>
          <w:lang w:val="en-US"/>
        </w:rPr>
      </w:pPr>
      <w:r w:rsidRPr="00223BF3">
        <w:t>In the context of this Directive, accessibility is understood as principles and techniques to be observed when designing, constructing, maintaining, and updating websites and mobile applications so that persons with disabilities can perceive, understand, navigate, and interact with them. The implementation of the Directive is supported by European standard EN 301549.</w:t>
      </w:r>
    </w:p>
    <w:p w:rsidR="0037575C" w:rsidRPr="00223BF3" w:rsidRDefault="0037575C" w:rsidP="0037575C">
      <w:pPr>
        <w:pStyle w:val="EndnoteText"/>
        <w:numPr>
          <w:ilvl w:val="0"/>
          <w:numId w:val="15"/>
        </w:numPr>
        <w:jc w:val="both"/>
        <w:rPr>
          <w:lang w:val="en-GB"/>
        </w:rPr>
      </w:pPr>
      <w:r w:rsidRPr="00223BF3">
        <w:rPr>
          <w:lang w:val="en-GB"/>
        </w:rPr>
        <w:t xml:space="preserve">See: </w:t>
      </w:r>
      <w:hyperlink r:id="rId79" w:history="1">
        <w:r w:rsidRPr="00223BF3">
          <w:rPr>
            <w:rStyle w:val="Hyperlink"/>
          </w:rPr>
          <w:t>Directive (EU) 2018/1972</w:t>
        </w:r>
      </w:hyperlink>
      <w:r w:rsidRPr="00223BF3">
        <w:rPr>
          <w:lang w:val="en-GB"/>
        </w:rPr>
        <w:t xml:space="preserve"> of the European Parliament and of the Council of 11 December 2018 establishing the European Electronic Communications Code (Recast) (Text with EEA relevance).</w:t>
      </w:r>
    </w:p>
    <w:p w:rsidR="0037575C" w:rsidRPr="00223BF3" w:rsidRDefault="0037575C" w:rsidP="0037575C">
      <w:pPr>
        <w:pStyle w:val="EndnoteText"/>
        <w:numPr>
          <w:ilvl w:val="0"/>
          <w:numId w:val="15"/>
        </w:numPr>
      </w:pPr>
      <w:r w:rsidRPr="00223BF3">
        <w:t>Directive (EU) 2018/1808</w:t>
      </w:r>
    </w:p>
    <w:p w:rsidR="0037575C" w:rsidRPr="00223BF3" w:rsidRDefault="0037575C" w:rsidP="0037575C">
      <w:pPr>
        <w:pStyle w:val="EndnoteText"/>
        <w:numPr>
          <w:ilvl w:val="0"/>
          <w:numId w:val="15"/>
        </w:numPr>
        <w:jc w:val="both"/>
        <w:rPr>
          <w:lang w:val="en-GB"/>
        </w:rPr>
      </w:pPr>
      <w:r w:rsidRPr="00223BF3">
        <w:rPr>
          <w:lang w:val="en-GB"/>
        </w:rPr>
        <w:t xml:space="preserve">See: </w:t>
      </w:r>
      <w:hyperlink r:id="rId80" w:history="1">
        <w:r w:rsidRPr="00223BF3">
          <w:rPr>
            <w:rStyle w:val="Hyperlink"/>
          </w:rPr>
          <w:t>Regulation (EU) No 910/2014</w:t>
        </w:r>
      </w:hyperlink>
      <w:r w:rsidRPr="00223BF3">
        <w:rPr>
          <w:lang w:val="en-GB"/>
        </w:rPr>
        <w:t xml:space="preserve"> of the European Parliament and of the Council of 23 July 2014 on electronic identification and trust services for electronic transactions in the internal market and repealing Directive 1999/93/EC.</w:t>
      </w:r>
    </w:p>
    <w:p w:rsidR="0037575C" w:rsidRPr="00223BF3" w:rsidRDefault="0037575C" w:rsidP="0037575C">
      <w:pPr>
        <w:pStyle w:val="EndnoteText"/>
        <w:numPr>
          <w:ilvl w:val="0"/>
          <w:numId w:val="15"/>
        </w:numPr>
      </w:pPr>
      <w:r w:rsidRPr="00223BF3">
        <w:rPr>
          <w:lang w:val="en-GB"/>
        </w:rPr>
        <w:t xml:space="preserve">See: </w:t>
      </w:r>
      <w:hyperlink r:id="rId81" w:history="1">
        <w:r w:rsidRPr="00223BF3">
          <w:rPr>
            <w:rStyle w:val="Hyperlink"/>
          </w:rPr>
          <w:t>Regulation (EU) No 910/2014</w:t>
        </w:r>
      </w:hyperlink>
      <w:r w:rsidRPr="00223BF3">
        <w:rPr>
          <w:lang w:val="en-GB"/>
        </w:rPr>
        <w:t xml:space="preserve"> of the European Parliament and of the Council of 23 July 2014 on electronic identification and trust services for electronic transactions in the internal market and repealing Directive 1999/93/EC.</w:t>
      </w:r>
    </w:p>
    <w:p w:rsidR="0037575C" w:rsidRPr="00223BF3" w:rsidRDefault="0037575C" w:rsidP="0037575C">
      <w:pPr>
        <w:pStyle w:val="ListParagraph"/>
        <w:numPr>
          <w:ilvl w:val="0"/>
          <w:numId w:val="15"/>
        </w:numPr>
        <w:jc w:val="both"/>
        <w:rPr>
          <w:color w:val="1F497D"/>
          <w:sz w:val="20"/>
          <w:szCs w:val="20"/>
        </w:rPr>
      </w:pPr>
      <w:r w:rsidRPr="00223BF3">
        <w:rPr>
          <w:sz w:val="20"/>
          <w:szCs w:val="20"/>
        </w:rPr>
        <w:t xml:space="preserve">See: </w:t>
      </w:r>
      <w:hyperlink r:id="rId82" w:history="1">
        <w:r w:rsidRPr="00223BF3">
          <w:rPr>
            <w:rStyle w:val="Hyperlink"/>
            <w:sz w:val="20"/>
            <w:szCs w:val="20"/>
            <w:lang w:val="en-IE"/>
          </w:rPr>
          <w:t>Register of Commission Documents</w:t>
        </w:r>
      </w:hyperlink>
      <w:r w:rsidRPr="00223BF3">
        <w:rPr>
          <w:sz w:val="20"/>
          <w:szCs w:val="20"/>
        </w:rPr>
        <w:t xml:space="preserve">. </w:t>
      </w:r>
    </w:p>
    <w:p w:rsidR="0037575C" w:rsidRPr="00223BF3" w:rsidRDefault="0037575C" w:rsidP="0037575C">
      <w:pPr>
        <w:pStyle w:val="EndnoteText"/>
        <w:numPr>
          <w:ilvl w:val="0"/>
          <w:numId w:val="15"/>
        </w:numPr>
        <w:jc w:val="both"/>
      </w:pPr>
      <w:r w:rsidRPr="00223BF3">
        <w:t>Accessibility of buses was also explored in the 2021 study on the “</w:t>
      </w:r>
      <w:hyperlink r:id="rId83" w:history="1">
        <w:r w:rsidRPr="00223BF3">
          <w:rPr>
            <w:rStyle w:val="Hyperlink"/>
            <w:lang w:val="en-IE"/>
          </w:rPr>
          <w:t>EU Framework for Passenger Rights. Part B, Evaluation of Regulation (EU) No 181/2011 on the rights of passengers travelling by bus and coach</w:t>
        </w:r>
      </w:hyperlink>
      <w:r w:rsidRPr="00223BF3">
        <w:t xml:space="preserve">.” </w:t>
      </w:r>
    </w:p>
    <w:p w:rsidR="0037575C" w:rsidRPr="00223BF3" w:rsidRDefault="0037575C" w:rsidP="0037575C">
      <w:pPr>
        <w:pStyle w:val="EndnoteText"/>
        <w:numPr>
          <w:ilvl w:val="0"/>
          <w:numId w:val="15"/>
        </w:numPr>
        <w:jc w:val="both"/>
      </w:pPr>
      <w:r w:rsidRPr="00223BF3">
        <w:t xml:space="preserve"> </w:t>
      </w:r>
      <w:hyperlink r:id="rId84" w:history="1">
        <w:r w:rsidRPr="00223BF3">
          <w:rPr>
            <w:rStyle w:val="Hyperlink"/>
            <w:lang w:val="en-IE"/>
          </w:rPr>
          <w:t>Directive 2009/45/EC</w:t>
        </w:r>
      </w:hyperlink>
      <w:r w:rsidRPr="00223BF3">
        <w:t xml:space="preserve"> of the European Parliament and of the Council of 6 May 2009 on safety rules and standards for passenger ships is concerned with the accessibility of certain maritime passenger ships.</w:t>
      </w:r>
    </w:p>
    <w:p w:rsidR="0037575C" w:rsidRPr="00223BF3" w:rsidRDefault="0037575C" w:rsidP="0037575C">
      <w:pPr>
        <w:pStyle w:val="EndnoteText"/>
        <w:numPr>
          <w:ilvl w:val="0"/>
          <w:numId w:val="15"/>
        </w:numPr>
        <w:jc w:val="both"/>
      </w:pPr>
      <w:r w:rsidRPr="00223BF3">
        <w:t xml:space="preserve"> </w:t>
      </w:r>
      <w:hyperlink r:id="rId85" w:history="1">
        <w:r w:rsidRPr="00223BF3">
          <w:rPr>
            <w:rStyle w:val="Hyperlink"/>
            <w:lang w:val="en-IE"/>
          </w:rPr>
          <w:t>Commission Regulation (EU) 1300/2014</w:t>
        </w:r>
      </w:hyperlink>
      <w:r w:rsidRPr="00223BF3">
        <w:t xml:space="preserve"> on the technical specifications for interoperability relating to accessibility of the Union’s rail system for persons with disabilities and persons with reduced mobility (also called “TSI-PRM”) deals with the accessibility of trains and railway stations in Europe.</w:t>
      </w:r>
    </w:p>
    <w:p w:rsidR="0037575C" w:rsidRPr="00223BF3" w:rsidRDefault="0037575C" w:rsidP="0037575C">
      <w:pPr>
        <w:pStyle w:val="EndnoteText"/>
        <w:numPr>
          <w:ilvl w:val="0"/>
          <w:numId w:val="15"/>
        </w:numPr>
        <w:jc w:val="both"/>
      </w:pPr>
      <w:r w:rsidRPr="00223BF3">
        <w:t xml:space="preserve">See: </w:t>
      </w:r>
      <w:hyperlink r:id="rId86" w:history="1">
        <w:r w:rsidRPr="00223BF3">
          <w:rPr>
            <w:rStyle w:val="Hyperlink"/>
            <w:lang w:val="en-IE"/>
          </w:rPr>
          <w:t>Standardisation request M/587</w:t>
        </w:r>
      </w:hyperlink>
    </w:p>
    <w:p w:rsidR="0037575C" w:rsidRPr="00223BF3" w:rsidRDefault="0037575C" w:rsidP="0037575C">
      <w:pPr>
        <w:pStyle w:val="EndnoteText"/>
        <w:numPr>
          <w:ilvl w:val="0"/>
          <w:numId w:val="15"/>
        </w:numPr>
        <w:jc w:val="both"/>
      </w:pPr>
      <w:r w:rsidRPr="00223BF3">
        <w:t xml:space="preserve">See: </w:t>
      </w:r>
      <w:hyperlink r:id="rId87" w:history="1">
        <w:r w:rsidRPr="00223BF3">
          <w:rPr>
            <w:rStyle w:val="Hyperlink"/>
            <w:lang w:val="en-IE"/>
          </w:rPr>
          <w:t>CEN-CENELEC Guide 6</w:t>
        </w:r>
      </w:hyperlink>
      <w:r w:rsidRPr="00223BF3">
        <w:t>.</w:t>
      </w:r>
    </w:p>
    <w:p w:rsidR="0037575C" w:rsidRPr="00223BF3" w:rsidRDefault="0037575C" w:rsidP="0037575C">
      <w:pPr>
        <w:pStyle w:val="EndnoteText"/>
        <w:numPr>
          <w:ilvl w:val="0"/>
          <w:numId w:val="15"/>
        </w:numPr>
      </w:pPr>
      <w:r w:rsidRPr="00223BF3">
        <w:t xml:space="preserve">See: </w:t>
      </w:r>
      <w:hyperlink r:id="rId88" w:history="1">
        <w:r w:rsidRPr="00223BF3">
          <w:rPr>
            <w:rStyle w:val="Hyperlink"/>
            <w:lang w:val="en-IE"/>
          </w:rPr>
          <w:t>Buying Social - a guide to taking account of social considerations in public procurement (2nd edition)</w:t>
        </w:r>
      </w:hyperlink>
      <w:r w:rsidRPr="00223BF3">
        <w:t xml:space="preserve">. </w:t>
      </w:r>
    </w:p>
    <w:p w:rsidR="0037575C" w:rsidRPr="00223BF3" w:rsidRDefault="0037575C" w:rsidP="0037575C">
      <w:pPr>
        <w:pStyle w:val="EndnoteText"/>
        <w:numPr>
          <w:ilvl w:val="0"/>
          <w:numId w:val="15"/>
        </w:numPr>
        <w:rPr>
          <w:lang w:val="fr-BE"/>
        </w:rPr>
      </w:pPr>
      <w:r w:rsidRPr="00223BF3">
        <w:rPr>
          <w:lang w:val="en-GB"/>
        </w:rPr>
        <w:t xml:space="preserve"> </w:t>
      </w:r>
      <w:hyperlink r:id="rId89" w:history="1">
        <w:r w:rsidRPr="00223BF3">
          <w:rPr>
            <w:rStyle w:val="Hyperlink"/>
            <w:lang w:val="fr-BE"/>
          </w:rPr>
          <w:t>Directive 2014/24/EU</w:t>
        </w:r>
      </w:hyperlink>
      <w:r w:rsidRPr="00223BF3">
        <w:rPr>
          <w:lang w:val="fr-BE"/>
        </w:rPr>
        <w:t xml:space="preserve"> and </w:t>
      </w:r>
      <w:hyperlink r:id="rId90" w:history="1">
        <w:r w:rsidRPr="00223BF3">
          <w:rPr>
            <w:rStyle w:val="Hyperlink"/>
            <w:lang w:val="fr-BE"/>
          </w:rPr>
          <w:t>Directive 2014/25/EU</w:t>
        </w:r>
      </w:hyperlink>
      <w:r w:rsidRPr="00223BF3">
        <w:rPr>
          <w:lang w:val="fr-BE"/>
        </w:rPr>
        <w:t xml:space="preserve">.. </w:t>
      </w:r>
    </w:p>
    <w:p w:rsidR="0037575C" w:rsidRPr="00223BF3" w:rsidRDefault="0037575C" w:rsidP="0037575C">
      <w:pPr>
        <w:pStyle w:val="EndnoteText"/>
        <w:numPr>
          <w:ilvl w:val="0"/>
          <w:numId w:val="15"/>
        </w:numPr>
      </w:pPr>
      <w:r w:rsidRPr="00223BF3">
        <w:t xml:space="preserve">See: </w:t>
      </w:r>
      <w:hyperlink r:id="rId91" w:history="1">
        <w:r w:rsidRPr="00223BF3">
          <w:rPr>
            <w:rStyle w:val="Hyperlink"/>
            <w:lang w:val="en-IE"/>
          </w:rPr>
          <w:t>EU Growth webinars</w:t>
        </w:r>
      </w:hyperlink>
      <w:r w:rsidRPr="00223BF3">
        <w:t>.</w:t>
      </w:r>
    </w:p>
    <w:p w:rsidR="0037575C" w:rsidRPr="00223BF3" w:rsidRDefault="0037575C" w:rsidP="0037575C">
      <w:pPr>
        <w:pStyle w:val="ListParagraph"/>
        <w:numPr>
          <w:ilvl w:val="0"/>
          <w:numId w:val="15"/>
        </w:numPr>
        <w:jc w:val="both"/>
        <w:rPr>
          <w:sz w:val="20"/>
          <w:szCs w:val="20"/>
        </w:rPr>
      </w:pPr>
      <w:r w:rsidRPr="00223BF3">
        <w:rPr>
          <w:sz w:val="20"/>
          <w:szCs w:val="20"/>
        </w:rPr>
        <w:t xml:space="preserve">The Regulation is applicable to the general budget of the Union. Article 17 on Technical specifications, point 17.1 states that technical specifications shall include the characteristics required for works, supplies or services, including minimum requirements, so that they fulfil the use for which they are intended by the contracting authority. </w:t>
      </w:r>
    </w:p>
    <w:p w:rsidR="0037575C" w:rsidRPr="00223BF3" w:rsidRDefault="0037575C" w:rsidP="0037575C">
      <w:pPr>
        <w:pStyle w:val="EndnoteText"/>
        <w:numPr>
          <w:ilvl w:val="0"/>
          <w:numId w:val="15"/>
        </w:numPr>
        <w:jc w:val="both"/>
      </w:pPr>
      <w:r w:rsidRPr="00223BF3">
        <w:t xml:space="preserve">See: </w:t>
      </w:r>
      <w:hyperlink r:id="rId92" w:history="1">
        <w:r w:rsidRPr="00223BF3">
          <w:rPr>
            <w:rStyle w:val="Hyperlink"/>
            <w:lang w:val="en-IE"/>
          </w:rPr>
          <w:t>Web accessibility action plan</w:t>
        </w:r>
      </w:hyperlink>
      <w:r w:rsidRPr="00223BF3">
        <w:t xml:space="preserve">. </w:t>
      </w:r>
    </w:p>
    <w:p w:rsidR="0037575C" w:rsidRPr="00223BF3" w:rsidRDefault="0037575C" w:rsidP="0037575C">
      <w:pPr>
        <w:pStyle w:val="EndnoteText"/>
        <w:numPr>
          <w:ilvl w:val="0"/>
          <w:numId w:val="15"/>
        </w:numPr>
        <w:jc w:val="both"/>
      </w:pPr>
      <w:r w:rsidRPr="00223BF3">
        <w:rPr>
          <w:lang w:val="en-GB"/>
        </w:rPr>
        <w:t> </w:t>
      </w:r>
      <w:hyperlink r:id="rId93" w:history="1">
        <w:r w:rsidRPr="00223BF3">
          <w:rPr>
            <w:rStyle w:val="Hyperlink"/>
            <w:lang w:val="en-IE"/>
          </w:rPr>
          <w:t>Directive (EU) 2016/2102</w:t>
        </w:r>
      </w:hyperlink>
      <w:r w:rsidRPr="00223BF3">
        <w:t xml:space="preserve"> of the European Parliament and of the Council of 26 October 2016 on the accessibility of the websites and mobile applications of public sector bodies. Although this Directive does not apply to the websites and mobile applications of Union institutions, those institutions are encouraged to comply with the accessibility requirements set out in this Directive. </w:t>
      </w:r>
    </w:p>
    <w:p w:rsidR="0037575C" w:rsidRPr="00223BF3" w:rsidRDefault="0037575C" w:rsidP="0037575C">
      <w:pPr>
        <w:pStyle w:val="EndnoteText"/>
        <w:numPr>
          <w:ilvl w:val="0"/>
          <w:numId w:val="15"/>
        </w:numPr>
        <w:jc w:val="both"/>
      </w:pPr>
      <w:r w:rsidRPr="00223BF3">
        <w:t xml:space="preserve">The </w:t>
      </w:r>
      <w:r w:rsidRPr="00223BF3">
        <w:rPr>
          <w:lang w:val="en-GB"/>
        </w:rPr>
        <w:t xml:space="preserve">Commission </w:t>
      </w:r>
      <w:r w:rsidRPr="00223BF3">
        <w:t>strives to ensure its websites, online content, and audio-visual products are fully accessible to persons who have visual, hearing, motor or cognitive disabilities.</w:t>
      </w:r>
    </w:p>
    <w:p w:rsidR="0037575C" w:rsidRPr="00223BF3" w:rsidRDefault="0037575C" w:rsidP="0037575C">
      <w:pPr>
        <w:pStyle w:val="EndnoteText"/>
        <w:numPr>
          <w:ilvl w:val="0"/>
          <w:numId w:val="15"/>
        </w:numPr>
        <w:jc w:val="both"/>
      </w:pPr>
      <w:r w:rsidRPr="00223BF3">
        <w:t xml:space="preserve">See: </w:t>
      </w:r>
      <w:hyperlink r:id="rId94" w:history="1">
        <w:r w:rsidRPr="00223BF3">
          <w:rPr>
            <w:rStyle w:val="Hyperlink"/>
            <w:lang w:val="en-IE"/>
          </w:rPr>
          <w:t>Europa Web Guide: 12. Accessibility</w:t>
        </w:r>
      </w:hyperlink>
      <w:r w:rsidRPr="00223BF3">
        <w:t xml:space="preserve">. </w:t>
      </w:r>
    </w:p>
    <w:p w:rsidR="0037575C" w:rsidRPr="00223BF3" w:rsidRDefault="0037575C" w:rsidP="0037575C">
      <w:pPr>
        <w:pStyle w:val="ListParagraph"/>
        <w:numPr>
          <w:ilvl w:val="0"/>
          <w:numId w:val="15"/>
        </w:numPr>
        <w:jc w:val="both"/>
        <w:rPr>
          <w:sz w:val="20"/>
          <w:szCs w:val="20"/>
        </w:rPr>
      </w:pPr>
      <w:r w:rsidRPr="00223BF3">
        <w:rPr>
          <w:sz w:val="20"/>
          <w:szCs w:val="20"/>
        </w:rPr>
        <w:t xml:space="preserve">Compliance with the international standards improves accessibility across the entire web presence of the </w:t>
      </w:r>
      <w:r w:rsidRPr="00223BF3">
        <w:rPr>
          <w:sz w:val="20"/>
          <w:szCs w:val="20"/>
          <w:lang w:val="en-GB"/>
        </w:rPr>
        <w:t xml:space="preserve">Commission </w:t>
      </w:r>
      <w:r w:rsidRPr="00223BF3">
        <w:rPr>
          <w:sz w:val="20"/>
          <w:szCs w:val="20"/>
        </w:rPr>
        <w:t xml:space="preserve">, enabling persons with disabilities to access, use, understand, and interact with </w:t>
      </w:r>
      <w:r w:rsidRPr="00223BF3">
        <w:rPr>
          <w:sz w:val="20"/>
          <w:szCs w:val="20"/>
          <w:lang w:val="en-GB"/>
        </w:rPr>
        <w:t xml:space="preserve">Commission </w:t>
      </w:r>
      <w:r w:rsidRPr="00223BF3">
        <w:rPr>
          <w:sz w:val="20"/>
          <w:szCs w:val="20"/>
        </w:rPr>
        <w:t xml:space="preserve">websites, mobile applications, and all the digital content published on the </w:t>
      </w:r>
      <w:r w:rsidRPr="00223BF3">
        <w:rPr>
          <w:sz w:val="20"/>
          <w:szCs w:val="20"/>
          <w:lang w:val="en-GB"/>
        </w:rPr>
        <w:t xml:space="preserve">Commission </w:t>
      </w:r>
      <w:r w:rsidRPr="00223BF3">
        <w:rPr>
          <w:sz w:val="20"/>
          <w:szCs w:val="20"/>
        </w:rPr>
        <w:t>websites on an equal basis with other users.</w:t>
      </w:r>
    </w:p>
    <w:p w:rsidR="0037575C" w:rsidRPr="00223BF3" w:rsidRDefault="0037575C" w:rsidP="0037575C">
      <w:pPr>
        <w:pStyle w:val="paragraph"/>
        <w:numPr>
          <w:ilvl w:val="0"/>
          <w:numId w:val="15"/>
        </w:numPr>
        <w:spacing w:before="0" w:beforeAutospacing="0" w:after="0" w:afterAutospacing="0"/>
        <w:jc w:val="both"/>
        <w:textAlignment w:val="baseline"/>
        <w:rPr>
          <w:rFonts w:eastAsiaTheme="minorHAnsi"/>
          <w:sz w:val="20"/>
          <w:szCs w:val="20"/>
          <w:lang w:val="en-IE"/>
        </w:rPr>
      </w:pPr>
      <w:r w:rsidRPr="00223BF3">
        <w:rPr>
          <w:rFonts w:eastAsiaTheme="minorHAnsi"/>
          <w:sz w:val="20"/>
          <w:szCs w:val="20"/>
          <w:lang w:val="en-IE"/>
        </w:rPr>
        <w:t xml:space="preserve">The Europa “europa.eu” domain belongs to the “.eu” top-level domains established by </w:t>
      </w:r>
      <w:hyperlink r:id="rId95" w:history="1">
        <w:r w:rsidRPr="00223BF3">
          <w:rPr>
            <w:rStyle w:val="Hyperlink"/>
            <w:rFonts w:eastAsiaTheme="minorHAnsi"/>
            <w:sz w:val="20"/>
            <w:szCs w:val="20"/>
            <w:lang w:val="en-IE"/>
          </w:rPr>
          <w:t>Regulation EC 733/2002</w:t>
        </w:r>
      </w:hyperlink>
      <w:r w:rsidRPr="00223BF3">
        <w:rPr>
          <w:rFonts w:eastAsiaTheme="minorHAnsi"/>
          <w:sz w:val="20"/>
          <w:szCs w:val="20"/>
          <w:lang w:val="en-IE"/>
        </w:rPr>
        <w:t xml:space="preserve"> and managed by the </w:t>
      </w:r>
      <w:r w:rsidRPr="00223BF3">
        <w:rPr>
          <w:sz w:val="20"/>
          <w:szCs w:val="20"/>
          <w:lang w:val="en-GB"/>
        </w:rPr>
        <w:t xml:space="preserve">Commission </w:t>
      </w:r>
      <w:r w:rsidRPr="00223BF3">
        <w:rPr>
          <w:rFonts w:eastAsiaTheme="minorHAnsi"/>
          <w:sz w:val="20"/>
          <w:szCs w:val="20"/>
          <w:lang w:val="en-IE"/>
        </w:rPr>
        <w:t xml:space="preserve">on behalf of all EU institutions. Among several benefits of using the domain are the security standards required by the </w:t>
      </w:r>
      <w:r w:rsidRPr="00223BF3">
        <w:rPr>
          <w:sz w:val="20"/>
          <w:szCs w:val="20"/>
          <w:lang w:val="en-GB"/>
        </w:rPr>
        <w:t xml:space="preserve">Commission </w:t>
      </w:r>
      <w:r w:rsidRPr="00223BF3">
        <w:rPr>
          <w:rFonts w:eastAsiaTheme="minorHAnsi"/>
          <w:sz w:val="20"/>
          <w:szCs w:val="20"/>
          <w:lang w:val="en-IE"/>
        </w:rPr>
        <w:t xml:space="preserve">’s IT department that protect the web content as well as the guarantee that the web content respects the EU’s own </w:t>
      </w:r>
      <w:hyperlink r:id="rId96" w:tgtFrame="_blank" w:history="1">
        <w:r w:rsidRPr="00223BF3">
          <w:rPr>
            <w:rFonts w:eastAsiaTheme="minorHAnsi"/>
            <w:sz w:val="20"/>
            <w:szCs w:val="20"/>
            <w:lang w:val="en-IE"/>
          </w:rPr>
          <w:t>data protection</w:t>
        </w:r>
      </w:hyperlink>
      <w:r w:rsidRPr="00223BF3">
        <w:rPr>
          <w:rFonts w:eastAsiaTheme="minorHAnsi"/>
          <w:sz w:val="20"/>
          <w:szCs w:val="20"/>
          <w:lang w:val="en-IE"/>
        </w:rPr>
        <w:t xml:space="preserve"> and </w:t>
      </w:r>
      <w:hyperlink r:id="rId97" w:tgtFrame="_blank" w:history="1">
        <w:r w:rsidRPr="00223BF3">
          <w:rPr>
            <w:rFonts w:eastAsiaTheme="minorHAnsi"/>
            <w:sz w:val="20"/>
            <w:szCs w:val="20"/>
            <w:lang w:val="en-IE"/>
          </w:rPr>
          <w:t>accessibility</w:t>
        </w:r>
      </w:hyperlink>
      <w:r w:rsidRPr="00223BF3">
        <w:rPr>
          <w:rFonts w:eastAsiaTheme="minorHAnsi"/>
          <w:sz w:val="20"/>
          <w:szCs w:val="20"/>
          <w:lang w:val="en-IE"/>
        </w:rPr>
        <w:t xml:space="preserve"> rules following the legal standards applied on Europa.  </w:t>
      </w:r>
    </w:p>
    <w:p w:rsidR="0037575C" w:rsidRPr="00223BF3" w:rsidRDefault="0037575C" w:rsidP="0037575C">
      <w:pPr>
        <w:pStyle w:val="EndnoteText"/>
        <w:numPr>
          <w:ilvl w:val="0"/>
          <w:numId w:val="15"/>
        </w:numPr>
      </w:pPr>
      <w:r w:rsidRPr="00223BF3">
        <w:t>See: Web Accessibility Initiative – Communities of Practice (</w:t>
      </w:r>
      <w:hyperlink r:id="rId98" w:history="1">
        <w:r w:rsidRPr="00223BF3">
          <w:rPr>
            <w:rStyle w:val="Hyperlink"/>
            <w:lang w:val="en-IE"/>
          </w:rPr>
          <w:t>WAI-CooP</w:t>
        </w:r>
      </w:hyperlink>
      <w:r w:rsidRPr="00223BF3">
        <w:t>) (2021-2023); Authoritative Implementation Guidance and International Cooperation to Support Training, Awareness Raising, and Capacity Building (</w:t>
      </w:r>
      <w:hyperlink r:id="rId99" w:anchor=":~:text=WAI%2DGuide%20draws%20together%20expertise,and%20recognized%20as%20authoritative%20references." w:history="1">
        <w:r w:rsidRPr="00223BF3">
          <w:rPr>
            <w:rStyle w:val="Hyperlink"/>
            <w:lang w:val="en-IE"/>
          </w:rPr>
          <w:t>WAI-Guide</w:t>
        </w:r>
      </w:hyperlink>
      <w:r w:rsidRPr="00223BF3">
        <w:t xml:space="preserve">) Project (2019-2022). </w:t>
      </w:r>
    </w:p>
    <w:p w:rsidR="0037575C" w:rsidRPr="00223BF3" w:rsidRDefault="0037575C" w:rsidP="0037575C">
      <w:pPr>
        <w:pStyle w:val="EndnoteText"/>
        <w:numPr>
          <w:ilvl w:val="0"/>
          <w:numId w:val="15"/>
        </w:numPr>
        <w:jc w:val="both"/>
      </w:pPr>
      <w:r w:rsidRPr="00223BF3">
        <w:t>8 projects have been launched since 2014 – 6 of them are closed now, among which SUITCEYES was for the deafblind;</w:t>
      </w:r>
    </w:p>
    <w:p w:rsidR="0037575C" w:rsidRPr="00223BF3" w:rsidRDefault="0037575C" w:rsidP="0037575C">
      <w:pPr>
        <w:pStyle w:val="EndnoteText"/>
        <w:numPr>
          <w:ilvl w:val="0"/>
          <w:numId w:val="15"/>
        </w:numPr>
      </w:pPr>
      <w:r w:rsidRPr="00223BF3">
        <w:t xml:space="preserve">See: </w:t>
      </w:r>
      <w:hyperlink r:id="rId100" w:history="1">
        <w:r w:rsidRPr="00223BF3">
          <w:rPr>
            <w:rStyle w:val="Hyperlink"/>
            <w:lang w:val="en-IE"/>
          </w:rPr>
          <w:t>EASIER – Intelligent Automatic Sign Language Translation</w:t>
        </w:r>
      </w:hyperlink>
    </w:p>
    <w:p w:rsidR="0037575C" w:rsidRPr="00223BF3" w:rsidRDefault="0037575C" w:rsidP="0037575C">
      <w:pPr>
        <w:pStyle w:val="EndnoteText"/>
        <w:numPr>
          <w:ilvl w:val="0"/>
          <w:numId w:val="15"/>
        </w:numPr>
      </w:pPr>
      <w:r w:rsidRPr="00223BF3">
        <w:t xml:space="preserve">See: </w:t>
      </w:r>
      <w:hyperlink r:id="rId101" w:history="1">
        <w:r w:rsidRPr="00223BF3">
          <w:rPr>
            <w:rStyle w:val="Hyperlink"/>
            <w:lang w:val="en-IE"/>
          </w:rPr>
          <w:t>SignON – Sign Language Translation Mobile Application and Open Communications Framework</w:t>
        </w:r>
      </w:hyperlink>
    </w:p>
    <w:p w:rsidR="0037575C" w:rsidRPr="00223BF3" w:rsidRDefault="0037575C" w:rsidP="0037575C">
      <w:pPr>
        <w:pStyle w:val="EndnoteText"/>
        <w:numPr>
          <w:ilvl w:val="0"/>
          <w:numId w:val="15"/>
        </w:numPr>
        <w:jc w:val="both"/>
      </w:pPr>
      <w:r w:rsidRPr="00223BF3">
        <w:t>5 projects (all concluded) aimed to help patients with Parkinson’s, or to facilitate grasping, or to give persons with severe motor disabilities the ability to control multimedia interfaces with the eyes and mind.</w:t>
      </w:r>
    </w:p>
    <w:p w:rsidR="0037575C" w:rsidRPr="00223BF3" w:rsidRDefault="0037575C" w:rsidP="0037575C">
      <w:pPr>
        <w:pStyle w:val="EndnoteText"/>
        <w:numPr>
          <w:ilvl w:val="0"/>
          <w:numId w:val="15"/>
        </w:numPr>
        <w:jc w:val="both"/>
      </w:pPr>
      <w:r w:rsidRPr="00223BF3">
        <w:t>9 projects, ranging from Easy Reading that translates online content to an easy-to-read version to tools enabling people with cerebral palsy, ADHD, autism, intellectual disabilities, and Down’s syndrome to better access digital and social life.</w:t>
      </w:r>
    </w:p>
    <w:p w:rsidR="0037575C" w:rsidRPr="00223BF3" w:rsidRDefault="0037575C" w:rsidP="0037575C">
      <w:pPr>
        <w:pStyle w:val="EndnoteText"/>
        <w:numPr>
          <w:ilvl w:val="0"/>
          <w:numId w:val="15"/>
        </w:numPr>
        <w:jc w:val="both"/>
      </w:pPr>
      <w:r w:rsidRPr="00223BF3">
        <w:t xml:space="preserve">See: </w:t>
      </w:r>
      <w:hyperlink r:id="rId102" w:history="1">
        <w:r w:rsidRPr="00223BF3">
          <w:rPr>
            <w:rStyle w:val="Hyperlink"/>
            <w:lang w:val="en-IE"/>
          </w:rPr>
          <w:t>The Digital Services Act package</w:t>
        </w:r>
      </w:hyperlink>
      <w:r w:rsidRPr="00223BF3">
        <w:t xml:space="preserve">. </w:t>
      </w:r>
    </w:p>
    <w:p w:rsidR="0037575C" w:rsidRPr="00223BF3" w:rsidRDefault="0037575C" w:rsidP="0037575C">
      <w:pPr>
        <w:pStyle w:val="EndnoteText"/>
        <w:numPr>
          <w:ilvl w:val="0"/>
          <w:numId w:val="15"/>
        </w:numPr>
        <w:jc w:val="both"/>
      </w:pPr>
      <w:r w:rsidRPr="00223BF3">
        <w:t>The aim is to address at least the following objectives: (a) designing and adapting services to make them accessible to persons with disabilities by making them perceivable, operable, understandable and robust; (b) explaining how the services meet the applicable accessibility requirements and making this information available to the public in an accessible manner for persons with disabilities; and (c) making information, forms and measures provided pursuant to this Regulation available in such a manner that they are easy to find, easy to understand, and accessible to persons with disabilities.</w:t>
      </w:r>
    </w:p>
    <w:p w:rsidR="0037575C" w:rsidRPr="00223BF3" w:rsidRDefault="0037575C" w:rsidP="0037575C">
      <w:pPr>
        <w:pStyle w:val="EndnoteText"/>
        <w:numPr>
          <w:ilvl w:val="0"/>
          <w:numId w:val="15"/>
        </w:numPr>
        <w:jc w:val="both"/>
      </w:pPr>
      <w:r w:rsidRPr="00223BF3">
        <w:t xml:space="preserve"> </w:t>
      </w:r>
      <w:hyperlink r:id="rId103" w:history="1">
        <w:r w:rsidRPr="00223BF3">
          <w:rPr>
            <w:rStyle w:val="Hyperlink"/>
            <w:lang w:val="en-IE"/>
          </w:rPr>
          <w:t>Directive (EU) 2018/1972</w:t>
        </w:r>
      </w:hyperlink>
      <w:r w:rsidRPr="00223BF3">
        <w:t xml:space="preserve"> of the European Parliament and of the Council of 11 December 2018 establishing the European Electronic Communications Code (Recast).</w:t>
      </w:r>
    </w:p>
    <w:p w:rsidR="0037575C" w:rsidRPr="00223BF3" w:rsidRDefault="0037575C" w:rsidP="0037575C">
      <w:pPr>
        <w:pStyle w:val="EndnoteText"/>
        <w:numPr>
          <w:ilvl w:val="0"/>
          <w:numId w:val="15"/>
        </w:numPr>
        <w:jc w:val="both"/>
      </w:pPr>
      <w:r w:rsidRPr="00223BF3">
        <w:rPr>
          <w:color w:val="000000" w:themeColor="text1"/>
        </w:rPr>
        <w:t>Commission proposal for a Regulation of the European Parliament and of the Council Laying Down Harmonised Rules on Artificial Intelligence (Artificial Intelligence Act) and Amending Certain Union Legislative Acts (</w:t>
      </w:r>
      <w:hyperlink r:id="rId104" w:history="1">
        <w:r w:rsidRPr="00223BF3">
          <w:rPr>
            <w:rStyle w:val="Hyperlink"/>
            <w:shd w:val="clear" w:color="auto" w:fill="FFFFFF"/>
            <w:lang w:val="en-IE"/>
          </w:rPr>
          <w:t>COM/2021/206 final</w:t>
        </w:r>
      </w:hyperlink>
      <w:r w:rsidRPr="00223BF3">
        <w:rPr>
          <w:color w:val="000000" w:themeColor="text1"/>
          <w:shd w:val="clear" w:color="auto" w:fill="FFFFFF"/>
        </w:rPr>
        <w:t xml:space="preserve">). </w:t>
      </w:r>
    </w:p>
    <w:p w:rsidR="0037575C" w:rsidRPr="00223BF3" w:rsidRDefault="0037575C" w:rsidP="0037575C">
      <w:pPr>
        <w:pStyle w:val="EndnoteText"/>
        <w:numPr>
          <w:ilvl w:val="0"/>
          <w:numId w:val="15"/>
        </w:numPr>
      </w:pPr>
      <w:r w:rsidRPr="00223BF3">
        <w:t xml:space="preserve">September 2020 under the New Pact on </w:t>
      </w:r>
      <w:hyperlink r:id="rId105" w:history="1">
        <w:r w:rsidRPr="00223BF3">
          <w:rPr>
            <w:rStyle w:val="Hyperlink"/>
            <w:lang w:val="en-IE"/>
          </w:rPr>
          <w:t>Migration and Asylum</w:t>
        </w:r>
      </w:hyperlink>
      <w:r w:rsidRPr="00223BF3">
        <w:t xml:space="preserve">. </w:t>
      </w:r>
    </w:p>
    <w:p w:rsidR="0037575C" w:rsidRPr="00223BF3" w:rsidRDefault="0037575C" w:rsidP="0037575C">
      <w:pPr>
        <w:pStyle w:val="EndnoteText"/>
        <w:numPr>
          <w:ilvl w:val="0"/>
          <w:numId w:val="15"/>
        </w:numPr>
      </w:pPr>
      <w:r w:rsidRPr="00223BF3">
        <w:t xml:space="preserve">See: </w:t>
      </w:r>
      <w:hyperlink r:id="rId106" w:history="1">
        <w:r w:rsidRPr="00223BF3">
          <w:rPr>
            <w:rStyle w:val="Hyperlink"/>
            <w:lang w:val="en-IE"/>
          </w:rPr>
          <w:t>European Climate Pact</w:t>
        </w:r>
      </w:hyperlink>
      <w:r w:rsidRPr="00223BF3">
        <w:t xml:space="preserve">. </w:t>
      </w:r>
    </w:p>
    <w:p w:rsidR="0037575C" w:rsidRPr="00223BF3" w:rsidRDefault="0037575C" w:rsidP="0037575C">
      <w:pPr>
        <w:pStyle w:val="EndnoteText"/>
        <w:numPr>
          <w:ilvl w:val="0"/>
          <w:numId w:val="15"/>
        </w:numPr>
        <w:jc w:val="both"/>
      </w:pPr>
      <w:r w:rsidRPr="00223BF3">
        <w:t xml:space="preserve">EDF has been encouraged to become a European Climate Pact Ambassador. </w:t>
      </w:r>
    </w:p>
    <w:p w:rsidR="0037575C" w:rsidRPr="00223BF3" w:rsidRDefault="0037575C" w:rsidP="0037575C">
      <w:pPr>
        <w:pStyle w:val="EndnoteText"/>
        <w:numPr>
          <w:ilvl w:val="0"/>
          <w:numId w:val="15"/>
        </w:numPr>
        <w:jc w:val="both"/>
        <w:rPr>
          <w:lang w:val="en-GB"/>
        </w:rPr>
      </w:pPr>
      <w:r w:rsidRPr="00223BF3">
        <w:rPr>
          <w:lang w:val="en-GB"/>
        </w:rPr>
        <w:t xml:space="preserve">See: </w:t>
      </w:r>
      <w:hyperlink r:id="rId107" w:anchor="contact" w:history="1">
        <w:r w:rsidRPr="00223BF3">
          <w:rPr>
            <w:rStyle w:val="Hyperlink"/>
          </w:rPr>
          <w:t>Rinaldo Pinto – European Climate Pact Ambassador in Italy</w:t>
        </w:r>
      </w:hyperlink>
      <w:r w:rsidRPr="00223BF3">
        <w:rPr>
          <w:color w:val="000000" w:themeColor="text1"/>
          <w:lang w:val="en-GB"/>
        </w:rPr>
        <w:t xml:space="preserve">.  </w:t>
      </w:r>
    </w:p>
    <w:p w:rsidR="0037575C" w:rsidRPr="00223BF3" w:rsidRDefault="0037575C" w:rsidP="0037575C">
      <w:pPr>
        <w:pStyle w:val="EndnoteText"/>
        <w:numPr>
          <w:ilvl w:val="0"/>
          <w:numId w:val="15"/>
        </w:numPr>
        <w:jc w:val="both"/>
      </w:pPr>
      <w:r w:rsidRPr="00223BF3">
        <w:t>Communication from the Commission to the European Parliament, the Council, the European Economic and Social Committee and the Committee of the Regions Forging a Climate-Resilient Europe (</w:t>
      </w:r>
      <w:hyperlink r:id="rId108" w:history="1">
        <w:r w:rsidRPr="00223BF3">
          <w:rPr>
            <w:rStyle w:val="Hyperlink"/>
            <w:lang w:val="en-IE"/>
          </w:rPr>
          <w:t>COM/2021/82 Final</w:t>
        </w:r>
      </w:hyperlink>
      <w:r w:rsidRPr="00223BF3">
        <w:t xml:space="preserve">). </w:t>
      </w:r>
    </w:p>
    <w:p w:rsidR="0037575C" w:rsidRPr="00223BF3" w:rsidRDefault="0037575C" w:rsidP="0037575C">
      <w:pPr>
        <w:pStyle w:val="ListParagraph"/>
        <w:numPr>
          <w:ilvl w:val="0"/>
          <w:numId w:val="15"/>
        </w:numPr>
        <w:rPr>
          <w:sz w:val="20"/>
          <w:szCs w:val="20"/>
        </w:rPr>
      </w:pPr>
      <w:r w:rsidRPr="00223BF3">
        <w:rPr>
          <w:sz w:val="20"/>
          <w:szCs w:val="20"/>
        </w:rPr>
        <w:t xml:space="preserve">INTPA commitments on funding of the UNPRPD is under the financing decision C(2022)6137 Annex 13. Other ccommitments were undertaken in relevant equality strategies and can be found under: the </w:t>
      </w:r>
      <w:hyperlink r:id="rId109" w:history="1">
        <w:r w:rsidRPr="00223BF3">
          <w:rPr>
            <w:rStyle w:val="Hyperlink"/>
            <w:sz w:val="20"/>
            <w:szCs w:val="20"/>
            <w:lang w:val="en-IE"/>
          </w:rPr>
          <w:t>EU action plan on human rights and democracy 2020-2024</w:t>
        </w:r>
      </w:hyperlink>
      <w:r w:rsidRPr="00223BF3">
        <w:rPr>
          <w:sz w:val="20"/>
          <w:szCs w:val="20"/>
        </w:rPr>
        <w:t xml:space="preserve">, the </w:t>
      </w:r>
      <w:hyperlink r:id="rId110" w:anchor=":~:text=The%20EU%27s%20new%20Action%20Plan,and%20its%20Platform%20for%20Action." w:history="1">
        <w:r w:rsidRPr="00223BF3">
          <w:rPr>
            <w:rStyle w:val="Hyperlink"/>
            <w:sz w:val="20"/>
            <w:szCs w:val="20"/>
            <w:lang w:val="en-IE"/>
          </w:rPr>
          <w:t>EU gender action plan III (2021-2025)</w:t>
        </w:r>
      </w:hyperlink>
      <w:r w:rsidRPr="00223BF3">
        <w:rPr>
          <w:sz w:val="20"/>
          <w:szCs w:val="20"/>
        </w:rPr>
        <w:t xml:space="preserve">, the </w:t>
      </w:r>
      <w:hyperlink r:id="rId111" w:history="1">
        <w:r w:rsidRPr="00223BF3">
          <w:rPr>
            <w:rStyle w:val="Hyperlink"/>
            <w:sz w:val="20"/>
            <w:szCs w:val="20"/>
            <w:lang w:val="en-IE"/>
          </w:rPr>
          <w:t>EU anti-racism action plan 2020-2025</w:t>
        </w:r>
      </w:hyperlink>
      <w:r w:rsidRPr="00223BF3">
        <w:rPr>
          <w:sz w:val="20"/>
          <w:szCs w:val="20"/>
        </w:rPr>
        <w:t xml:space="preserve">, </w:t>
      </w:r>
      <w:hyperlink r:id="rId112" w:history="1">
        <w:r w:rsidRPr="00223BF3">
          <w:rPr>
            <w:rStyle w:val="Hyperlink"/>
            <w:sz w:val="20"/>
            <w:szCs w:val="20"/>
            <w:lang w:val="en-IE"/>
          </w:rPr>
          <w:t>the EU strategy on the rights of the child 2021-2024</w:t>
        </w:r>
      </w:hyperlink>
      <w:r w:rsidRPr="00223BF3">
        <w:rPr>
          <w:sz w:val="20"/>
          <w:szCs w:val="20"/>
        </w:rPr>
        <w:t xml:space="preserve">, </w:t>
      </w:r>
      <w:hyperlink r:id="rId113" w:history="1">
        <w:r w:rsidRPr="00223BF3">
          <w:rPr>
            <w:rStyle w:val="Hyperlink"/>
            <w:sz w:val="20"/>
            <w:szCs w:val="20"/>
            <w:lang w:val="en-IE"/>
          </w:rPr>
          <w:t>EU Guidelines for the promotion and protection of the rights of the child</w:t>
        </w:r>
      </w:hyperlink>
      <w:r w:rsidRPr="00223BF3">
        <w:rPr>
          <w:sz w:val="20"/>
          <w:szCs w:val="20"/>
        </w:rPr>
        <w:t xml:space="preserve">, </w:t>
      </w:r>
      <w:hyperlink r:id="rId114" w:history="1">
        <w:r w:rsidRPr="00223BF3">
          <w:rPr>
            <w:rStyle w:val="Hyperlink"/>
            <w:sz w:val="20"/>
            <w:szCs w:val="20"/>
            <w:lang w:val="en-IE"/>
          </w:rPr>
          <w:t>the Youth action plan in EU external action 2022-2027</w:t>
        </w:r>
      </w:hyperlink>
      <w:r w:rsidRPr="00223BF3">
        <w:rPr>
          <w:sz w:val="20"/>
          <w:szCs w:val="20"/>
        </w:rPr>
        <w:t xml:space="preserve">, </w:t>
      </w:r>
      <w:hyperlink r:id="rId115" w:history="1">
        <w:r w:rsidRPr="00223BF3">
          <w:rPr>
            <w:rStyle w:val="Hyperlink"/>
            <w:sz w:val="20"/>
            <w:szCs w:val="20"/>
            <w:lang w:val="en-IE"/>
          </w:rPr>
          <w:t>the EU Human Rights Guidelines on Non-Discrimination</w:t>
        </w:r>
      </w:hyperlink>
      <w:r w:rsidRPr="00223BF3">
        <w:rPr>
          <w:sz w:val="20"/>
          <w:szCs w:val="20"/>
        </w:rPr>
        <w:t>,ECHO operational guidance on ‘The inclusion of persons with disabilities in EU-funded humanitarian aid operations (2019)’</w:t>
      </w:r>
    </w:p>
    <w:p w:rsidR="0037575C" w:rsidRPr="00223BF3" w:rsidRDefault="0037575C" w:rsidP="00A324BD">
      <w:pPr>
        <w:pStyle w:val="ListParagraph"/>
        <w:ind w:left="720" w:firstLine="0"/>
        <w:rPr>
          <w:sz w:val="20"/>
          <w:szCs w:val="20"/>
        </w:rPr>
      </w:pPr>
      <w:r w:rsidRPr="00223BF3">
        <w:rPr>
          <w:sz w:val="20"/>
          <w:szCs w:val="20"/>
        </w:rPr>
        <w:t xml:space="preserve">Commitments can be found under </w:t>
      </w:r>
      <w:hyperlink r:id="rId116" w:history="1">
        <w:r w:rsidRPr="00223BF3">
          <w:rPr>
            <w:rStyle w:val="Hyperlink"/>
            <w:sz w:val="20"/>
            <w:szCs w:val="20"/>
          </w:rPr>
          <w:t>https://idata.tools/gds/portal</w:t>
        </w:r>
      </w:hyperlink>
    </w:p>
    <w:p w:rsidR="0037575C" w:rsidRPr="00223BF3" w:rsidRDefault="0037575C" w:rsidP="0037575C">
      <w:pPr>
        <w:pStyle w:val="EndnoteText"/>
        <w:rPr>
          <w:lang w:val="en-US"/>
        </w:rPr>
      </w:pPr>
    </w:p>
    <w:p w:rsidR="0037575C" w:rsidRPr="00223BF3" w:rsidRDefault="0037575C" w:rsidP="0037575C">
      <w:pPr>
        <w:pStyle w:val="EndnoteText"/>
        <w:numPr>
          <w:ilvl w:val="0"/>
          <w:numId w:val="15"/>
        </w:numPr>
        <w:jc w:val="both"/>
      </w:pPr>
      <w:r w:rsidRPr="00223BF3">
        <w:rPr>
          <w:color w:val="000000" w:themeColor="text1"/>
          <w:shd w:val="clear" w:color="auto" w:fill="FFFFFF"/>
        </w:rPr>
        <w:t>Organisation for Economic Cooperation and Development’s Development Assistance Committee</w:t>
      </w:r>
    </w:p>
    <w:p w:rsidR="0037575C" w:rsidRPr="00223BF3" w:rsidRDefault="0037575C" w:rsidP="0037575C">
      <w:pPr>
        <w:pStyle w:val="ListParagraph"/>
        <w:numPr>
          <w:ilvl w:val="0"/>
          <w:numId w:val="15"/>
        </w:numPr>
        <w:rPr>
          <w:sz w:val="20"/>
          <w:szCs w:val="20"/>
        </w:rPr>
      </w:pPr>
      <w:r w:rsidRPr="00223BF3">
        <w:rPr>
          <w:sz w:val="20"/>
          <w:szCs w:val="20"/>
        </w:rPr>
        <w:t xml:space="preserve">The project is called </w:t>
      </w:r>
      <w:hyperlink r:id="rId117" w:history="1">
        <w:r w:rsidRPr="00223BF3">
          <w:rPr>
            <w:rStyle w:val="Hyperlink"/>
            <w:sz w:val="20"/>
            <w:szCs w:val="20"/>
            <w:lang w:val="en-US"/>
          </w:rPr>
          <w:t>SEE ME (Safe and Equal in Emergencies)</w:t>
        </w:r>
      </w:hyperlink>
      <w:r w:rsidRPr="00223BF3">
        <w:rPr>
          <w:sz w:val="20"/>
          <w:szCs w:val="20"/>
        </w:rPr>
        <w:t>.</w:t>
      </w:r>
    </w:p>
    <w:p w:rsidR="0037575C" w:rsidRPr="00223BF3" w:rsidRDefault="0037575C" w:rsidP="0037575C">
      <w:pPr>
        <w:pStyle w:val="EndnoteText"/>
        <w:numPr>
          <w:ilvl w:val="0"/>
          <w:numId w:val="15"/>
        </w:numPr>
        <w:jc w:val="both"/>
      </w:pPr>
      <w:r w:rsidRPr="00223BF3">
        <w:t xml:space="preserve">See also paragraph 1, point c. </w:t>
      </w:r>
    </w:p>
    <w:p w:rsidR="0037575C" w:rsidRPr="00223BF3" w:rsidRDefault="0037575C" w:rsidP="0037575C">
      <w:pPr>
        <w:pStyle w:val="EndnoteText"/>
        <w:numPr>
          <w:ilvl w:val="0"/>
          <w:numId w:val="15"/>
        </w:numPr>
        <w:jc w:val="both"/>
        <w:rPr>
          <w:color w:val="000000" w:themeColor="text1"/>
          <w:shd w:val="clear" w:color="auto" w:fill="FFFFFF"/>
        </w:rPr>
      </w:pPr>
      <w:r w:rsidRPr="00223BF3">
        <w:rPr>
          <w:color w:val="000000" w:themeColor="text1"/>
          <w:shd w:val="clear" w:color="auto" w:fill="FFFFFF"/>
        </w:rPr>
        <w:t>These include, inter alia, organisation of medical evacuation of persons with disabilities, rehabilitation works in accommodation facilities for internally displaced people to render them accessible, provision of protection assistance to vulnerable children with disabilities (including mental health and psycho-social support), strengthening quality inclusive learning environments, provision of home-based care, delivering  hygiene kits for those with specific needs, provision of assistive devices in collective centres, and provision of multipurpose cash assistance for persons with disabilities.</w:t>
      </w:r>
    </w:p>
    <w:p w:rsidR="0037575C" w:rsidRPr="00223BF3" w:rsidRDefault="0037575C" w:rsidP="0037575C">
      <w:pPr>
        <w:pStyle w:val="EndnoteText"/>
        <w:numPr>
          <w:ilvl w:val="0"/>
          <w:numId w:val="15"/>
        </w:numPr>
        <w:rPr>
          <w:lang w:val="en-US"/>
        </w:rPr>
      </w:pPr>
      <w:r w:rsidRPr="00223BF3">
        <w:t>See in particular Article 13(4) of Temporary Protection Directive</w:t>
      </w:r>
    </w:p>
    <w:p w:rsidR="0037575C" w:rsidRPr="00223BF3" w:rsidRDefault="0037575C" w:rsidP="0037575C">
      <w:pPr>
        <w:pStyle w:val="EndnoteText"/>
        <w:numPr>
          <w:ilvl w:val="0"/>
          <w:numId w:val="15"/>
        </w:numPr>
        <w:jc w:val="both"/>
      </w:pPr>
      <w:r w:rsidRPr="00223BF3">
        <w:t xml:space="preserve">See: </w:t>
      </w:r>
      <w:hyperlink r:id="rId118" w:history="1">
        <w:r w:rsidRPr="00223BF3">
          <w:rPr>
            <w:rStyle w:val="Hyperlink"/>
            <w:lang w:val="en-IE"/>
          </w:rPr>
          <w:t>Protection and Shelter/NFI and CCCM Clusters in Ukraine</w:t>
        </w:r>
      </w:hyperlink>
      <w:r w:rsidRPr="00223BF3">
        <w:t xml:space="preserve">. </w:t>
      </w:r>
    </w:p>
    <w:p w:rsidR="0037575C" w:rsidRPr="00223BF3" w:rsidRDefault="0037575C" w:rsidP="0037575C">
      <w:pPr>
        <w:pStyle w:val="EndnoteText"/>
        <w:numPr>
          <w:ilvl w:val="0"/>
          <w:numId w:val="15"/>
        </w:numPr>
        <w:jc w:val="both"/>
      </w:pPr>
      <w:r w:rsidRPr="00223BF3">
        <w:t xml:space="preserve">In recital (10), it is stipulated that </w:t>
      </w:r>
      <w:r w:rsidRPr="00223BF3">
        <w:rPr>
          <w:iCs/>
        </w:rPr>
        <w:t>“it is crucial that the Union supports Member States  in reducing health inequalities, within and between Member States […], in addressing the challenges of vulnerable groups […]. The Commisison , in liaison with the Member States and all relevant stakeholders, should ensure the coordination and exchange of information […].</w:t>
      </w:r>
      <w:r w:rsidRPr="00223BF3">
        <w:t>” Moreover, according to Article 4(7), the Health Security Committee “</w:t>
      </w:r>
      <w:r w:rsidRPr="00223BF3">
        <w:rPr>
          <w:iCs/>
        </w:rPr>
        <w:t>shall ensure regular consultations with public health experts, international organisations, and stakeholders, including healthcare professionals, depending on the sensitivity of the subject.</w:t>
      </w:r>
      <w:r w:rsidRPr="00223BF3">
        <w:t>”</w:t>
      </w:r>
    </w:p>
    <w:p w:rsidR="0037575C" w:rsidRPr="00223BF3" w:rsidRDefault="0037575C" w:rsidP="0037575C">
      <w:pPr>
        <w:pStyle w:val="EndnoteText"/>
        <w:numPr>
          <w:ilvl w:val="0"/>
          <w:numId w:val="15"/>
        </w:numPr>
        <w:contextualSpacing/>
        <w:jc w:val="both"/>
      </w:pPr>
      <w:r w:rsidRPr="00223BF3">
        <w:t xml:space="preserve">See: </w:t>
      </w:r>
      <w:hyperlink r:id="rId119" w:history="1">
        <w:r w:rsidRPr="00223BF3">
          <w:rPr>
            <w:rStyle w:val="Hyperlink"/>
            <w:lang w:val="en-IE"/>
          </w:rPr>
          <w:t>European Disability Expertise</w:t>
        </w:r>
      </w:hyperlink>
      <w:r w:rsidRPr="00223BF3">
        <w:t>.</w:t>
      </w:r>
    </w:p>
    <w:p w:rsidR="0037575C" w:rsidRPr="00223BF3" w:rsidRDefault="0037575C" w:rsidP="0037575C">
      <w:pPr>
        <w:pStyle w:val="EndnoteText"/>
        <w:numPr>
          <w:ilvl w:val="0"/>
          <w:numId w:val="15"/>
        </w:numPr>
        <w:jc w:val="both"/>
      </w:pPr>
      <w:r w:rsidRPr="00223BF3">
        <w:t xml:space="preserve">See: </w:t>
      </w:r>
      <w:hyperlink r:id="rId120" w:history="1">
        <w:r w:rsidRPr="00223BF3">
          <w:rPr>
            <w:rStyle w:val="Hyperlink"/>
            <w:lang w:val="en-IE"/>
          </w:rPr>
          <w:t>Guidance on the provision of support for medically and socially vulnerable populations in EU/EEA countries and the United Kingdom during the COVID-19 pandemic</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121" w:history="1">
        <w:r w:rsidRPr="00223BF3">
          <w:rPr>
            <w:rStyle w:val="Hyperlink"/>
            <w:lang w:val="en-IE"/>
          </w:rPr>
          <w:t>EU response to COVID-19: preparing for autumn and winter 2023</w:t>
        </w:r>
      </w:hyperlink>
      <w:r w:rsidRPr="00223BF3">
        <w:t>.</w:t>
      </w:r>
    </w:p>
    <w:p w:rsidR="0037575C" w:rsidRPr="00223BF3" w:rsidRDefault="0037575C" w:rsidP="0037575C">
      <w:pPr>
        <w:pStyle w:val="EndnoteText"/>
        <w:numPr>
          <w:ilvl w:val="0"/>
          <w:numId w:val="15"/>
        </w:numPr>
        <w:jc w:val="both"/>
      </w:pPr>
      <w:r w:rsidRPr="00223BF3">
        <w:t xml:space="preserve">See: </w:t>
      </w:r>
      <w:hyperlink r:id="rId122" w:anchor="navItem-relatedDocuments" w:history="1">
        <w:r w:rsidRPr="00223BF3">
          <w:rPr>
            <w:rStyle w:val="Hyperlink"/>
            <w:lang w:val="en-IE"/>
          </w:rPr>
          <w:t>A European Care Strategy for caregivers and care receivers</w:t>
        </w:r>
      </w:hyperlink>
      <w:r w:rsidRPr="00223BF3">
        <w:t>.</w:t>
      </w:r>
    </w:p>
    <w:p w:rsidR="0037575C" w:rsidRPr="00223BF3" w:rsidRDefault="0037575C" w:rsidP="0037575C">
      <w:pPr>
        <w:pStyle w:val="EndnoteText"/>
        <w:numPr>
          <w:ilvl w:val="0"/>
          <w:numId w:val="15"/>
        </w:numPr>
        <w:jc w:val="both"/>
      </w:pPr>
      <w:r w:rsidRPr="00223BF3">
        <w:t xml:space="preserve">See also paragraph 11. </w:t>
      </w:r>
    </w:p>
    <w:p w:rsidR="0037575C" w:rsidRPr="00223BF3" w:rsidRDefault="0037575C" w:rsidP="0037575C">
      <w:pPr>
        <w:pStyle w:val="EndnoteText"/>
        <w:numPr>
          <w:ilvl w:val="0"/>
          <w:numId w:val="15"/>
        </w:numPr>
        <w:jc w:val="both"/>
      </w:pPr>
      <w:r w:rsidRPr="00223BF3">
        <w:t xml:space="preserve">See: </w:t>
      </w:r>
      <w:hyperlink r:id="rId123" w:history="1">
        <w:r w:rsidRPr="00223BF3">
          <w:rPr>
            <w:rStyle w:val="Hyperlink"/>
            <w:lang w:val="en-IE"/>
          </w:rPr>
          <w:t>State of Health in the EU</w:t>
        </w:r>
      </w:hyperlink>
      <w:r w:rsidRPr="00223BF3">
        <w:t xml:space="preserve">. </w:t>
      </w:r>
    </w:p>
    <w:p w:rsidR="0037575C" w:rsidRPr="00223BF3" w:rsidRDefault="0037575C" w:rsidP="0037575C">
      <w:pPr>
        <w:pStyle w:val="EndnoteText"/>
        <w:numPr>
          <w:ilvl w:val="0"/>
          <w:numId w:val="15"/>
        </w:numPr>
        <w:jc w:val="both"/>
      </w:pPr>
      <w:r w:rsidRPr="00223BF3">
        <w:t xml:space="preserve">The report was developed in co-operation with the Expert Group on Health Systems Performance. It provides proposals of metrics that can be used to better understand barriers of people who experience particular problems in accessing healthcare. See: </w:t>
      </w:r>
      <w:hyperlink r:id="rId124" w:history="1">
        <w:r w:rsidRPr="00223BF3">
          <w:rPr>
            <w:rStyle w:val="Hyperlink"/>
            <w:lang w:val="en-IE"/>
          </w:rPr>
          <w:t>Improving access to healthcare through more powerful measurement tools: An overview of current approaches and opportunities for improvement</w:t>
        </w:r>
      </w:hyperlink>
      <w:r w:rsidRPr="00223BF3">
        <w:t xml:space="preserve">. </w:t>
      </w:r>
    </w:p>
    <w:p w:rsidR="0037575C" w:rsidRPr="00223BF3" w:rsidRDefault="0037575C" w:rsidP="0037575C">
      <w:pPr>
        <w:pStyle w:val="EndnoteText"/>
        <w:numPr>
          <w:ilvl w:val="0"/>
          <w:numId w:val="15"/>
        </w:numPr>
        <w:jc w:val="both"/>
      </w:pPr>
      <w:r w:rsidRPr="00223BF3">
        <w:t>The project will provide the analysis of affordability of healthcare using the metrics of the catastrophic out-of-pocket spending and impoverishing effect of out-of-pocket spending. The analysis will identify groups which are affected by problems in accessing healthcare due to the lack of policies of financial protection.</w:t>
      </w:r>
    </w:p>
    <w:p w:rsidR="0037575C" w:rsidRPr="00223BF3" w:rsidRDefault="0037575C" w:rsidP="0037575C">
      <w:pPr>
        <w:pStyle w:val="EndnoteText"/>
        <w:numPr>
          <w:ilvl w:val="0"/>
          <w:numId w:val="15"/>
        </w:numPr>
        <w:jc w:val="both"/>
      </w:pPr>
      <w:r w:rsidRPr="00223BF3">
        <w:t>See: “</w:t>
      </w:r>
      <w:hyperlink r:id="rId125" w:history="1">
        <w:r w:rsidRPr="00223BF3">
          <w:rPr>
            <w:rStyle w:val="Hyperlink"/>
            <w:lang w:val="en-IE"/>
          </w:rPr>
          <w:t>Study on Guidance to Increase Access to Healthcare for People with Disabilities Including Information and Data on Cancer Prevention and Care</w:t>
        </w:r>
      </w:hyperlink>
      <w:r w:rsidRPr="00223BF3">
        <w:t>.” The call for tender was launched in December 2022. The study will start in Q2 2023 and last for two years.</w:t>
      </w:r>
    </w:p>
    <w:p w:rsidR="0037575C" w:rsidRPr="00223BF3" w:rsidRDefault="0037575C" w:rsidP="0037575C">
      <w:pPr>
        <w:pStyle w:val="EndnoteText"/>
        <w:numPr>
          <w:ilvl w:val="0"/>
          <w:numId w:val="15"/>
        </w:numPr>
        <w:rPr>
          <w:lang w:val="en-US"/>
        </w:rPr>
      </w:pPr>
      <w:r w:rsidRPr="00223BF3">
        <w:rPr>
          <w:lang w:val="en-US"/>
        </w:rPr>
        <w:t>The EU is not a contracting party</w:t>
      </w:r>
    </w:p>
    <w:p w:rsidR="0037575C" w:rsidRPr="00223BF3" w:rsidRDefault="0037575C" w:rsidP="0037575C">
      <w:pPr>
        <w:pStyle w:val="EndnoteText"/>
        <w:numPr>
          <w:ilvl w:val="0"/>
          <w:numId w:val="15"/>
        </w:numPr>
        <w:jc w:val="both"/>
      </w:pPr>
      <w:r w:rsidRPr="00223BF3">
        <w:t xml:space="preserve">See: </w:t>
      </w:r>
      <w:hyperlink r:id="rId126" w:history="1">
        <w:r w:rsidRPr="00223BF3">
          <w:rPr>
            <w:rStyle w:val="Hyperlink"/>
            <w:lang w:val="en-IE"/>
          </w:rPr>
          <w:t>Study on the cross-border legal protection of vulnerable adults in the EU</w:t>
        </w:r>
      </w:hyperlink>
      <w:r w:rsidRPr="00223BF3">
        <w:t xml:space="preserve">. </w:t>
      </w:r>
    </w:p>
    <w:p w:rsidR="0037575C" w:rsidRPr="00223BF3" w:rsidRDefault="0037575C" w:rsidP="0037575C">
      <w:pPr>
        <w:pStyle w:val="EndnoteText"/>
        <w:numPr>
          <w:ilvl w:val="0"/>
          <w:numId w:val="15"/>
        </w:numPr>
        <w:rPr>
          <w:lang w:val="en-GB"/>
        </w:rPr>
      </w:pPr>
      <w:r w:rsidRPr="00223BF3">
        <w:t>COM(2020) 152 final</w:t>
      </w:r>
    </w:p>
    <w:p w:rsidR="0037575C" w:rsidRPr="00223BF3" w:rsidRDefault="0037575C" w:rsidP="0037575C">
      <w:pPr>
        <w:pStyle w:val="ListParagraph"/>
        <w:numPr>
          <w:ilvl w:val="0"/>
          <w:numId w:val="15"/>
        </w:numPr>
        <w:jc w:val="both"/>
        <w:rPr>
          <w:color w:val="000000"/>
          <w:sz w:val="20"/>
          <w:szCs w:val="20"/>
          <w:shd w:val="clear" w:color="auto" w:fill="FFFFFF"/>
        </w:rPr>
      </w:pPr>
      <w:r w:rsidRPr="00223BF3">
        <w:rPr>
          <w:sz w:val="20"/>
          <w:szCs w:val="20"/>
        </w:rPr>
        <w:t xml:space="preserve">The Hague Convention of 13 January 2000 on </w:t>
      </w:r>
      <w:r w:rsidRPr="00223BF3">
        <w:rPr>
          <w:color w:val="202124"/>
          <w:sz w:val="20"/>
          <w:szCs w:val="20"/>
          <w:shd w:val="clear" w:color="auto" w:fill="FFFFFF"/>
        </w:rPr>
        <w:t>the International Protection of Adults (</w:t>
      </w:r>
      <w:hyperlink r:id="rId127" w:history="1">
        <w:r w:rsidRPr="00223BF3">
          <w:rPr>
            <w:rStyle w:val="Hyperlink"/>
            <w:sz w:val="20"/>
            <w:szCs w:val="20"/>
            <w:shd w:val="clear" w:color="auto" w:fill="FFFFFF"/>
            <w:lang w:val="en-IE"/>
          </w:rPr>
          <w:t>HCCH 2000 Protection of Adults Convention</w:t>
        </w:r>
      </w:hyperlink>
      <w:r w:rsidRPr="00223BF3">
        <w:rPr>
          <w:color w:val="202124"/>
          <w:sz w:val="20"/>
          <w:szCs w:val="20"/>
          <w:shd w:val="clear" w:color="auto" w:fill="FFFFFF"/>
        </w:rPr>
        <w:t xml:space="preserve">). </w:t>
      </w:r>
    </w:p>
    <w:p w:rsidR="0037575C" w:rsidRPr="00223BF3" w:rsidRDefault="0037575C" w:rsidP="0037575C">
      <w:pPr>
        <w:pStyle w:val="EndnoteText"/>
        <w:numPr>
          <w:ilvl w:val="0"/>
          <w:numId w:val="15"/>
        </w:numPr>
        <w:jc w:val="both"/>
      </w:pPr>
      <w:r w:rsidRPr="00223BF3">
        <w:t xml:space="preserve">See: </w:t>
      </w:r>
      <w:hyperlink r:id="rId128" w:history="1">
        <w:r w:rsidRPr="00223BF3">
          <w:rPr>
            <w:rStyle w:val="Hyperlink"/>
            <w:lang w:val="en-IE"/>
          </w:rPr>
          <w:t>EU Justice Scoreboard</w:t>
        </w:r>
      </w:hyperlink>
      <w:r w:rsidRPr="00223BF3">
        <w:t xml:space="preserve">. </w:t>
      </w:r>
    </w:p>
    <w:p w:rsidR="0037575C" w:rsidRPr="00223BF3" w:rsidRDefault="0037575C" w:rsidP="0037575C">
      <w:pPr>
        <w:pStyle w:val="EndnoteText"/>
        <w:numPr>
          <w:ilvl w:val="0"/>
          <w:numId w:val="15"/>
        </w:numPr>
        <w:jc w:val="both"/>
      </w:pPr>
      <w:r w:rsidRPr="00223BF3">
        <w:t>Each of the six Directives contains provisions and/or recitals that, in some form, aim to ensure special assistance and reasonable accommodation for persons with disabilities where these disabilities affect the enjoyment of the rights enshrined in the Directives</w:t>
      </w:r>
      <w:r w:rsidRPr="00223BF3">
        <w:rPr>
          <w:lang w:val="en-US"/>
        </w:rPr>
        <w:t xml:space="preserve"> (please see: Directive 2010/64/EU, Article 2(3); Directive 2012/13/EU, Article 3(2); Directive 2013/48/EU, Article 13; Directive (EU) 2016/1919, Article 9; Directive (EU) 2016/343, Recital 42; Directive (EU) 2016/800 see, for instance, Recitals 36, 65 and Article 7).</w:t>
      </w:r>
      <w:r w:rsidRPr="00223BF3">
        <w:rPr>
          <w:rStyle w:val="normaltextrun"/>
        </w:rPr>
        <w:t xml:space="preserve"> The EC continues to monitor the transposition and application of the Directives. At present, there are 36 open infringement procedures against MS for failing to completely or correctly transpose the directives. With the exception of the infringements for failure to notify transposing measures for Directive 2016/800, none of the infringement proceedings concern provisions or issues related to special assistance or reasonable accommodation for persons with disabilities. Should relevant non-conformity issues be identified during the </w:t>
      </w:r>
      <w:r w:rsidRPr="00223BF3">
        <w:rPr>
          <w:lang w:val="en-GB"/>
        </w:rPr>
        <w:t>Commission</w:t>
      </w:r>
      <w:r w:rsidRPr="00223BF3">
        <w:rPr>
          <w:rStyle w:val="normaltextrun"/>
        </w:rPr>
        <w:t xml:space="preserve">’s continuous monitoring exercise, the </w:t>
      </w:r>
      <w:r w:rsidRPr="00223BF3">
        <w:rPr>
          <w:lang w:val="en-GB"/>
        </w:rPr>
        <w:t xml:space="preserve">Commission </w:t>
      </w:r>
      <w:r w:rsidRPr="00223BF3">
        <w:rPr>
          <w:rStyle w:val="normaltextrun"/>
        </w:rPr>
        <w:t xml:space="preserve">will, as in all cases, take every appropriate measure to ensure compliance with the Directives, including launching infringement proceedings pursuant to Article 258 TFEU, where necessary. </w:t>
      </w:r>
      <w:r w:rsidRPr="00223BF3">
        <w:rPr>
          <w:rStyle w:val="eop"/>
        </w:rPr>
        <w:t> </w:t>
      </w:r>
    </w:p>
    <w:p w:rsidR="0037575C" w:rsidRPr="00223BF3" w:rsidRDefault="0037575C" w:rsidP="0037575C">
      <w:pPr>
        <w:pStyle w:val="EndnoteText"/>
        <w:numPr>
          <w:ilvl w:val="0"/>
          <w:numId w:val="15"/>
        </w:numPr>
        <w:jc w:val="both"/>
      </w:pPr>
      <w:r w:rsidRPr="00223BF3">
        <w:t xml:space="preserve">See: </w:t>
      </w:r>
      <w:hyperlink r:id="rId129" w:history="1">
        <w:r w:rsidRPr="00223BF3">
          <w:rPr>
            <w:rStyle w:val="Hyperlink"/>
            <w:lang w:val="en-IE"/>
          </w:rPr>
          <w:t>Rights of suspects and accused</w:t>
        </w:r>
      </w:hyperlink>
      <w:r w:rsidRPr="00223BF3">
        <w:t xml:space="preserve"> and </w:t>
      </w:r>
      <w:hyperlink r:id="rId130" w:history="1">
        <w:r w:rsidRPr="00223BF3">
          <w:rPr>
            <w:rStyle w:val="Hyperlink"/>
            <w:lang w:val="en-IE"/>
          </w:rPr>
          <w:t>Your rights if accused or suspected of criminal offences in the EU</w:t>
        </w:r>
      </w:hyperlink>
      <w:r w:rsidRPr="00223BF3">
        <w:t>.</w:t>
      </w:r>
    </w:p>
    <w:p w:rsidR="0037575C" w:rsidRPr="00223BF3" w:rsidRDefault="0037575C" w:rsidP="0037575C">
      <w:pPr>
        <w:pStyle w:val="EndnoteText"/>
        <w:numPr>
          <w:ilvl w:val="0"/>
          <w:numId w:val="15"/>
        </w:numPr>
        <w:jc w:val="both"/>
      </w:pPr>
      <w:r w:rsidRPr="00223BF3">
        <w:t>See: Commission Recommendation of 27 November 2013 on procedural safeguards for vulnerable persons suspected or accused in criminal proceedings</w:t>
      </w:r>
      <w:r w:rsidRPr="00223BF3">
        <w:rPr>
          <w:rStyle w:val="Hyperlink"/>
          <w:lang w:val="en-IE"/>
        </w:rPr>
        <w:t xml:space="preserve"> (</w:t>
      </w:r>
      <w:hyperlink r:id="rId131" w:anchor=":~:text=The%20aim%20of%20this%20Recommendation,('vulnerable%20persons')." w:history="1">
        <w:r w:rsidRPr="00223BF3">
          <w:rPr>
            <w:rStyle w:val="Hyperlink"/>
            <w:lang w:val="en-IE"/>
          </w:rPr>
          <w:t>2013/C 378/02</w:t>
        </w:r>
      </w:hyperlink>
      <w:r w:rsidRPr="00223BF3">
        <w:rPr>
          <w:rStyle w:val="Hyperlink"/>
          <w:lang w:val="en-IE"/>
        </w:rPr>
        <w:t>)</w:t>
      </w:r>
      <w:r w:rsidRPr="00223BF3">
        <w:t xml:space="preserve">. </w:t>
      </w:r>
    </w:p>
    <w:p w:rsidR="0037575C" w:rsidRPr="00223BF3" w:rsidRDefault="0037575C" w:rsidP="0037575C">
      <w:pPr>
        <w:pStyle w:val="EndnoteText"/>
        <w:numPr>
          <w:ilvl w:val="0"/>
          <w:numId w:val="15"/>
        </w:numPr>
        <w:jc w:val="both"/>
      </w:pPr>
      <w:r w:rsidRPr="00223BF3">
        <w:rPr>
          <w:rStyle w:val="normaltextrun"/>
        </w:rPr>
        <w:t xml:space="preserve">The study has found that MS’ legislation only partially reflects the provisions of the 2013 </w:t>
      </w:r>
      <w:r w:rsidRPr="00223BF3">
        <w:rPr>
          <w:lang w:val="en-GB"/>
        </w:rPr>
        <w:t xml:space="preserve">Commission </w:t>
      </w:r>
      <w:r w:rsidRPr="00223BF3">
        <w:rPr>
          <w:rStyle w:val="normaltextrun"/>
        </w:rPr>
        <w:t xml:space="preserve">Recommendation. There appears to be no common EU-wide definition of vulnerable adults, and the definitions used for specific procedural safeguards differ between MS. The identification of vulnerabilities from the early stages of criminal proceedings is not ensured systematically and adequately. Vulnerable adults are often not effectively represented and assisted. Procedural safeguards do not apply systematically, nor do they apply at the same level for each stage of the procedure. The </w:t>
      </w:r>
      <w:r w:rsidRPr="00223BF3">
        <w:rPr>
          <w:lang w:val="en-GB"/>
        </w:rPr>
        <w:t xml:space="preserve">Commission </w:t>
      </w:r>
      <w:r w:rsidRPr="00223BF3">
        <w:rPr>
          <w:rStyle w:val="normaltextrun"/>
        </w:rPr>
        <w:t>is currently assessing the best way forward to address these issues.</w:t>
      </w:r>
      <w:r w:rsidRPr="00223BF3">
        <w:rPr>
          <w:rStyle w:val="eop"/>
        </w:rPr>
        <w:t> </w:t>
      </w:r>
    </w:p>
    <w:p w:rsidR="0037575C" w:rsidRPr="00223BF3" w:rsidRDefault="0037575C" w:rsidP="0037575C">
      <w:pPr>
        <w:pStyle w:val="EndnoteText"/>
        <w:numPr>
          <w:ilvl w:val="0"/>
          <w:numId w:val="15"/>
        </w:numPr>
        <w:jc w:val="both"/>
      </w:pPr>
      <w:r w:rsidRPr="00223BF3">
        <w:t>Communication from the Commission to the European Parliament, the Council, the European Economic and Social Committee and the Committee of the Regions (</w:t>
      </w:r>
      <w:hyperlink r:id="rId132" w:history="1">
        <w:r w:rsidRPr="00223BF3">
          <w:rPr>
            <w:rStyle w:val="Hyperlink"/>
            <w:lang w:val="en-IE"/>
          </w:rPr>
          <w:t>COM/2020/258 final</w:t>
        </w:r>
      </w:hyperlink>
      <w:r w:rsidRPr="00223BF3">
        <w:t>).</w:t>
      </w:r>
    </w:p>
    <w:p w:rsidR="0037575C" w:rsidRPr="00223BF3" w:rsidRDefault="0037575C" w:rsidP="0037575C">
      <w:pPr>
        <w:pStyle w:val="ListParagraph"/>
        <w:numPr>
          <w:ilvl w:val="0"/>
          <w:numId w:val="15"/>
        </w:numPr>
        <w:jc w:val="both"/>
        <w:rPr>
          <w:sz w:val="20"/>
          <w:szCs w:val="20"/>
        </w:rPr>
      </w:pPr>
      <w:r w:rsidRPr="00223BF3">
        <w:rPr>
          <w:sz w:val="20"/>
          <w:szCs w:val="20"/>
        </w:rPr>
        <w:t xml:space="preserve">There is no earmarked funding under CERV for projects on gender equality of women with disabilities. This focus is mainstreamed in the gender equality and gender-based violence objectives of CERV that has a total budget of EUR 200 million. </w:t>
      </w:r>
    </w:p>
    <w:p w:rsidR="0037575C" w:rsidRPr="00223BF3" w:rsidRDefault="0037575C" w:rsidP="0037575C">
      <w:pPr>
        <w:pStyle w:val="EndnoteText"/>
        <w:numPr>
          <w:ilvl w:val="0"/>
          <w:numId w:val="15"/>
        </w:numPr>
        <w:jc w:val="both"/>
      </w:pPr>
      <w:r w:rsidRPr="00223BF3">
        <w:t xml:space="preserve">See: </w:t>
      </w:r>
      <w:hyperlink r:id="rId133" w:history="1">
        <w:r w:rsidRPr="00223BF3">
          <w:rPr>
            <w:rStyle w:val="Hyperlink"/>
            <w:lang w:val="en-IE"/>
          </w:rPr>
          <w:t>Legal aid</w:t>
        </w:r>
      </w:hyperlink>
      <w:r w:rsidRPr="00223BF3">
        <w:t xml:space="preserve">. </w:t>
      </w:r>
    </w:p>
    <w:p w:rsidR="0037575C" w:rsidRPr="00223BF3" w:rsidRDefault="0037575C" w:rsidP="0037575C">
      <w:pPr>
        <w:pStyle w:val="EndnoteText"/>
        <w:numPr>
          <w:ilvl w:val="0"/>
          <w:numId w:val="15"/>
        </w:numPr>
        <w:jc w:val="both"/>
        <w:rPr>
          <w:highlight w:val="yellow"/>
        </w:rPr>
      </w:pPr>
      <w:r w:rsidRPr="00223BF3">
        <w:t>See: Report from the Commission to the European Parliament, the Council and the European Economic and Social Committee on the application of Directive 2003/8/EC to improve access to justice in cross border disputes by establishing minimum common rules relating to legal aid for such disputes (</w:t>
      </w:r>
      <w:hyperlink r:id="rId134" w:history="1">
        <w:r w:rsidRPr="00223BF3">
          <w:rPr>
            <w:rStyle w:val="Hyperlink"/>
            <w:lang w:val="en-IE"/>
          </w:rPr>
          <w:t>COM(2012) 71 final</w:t>
        </w:r>
      </w:hyperlink>
      <w:r w:rsidRPr="00223BF3">
        <w:t xml:space="preserve">). </w:t>
      </w:r>
    </w:p>
    <w:p w:rsidR="0037575C" w:rsidRPr="00223BF3" w:rsidRDefault="0037575C" w:rsidP="0037575C">
      <w:pPr>
        <w:pStyle w:val="EndnoteText"/>
        <w:numPr>
          <w:ilvl w:val="0"/>
          <w:numId w:val="15"/>
        </w:numPr>
        <w:jc w:val="both"/>
      </w:pPr>
      <w:r w:rsidRPr="00223BF3">
        <w:t xml:space="preserve">Statement by the Committee on the Rights of Persons with Disabilities calling States parties to oppose the draft Additional Protocol to the Oviedo Convention, adopted during the Committee’s 20th session held from 27 August 21 September 2018 in Geneva. </w:t>
      </w:r>
    </w:p>
    <w:p w:rsidR="0037575C" w:rsidRPr="00223BF3" w:rsidRDefault="0037575C" w:rsidP="0037575C">
      <w:pPr>
        <w:pStyle w:val="EndnoteText"/>
        <w:numPr>
          <w:ilvl w:val="0"/>
          <w:numId w:val="15"/>
        </w:numPr>
        <w:jc w:val="both"/>
      </w:pPr>
      <w:r w:rsidRPr="00223BF3">
        <w:t xml:space="preserve">See: </w:t>
      </w:r>
      <w:hyperlink r:id="rId135" w:history="1">
        <w:r w:rsidRPr="00223BF3">
          <w:rPr>
            <w:rStyle w:val="Hyperlink"/>
            <w:lang w:val="en-IE"/>
          </w:rPr>
          <w:t>Directive 2008/115/EC</w:t>
        </w:r>
      </w:hyperlink>
      <w:r w:rsidRPr="00223BF3">
        <w:t xml:space="preserve"> of the European Parliament and of the Council of 16 December 2008 on common standards and procedures in MS for returning illegally staying third-country nationals. </w:t>
      </w:r>
    </w:p>
    <w:p w:rsidR="0037575C" w:rsidRPr="00223BF3" w:rsidRDefault="0037575C" w:rsidP="0037575C">
      <w:pPr>
        <w:pStyle w:val="ListParagraph"/>
        <w:numPr>
          <w:ilvl w:val="0"/>
          <w:numId w:val="15"/>
        </w:numPr>
        <w:jc w:val="both"/>
        <w:rPr>
          <w:sz w:val="20"/>
          <w:szCs w:val="20"/>
        </w:rPr>
      </w:pPr>
      <w:r w:rsidRPr="00223BF3">
        <w:rPr>
          <w:sz w:val="20"/>
          <w:szCs w:val="20"/>
        </w:rPr>
        <w:t xml:space="preserve">See: </w:t>
      </w:r>
      <w:hyperlink r:id="rId136" w:history="1">
        <w:r w:rsidRPr="00223BF3">
          <w:rPr>
            <w:rStyle w:val="Hyperlink"/>
            <w:sz w:val="20"/>
            <w:szCs w:val="20"/>
            <w:lang w:val="en-IE"/>
          </w:rPr>
          <w:t>EU Grants: How to complete your ethics self-assessment</w:t>
        </w:r>
      </w:hyperlink>
      <w:r w:rsidRPr="00223BF3">
        <w:rPr>
          <w:sz w:val="20"/>
          <w:szCs w:val="20"/>
        </w:rPr>
        <w:t xml:space="preserve">.  </w:t>
      </w:r>
    </w:p>
    <w:p w:rsidR="0037575C" w:rsidRPr="00223BF3" w:rsidRDefault="0037575C" w:rsidP="0037575C">
      <w:pPr>
        <w:pStyle w:val="ListParagraph"/>
        <w:numPr>
          <w:ilvl w:val="0"/>
          <w:numId w:val="15"/>
        </w:numPr>
        <w:jc w:val="both"/>
        <w:rPr>
          <w:sz w:val="20"/>
          <w:szCs w:val="20"/>
        </w:rPr>
      </w:pPr>
      <w:r w:rsidRPr="00223BF3">
        <w:rPr>
          <w:sz w:val="20"/>
          <w:szCs w:val="20"/>
        </w:rPr>
        <w:t xml:space="preserve">See: </w:t>
      </w:r>
      <w:hyperlink r:id="rId137" w:history="1">
        <w:r w:rsidRPr="00223BF3">
          <w:rPr>
            <w:rStyle w:val="Hyperlink"/>
            <w:sz w:val="20"/>
            <w:szCs w:val="20"/>
            <w:lang w:val="en-IE"/>
          </w:rPr>
          <w:t>Identifying serious and complex ethics issues in EU-funded research</w:t>
        </w:r>
      </w:hyperlink>
      <w:r w:rsidRPr="00223BF3">
        <w:rPr>
          <w:sz w:val="20"/>
          <w:szCs w:val="20"/>
        </w:rPr>
        <w:t>.</w:t>
      </w:r>
    </w:p>
    <w:p w:rsidR="0037575C" w:rsidRPr="00223BF3" w:rsidRDefault="0037575C" w:rsidP="0037575C">
      <w:pPr>
        <w:pStyle w:val="EndnoteText"/>
        <w:numPr>
          <w:ilvl w:val="0"/>
          <w:numId w:val="15"/>
        </w:numPr>
        <w:jc w:val="both"/>
      </w:pPr>
      <w:r w:rsidRPr="00223BF3">
        <w:t xml:space="preserve">Article 29 of the Clinical Trials Regulation only outlines specific conditions for informed consent and explains what type of information must be given and how. </w:t>
      </w:r>
    </w:p>
    <w:p w:rsidR="0037575C" w:rsidRPr="00223BF3" w:rsidRDefault="0037575C" w:rsidP="0037575C">
      <w:pPr>
        <w:pStyle w:val="EndnoteText"/>
        <w:numPr>
          <w:ilvl w:val="0"/>
          <w:numId w:val="15"/>
        </w:numPr>
        <w:jc w:val="both"/>
      </w:pPr>
      <w:r w:rsidRPr="00223BF3">
        <w:t xml:space="preserve">See: </w:t>
      </w:r>
      <w:hyperlink r:id="rId138" w:history="1">
        <w:r w:rsidRPr="00223BF3">
          <w:rPr>
            <w:rStyle w:val="Hyperlink"/>
            <w:lang w:val="en-IE"/>
          </w:rPr>
          <w:t>Council Conclusions on the EU Action Plan on Human Rights and Democracy 2020-2024</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139" w:history="1">
        <w:r w:rsidRPr="00223BF3">
          <w:rPr>
            <w:rStyle w:val="Hyperlink"/>
            <w:lang w:val="en-IE"/>
          </w:rPr>
          <w:t>EU Human Rights Guidelines on Non-discrimination in External Action</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140" w:history="1">
        <w:r w:rsidRPr="00223BF3">
          <w:rPr>
            <w:rStyle w:val="Hyperlink"/>
            <w:lang w:val="en-IE"/>
          </w:rPr>
          <w:t>EU Guidelines on EU Policy Towards Third Countries on Torture and Other Cruel, Inhuman or Degrading Treatment or Punishment</w:t>
        </w:r>
      </w:hyperlink>
      <w:r w:rsidRPr="00223BF3">
        <w:t xml:space="preserve">. </w:t>
      </w:r>
    </w:p>
    <w:p w:rsidR="0037575C" w:rsidRPr="00223BF3" w:rsidRDefault="0037575C" w:rsidP="0037575C">
      <w:pPr>
        <w:pStyle w:val="title-bold"/>
        <w:numPr>
          <w:ilvl w:val="0"/>
          <w:numId w:val="15"/>
        </w:numPr>
        <w:shd w:val="clear" w:color="auto" w:fill="FFFFFF"/>
        <w:spacing w:before="0" w:beforeAutospacing="0" w:after="75" w:afterAutospacing="0"/>
        <w:rPr>
          <w:rFonts w:ascii="Times New Roman" w:hAnsi="Times New Roman" w:cs="Times New Roman"/>
          <w:b/>
          <w:bCs/>
          <w:color w:val="333333"/>
          <w:sz w:val="20"/>
          <w:szCs w:val="20"/>
        </w:rPr>
      </w:pPr>
      <w:r w:rsidRPr="00223BF3">
        <w:rPr>
          <w:rFonts w:ascii="Times New Roman" w:hAnsi="Times New Roman" w:cs="Times New Roman"/>
          <w:sz w:val="20"/>
          <w:szCs w:val="20"/>
          <w:lang w:eastAsia="en-US"/>
        </w:rPr>
        <w:t>Proposal for a COUNCIL RECOMMENDATION on access to affordable high-quality long-term care COM/2022/441 final</w:t>
      </w:r>
    </w:p>
    <w:p w:rsidR="0037575C" w:rsidRPr="00223BF3" w:rsidRDefault="0037575C" w:rsidP="0037575C">
      <w:pPr>
        <w:pStyle w:val="EndnoteText"/>
        <w:rPr>
          <w:lang w:val="en-US"/>
        </w:rPr>
      </w:pPr>
    </w:p>
    <w:p w:rsidR="0037575C" w:rsidRPr="00223BF3" w:rsidRDefault="0037575C" w:rsidP="0037575C">
      <w:pPr>
        <w:pStyle w:val="EndnoteText"/>
        <w:numPr>
          <w:ilvl w:val="0"/>
          <w:numId w:val="15"/>
        </w:numPr>
        <w:jc w:val="both"/>
      </w:pPr>
      <w:r w:rsidRPr="00223BF3">
        <w:t xml:space="preserve">Article 15 of </w:t>
      </w:r>
      <w:hyperlink r:id="rId141" w:history="1">
        <w:r w:rsidRPr="00223BF3">
          <w:rPr>
            <w:rStyle w:val="Hyperlink"/>
            <w:lang w:val="en-IE"/>
          </w:rPr>
          <w:t>Regulation (EU) 2021/1060</w:t>
        </w:r>
      </w:hyperlink>
      <w:r w:rsidRPr="00223BF3">
        <w:t xml:space="preserve"> of the European Parliament and of the Council of 24 June 2021 laying down common provisions on the European Regional Development Fund, the European Social Fund Plus, the Cohesion Fund, the Just Transition Fund and the European Maritime, Fisheries and Aquaculture Fund and financial rules for those and for the Asylum, Migration and Integration Fund, the Internal Security Fund and the Instrument for Financial Support for Border Management and Visa Policy.</w:t>
      </w:r>
    </w:p>
    <w:p w:rsidR="0037575C" w:rsidRPr="00223BF3" w:rsidRDefault="0037575C" w:rsidP="0037575C">
      <w:pPr>
        <w:pStyle w:val="EndnoteText"/>
        <w:numPr>
          <w:ilvl w:val="0"/>
          <w:numId w:val="15"/>
        </w:numPr>
        <w:rPr>
          <w:lang w:val="en-GB"/>
        </w:rPr>
      </w:pPr>
      <w:r w:rsidRPr="00223BF3">
        <w:rPr>
          <w:lang w:val="en-GB"/>
        </w:rPr>
        <w:t>See also reply to paragraph 21, point e.</w:t>
      </w:r>
    </w:p>
    <w:p w:rsidR="0037575C" w:rsidRPr="00223BF3" w:rsidRDefault="0037575C" w:rsidP="0037575C">
      <w:pPr>
        <w:pStyle w:val="EndnoteText"/>
        <w:numPr>
          <w:ilvl w:val="0"/>
          <w:numId w:val="15"/>
        </w:numPr>
        <w:jc w:val="both"/>
      </w:pPr>
      <w:r w:rsidRPr="00223BF3">
        <w:t xml:space="preserve">See: </w:t>
      </w:r>
      <w:hyperlink r:id="rId142" w:history="1">
        <w:r w:rsidRPr="00223BF3">
          <w:rPr>
            <w:rStyle w:val="Hyperlink"/>
            <w:lang w:val="en-IE"/>
          </w:rPr>
          <w:t>EU Strategy on Combatting Trafficking in Human Beings (2021-2025)</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143" w:history="1">
        <w:r w:rsidRPr="00223BF3">
          <w:rPr>
            <w:rStyle w:val="Hyperlink"/>
            <w:lang w:val="en-IE"/>
          </w:rPr>
          <w:t>Trafficking in human beings: Commission proposes stronger rules to fight the evolving crime</w:t>
        </w:r>
      </w:hyperlink>
      <w:r w:rsidRPr="00223BF3">
        <w:t xml:space="preserve">. </w:t>
      </w:r>
    </w:p>
    <w:p w:rsidR="0037575C" w:rsidRPr="00223BF3" w:rsidRDefault="0037575C" w:rsidP="0037575C">
      <w:pPr>
        <w:pStyle w:val="EndnoteText"/>
        <w:numPr>
          <w:ilvl w:val="0"/>
          <w:numId w:val="15"/>
        </w:numPr>
        <w:jc w:val="both"/>
      </w:pPr>
      <w:r w:rsidRPr="00223BF3">
        <w:t>Communication from the Commission to the European Parliament, the Council, the European Economic and Social Committee and the Committee of the Regions (</w:t>
      </w:r>
      <w:hyperlink r:id="rId144" w:history="1">
        <w:r w:rsidRPr="00223BF3">
          <w:rPr>
            <w:rStyle w:val="Hyperlink"/>
            <w:lang w:val="en-IE"/>
          </w:rPr>
          <w:t>COM/2020/607 final</w:t>
        </w:r>
      </w:hyperlink>
      <w:r w:rsidRPr="00223BF3">
        <w:t xml:space="preserve">). </w:t>
      </w:r>
    </w:p>
    <w:p w:rsidR="0037575C" w:rsidRPr="00223BF3" w:rsidRDefault="0037575C" w:rsidP="0037575C">
      <w:pPr>
        <w:pStyle w:val="EndnoteText"/>
        <w:numPr>
          <w:ilvl w:val="0"/>
          <w:numId w:val="15"/>
        </w:numPr>
        <w:jc w:val="both"/>
      </w:pPr>
      <w:r w:rsidRPr="00223BF3">
        <w:t>Proposal for a Directive of the European Parliament and of the Council on combating violence against women and domestic violence (</w:t>
      </w:r>
      <w:hyperlink r:id="rId145" w:history="1">
        <w:r w:rsidRPr="00223BF3">
          <w:rPr>
            <w:rStyle w:val="Hyperlink"/>
            <w:lang w:val="en-IE"/>
          </w:rPr>
          <w:t>COM/2022/105 final</w:t>
        </w:r>
      </w:hyperlink>
      <w:r w:rsidRPr="00223BF3">
        <w:t>).</w:t>
      </w:r>
    </w:p>
    <w:p w:rsidR="0037575C" w:rsidRPr="00223BF3" w:rsidRDefault="0037575C" w:rsidP="0037575C">
      <w:pPr>
        <w:pStyle w:val="EndnoteText"/>
        <w:numPr>
          <w:ilvl w:val="0"/>
          <w:numId w:val="15"/>
        </w:numPr>
        <w:jc w:val="both"/>
      </w:pPr>
      <w:r w:rsidRPr="00223BF3">
        <w:t xml:space="preserve">As defined by EIGE, disadvantaged groups are “groups of persons that experience a higher risk of poverty, social exclusion, discrimination and violence than the general population, including, but not limited to, ethnic minorities, migrants, people with disabilities, isolated elderly people and children.” </w:t>
      </w:r>
    </w:p>
    <w:p w:rsidR="0037575C" w:rsidRPr="00223BF3" w:rsidRDefault="0037575C" w:rsidP="0037575C">
      <w:pPr>
        <w:pStyle w:val="EndnoteText"/>
        <w:numPr>
          <w:ilvl w:val="0"/>
          <w:numId w:val="15"/>
        </w:numPr>
      </w:pPr>
      <w:r w:rsidRPr="00223BF3">
        <w:t xml:space="preserve">See: </w:t>
      </w:r>
      <w:hyperlink r:id="rId146" w:history="1">
        <w:r w:rsidRPr="00223BF3">
          <w:rPr>
            <w:rStyle w:val="Hyperlink"/>
            <w:lang w:val="en-IE"/>
          </w:rPr>
          <w:t>Swedish Presidency of the Council of the European Union</w:t>
        </w:r>
      </w:hyperlink>
      <w:r w:rsidRPr="00223BF3">
        <w:t xml:space="preserve"> (1 January – 30 June 2023).</w:t>
      </w:r>
    </w:p>
    <w:p w:rsidR="0037575C" w:rsidRPr="00223BF3" w:rsidRDefault="0037575C" w:rsidP="0037575C">
      <w:pPr>
        <w:pStyle w:val="paragraph"/>
        <w:numPr>
          <w:ilvl w:val="0"/>
          <w:numId w:val="15"/>
        </w:numPr>
        <w:spacing w:before="0" w:beforeAutospacing="0" w:after="0" w:afterAutospacing="0"/>
        <w:jc w:val="both"/>
        <w:textAlignment w:val="baseline"/>
        <w:rPr>
          <w:sz w:val="20"/>
          <w:szCs w:val="20"/>
        </w:rPr>
      </w:pPr>
      <w:r w:rsidRPr="00223BF3">
        <w:rPr>
          <w:rStyle w:val="normaltextrun"/>
          <w:sz w:val="20"/>
          <w:szCs w:val="20"/>
        </w:rPr>
        <w:t xml:space="preserve">The </w:t>
      </w:r>
      <w:r w:rsidRPr="00223BF3">
        <w:rPr>
          <w:sz w:val="20"/>
          <w:szCs w:val="20"/>
          <w:lang w:val="en-GB"/>
        </w:rPr>
        <w:t xml:space="preserve">Commission </w:t>
      </w:r>
      <w:r w:rsidRPr="00223BF3">
        <w:rPr>
          <w:rStyle w:val="normaltextrun"/>
          <w:sz w:val="20"/>
          <w:szCs w:val="20"/>
        </w:rPr>
        <w:t>adopted its legislative proposal on 8 March 2022. The proposal is currently negotiated by the co-legislators.</w:t>
      </w:r>
    </w:p>
    <w:p w:rsidR="0037575C" w:rsidRPr="00223BF3" w:rsidRDefault="0037575C" w:rsidP="0037575C">
      <w:pPr>
        <w:pStyle w:val="EndnoteText"/>
        <w:numPr>
          <w:ilvl w:val="0"/>
          <w:numId w:val="15"/>
        </w:numPr>
        <w:jc w:val="both"/>
      </w:pPr>
      <w:r w:rsidRPr="00223BF3">
        <w:t xml:space="preserve">See: </w:t>
      </w:r>
      <w:hyperlink r:id="rId147" w:history="1">
        <w:r w:rsidRPr="00223BF3">
          <w:rPr>
            <w:rStyle w:val="Hyperlink"/>
            <w:lang w:val="en-IE"/>
          </w:rPr>
          <w:t>EU Grants: How to complete your ethics self-assessment</w:t>
        </w:r>
      </w:hyperlink>
      <w:r w:rsidRPr="00223BF3">
        <w:t>.</w:t>
      </w:r>
    </w:p>
    <w:p w:rsidR="0037575C" w:rsidRPr="00223BF3" w:rsidRDefault="0037575C" w:rsidP="0037575C">
      <w:pPr>
        <w:pStyle w:val="paragraph"/>
        <w:numPr>
          <w:ilvl w:val="0"/>
          <w:numId w:val="15"/>
        </w:numPr>
        <w:spacing w:before="0" w:beforeAutospacing="0" w:after="0" w:afterAutospacing="0"/>
        <w:jc w:val="both"/>
        <w:textAlignment w:val="baseline"/>
        <w:rPr>
          <w:color w:val="000000" w:themeColor="text1"/>
          <w:sz w:val="20"/>
          <w:szCs w:val="20"/>
        </w:rPr>
      </w:pPr>
      <w:r w:rsidRPr="00223BF3">
        <w:rPr>
          <w:rStyle w:val="normaltextrun"/>
          <w:color w:val="000000" w:themeColor="text1"/>
          <w:sz w:val="20"/>
          <w:szCs w:val="20"/>
          <w:lang w:val="en-IE"/>
        </w:rPr>
        <w:t xml:space="preserve">See: </w:t>
      </w:r>
      <w:hyperlink r:id="rId148" w:history="1">
        <w:r w:rsidRPr="00223BF3">
          <w:rPr>
            <w:rStyle w:val="Hyperlink"/>
            <w:iCs/>
            <w:sz w:val="20"/>
            <w:szCs w:val="20"/>
            <w:lang w:val="en-IE"/>
          </w:rPr>
          <w:t>Group of Experts on Action against Violence against Women and Domestic Violence</w:t>
        </w:r>
        <w:r w:rsidRPr="00223BF3">
          <w:rPr>
            <w:rStyle w:val="Hyperlink"/>
            <w:iCs/>
            <w:sz w:val="20"/>
            <w:szCs w:val="20"/>
            <w:lang w:val="en-US"/>
          </w:rPr>
          <w:t> </w:t>
        </w:r>
        <w:r w:rsidRPr="00223BF3">
          <w:rPr>
            <w:rStyle w:val="Hyperlink"/>
            <w:iCs/>
            <w:sz w:val="20"/>
            <w:szCs w:val="20"/>
            <w:lang w:val="en-IE"/>
          </w:rPr>
          <w:t>(GREVIO): Mid-term Horizontal Review of GREVIO baseline evaluation reports</w:t>
        </w:r>
      </w:hyperlink>
      <w:r w:rsidRPr="00223BF3">
        <w:rPr>
          <w:rStyle w:val="normaltextrun"/>
          <w:color w:val="000000" w:themeColor="text1"/>
          <w:sz w:val="20"/>
          <w:szCs w:val="20"/>
          <w:lang w:val="en-IE"/>
        </w:rPr>
        <w:t>.</w:t>
      </w:r>
    </w:p>
    <w:p w:rsidR="0037575C" w:rsidRPr="00223BF3" w:rsidRDefault="0037575C" w:rsidP="0037575C">
      <w:pPr>
        <w:pStyle w:val="EndnoteText"/>
        <w:numPr>
          <w:ilvl w:val="0"/>
          <w:numId w:val="15"/>
        </w:numPr>
        <w:rPr>
          <w:lang w:val="en-US"/>
        </w:rPr>
      </w:pPr>
      <w:r w:rsidRPr="00223BF3">
        <w:rPr>
          <w:lang w:val="en-US"/>
        </w:rPr>
        <w:t>Instrument under negotiations</w:t>
      </w:r>
    </w:p>
    <w:p w:rsidR="0037575C" w:rsidRPr="00223BF3" w:rsidRDefault="0037575C" w:rsidP="0037575C">
      <w:pPr>
        <w:pStyle w:val="EndnoteText"/>
        <w:numPr>
          <w:ilvl w:val="0"/>
          <w:numId w:val="15"/>
        </w:numPr>
      </w:pPr>
      <w:r w:rsidRPr="00223BF3">
        <w:t xml:space="preserve"> </w:t>
      </w:r>
      <w:hyperlink r:id="rId149" w:history="1">
        <w:r w:rsidRPr="00223BF3">
          <w:rPr>
            <w:rStyle w:val="Hyperlink"/>
            <w:lang w:val="en-IE"/>
          </w:rPr>
          <w:t>Regulation (EC) No 883/2004</w:t>
        </w:r>
      </w:hyperlink>
      <w:r w:rsidRPr="00223BF3">
        <w:t xml:space="preserve"> of the European Parliament and of the Council of 29 April 2004 on the coordination of social security systems (Text with relevance for the EEA and for Switzerland). </w:t>
      </w:r>
    </w:p>
    <w:p w:rsidR="0037575C" w:rsidRPr="00223BF3" w:rsidRDefault="0037575C" w:rsidP="0037575C">
      <w:pPr>
        <w:pStyle w:val="EndnoteText"/>
        <w:numPr>
          <w:ilvl w:val="0"/>
          <w:numId w:val="15"/>
        </w:numPr>
        <w:jc w:val="both"/>
      </w:pPr>
      <w:r w:rsidRPr="00223BF3">
        <w:t xml:space="preserve">See: </w:t>
      </w:r>
      <w:hyperlink r:id="rId150" w:history="1">
        <w:r w:rsidRPr="00223BF3">
          <w:rPr>
            <w:rStyle w:val="Hyperlink"/>
          </w:rPr>
          <w:t>Study assessing the implementation of the pilot action on the EU Disability Card and associated benefits - Publications Office of the EU</w:t>
        </w:r>
      </w:hyperlink>
      <w:r w:rsidRPr="00223BF3">
        <w:rPr>
          <w:lang w:val="en-GB"/>
        </w:rPr>
        <w:t xml:space="preserve">. </w:t>
      </w:r>
    </w:p>
    <w:p w:rsidR="0037575C" w:rsidRPr="00223BF3" w:rsidRDefault="0037575C" w:rsidP="0037575C">
      <w:pPr>
        <w:pStyle w:val="EndnoteText"/>
        <w:numPr>
          <w:ilvl w:val="0"/>
          <w:numId w:val="15"/>
        </w:numPr>
      </w:pPr>
      <w:r w:rsidRPr="00223BF3">
        <w:t xml:space="preserve">See: </w:t>
      </w:r>
      <w:hyperlink r:id="rId151" w:history="1">
        <w:r w:rsidRPr="00223BF3">
          <w:rPr>
            <w:rStyle w:val="Hyperlink"/>
          </w:rPr>
          <w:t>The new EU Roma strategic framework for equality, inclusion and participation (full package).</w:t>
        </w:r>
      </w:hyperlink>
    </w:p>
    <w:p w:rsidR="0037575C" w:rsidRPr="00223BF3" w:rsidRDefault="0037575C" w:rsidP="0037575C">
      <w:pPr>
        <w:pStyle w:val="EndnoteText"/>
        <w:numPr>
          <w:ilvl w:val="0"/>
          <w:numId w:val="15"/>
        </w:numPr>
        <w:jc w:val="both"/>
      </w:pPr>
      <w:r w:rsidRPr="00223BF3">
        <w:t>See: Council Recommendation of 12 March 2021 on Roma equality, inclusion and participation 2021/C 93/01 (</w:t>
      </w:r>
      <w:hyperlink r:id="rId152" w:history="1">
        <w:r w:rsidRPr="00223BF3">
          <w:rPr>
            <w:rStyle w:val="Hyperlink"/>
            <w:lang w:val="en-IE"/>
          </w:rPr>
          <w:t>ST/6070/2021/INIT</w:t>
        </w:r>
      </w:hyperlink>
      <w:r w:rsidRPr="00223BF3">
        <w:t xml:space="preserve">). </w:t>
      </w:r>
    </w:p>
    <w:p w:rsidR="0037575C" w:rsidRPr="00223BF3" w:rsidRDefault="0037575C" w:rsidP="0037575C">
      <w:pPr>
        <w:pStyle w:val="EndnoteText"/>
        <w:numPr>
          <w:ilvl w:val="0"/>
          <w:numId w:val="15"/>
        </w:numPr>
        <w:jc w:val="both"/>
      </w:pPr>
      <w:r w:rsidRPr="00223BF3">
        <w:t xml:space="preserve">See also the </w:t>
      </w:r>
      <w:r w:rsidRPr="00223BF3">
        <w:rPr>
          <w:lang w:val="en-GB"/>
        </w:rPr>
        <w:t>Commission</w:t>
      </w:r>
      <w:r w:rsidRPr="00223BF3">
        <w:t xml:space="preserve">’s reply of 30.6.2021 to the European Ombudsman Complaint ref. OI/2/2021, (C(2021) 4970 final). </w:t>
      </w:r>
    </w:p>
    <w:p w:rsidR="0037575C" w:rsidRPr="00223BF3" w:rsidRDefault="0037575C" w:rsidP="0037575C">
      <w:pPr>
        <w:pStyle w:val="EndnoteText"/>
        <w:numPr>
          <w:ilvl w:val="0"/>
          <w:numId w:val="15"/>
        </w:numPr>
        <w:rPr>
          <w:lang w:val="en-US"/>
        </w:rPr>
      </w:pPr>
      <w:r w:rsidRPr="00223BF3">
        <w:t>See also reply to the issues raised in paragraph 16 of the list of issues, point (b).</w:t>
      </w:r>
    </w:p>
    <w:p w:rsidR="0037575C" w:rsidRPr="00223BF3" w:rsidRDefault="0037575C" w:rsidP="0037575C">
      <w:pPr>
        <w:pStyle w:val="EndnoteText"/>
        <w:numPr>
          <w:ilvl w:val="0"/>
          <w:numId w:val="15"/>
        </w:numPr>
        <w:jc w:val="both"/>
      </w:pPr>
      <w:r w:rsidRPr="00223BF3">
        <w:t>Article 15 of Regulation (EU) 2021/1060, see also paragraph 1, point c.</w:t>
      </w:r>
    </w:p>
    <w:p w:rsidR="0037575C" w:rsidRPr="00223BF3" w:rsidRDefault="0037575C" w:rsidP="0037575C">
      <w:pPr>
        <w:pStyle w:val="EndnoteText"/>
        <w:numPr>
          <w:ilvl w:val="0"/>
          <w:numId w:val="15"/>
        </w:numPr>
      </w:pPr>
      <w:r w:rsidRPr="00223BF3">
        <w:t xml:space="preserve">The regional policy of the European Union. </w:t>
      </w:r>
    </w:p>
    <w:p w:rsidR="0037575C" w:rsidRPr="00223BF3" w:rsidRDefault="0037575C" w:rsidP="0037575C">
      <w:pPr>
        <w:pStyle w:val="EndnoteText"/>
        <w:numPr>
          <w:ilvl w:val="0"/>
          <w:numId w:val="15"/>
        </w:numPr>
      </w:pPr>
      <w:r w:rsidRPr="00223BF3">
        <w:t>Enabling conditions that are applicable only to certain policy objectives.</w:t>
      </w:r>
    </w:p>
    <w:p w:rsidR="0037575C" w:rsidRPr="00223BF3" w:rsidRDefault="0037575C" w:rsidP="0037575C">
      <w:pPr>
        <w:pStyle w:val="EndnoteText"/>
        <w:numPr>
          <w:ilvl w:val="0"/>
          <w:numId w:val="15"/>
        </w:numPr>
      </w:pPr>
      <w:r w:rsidRPr="00223BF3">
        <w:t>Article 40 of Regulation (EU) 2021/1060, see also paragraph 1, point c of this document.</w:t>
      </w:r>
    </w:p>
    <w:p w:rsidR="0037575C" w:rsidRPr="00223BF3" w:rsidRDefault="0037575C" w:rsidP="0037575C">
      <w:pPr>
        <w:pStyle w:val="EndnoteText"/>
        <w:numPr>
          <w:ilvl w:val="0"/>
          <w:numId w:val="15"/>
        </w:numPr>
      </w:pPr>
      <w:r w:rsidRPr="00223BF3">
        <w:t xml:space="preserve">Recital 24. See: </w:t>
      </w:r>
      <w:hyperlink r:id="rId153" w:history="1">
        <w:r w:rsidRPr="00223BF3">
          <w:rPr>
            <w:rStyle w:val="Hyperlink"/>
            <w:lang w:val="en-IE"/>
          </w:rPr>
          <w:t>Regulation (EU) 2021/1058</w:t>
        </w:r>
      </w:hyperlink>
      <w:r w:rsidRPr="00223BF3">
        <w:t xml:space="preserve"> of the European Parliament and of the Council of 24 June 2021 on the European Regional Development Fund and on the Cohesion Fund. </w:t>
      </w:r>
    </w:p>
    <w:p w:rsidR="0037575C" w:rsidRPr="00223BF3" w:rsidRDefault="0037575C" w:rsidP="0037575C">
      <w:pPr>
        <w:pStyle w:val="EndnoteText"/>
        <w:numPr>
          <w:ilvl w:val="0"/>
          <w:numId w:val="15"/>
        </w:numPr>
        <w:jc w:val="both"/>
      </w:pPr>
      <w:r w:rsidRPr="00223BF3">
        <w:t>A few 2021-2027 programming documents include explicit commitments specifying that investments in residential care institutions or facilities will not be supported.  Following the partnership principle of the Common Provision Regulation (CPR), bodies representing persons with disabilities should also be part of the consultations on the programmes when relevant. Article 8(1)(c) CPR provides that the partnership shall include “relevant bodies representing civil society, such as (…) non-governmental organisations, and bodies responsible for promoting (…) rights of persons with disabilities”. “Such as” means that relevant NGOs should be involved, but it is primarily for the MSs to assess which ones are relevant and hence which NGOs and bodies to include. The Commission can and should encourage the Member State to include bodies representing persons with disabilities in the partnership, but the wording of the legislation does not allow to require it.</w:t>
      </w:r>
    </w:p>
    <w:p w:rsidR="0037575C" w:rsidRPr="00223BF3" w:rsidRDefault="0037575C" w:rsidP="0037575C">
      <w:pPr>
        <w:pStyle w:val="EndnoteText"/>
        <w:numPr>
          <w:ilvl w:val="0"/>
          <w:numId w:val="15"/>
        </w:numPr>
        <w:jc w:val="both"/>
      </w:pPr>
      <w:r w:rsidRPr="00223BF3">
        <w:t xml:space="preserve">Recovery Assistance for Cohesion and the Territories of Europe. See: </w:t>
      </w:r>
      <w:hyperlink r:id="rId154" w:history="1">
        <w:r w:rsidRPr="00223BF3">
          <w:rPr>
            <w:rStyle w:val="Hyperlink"/>
            <w:lang w:val="en-IE"/>
          </w:rPr>
          <w:t>Regulation (EU) 2020/2221</w:t>
        </w:r>
      </w:hyperlink>
      <w:r w:rsidRPr="00223BF3">
        <w:t xml:space="preserve"> of the European Parliament and of the Council of 23 December 2020 amending Regulation (EU) No 1303/2013 as regards additional resources and implementing arrangements to provide assistance for fostering crisis repair in the context of the COVID-19 pandemic and its social consequences and for preparing a green, digital and resilient recovery of the economy (REACT-EU). </w:t>
      </w:r>
    </w:p>
    <w:p w:rsidR="0037575C" w:rsidRPr="00223BF3" w:rsidRDefault="0037575C" w:rsidP="0037575C">
      <w:pPr>
        <w:pStyle w:val="EndnoteText"/>
        <w:numPr>
          <w:ilvl w:val="0"/>
          <w:numId w:val="15"/>
        </w:numPr>
        <w:jc w:val="both"/>
      </w:pPr>
      <w:r w:rsidRPr="00223BF3">
        <w:t xml:space="preserve">See: </w:t>
      </w:r>
      <w:hyperlink r:id="rId155" w:history="1">
        <w:r w:rsidRPr="00223BF3">
          <w:rPr>
            <w:rStyle w:val="Hyperlink"/>
            <w:lang w:val="en-IE"/>
          </w:rPr>
          <w:t>Regulation (EU) 2022/562</w:t>
        </w:r>
      </w:hyperlink>
      <w:r w:rsidRPr="00223BF3">
        <w:t xml:space="preserve"> of the European Parliament and of the Council of 6 April 2022 amending Regulations (EU) No 1303/2013 and (EU) No 223/2014 as regards Cohesion’s Action for Refugees in Europe (CARE). </w:t>
      </w:r>
    </w:p>
    <w:p w:rsidR="0037575C" w:rsidRPr="00223BF3" w:rsidRDefault="0037575C" w:rsidP="0037575C">
      <w:pPr>
        <w:pStyle w:val="EndnoteText"/>
        <w:numPr>
          <w:ilvl w:val="0"/>
          <w:numId w:val="15"/>
        </w:numPr>
      </w:pPr>
      <w:r w:rsidRPr="00223BF3">
        <w:t>Article 8(5) of the Common Provisions Regulation 2021-2027 provides that “at least once a year, the Commission shall consult organisations which represent partners at Union level on the implementation of programmes”.</w:t>
      </w:r>
    </w:p>
    <w:p w:rsidR="0037575C" w:rsidRPr="00223BF3" w:rsidRDefault="0037575C" w:rsidP="0037575C">
      <w:pPr>
        <w:pStyle w:val="EndnoteText"/>
        <w:numPr>
          <w:ilvl w:val="0"/>
          <w:numId w:val="15"/>
        </w:numPr>
      </w:pPr>
      <w:r w:rsidRPr="00223BF3">
        <w:t xml:space="preserve"> </w:t>
      </w:r>
      <w:hyperlink r:id="rId156" w:history="1">
        <w:r w:rsidRPr="00223BF3">
          <w:rPr>
            <w:rStyle w:val="Hyperlink"/>
          </w:rPr>
          <w:t>Register of Commission expert groups and other similar entities</w:t>
        </w:r>
      </w:hyperlink>
      <w:r w:rsidRPr="00223BF3">
        <w:rPr>
          <w:lang w:val="en-GB"/>
        </w:rPr>
        <w:t>.</w:t>
      </w:r>
    </w:p>
    <w:p w:rsidR="0037575C" w:rsidRPr="00223BF3" w:rsidRDefault="0037575C" w:rsidP="0037575C">
      <w:pPr>
        <w:pStyle w:val="ListParagraph"/>
        <w:numPr>
          <w:ilvl w:val="0"/>
          <w:numId w:val="15"/>
        </w:numPr>
        <w:rPr>
          <w:color w:val="1F497D"/>
          <w:sz w:val="20"/>
          <w:szCs w:val="20"/>
          <w:lang w:val="en-GB"/>
        </w:rPr>
      </w:pPr>
      <w:r w:rsidRPr="00223BF3">
        <w:rPr>
          <w:sz w:val="20"/>
          <w:szCs w:val="20"/>
        </w:rPr>
        <w:t xml:space="preserve">The full list of members is available </w:t>
      </w:r>
      <w:hyperlink r:id="rId157" w:history="1">
        <w:r w:rsidRPr="00223BF3">
          <w:rPr>
            <w:rStyle w:val="Hyperlink"/>
            <w:sz w:val="20"/>
            <w:szCs w:val="20"/>
            <w:lang w:val="en-IE"/>
          </w:rPr>
          <w:t>here</w:t>
        </w:r>
      </w:hyperlink>
      <w:r w:rsidRPr="00223BF3">
        <w:rPr>
          <w:sz w:val="20"/>
          <w:szCs w:val="20"/>
        </w:rPr>
        <w:t>.</w:t>
      </w:r>
    </w:p>
    <w:p w:rsidR="0037575C" w:rsidRPr="00223BF3" w:rsidRDefault="0037575C" w:rsidP="0037575C">
      <w:pPr>
        <w:pStyle w:val="EndnoteText"/>
        <w:rPr>
          <w:lang w:val="en-GB"/>
        </w:rPr>
      </w:pPr>
    </w:p>
    <w:p w:rsidR="0037575C" w:rsidRPr="00223BF3" w:rsidRDefault="0037575C" w:rsidP="0037575C">
      <w:pPr>
        <w:pStyle w:val="EndnoteText"/>
        <w:numPr>
          <w:ilvl w:val="0"/>
          <w:numId w:val="15"/>
        </w:numPr>
        <w:jc w:val="both"/>
        <w:rPr>
          <w:lang w:val="fr-BE"/>
        </w:rPr>
      </w:pPr>
      <w:r w:rsidRPr="00223BF3">
        <w:rPr>
          <w:lang w:val="fr-BE"/>
        </w:rPr>
        <w:t xml:space="preserve">Regulations: </w:t>
      </w:r>
      <w:hyperlink r:id="rId158" w:history="1">
        <w:r w:rsidRPr="00223BF3">
          <w:rPr>
            <w:rStyle w:val="Hyperlink"/>
            <w:lang w:val="fr-BE"/>
          </w:rPr>
          <w:t>(EC) 1107/2006</w:t>
        </w:r>
      </w:hyperlink>
      <w:r w:rsidRPr="00223BF3">
        <w:rPr>
          <w:lang w:val="fr-BE"/>
        </w:rPr>
        <w:t xml:space="preserve">, (EC) 261/2004, </w:t>
      </w:r>
      <w:hyperlink r:id="rId159" w:history="1">
        <w:r w:rsidRPr="00223BF3">
          <w:rPr>
            <w:rStyle w:val="Hyperlink"/>
            <w:lang w:val="fr-BE"/>
          </w:rPr>
          <w:t>(EU) 2021/782</w:t>
        </w:r>
      </w:hyperlink>
      <w:r w:rsidRPr="00223BF3">
        <w:rPr>
          <w:lang w:val="fr-BE"/>
        </w:rPr>
        <w:t xml:space="preserve">, </w:t>
      </w:r>
      <w:hyperlink r:id="rId160" w:history="1">
        <w:r w:rsidRPr="00223BF3">
          <w:rPr>
            <w:rStyle w:val="Hyperlink"/>
            <w:lang w:val="fr-BE"/>
          </w:rPr>
          <w:t>(EU) 1177/2010</w:t>
        </w:r>
      </w:hyperlink>
      <w:r w:rsidRPr="00223BF3">
        <w:rPr>
          <w:lang w:val="fr-BE"/>
        </w:rPr>
        <w:t xml:space="preserve">, </w:t>
      </w:r>
      <w:hyperlink r:id="rId161" w:history="1">
        <w:r w:rsidRPr="00223BF3">
          <w:rPr>
            <w:rStyle w:val="Hyperlink"/>
            <w:lang w:val="fr-BE"/>
          </w:rPr>
          <w:t>(EU) 181/2011</w:t>
        </w:r>
      </w:hyperlink>
      <w:r w:rsidRPr="00223BF3">
        <w:rPr>
          <w:lang w:val="fr-BE"/>
        </w:rPr>
        <w:t>.</w:t>
      </w:r>
    </w:p>
    <w:p w:rsidR="0037575C" w:rsidRPr="00223BF3" w:rsidRDefault="0037575C" w:rsidP="0037575C">
      <w:pPr>
        <w:pStyle w:val="EndnoteText"/>
        <w:numPr>
          <w:ilvl w:val="0"/>
          <w:numId w:val="15"/>
        </w:numPr>
        <w:jc w:val="both"/>
      </w:pPr>
      <w:r w:rsidRPr="00223BF3">
        <w:rPr>
          <w:lang w:val="fr-BE"/>
        </w:rPr>
        <w:t xml:space="preserve"> </w:t>
      </w:r>
      <w:hyperlink r:id="rId162" w:history="1">
        <w:r w:rsidRPr="00223BF3">
          <w:rPr>
            <w:rStyle w:val="Hyperlink"/>
            <w:lang w:val="en-IE"/>
          </w:rPr>
          <w:t>Regulation (EU) 2021/782</w:t>
        </w:r>
      </w:hyperlink>
      <w:r w:rsidRPr="00223BF3">
        <w:t xml:space="preserve"> of the European Parliament and of the Council of 29 April 2021 on rail passengers’ rights and obligations (recast) (Text with EEA relevance). </w:t>
      </w:r>
    </w:p>
    <w:p w:rsidR="0037575C" w:rsidRPr="00223BF3" w:rsidRDefault="0037575C" w:rsidP="0037575C">
      <w:pPr>
        <w:pStyle w:val="EndnoteText"/>
        <w:numPr>
          <w:ilvl w:val="0"/>
          <w:numId w:val="15"/>
        </w:numPr>
      </w:pPr>
      <w:r w:rsidRPr="00223BF3">
        <w:t xml:space="preserve"> </w:t>
      </w:r>
      <w:hyperlink r:id="rId163" w:history="1">
        <w:r w:rsidRPr="00223BF3">
          <w:rPr>
            <w:rStyle w:val="Hyperlink"/>
            <w:lang w:val="en-IE"/>
          </w:rPr>
          <w:t>Regulation (EU) 1299/2014</w:t>
        </w:r>
      </w:hyperlink>
      <w:r w:rsidRPr="00223BF3">
        <w:t xml:space="preserve"> of 18 November 2014 on the technical specifications for interoperability relating to the ‘infrastructure’ subsystem of the rail system in the European Union (Text with EEA relevance).</w:t>
      </w:r>
    </w:p>
    <w:p w:rsidR="0037575C" w:rsidRPr="00223BF3" w:rsidRDefault="0037575C" w:rsidP="0037575C">
      <w:pPr>
        <w:pStyle w:val="EndnoteText"/>
        <w:numPr>
          <w:ilvl w:val="0"/>
          <w:numId w:val="15"/>
        </w:numPr>
        <w:jc w:val="both"/>
      </w:pPr>
      <w:r w:rsidRPr="00223BF3">
        <w:rPr>
          <w:color w:val="000000" w:themeColor="text1"/>
        </w:rPr>
        <w:t xml:space="preserve">Article 4 of </w:t>
      </w:r>
      <w:hyperlink r:id="rId164" w:history="1">
        <w:r w:rsidRPr="00223BF3">
          <w:rPr>
            <w:rStyle w:val="Hyperlink"/>
            <w:lang w:val="en-IE"/>
          </w:rPr>
          <w:t>Regulation (EC) 1107/2006</w:t>
        </w:r>
      </w:hyperlink>
      <w:r w:rsidRPr="00223BF3">
        <w:rPr>
          <w:color w:val="000000" w:themeColor="text1"/>
        </w:rPr>
        <w:t xml:space="preserve"> for air, Article 10 of </w:t>
      </w:r>
      <w:hyperlink r:id="rId165" w:history="1">
        <w:r w:rsidRPr="00223BF3">
          <w:rPr>
            <w:rStyle w:val="Hyperlink"/>
            <w:lang w:val="en-IE"/>
          </w:rPr>
          <w:t>Regulation (EU) 181/2011</w:t>
        </w:r>
      </w:hyperlink>
      <w:r w:rsidRPr="00223BF3">
        <w:rPr>
          <w:color w:val="000000" w:themeColor="text1"/>
        </w:rPr>
        <w:t xml:space="preserve">, and Article 8 of </w:t>
      </w:r>
      <w:hyperlink r:id="rId166" w:history="1">
        <w:r w:rsidRPr="00223BF3">
          <w:rPr>
            <w:rStyle w:val="Hyperlink"/>
            <w:lang w:val="en-IE"/>
          </w:rPr>
          <w:t>Regulation (EU) 1177/2010</w:t>
        </w:r>
      </w:hyperlink>
      <w:r w:rsidRPr="00223BF3">
        <w:rPr>
          <w:color w:val="000000" w:themeColor="text1"/>
        </w:rPr>
        <w:t xml:space="preserve">. </w:t>
      </w:r>
    </w:p>
    <w:p w:rsidR="0037575C" w:rsidRPr="00223BF3" w:rsidRDefault="0037575C" w:rsidP="0037575C">
      <w:pPr>
        <w:pStyle w:val="EndnoteText"/>
        <w:numPr>
          <w:ilvl w:val="0"/>
          <w:numId w:val="15"/>
        </w:numPr>
        <w:jc w:val="both"/>
      </w:pPr>
      <w:r w:rsidRPr="00223BF3">
        <w:t xml:space="preserve">Carriers shall publicise their safety rules; if carriers refuse to transport a passenger because of his or her disability, they shall provide a justification; carriers shall allow a person with a disability to be accompanied by someone who can help them comply with the safety rules in question. If carriers deny transporting someone, they shall make all reasonable efforts to provide an alternative service for the passenger concerned.    </w:t>
      </w:r>
    </w:p>
    <w:p w:rsidR="0037575C" w:rsidRPr="00223BF3" w:rsidRDefault="0037575C" w:rsidP="0037575C">
      <w:pPr>
        <w:pStyle w:val="EndnoteText"/>
        <w:numPr>
          <w:ilvl w:val="0"/>
          <w:numId w:val="15"/>
        </w:numPr>
      </w:pPr>
      <w:r w:rsidRPr="00223BF3">
        <w:t xml:space="preserve"> </w:t>
      </w:r>
      <w:r w:rsidRPr="00223BF3">
        <w:rPr>
          <w:lang w:val="en-GB"/>
        </w:rPr>
        <w:t xml:space="preserve"> </w:t>
      </w:r>
      <w:hyperlink r:id="rId167" w:history="1">
        <w:r w:rsidRPr="00223BF3">
          <w:rPr>
            <w:rStyle w:val="Hyperlink"/>
            <w:lang w:val="en-IE"/>
          </w:rPr>
          <w:t>Regulation (EU) 2021/782</w:t>
        </w:r>
      </w:hyperlink>
      <w:r w:rsidRPr="00223BF3">
        <w:rPr>
          <w:rStyle w:val="Hyperlink"/>
          <w:lang w:val="en-IE"/>
        </w:rPr>
        <w:t>.</w:t>
      </w:r>
    </w:p>
    <w:p w:rsidR="0037575C" w:rsidRPr="00223BF3" w:rsidRDefault="0037575C" w:rsidP="0037575C">
      <w:pPr>
        <w:pStyle w:val="EndnoteText"/>
        <w:numPr>
          <w:ilvl w:val="0"/>
          <w:numId w:val="15"/>
        </w:numPr>
      </w:pPr>
      <w:r w:rsidRPr="00223BF3">
        <w:t xml:space="preserve">  </w:t>
      </w:r>
      <w:hyperlink r:id="rId168" w:history="1">
        <w:r w:rsidRPr="00223BF3">
          <w:rPr>
            <w:rStyle w:val="Hyperlink"/>
            <w:lang w:val="en-IE"/>
          </w:rPr>
          <w:t>COM (2021) 812 final</w:t>
        </w:r>
      </w:hyperlink>
      <w:r w:rsidRPr="00223BF3">
        <w:t>: Proposal for a regulation of the European Parliament and of the Council on Union guidelines for the development of the trans-European transport network, amending Regulation (EU) 2021/1153 and Regulation (EU) No 913/2010 and repealing Regulation (EU) 1315/2013.</w:t>
      </w:r>
    </w:p>
    <w:p w:rsidR="0037575C" w:rsidRPr="00223BF3" w:rsidRDefault="0037575C" w:rsidP="0037575C">
      <w:pPr>
        <w:pStyle w:val="EndnoteText"/>
        <w:numPr>
          <w:ilvl w:val="0"/>
          <w:numId w:val="15"/>
        </w:numPr>
        <w:jc w:val="both"/>
      </w:pPr>
      <w:r w:rsidRPr="00223BF3">
        <w:t xml:space="preserve"> </w:t>
      </w:r>
      <w:hyperlink r:id="rId169" w:history="1">
        <w:r w:rsidRPr="00223BF3">
          <w:rPr>
            <w:rStyle w:val="Hyperlink"/>
            <w:lang w:val="en-IE"/>
          </w:rPr>
          <w:t>Regulation (EU) No 1315/2013</w:t>
        </w:r>
      </w:hyperlink>
      <w:r w:rsidRPr="00223BF3">
        <w:t xml:space="preserve"> of the European Parliament and of the Council of 11 December 2013 on Union guidelines for the development of the trans-European transport network and repealing Decision No 661/2010/EU (Text with EEA relevance). </w:t>
      </w:r>
    </w:p>
    <w:p w:rsidR="0037575C" w:rsidRPr="00223BF3" w:rsidRDefault="0037575C" w:rsidP="0037575C">
      <w:pPr>
        <w:pStyle w:val="EndnoteText"/>
        <w:numPr>
          <w:ilvl w:val="0"/>
          <w:numId w:val="15"/>
        </w:numPr>
        <w:jc w:val="both"/>
      </w:pPr>
      <w:r w:rsidRPr="00223BF3">
        <w:t xml:space="preserve">See </w:t>
      </w:r>
      <w:r w:rsidRPr="00223BF3">
        <w:rPr>
          <w:color w:val="000000" w:themeColor="text1"/>
        </w:rPr>
        <w:t xml:space="preserve">Article 49 of the proposal. </w:t>
      </w:r>
    </w:p>
    <w:p w:rsidR="0037575C" w:rsidRPr="00223BF3" w:rsidRDefault="0037575C" w:rsidP="0037575C">
      <w:pPr>
        <w:pStyle w:val="EndnoteText"/>
        <w:numPr>
          <w:ilvl w:val="0"/>
          <w:numId w:val="15"/>
        </w:numPr>
      </w:pPr>
      <w:r w:rsidRPr="00223BF3">
        <w:t xml:space="preserve"> </w:t>
      </w:r>
      <w:hyperlink r:id="rId170" w:history="1">
        <w:r w:rsidRPr="00223BF3">
          <w:rPr>
            <w:rStyle w:val="Hyperlink"/>
            <w:lang w:val="en-IE"/>
          </w:rPr>
          <w:t>Regulation (EC) 261/2004</w:t>
        </w:r>
      </w:hyperlink>
      <w:r w:rsidRPr="00223BF3">
        <w:t xml:space="preserve"> of the European Parliament and of the Council of 11 February 2004 establishing common rules on compensation and assistance to passengers in the event of denied boarding and of cancellation or long delay of flights, and repealing Regulation (EEC) No 295/91 (Text with EEA relevance).</w:t>
      </w:r>
    </w:p>
    <w:p w:rsidR="0037575C" w:rsidRPr="00223BF3" w:rsidRDefault="0037575C" w:rsidP="0037575C">
      <w:pPr>
        <w:pStyle w:val="EndnoteText"/>
        <w:numPr>
          <w:ilvl w:val="0"/>
          <w:numId w:val="15"/>
        </w:numPr>
      </w:pPr>
      <w:r w:rsidRPr="00223BF3">
        <w:t xml:space="preserve"> </w:t>
      </w:r>
      <w:hyperlink r:id="rId171" w:history="1">
        <w:r w:rsidRPr="00223BF3">
          <w:rPr>
            <w:rStyle w:val="Hyperlink"/>
            <w:lang w:val="en-IE"/>
          </w:rPr>
          <w:t>Regulation (EC) 1371/2007</w:t>
        </w:r>
      </w:hyperlink>
      <w:r w:rsidRPr="00223BF3">
        <w:t xml:space="preserve"> of the European Parliament and of the Council of 23 October 2007 on rail passengers’ rights and obligations.</w:t>
      </w:r>
    </w:p>
    <w:p w:rsidR="0037575C" w:rsidRPr="00223BF3" w:rsidRDefault="0037575C" w:rsidP="0037575C">
      <w:pPr>
        <w:pStyle w:val="EndnoteText"/>
        <w:numPr>
          <w:ilvl w:val="0"/>
          <w:numId w:val="15"/>
        </w:numPr>
      </w:pPr>
      <w:r w:rsidRPr="00223BF3">
        <w:t xml:space="preserve"> </w:t>
      </w:r>
      <w:hyperlink r:id="rId172" w:history="1">
        <w:r w:rsidRPr="00223BF3">
          <w:rPr>
            <w:rStyle w:val="Hyperlink"/>
            <w:lang w:val="en-IE"/>
          </w:rPr>
          <w:t>Regulation (EU) 1177/2010</w:t>
        </w:r>
      </w:hyperlink>
      <w:r w:rsidRPr="00223BF3">
        <w:t xml:space="preserve"> of the European Parliament and of the Council of 24 November 2010 concerning the rights of passengers when travelling by sea and inland waterway and amending Regulation (EC) No 2006/2004 (Text with EEA relevance).</w:t>
      </w:r>
    </w:p>
    <w:p w:rsidR="0037575C" w:rsidRPr="00223BF3" w:rsidRDefault="0037575C" w:rsidP="0037575C">
      <w:pPr>
        <w:pStyle w:val="EndnoteText"/>
        <w:numPr>
          <w:ilvl w:val="0"/>
          <w:numId w:val="15"/>
        </w:numPr>
      </w:pPr>
      <w:r w:rsidRPr="00223BF3">
        <w:t xml:space="preserve"> </w:t>
      </w:r>
      <w:hyperlink r:id="rId173" w:history="1">
        <w:r w:rsidRPr="00223BF3">
          <w:rPr>
            <w:rStyle w:val="Hyperlink"/>
            <w:lang w:val="en-IE"/>
          </w:rPr>
          <w:t>Regulation (EU) 181/2011</w:t>
        </w:r>
      </w:hyperlink>
      <w:r w:rsidRPr="00223BF3">
        <w:t xml:space="preserve"> of the European Parliament and of the Council of 16 February 2011 concerning the rights of passengers in bus and coach transport and amending Regulation (EC) No 2006/2004 (Text with EEA relevance).</w:t>
      </w:r>
    </w:p>
    <w:p w:rsidR="0037575C" w:rsidRPr="00223BF3" w:rsidRDefault="0037575C" w:rsidP="0037575C">
      <w:pPr>
        <w:pStyle w:val="EndnoteText"/>
        <w:numPr>
          <w:ilvl w:val="0"/>
          <w:numId w:val="15"/>
        </w:numPr>
      </w:pPr>
      <w:r w:rsidRPr="00223BF3">
        <w:t xml:space="preserve"> </w:t>
      </w:r>
      <w:hyperlink r:id="rId174" w:history="1">
        <w:r w:rsidRPr="00223BF3">
          <w:rPr>
            <w:rStyle w:val="Hyperlink"/>
            <w:lang w:val="en-IE"/>
          </w:rPr>
          <w:t>COM(2013) 0130 final</w:t>
        </w:r>
      </w:hyperlink>
      <w:r w:rsidRPr="00223BF3">
        <w:t>: Proposal for a regulation of the European Parliament and of the Council amending Regulation (EC) No 261/2004 establishing common rules on compensation and assistance to passengers in the event of denied boarding and of cancellation or long delay of flights and Regulation (EC) No 2027/97 on air carrier liability in respect of the carriage of passengers and their baggage by air.</w:t>
      </w:r>
    </w:p>
    <w:p w:rsidR="0037575C" w:rsidRPr="00223BF3" w:rsidRDefault="0037575C" w:rsidP="0037575C">
      <w:pPr>
        <w:pStyle w:val="EndnoteText"/>
        <w:numPr>
          <w:ilvl w:val="0"/>
          <w:numId w:val="15"/>
        </w:numPr>
        <w:jc w:val="both"/>
      </w:pPr>
      <w:r w:rsidRPr="00223BF3">
        <w:t xml:space="preserve"> </w:t>
      </w:r>
      <w:hyperlink r:id="rId175" w:history="1">
        <w:r w:rsidRPr="00223BF3">
          <w:rPr>
            <w:rStyle w:val="Hyperlink"/>
            <w:rFonts w:eastAsiaTheme="minorEastAsia"/>
            <w:lang w:val="en-IE"/>
          </w:rPr>
          <w:t>Directive (EU) 2019/882</w:t>
        </w:r>
      </w:hyperlink>
      <w:r w:rsidRPr="00223BF3">
        <w:rPr>
          <w:rFonts w:eastAsiaTheme="minorEastAsia"/>
        </w:rPr>
        <w:t xml:space="preserve"> of the European Parliament and of the Council of 17 April 2019 on the accessibility requirements for products and services (Text with EEA relevance).</w:t>
      </w:r>
    </w:p>
    <w:p w:rsidR="0037575C" w:rsidRPr="00223BF3" w:rsidRDefault="0037575C" w:rsidP="0037575C">
      <w:pPr>
        <w:pStyle w:val="EndnoteText"/>
        <w:numPr>
          <w:ilvl w:val="0"/>
          <w:numId w:val="15"/>
        </w:numPr>
        <w:jc w:val="both"/>
      </w:pPr>
      <w:r w:rsidRPr="00223BF3">
        <w:t xml:space="preserve">See paragraph 1, point c and paragraph 10, point d. </w:t>
      </w:r>
    </w:p>
    <w:p w:rsidR="0037575C" w:rsidRPr="00223BF3" w:rsidRDefault="0037575C" w:rsidP="0037575C">
      <w:pPr>
        <w:pStyle w:val="EndnoteText"/>
        <w:numPr>
          <w:ilvl w:val="0"/>
          <w:numId w:val="15"/>
        </w:numPr>
        <w:jc w:val="both"/>
      </w:pPr>
      <w:r w:rsidRPr="00223BF3">
        <w:t xml:space="preserve">For example, the main </w:t>
      </w:r>
      <w:r w:rsidRPr="00223BF3">
        <w:rPr>
          <w:lang w:val="en-GB"/>
        </w:rPr>
        <w:t xml:space="preserve">Commission </w:t>
      </w:r>
      <w:r w:rsidRPr="00223BF3">
        <w:t>decisions, which are also available in voice-overs.</w:t>
      </w:r>
    </w:p>
    <w:p w:rsidR="0037575C" w:rsidRPr="00223BF3" w:rsidRDefault="0037575C" w:rsidP="0037575C">
      <w:pPr>
        <w:pStyle w:val="EndnoteText"/>
        <w:numPr>
          <w:ilvl w:val="0"/>
          <w:numId w:val="15"/>
        </w:numPr>
        <w:jc w:val="both"/>
      </w:pPr>
      <w:r w:rsidRPr="00223BF3">
        <w:t>Work is ongoing on making more publications available in Ukrainian and Russian.</w:t>
      </w:r>
    </w:p>
    <w:p w:rsidR="0037575C" w:rsidRPr="00223BF3" w:rsidRDefault="0037575C" w:rsidP="0037575C">
      <w:pPr>
        <w:pStyle w:val="EndnoteText"/>
        <w:numPr>
          <w:ilvl w:val="0"/>
          <w:numId w:val="15"/>
        </w:numPr>
        <w:jc w:val="both"/>
      </w:pPr>
      <w:r w:rsidRPr="00223BF3">
        <w:t xml:space="preserve">See: </w:t>
      </w:r>
      <w:hyperlink r:id="rId176" w:history="1">
        <w:r w:rsidRPr="00223BF3">
          <w:rPr>
            <w:rStyle w:val="Hyperlink"/>
            <w:lang w:val="en-IE"/>
          </w:rPr>
          <w:t>EU Pioneers: The trailblazers who helped build today’s Europe</w:t>
        </w:r>
      </w:hyperlink>
      <w:r w:rsidRPr="00223BF3">
        <w:t xml:space="preserve">. </w:t>
      </w:r>
    </w:p>
    <w:p w:rsidR="0037575C" w:rsidRPr="00223BF3" w:rsidRDefault="0037575C" w:rsidP="0037575C">
      <w:pPr>
        <w:pStyle w:val="EndnoteText"/>
        <w:numPr>
          <w:ilvl w:val="0"/>
          <w:numId w:val="15"/>
        </w:numPr>
        <w:jc w:val="both"/>
      </w:pPr>
      <w:r w:rsidRPr="00223BF3">
        <w:t xml:space="preserve">Pilot projects for 2023 and 2024 include easy-to-read and Braille versions of the most relevant publications, including Braille QR codes as part of a universal design for printed materials distributed during EU in-person events for the general public, both for children (5-18 y.o.) and over 18 years old; different formats and supports of materials accessible to non-readers are available (videos, online games, etc.); the </w:t>
      </w:r>
      <w:r w:rsidRPr="00223BF3">
        <w:rPr>
          <w:lang w:val="en-GB"/>
        </w:rPr>
        <w:t xml:space="preserve">Commission </w:t>
      </w:r>
      <w:r w:rsidRPr="00223BF3">
        <w:t>included persons with disabilities in the images and pictures that illustrate its publications.</w:t>
      </w:r>
    </w:p>
    <w:p w:rsidR="0037575C" w:rsidRPr="00223BF3" w:rsidRDefault="0037575C" w:rsidP="0037575C">
      <w:pPr>
        <w:pStyle w:val="EndnoteText"/>
        <w:numPr>
          <w:ilvl w:val="0"/>
          <w:numId w:val="15"/>
        </w:numPr>
        <w:jc w:val="both"/>
      </w:pPr>
      <w:r w:rsidRPr="00223BF3">
        <w:t>In 2022, for the first time the State of the Union speech at the European Parliament had live ISL interpretation.</w:t>
      </w:r>
    </w:p>
    <w:p w:rsidR="0037575C" w:rsidRPr="00223BF3" w:rsidRDefault="0037575C" w:rsidP="0037575C">
      <w:pPr>
        <w:pStyle w:val="EndnoteText"/>
        <w:numPr>
          <w:ilvl w:val="0"/>
          <w:numId w:val="15"/>
        </w:numPr>
        <w:jc w:val="both"/>
        <w:rPr>
          <w:lang w:val="en-GB"/>
        </w:rPr>
      </w:pPr>
      <w:r w:rsidRPr="00223BF3">
        <w:t>The Eurobarometer website and the eUI library follow the Europa Component Library eUI principles as look and feel.</w:t>
      </w:r>
    </w:p>
    <w:p w:rsidR="0037575C" w:rsidRPr="00223BF3" w:rsidRDefault="0037575C" w:rsidP="0037575C">
      <w:pPr>
        <w:pStyle w:val="EndnoteText"/>
        <w:numPr>
          <w:ilvl w:val="0"/>
          <w:numId w:val="15"/>
        </w:numPr>
        <w:jc w:val="both"/>
      </w:pPr>
      <w:r w:rsidRPr="00223BF3">
        <w:t xml:space="preserve">See: </w:t>
      </w:r>
      <w:hyperlink r:id="rId177" w:history="1">
        <w:r w:rsidRPr="00223BF3">
          <w:rPr>
            <w:rStyle w:val="Hyperlink"/>
            <w:lang w:val="en-IE"/>
          </w:rPr>
          <w:t>Directive (EU) 2018/1808</w:t>
        </w:r>
      </w:hyperlink>
      <w:r w:rsidRPr="00223BF3">
        <w:t xml:space="preserve"> of the European Parliament and of the Council of 14 November 2018 amending Directive 2010/13/EU on the coordination of certain provisions laid down by law, regulation or administrative action in MS concerning the provision of audiovisual media services (Audiovisual Media Services Directive) in view of changing market realities.</w:t>
      </w:r>
    </w:p>
    <w:p w:rsidR="0037575C" w:rsidRPr="00223BF3" w:rsidRDefault="0037575C" w:rsidP="0037575C">
      <w:pPr>
        <w:pStyle w:val="EndnoteText"/>
        <w:numPr>
          <w:ilvl w:val="0"/>
          <w:numId w:val="15"/>
        </w:numPr>
        <w:jc w:val="both"/>
      </w:pPr>
      <w:r w:rsidRPr="00223BF3">
        <w:t xml:space="preserve">See: </w:t>
      </w:r>
      <w:hyperlink r:id="rId178" w:history="1">
        <w:r w:rsidRPr="00223BF3">
          <w:rPr>
            <w:rStyle w:val="Hyperlink"/>
            <w:lang w:val="en-IE"/>
          </w:rPr>
          <w:t>Regulation (EU) 2022/2065</w:t>
        </w:r>
      </w:hyperlink>
      <w:r w:rsidRPr="00223BF3">
        <w:t xml:space="preserve"> of the European Parliament and of the Council on a Single Market For Digital Services and amending Directive 2000/31/EC (Digital Services Act).Regulation (EU) 2022/2065 of the European Parliament and of the Council of 19 October 2022 on a Single Market For Digital Services and amending Directive 2000/31/EC (Digital Services Act)</w:t>
      </w:r>
    </w:p>
    <w:p w:rsidR="0037575C" w:rsidRPr="00223BF3" w:rsidRDefault="0037575C" w:rsidP="0037575C">
      <w:pPr>
        <w:pStyle w:val="EndnoteText"/>
        <w:numPr>
          <w:ilvl w:val="0"/>
          <w:numId w:val="15"/>
        </w:numPr>
        <w:jc w:val="both"/>
      </w:pPr>
      <w:r w:rsidRPr="00223BF3">
        <w:t xml:space="preserve">See: </w:t>
      </w:r>
      <w:hyperlink r:id="rId179" w:anchor=":~:text=The%20revision%20of%20the%20Audiovisual%20Media%20Services%20Directive%C2%A0%28AVMSD%29,revised%20AVMSD%20in%202018%2C%20completing%20the%20legislative%20process." w:history="1">
        <w:r w:rsidRPr="00223BF3">
          <w:rPr>
            <w:rStyle w:val="Hyperlink"/>
            <w:lang w:val="en-IE"/>
          </w:rPr>
          <w:t>Revision of the Audiovisual Media Services Directive (AVMSD)</w:t>
        </w:r>
      </w:hyperlink>
      <w:r w:rsidRPr="00223BF3">
        <w:t xml:space="preserve">. </w:t>
      </w:r>
    </w:p>
    <w:p w:rsidR="0037575C" w:rsidRPr="00223BF3" w:rsidRDefault="0037575C" w:rsidP="0037575C">
      <w:pPr>
        <w:pStyle w:val="EndnoteText"/>
        <w:numPr>
          <w:ilvl w:val="0"/>
          <w:numId w:val="15"/>
        </w:numPr>
      </w:pPr>
      <w:r w:rsidRPr="00223BF3">
        <w:t>See: Article 47 of the Digital Services Act.</w:t>
      </w:r>
    </w:p>
    <w:p w:rsidR="0037575C" w:rsidRPr="00223BF3" w:rsidRDefault="0037575C" w:rsidP="0037575C">
      <w:pPr>
        <w:pStyle w:val="EndnoteText"/>
        <w:numPr>
          <w:ilvl w:val="0"/>
          <w:numId w:val="15"/>
        </w:numPr>
        <w:jc w:val="both"/>
      </w:pPr>
      <w:r w:rsidRPr="00223BF3">
        <w:t>Pursuant to the Staff Regulations.</w:t>
      </w:r>
    </w:p>
    <w:p w:rsidR="0037575C" w:rsidRPr="00223BF3" w:rsidRDefault="0037575C" w:rsidP="0037575C">
      <w:pPr>
        <w:pStyle w:val="EndnoteText"/>
        <w:numPr>
          <w:ilvl w:val="0"/>
          <w:numId w:val="15"/>
        </w:numPr>
        <w:jc w:val="both"/>
      </w:pPr>
      <w:r w:rsidRPr="00223BF3">
        <w:t>Adopted on 30 April 2020 by the College of Heads of Administration, Conclusion No 281/20.</w:t>
      </w:r>
    </w:p>
    <w:p w:rsidR="0037575C" w:rsidRPr="00223BF3" w:rsidRDefault="0037575C" w:rsidP="0037575C">
      <w:pPr>
        <w:pStyle w:val="EndnoteText"/>
        <w:numPr>
          <w:ilvl w:val="0"/>
          <w:numId w:val="15"/>
        </w:numPr>
        <w:jc w:val="both"/>
      </w:pPr>
      <w:r w:rsidRPr="00223BF3">
        <w:t xml:space="preserve">See: </w:t>
      </w:r>
      <w:hyperlink r:id="rId180" w:anchor=":~:text=The%20Digital%20Decade%20policy%20programme%202030%20sets%20up%20a%20monitoring,indicators%2C%20in%20an%20implementing%20act." w:history="1">
        <w:r w:rsidRPr="00223BF3">
          <w:rPr>
            <w:rStyle w:val="Hyperlink"/>
            <w:lang w:val="en-IE"/>
          </w:rPr>
          <w:t>Digital Decade</w:t>
        </w:r>
      </w:hyperlink>
      <w:r w:rsidRPr="00223BF3">
        <w:rPr>
          <w:rStyle w:val="Hyperlink"/>
          <w:lang w:val="en-IE"/>
        </w:rPr>
        <w:t>.</w:t>
      </w:r>
    </w:p>
    <w:p w:rsidR="0037575C" w:rsidRPr="00223BF3" w:rsidRDefault="0037575C" w:rsidP="0037575C">
      <w:pPr>
        <w:pStyle w:val="EndnoteText"/>
        <w:numPr>
          <w:ilvl w:val="0"/>
          <w:numId w:val="15"/>
        </w:numPr>
        <w:jc w:val="both"/>
      </w:pPr>
      <w:r w:rsidRPr="00223BF3">
        <w:t xml:space="preserve">See: </w:t>
      </w:r>
      <w:hyperlink r:id="rId181" w:history="1">
        <w:r w:rsidRPr="00223BF3">
          <w:rPr>
            <w:rStyle w:val="Hyperlink"/>
            <w:lang w:val="en-IE"/>
          </w:rPr>
          <w:t>European Declaration on Digital Rights and Principles</w:t>
        </w:r>
      </w:hyperlink>
      <w:r w:rsidRPr="00223BF3">
        <w:rPr>
          <w:rStyle w:val="Hyperlink"/>
          <w:lang w:val="en-IE"/>
        </w:rPr>
        <w:t>.</w:t>
      </w:r>
    </w:p>
    <w:p w:rsidR="0037575C" w:rsidRPr="00223BF3" w:rsidRDefault="0037575C" w:rsidP="0037575C">
      <w:pPr>
        <w:pStyle w:val="EndnoteText"/>
        <w:numPr>
          <w:ilvl w:val="0"/>
          <w:numId w:val="15"/>
        </w:numPr>
      </w:pPr>
      <w:r w:rsidRPr="00223BF3">
        <w:t xml:space="preserve">See also paragraph 23, point b. </w:t>
      </w:r>
    </w:p>
    <w:p w:rsidR="0037575C" w:rsidRPr="00223BF3" w:rsidRDefault="0037575C" w:rsidP="0037575C">
      <w:pPr>
        <w:pStyle w:val="EndnoteText"/>
        <w:numPr>
          <w:ilvl w:val="0"/>
          <w:numId w:val="15"/>
        </w:numPr>
      </w:pPr>
      <w:r w:rsidRPr="00223BF3">
        <w:t xml:space="preserve">See: </w:t>
      </w:r>
      <w:hyperlink r:id="rId182" w:history="1">
        <w:r w:rsidRPr="00223BF3">
          <w:rPr>
            <w:rStyle w:val="Hyperlink"/>
            <w:lang w:val="en-IE"/>
          </w:rPr>
          <w:t>A European Care Strategy for caregivers and care receivers</w:t>
        </w:r>
      </w:hyperlink>
      <w:r w:rsidRPr="00223BF3">
        <w:t xml:space="preserve">. </w:t>
      </w:r>
    </w:p>
    <w:p w:rsidR="0037575C" w:rsidRPr="00223BF3" w:rsidRDefault="0037575C" w:rsidP="0037575C">
      <w:pPr>
        <w:pStyle w:val="EndnoteText"/>
        <w:numPr>
          <w:ilvl w:val="0"/>
          <w:numId w:val="15"/>
        </w:numPr>
        <w:rPr>
          <w:lang w:val="en-US"/>
        </w:rPr>
      </w:pPr>
      <w:r w:rsidRPr="00223BF3">
        <w:t xml:space="preserve">See: </w:t>
      </w:r>
      <w:hyperlink r:id="rId183" w:history="1">
        <w:r w:rsidRPr="00223BF3">
          <w:rPr>
            <w:rStyle w:val="Hyperlink"/>
            <w:lang w:val="en-IE"/>
          </w:rPr>
          <w:t>Council Recommendation on access to affordable high-quality long-term care</w:t>
        </w:r>
      </w:hyperlink>
      <w:r w:rsidRPr="00223BF3">
        <w:t>.</w:t>
      </w:r>
    </w:p>
    <w:p w:rsidR="0037575C" w:rsidRPr="00223BF3" w:rsidRDefault="0037575C" w:rsidP="0037575C">
      <w:pPr>
        <w:pStyle w:val="EndnoteText"/>
        <w:numPr>
          <w:ilvl w:val="0"/>
          <w:numId w:val="15"/>
        </w:numPr>
      </w:pPr>
      <w:r w:rsidRPr="00223BF3">
        <w:t>See also paragraph 8, point c.</w:t>
      </w:r>
    </w:p>
    <w:p w:rsidR="0037575C" w:rsidRPr="00223BF3" w:rsidRDefault="0037575C" w:rsidP="0037575C">
      <w:pPr>
        <w:pStyle w:val="EndnoteText"/>
        <w:numPr>
          <w:ilvl w:val="0"/>
          <w:numId w:val="15"/>
        </w:numPr>
      </w:pPr>
      <w:r w:rsidRPr="00223BF3">
        <w:t xml:space="preserve">See: </w:t>
      </w:r>
      <w:hyperlink r:id="rId184" w:history="1">
        <w:r w:rsidRPr="00223BF3">
          <w:rPr>
            <w:rStyle w:val="Hyperlink"/>
            <w:lang w:val="en-IE"/>
          </w:rPr>
          <w:t>The EU Strategy on the Rights of the Child and the European Child Guarantee</w:t>
        </w:r>
      </w:hyperlink>
      <w:r w:rsidRPr="00223BF3">
        <w:t xml:space="preserve">. </w:t>
      </w:r>
    </w:p>
    <w:p w:rsidR="0037575C" w:rsidRPr="00223BF3" w:rsidRDefault="0037575C" w:rsidP="0037575C">
      <w:pPr>
        <w:pStyle w:val="EndnoteText"/>
        <w:numPr>
          <w:ilvl w:val="0"/>
          <w:numId w:val="15"/>
        </w:numPr>
      </w:pPr>
      <w:r w:rsidRPr="00223BF3">
        <w:t>See also paragraph 8, point c.</w:t>
      </w:r>
    </w:p>
    <w:p w:rsidR="0037575C" w:rsidRPr="00223BF3" w:rsidRDefault="0037575C" w:rsidP="0037575C">
      <w:pPr>
        <w:pStyle w:val="EndnoteText"/>
        <w:numPr>
          <w:ilvl w:val="0"/>
          <w:numId w:val="15"/>
        </w:numPr>
      </w:pPr>
      <w:r w:rsidRPr="00223BF3">
        <w:t xml:space="preserve">See: the study report ‘Data collection and analysis of Erasmus+ projects: Focus on inclusion in education’ which reviews the outcomes of such Erasmus+ projects, implemented between 2014 and 2020. The study report is available under the page </w:t>
      </w:r>
      <w:hyperlink r:id="rId185" w:history="1">
        <w:r w:rsidRPr="00223BF3">
          <w:rPr>
            <w:rStyle w:val="Hyperlink"/>
            <w:lang w:val="en-IE"/>
          </w:rPr>
          <w:t>Inclusive education in Europe: Learning from Erasmus+</w:t>
        </w:r>
      </w:hyperlink>
      <w:r w:rsidRPr="00223BF3">
        <w:t xml:space="preserve">. </w:t>
      </w:r>
    </w:p>
    <w:p w:rsidR="0037575C" w:rsidRPr="00223BF3" w:rsidRDefault="0037575C" w:rsidP="0037575C">
      <w:pPr>
        <w:pStyle w:val="EndnoteText"/>
        <w:numPr>
          <w:ilvl w:val="0"/>
          <w:numId w:val="15"/>
        </w:numPr>
      </w:pPr>
      <w:r w:rsidRPr="00223BF3">
        <w:t>See: Report on “</w:t>
      </w:r>
      <w:hyperlink r:id="rId186" w:history="1">
        <w:r w:rsidRPr="00223BF3">
          <w:rPr>
            <w:rStyle w:val="Hyperlink"/>
            <w:lang w:val="en-IE"/>
          </w:rPr>
          <w:t>Inclusive Education in the European Schools.</w:t>
        </w:r>
      </w:hyperlink>
      <w:r w:rsidRPr="00223BF3">
        <w:t>”</w:t>
      </w:r>
      <w:r w:rsidRPr="00223BF3" w:rsidDel="000B5C58">
        <w:t xml:space="preserve"> </w:t>
      </w:r>
    </w:p>
    <w:p w:rsidR="0037575C" w:rsidRPr="00223BF3" w:rsidRDefault="0037575C" w:rsidP="0037575C">
      <w:pPr>
        <w:pStyle w:val="EndnoteText"/>
        <w:numPr>
          <w:ilvl w:val="0"/>
          <w:numId w:val="15"/>
        </w:numPr>
      </w:pPr>
      <w:r w:rsidRPr="00223BF3">
        <w:t xml:space="preserve">See: </w:t>
      </w:r>
      <w:hyperlink r:id="rId187" w:history="1">
        <w:r w:rsidRPr="00223BF3">
          <w:rPr>
            <w:rStyle w:val="Hyperlink"/>
            <w:lang w:val="en-IE"/>
          </w:rPr>
          <w:t>Action Plan Educational Support and Inclusive Education</w:t>
        </w:r>
      </w:hyperlink>
      <w:r w:rsidRPr="00223BF3">
        <w:t>.</w:t>
      </w:r>
      <w:r w:rsidRPr="00223BF3" w:rsidDel="000B5C58">
        <w:t xml:space="preserve"> </w:t>
      </w:r>
    </w:p>
    <w:p w:rsidR="0037575C" w:rsidRPr="00223BF3" w:rsidRDefault="0037575C" w:rsidP="0037575C">
      <w:pPr>
        <w:pStyle w:val="EndnoteText"/>
        <w:numPr>
          <w:ilvl w:val="0"/>
          <w:numId w:val="15"/>
        </w:numPr>
        <w:jc w:val="both"/>
      </w:pPr>
      <w:r w:rsidRPr="00223BF3">
        <w:t>They focus on central monitoring and guidance of schools in the implementation of the respective actions and incorporation of the changes, improving communication between stakeholders and with the local/national systems, introducing more flexibility to the curricula and finding political commitment for their approval and recognition.</w:t>
      </w:r>
    </w:p>
    <w:p w:rsidR="0037575C" w:rsidRPr="00223BF3" w:rsidRDefault="0037575C" w:rsidP="0037575C">
      <w:pPr>
        <w:pStyle w:val="EndnoteText"/>
        <w:numPr>
          <w:ilvl w:val="0"/>
          <w:numId w:val="15"/>
        </w:numPr>
        <w:jc w:val="both"/>
      </w:pPr>
      <w:r w:rsidRPr="00223BF3">
        <w:t xml:space="preserve">See: </w:t>
      </w:r>
      <w:hyperlink r:id="rId188" w:history="1">
        <w:r w:rsidRPr="00223BF3">
          <w:rPr>
            <w:rStyle w:val="Hyperlink"/>
            <w:lang w:val="en-IE"/>
          </w:rPr>
          <w:t>Policy on the Provision of Educational Support and Inclusive Education in the European Schools</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189" w:history="1">
        <w:r w:rsidRPr="00223BF3">
          <w:rPr>
            <w:rStyle w:val="Hyperlink"/>
            <w:lang w:val="en-IE"/>
          </w:rPr>
          <w:t>Provision of Educational Support and Inclusive Education in the European Schools – Procedural Document</w:t>
        </w:r>
      </w:hyperlink>
      <w:r w:rsidRPr="00223BF3">
        <w:t>.</w:t>
      </w:r>
    </w:p>
    <w:p w:rsidR="0037575C" w:rsidRPr="00223BF3" w:rsidRDefault="0037575C" w:rsidP="0037575C">
      <w:pPr>
        <w:pStyle w:val="EndnoteText"/>
        <w:numPr>
          <w:ilvl w:val="0"/>
          <w:numId w:val="15"/>
        </w:numPr>
        <w:jc w:val="both"/>
      </w:pPr>
      <w:r w:rsidRPr="00223BF3">
        <w:t>For example in Bulgaria, Greece, Italy, Lithuania.</w:t>
      </w:r>
    </w:p>
    <w:p w:rsidR="0037575C" w:rsidRPr="00223BF3" w:rsidRDefault="0037575C" w:rsidP="0037575C">
      <w:pPr>
        <w:pStyle w:val="EndnoteText"/>
        <w:numPr>
          <w:ilvl w:val="0"/>
          <w:numId w:val="15"/>
        </w:numPr>
        <w:jc w:val="both"/>
      </w:pPr>
      <w:r w:rsidRPr="00223BF3">
        <w:t>For example in Croatia.</w:t>
      </w:r>
    </w:p>
    <w:p w:rsidR="0037575C" w:rsidRPr="00223BF3" w:rsidRDefault="0037575C" w:rsidP="0037575C">
      <w:pPr>
        <w:pStyle w:val="EndnoteText"/>
        <w:numPr>
          <w:ilvl w:val="0"/>
          <w:numId w:val="15"/>
        </w:numPr>
      </w:pPr>
      <w:r w:rsidRPr="00223BF3">
        <w:t>For example in Greece, Portugal, Romania, Slovakia, Latvia, Bulgaria, Italy.</w:t>
      </w:r>
    </w:p>
    <w:p w:rsidR="0037575C" w:rsidRPr="00223BF3" w:rsidRDefault="0037575C" w:rsidP="0037575C">
      <w:pPr>
        <w:pStyle w:val="EndnoteText"/>
        <w:numPr>
          <w:ilvl w:val="0"/>
          <w:numId w:val="15"/>
        </w:numPr>
      </w:pPr>
      <w:r w:rsidRPr="00223BF3">
        <w:t>For example in Greece.</w:t>
      </w:r>
    </w:p>
    <w:p w:rsidR="0037575C" w:rsidRPr="00223BF3" w:rsidRDefault="0037575C" w:rsidP="0037575C">
      <w:pPr>
        <w:pStyle w:val="EndnoteText"/>
        <w:numPr>
          <w:ilvl w:val="0"/>
          <w:numId w:val="15"/>
        </w:numPr>
      </w:pPr>
      <w:r w:rsidRPr="00223BF3">
        <w:t>In the case of Italy.</w:t>
      </w:r>
    </w:p>
    <w:p w:rsidR="0037575C" w:rsidRPr="00223BF3" w:rsidRDefault="0037575C" w:rsidP="0037575C">
      <w:pPr>
        <w:pStyle w:val="EndnoteText"/>
        <w:numPr>
          <w:ilvl w:val="0"/>
          <w:numId w:val="15"/>
        </w:numPr>
      </w:pPr>
      <w:r w:rsidRPr="00223BF3">
        <w:t>In Portugal and Romania.</w:t>
      </w:r>
    </w:p>
    <w:p w:rsidR="0037575C" w:rsidRPr="00223BF3" w:rsidRDefault="0037575C" w:rsidP="0037575C">
      <w:pPr>
        <w:pStyle w:val="EndnoteText"/>
        <w:numPr>
          <w:ilvl w:val="0"/>
          <w:numId w:val="15"/>
        </w:numPr>
      </w:pPr>
      <w:r w:rsidRPr="00223BF3">
        <w:t xml:space="preserve">See: </w:t>
      </w:r>
      <w:hyperlink r:id="rId190" w:history="1">
        <w:r w:rsidRPr="00223BF3">
          <w:rPr>
            <w:rStyle w:val="Hyperlink"/>
            <w:lang w:val="en-IE"/>
          </w:rPr>
          <w:t>Recovery and Resilience Scoreboard</w:t>
        </w:r>
      </w:hyperlink>
      <w:r w:rsidRPr="00223BF3">
        <w:t>.</w:t>
      </w:r>
    </w:p>
    <w:p w:rsidR="0037575C" w:rsidRPr="00223BF3" w:rsidRDefault="0037575C" w:rsidP="0037575C">
      <w:pPr>
        <w:pStyle w:val="EndnoteText"/>
        <w:numPr>
          <w:ilvl w:val="0"/>
          <w:numId w:val="15"/>
        </w:numPr>
        <w:jc w:val="both"/>
      </w:pPr>
      <w:r w:rsidRPr="00223BF3">
        <w:t xml:space="preserve">See: </w:t>
      </w:r>
      <w:hyperlink r:id="rId191" w:anchor=":~:text=Mutual%20Learning%20Programme%20in%20gender%20equality.%20The%20mutual,the%20opportunities%20and%20limitations%20of%20real%20life%20implementation." w:history="1">
        <w:r w:rsidRPr="00223BF3">
          <w:rPr>
            <w:rStyle w:val="Hyperlink"/>
            <w:lang w:val="en-IE"/>
          </w:rPr>
          <w:t>Mutual Learning Programme in gender equality</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192" w:history="1">
        <w:r w:rsidRPr="00223BF3">
          <w:rPr>
            <w:rStyle w:val="Hyperlink"/>
            <w:lang w:val="en-IE"/>
          </w:rPr>
          <w:t>The EU Mutual Learning Programme in Gender Equality - Sexual and Reproductive Health and Rights Seminar - France - 29-30 November 2022</w:t>
        </w:r>
      </w:hyperlink>
      <w:r w:rsidRPr="00223BF3">
        <w:t>.</w:t>
      </w:r>
    </w:p>
    <w:p w:rsidR="0037575C" w:rsidRPr="00223BF3" w:rsidRDefault="0037575C" w:rsidP="0037575C">
      <w:pPr>
        <w:pStyle w:val="EndnoteText"/>
        <w:numPr>
          <w:ilvl w:val="0"/>
          <w:numId w:val="15"/>
        </w:numPr>
        <w:jc w:val="both"/>
      </w:pPr>
      <w:r w:rsidRPr="00223BF3">
        <w:t xml:space="preserve">See: </w:t>
      </w:r>
      <w:hyperlink r:id="rId193" w:history="1">
        <w:r w:rsidRPr="00223BF3">
          <w:rPr>
            <w:rStyle w:val="Hyperlink"/>
            <w:lang w:val="en-IE"/>
          </w:rPr>
          <w:t>Citizens, Equality, Rights and Values programme</w:t>
        </w:r>
      </w:hyperlink>
      <w:r w:rsidRPr="00223BF3">
        <w:t xml:space="preserve">. </w:t>
      </w:r>
    </w:p>
    <w:p w:rsidR="0037575C" w:rsidRPr="00223BF3" w:rsidRDefault="0037575C" w:rsidP="0037575C">
      <w:pPr>
        <w:pStyle w:val="EndnoteText"/>
        <w:numPr>
          <w:ilvl w:val="0"/>
          <w:numId w:val="15"/>
        </w:numPr>
        <w:jc w:val="both"/>
      </w:pPr>
      <w:r w:rsidRPr="00223BF3">
        <w:t>See also paragraph 12, point f.</w:t>
      </w:r>
    </w:p>
    <w:p w:rsidR="0037575C" w:rsidRPr="00223BF3" w:rsidRDefault="0037575C" w:rsidP="0037575C">
      <w:pPr>
        <w:pStyle w:val="EndnoteText"/>
        <w:numPr>
          <w:ilvl w:val="0"/>
          <w:numId w:val="15"/>
        </w:numPr>
        <w:jc w:val="both"/>
      </w:pPr>
      <w:r w:rsidRPr="00223BF3">
        <w:t>See: “</w:t>
      </w:r>
      <w:hyperlink r:id="rId194" w:history="1">
        <w:r w:rsidRPr="00223BF3">
          <w:rPr>
            <w:rStyle w:val="Hyperlink"/>
            <w:lang w:val="en-IE"/>
          </w:rPr>
          <w:t>Study on Guidance to Increase Access to Healthcare for People with Disabilities Including Information and Data on Cancer Prevention and Care</w:t>
        </w:r>
      </w:hyperlink>
      <w:r w:rsidRPr="00223BF3">
        <w:t>.” The call for tender was launched in December 2022. The study will start in Q2 2023 and last for two years.</w:t>
      </w:r>
    </w:p>
    <w:p w:rsidR="0037575C" w:rsidRPr="00223BF3" w:rsidRDefault="0037575C" w:rsidP="0037575C">
      <w:pPr>
        <w:pStyle w:val="EndnoteText"/>
        <w:numPr>
          <w:ilvl w:val="0"/>
          <w:numId w:val="15"/>
        </w:numPr>
        <w:jc w:val="both"/>
      </w:pPr>
      <w:r w:rsidRPr="00223BF3">
        <w:t xml:space="preserve">See: </w:t>
      </w:r>
      <w:hyperlink r:id="rId195" w:history="1">
        <w:r w:rsidRPr="00223BF3">
          <w:rPr>
            <w:rStyle w:val="Hyperlink"/>
            <w:lang w:val="en-IE"/>
          </w:rPr>
          <w:t>Directive 2011/24/EU</w:t>
        </w:r>
      </w:hyperlink>
      <w:r w:rsidRPr="00223BF3">
        <w:t xml:space="preserve"> of the European Parliament and of the Council of 9 March 2011 on the application of patients’ rights in cross-border healthcare. </w:t>
      </w:r>
    </w:p>
    <w:p w:rsidR="0037575C" w:rsidRPr="00223BF3" w:rsidRDefault="0037575C" w:rsidP="0037575C">
      <w:pPr>
        <w:pStyle w:val="EndnoteText"/>
        <w:numPr>
          <w:ilvl w:val="0"/>
          <w:numId w:val="15"/>
        </w:numPr>
        <w:jc w:val="both"/>
      </w:pPr>
      <w:r w:rsidRPr="00223BF3">
        <w:t>See: Report from the Commission to the European Parliament and the Council on the operation of Directive 2011/24/EU on the application of patients' rights in cross-border healthcare (</w:t>
      </w:r>
      <w:hyperlink r:id="rId196" w:history="1">
        <w:r w:rsidRPr="00223BF3">
          <w:rPr>
            <w:rStyle w:val="Hyperlink"/>
            <w:lang w:val="en-IE"/>
          </w:rPr>
          <w:t>COM/2022/210 final</w:t>
        </w:r>
      </w:hyperlink>
      <w:r w:rsidRPr="00223BF3">
        <w:t>), plus Annex (</w:t>
      </w:r>
      <w:hyperlink r:id="rId197" w:history="1">
        <w:r w:rsidRPr="00223BF3">
          <w:rPr>
            <w:rStyle w:val="Hyperlink"/>
            <w:lang w:val="en-IE"/>
          </w:rPr>
          <w:t>COM(2022) 210 final</w:t>
        </w:r>
      </w:hyperlink>
      <w:r w:rsidRPr="00223BF3">
        <w:t>) and Commission Staff Working Document (</w:t>
      </w:r>
      <w:hyperlink r:id="rId198" w:history="1">
        <w:r w:rsidRPr="00223BF3">
          <w:rPr>
            <w:rStyle w:val="Hyperlink"/>
            <w:lang w:val="en-IE"/>
          </w:rPr>
          <w:t>SWD/2022/200 final</w:t>
        </w:r>
      </w:hyperlink>
      <w:r w:rsidRPr="00223BF3">
        <w:t>).</w:t>
      </w:r>
    </w:p>
    <w:p w:rsidR="0037575C" w:rsidRPr="00223BF3" w:rsidRDefault="0037575C" w:rsidP="0037575C">
      <w:pPr>
        <w:pStyle w:val="EndnoteText"/>
        <w:numPr>
          <w:ilvl w:val="0"/>
          <w:numId w:val="15"/>
        </w:numPr>
      </w:pPr>
      <w:r w:rsidRPr="00223BF3">
        <w:t xml:space="preserve">See: </w:t>
      </w:r>
      <w:hyperlink r:id="rId199" w:history="1">
        <w:r w:rsidRPr="00223BF3">
          <w:rPr>
            <w:rStyle w:val="Hyperlink"/>
            <w:lang w:val="en-IE"/>
          </w:rPr>
          <w:t>Cross-border healthcare</w:t>
        </w:r>
      </w:hyperlink>
      <w:r w:rsidRPr="00223BF3">
        <w:t xml:space="preserve"> - </w:t>
      </w:r>
      <w:hyperlink r:id="rId200" w:history="1">
        <w:r w:rsidRPr="00223BF3">
          <w:rPr>
            <w:rStyle w:val="Hyperlink"/>
            <w:lang w:val="en-IE"/>
          </w:rPr>
          <w:t>Workshop with National Contact Points to improve information to patients.</w:t>
        </w:r>
      </w:hyperlink>
    </w:p>
    <w:p w:rsidR="0037575C" w:rsidRPr="00223BF3" w:rsidRDefault="0037575C" w:rsidP="0037575C">
      <w:pPr>
        <w:pStyle w:val="EndnoteText"/>
        <w:numPr>
          <w:ilvl w:val="0"/>
          <w:numId w:val="15"/>
        </w:numPr>
        <w:jc w:val="both"/>
      </w:pPr>
      <w:r w:rsidRPr="00223BF3">
        <w:t xml:space="preserve">See: </w:t>
      </w:r>
      <w:hyperlink r:id="rId201" w:history="1">
        <w:r w:rsidRPr="00223BF3">
          <w:rPr>
            <w:rStyle w:val="Hyperlink"/>
            <w:lang w:val="en-IE"/>
          </w:rPr>
          <w:t>Healthier together – EU non-communicable diseases (NCD) initiative</w:t>
        </w:r>
      </w:hyperlink>
      <w:r w:rsidRPr="00223BF3">
        <w:t xml:space="preserve">. </w:t>
      </w:r>
    </w:p>
    <w:p w:rsidR="0037575C" w:rsidRPr="00223BF3" w:rsidRDefault="0037575C" w:rsidP="0037575C">
      <w:pPr>
        <w:pStyle w:val="EndnoteText"/>
        <w:numPr>
          <w:ilvl w:val="0"/>
          <w:numId w:val="15"/>
        </w:numPr>
        <w:jc w:val="both"/>
      </w:pPr>
      <w:r w:rsidRPr="00223BF3">
        <w:t>Commission Communication on a comprehensive approach to mental health.</w:t>
      </w:r>
    </w:p>
    <w:p w:rsidR="0037575C" w:rsidRPr="00223BF3" w:rsidRDefault="0037575C" w:rsidP="0037575C">
      <w:pPr>
        <w:pStyle w:val="EndnoteText"/>
        <w:numPr>
          <w:ilvl w:val="0"/>
          <w:numId w:val="15"/>
        </w:numPr>
      </w:pPr>
      <w:r w:rsidRPr="00223BF3">
        <w:t xml:space="preserve">See: </w:t>
      </w:r>
      <w:hyperlink r:id="rId202" w:anchor="chapter-iii-social-protection-and-inclusion" w:history="1">
        <w:r w:rsidRPr="00223BF3">
          <w:rPr>
            <w:rStyle w:val="Hyperlink"/>
            <w:lang w:val="en-IE"/>
          </w:rPr>
          <w:t>The European Pillar of Social Rights in 20 Principles</w:t>
        </w:r>
      </w:hyperlink>
      <w:r w:rsidRPr="00223BF3">
        <w:rPr>
          <w:rStyle w:val="Hyperlink"/>
          <w:lang w:val="en-IE"/>
        </w:rPr>
        <w:t>.</w:t>
      </w:r>
    </w:p>
    <w:p w:rsidR="0037575C" w:rsidRPr="00223BF3" w:rsidRDefault="0037575C" w:rsidP="0037575C">
      <w:pPr>
        <w:pStyle w:val="EndnoteText"/>
        <w:numPr>
          <w:ilvl w:val="0"/>
          <w:numId w:val="15"/>
        </w:numPr>
      </w:pPr>
      <w:r w:rsidRPr="00223BF3">
        <w:t xml:space="preserve">See: </w:t>
      </w:r>
      <w:hyperlink r:id="rId203" w:history="1">
        <w:r w:rsidRPr="00223BF3">
          <w:rPr>
            <w:rStyle w:val="Hyperlink"/>
            <w:lang w:val="en-IE"/>
          </w:rPr>
          <w:t>Disability Employment Package</w:t>
        </w:r>
      </w:hyperlink>
      <w:r w:rsidRPr="00223BF3">
        <w:rPr>
          <w:rStyle w:val="Hyperlink"/>
          <w:lang w:val="en-IE"/>
        </w:rPr>
        <w:t>.</w:t>
      </w:r>
    </w:p>
    <w:p w:rsidR="0037575C" w:rsidRPr="00223BF3" w:rsidRDefault="0037575C" w:rsidP="0037575C">
      <w:pPr>
        <w:pStyle w:val="EndnoteText"/>
        <w:numPr>
          <w:ilvl w:val="0"/>
          <w:numId w:val="15"/>
        </w:numPr>
        <w:jc w:val="both"/>
      </w:pPr>
      <w:r w:rsidRPr="00223BF3">
        <w:t xml:space="preserve">See: </w:t>
      </w:r>
      <w:hyperlink r:id="rId204" w:history="1">
        <w:r w:rsidRPr="00223BF3">
          <w:rPr>
            <w:rStyle w:val="Hyperlink"/>
            <w:lang w:val="en-IE"/>
          </w:rPr>
          <w:t>How to improve labour market outcomes for persons with disabilities</w:t>
        </w:r>
      </w:hyperlink>
      <w:r w:rsidRPr="00223BF3">
        <w:t xml:space="preserve">. </w:t>
      </w:r>
    </w:p>
    <w:p w:rsidR="0037575C" w:rsidRPr="00223BF3" w:rsidRDefault="0037575C" w:rsidP="0037575C">
      <w:pPr>
        <w:pStyle w:val="EndnoteText"/>
        <w:numPr>
          <w:ilvl w:val="0"/>
          <w:numId w:val="15"/>
        </w:numPr>
      </w:pPr>
      <w:r w:rsidRPr="00223BF3">
        <w:t>See: Council Recommendation of 30 October 2020 on A Bridge to Jobs – Reinforcing the Youth Guarantee and replacing the Council Recommendation of 22 April 2013 on establishing a Youth Guarantee (2020/C 372/01)</w:t>
      </w:r>
    </w:p>
    <w:p w:rsidR="0037575C" w:rsidRPr="00223BF3" w:rsidRDefault="0037575C" w:rsidP="0037575C">
      <w:pPr>
        <w:pStyle w:val="EndnoteText"/>
        <w:numPr>
          <w:ilvl w:val="0"/>
          <w:numId w:val="15"/>
        </w:numPr>
        <w:jc w:val="both"/>
      </w:pPr>
      <w:r w:rsidRPr="00223BF3">
        <w:t>See: Council Recommendation of 24 November 2020 on vocational education and training (VET) for sustainable competitiveness, social fairness and resilience (</w:t>
      </w:r>
      <w:hyperlink r:id="rId205" w:history="1">
        <w:r w:rsidRPr="00223BF3">
          <w:rPr>
            <w:rStyle w:val="Hyperlink"/>
            <w:lang w:val="en-IE"/>
          </w:rPr>
          <w:t>2020/C 417/01</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06" w:history="1">
        <w:r w:rsidRPr="00223BF3">
          <w:rPr>
            <w:rStyle w:val="Hyperlink"/>
            <w:lang w:val="en-IE"/>
          </w:rPr>
          <w:t>Council Recommendation on individual learning accounts</w:t>
        </w:r>
      </w:hyperlink>
      <w:r w:rsidRPr="00223BF3">
        <w:t xml:space="preserve">. </w:t>
      </w:r>
      <w:r w:rsidRPr="00223BF3" w:rsidDel="005B6498">
        <w:t xml:space="preserve"> </w:t>
      </w:r>
    </w:p>
    <w:p w:rsidR="0037575C" w:rsidRPr="00223BF3" w:rsidRDefault="0037575C" w:rsidP="0037575C">
      <w:pPr>
        <w:pStyle w:val="EndnoteText"/>
        <w:numPr>
          <w:ilvl w:val="0"/>
          <w:numId w:val="15"/>
        </w:numPr>
        <w:jc w:val="both"/>
      </w:pPr>
      <w:r w:rsidRPr="00223BF3">
        <w:t xml:space="preserve">See: </w:t>
      </w:r>
      <w:hyperlink r:id="rId207" w:history="1">
        <w:r w:rsidRPr="00223BF3">
          <w:rPr>
            <w:rStyle w:val="Hyperlink"/>
            <w:lang w:val="en-IE"/>
          </w:rPr>
          <w:t>Council Recommendation on a European approach to micro-credentials for lifelong learning and employability</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08" w:history="1">
        <w:r w:rsidRPr="00223BF3">
          <w:rPr>
            <w:rStyle w:val="Hyperlink"/>
            <w:lang w:val="en-IE"/>
          </w:rPr>
          <w:t>Council Directive 2000/78/EC</w:t>
        </w:r>
      </w:hyperlink>
      <w:r w:rsidRPr="00223BF3">
        <w:t xml:space="preserve"> of 27 November 2000 establishing a general framework for equal treatment in employment and occupation. </w:t>
      </w:r>
    </w:p>
    <w:p w:rsidR="0037575C" w:rsidRPr="00223BF3" w:rsidRDefault="0037575C" w:rsidP="0037575C">
      <w:pPr>
        <w:pStyle w:val="EndnoteText"/>
        <w:numPr>
          <w:ilvl w:val="0"/>
          <w:numId w:val="15"/>
        </w:numPr>
      </w:pPr>
      <w:r w:rsidRPr="00223BF3">
        <w:t>See reply to paragraph 6, point c.</w:t>
      </w:r>
    </w:p>
    <w:p w:rsidR="0037575C" w:rsidRPr="00223BF3" w:rsidRDefault="0037575C" w:rsidP="0037575C">
      <w:pPr>
        <w:pStyle w:val="EndnoteText"/>
        <w:numPr>
          <w:ilvl w:val="0"/>
          <w:numId w:val="15"/>
        </w:numPr>
      </w:pPr>
      <w:r w:rsidRPr="00223BF3">
        <w:t>Even if intersectional discrimination is not covered by the Directive.</w:t>
      </w:r>
    </w:p>
    <w:p w:rsidR="0037575C" w:rsidRPr="00223BF3" w:rsidRDefault="0037575C" w:rsidP="0037575C">
      <w:pPr>
        <w:pStyle w:val="EndnoteText"/>
        <w:numPr>
          <w:ilvl w:val="0"/>
          <w:numId w:val="15"/>
        </w:numPr>
        <w:jc w:val="both"/>
      </w:pPr>
      <w:r w:rsidRPr="00223BF3">
        <w:t xml:space="preserve">See: </w:t>
      </w:r>
      <w:hyperlink r:id="rId209" w:history="1">
        <w:r w:rsidRPr="00223BF3">
          <w:rPr>
            <w:rStyle w:val="Hyperlink"/>
            <w:lang w:val="en-IE"/>
          </w:rPr>
          <w:t>Guidelines for Strategies and Action Plans to Enhance LGBTIQ Equality</w:t>
        </w:r>
      </w:hyperlink>
      <w:r w:rsidRPr="00223BF3">
        <w:t>.</w:t>
      </w:r>
    </w:p>
    <w:p w:rsidR="0037575C" w:rsidRPr="00223BF3" w:rsidRDefault="0037575C" w:rsidP="0037575C">
      <w:pPr>
        <w:pStyle w:val="EndnoteText"/>
        <w:numPr>
          <w:ilvl w:val="0"/>
          <w:numId w:val="15"/>
        </w:numPr>
        <w:jc w:val="both"/>
        <w:rPr>
          <w:lang w:val="en-GB"/>
        </w:rPr>
      </w:pPr>
      <w:r w:rsidRPr="00223BF3">
        <w:t xml:space="preserve">See: </w:t>
      </w:r>
      <w:hyperlink r:id="rId210" w:anchor=":~:text=The%20Commission%20therefore%20presented%20on%204th%20March%202021,is%20based%20on%20Article%20157%283%29%20of%20the%20TFEU." w:history="1">
        <w:r w:rsidRPr="00223BF3">
          <w:rPr>
            <w:rStyle w:val="Hyperlink"/>
          </w:rPr>
          <w:t>EU action for equal pay</w:t>
        </w:r>
      </w:hyperlink>
      <w:r w:rsidRPr="00223BF3">
        <w:rPr>
          <w:lang w:val="en-GB"/>
        </w:rPr>
        <w:t>.</w:t>
      </w:r>
    </w:p>
    <w:p w:rsidR="0037575C" w:rsidRPr="00223BF3" w:rsidRDefault="0037575C" w:rsidP="0037575C">
      <w:pPr>
        <w:pStyle w:val="EndnoteText"/>
        <w:numPr>
          <w:ilvl w:val="0"/>
          <w:numId w:val="15"/>
        </w:numPr>
        <w:jc w:val="both"/>
        <w:rPr>
          <w:lang w:val="en-GB"/>
        </w:rPr>
      </w:pPr>
      <w:r w:rsidRPr="00223BF3">
        <w:t xml:space="preserve">See: </w:t>
      </w:r>
      <w:hyperlink r:id="rId211" w:history="1">
        <w:r w:rsidRPr="00223BF3">
          <w:rPr>
            <w:rStyle w:val="Hyperlink"/>
          </w:rPr>
          <w:t>Structure of Earnings Survey</w:t>
        </w:r>
      </w:hyperlink>
      <w:r w:rsidRPr="00223BF3">
        <w:rPr>
          <w:lang w:val="en-GB"/>
        </w:rPr>
        <w:t xml:space="preserve">. </w:t>
      </w:r>
    </w:p>
    <w:p w:rsidR="0037575C" w:rsidRPr="00223BF3" w:rsidRDefault="0037575C" w:rsidP="0037575C">
      <w:pPr>
        <w:pStyle w:val="EndnoteText"/>
        <w:numPr>
          <w:ilvl w:val="0"/>
          <w:numId w:val="15"/>
        </w:numPr>
        <w:jc w:val="both"/>
      </w:pPr>
      <w:r w:rsidRPr="00223BF3">
        <w:rPr>
          <w:lang w:val="en-US"/>
        </w:rPr>
        <w:t xml:space="preserve">See: </w:t>
      </w:r>
      <w:hyperlink r:id="rId212" w:history="1">
        <w:r w:rsidRPr="00223BF3">
          <w:rPr>
            <w:rStyle w:val="Hyperlink"/>
            <w:lang w:val="en-US"/>
          </w:rPr>
          <w:t>Directive (EU) 2022/2041</w:t>
        </w:r>
      </w:hyperlink>
      <w:r w:rsidRPr="00223BF3">
        <w:rPr>
          <w:lang w:val="en-US"/>
        </w:rPr>
        <w:t xml:space="preserve"> of the European Parliament and of the Council of 19 October 2022 on adequate minimum wages in the European Union.</w:t>
      </w:r>
    </w:p>
    <w:p w:rsidR="0037575C" w:rsidRPr="00223BF3" w:rsidRDefault="0037575C" w:rsidP="0037575C">
      <w:pPr>
        <w:pStyle w:val="EndnoteText"/>
        <w:numPr>
          <w:ilvl w:val="0"/>
          <w:numId w:val="15"/>
        </w:numPr>
        <w:jc w:val="both"/>
      </w:pPr>
      <w:r w:rsidRPr="00223BF3">
        <w:t xml:space="preserve">See: </w:t>
      </w:r>
      <w:hyperlink r:id="rId213" w:history="1">
        <w:r w:rsidRPr="00223BF3">
          <w:rPr>
            <w:rStyle w:val="Hyperlink"/>
            <w:lang w:val="en-IE"/>
          </w:rPr>
          <w:t>Declaration on European Digital Rights and Principles</w:t>
        </w:r>
      </w:hyperlink>
      <w:r w:rsidRPr="00223BF3">
        <w:t xml:space="preserve">. </w:t>
      </w:r>
    </w:p>
    <w:p w:rsidR="0037575C" w:rsidRPr="00223BF3" w:rsidRDefault="0037575C" w:rsidP="0037575C">
      <w:pPr>
        <w:pStyle w:val="EndnoteText"/>
        <w:numPr>
          <w:ilvl w:val="0"/>
          <w:numId w:val="15"/>
        </w:numPr>
        <w:jc w:val="both"/>
      </w:pPr>
      <w:r w:rsidRPr="00223BF3">
        <w:t xml:space="preserve">See: Proposal </w:t>
      </w:r>
      <w:r w:rsidRPr="00223BF3">
        <w:rPr>
          <w:noProof/>
        </w:rPr>
        <w:t xml:space="preserve">for a Regulation </w:t>
      </w:r>
      <w:r w:rsidRPr="00223BF3">
        <w:rPr>
          <w:lang w:val="en-US"/>
        </w:rPr>
        <w:t xml:space="preserve">of the European Parliament and of the Council </w:t>
      </w:r>
      <w:r w:rsidRPr="00223BF3">
        <w:rPr>
          <w:noProof/>
        </w:rPr>
        <w:t>laying down harmonised rules on artificial intelligence (Artificial Intelligence Act) (</w:t>
      </w:r>
      <w:hyperlink r:id="rId214" w:history="1">
        <w:r w:rsidRPr="00223BF3">
          <w:rPr>
            <w:rStyle w:val="Hyperlink"/>
            <w:lang w:val="en-IE"/>
          </w:rPr>
          <w:t>COM/2021/206 final</w:t>
        </w:r>
      </w:hyperlink>
      <w:r w:rsidRPr="00223BF3">
        <w:t xml:space="preserve">). </w:t>
      </w:r>
    </w:p>
    <w:p w:rsidR="0037575C" w:rsidRPr="00223BF3" w:rsidRDefault="0037575C" w:rsidP="0037575C">
      <w:pPr>
        <w:pStyle w:val="EndnoteText"/>
        <w:numPr>
          <w:ilvl w:val="0"/>
          <w:numId w:val="15"/>
        </w:numPr>
      </w:pPr>
      <w:r w:rsidRPr="00223BF3">
        <w:t>See also: paragraph 10, point d.</w:t>
      </w:r>
    </w:p>
    <w:p w:rsidR="0037575C" w:rsidRPr="00223BF3" w:rsidRDefault="0037575C" w:rsidP="0037575C">
      <w:pPr>
        <w:pStyle w:val="EndnoteText"/>
        <w:numPr>
          <w:ilvl w:val="0"/>
          <w:numId w:val="15"/>
        </w:numPr>
        <w:jc w:val="both"/>
      </w:pPr>
      <w:r w:rsidRPr="00223BF3">
        <w:t xml:space="preserve">Article 72(1) of the Staff Regulations of Officials of the Union. Please see the up-to-date </w:t>
      </w:r>
      <w:hyperlink r:id="rId215" w:history="1">
        <w:r w:rsidRPr="00223BF3">
          <w:rPr>
            <w:rStyle w:val="Hyperlink"/>
            <w:lang w:val="en-IE"/>
          </w:rPr>
          <w:t>consolidated version</w:t>
        </w:r>
      </w:hyperlink>
      <w:r w:rsidRPr="00223BF3">
        <w:t xml:space="preserve"> of the Staff Regulations.</w:t>
      </w:r>
    </w:p>
    <w:p w:rsidR="0037575C" w:rsidRPr="00223BF3" w:rsidRDefault="0037575C" w:rsidP="0037575C">
      <w:pPr>
        <w:pStyle w:val="EndnoteText"/>
        <w:numPr>
          <w:ilvl w:val="0"/>
          <w:numId w:val="15"/>
        </w:numPr>
        <w:jc w:val="both"/>
      </w:pPr>
      <w:r w:rsidRPr="00223BF3">
        <w:t>Commission Decision C(2007) 3195 of 2 July 2007 laying down general implementing provisions for the reimbursement of medical expenses.</w:t>
      </w:r>
    </w:p>
    <w:p w:rsidR="0037575C" w:rsidRPr="00223BF3" w:rsidRDefault="0037575C" w:rsidP="0037575C">
      <w:pPr>
        <w:pStyle w:val="EndnoteText"/>
        <w:numPr>
          <w:ilvl w:val="0"/>
          <w:numId w:val="15"/>
        </w:numPr>
        <w:contextualSpacing/>
        <w:jc w:val="both"/>
      </w:pPr>
      <w:r w:rsidRPr="00223BF3">
        <w:t>Commission Decision C(2020) 3002 of 12 May 2020 amending the Decision of 2 July 2007 laying down general implementing provisions for the reimbursement of medical expenses.</w:t>
      </w:r>
    </w:p>
    <w:p w:rsidR="0037575C" w:rsidRPr="00223BF3" w:rsidRDefault="0037575C" w:rsidP="0037575C">
      <w:pPr>
        <w:pStyle w:val="EndnoteText"/>
        <w:numPr>
          <w:ilvl w:val="0"/>
          <w:numId w:val="15"/>
        </w:numPr>
        <w:jc w:val="both"/>
      </w:pPr>
      <w:r w:rsidRPr="00223BF3">
        <w:t>Members of the EC ad-hoc committee on reasonable accommodation are staff from the human resources service responsible for disability support matters and working conditions, the medical service, the Directorate-General for Informatics, the Office for Infrastructure and Logistics in Brussels and Luxembourg and the Diversity and Inclusion Office.</w:t>
      </w:r>
    </w:p>
    <w:p w:rsidR="0037575C" w:rsidRPr="00223BF3" w:rsidRDefault="0037575C" w:rsidP="0037575C">
      <w:pPr>
        <w:pStyle w:val="ListParagraph"/>
        <w:numPr>
          <w:ilvl w:val="0"/>
          <w:numId w:val="15"/>
        </w:numPr>
        <w:jc w:val="both"/>
        <w:rPr>
          <w:sz w:val="20"/>
          <w:szCs w:val="20"/>
        </w:rPr>
      </w:pPr>
      <w:r w:rsidRPr="00223BF3">
        <w:rPr>
          <w:sz w:val="20"/>
          <w:szCs w:val="20"/>
        </w:rPr>
        <w:t>An informal group of officials dealing with disability, i.e. exchanging information and best practices on disability-related matters only. Members represent the following EU institutions and bodies: Council of the European Union, Committee of Regions, Court of Justice of the European Union, European Commission, European Court of Auditors, European Central Bank, European External Action Service, European Economic and Social Committee, European Investment Bank, European Parliament, European Personnel Selection Office, European Ombudsman representatives.</w:t>
      </w:r>
    </w:p>
    <w:p w:rsidR="0037575C" w:rsidRPr="00223BF3" w:rsidRDefault="0037575C" w:rsidP="0037575C">
      <w:pPr>
        <w:pStyle w:val="EndnoteText"/>
        <w:numPr>
          <w:ilvl w:val="0"/>
          <w:numId w:val="15"/>
        </w:numPr>
      </w:pPr>
      <w:r w:rsidRPr="00223BF3">
        <w:t xml:space="preserve">See: </w:t>
      </w:r>
      <w:hyperlink r:id="rId216" w:history="1">
        <w:r w:rsidRPr="00223BF3">
          <w:rPr>
            <w:rStyle w:val="Hyperlink"/>
          </w:rPr>
          <w:t>Positive action programme for trainees with a disability</w:t>
        </w:r>
      </w:hyperlink>
      <w:r w:rsidRPr="00223BF3">
        <w:rPr>
          <w:lang w:val="en-GB"/>
        </w:rPr>
        <w:t xml:space="preserve">. </w:t>
      </w:r>
    </w:p>
    <w:p w:rsidR="0037575C" w:rsidRPr="00223BF3" w:rsidRDefault="0037575C" w:rsidP="0037575C">
      <w:pPr>
        <w:pStyle w:val="EndnoteText"/>
        <w:numPr>
          <w:ilvl w:val="0"/>
          <w:numId w:val="15"/>
        </w:numPr>
      </w:pPr>
      <w:r w:rsidRPr="00223BF3">
        <w:t xml:space="preserve">See: </w:t>
      </w:r>
      <w:hyperlink r:id="rId217" w:history="1">
        <w:r w:rsidRPr="00223BF3">
          <w:rPr>
            <w:rStyle w:val="Hyperlink"/>
            <w:lang w:val="en-IE"/>
          </w:rPr>
          <w:t>Diversity: Parliament sets milestones towards a more inclusive administration</w:t>
        </w:r>
      </w:hyperlink>
      <w:r w:rsidRPr="00223BF3">
        <w:t>.</w:t>
      </w:r>
    </w:p>
    <w:p w:rsidR="0037575C" w:rsidRPr="00223BF3" w:rsidRDefault="0037575C" w:rsidP="0037575C">
      <w:pPr>
        <w:pStyle w:val="EndnoteText"/>
        <w:numPr>
          <w:ilvl w:val="0"/>
          <w:numId w:val="15"/>
        </w:numPr>
      </w:pPr>
      <w:r w:rsidRPr="00223BF3">
        <w:t xml:space="preserve">See: </w:t>
      </w:r>
      <w:hyperlink r:id="rId218" w:history="1">
        <w:r w:rsidRPr="00223BF3">
          <w:rPr>
            <w:rStyle w:val="Hyperlink"/>
          </w:rPr>
          <w:t>European Investment Bank Disability Inclusion Reverse Mentoring programme</w:t>
        </w:r>
      </w:hyperlink>
      <w:r w:rsidRPr="00223BF3">
        <w:rPr>
          <w:rStyle w:val="Hyperlink"/>
        </w:rPr>
        <w:t>.</w:t>
      </w:r>
    </w:p>
    <w:p w:rsidR="0037575C" w:rsidRPr="00223BF3" w:rsidRDefault="0037575C" w:rsidP="0037575C">
      <w:pPr>
        <w:pStyle w:val="EndnoteText"/>
        <w:numPr>
          <w:ilvl w:val="0"/>
          <w:numId w:val="15"/>
        </w:numPr>
      </w:pPr>
      <w:r w:rsidRPr="00223BF3">
        <w:t xml:space="preserve">Such as </w:t>
      </w:r>
      <w:r w:rsidRPr="00223BF3">
        <w:rPr>
          <w:lang w:val="en-US"/>
        </w:rPr>
        <w:t>ERDF and ESF+. The ERDF can support investments in accessible individual social housing (purchasing, building, renovating, renting), with adequate equipment, as well as equipment for making persons’ own houses accessible as a preventive measure to institutionalisation. Housing measures should always be accompanied by actions that facilitate access to mainstream non-segregated services in education, employment, health- and social-care, etc.</w:t>
      </w:r>
    </w:p>
    <w:p w:rsidR="0037575C" w:rsidRPr="00223BF3" w:rsidRDefault="0037575C" w:rsidP="0037575C">
      <w:pPr>
        <w:pStyle w:val="EndnoteText"/>
        <w:numPr>
          <w:ilvl w:val="0"/>
          <w:numId w:val="15"/>
        </w:numPr>
        <w:jc w:val="both"/>
      </w:pPr>
      <w:r w:rsidRPr="00223BF3">
        <w:t xml:space="preserve">See: </w:t>
      </w:r>
      <w:hyperlink r:id="rId219" w:history="1">
        <w:r w:rsidRPr="00223BF3">
          <w:rPr>
            <w:rStyle w:val="Hyperlink"/>
            <w:lang w:val="en-IE"/>
          </w:rPr>
          <w:t>Affordable housing initiative</w:t>
        </w:r>
      </w:hyperlink>
      <w:r w:rsidRPr="00223BF3">
        <w:t>.</w:t>
      </w:r>
    </w:p>
    <w:p w:rsidR="0037575C" w:rsidRPr="00223BF3" w:rsidRDefault="0037575C" w:rsidP="0037575C">
      <w:pPr>
        <w:pStyle w:val="EndnoteText"/>
        <w:numPr>
          <w:ilvl w:val="0"/>
          <w:numId w:val="15"/>
        </w:numPr>
      </w:pPr>
      <w:r w:rsidRPr="00223BF3">
        <w:t xml:space="preserve">See: </w:t>
      </w:r>
      <w:hyperlink r:id="rId220" w:history="1">
        <w:r w:rsidRPr="00223BF3">
          <w:rPr>
            <w:rStyle w:val="Hyperlink"/>
            <w:lang w:val="en-IE"/>
          </w:rPr>
          <w:t>Renovation Wave</w:t>
        </w:r>
      </w:hyperlink>
    </w:p>
    <w:p w:rsidR="0037575C" w:rsidRPr="00223BF3" w:rsidRDefault="0037575C" w:rsidP="0037575C">
      <w:pPr>
        <w:pStyle w:val="EndnoteText"/>
        <w:numPr>
          <w:ilvl w:val="0"/>
          <w:numId w:val="15"/>
        </w:numPr>
        <w:jc w:val="both"/>
      </w:pPr>
      <w:r w:rsidRPr="00223BF3">
        <w:t xml:space="preserve">See: </w:t>
      </w:r>
      <w:hyperlink r:id="rId221" w:history="1">
        <w:r w:rsidRPr="00223BF3">
          <w:rPr>
            <w:rStyle w:val="Hyperlink"/>
            <w:lang w:val="en-IE"/>
          </w:rPr>
          <w:t>New European Bauhaus</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22" w:anchor=":~:text=The%20New%20European%20Bauhaus%20Compass%20is%20a%20guiding,lays%20the%20foundation%20for%20more%20detailed%20assessment%20tools" w:history="1">
        <w:r w:rsidRPr="00223BF3">
          <w:rPr>
            <w:rStyle w:val="Hyperlink"/>
            <w:lang w:val="en-IE"/>
          </w:rPr>
          <w:t>The New European Bauhaus Compass</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23" w:history="1">
        <w:r w:rsidRPr="00223BF3">
          <w:rPr>
            <w:rStyle w:val="Hyperlink"/>
            <w:lang w:val="en-IE"/>
          </w:rPr>
          <w:t>EIT Community New European Bauhaus Initiative</w:t>
        </w:r>
      </w:hyperlink>
      <w:r w:rsidRPr="00223BF3">
        <w:t xml:space="preserve">. </w:t>
      </w:r>
      <w:r w:rsidRPr="00223BF3" w:rsidDel="000560A0">
        <w:t xml:space="preserve"> </w:t>
      </w:r>
    </w:p>
    <w:p w:rsidR="0037575C" w:rsidRPr="00223BF3" w:rsidRDefault="0037575C" w:rsidP="0037575C">
      <w:pPr>
        <w:pStyle w:val="EndnoteText"/>
        <w:numPr>
          <w:ilvl w:val="0"/>
          <w:numId w:val="15"/>
        </w:numPr>
        <w:jc w:val="both"/>
        <w:rPr>
          <w:lang w:val="en-US"/>
        </w:rPr>
      </w:pPr>
      <w:r w:rsidRPr="00223BF3">
        <w:t xml:space="preserve">See: </w:t>
      </w:r>
      <w:hyperlink r:id="rId224" w:history="1">
        <w:r w:rsidRPr="00223BF3">
          <w:rPr>
            <w:rStyle w:val="Hyperlink"/>
            <w:lang w:val="en-IE"/>
          </w:rPr>
          <w:t>Climate-KIC</w:t>
        </w:r>
      </w:hyperlink>
      <w:r w:rsidRPr="00223BF3">
        <w:t>.</w:t>
      </w:r>
      <w:r w:rsidRPr="00223BF3" w:rsidDel="000560A0">
        <w:t xml:space="preserve"> </w:t>
      </w:r>
    </w:p>
    <w:p w:rsidR="0037575C" w:rsidRPr="00223BF3" w:rsidRDefault="0037575C" w:rsidP="0037575C">
      <w:pPr>
        <w:pStyle w:val="EndnoteText"/>
        <w:numPr>
          <w:ilvl w:val="0"/>
          <w:numId w:val="15"/>
        </w:numPr>
        <w:jc w:val="both"/>
      </w:pPr>
      <w:r w:rsidRPr="00223BF3">
        <w:t xml:space="preserve">See: </w:t>
      </w:r>
      <w:hyperlink r:id="rId225" w:history="1">
        <w:r w:rsidRPr="00223BF3">
          <w:rPr>
            <w:rStyle w:val="Hyperlink"/>
            <w:lang w:val="en-IE"/>
          </w:rPr>
          <w:t>SUPERSHINE project</w:t>
        </w:r>
      </w:hyperlink>
      <w:r w:rsidRPr="00223BF3">
        <w:t xml:space="preserve">. </w:t>
      </w:r>
    </w:p>
    <w:p w:rsidR="0037575C" w:rsidRPr="00223BF3" w:rsidRDefault="0037575C" w:rsidP="0037575C">
      <w:pPr>
        <w:pStyle w:val="EndnoteText"/>
        <w:numPr>
          <w:ilvl w:val="0"/>
          <w:numId w:val="15"/>
        </w:numPr>
        <w:jc w:val="both"/>
      </w:pPr>
      <w:r w:rsidRPr="00223BF3">
        <w:t>See recital (8) and Article 14 of Regulation (EU) 2021/695; see also paragraph 1, point c.</w:t>
      </w:r>
    </w:p>
    <w:p w:rsidR="0037575C" w:rsidRPr="00223BF3" w:rsidRDefault="0037575C" w:rsidP="0037575C">
      <w:pPr>
        <w:pStyle w:val="EndnoteText"/>
        <w:numPr>
          <w:ilvl w:val="0"/>
          <w:numId w:val="15"/>
        </w:numPr>
        <w:jc w:val="both"/>
      </w:pPr>
      <w:r w:rsidRPr="00223BF3">
        <w:t xml:space="preserve">See: </w:t>
      </w:r>
      <w:hyperlink r:id="rId226" w:history="1">
        <w:r w:rsidRPr="00223BF3">
          <w:rPr>
            <w:rStyle w:val="Hyperlink"/>
            <w:lang w:val="en-IE"/>
          </w:rPr>
          <w:t>Horizon Europe. Work Programme 2023-2024: 5. Culture, Creativity and Inclusive Society</w:t>
        </w:r>
      </w:hyperlink>
      <w:r w:rsidRPr="00223BF3">
        <w:t>. The call topic in question (HORIZON-CL2-2024-TRANSFORMATIONS-01-09).</w:t>
      </w:r>
    </w:p>
    <w:p w:rsidR="0037575C" w:rsidRPr="00223BF3" w:rsidRDefault="0037575C" w:rsidP="0037575C">
      <w:pPr>
        <w:pStyle w:val="EndnoteText"/>
        <w:numPr>
          <w:ilvl w:val="0"/>
          <w:numId w:val="15"/>
        </w:numPr>
        <w:jc w:val="both"/>
      </w:pPr>
      <w:r w:rsidRPr="00223BF3">
        <w:t xml:space="preserve">See: </w:t>
      </w:r>
      <w:hyperlink r:id="rId227" w:history="1">
        <w:r w:rsidRPr="00223BF3">
          <w:rPr>
            <w:rStyle w:val="Hyperlink"/>
            <w:lang w:val="en-IE"/>
          </w:rPr>
          <w:t>Horizon Europe. Work Programme 2023-2024: 8. Climate, Energy and Mobility</w:t>
        </w:r>
      </w:hyperlink>
      <w:r w:rsidRPr="00223BF3">
        <w:t>. the call topic: HORIZON-CL5-2023-D4-02-05: Supporting the creation of an accessible and inclusive built environment (Built4People Partnership)</w:t>
      </w:r>
    </w:p>
    <w:p w:rsidR="0037575C" w:rsidRPr="00223BF3" w:rsidRDefault="0037575C" w:rsidP="0037575C">
      <w:pPr>
        <w:pStyle w:val="EndnoteText"/>
        <w:numPr>
          <w:ilvl w:val="0"/>
          <w:numId w:val="15"/>
        </w:numPr>
        <w:jc w:val="both"/>
      </w:pPr>
      <w:r w:rsidRPr="00223BF3">
        <w:t xml:space="preserve">See: </w:t>
      </w:r>
      <w:hyperlink r:id="rId228" w:history="1">
        <w:r w:rsidRPr="00223BF3">
          <w:rPr>
            <w:rStyle w:val="Hyperlink"/>
            <w:lang w:val="en-IE"/>
          </w:rPr>
          <w:t>Affordable housing</w:t>
        </w:r>
      </w:hyperlink>
      <w:r w:rsidRPr="00223BF3">
        <w:t xml:space="preserve">. </w:t>
      </w:r>
    </w:p>
    <w:p w:rsidR="0037575C" w:rsidRPr="00223BF3" w:rsidRDefault="0037575C" w:rsidP="0037575C">
      <w:pPr>
        <w:pStyle w:val="EndnoteText"/>
        <w:numPr>
          <w:ilvl w:val="0"/>
          <w:numId w:val="15"/>
        </w:numPr>
        <w:jc w:val="both"/>
        <w:rPr>
          <w:lang w:val="en-GB"/>
        </w:rPr>
      </w:pPr>
      <w:r w:rsidRPr="00223BF3">
        <w:rPr>
          <w:lang w:val="en-US"/>
        </w:rPr>
        <w:t xml:space="preserve">See latest edition: </w:t>
      </w:r>
      <w:hyperlink r:id="rId229" w:history="1">
        <w:r w:rsidRPr="00223BF3">
          <w:rPr>
            <w:rStyle w:val="Hyperlink"/>
          </w:rPr>
          <w:t>2021 pension adequacy report</w:t>
        </w:r>
      </w:hyperlink>
      <w:r w:rsidRPr="00223BF3">
        <w:rPr>
          <w:lang w:val="en-GB"/>
        </w:rPr>
        <w:t>.</w:t>
      </w:r>
    </w:p>
    <w:p w:rsidR="0037575C" w:rsidRPr="00223BF3" w:rsidRDefault="0037575C" w:rsidP="0037575C">
      <w:pPr>
        <w:pStyle w:val="EndnoteText"/>
        <w:numPr>
          <w:ilvl w:val="0"/>
          <w:numId w:val="15"/>
        </w:numPr>
        <w:jc w:val="both"/>
      </w:pPr>
      <w:r w:rsidRPr="00223BF3">
        <w:t xml:space="preserve">See: </w:t>
      </w:r>
      <w:hyperlink r:id="rId230" w:history="1">
        <w:r w:rsidRPr="00223BF3">
          <w:rPr>
            <w:rStyle w:val="Hyperlink"/>
            <w:lang w:val="en-IE"/>
          </w:rPr>
          <w:t>MISSOC comparative tables</w:t>
        </w:r>
      </w:hyperlink>
      <w:r w:rsidRPr="00223BF3">
        <w:t xml:space="preserve">. Please select “Compatibility with other benefits” in the selection tree for the respective social risks. </w:t>
      </w:r>
    </w:p>
    <w:p w:rsidR="0037575C" w:rsidRPr="00223BF3" w:rsidRDefault="0037575C" w:rsidP="0037575C">
      <w:pPr>
        <w:pStyle w:val="EndnoteText"/>
        <w:numPr>
          <w:ilvl w:val="0"/>
          <w:numId w:val="15"/>
        </w:numPr>
        <w:jc w:val="both"/>
      </w:pPr>
      <w:r w:rsidRPr="00223BF3">
        <w:t xml:space="preserve">See: </w:t>
      </w:r>
      <w:hyperlink r:id="rId231" w:history="1">
        <w:r w:rsidRPr="00223BF3">
          <w:rPr>
            <w:rStyle w:val="Hyperlink"/>
          </w:rPr>
          <w:t>European cooperation network on elections</w:t>
        </w:r>
      </w:hyperlink>
      <w:r w:rsidRPr="00223BF3">
        <w:rPr>
          <w:lang w:val="en-GB"/>
        </w:rPr>
        <w:t xml:space="preserve">. </w:t>
      </w:r>
    </w:p>
    <w:p w:rsidR="0037575C" w:rsidRPr="00223BF3" w:rsidRDefault="0037575C" w:rsidP="0037575C">
      <w:pPr>
        <w:pStyle w:val="EndnoteText"/>
        <w:numPr>
          <w:ilvl w:val="0"/>
          <w:numId w:val="15"/>
        </w:numPr>
        <w:jc w:val="both"/>
      </w:pPr>
      <w:r w:rsidRPr="00223BF3">
        <w:t>See: Proposal for a Council Directive laying down detailed arrangements for the exercise of the right to vote and stand as a candidate in elections to the European Parliament for Union citizens residing in a Member State of which they are not nationals (recast) (</w:t>
      </w:r>
      <w:hyperlink r:id="rId232" w:history="1">
        <w:r w:rsidRPr="00223BF3">
          <w:rPr>
            <w:rStyle w:val="Hyperlink"/>
            <w:lang w:val="en-IE"/>
          </w:rPr>
          <w:t>COM/2021/732 final</w:t>
        </w:r>
      </w:hyperlink>
      <w:r w:rsidRPr="00223BF3">
        <w:t>).</w:t>
      </w:r>
    </w:p>
    <w:p w:rsidR="0037575C" w:rsidRPr="00223BF3" w:rsidRDefault="0037575C" w:rsidP="0037575C">
      <w:pPr>
        <w:pStyle w:val="EndnoteText"/>
        <w:numPr>
          <w:ilvl w:val="0"/>
          <w:numId w:val="15"/>
        </w:numPr>
      </w:pPr>
      <w:r w:rsidRPr="00223BF3">
        <w:t xml:space="preserve">See: </w:t>
      </w:r>
      <w:hyperlink r:id="rId233" w:history="1">
        <w:r w:rsidRPr="00223BF3">
          <w:rPr>
            <w:rStyle w:val="Hyperlink"/>
            <w:lang w:val="en-IE"/>
          </w:rPr>
          <w:t>Web Content Accessibility Guidelines</w:t>
        </w:r>
      </w:hyperlink>
      <w:r w:rsidRPr="00223BF3">
        <w:rPr>
          <w:rStyle w:val="Hyperlink"/>
          <w:lang w:val="en-IE"/>
        </w:rPr>
        <w:t>.</w:t>
      </w:r>
    </w:p>
    <w:p w:rsidR="0037575C" w:rsidRPr="00223BF3" w:rsidRDefault="0037575C" w:rsidP="0037575C">
      <w:pPr>
        <w:pStyle w:val="EndnoteText"/>
        <w:numPr>
          <w:ilvl w:val="0"/>
          <w:numId w:val="15"/>
        </w:numPr>
      </w:pPr>
      <w:r w:rsidRPr="00223BF3">
        <w:t>The address can be found under https://audiovisual.ec.europa.eu/en/video/I-230056</w:t>
      </w:r>
    </w:p>
    <w:p w:rsidR="0037575C" w:rsidRPr="00223BF3" w:rsidRDefault="0037575C" w:rsidP="0037575C">
      <w:pPr>
        <w:pStyle w:val="EndnoteText"/>
        <w:numPr>
          <w:ilvl w:val="0"/>
          <w:numId w:val="15"/>
        </w:numPr>
        <w:jc w:val="both"/>
      </w:pPr>
      <w:r w:rsidRPr="00223BF3">
        <w:t xml:space="preserve">See: </w:t>
      </w:r>
      <w:hyperlink r:id="rId234" w:history="1">
        <w:r w:rsidRPr="00223BF3">
          <w:rPr>
            <w:rStyle w:val="Hyperlink"/>
            <w:lang w:val="en-IE"/>
          </w:rPr>
          <w:t>Directive (EU) 2017/1564</w:t>
        </w:r>
      </w:hyperlink>
      <w:r w:rsidRPr="00223BF3">
        <w:t xml:space="preserve"> of the European Parliament and of the Council of 13 September 2017 on certain permitted uses of certain works and other subject matter protected by copyright and related rights for the benefit of persons who are blind, visually impaired or otherwise print-disabled.</w:t>
      </w:r>
    </w:p>
    <w:p w:rsidR="0037575C" w:rsidRPr="00223BF3" w:rsidRDefault="0037575C" w:rsidP="0037575C">
      <w:pPr>
        <w:pStyle w:val="EndnoteText"/>
        <w:numPr>
          <w:ilvl w:val="0"/>
          <w:numId w:val="15"/>
        </w:numPr>
        <w:jc w:val="both"/>
      </w:pPr>
      <w:r w:rsidRPr="00223BF3">
        <w:t xml:space="preserve">See: </w:t>
      </w:r>
      <w:hyperlink r:id="rId235" w:history="1">
        <w:r w:rsidRPr="00223BF3">
          <w:rPr>
            <w:rStyle w:val="Hyperlink"/>
            <w:lang w:val="en-IE"/>
          </w:rPr>
          <w:t>Regulation (EU) 2017/1563</w:t>
        </w:r>
      </w:hyperlink>
      <w:r w:rsidRPr="00223BF3">
        <w:t xml:space="preserve"> of the European Parliament and of the Council of 13 September 2017 on the cross-border exchange between the Union and third countries of accessible format copies of certain works and other subject matter protected by copyright and related rights for the benefit of persons who are blind, visually impaired or otherwise print-disabled.</w:t>
      </w:r>
    </w:p>
    <w:p w:rsidR="0037575C" w:rsidRPr="00223BF3" w:rsidRDefault="0037575C" w:rsidP="0037575C">
      <w:pPr>
        <w:pStyle w:val="EndnoteText"/>
        <w:numPr>
          <w:ilvl w:val="0"/>
          <w:numId w:val="15"/>
        </w:numPr>
        <w:jc w:val="both"/>
      </w:pPr>
      <w:r w:rsidRPr="00223BF3">
        <w:t xml:space="preserve">See: </w:t>
      </w:r>
      <w:hyperlink r:id="rId236" w:history="1">
        <w:r w:rsidRPr="00223BF3">
          <w:rPr>
            <w:rStyle w:val="Hyperlink"/>
            <w:lang w:val="en-IE"/>
          </w:rPr>
          <w:t>Directive 2001/29/EC</w:t>
        </w:r>
      </w:hyperlink>
      <w:r w:rsidRPr="00223BF3">
        <w:t xml:space="preserve"> on the harmonisation of certain aspects of copyright and related rights in the information society. </w:t>
      </w:r>
    </w:p>
    <w:p w:rsidR="0037575C" w:rsidRPr="00223BF3" w:rsidRDefault="0037575C" w:rsidP="0037575C">
      <w:pPr>
        <w:pStyle w:val="EndnoteText"/>
        <w:numPr>
          <w:ilvl w:val="0"/>
          <w:numId w:val="15"/>
        </w:numPr>
        <w:jc w:val="both"/>
      </w:pPr>
      <w:r w:rsidRPr="00223BF3">
        <w:t xml:space="preserve">See: </w:t>
      </w:r>
      <w:hyperlink r:id="rId237" w:history="1">
        <w:r w:rsidRPr="00223BF3">
          <w:rPr>
            <w:rStyle w:val="Hyperlink"/>
            <w:lang w:val="en-IE"/>
          </w:rPr>
          <w:t>Report on the availability of certain copyright protected works for persons with disabilities within the internal market</w:t>
        </w:r>
      </w:hyperlink>
      <w:r w:rsidRPr="00223BF3">
        <w:t xml:space="preserve">. </w:t>
      </w:r>
    </w:p>
    <w:p w:rsidR="0037575C" w:rsidRPr="00223BF3" w:rsidRDefault="0037575C" w:rsidP="0037575C">
      <w:pPr>
        <w:pStyle w:val="EndnoteText"/>
        <w:numPr>
          <w:ilvl w:val="0"/>
          <w:numId w:val="15"/>
        </w:numPr>
        <w:jc w:val="both"/>
      </w:pPr>
      <w:r w:rsidRPr="00223BF3">
        <w:t>See also paragraph 23, point b.</w:t>
      </w:r>
    </w:p>
    <w:p w:rsidR="0037575C" w:rsidRPr="00223BF3" w:rsidRDefault="0037575C" w:rsidP="0037575C">
      <w:pPr>
        <w:pStyle w:val="EndnoteText"/>
        <w:numPr>
          <w:ilvl w:val="0"/>
          <w:numId w:val="15"/>
        </w:numPr>
      </w:pPr>
      <w:r w:rsidRPr="00223BF3">
        <w:t xml:space="preserve"> </w:t>
      </w:r>
      <w:hyperlink r:id="rId238" w:history="1">
        <w:r w:rsidRPr="00223BF3">
          <w:rPr>
            <w:rStyle w:val="Hyperlink"/>
            <w:lang w:val="en-IE"/>
          </w:rPr>
          <w:t>Europe Beyond Access: disability challenging the status quo on stage</w:t>
        </w:r>
      </w:hyperlink>
      <w:r w:rsidRPr="00223BF3">
        <w:rPr>
          <w:rStyle w:val="Hyperlink"/>
          <w:lang w:val="en-IE"/>
        </w:rPr>
        <w:t>.</w:t>
      </w:r>
    </w:p>
    <w:p w:rsidR="0037575C" w:rsidRPr="00223BF3" w:rsidRDefault="0037575C" w:rsidP="0037575C">
      <w:pPr>
        <w:pStyle w:val="EndnoteText"/>
        <w:numPr>
          <w:ilvl w:val="0"/>
          <w:numId w:val="15"/>
        </w:numPr>
        <w:contextualSpacing/>
        <w:jc w:val="both"/>
      </w:pPr>
      <w:r w:rsidRPr="00223BF3">
        <w:t xml:space="preserve">See: </w:t>
      </w:r>
      <w:hyperlink r:id="rId239" w:history="1">
        <w:r w:rsidRPr="00223BF3">
          <w:rPr>
            <w:rStyle w:val="Hyperlink"/>
            <w:lang w:val="en-IE"/>
          </w:rPr>
          <w:t>Time to Act: How lack of knowledge in the cultural sector creates barriers for disabled artists and audiences</w:t>
        </w:r>
      </w:hyperlink>
      <w:r w:rsidRPr="00223BF3">
        <w:t xml:space="preserve">. </w:t>
      </w:r>
    </w:p>
    <w:p w:rsidR="0037575C" w:rsidRPr="00223BF3" w:rsidRDefault="0037575C" w:rsidP="0037575C">
      <w:pPr>
        <w:pStyle w:val="EndnoteText"/>
        <w:numPr>
          <w:ilvl w:val="0"/>
          <w:numId w:val="15"/>
        </w:numPr>
      </w:pPr>
      <w:r w:rsidRPr="00223BF3">
        <w:t xml:space="preserve">See: </w:t>
      </w:r>
      <w:hyperlink r:id="rId240" w:history="1">
        <w:r w:rsidRPr="00223BF3">
          <w:rPr>
            <w:rStyle w:val="Hyperlink"/>
            <w:lang w:val="en-IE"/>
          </w:rPr>
          <w:t>Arches project</w:t>
        </w:r>
      </w:hyperlink>
      <w:r w:rsidRPr="00223BF3">
        <w:t>.</w:t>
      </w:r>
    </w:p>
    <w:p w:rsidR="0037575C" w:rsidRPr="00223BF3" w:rsidRDefault="0037575C" w:rsidP="0037575C">
      <w:pPr>
        <w:pStyle w:val="EndnoteText"/>
        <w:numPr>
          <w:ilvl w:val="0"/>
          <w:numId w:val="15"/>
        </w:numPr>
      </w:pPr>
      <w:r w:rsidRPr="00223BF3">
        <w:t xml:space="preserve">See: </w:t>
      </w:r>
      <w:hyperlink r:id="rId241" w:history="1">
        <w:r w:rsidRPr="00223BF3">
          <w:rPr>
            <w:rStyle w:val="Hyperlink"/>
            <w:lang w:val="en-IE"/>
          </w:rPr>
          <w:t>How-to guide on inclusive activities</w:t>
        </w:r>
      </w:hyperlink>
      <w:r w:rsidRPr="00223BF3">
        <w:t>.</w:t>
      </w:r>
    </w:p>
    <w:p w:rsidR="0037575C" w:rsidRPr="00223BF3" w:rsidRDefault="0037575C" w:rsidP="0037575C">
      <w:pPr>
        <w:pStyle w:val="EndnoteText"/>
        <w:numPr>
          <w:ilvl w:val="0"/>
          <w:numId w:val="15"/>
        </w:numPr>
        <w:jc w:val="both"/>
      </w:pPr>
      <w:r w:rsidRPr="00223BF3">
        <w:t xml:space="preserve">See: </w:t>
      </w:r>
      <w:hyperlink r:id="rId242" w:history="1">
        <w:r w:rsidRPr="00223BF3">
          <w:rPr>
            <w:rStyle w:val="Hyperlink"/>
            <w:lang w:val="en-IE"/>
          </w:rPr>
          <w:t>Mapping on access to sport for people with disabilities</w:t>
        </w:r>
      </w:hyperlink>
      <w:r w:rsidRPr="00223BF3">
        <w:t xml:space="preserve">. </w:t>
      </w:r>
    </w:p>
    <w:p w:rsidR="0037575C" w:rsidRPr="00223BF3" w:rsidRDefault="0037575C" w:rsidP="0037575C">
      <w:pPr>
        <w:pStyle w:val="EndnoteText"/>
        <w:numPr>
          <w:ilvl w:val="0"/>
          <w:numId w:val="15"/>
        </w:numPr>
        <w:jc w:val="both"/>
        <w:rPr>
          <w:lang w:val="en-US"/>
        </w:rPr>
      </w:pPr>
      <w:r w:rsidRPr="00223BF3">
        <w:t>In the programming period 2014-2020, the Erasmus+ Sport programme supported social inclusion in 453 projects, of which 98 projects fully focused on sport and disabilities. For the new 2021 programming period, 64 projects are supported in social inclusion, with 28 projects fully focused on sport and disabilities.</w:t>
      </w:r>
    </w:p>
    <w:p w:rsidR="0037575C" w:rsidRPr="00223BF3" w:rsidRDefault="0037575C" w:rsidP="0037575C">
      <w:pPr>
        <w:pStyle w:val="EndnoteText"/>
        <w:numPr>
          <w:ilvl w:val="0"/>
          <w:numId w:val="15"/>
        </w:numPr>
        <w:jc w:val="both"/>
      </w:pPr>
      <w:r w:rsidRPr="00223BF3">
        <w:t xml:space="preserve">See: </w:t>
      </w:r>
      <w:hyperlink r:id="rId243" w:history="1">
        <w:r w:rsidRPr="00223BF3">
          <w:rPr>
            <w:rStyle w:val="Hyperlink"/>
            <w:lang w:val="en-IE"/>
          </w:rPr>
          <w:t>What is a mobility project?</w:t>
        </w:r>
      </w:hyperlink>
    </w:p>
    <w:p w:rsidR="0037575C" w:rsidRPr="00223BF3" w:rsidRDefault="0037575C" w:rsidP="0037575C">
      <w:pPr>
        <w:pStyle w:val="EndnoteText"/>
        <w:numPr>
          <w:ilvl w:val="0"/>
          <w:numId w:val="15"/>
        </w:numPr>
        <w:jc w:val="both"/>
      </w:pPr>
      <w:r w:rsidRPr="00223BF3">
        <w:t xml:space="preserve">See: </w:t>
      </w:r>
      <w:hyperlink r:id="rId244" w:history="1">
        <w:r w:rsidRPr="00223BF3">
          <w:rPr>
            <w:rStyle w:val="Hyperlink"/>
            <w:lang w:val="en-IE"/>
          </w:rPr>
          <w:t>#BeInclusive EU Sport Awards</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45" w:history="1">
        <w:r w:rsidRPr="00223BF3">
          <w:rPr>
            <w:rStyle w:val="Hyperlink"/>
            <w:lang w:val="en-IE"/>
          </w:rPr>
          <w:t>The HealthyLifestyle4All Initiative</w:t>
        </w:r>
      </w:hyperlink>
      <w:r w:rsidRPr="00223BF3">
        <w:t xml:space="preserve">. </w:t>
      </w:r>
    </w:p>
    <w:p w:rsidR="0037575C" w:rsidRPr="00223BF3" w:rsidRDefault="0037575C" w:rsidP="0037575C">
      <w:pPr>
        <w:pStyle w:val="EndnoteText"/>
        <w:numPr>
          <w:ilvl w:val="0"/>
          <w:numId w:val="15"/>
        </w:numPr>
        <w:jc w:val="both"/>
        <w:rPr>
          <w:lang w:val="en-US"/>
        </w:rPr>
      </w:pPr>
      <w:r w:rsidRPr="00223BF3">
        <w:t>See</w:t>
      </w:r>
      <w:r w:rsidRPr="00223BF3">
        <w:rPr>
          <w:lang w:val="en-GB"/>
        </w:rPr>
        <w:t xml:space="preserve"> also paragraph 1, point c.</w:t>
      </w:r>
    </w:p>
    <w:p w:rsidR="0037575C" w:rsidRPr="00223BF3" w:rsidRDefault="0037575C" w:rsidP="0037575C">
      <w:pPr>
        <w:pStyle w:val="EndnoteText"/>
        <w:numPr>
          <w:ilvl w:val="0"/>
          <w:numId w:val="15"/>
        </w:numPr>
        <w:jc w:val="both"/>
        <w:rPr>
          <w:lang w:val="en-US"/>
        </w:rPr>
      </w:pPr>
      <w:r w:rsidRPr="00223BF3">
        <w:t xml:space="preserve"> </w:t>
      </w:r>
      <w:hyperlink r:id="rId246" w:anchor=":~:text=Europe%20Beyond%20Access%20(EBA)%20is,artists%20in%20theatre%20and%20dance." w:history="1">
        <w:r w:rsidRPr="00223BF3">
          <w:rPr>
            <w:rStyle w:val="Hyperlink"/>
          </w:rPr>
          <w:t>Europe Beyond Access | IETM</w:t>
        </w:r>
      </w:hyperlink>
      <w:r w:rsidRPr="00223BF3">
        <w:rPr>
          <w:rStyle w:val="Hyperlink"/>
        </w:rPr>
        <w:t>, funded under the European Cooperation Projects scheme</w:t>
      </w:r>
    </w:p>
    <w:p w:rsidR="0037575C" w:rsidRPr="00223BF3" w:rsidRDefault="0037575C" w:rsidP="0037575C">
      <w:pPr>
        <w:pStyle w:val="EndnoteText"/>
        <w:numPr>
          <w:ilvl w:val="0"/>
          <w:numId w:val="15"/>
        </w:numPr>
      </w:pPr>
      <w:r w:rsidRPr="00223BF3">
        <w:t xml:space="preserve">See: </w:t>
      </w:r>
      <w:hyperlink r:id="rId247" w:history="1">
        <w:r w:rsidRPr="00223BF3">
          <w:rPr>
            <w:rStyle w:val="Hyperlink"/>
            <w:lang w:val="en-IE"/>
          </w:rPr>
          <w:t>Perform Europe</w:t>
        </w:r>
      </w:hyperlink>
    </w:p>
    <w:p w:rsidR="0037575C" w:rsidRPr="00223BF3" w:rsidRDefault="0037575C" w:rsidP="0037575C">
      <w:pPr>
        <w:pStyle w:val="EndnoteText"/>
        <w:numPr>
          <w:ilvl w:val="0"/>
          <w:numId w:val="15"/>
        </w:numPr>
      </w:pPr>
      <w:r w:rsidRPr="00223BF3">
        <w:t>In individual mobility action, the amount of this top-up will complement basic grant (travel and per diem) and will depend on the specific needs of the person and can amount up to 100% of the basic mobility grant. The budget should be agreed with the Culture Moves Europe team.</w:t>
      </w:r>
    </w:p>
    <w:p w:rsidR="0037575C" w:rsidRPr="00223BF3" w:rsidRDefault="0037575C" w:rsidP="00223BF3">
      <w:pPr>
        <w:pStyle w:val="EndnoteText"/>
        <w:ind w:left="720"/>
      </w:pPr>
      <w:r w:rsidRPr="00223BF3">
        <w:t xml:space="preserve">In residency action, the calculation of the disability top up is also based on the needs but depends on the duration.  </w:t>
      </w:r>
    </w:p>
    <w:p w:rsidR="0037575C" w:rsidRPr="00223BF3" w:rsidRDefault="0037575C" w:rsidP="0037575C">
      <w:pPr>
        <w:pStyle w:val="EndnoteText"/>
        <w:numPr>
          <w:ilvl w:val="0"/>
          <w:numId w:val="15"/>
        </w:numPr>
        <w:jc w:val="both"/>
        <w:rPr>
          <w:b/>
          <w:lang w:val="en-GB"/>
        </w:rPr>
      </w:pPr>
      <w:r w:rsidRPr="00223BF3">
        <w:rPr>
          <w:lang w:val="en-GB"/>
        </w:rPr>
        <w:t xml:space="preserve">See also paragraph 12, point d. </w:t>
      </w:r>
    </w:p>
    <w:p w:rsidR="0037575C" w:rsidRPr="00223BF3" w:rsidRDefault="0037575C" w:rsidP="0037575C">
      <w:pPr>
        <w:pStyle w:val="EndnoteText"/>
        <w:numPr>
          <w:ilvl w:val="0"/>
          <w:numId w:val="15"/>
        </w:numPr>
        <w:jc w:val="both"/>
      </w:pPr>
      <w:r w:rsidRPr="00223BF3">
        <w:t xml:space="preserve">See: </w:t>
      </w:r>
      <w:hyperlink r:id="rId248" w:history="1">
        <w:r w:rsidRPr="00223BF3">
          <w:rPr>
            <w:rStyle w:val="Hyperlink"/>
            <w:lang w:val="en-IE"/>
          </w:rPr>
          <w:t>Bridging the Gap</w:t>
        </w:r>
      </w:hyperlink>
      <w:r w:rsidRPr="00223BF3">
        <w:t xml:space="preserve"> project. </w:t>
      </w:r>
    </w:p>
    <w:p w:rsidR="0037575C" w:rsidRPr="00223BF3" w:rsidRDefault="0037575C" w:rsidP="0037575C">
      <w:pPr>
        <w:pStyle w:val="EndnoteText"/>
        <w:numPr>
          <w:ilvl w:val="0"/>
          <w:numId w:val="15"/>
        </w:numPr>
        <w:jc w:val="both"/>
      </w:pPr>
      <w:r w:rsidRPr="00223BF3">
        <w:t xml:space="preserve">See: </w:t>
      </w:r>
      <w:hyperlink r:id="rId249" w:history="1">
        <w:r w:rsidRPr="00223BF3">
          <w:rPr>
            <w:rStyle w:val="Hyperlink"/>
            <w:lang w:val="en-IE"/>
          </w:rPr>
          <w:t>SDG-CRPD resource package</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50" w:history="1">
        <w:r w:rsidRPr="00223BF3">
          <w:rPr>
            <w:rStyle w:val="Hyperlink"/>
            <w:lang w:val="en-IE"/>
          </w:rPr>
          <w:t>Human Rights indicators on the Convention on the Rights of Persons with Disabilities in support of a disability inclusive 2030 Agenda for Sustainable Development</w:t>
        </w:r>
      </w:hyperlink>
      <w:r w:rsidRPr="00223BF3">
        <w:t>.</w:t>
      </w:r>
    </w:p>
    <w:p w:rsidR="0037575C" w:rsidRPr="00223BF3" w:rsidRDefault="0037575C" w:rsidP="0037575C">
      <w:pPr>
        <w:pStyle w:val="EndnoteText"/>
        <w:numPr>
          <w:ilvl w:val="0"/>
          <w:numId w:val="15"/>
        </w:numPr>
      </w:pPr>
      <w:r w:rsidRPr="00223BF3">
        <w:t xml:space="preserve">The report is </w:t>
      </w:r>
      <w:r w:rsidRPr="00223BF3">
        <w:rPr>
          <w:color w:val="000000" w:themeColor="text1"/>
        </w:rPr>
        <w:t xml:space="preserve">a key document of the European Semester process of governance (according to Article 148 TFEU). </w:t>
      </w:r>
    </w:p>
    <w:p w:rsidR="0037575C" w:rsidRPr="00223BF3" w:rsidRDefault="0037575C" w:rsidP="0037575C">
      <w:pPr>
        <w:pStyle w:val="EndnoteText"/>
        <w:numPr>
          <w:ilvl w:val="0"/>
          <w:numId w:val="15"/>
        </w:numPr>
      </w:pPr>
      <w:r w:rsidRPr="00223BF3">
        <w:t xml:space="preserve">See also paragraph 1, point c. </w:t>
      </w:r>
    </w:p>
    <w:p w:rsidR="0037575C" w:rsidRPr="00223BF3" w:rsidRDefault="0037575C" w:rsidP="0037575C">
      <w:pPr>
        <w:pStyle w:val="EndnoteText"/>
        <w:numPr>
          <w:ilvl w:val="0"/>
          <w:numId w:val="15"/>
        </w:numPr>
      </w:pPr>
      <w:r w:rsidRPr="00223BF3">
        <w:t xml:space="preserve">See: </w:t>
      </w:r>
      <w:hyperlink r:id="rId251" w:history="1">
        <w:r w:rsidRPr="00223BF3">
          <w:rPr>
            <w:rStyle w:val="Hyperlink"/>
            <w:lang w:val="en-IE"/>
          </w:rPr>
          <w:t>Human Rights-Based Approach: The EU Toolbox for Placing Rights-Holders at the Centre of International Partnerships</w:t>
        </w:r>
      </w:hyperlink>
      <w:r w:rsidRPr="00223BF3">
        <w:t xml:space="preserve">. </w:t>
      </w:r>
    </w:p>
    <w:p w:rsidR="0037575C" w:rsidRPr="00223BF3" w:rsidRDefault="0037575C" w:rsidP="0037575C">
      <w:pPr>
        <w:pStyle w:val="EndnoteText"/>
        <w:numPr>
          <w:ilvl w:val="0"/>
          <w:numId w:val="15"/>
        </w:numPr>
        <w:jc w:val="both"/>
      </w:pPr>
      <w:r w:rsidRPr="00223BF3">
        <w:t xml:space="preserve">The </w:t>
      </w:r>
      <w:hyperlink r:id="rId252" w:anchor=":~:text=The%20European%20Union%20(EU)%20acquis,systems%20of%20EU%20Member%20States" w:history="1">
        <w:r w:rsidRPr="00223BF3">
          <w:rPr>
            <w:rStyle w:val="Hyperlink"/>
            <w:lang w:val="en-IE"/>
          </w:rPr>
          <w:t>European Union acquis</w:t>
        </w:r>
      </w:hyperlink>
      <w:r w:rsidRPr="00223BF3">
        <w:t xml:space="preserve"> is the collection of common rights and obligations that constitute the body of EU law, and is incorporated into the legal systems of EU MS. </w:t>
      </w:r>
    </w:p>
    <w:p w:rsidR="0037575C" w:rsidRPr="00223BF3" w:rsidRDefault="0037575C" w:rsidP="0037575C">
      <w:pPr>
        <w:pStyle w:val="EndnoteText"/>
        <w:numPr>
          <w:ilvl w:val="0"/>
          <w:numId w:val="15"/>
        </w:numPr>
        <w:jc w:val="both"/>
      </w:pPr>
      <w:r w:rsidRPr="00223BF3">
        <w:t xml:space="preserve">See: </w:t>
      </w:r>
      <w:hyperlink r:id="rId253" w:history="1">
        <w:r w:rsidRPr="00223BF3">
          <w:rPr>
            <w:rStyle w:val="Hyperlink"/>
            <w:lang w:val="en-IE"/>
          </w:rPr>
          <w:t>European Consensus on Development</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54" w:history="1">
        <w:r w:rsidRPr="00223BF3">
          <w:rPr>
            <w:rStyle w:val="Hyperlink"/>
            <w:lang w:val="en-IE"/>
          </w:rPr>
          <w:t>EU Action Plan on Human Rights and Democracy</w:t>
        </w:r>
      </w:hyperlink>
      <w:r w:rsidRPr="00223BF3">
        <w:t xml:space="preserve">. </w:t>
      </w:r>
    </w:p>
    <w:p w:rsidR="0037575C" w:rsidRPr="00223BF3" w:rsidRDefault="0037575C" w:rsidP="0037575C">
      <w:pPr>
        <w:pStyle w:val="EndnoteText"/>
        <w:numPr>
          <w:ilvl w:val="0"/>
          <w:numId w:val="15"/>
        </w:numPr>
        <w:jc w:val="both"/>
      </w:pPr>
      <w:r w:rsidRPr="00223BF3">
        <w:t xml:space="preserve">See: </w:t>
      </w:r>
      <w:hyperlink r:id="rId255" w:history="1">
        <w:r w:rsidRPr="00223BF3">
          <w:rPr>
            <w:rStyle w:val="Hyperlink"/>
            <w:lang w:val="en-IE"/>
          </w:rPr>
          <w:t>EU Human Rights guidelines</w:t>
        </w:r>
      </w:hyperlink>
      <w:r w:rsidRPr="00223BF3">
        <w:t>.</w:t>
      </w:r>
    </w:p>
    <w:p w:rsidR="0037575C" w:rsidRPr="00223BF3" w:rsidRDefault="0037575C" w:rsidP="0037575C">
      <w:pPr>
        <w:pStyle w:val="EndnoteText"/>
        <w:numPr>
          <w:ilvl w:val="0"/>
          <w:numId w:val="15"/>
        </w:numPr>
        <w:jc w:val="both"/>
      </w:pPr>
      <w:r w:rsidRPr="00223BF3">
        <w:t>See also paragraph 16, point a.</w:t>
      </w:r>
      <w:r w:rsidRPr="00223BF3" w:rsidDel="008C29D8">
        <w:t xml:space="preserve"> </w:t>
      </w:r>
    </w:p>
    <w:p w:rsidR="0037575C" w:rsidRPr="00223BF3" w:rsidRDefault="0037575C" w:rsidP="0037575C">
      <w:pPr>
        <w:pStyle w:val="EndnoteText"/>
        <w:numPr>
          <w:ilvl w:val="0"/>
          <w:numId w:val="15"/>
        </w:numPr>
        <w:jc w:val="both"/>
      </w:pPr>
      <w:r w:rsidRPr="00223BF3">
        <w:t>See: Applying the Human Rights Based Approach to international partnerships: An updated Toolbox for placing rights-holders at the centre of EU’s Neighbourhood, Development and International Cooperation (</w:t>
      </w:r>
      <w:hyperlink r:id="rId256" w:history="1">
        <w:r w:rsidRPr="00223BF3">
          <w:rPr>
            <w:rStyle w:val="Hyperlink"/>
            <w:lang w:val="en-IE"/>
          </w:rPr>
          <w:t>SWD(2021) 179 final</w:t>
        </w:r>
      </w:hyperlink>
      <w:r w:rsidRPr="00223BF3">
        <w:rPr>
          <w:rStyle w:val="Hyperlink"/>
          <w:lang w:val="en-IE"/>
        </w:rPr>
        <w:t>)</w:t>
      </w:r>
      <w:r w:rsidRPr="00223BF3">
        <w:t xml:space="preserve">. </w:t>
      </w:r>
    </w:p>
    <w:p w:rsidR="0037575C" w:rsidRPr="00223BF3" w:rsidRDefault="0037575C" w:rsidP="0037575C">
      <w:pPr>
        <w:pStyle w:val="ListParagraph"/>
        <w:numPr>
          <w:ilvl w:val="0"/>
          <w:numId w:val="15"/>
        </w:numPr>
        <w:spacing w:before="120" w:after="120"/>
        <w:jc w:val="both"/>
        <w:outlineLvl w:val="1"/>
        <w:rPr>
          <w:sz w:val="20"/>
          <w:szCs w:val="20"/>
        </w:rPr>
      </w:pPr>
      <w:r w:rsidRPr="00223BF3">
        <w:rPr>
          <w:sz w:val="20"/>
          <w:szCs w:val="20"/>
        </w:rPr>
        <w:t>Please see also  section the humanitarian aid instrument in reply to the issues raised in paragraph 1 of the list of issues, point (c).</w:t>
      </w:r>
    </w:p>
    <w:p w:rsidR="0037575C" w:rsidRPr="00223BF3" w:rsidRDefault="0037575C" w:rsidP="0037575C">
      <w:pPr>
        <w:pStyle w:val="EndnoteText"/>
        <w:numPr>
          <w:ilvl w:val="0"/>
          <w:numId w:val="15"/>
        </w:numPr>
        <w:jc w:val="both"/>
      </w:pPr>
      <w:r w:rsidRPr="00223BF3">
        <w:t xml:space="preserve">See also paragraph 1, point c and paragraph 12, point b. </w:t>
      </w:r>
    </w:p>
    <w:p w:rsidR="0037575C" w:rsidRPr="00223BF3" w:rsidRDefault="0037575C" w:rsidP="0037575C">
      <w:pPr>
        <w:pStyle w:val="EndnoteText"/>
        <w:numPr>
          <w:ilvl w:val="0"/>
          <w:numId w:val="15"/>
        </w:numPr>
        <w:jc w:val="both"/>
      </w:pPr>
      <w:r w:rsidRPr="00223BF3">
        <w:t>Disability-specific Focal points are present in approximately in 80% of the delegations of the Commission department for International Partnerships, in addition to Human Rights focal points who also follow disability as part of the human rights portfolio.</w:t>
      </w:r>
    </w:p>
    <w:p w:rsidR="0037575C" w:rsidRPr="00223BF3" w:rsidRDefault="0037575C" w:rsidP="0037575C">
      <w:pPr>
        <w:pStyle w:val="EndnoteText"/>
        <w:numPr>
          <w:ilvl w:val="0"/>
          <w:numId w:val="15"/>
        </w:numPr>
        <w:jc w:val="both"/>
      </w:pPr>
      <w:r w:rsidRPr="00223BF3">
        <w:t xml:space="preserve">An internal group of technical experts responsible for different sectors (e.g., health, shelter, nutrition). The experts on protection and gender also cover disability inclusion. </w:t>
      </w:r>
    </w:p>
    <w:p w:rsidR="0037575C" w:rsidRPr="00223BF3" w:rsidRDefault="0037575C" w:rsidP="0037575C">
      <w:pPr>
        <w:pStyle w:val="EndnoteText"/>
        <w:numPr>
          <w:ilvl w:val="0"/>
          <w:numId w:val="15"/>
        </w:numPr>
        <w:jc w:val="both"/>
      </w:pPr>
      <w:r w:rsidRPr="00223BF3">
        <w:t xml:space="preserve">See also paragraph 12, point b; and paragraph 33, point a. </w:t>
      </w:r>
    </w:p>
    <w:p w:rsidR="0037575C" w:rsidRPr="00223BF3" w:rsidRDefault="0037575C" w:rsidP="0037575C">
      <w:pPr>
        <w:pStyle w:val="EndnoteText"/>
        <w:numPr>
          <w:ilvl w:val="0"/>
          <w:numId w:val="15"/>
        </w:numPr>
        <w:jc w:val="both"/>
      </w:pPr>
      <w:r w:rsidRPr="00223BF3">
        <w:t>According to the indicator data, 25% of new projects managed by the Commission were disability-inclusive in 2021, whereas in 2020 the same figure was at 14%, and in 2019 at 5,4%.</w:t>
      </w:r>
    </w:p>
    <w:p w:rsidR="0037575C" w:rsidRPr="00223BF3" w:rsidRDefault="0037575C" w:rsidP="0037575C">
      <w:pPr>
        <w:pStyle w:val="EndnoteText"/>
        <w:numPr>
          <w:ilvl w:val="0"/>
          <w:numId w:val="15"/>
        </w:numPr>
        <w:jc w:val="both"/>
        <w:rPr>
          <w:lang w:val="en-US"/>
        </w:rPr>
      </w:pPr>
      <w:r w:rsidRPr="00223BF3">
        <w:t xml:space="preserve">See: </w:t>
      </w:r>
      <w:hyperlink r:id="rId257" w:history="1">
        <w:r w:rsidRPr="00223BF3">
          <w:rPr>
            <w:rStyle w:val="Hyperlink"/>
          </w:rPr>
          <w:t>EU International Partnerships Academy</w:t>
        </w:r>
      </w:hyperlink>
      <w:r w:rsidRPr="00223BF3">
        <w:rPr>
          <w:lang w:val="en-GB"/>
        </w:rPr>
        <w:t xml:space="preserve">. </w:t>
      </w:r>
    </w:p>
    <w:p w:rsidR="0037575C" w:rsidRPr="00223BF3" w:rsidRDefault="0037575C" w:rsidP="0037575C">
      <w:pPr>
        <w:pStyle w:val="EndnoteText"/>
        <w:numPr>
          <w:ilvl w:val="0"/>
          <w:numId w:val="15"/>
        </w:numPr>
      </w:pPr>
      <w:r w:rsidRPr="00223BF3">
        <w:t xml:space="preserve">See: </w:t>
      </w:r>
      <w:hyperlink r:id="rId258" w:history="1">
        <w:r w:rsidRPr="00223BF3">
          <w:rPr>
            <w:rStyle w:val="Hyperlink"/>
            <w:lang w:val="en-IE"/>
          </w:rPr>
          <w:t>Technical Assistance and Information Exchange instrument</w:t>
        </w:r>
      </w:hyperlink>
      <w:r w:rsidRPr="00223BF3">
        <w:t>.</w:t>
      </w:r>
    </w:p>
    <w:p w:rsidR="0037575C" w:rsidRPr="00223BF3" w:rsidRDefault="0037575C" w:rsidP="0037575C">
      <w:pPr>
        <w:pStyle w:val="EndnoteText"/>
        <w:numPr>
          <w:ilvl w:val="0"/>
          <w:numId w:val="15"/>
        </w:numPr>
        <w:rPr>
          <w:lang w:val="en-US"/>
        </w:rPr>
      </w:pPr>
      <w:r w:rsidRPr="00223BF3">
        <w:t xml:space="preserve">See: </w:t>
      </w:r>
      <w:hyperlink r:id="rId259" w:history="1">
        <w:r w:rsidRPr="00223BF3">
          <w:rPr>
            <w:rStyle w:val="Hyperlink"/>
          </w:rPr>
          <w:t>SOCIEUX+. EU expertise on social protection, labour and employment</w:t>
        </w:r>
      </w:hyperlink>
      <w:r w:rsidRPr="00223BF3">
        <w:rPr>
          <w:rStyle w:val="Hyperlink"/>
        </w:rPr>
        <w:t>.</w:t>
      </w:r>
    </w:p>
    <w:p w:rsidR="0037575C" w:rsidRPr="00223BF3" w:rsidRDefault="0037575C" w:rsidP="0037575C">
      <w:pPr>
        <w:pStyle w:val="EndnoteText"/>
        <w:numPr>
          <w:ilvl w:val="0"/>
          <w:numId w:val="15"/>
        </w:numPr>
      </w:pPr>
      <w:r w:rsidRPr="00223BF3">
        <w:t xml:space="preserve">See: </w:t>
      </w:r>
      <w:hyperlink r:id="rId260" w:history="1">
        <w:r w:rsidRPr="00223BF3">
          <w:rPr>
            <w:rStyle w:val="Hyperlink"/>
            <w:lang w:val="en-IE"/>
          </w:rPr>
          <w:t>Bridging the Gap project</w:t>
        </w:r>
      </w:hyperlink>
      <w:r w:rsidRPr="00223BF3">
        <w:rPr>
          <w:rStyle w:val="Hyperlink"/>
          <w:lang w:val="en-IE"/>
        </w:rPr>
        <w:t>.</w:t>
      </w:r>
    </w:p>
    <w:p w:rsidR="0037575C" w:rsidRPr="00223BF3" w:rsidRDefault="0037575C" w:rsidP="0037575C">
      <w:pPr>
        <w:pStyle w:val="EndnoteText"/>
        <w:numPr>
          <w:ilvl w:val="0"/>
          <w:numId w:val="15"/>
        </w:numPr>
      </w:pPr>
      <w:r w:rsidRPr="00223BF3">
        <w:t xml:space="preserve">Internal document published on the </w:t>
      </w:r>
      <w:hyperlink r:id="rId261" w:history="1">
        <w:r w:rsidRPr="00223BF3">
          <w:rPr>
            <w:rStyle w:val="Hyperlink"/>
            <w:lang w:val="en-IE"/>
          </w:rPr>
          <w:t>International Partnership Academy website</w:t>
        </w:r>
      </w:hyperlink>
      <w:r w:rsidRPr="00223BF3">
        <w:t xml:space="preserve"> where it can be seen by external stakeholders if they register.</w:t>
      </w:r>
    </w:p>
    <w:p w:rsidR="0037575C" w:rsidRPr="00223BF3" w:rsidRDefault="0037575C" w:rsidP="0037575C">
      <w:pPr>
        <w:pStyle w:val="EndnoteText"/>
        <w:numPr>
          <w:ilvl w:val="0"/>
          <w:numId w:val="15"/>
        </w:numPr>
      </w:pPr>
      <w:r w:rsidRPr="00223BF3">
        <w:t xml:space="preserve">See: </w:t>
      </w:r>
      <w:hyperlink r:id="rId262" w:history="1">
        <w:r w:rsidRPr="00223BF3">
          <w:rPr>
            <w:rStyle w:val="Hyperlink"/>
            <w:lang w:val="en-IE"/>
          </w:rPr>
          <w:t>Grand Bargain factsheet</w:t>
        </w:r>
      </w:hyperlink>
      <w:r w:rsidRPr="00223BF3">
        <w:rPr>
          <w:rStyle w:val="Hyperlink"/>
          <w:lang w:val="en-IE"/>
        </w:rPr>
        <w:t>.</w:t>
      </w:r>
    </w:p>
    <w:p w:rsidR="0037575C" w:rsidRPr="00223BF3" w:rsidRDefault="0037575C" w:rsidP="0037575C">
      <w:pPr>
        <w:pStyle w:val="EndnoteText"/>
        <w:numPr>
          <w:ilvl w:val="0"/>
          <w:numId w:val="15"/>
        </w:numPr>
        <w:rPr>
          <w:lang w:val="en-US"/>
        </w:rPr>
      </w:pPr>
      <w:r w:rsidRPr="00223BF3">
        <w:t xml:space="preserve">See: </w:t>
      </w:r>
      <w:hyperlink r:id="rId263" w:history="1">
        <w:r w:rsidRPr="00223BF3">
          <w:rPr>
            <w:rStyle w:val="Hyperlink"/>
          </w:rPr>
          <w:t>EU Global Health Strategy</w:t>
        </w:r>
      </w:hyperlink>
      <w:r w:rsidRPr="00223BF3">
        <w:rPr>
          <w:lang w:val="en-GB"/>
        </w:rPr>
        <w:t xml:space="preserve">. </w:t>
      </w:r>
    </w:p>
    <w:p w:rsidR="0037575C" w:rsidRPr="00223BF3" w:rsidRDefault="0037575C" w:rsidP="0037575C">
      <w:pPr>
        <w:pStyle w:val="EndnoteText"/>
        <w:numPr>
          <w:ilvl w:val="0"/>
          <w:numId w:val="15"/>
        </w:numPr>
        <w:rPr>
          <w:lang w:val="en-US"/>
        </w:rPr>
      </w:pPr>
      <w:r w:rsidRPr="00223BF3">
        <w:t xml:space="preserve">See: </w:t>
      </w:r>
      <w:hyperlink r:id="rId264" w:history="1">
        <w:r w:rsidRPr="00223BF3">
          <w:rPr>
            <w:rStyle w:val="Hyperlink"/>
          </w:rPr>
          <w:t>EU adopts the first Youth Action Plan in EU External Action</w:t>
        </w:r>
      </w:hyperlink>
      <w:r w:rsidRPr="00223BF3">
        <w:rPr>
          <w:lang w:val="en-GB"/>
        </w:rPr>
        <w:t xml:space="preserve">. </w:t>
      </w:r>
    </w:p>
    <w:p w:rsidR="0037575C" w:rsidRPr="00223BF3" w:rsidRDefault="0037575C" w:rsidP="0037575C">
      <w:pPr>
        <w:pStyle w:val="EndnoteText"/>
        <w:numPr>
          <w:ilvl w:val="0"/>
          <w:numId w:val="15"/>
        </w:numPr>
        <w:rPr>
          <w:lang w:val="en-US"/>
        </w:rPr>
      </w:pPr>
      <w:r w:rsidRPr="00223BF3">
        <w:t>Inter-Agency Standing Committee (IASC) Guidelines on the Inclusion of Persons with Disabilities in Humanitarian Action IASC Guidelines, Inclusion of Persons with Disabilities in Humanitarian Action, 2019 | IASC (interagencystandingcommittee.org).</w:t>
      </w:r>
    </w:p>
    <w:p w:rsidR="0037575C" w:rsidRPr="00223BF3" w:rsidRDefault="0037575C" w:rsidP="0037575C">
      <w:pPr>
        <w:pStyle w:val="EndnoteText"/>
        <w:numPr>
          <w:ilvl w:val="0"/>
          <w:numId w:val="15"/>
        </w:numPr>
        <w:rPr>
          <w:lang w:val="en-GB"/>
        </w:rPr>
      </w:pPr>
      <w:r w:rsidRPr="00223BF3">
        <w:rPr>
          <w:lang w:val="en-GB"/>
        </w:rPr>
        <w:t>See also reply to paragraph 9, point a.</w:t>
      </w:r>
    </w:p>
    <w:p w:rsidR="0037575C" w:rsidRPr="00223BF3" w:rsidRDefault="0037575C" w:rsidP="0037575C">
      <w:pPr>
        <w:pStyle w:val="EndnoteText"/>
        <w:numPr>
          <w:ilvl w:val="0"/>
          <w:numId w:val="15"/>
        </w:numPr>
      </w:pPr>
      <w:r w:rsidRPr="00223BF3">
        <w:t xml:space="preserve">See: </w:t>
      </w:r>
      <w:hyperlink r:id="rId265" w:history="1">
        <w:r w:rsidRPr="00223BF3">
          <w:rPr>
            <w:rStyle w:val="Hyperlink"/>
            <w:lang w:val="en-IE"/>
          </w:rPr>
          <w:t>Monitoring framework</w:t>
        </w:r>
      </w:hyperlink>
      <w:r w:rsidRPr="00223BF3">
        <w:t xml:space="preserve">. </w:t>
      </w:r>
    </w:p>
    <w:p w:rsidR="0037575C" w:rsidRPr="00223BF3" w:rsidRDefault="0037575C" w:rsidP="0037575C">
      <w:pPr>
        <w:pStyle w:val="EndnoteText"/>
        <w:numPr>
          <w:ilvl w:val="0"/>
          <w:numId w:val="15"/>
        </w:numPr>
      </w:pPr>
      <w:r w:rsidRPr="00223BF3">
        <w:t>Concluding observations on the initial report of the European Union UN CRPD/C/EU/CO/1.</w:t>
      </w:r>
    </w:p>
    <w:p w:rsidR="0037575C" w:rsidRPr="00223BF3" w:rsidRDefault="0037575C" w:rsidP="0037575C">
      <w:pPr>
        <w:pStyle w:val="EndnoteText"/>
        <w:numPr>
          <w:ilvl w:val="0"/>
          <w:numId w:val="15"/>
        </w:numPr>
      </w:pPr>
      <w:r w:rsidRPr="00223BF3">
        <w:rPr>
          <w:lang w:val="en-US"/>
        </w:rPr>
        <w:t xml:space="preserve">EDF allocates two full-time staff for five days per person per year, in order to prepare and attend meetings, review documents and work on joint activities (e.g. joint submissions). </w:t>
      </w:r>
      <w:r w:rsidRPr="00223BF3">
        <w:t xml:space="preserve">See: </w:t>
      </w:r>
      <w:hyperlink r:id="rId266" w:history="1">
        <w:r w:rsidRPr="00223BF3">
          <w:rPr>
            <w:rStyle w:val="Hyperlink"/>
            <w:lang w:val="en-IE"/>
          </w:rPr>
          <w:t>Financial information about EDF</w:t>
        </w:r>
      </w:hyperlink>
      <w:r w:rsidRPr="00223BF3">
        <w:t xml:space="preserve">. </w:t>
      </w:r>
    </w:p>
    <w:p w:rsidR="0037575C" w:rsidRPr="00223BF3" w:rsidRDefault="0037575C" w:rsidP="0037575C">
      <w:pPr>
        <w:pStyle w:val="EndnoteText"/>
        <w:numPr>
          <w:ilvl w:val="0"/>
          <w:numId w:val="15"/>
        </w:numPr>
      </w:pPr>
      <w:r w:rsidRPr="00223BF3">
        <w:t xml:space="preserve">See: The latest European Ombudsman </w:t>
      </w:r>
      <w:hyperlink r:id="rId267" w:history="1">
        <w:r w:rsidRPr="00223BF3">
          <w:rPr>
            <w:rStyle w:val="Hyperlink"/>
            <w:lang w:val="en-IE"/>
          </w:rPr>
          <w:t>Annual Activity Report</w:t>
        </w:r>
      </w:hyperlink>
      <w:r w:rsidRPr="00223BF3">
        <w:t xml:space="preserve">, which details achievements, initiatives taken and the financial and human resources spent during the year. </w:t>
      </w:r>
    </w:p>
    <w:p w:rsidR="0037575C" w:rsidRPr="00223BF3" w:rsidRDefault="0037575C" w:rsidP="0037575C">
      <w:pPr>
        <w:pStyle w:val="EndnoteText"/>
        <w:numPr>
          <w:ilvl w:val="0"/>
          <w:numId w:val="15"/>
        </w:numPr>
      </w:pPr>
      <w:r w:rsidRPr="00223BF3">
        <w:t xml:space="preserve">See: </w:t>
      </w:r>
      <w:hyperlink r:id="rId268" w:history="1">
        <w:r w:rsidRPr="00223BF3">
          <w:rPr>
            <w:rStyle w:val="Hyperlink"/>
            <w:lang w:val="en-IE"/>
          </w:rPr>
          <w:t>FRA annual work programme</w:t>
        </w:r>
      </w:hyperlink>
      <w:r w:rsidRPr="00223BF3">
        <w:t>.</w:t>
      </w:r>
    </w:p>
    <w:p w:rsidR="004B7FAC" w:rsidRDefault="004B7FAC">
      <w:pPr>
        <w:pStyle w:val="BodyText"/>
        <w:spacing w:before="1"/>
      </w:pPr>
    </w:p>
    <w:p w:rsidR="004B7FAC" w:rsidRDefault="004B7FAC">
      <w:pPr>
        <w:pStyle w:val="BodyText"/>
        <w:spacing w:before="1"/>
      </w:pPr>
    </w:p>
    <w:p w:rsidR="004B7FAC" w:rsidRDefault="004B7FAC" w:rsidP="004B7FAC">
      <w:pPr>
        <w:pStyle w:val="BodyText"/>
        <w:spacing w:before="1"/>
      </w:pPr>
    </w:p>
    <w:sectPr w:rsidR="004B7FAC">
      <w:headerReference w:type="default" r:id="rId269"/>
      <w:footerReference w:type="default" r:id="rId270"/>
      <w:pgSz w:w="12240" w:h="15840"/>
      <w:pgMar w:top="1580" w:right="1200" w:bottom="1160" w:left="1300" w:header="1382" w:footer="9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533AB" w:rsidRDefault="009533AB">
      <w:r>
        <w:separator/>
      </w:r>
    </w:p>
  </w:endnote>
  <w:endnote w:type="continuationSeparator" w:id="0">
    <w:p w:rsidR="009533AB" w:rsidRDefault="00953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160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486671872" behindDoc="1" locked="0" layoutInCell="1" allowOverlap="1">
              <wp:simplePos x="0" y="0"/>
              <wp:positionH relativeFrom="page">
                <wp:posOffset>3783965</wp:posOffset>
              </wp:positionH>
              <wp:positionV relativeFrom="page">
                <wp:posOffset>9306560</wp:posOffset>
              </wp:positionV>
              <wp:extent cx="203835" cy="16573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pStyle w:val="BodyText"/>
                            <w:spacing w:before="10"/>
                            <w:ind w:left="60"/>
                          </w:pPr>
                          <w:r>
                            <w:fldChar w:fldCharType="begin"/>
                          </w:r>
                          <w:r>
                            <w:instrText xml:space="preserve"> PAGE </w:instrText>
                          </w:r>
                          <w:r>
                            <w:fldChar w:fldCharType="separate"/>
                          </w:r>
                          <w:r w:rsidR="00223BF3">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30" type="#_x0000_t202" style="position:absolute;margin-left:297.95pt;margin-top:732.8pt;width:16.05pt;height:13.05pt;z-index:-16644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" filled="f" stroked="f">
              <v:textbox inset="0,0,0,0">
                <w:txbxContent>
                  <w:p w:rsidR="00716091" w:rsidRDefault="00716091">
                    <w:pPr>
                      <w:pStyle w:val="BodyText"/>
                      <w:spacing w:before="10"/>
                      <w:ind w:left="60"/>
                    </w:pPr>
                    <w:r>
                      <w:fldChar w:fldCharType="begin"/>
                    </w:r>
                    <w:r>
                      <w:instrText xml:space="preserve"> PAGE </w:instrText>
                    </w:r>
                    <w:r>
                      <w:fldChar w:fldCharType="separate"/>
                    </w:r>
                    <w:r w:rsidR="00223BF3">
                      <w:rPr>
                        <w:noProof/>
                      </w:rPr>
                      <w:t>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1609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486672896" behindDoc="1" locked="0" layoutInCell="1" allowOverlap="1">
              <wp:simplePos x="0" y="0"/>
              <wp:positionH relativeFrom="page">
                <wp:posOffset>3783965</wp:posOffset>
              </wp:positionH>
              <wp:positionV relativeFrom="page">
                <wp:posOffset>9306560</wp:posOffset>
              </wp:positionV>
              <wp:extent cx="203835" cy="16573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pStyle w:val="BodyText"/>
                            <w:spacing w:before="10"/>
                            <w:ind w:left="60"/>
                          </w:pPr>
                          <w:r>
                            <w:fldChar w:fldCharType="begin"/>
                          </w:r>
                          <w:r>
                            <w:instrText xml:space="preserve"> PAGE </w:instrText>
                          </w:r>
                          <w:r>
                            <w:fldChar w:fldCharType="separate"/>
                          </w:r>
                          <w:r w:rsidR="00223BF3">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3" type="#_x0000_t202" style="position:absolute;margin-left:297.95pt;margin-top:732.8pt;width:16.05pt;height:13.05pt;z-index:-1664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" filled="f" stroked="f">
              <v:textbox inset="0,0,0,0">
                <w:txbxContent>
                  <w:p w:rsidR="00716091" w:rsidRDefault="00716091">
                    <w:pPr>
                      <w:pStyle w:val="BodyText"/>
                      <w:spacing w:before="10"/>
                      <w:ind w:left="60"/>
                    </w:pPr>
                    <w:r>
                      <w:fldChar w:fldCharType="begin"/>
                    </w:r>
                    <w:r>
                      <w:instrText xml:space="preserve"> PAGE </w:instrText>
                    </w:r>
                    <w:r>
                      <w:fldChar w:fldCharType="separate"/>
                    </w:r>
                    <w:r w:rsidR="00223BF3">
                      <w:rPr>
                        <w:noProof/>
                      </w:rPr>
                      <w:t>5</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486673920" behindDoc="1" locked="0" layoutInCell="1" allowOverlap="1">
              <wp:simplePos x="0" y="0"/>
              <wp:positionH relativeFrom="page">
                <wp:posOffset>3783965</wp:posOffset>
              </wp:positionH>
              <wp:positionV relativeFrom="page">
                <wp:posOffset>9306560</wp:posOffset>
              </wp:positionV>
              <wp:extent cx="203835" cy="1657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pStyle w:val="BodyText"/>
                            <w:spacing w:before="10"/>
                            <w:ind w:left="60"/>
                          </w:pPr>
                          <w:r>
                            <w:fldChar w:fldCharType="begin"/>
                          </w:r>
                          <w:r>
                            <w:instrText xml:space="preserve"> PAGE </w:instrText>
                          </w:r>
                          <w:r>
                            <w:fldChar w:fldCharType="separate"/>
                          </w:r>
                          <w:r w:rsidR="00223BF3">
                            <w:rPr>
                              <w:noProof/>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margin-left:297.95pt;margin-top:732.8pt;width:16.05pt;height:13.05pt;z-index:-1664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" filled="f" stroked="f">
              <v:textbox inset="0,0,0,0">
                <w:txbxContent>
                  <w:p w:rsidR="00716091" w:rsidRDefault="00716091">
                    <w:pPr>
                      <w:pStyle w:val="BodyText"/>
                      <w:spacing w:before="10"/>
                      <w:ind w:left="60"/>
                    </w:pPr>
                    <w:r>
                      <w:fldChar w:fldCharType="begin"/>
                    </w:r>
                    <w:r>
                      <w:instrText xml:space="preserve"> PAGE </w:instrText>
                    </w:r>
                    <w:r>
                      <w:fldChar w:fldCharType="separate"/>
                    </w:r>
                    <w:r w:rsidR="00223BF3">
                      <w:rPr>
                        <w:noProof/>
                      </w:rPr>
                      <w:t>6</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486674432" behindDoc="1" locked="0" layoutInCell="1" allowOverlap="1">
              <wp:simplePos x="0" y="0"/>
              <wp:positionH relativeFrom="page">
                <wp:posOffset>3783965</wp:posOffset>
              </wp:positionH>
              <wp:positionV relativeFrom="page">
                <wp:posOffset>9306560</wp:posOffset>
              </wp:positionV>
              <wp:extent cx="203835" cy="1657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pStyle w:val="BodyText"/>
                            <w:spacing w:before="10"/>
                            <w:ind w:left="60"/>
                          </w:pPr>
                          <w:r>
                            <w:fldChar w:fldCharType="begin"/>
                          </w:r>
                          <w:r>
                            <w:instrText xml:space="preserve"> PAGE </w:instrText>
                          </w:r>
                          <w:r>
                            <w:fldChar w:fldCharType="separate"/>
                          </w:r>
                          <w:r w:rsidR="00223BF3">
                            <w:rPr>
                              <w:noProof/>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37" type="#_x0000_t202" style="position:absolute;margin-left:297.95pt;margin-top:732.8pt;width:16.05pt;height:13.05pt;z-index:-1664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" filled="f" stroked="f">
              <v:textbox inset="0,0,0,0">
                <w:txbxContent>
                  <w:p w:rsidR="00716091" w:rsidRDefault="00716091">
                    <w:pPr>
                      <w:pStyle w:val="BodyText"/>
                      <w:spacing w:before="10"/>
                      <w:ind w:left="60"/>
                    </w:pPr>
                    <w:r>
                      <w:fldChar w:fldCharType="begin"/>
                    </w:r>
                    <w:r>
                      <w:instrText xml:space="preserve"> PAGE </w:instrText>
                    </w:r>
                    <w:r>
                      <w:fldChar w:fldCharType="separate"/>
                    </w:r>
                    <w:r w:rsidR="00223BF3">
                      <w:rPr>
                        <w:noProof/>
                      </w:rPr>
                      <w:t>7</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486678016" behindDoc="1" locked="0" layoutInCell="1" allowOverlap="1">
              <wp:simplePos x="0" y="0"/>
              <wp:positionH relativeFrom="page">
                <wp:posOffset>3783965</wp:posOffset>
              </wp:positionH>
              <wp:positionV relativeFrom="page">
                <wp:posOffset>9306560</wp:posOffset>
              </wp:positionV>
              <wp:extent cx="203835" cy="165735"/>
              <wp:effectExtent l="0" t="0" r="0" b="0"/>
              <wp:wrapNone/>
              <wp:docPr id="3"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pStyle w:val="BodyText"/>
                            <w:spacing w:before="10"/>
                            <w:ind w:left="60"/>
                          </w:pPr>
                          <w:r>
                            <w:fldChar w:fldCharType="begin"/>
                          </w:r>
                          <w:r>
                            <w:instrText xml:space="preserve"> PAGE </w:instrText>
                          </w:r>
                          <w:r>
                            <w:fldChar w:fldCharType="separate"/>
                          </w:r>
                          <w:r w:rsidR="00223BF3">
                            <w:rPr>
                              <w:noProof/>
                            </w:rPr>
                            <w:t>49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38" type="#_x0000_t202" style="position:absolute;margin-left:297.95pt;margin-top:732.8pt;width:16.05pt;height:13.05pt;z-index:-1663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" filled="f" stroked="f">
              <v:textbox inset="0,0,0,0">
                <w:txbxContent>
                  <w:p w:rsidR="00716091" w:rsidRDefault="00716091">
                    <w:pPr>
                      <w:pStyle w:val="BodyText"/>
                      <w:spacing w:before="10"/>
                      <w:ind w:left="60"/>
                    </w:pPr>
                    <w:r>
                      <w:fldChar w:fldCharType="begin"/>
                    </w:r>
                    <w:r>
                      <w:instrText xml:space="preserve"> PAGE </w:instrText>
                    </w:r>
                    <w:r>
                      <w:fldChar w:fldCharType="separate"/>
                    </w:r>
                    <w:r w:rsidR="00223BF3">
                      <w:rPr>
                        <w:noProof/>
                      </w:rPr>
                      <w:t>49</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rPr>
        <w:sz w:val="19"/>
      </w:rPr>
    </w:pPr>
    <w:r>
      <w:rPr>
        <w:noProof/>
      </w:rPr>
      <mc:AlternateContent>
        <mc:Choice Requires="wps">
          <w:drawing>
            <wp:anchor distT="0" distB="0" distL="114300" distR="114300" simplePos="0" relativeHeight="486675968" behindDoc="1" locked="0" layoutInCell="1" allowOverlap="1">
              <wp:simplePos x="0" y="0"/>
              <wp:positionH relativeFrom="page">
                <wp:posOffset>3783965</wp:posOffset>
              </wp:positionH>
              <wp:positionV relativeFrom="page">
                <wp:posOffset>9306560</wp:posOffset>
              </wp:positionV>
              <wp:extent cx="203835"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pStyle w:val="BodyText"/>
                            <w:spacing w:before="10"/>
                            <w:ind w:left="60"/>
                          </w:pPr>
                          <w:r>
                            <w:fldChar w:fldCharType="begin"/>
                          </w:r>
                          <w:r>
                            <w:instrText xml:space="preserve"> PAGE </w:instrText>
                          </w:r>
                          <w:r>
                            <w:fldChar w:fldCharType="separate"/>
                          </w:r>
                          <w:r w:rsidR="00223BF3">
                            <w:rPr>
                              <w:noProof/>
                            </w:rPr>
                            <w:t>57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9" type="#_x0000_t202" style="position:absolute;margin-left:297.95pt;margin-top:732.8pt;width:16.05pt;height:13.05pt;z-index:-16640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" filled="f" stroked="f">
              <v:textbox inset="0,0,0,0">
                <w:txbxContent>
                  <w:p w:rsidR="00716091" w:rsidRDefault="00716091">
                    <w:pPr>
                      <w:pStyle w:val="BodyText"/>
                      <w:spacing w:before="10"/>
                      <w:ind w:left="60"/>
                    </w:pPr>
                    <w:r>
                      <w:fldChar w:fldCharType="begin"/>
                    </w:r>
                    <w:r>
                      <w:instrText xml:space="preserve"> PAGE </w:instrText>
                    </w:r>
                    <w:r>
                      <w:fldChar w:fldCharType="separate"/>
                    </w:r>
                    <w:r w:rsidR="00223BF3">
                      <w:rPr>
                        <w:noProof/>
                      </w:rPr>
                      <w:t>57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533AB" w:rsidRDefault="009533AB">
      <w:r>
        <w:separator/>
      </w:r>
    </w:p>
  </w:footnote>
  <w:footnote w:type="continuationSeparator" w:id="0">
    <w:p w:rsidR="009533AB" w:rsidRDefault="009533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160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160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1609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15730688" behindDoc="0" locked="0" layoutInCell="1" allowOverlap="1">
              <wp:simplePos x="0" y="0"/>
              <wp:positionH relativeFrom="page">
                <wp:posOffset>964565</wp:posOffset>
              </wp:positionH>
              <wp:positionV relativeFrom="page">
                <wp:posOffset>914400</wp:posOffset>
              </wp:positionV>
              <wp:extent cx="5847715" cy="49085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715" cy="490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716091">
                            <w:trPr>
                              <w:trHeight w:val="413"/>
                            </w:trPr>
                            <w:tc>
                              <w:tcPr>
                                <w:tcW w:w="3427" w:type="dxa"/>
                                <w:tcBorders>
                                  <w:left w:val="nil"/>
                                  <w:right w:val="single" w:sz="4" w:space="0" w:color="000000"/>
                                </w:tcBorders>
                              </w:tcPr>
                              <w:p w:rsidR="00716091" w:rsidRDefault="00716091">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716091" w:rsidRDefault="00716091">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716091" w:rsidRDefault="00716091">
                                <w:pPr>
                                  <w:pStyle w:val="TableParagraph"/>
                                  <w:spacing w:before="105"/>
                                  <w:ind w:left="911"/>
                                  <w:jc w:val="left"/>
                                  <w:rPr>
                                    <w:b/>
                                    <w:sz w:val="18"/>
                                  </w:rPr>
                                </w:pPr>
                                <w:r>
                                  <w:rPr>
                                    <w:b/>
                                    <w:sz w:val="18"/>
                                  </w:rPr>
                                  <w:t>Total</w:t>
                                </w:r>
                              </w:p>
                            </w:tc>
                          </w:tr>
                          <w:tr w:rsidR="00716091">
                            <w:trPr>
                              <w:trHeight w:val="270"/>
                            </w:trPr>
                            <w:tc>
                              <w:tcPr>
                                <w:tcW w:w="3427" w:type="dxa"/>
                                <w:tcBorders>
                                  <w:left w:val="nil"/>
                                  <w:right w:val="single" w:sz="4" w:space="0" w:color="000000"/>
                                </w:tcBorders>
                              </w:tcPr>
                              <w:p w:rsidR="00716091" w:rsidRDefault="00716091">
                                <w:pPr>
                                  <w:pStyle w:val="TableParagraph"/>
                                  <w:spacing w:before="28"/>
                                  <w:ind w:left="789" w:right="742"/>
                                  <w:rPr>
                                    <w:sz w:val="18"/>
                                  </w:rPr>
                                </w:pPr>
                                <w:r>
                                  <w:rPr>
                                    <w:sz w:val="18"/>
                                  </w:rPr>
                                  <w:t>61.6</w:t>
                                </w:r>
                              </w:p>
                            </w:tc>
                            <w:tc>
                              <w:tcPr>
                                <w:tcW w:w="3521" w:type="dxa"/>
                                <w:tcBorders>
                                  <w:left w:val="single" w:sz="4" w:space="0" w:color="000000"/>
                                  <w:right w:val="single" w:sz="4" w:space="0" w:color="000000"/>
                                </w:tcBorders>
                              </w:tcPr>
                              <w:p w:rsidR="00716091" w:rsidRDefault="00716091">
                                <w:pPr>
                                  <w:pStyle w:val="TableParagraph"/>
                                  <w:spacing w:before="28"/>
                                  <w:ind w:left="1592" w:right="1563"/>
                                  <w:rPr>
                                    <w:sz w:val="18"/>
                                  </w:rPr>
                                </w:pPr>
                                <w:r>
                                  <w:rPr>
                                    <w:sz w:val="18"/>
                                  </w:rPr>
                                  <w:t>82.2</w:t>
                                </w:r>
                              </w:p>
                            </w:tc>
                            <w:tc>
                              <w:tcPr>
                                <w:tcW w:w="2218" w:type="dxa"/>
                                <w:tcBorders>
                                  <w:left w:val="single" w:sz="4" w:space="0" w:color="000000"/>
                                  <w:right w:val="nil"/>
                                </w:tcBorders>
                              </w:tcPr>
                              <w:p w:rsidR="00716091" w:rsidRDefault="00716091">
                                <w:pPr>
                                  <w:pStyle w:val="TableParagraph"/>
                                  <w:spacing w:before="33"/>
                                  <w:ind w:left="959"/>
                                  <w:jc w:val="left"/>
                                  <w:rPr>
                                    <w:b/>
                                    <w:sz w:val="18"/>
                                  </w:rPr>
                                </w:pPr>
                                <w:r>
                                  <w:rPr>
                                    <w:b/>
                                    <w:sz w:val="18"/>
                                  </w:rPr>
                                  <w:t>78.6</w:t>
                                </w:r>
                              </w:p>
                            </w:tc>
                          </w:tr>
                        </w:tbl>
                        <w:p w:rsidR="00716091" w:rsidRDefault="00716091">
                          <w:pPr>
                            <w:pStyle w:val="BodyText"/>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1" type="#_x0000_t202" style="position:absolute;margin-left:75.95pt;margin-top:1in;width:460.45pt;height:38.6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" filled="f" stroked="f">
              <v:textbox inset="0,0,0,0">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716091">
                      <w:trPr>
                        <w:trHeight w:val="413"/>
                      </w:trPr>
                      <w:tc>
                        <w:tcPr>
                          <w:tcW w:w="3427" w:type="dxa"/>
                          <w:tcBorders>
                            <w:left w:val="nil"/>
                            <w:right w:val="single" w:sz="4" w:space="0" w:color="000000"/>
                          </w:tcBorders>
                        </w:tcPr>
                        <w:p w:rsidR="00716091" w:rsidRDefault="00716091">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716091" w:rsidRDefault="00716091">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716091" w:rsidRDefault="00716091">
                          <w:pPr>
                            <w:pStyle w:val="TableParagraph"/>
                            <w:spacing w:before="105"/>
                            <w:ind w:left="911"/>
                            <w:jc w:val="left"/>
                            <w:rPr>
                              <w:b/>
                              <w:sz w:val="18"/>
                            </w:rPr>
                          </w:pPr>
                          <w:r>
                            <w:rPr>
                              <w:b/>
                              <w:sz w:val="18"/>
                            </w:rPr>
                            <w:t>Total</w:t>
                          </w:r>
                        </w:p>
                      </w:tc>
                    </w:tr>
                    <w:tr w:rsidR="00716091">
                      <w:trPr>
                        <w:trHeight w:val="270"/>
                      </w:trPr>
                      <w:tc>
                        <w:tcPr>
                          <w:tcW w:w="3427" w:type="dxa"/>
                          <w:tcBorders>
                            <w:left w:val="nil"/>
                            <w:right w:val="single" w:sz="4" w:space="0" w:color="000000"/>
                          </w:tcBorders>
                        </w:tcPr>
                        <w:p w:rsidR="00716091" w:rsidRDefault="00716091">
                          <w:pPr>
                            <w:pStyle w:val="TableParagraph"/>
                            <w:spacing w:before="28"/>
                            <w:ind w:left="789" w:right="742"/>
                            <w:rPr>
                              <w:sz w:val="18"/>
                            </w:rPr>
                          </w:pPr>
                          <w:r>
                            <w:rPr>
                              <w:sz w:val="18"/>
                            </w:rPr>
                            <w:t>61.6</w:t>
                          </w:r>
                        </w:p>
                      </w:tc>
                      <w:tc>
                        <w:tcPr>
                          <w:tcW w:w="3521" w:type="dxa"/>
                          <w:tcBorders>
                            <w:left w:val="single" w:sz="4" w:space="0" w:color="000000"/>
                            <w:right w:val="single" w:sz="4" w:space="0" w:color="000000"/>
                          </w:tcBorders>
                        </w:tcPr>
                        <w:p w:rsidR="00716091" w:rsidRDefault="00716091">
                          <w:pPr>
                            <w:pStyle w:val="TableParagraph"/>
                            <w:spacing w:before="28"/>
                            <w:ind w:left="1592" w:right="1563"/>
                            <w:rPr>
                              <w:sz w:val="18"/>
                            </w:rPr>
                          </w:pPr>
                          <w:r>
                            <w:rPr>
                              <w:sz w:val="18"/>
                            </w:rPr>
                            <w:t>82.2</w:t>
                          </w:r>
                        </w:p>
                      </w:tc>
                      <w:tc>
                        <w:tcPr>
                          <w:tcW w:w="2218" w:type="dxa"/>
                          <w:tcBorders>
                            <w:left w:val="single" w:sz="4" w:space="0" w:color="000000"/>
                            <w:right w:val="nil"/>
                          </w:tcBorders>
                        </w:tcPr>
                        <w:p w:rsidR="00716091" w:rsidRDefault="00716091">
                          <w:pPr>
                            <w:pStyle w:val="TableParagraph"/>
                            <w:spacing w:before="33"/>
                            <w:ind w:left="959"/>
                            <w:jc w:val="left"/>
                            <w:rPr>
                              <w:b/>
                              <w:sz w:val="18"/>
                            </w:rPr>
                          </w:pPr>
                          <w:r>
                            <w:rPr>
                              <w:b/>
                              <w:sz w:val="18"/>
                            </w:rPr>
                            <w:t>78.6</w:t>
                          </w:r>
                        </w:p>
                      </w:tc>
                    </w:tr>
                  </w:tbl>
                  <w:p w:rsidR="00716091" w:rsidRDefault="00716091">
                    <w:pPr>
                      <w:pStyle w:val="BodyText"/>
                      <w:ind w:left="0"/>
                    </w:pPr>
                  </w:p>
                </w:txbxContent>
              </v:textbox>
              <w10:wrap anchorx="page" anchory="page"/>
            </v:shape>
          </w:pict>
        </mc:Fallback>
      </mc:AlternateContent>
    </w:r>
    <w:r>
      <w:rPr>
        <w:noProof/>
      </w:rPr>
      <mc:AlternateContent>
        <mc:Choice Requires="wps">
          <w:drawing>
            <wp:anchor distT="0" distB="0" distL="114300" distR="114300" simplePos="0" relativeHeight="486672384" behindDoc="1" locked="0" layoutInCell="1" allowOverlap="1">
              <wp:simplePos x="0" y="0"/>
              <wp:positionH relativeFrom="page">
                <wp:posOffset>901700</wp:posOffset>
              </wp:positionH>
              <wp:positionV relativeFrom="page">
                <wp:posOffset>1470660</wp:posOffset>
              </wp:positionV>
              <wp:extent cx="5558155" cy="29527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spacing w:before="12" w:line="261" w:lineRule="auto"/>
                            <w:ind w:left="2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3"/>
                              <w:sz w:val="18"/>
                            </w:rPr>
                            <w:t xml:space="preserve"> </w:t>
                          </w:r>
                          <w:r>
                            <w:rPr>
                              <w:sz w:val="18"/>
                            </w:rPr>
                            <w:t>Data</w:t>
                          </w:r>
                          <w:r>
                            <w:rPr>
                              <w:spacing w:val="-2"/>
                              <w:sz w:val="18"/>
                            </w:rPr>
                            <w:t xml:space="preserve"> </w:t>
                          </w:r>
                          <w:r>
                            <w:rPr>
                              <w:sz w:val="18"/>
                            </w:rPr>
                            <w:t>source:</w:t>
                          </w:r>
                          <w:r>
                            <w:rPr>
                              <w:spacing w:val="42"/>
                              <w:sz w:val="18"/>
                            </w:rPr>
                            <w:t xml:space="preserve"> </w:t>
                          </w:r>
                          <w:r>
                            <w:rPr>
                              <w:sz w:val="18"/>
                            </w:rPr>
                            <w:t>EU-SILC release</w:t>
                          </w:r>
                          <w:r>
                            <w:rPr>
                              <w:spacing w:val="-2"/>
                              <w:sz w:val="18"/>
                            </w:rPr>
                            <w:t xml:space="preserve"> </w:t>
                          </w:r>
                          <w:r>
                            <w:rPr>
                              <w:sz w:val="18"/>
                            </w:rPr>
                            <w:t>1 in</w:t>
                          </w:r>
                          <w:r>
                            <w:rPr>
                              <w:spacing w:val="-3"/>
                              <w:sz w:val="18"/>
                            </w:rPr>
                            <w:t xml:space="preserve"> </w:t>
                          </w:r>
                          <w:r>
                            <w:rPr>
                              <w:sz w:val="18"/>
                            </w:rPr>
                            <w:t>2022,</w:t>
                          </w:r>
                          <w:r>
                            <w:rPr>
                              <w:spacing w:val="-2"/>
                              <w:sz w:val="18"/>
                            </w:rPr>
                            <w:t xml:space="preserve"> </w:t>
                          </w:r>
                          <w:r>
                            <w:rPr>
                              <w:sz w:val="18"/>
                            </w:rPr>
                            <w:t>v.1, April</w:t>
                          </w:r>
                          <w:r>
                            <w:rPr>
                              <w:spacing w:val="-3"/>
                              <w:sz w:val="18"/>
                            </w:rPr>
                            <w:t xml:space="preserve"> </w:t>
                          </w:r>
                          <w:r>
                            <w:rPr>
                              <w:sz w:val="18"/>
                            </w:rPr>
                            <w:t>2022</w:t>
                          </w:r>
                          <w:r>
                            <w:rPr>
                              <w:spacing w:val="-3"/>
                              <w:sz w:val="18"/>
                            </w:rPr>
                            <w:t xml:space="preserve"> </w:t>
                          </w:r>
                          <w:r>
                            <w:rPr>
                              <w:sz w:val="18"/>
                            </w:rPr>
                            <w:t>and</w:t>
                          </w:r>
                          <w:r>
                            <w:rPr>
                              <w:spacing w:val="-2"/>
                              <w:sz w:val="18"/>
                            </w:rPr>
                            <w:t xml:space="preserve"> </w:t>
                          </w:r>
                          <w:r>
                            <w:rPr>
                              <w:sz w:val="18"/>
                            </w:rPr>
                            <w:t>own calculations</w:t>
                          </w:r>
                          <w:r>
                            <w:rPr>
                              <w:spacing w:val="-1"/>
                              <w:sz w:val="18"/>
                            </w:rPr>
                            <w:t xml:space="preserve"> </w:t>
                          </w:r>
                          <w:r>
                            <w:rPr>
                              <w:sz w:val="18"/>
                            </w:rPr>
                            <w:t>for</w:t>
                          </w:r>
                          <w:r>
                            <w:rPr>
                              <w:spacing w:val="-3"/>
                              <w:sz w:val="18"/>
                            </w:rPr>
                            <w:t xml:space="preserve"> </w:t>
                          </w:r>
                          <w:r>
                            <w:rPr>
                              <w:sz w:val="18"/>
                            </w:rPr>
                            <w:t>Germany</w:t>
                          </w:r>
                          <w:r>
                            <w:rPr>
                              <w:spacing w:val="-3"/>
                              <w:sz w:val="18"/>
                            </w:rPr>
                            <w:t xml:space="preserve"> </w:t>
                          </w:r>
                          <w:r>
                            <w:rPr>
                              <w:sz w:val="18"/>
                            </w:rPr>
                            <w:t>and Italy.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2" type="#_x0000_t202" style="position:absolute;margin-left:71pt;margin-top:115.8pt;width:437.65pt;height:23.25pt;z-index:-1664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" filled="f" stroked="f">
              <v:textbox inset="0,0,0,0">
                <w:txbxContent>
                  <w:p w:rsidR="00716091" w:rsidRDefault="00716091">
                    <w:pPr>
                      <w:spacing w:before="12" w:line="261" w:lineRule="auto"/>
                      <w:ind w:left="2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3"/>
                        <w:sz w:val="18"/>
                      </w:rPr>
                      <w:t xml:space="preserve"> </w:t>
                    </w:r>
                    <w:r>
                      <w:rPr>
                        <w:sz w:val="18"/>
                      </w:rPr>
                      <w:t>Data</w:t>
                    </w:r>
                    <w:r>
                      <w:rPr>
                        <w:spacing w:val="-2"/>
                        <w:sz w:val="18"/>
                      </w:rPr>
                      <w:t xml:space="preserve"> </w:t>
                    </w:r>
                    <w:r>
                      <w:rPr>
                        <w:sz w:val="18"/>
                      </w:rPr>
                      <w:t>source:</w:t>
                    </w:r>
                    <w:r>
                      <w:rPr>
                        <w:spacing w:val="42"/>
                        <w:sz w:val="18"/>
                      </w:rPr>
                      <w:t xml:space="preserve"> </w:t>
                    </w:r>
                    <w:r>
                      <w:rPr>
                        <w:sz w:val="18"/>
                      </w:rPr>
                      <w:t>EU-SILC release</w:t>
                    </w:r>
                    <w:r>
                      <w:rPr>
                        <w:spacing w:val="-2"/>
                        <w:sz w:val="18"/>
                      </w:rPr>
                      <w:t xml:space="preserve"> </w:t>
                    </w:r>
                    <w:r>
                      <w:rPr>
                        <w:sz w:val="18"/>
                      </w:rPr>
                      <w:t>1 in</w:t>
                    </w:r>
                    <w:r>
                      <w:rPr>
                        <w:spacing w:val="-3"/>
                        <w:sz w:val="18"/>
                      </w:rPr>
                      <w:t xml:space="preserve"> </w:t>
                    </w:r>
                    <w:r>
                      <w:rPr>
                        <w:sz w:val="18"/>
                      </w:rPr>
                      <w:t>2022,</w:t>
                    </w:r>
                    <w:r>
                      <w:rPr>
                        <w:spacing w:val="-2"/>
                        <w:sz w:val="18"/>
                      </w:rPr>
                      <w:t xml:space="preserve"> </w:t>
                    </w:r>
                    <w:r>
                      <w:rPr>
                        <w:sz w:val="18"/>
                      </w:rPr>
                      <w:t>v.1, April</w:t>
                    </w:r>
                    <w:r>
                      <w:rPr>
                        <w:spacing w:val="-3"/>
                        <w:sz w:val="18"/>
                      </w:rPr>
                      <w:t xml:space="preserve"> </w:t>
                    </w:r>
                    <w:r>
                      <w:rPr>
                        <w:sz w:val="18"/>
                      </w:rPr>
                      <w:t>2022</w:t>
                    </w:r>
                    <w:r>
                      <w:rPr>
                        <w:spacing w:val="-3"/>
                        <w:sz w:val="18"/>
                      </w:rPr>
                      <w:t xml:space="preserve"> </w:t>
                    </w:r>
                    <w:r>
                      <w:rPr>
                        <w:sz w:val="18"/>
                      </w:rPr>
                      <w:t>and</w:t>
                    </w:r>
                    <w:r>
                      <w:rPr>
                        <w:spacing w:val="-2"/>
                        <w:sz w:val="18"/>
                      </w:rPr>
                      <w:t xml:space="preserve"> </w:t>
                    </w:r>
                    <w:r>
                      <w:rPr>
                        <w:sz w:val="18"/>
                      </w:rPr>
                      <w:t>own calculations</w:t>
                    </w:r>
                    <w:r>
                      <w:rPr>
                        <w:spacing w:val="-1"/>
                        <w:sz w:val="18"/>
                      </w:rPr>
                      <w:t xml:space="preserve"> </w:t>
                    </w:r>
                    <w:r>
                      <w:rPr>
                        <w:sz w:val="18"/>
                      </w:rPr>
                      <w:t>for</w:t>
                    </w:r>
                    <w:r>
                      <w:rPr>
                        <w:spacing w:val="-3"/>
                        <w:sz w:val="18"/>
                      </w:rPr>
                      <w:t xml:space="preserve"> </w:t>
                    </w:r>
                    <w:r>
                      <w:rPr>
                        <w:sz w:val="18"/>
                      </w:rPr>
                      <w:t>Germany</w:t>
                    </w:r>
                    <w:r>
                      <w:rPr>
                        <w:spacing w:val="-3"/>
                        <w:sz w:val="18"/>
                      </w:rPr>
                      <w:t xml:space="preserve"> </w:t>
                    </w:r>
                    <w:r>
                      <w:rPr>
                        <w:sz w:val="18"/>
                      </w:rPr>
                      <w:t>and Italy.</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15731200" behindDoc="0" locked="0" layoutInCell="1" allowOverlap="1">
              <wp:simplePos x="0" y="0"/>
              <wp:positionH relativeFrom="page">
                <wp:posOffset>964565</wp:posOffset>
              </wp:positionH>
              <wp:positionV relativeFrom="page">
                <wp:posOffset>914400</wp:posOffset>
              </wp:positionV>
              <wp:extent cx="5847715" cy="49085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715" cy="490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716091">
                            <w:trPr>
                              <w:trHeight w:val="413"/>
                            </w:trPr>
                            <w:tc>
                              <w:tcPr>
                                <w:tcW w:w="3427" w:type="dxa"/>
                                <w:tcBorders>
                                  <w:left w:val="nil"/>
                                  <w:right w:val="single" w:sz="4" w:space="0" w:color="000000"/>
                                </w:tcBorders>
                              </w:tcPr>
                              <w:p w:rsidR="00716091" w:rsidRDefault="00716091">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716091" w:rsidRDefault="00716091">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716091" w:rsidRDefault="00716091">
                                <w:pPr>
                                  <w:pStyle w:val="TableParagraph"/>
                                  <w:spacing w:before="105"/>
                                  <w:ind w:left="911"/>
                                  <w:jc w:val="left"/>
                                  <w:rPr>
                                    <w:b/>
                                    <w:sz w:val="18"/>
                                  </w:rPr>
                                </w:pPr>
                                <w:r>
                                  <w:rPr>
                                    <w:b/>
                                    <w:sz w:val="18"/>
                                  </w:rPr>
                                  <w:t>Total</w:t>
                                </w:r>
                              </w:p>
                            </w:tc>
                          </w:tr>
                          <w:tr w:rsidR="00716091">
                            <w:trPr>
                              <w:trHeight w:val="270"/>
                            </w:trPr>
                            <w:tc>
                              <w:tcPr>
                                <w:tcW w:w="3427" w:type="dxa"/>
                                <w:tcBorders>
                                  <w:left w:val="nil"/>
                                  <w:right w:val="single" w:sz="4" w:space="0" w:color="000000"/>
                                </w:tcBorders>
                              </w:tcPr>
                              <w:p w:rsidR="00716091" w:rsidRDefault="00716091">
                                <w:pPr>
                                  <w:pStyle w:val="TableParagraph"/>
                                  <w:spacing w:before="28"/>
                                  <w:ind w:left="789" w:right="742"/>
                                  <w:rPr>
                                    <w:sz w:val="18"/>
                                  </w:rPr>
                                </w:pPr>
                                <w:r>
                                  <w:rPr>
                                    <w:sz w:val="18"/>
                                  </w:rPr>
                                  <w:t>33.5</w:t>
                                </w:r>
                              </w:p>
                            </w:tc>
                            <w:tc>
                              <w:tcPr>
                                <w:tcW w:w="3521" w:type="dxa"/>
                                <w:tcBorders>
                                  <w:left w:val="single" w:sz="4" w:space="0" w:color="000000"/>
                                  <w:right w:val="single" w:sz="4" w:space="0" w:color="000000"/>
                                </w:tcBorders>
                              </w:tcPr>
                              <w:p w:rsidR="00716091" w:rsidRDefault="00716091">
                                <w:pPr>
                                  <w:pStyle w:val="TableParagraph"/>
                                  <w:spacing w:before="28"/>
                                  <w:ind w:left="1592" w:right="1563"/>
                                  <w:rPr>
                                    <w:sz w:val="18"/>
                                  </w:rPr>
                                </w:pPr>
                                <w:r>
                                  <w:rPr>
                                    <w:sz w:val="18"/>
                                  </w:rPr>
                                  <w:t>45.3</w:t>
                                </w:r>
                              </w:p>
                            </w:tc>
                            <w:tc>
                              <w:tcPr>
                                <w:tcW w:w="2218" w:type="dxa"/>
                                <w:tcBorders>
                                  <w:left w:val="single" w:sz="4" w:space="0" w:color="000000"/>
                                  <w:right w:val="nil"/>
                                </w:tcBorders>
                              </w:tcPr>
                              <w:p w:rsidR="00716091" w:rsidRDefault="00716091">
                                <w:pPr>
                                  <w:pStyle w:val="TableParagraph"/>
                                  <w:spacing w:before="33"/>
                                  <w:ind w:left="959"/>
                                  <w:jc w:val="left"/>
                                  <w:rPr>
                                    <w:b/>
                                    <w:sz w:val="18"/>
                                  </w:rPr>
                                </w:pPr>
                                <w:r>
                                  <w:rPr>
                                    <w:b/>
                                    <w:sz w:val="18"/>
                                  </w:rPr>
                                  <w:t>44.1</w:t>
                                </w:r>
                              </w:p>
                            </w:tc>
                          </w:tr>
                        </w:tbl>
                        <w:p w:rsidR="00716091" w:rsidRDefault="00716091">
                          <w:pPr>
                            <w:pStyle w:val="BodyText"/>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4" type="#_x0000_t202" style="position:absolute;margin-left:75.95pt;margin-top:1in;width:460.45pt;height:38.65pt;z-index:15731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" filled="f" stroked="f">
              <v:textbox inset="0,0,0,0">
                <w:txbxContent>
                  <w:tbl>
                    <w:tblPr>
                      <w:tblW w:w="0" w:type="auto"/>
                      <w:tblInd w:w="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3427"/>
                      <w:gridCol w:w="3521"/>
                      <w:gridCol w:w="2218"/>
                    </w:tblGrid>
                    <w:tr w:rsidR="00716091">
                      <w:trPr>
                        <w:trHeight w:val="413"/>
                      </w:trPr>
                      <w:tc>
                        <w:tcPr>
                          <w:tcW w:w="3427" w:type="dxa"/>
                          <w:tcBorders>
                            <w:left w:val="nil"/>
                            <w:right w:val="single" w:sz="4" w:space="0" w:color="000000"/>
                          </w:tcBorders>
                        </w:tcPr>
                        <w:p w:rsidR="00716091" w:rsidRDefault="00716091">
                          <w:pPr>
                            <w:pStyle w:val="TableParagraph"/>
                            <w:spacing w:before="105"/>
                            <w:ind w:left="789" w:right="747"/>
                            <w:rPr>
                              <w:b/>
                              <w:sz w:val="18"/>
                            </w:rPr>
                          </w:pPr>
                          <w:r>
                            <w:rPr>
                              <w:b/>
                              <w:sz w:val="18"/>
                            </w:rPr>
                            <w:t>Persons</w:t>
                          </w:r>
                          <w:r>
                            <w:rPr>
                              <w:b/>
                              <w:spacing w:val="-2"/>
                              <w:sz w:val="18"/>
                            </w:rPr>
                            <w:t xml:space="preserve"> </w:t>
                          </w:r>
                          <w:r>
                            <w:rPr>
                              <w:b/>
                              <w:sz w:val="18"/>
                            </w:rPr>
                            <w:t>with</w:t>
                          </w:r>
                          <w:r>
                            <w:rPr>
                              <w:b/>
                              <w:spacing w:val="-4"/>
                              <w:sz w:val="18"/>
                            </w:rPr>
                            <w:t xml:space="preserve"> </w:t>
                          </w:r>
                          <w:r>
                            <w:rPr>
                              <w:b/>
                              <w:sz w:val="18"/>
                            </w:rPr>
                            <w:t>disabilities</w:t>
                          </w:r>
                        </w:p>
                      </w:tc>
                      <w:tc>
                        <w:tcPr>
                          <w:tcW w:w="3521" w:type="dxa"/>
                          <w:tcBorders>
                            <w:left w:val="single" w:sz="4" w:space="0" w:color="000000"/>
                            <w:right w:val="single" w:sz="4" w:space="0" w:color="000000"/>
                          </w:tcBorders>
                        </w:tcPr>
                        <w:p w:rsidR="00716091" w:rsidRDefault="00716091">
                          <w:pPr>
                            <w:pStyle w:val="TableParagraph"/>
                            <w:spacing w:line="206" w:lineRule="exact"/>
                            <w:ind w:left="1358" w:right="1112" w:hanging="207"/>
                            <w:jc w:val="left"/>
                            <w:rPr>
                              <w:b/>
                              <w:sz w:val="18"/>
                            </w:rPr>
                          </w:pPr>
                          <w:r>
                            <w:rPr>
                              <w:b/>
                              <w:spacing w:val="-1"/>
                              <w:sz w:val="18"/>
                            </w:rPr>
                            <w:t xml:space="preserve">Persons </w:t>
                          </w:r>
                          <w:r>
                            <w:rPr>
                              <w:b/>
                              <w:sz w:val="18"/>
                            </w:rPr>
                            <w:t>without</w:t>
                          </w:r>
                          <w:r>
                            <w:rPr>
                              <w:b/>
                              <w:spacing w:val="-42"/>
                              <w:sz w:val="18"/>
                            </w:rPr>
                            <w:t xml:space="preserve"> </w:t>
                          </w:r>
                          <w:r>
                            <w:rPr>
                              <w:b/>
                              <w:sz w:val="18"/>
                            </w:rPr>
                            <w:t>disabilities</w:t>
                          </w:r>
                        </w:p>
                      </w:tc>
                      <w:tc>
                        <w:tcPr>
                          <w:tcW w:w="2218" w:type="dxa"/>
                          <w:tcBorders>
                            <w:left w:val="single" w:sz="4" w:space="0" w:color="000000"/>
                            <w:right w:val="nil"/>
                          </w:tcBorders>
                        </w:tcPr>
                        <w:p w:rsidR="00716091" w:rsidRDefault="00716091">
                          <w:pPr>
                            <w:pStyle w:val="TableParagraph"/>
                            <w:spacing w:before="105"/>
                            <w:ind w:left="911"/>
                            <w:jc w:val="left"/>
                            <w:rPr>
                              <w:b/>
                              <w:sz w:val="18"/>
                            </w:rPr>
                          </w:pPr>
                          <w:r>
                            <w:rPr>
                              <w:b/>
                              <w:sz w:val="18"/>
                            </w:rPr>
                            <w:t>Total</w:t>
                          </w:r>
                        </w:p>
                      </w:tc>
                    </w:tr>
                    <w:tr w:rsidR="00716091">
                      <w:trPr>
                        <w:trHeight w:val="270"/>
                      </w:trPr>
                      <w:tc>
                        <w:tcPr>
                          <w:tcW w:w="3427" w:type="dxa"/>
                          <w:tcBorders>
                            <w:left w:val="nil"/>
                            <w:right w:val="single" w:sz="4" w:space="0" w:color="000000"/>
                          </w:tcBorders>
                        </w:tcPr>
                        <w:p w:rsidR="00716091" w:rsidRDefault="00716091">
                          <w:pPr>
                            <w:pStyle w:val="TableParagraph"/>
                            <w:spacing w:before="28"/>
                            <w:ind w:left="789" w:right="742"/>
                            <w:rPr>
                              <w:sz w:val="18"/>
                            </w:rPr>
                          </w:pPr>
                          <w:r>
                            <w:rPr>
                              <w:sz w:val="18"/>
                            </w:rPr>
                            <w:t>33.5</w:t>
                          </w:r>
                        </w:p>
                      </w:tc>
                      <w:tc>
                        <w:tcPr>
                          <w:tcW w:w="3521" w:type="dxa"/>
                          <w:tcBorders>
                            <w:left w:val="single" w:sz="4" w:space="0" w:color="000000"/>
                            <w:right w:val="single" w:sz="4" w:space="0" w:color="000000"/>
                          </w:tcBorders>
                        </w:tcPr>
                        <w:p w:rsidR="00716091" w:rsidRDefault="00716091">
                          <w:pPr>
                            <w:pStyle w:val="TableParagraph"/>
                            <w:spacing w:before="28"/>
                            <w:ind w:left="1592" w:right="1563"/>
                            <w:rPr>
                              <w:sz w:val="18"/>
                            </w:rPr>
                          </w:pPr>
                          <w:r>
                            <w:rPr>
                              <w:sz w:val="18"/>
                            </w:rPr>
                            <w:t>45.3</w:t>
                          </w:r>
                        </w:p>
                      </w:tc>
                      <w:tc>
                        <w:tcPr>
                          <w:tcW w:w="2218" w:type="dxa"/>
                          <w:tcBorders>
                            <w:left w:val="single" w:sz="4" w:space="0" w:color="000000"/>
                            <w:right w:val="nil"/>
                          </w:tcBorders>
                        </w:tcPr>
                        <w:p w:rsidR="00716091" w:rsidRDefault="00716091">
                          <w:pPr>
                            <w:pStyle w:val="TableParagraph"/>
                            <w:spacing w:before="33"/>
                            <w:ind w:left="959"/>
                            <w:jc w:val="left"/>
                            <w:rPr>
                              <w:b/>
                              <w:sz w:val="18"/>
                            </w:rPr>
                          </w:pPr>
                          <w:r>
                            <w:rPr>
                              <w:b/>
                              <w:sz w:val="18"/>
                            </w:rPr>
                            <w:t>44.1</w:t>
                          </w:r>
                        </w:p>
                      </w:tc>
                    </w:tr>
                  </w:tbl>
                  <w:p w:rsidR="00716091" w:rsidRDefault="00716091">
                    <w:pPr>
                      <w:pStyle w:val="BodyText"/>
                      <w:ind w:left="0"/>
                    </w:pPr>
                  </w:p>
                </w:txbxContent>
              </v:textbox>
              <w10:wrap anchorx="page" anchory="page"/>
            </v:shape>
          </w:pict>
        </mc:Fallback>
      </mc:AlternateContent>
    </w:r>
    <w:r>
      <w:rPr>
        <w:noProof/>
      </w:rPr>
      <mc:AlternateContent>
        <mc:Choice Requires="wps">
          <w:drawing>
            <wp:anchor distT="0" distB="0" distL="114300" distR="114300" simplePos="0" relativeHeight="486673408" behindDoc="1" locked="0" layoutInCell="1" allowOverlap="1">
              <wp:simplePos x="0" y="0"/>
              <wp:positionH relativeFrom="page">
                <wp:posOffset>901700</wp:posOffset>
              </wp:positionH>
              <wp:positionV relativeFrom="page">
                <wp:posOffset>1416050</wp:posOffset>
              </wp:positionV>
              <wp:extent cx="5558155" cy="30416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6091" w:rsidRDefault="00716091">
                          <w:pPr>
                            <w:spacing w:before="7" w:line="278" w:lineRule="auto"/>
                            <w:ind w:left="2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3"/>
                              <w:sz w:val="18"/>
                            </w:rPr>
                            <w:t xml:space="preserve"> </w:t>
                          </w:r>
                          <w:r>
                            <w:rPr>
                              <w:sz w:val="18"/>
                            </w:rPr>
                            <w:t>Data</w:t>
                          </w:r>
                          <w:r>
                            <w:rPr>
                              <w:spacing w:val="-2"/>
                              <w:sz w:val="18"/>
                            </w:rPr>
                            <w:t xml:space="preserve"> </w:t>
                          </w:r>
                          <w:r>
                            <w:rPr>
                              <w:sz w:val="18"/>
                            </w:rPr>
                            <w:t>source:</w:t>
                          </w:r>
                          <w:r>
                            <w:rPr>
                              <w:spacing w:val="-1"/>
                              <w:sz w:val="18"/>
                            </w:rPr>
                            <w:t xml:space="preserve"> </w:t>
                          </w:r>
                          <w:r>
                            <w:rPr>
                              <w:sz w:val="18"/>
                            </w:rPr>
                            <w:t>EU-SILC</w:t>
                          </w:r>
                          <w:r>
                            <w:rPr>
                              <w:spacing w:val="-1"/>
                              <w:sz w:val="18"/>
                            </w:rPr>
                            <w:t xml:space="preserve"> </w:t>
                          </w:r>
                          <w:r>
                            <w:rPr>
                              <w:sz w:val="18"/>
                            </w:rPr>
                            <w:t>release 1 in</w:t>
                          </w:r>
                          <w:r>
                            <w:rPr>
                              <w:spacing w:val="-2"/>
                              <w:sz w:val="18"/>
                            </w:rPr>
                            <w:t xml:space="preserve"> </w:t>
                          </w:r>
                          <w:r>
                            <w:rPr>
                              <w:sz w:val="18"/>
                            </w:rPr>
                            <w:t>2022,</w:t>
                          </w:r>
                          <w:r>
                            <w:rPr>
                              <w:spacing w:val="-3"/>
                              <w:sz w:val="18"/>
                            </w:rPr>
                            <w:t xml:space="preserve"> </w:t>
                          </w:r>
                          <w:r>
                            <w:rPr>
                              <w:sz w:val="18"/>
                            </w:rPr>
                            <w:t>v.1,</w:t>
                          </w:r>
                          <w:r>
                            <w:rPr>
                              <w:spacing w:val="-3"/>
                              <w:sz w:val="18"/>
                            </w:rPr>
                            <w:t xml:space="preserve"> </w:t>
                          </w:r>
                          <w:r>
                            <w:rPr>
                              <w:sz w:val="18"/>
                            </w:rPr>
                            <w:t>April</w:t>
                          </w:r>
                          <w:r>
                            <w:rPr>
                              <w:spacing w:val="-3"/>
                              <w:sz w:val="18"/>
                            </w:rPr>
                            <w:t xml:space="preserve"> </w:t>
                          </w:r>
                          <w:r>
                            <w:rPr>
                              <w:sz w:val="18"/>
                            </w:rPr>
                            <w:t>2022</w:t>
                          </w:r>
                          <w:r>
                            <w:rPr>
                              <w:spacing w:val="-2"/>
                              <w:sz w:val="18"/>
                            </w:rPr>
                            <w:t xml:space="preserve"> </w:t>
                          </w:r>
                          <w:r>
                            <w:rPr>
                              <w:sz w:val="18"/>
                            </w:rPr>
                            <w:t>and</w:t>
                          </w:r>
                          <w:r>
                            <w:rPr>
                              <w:spacing w:val="-2"/>
                              <w:sz w:val="18"/>
                            </w:rPr>
                            <w:t xml:space="preserve"> </w:t>
                          </w:r>
                          <w:r>
                            <w:rPr>
                              <w:sz w:val="18"/>
                            </w:rPr>
                            <w:t>own calculations</w:t>
                          </w:r>
                          <w:r>
                            <w:rPr>
                              <w:spacing w:val="-1"/>
                              <w:sz w:val="18"/>
                            </w:rPr>
                            <w:t xml:space="preserve"> </w:t>
                          </w:r>
                          <w:r>
                            <w:rPr>
                              <w:sz w:val="18"/>
                            </w:rPr>
                            <w:t>for</w:t>
                          </w:r>
                          <w:r>
                            <w:rPr>
                              <w:spacing w:val="-2"/>
                              <w:sz w:val="18"/>
                            </w:rPr>
                            <w:t xml:space="preserve"> </w:t>
                          </w:r>
                          <w:r>
                            <w:rPr>
                              <w:sz w:val="18"/>
                            </w:rPr>
                            <w:t>Germany</w:t>
                          </w:r>
                          <w:r>
                            <w:rPr>
                              <w:spacing w:val="-3"/>
                              <w:sz w:val="18"/>
                            </w:rPr>
                            <w:t xml:space="preserve"> </w:t>
                          </w:r>
                          <w:r>
                            <w:rPr>
                              <w:sz w:val="18"/>
                            </w:rPr>
                            <w:t>and Italy.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71pt;margin-top:111.5pt;width:437.65pt;height:23.95pt;z-index:-1664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" filled="f" stroked="f">
              <v:textbox inset="0,0,0,0">
                <w:txbxContent>
                  <w:p w:rsidR="00716091" w:rsidRDefault="00716091">
                    <w:pPr>
                      <w:spacing w:before="7" w:line="278" w:lineRule="auto"/>
                      <w:ind w:left="20"/>
                      <w:rPr>
                        <w:sz w:val="18"/>
                      </w:rPr>
                    </w:pPr>
                    <w:r>
                      <w:rPr>
                        <w:sz w:val="18"/>
                      </w:rPr>
                      <w:t>Source:</w:t>
                    </w:r>
                    <w:r>
                      <w:rPr>
                        <w:spacing w:val="-3"/>
                        <w:sz w:val="18"/>
                      </w:rPr>
                      <w:t xml:space="preserve"> </w:t>
                    </w:r>
                    <w:r>
                      <w:rPr>
                        <w:sz w:val="18"/>
                      </w:rPr>
                      <w:t>S.</w:t>
                    </w:r>
                    <w:r>
                      <w:rPr>
                        <w:spacing w:val="-1"/>
                        <w:sz w:val="18"/>
                      </w:rPr>
                      <w:t xml:space="preserve"> </w:t>
                    </w:r>
                    <w:r>
                      <w:rPr>
                        <w:sz w:val="18"/>
                      </w:rPr>
                      <w:t>Grammenos</w:t>
                    </w:r>
                    <w:r>
                      <w:rPr>
                        <w:spacing w:val="-4"/>
                        <w:sz w:val="18"/>
                      </w:rPr>
                      <w:t xml:space="preserve"> </w:t>
                    </w:r>
                    <w:r>
                      <w:rPr>
                        <w:sz w:val="18"/>
                      </w:rPr>
                      <w:t>(2022),</w:t>
                    </w:r>
                    <w:r>
                      <w:rPr>
                        <w:spacing w:val="-3"/>
                        <w:sz w:val="18"/>
                      </w:rPr>
                      <w:t xml:space="preserve"> </w:t>
                    </w:r>
                    <w:r>
                      <w:rPr>
                        <w:sz w:val="18"/>
                      </w:rPr>
                      <w:t>“European</w:t>
                    </w:r>
                    <w:r>
                      <w:rPr>
                        <w:spacing w:val="-1"/>
                        <w:sz w:val="18"/>
                      </w:rPr>
                      <w:t xml:space="preserve"> </w:t>
                    </w:r>
                    <w:r>
                      <w:rPr>
                        <w:sz w:val="18"/>
                      </w:rPr>
                      <w:t>comparative</w:t>
                    </w:r>
                    <w:r>
                      <w:rPr>
                        <w:spacing w:val="-4"/>
                        <w:sz w:val="18"/>
                      </w:rPr>
                      <w:t xml:space="preserve"> </w:t>
                    </w:r>
                    <w:r>
                      <w:rPr>
                        <w:sz w:val="18"/>
                      </w:rPr>
                      <w:t>data</w:t>
                    </w:r>
                    <w:r>
                      <w:rPr>
                        <w:spacing w:val="-3"/>
                        <w:sz w:val="18"/>
                      </w:rPr>
                      <w:t xml:space="preserve"> </w:t>
                    </w:r>
                    <w:r>
                      <w:rPr>
                        <w:sz w:val="18"/>
                      </w:rPr>
                      <w:t>on</w:t>
                    </w:r>
                    <w:r>
                      <w:rPr>
                        <w:spacing w:val="-3"/>
                        <w:sz w:val="18"/>
                      </w:rPr>
                      <w:t xml:space="preserve"> </w:t>
                    </w:r>
                    <w:r>
                      <w:rPr>
                        <w:sz w:val="18"/>
                      </w:rPr>
                      <w:t>persons</w:t>
                    </w:r>
                    <w:r>
                      <w:rPr>
                        <w:spacing w:val="-4"/>
                        <w:sz w:val="18"/>
                      </w:rPr>
                      <w:t xml:space="preserve"> </w:t>
                    </w:r>
                    <w:r>
                      <w:rPr>
                        <w:sz w:val="18"/>
                      </w:rPr>
                      <w:t>with</w:t>
                    </w:r>
                    <w:r>
                      <w:rPr>
                        <w:spacing w:val="-1"/>
                        <w:sz w:val="18"/>
                      </w:rPr>
                      <w:t xml:space="preserve"> </w:t>
                    </w:r>
                    <w:r>
                      <w:rPr>
                        <w:sz w:val="18"/>
                      </w:rPr>
                      <w:t>disabilities”,</w:t>
                    </w:r>
                    <w:r>
                      <w:rPr>
                        <w:spacing w:val="-2"/>
                        <w:sz w:val="18"/>
                      </w:rPr>
                      <w:t xml:space="preserve"> </w:t>
                    </w:r>
                    <w:r>
                      <w:rPr>
                        <w:sz w:val="18"/>
                      </w:rPr>
                      <w:t>European</w:t>
                    </w:r>
                    <w:r>
                      <w:rPr>
                        <w:spacing w:val="-4"/>
                        <w:sz w:val="18"/>
                      </w:rPr>
                      <w:t xml:space="preserve"> </w:t>
                    </w:r>
                    <w:r>
                      <w:rPr>
                        <w:sz w:val="18"/>
                      </w:rPr>
                      <w:t>Disability</w:t>
                    </w:r>
                    <w:r>
                      <w:rPr>
                        <w:spacing w:val="-6"/>
                        <w:sz w:val="18"/>
                      </w:rPr>
                      <w:t xml:space="preserve"> </w:t>
                    </w:r>
                    <w:r>
                      <w:rPr>
                        <w:sz w:val="18"/>
                      </w:rPr>
                      <w:t>Expertise,</w:t>
                    </w:r>
                    <w:r>
                      <w:rPr>
                        <w:spacing w:val="-42"/>
                        <w:sz w:val="18"/>
                      </w:rPr>
                      <w:t xml:space="preserve"> </w:t>
                    </w:r>
                    <w:r>
                      <w:rPr>
                        <w:sz w:val="18"/>
                      </w:rPr>
                      <w:t>forthcoming.</w:t>
                    </w:r>
                    <w:r>
                      <w:rPr>
                        <w:spacing w:val="-3"/>
                        <w:sz w:val="18"/>
                      </w:rPr>
                      <w:t xml:space="preserve"> </w:t>
                    </w:r>
                    <w:r>
                      <w:rPr>
                        <w:sz w:val="18"/>
                      </w:rPr>
                      <w:t>Data</w:t>
                    </w:r>
                    <w:r>
                      <w:rPr>
                        <w:spacing w:val="-2"/>
                        <w:sz w:val="18"/>
                      </w:rPr>
                      <w:t xml:space="preserve"> </w:t>
                    </w:r>
                    <w:r>
                      <w:rPr>
                        <w:sz w:val="18"/>
                      </w:rPr>
                      <w:t>source:</w:t>
                    </w:r>
                    <w:r>
                      <w:rPr>
                        <w:spacing w:val="-1"/>
                        <w:sz w:val="18"/>
                      </w:rPr>
                      <w:t xml:space="preserve"> </w:t>
                    </w:r>
                    <w:r>
                      <w:rPr>
                        <w:sz w:val="18"/>
                      </w:rPr>
                      <w:t>EU-SILC</w:t>
                    </w:r>
                    <w:r>
                      <w:rPr>
                        <w:spacing w:val="-1"/>
                        <w:sz w:val="18"/>
                      </w:rPr>
                      <w:t xml:space="preserve"> </w:t>
                    </w:r>
                    <w:r>
                      <w:rPr>
                        <w:sz w:val="18"/>
                      </w:rPr>
                      <w:t>release 1 in</w:t>
                    </w:r>
                    <w:r>
                      <w:rPr>
                        <w:spacing w:val="-2"/>
                        <w:sz w:val="18"/>
                      </w:rPr>
                      <w:t xml:space="preserve"> </w:t>
                    </w:r>
                    <w:r>
                      <w:rPr>
                        <w:sz w:val="18"/>
                      </w:rPr>
                      <w:t>2022,</w:t>
                    </w:r>
                    <w:r>
                      <w:rPr>
                        <w:spacing w:val="-3"/>
                        <w:sz w:val="18"/>
                      </w:rPr>
                      <w:t xml:space="preserve"> </w:t>
                    </w:r>
                    <w:r>
                      <w:rPr>
                        <w:sz w:val="18"/>
                      </w:rPr>
                      <w:t>v.1,</w:t>
                    </w:r>
                    <w:r>
                      <w:rPr>
                        <w:spacing w:val="-3"/>
                        <w:sz w:val="18"/>
                      </w:rPr>
                      <w:t xml:space="preserve"> </w:t>
                    </w:r>
                    <w:r>
                      <w:rPr>
                        <w:sz w:val="18"/>
                      </w:rPr>
                      <w:t>April</w:t>
                    </w:r>
                    <w:r>
                      <w:rPr>
                        <w:spacing w:val="-3"/>
                        <w:sz w:val="18"/>
                      </w:rPr>
                      <w:t xml:space="preserve"> </w:t>
                    </w:r>
                    <w:r>
                      <w:rPr>
                        <w:sz w:val="18"/>
                      </w:rPr>
                      <w:t>2022</w:t>
                    </w:r>
                    <w:r>
                      <w:rPr>
                        <w:spacing w:val="-2"/>
                        <w:sz w:val="18"/>
                      </w:rPr>
                      <w:t xml:space="preserve"> </w:t>
                    </w:r>
                    <w:r>
                      <w:rPr>
                        <w:sz w:val="18"/>
                      </w:rPr>
                      <w:t>and</w:t>
                    </w:r>
                    <w:r>
                      <w:rPr>
                        <w:spacing w:val="-2"/>
                        <w:sz w:val="18"/>
                      </w:rPr>
                      <w:t xml:space="preserve"> </w:t>
                    </w:r>
                    <w:r>
                      <w:rPr>
                        <w:sz w:val="18"/>
                      </w:rPr>
                      <w:t>own calculations</w:t>
                    </w:r>
                    <w:r>
                      <w:rPr>
                        <w:spacing w:val="-1"/>
                        <w:sz w:val="18"/>
                      </w:rPr>
                      <w:t xml:space="preserve"> </w:t>
                    </w:r>
                    <w:r>
                      <w:rPr>
                        <w:sz w:val="18"/>
                      </w:rPr>
                      <w:t>for</w:t>
                    </w:r>
                    <w:r>
                      <w:rPr>
                        <w:spacing w:val="-2"/>
                        <w:sz w:val="18"/>
                      </w:rPr>
                      <w:t xml:space="preserve"> </w:t>
                    </w:r>
                    <w:r>
                      <w:rPr>
                        <w:sz w:val="18"/>
                      </w:rPr>
                      <w:t>Germany</w:t>
                    </w:r>
                    <w:r>
                      <w:rPr>
                        <w:spacing w:val="-3"/>
                        <w:sz w:val="18"/>
                      </w:rPr>
                      <w:t xml:space="preserve"> </w:t>
                    </w:r>
                    <w:r>
                      <w:rPr>
                        <w:sz w:val="18"/>
                      </w:rPr>
                      <w:t>and Italy.</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16091">
    <w:pPr>
      <w:pStyle w:val="BodyText"/>
      <w:spacing w:line="14" w:lineRule="auto"/>
      <w:ind w:left="0"/>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16091" w:rsidRDefault="00706843">
    <w:pPr>
      <w:pStyle w:val="BodyText"/>
      <w:spacing w:line="14" w:lineRule="auto"/>
      <w:ind w:left="0"/>
    </w:pPr>
    <w:r>
      <w:rPr>
        <w:noProof/>
      </w:rPr>
      <mc:AlternateContent>
        <mc:Choice Requires="wps">
          <w:drawing>
            <wp:anchor distT="0" distB="0" distL="114300" distR="114300" simplePos="0" relativeHeight="486675456" behindDoc="1" locked="0" layoutInCell="1" allowOverlap="1">
              <wp:simplePos x="0" y="0"/>
              <wp:positionH relativeFrom="page">
                <wp:posOffset>914400</wp:posOffset>
              </wp:positionH>
              <wp:positionV relativeFrom="page">
                <wp:posOffset>998220</wp:posOffset>
              </wp:positionV>
              <wp:extent cx="5943600" cy="635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C94D8" id="Rectangle 2" o:spid="_x0000_s1026" style="position:absolute;margin-left:1in;margin-top:78.6pt;width:468pt;height:.5pt;z-index:-1664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" fillcolor="black" stroked="f">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1D8072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C4C3A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C48A60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4A2E03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1D6A0C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ADA195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1464E8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B807C1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45E91A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3EA31F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4C1434"/>
    <w:multiLevelType w:val="hybridMultilevel"/>
    <w:tmpl w:val="1DCEAE60"/>
    <w:lvl w:ilvl="0" w:tplc="4EFCA51C">
      <w:start w:val="1"/>
      <w:numFmt w:val="decimal"/>
      <w:lvlText w:val="%1."/>
      <w:lvlJc w:val="left"/>
      <w:pPr>
        <w:ind w:left="720" w:hanging="360"/>
      </w:pPr>
      <w:rPr>
        <w:rFonts w:hint="default"/>
        <w:caps w:val="0"/>
        <w:strike w:val="0"/>
        <w:dstrike w:val="0"/>
        <w:vanish w:val="0"/>
        <w:color w:val="auto"/>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34E428D"/>
    <w:multiLevelType w:val="multilevel"/>
    <w:tmpl w:val="B1B28B22"/>
    <w:styleLink w:val="Style2"/>
    <w:lvl w:ilvl="0">
      <w:start w:val="1"/>
      <w:numFmt w:val="bullet"/>
      <w:lvlText w:val=""/>
      <w:lvlJc w:val="left"/>
      <w:pPr>
        <w:tabs>
          <w:tab w:val="num" w:pos="227"/>
        </w:tabs>
        <w:ind w:left="227" w:hanging="227"/>
      </w:pPr>
      <w:rPr>
        <w:rFonts w:ascii="Wingdings" w:hAnsi="Wingdings" w:hint="default"/>
        <w:color w:val="00000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A821D9"/>
    <w:multiLevelType w:val="hybridMultilevel"/>
    <w:tmpl w:val="54C8D354"/>
    <w:lvl w:ilvl="0" w:tplc="B7C238FC">
      <w:start w:val="1"/>
      <w:numFmt w:val="upperLetter"/>
      <w:lvlText w:val="%1."/>
      <w:lvlJc w:val="left"/>
      <w:pPr>
        <w:ind w:left="140" w:hanging="234"/>
      </w:pPr>
      <w:rPr>
        <w:rFonts w:hint="default"/>
        <w:b/>
        <w:bCs/>
        <w:w w:val="99"/>
        <w:lang w:val="en-US" w:eastAsia="en-US" w:bidi="ar-SA"/>
      </w:rPr>
    </w:lvl>
    <w:lvl w:ilvl="1" w:tplc="A54E3EE0">
      <w:numFmt w:val="bullet"/>
      <w:lvlText w:val="•"/>
      <w:lvlJc w:val="left"/>
      <w:pPr>
        <w:ind w:left="1100" w:hanging="234"/>
      </w:pPr>
      <w:rPr>
        <w:rFonts w:hint="default"/>
        <w:lang w:val="en-US" w:eastAsia="en-US" w:bidi="ar-SA"/>
      </w:rPr>
    </w:lvl>
    <w:lvl w:ilvl="2" w:tplc="66A64A46">
      <w:numFmt w:val="bullet"/>
      <w:lvlText w:val="•"/>
      <w:lvlJc w:val="left"/>
      <w:pPr>
        <w:ind w:left="2060" w:hanging="234"/>
      </w:pPr>
      <w:rPr>
        <w:rFonts w:hint="default"/>
        <w:lang w:val="en-US" w:eastAsia="en-US" w:bidi="ar-SA"/>
      </w:rPr>
    </w:lvl>
    <w:lvl w:ilvl="3" w:tplc="B0B0F764">
      <w:numFmt w:val="bullet"/>
      <w:lvlText w:val="•"/>
      <w:lvlJc w:val="left"/>
      <w:pPr>
        <w:ind w:left="3020" w:hanging="234"/>
      </w:pPr>
      <w:rPr>
        <w:rFonts w:hint="default"/>
        <w:lang w:val="en-US" w:eastAsia="en-US" w:bidi="ar-SA"/>
      </w:rPr>
    </w:lvl>
    <w:lvl w:ilvl="4" w:tplc="3A646DE4">
      <w:numFmt w:val="bullet"/>
      <w:lvlText w:val="•"/>
      <w:lvlJc w:val="left"/>
      <w:pPr>
        <w:ind w:left="3980" w:hanging="234"/>
      </w:pPr>
      <w:rPr>
        <w:rFonts w:hint="default"/>
        <w:lang w:val="en-US" w:eastAsia="en-US" w:bidi="ar-SA"/>
      </w:rPr>
    </w:lvl>
    <w:lvl w:ilvl="5" w:tplc="5232A62A">
      <w:numFmt w:val="bullet"/>
      <w:lvlText w:val="•"/>
      <w:lvlJc w:val="left"/>
      <w:pPr>
        <w:ind w:left="4940" w:hanging="234"/>
      </w:pPr>
      <w:rPr>
        <w:rFonts w:hint="default"/>
        <w:lang w:val="en-US" w:eastAsia="en-US" w:bidi="ar-SA"/>
      </w:rPr>
    </w:lvl>
    <w:lvl w:ilvl="6" w:tplc="0C5EAE90">
      <w:numFmt w:val="bullet"/>
      <w:lvlText w:val="•"/>
      <w:lvlJc w:val="left"/>
      <w:pPr>
        <w:ind w:left="5900" w:hanging="234"/>
      </w:pPr>
      <w:rPr>
        <w:rFonts w:hint="default"/>
        <w:lang w:val="en-US" w:eastAsia="en-US" w:bidi="ar-SA"/>
      </w:rPr>
    </w:lvl>
    <w:lvl w:ilvl="7" w:tplc="640471A6">
      <w:numFmt w:val="bullet"/>
      <w:lvlText w:val="•"/>
      <w:lvlJc w:val="left"/>
      <w:pPr>
        <w:ind w:left="6860" w:hanging="234"/>
      </w:pPr>
      <w:rPr>
        <w:rFonts w:hint="default"/>
        <w:lang w:val="en-US" w:eastAsia="en-US" w:bidi="ar-SA"/>
      </w:rPr>
    </w:lvl>
    <w:lvl w:ilvl="8" w:tplc="716816F2">
      <w:numFmt w:val="bullet"/>
      <w:lvlText w:val="•"/>
      <w:lvlJc w:val="left"/>
      <w:pPr>
        <w:ind w:left="7820" w:hanging="234"/>
      </w:pPr>
      <w:rPr>
        <w:rFonts w:hint="default"/>
        <w:lang w:val="en-US" w:eastAsia="en-US" w:bidi="ar-SA"/>
      </w:rPr>
    </w:lvl>
  </w:abstractNum>
  <w:abstractNum w:abstractNumId="13" w15:restartNumberingAfterBreak="0">
    <w:nsid w:val="5A1820E7"/>
    <w:multiLevelType w:val="hybridMultilevel"/>
    <w:tmpl w:val="D402F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pStyle w:val="NumPar3"/>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DE184F"/>
    <w:multiLevelType w:val="hybridMultilevel"/>
    <w:tmpl w:val="A9E4416A"/>
    <w:lvl w:ilvl="0" w:tplc="FAF05CFA">
      <w:numFmt w:val="bullet"/>
      <w:lvlText w:val="o"/>
      <w:lvlJc w:val="left"/>
      <w:pPr>
        <w:ind w:left="468" w:hanging="360"/>
      </w:pPr>
      <w:rPr>
        <w:rFonts w:ascii="Courier New" w:eastAsia="Courier New" w:hAnsi="Courier New" w:cs="Courier New" w:hint="default"/>
        <w:w w:val="99"/>
        <w:sz w:val="20"/>
        <w:szCs w:val="20"/>
        <w:lang w:val="en-US" w:eastAsia="en-US" w:bidi="ar-SA"/>
      </w:rPr>
    </w:lvl>
    <w:lvl w:ilvl="1" w:tplc="5DCCD864">
      <w:numFmt w:val="bullet"/>
      <w:lvlText w:val="•"/>
      <w:lvlJc w:val="left"/>
      <w:pPr>
        <w:ind w:left="1263" w:hanging="360"/>
      </w:pPr>
      <w:rPr>
        <w:rFonts w:hint="default"/>
        <w:lang w:val="en-US" w:eastAsia="en-US" w:bidi="ar-SA"/>
      </w:rPr>
    </w:lvl>
    <w:lvl w:ilvl="2" w:tplc="01A6853C">
      <w:numFmt w:val="bullet"/>
      <w:lvlText w:val="•"/>
      <w:lvlJc w:val="left"/>
      <w:pPr>
        <w:ind w:left="2067" w:hanging="360"/>
      </w:pPr>
      <w:rPr>
        <w:rFonts w:hint="default"/>
        <w:lang w:val="en-US" w:eastAsia="en-US" w:bidi="ar-SA"/>
      </w:rPr>
    </w:lvl>
    <w:lvl w:ilvl="3" w:tplc="F4282FFC">
      <w:numFmt w:val="bullet"/>
      <w:lvlText w:val="•"/>
      <w:lvlJc w:val="left"/>
      <w:pPr>
        <w:ind w:left="2870" w:hanging="360"/>
      </w:pPr>
      <w:rPr>
        <w:rFonts w:hint="default"/>
        <w:lang w:val="en-US" w:eastAsia="en-US" w:bidi="ar-SA"/>
      </w:rPr>
    </w:lvl>
    <w:lvl w:ilvl="4" w:tplc="6646F0F0">
      <w:numFmt w:val="bullet"/>
      <w:lvlText w:val="•"/>
      <w:lvlJc w:val="left"/>
      <w:pPr>
        <w:ind w:left="3674" w:hanging="360"/>
      </w:pPr>
      <w:rPr>
        <w:rFonts w:hint="default"/>
        <w:lang w:val="en-US" w:eastAsia="en-US" w:bidi="ar-SA"/>
      </w:rPr>
    </w:lvl>
    <w:lvl w:ilvl="5" w:tplc="CAD83E34">
      <w:numFmt w:val="bullet"/>
      <w:lvlText w:val="•"/>
      <w:lvlJc w:val="left"/>
      <w:pPr>
        <w:ind w:left="4478" w:hanging="360"/>
      </w:pPr>
      <w:rPr>
        <w:rFonts w:hint="default"/>
        <w:lang w:val="en-US" w:eastAsia="en-US" w:bidi="ar-SA"/>
      </w:rPr>
    </w:lvl>
    <w:lvl w:ilvl="6" w:tplc="B68000A6">
      <w:numFmt w:val="bullet"/>
      <w:lvlText w:val="•"/>
      <w:lvlJc w:val="left"/>
      <w:pPr>
        <w:ind w:left="5281" w:hanging="360"/>
      </w:pPr>
      <w:rPr>
        <w:rFonts w:hint="default"/>
        <w:lang w:val="en-US" w:eastAsia="en-US" w:bidi="ar-SA"/>
      </w:rPr>
    </w:lvl>
    <w:lvl w:ilvl="7" w:tplc="332A1C1C">
      <w:numFmt w:val="bullet"/>
      <w:lvlText w:val="•"/>
      <w:lvlJc w:val="left"/>
      <w:pPr>
        <w:ind w:left="6085" w:hanging="360"/>
      </w:pPr>
      <w:rPr>
        <w:rFonts w:hint="default"/>
        <w:lang w:val="en-US" w:eastAsia="en-US" w:bidi="ar-SA"/>
      </w:rPr>
    </w:lvl>
    <w:lvl w:ilvl="8" w:tplc="D9AE6E34">
      <w:numFmt w:val="bullet"/>
      <w:lvlText w:val="•"/>
      <w:lvlJc w:val="left"/>
      <w:pPr>
        <w:ind w:left="6888" w:hanging="360"/>
      </w:pPr>
      <w:rPr>
        <w:rFonts w:hint="default"/>
        <w:lang w:val="en-US" w:eastAsia="en-US" w:bidi="ar-SA"/>
      </w:rPr>
    </w:lvl>
  </w:abstractNum>
  <w:num w:numId="1" w16cid:durableId="911810742">
    <w:abstractNumId w:val="14"/>
  </w:num>
  <w:num w:numId="2" w16cid:durableId="885987010">
    <w:abstractNumId w:val="12"/>
  </w:num>
  <w:num w:numId="3" w16cid:durableId="1116673860">
    <w:abstractNumId w:val="9"/>
  </w:num>
  <w:num w:numId="4" w16cid:durableId="1381975194">
    <w:abstractNumId w:val="7"/>
  </w:num>
  <w:num w:numId="5" w16cid:durableId="857238493">
    <w:abstractNumId w:val="6"/>
  </w:num>
  <w:num w:numId="6" w16cid:durableId="1345325704">
    <w:abstractNumId w:val="5"/>
  </w:num>
  <w:num w:numId="7" w16cid:durableId="1230190200">
    <w:abstractNumId w:val="4"/>
  </w:num>
  <w:num w:numId="8" w16cid:durableId="1084228437">
    <w:abstractNumId w:val="8"/>
  </w:num>
  <w:num w:numId="9" w16cid:durableId="362898646">
    <w:abstractNumId w:val="3"/>
  </w:num>
  <w:num w:numId="10" w16cid:durableId="1083913374">
    <w:abstractNumId w:val="2"/>
  </w:num>
  <w:num w:numId="11" w16cid:durableId="1312753901">
    <w:abstractNumId w:val="1"/>
  </w:num>
  <w:num w:numId="12" w16cid:durableId="1542092133">
    <w:abstractNumId w:val="0"/>
  </w:num>
  <w:num w:numId="13" w16cid:durableId="7755822">
    <w:abstractNumId w:val="13"/>
  </w:num>
  <w:num w:numId="14" w16cid:durableId="1989508620">
    <w:abstractNumId w:val="11"/>
  </w:num>
  <w:num w:numId="15" w16cid:durableId="9981162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7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B1E95"/>
    <w:rsid w:val="00223BF3"/>
    <w:rsid w:val="0037575C"/>
    <w:rsid w:val="004B7FAC"/>
    <w:rsid w:val="00526895"/>
    <w:rsid w:val="00567C61"/>
    <w:rsid w:val="005B1E95"/>
    <w:rsid w:val="00706843"/>
    <w:rsid w:val="00716091"/>
    <w:rsid w:val="009533AB"/>
    <w:rsid w:val="00A32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7"/>
    <o:shapelayout v:ext="edit">
      <o:idmap v:ext="edit" data="1"/>
    </o:shapelayout>
  </w:shapeDefaults>
  <w:decimalSymbol w:val="."/>
  <w:listSeparator w:val=","/>
  <w15:docId w15:val="{25290B3A-F8F5-433A-9905-470C8ADDC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aliases w:val="Table_G"/>
    <w:basedOn w:val="Normal"/>
    <w:link w:val="Heading1Char"/>
    <w:uiPriority w:val="9"/>
    <w:qFormat/>
    <w:pPr>
      <w:spacing w:before="59"/>
      <w:ind w:left="2022" w:right="2123"/>
      <w:jc w:val="center"/>
      <w:outlineLvl w:val="0"/>
    </w:pPr>
    <w:rPr>
      <w:b/>
      <w:bCs/>
      <w:sz w:val="32"/>
      <w:szCs w:val="32"/>
    </w:rPr>
  </w:style>
  <w:style w:type="paragraph" w:styleId="Heading2">
    <w:name w:val="heading 2"/>
    <w:basedOn w:val="Normal"/>
    <w:link w:val="Heading2Char"/>
    <w:uiPriority w:val="9"/>
    <w:qFormat/>
    <w:pPr>
      <w:ind w:left="479" w:hanging="340"/>
      <w:outlineLvl w:val="1"/>
    </w:pPr>
    <w:rPr>
      <w:b/>
      <w:bCs/>
      <w:sz w:val="28"/>
      <w:szCs w:val="28"/>
    </w:rPr>
  </w:style>
  <w:style w:type="paragraph" w:styleId="Heading3">
    <w:name w:val="heading 3"/>
    <w:basedOn w:val="Normal"/>
    <w:link w:val="Heading3Char"/>
    <w:uiPriority w:val="9"/>
    <w:qFormat/>
    <w:pPr>
      <w:ind w:left="140"/>
      <w:outlineLvl w:val="2"/>
    </w:pPr>
    <w:rPr>
      <w:b/>
      <w:bCs/>
      <w:sz w:val="24"/>
      <w:szCs w:val="24"/>
    </w:rPr>
  </w:style>
  <w:style w:type="paragraph" w:styleId="Heading4">
    <w:name w:val="heading 4"/>
    <w:basedOn w:val="Normal"/>
    <w:next w:val="Normal"/>
    <w:link w:val="Heading4Char"/>
    <w:uiPriority w:val="9"/>
    <w:unhideWhenUsed/>
    <w:qFormat/>
    <w:rsid w:val="004B7FAC"/>
    <w:pPr>
      <w:keepNext/>
      <w:keepLines/>
      <w:widowControl/>
      <w:suppressAutoHyphens/>
      <w:autoSpaceDE/>
      <w:autoSpaceDN/>
      <w:spacing w:before="40" w:line="240" w:lineRule="atLeast"/>
      <w:outlineLvl w:val="3"/>
    </w:pPr>
    <w:rPr>
      <w:rFonts w:asciiTheme="majorHAnsi" w:eastAsiaTheme="majorEastAsia" w:hAnsiTheme="majorHAnsi" w:cstheme="majorBidi"/>
      <w:i/>
      <w:iCs/>
      <w:color w:val="365F91" w:themeColor="accent1" w:themeShade="BF"/>
      <w:sz w:val="20"/>
      <w:szCs w:val="20"/>
      <w:lang w:val="en-IE"/>
    </w:rPr>
  </w:style>
  <w:style w:type="paragraph" w:styleId="Heading5">
    <w:name w:val="heading 5"/>
    <w:basedOn w:val="Normal"/>
    <w:next w:val="Normal"/>
    <w:link w:val="Heading5Char"/>
    <w:unhideWhenUsed/>
    <w:qFormat/>
    <w:rsid w:val="004B7FAC"/>
    <w:pPr>
      <w:keepNext/>
      <w:keepLines/>
      <w:widowControl/>
      <w:suppressAutoHyphens/>
      <w:autoSpaceDE/>
      <w:autoSpaceDN/>
      <w:spacing w:before="40" w:line="240" w:lineRule="atLeast"/>
      <w:outlineLvl w:val="4"/>
    </w:pPr>
    <w:rPr>
      <w:rFonts w:asciiTheme="majorHAnsi" w:eastAsiaTheme="majorEastAsia" w:hAnsiTheme="majorHAnsi" w:cstheme="majorBidi"/>
      <w:color w:val="365F91" w:themeColor="accent1" w:themeShade="BF"/>
      <w:sz w:val="20"/>
      <w:szCs w:val="20"/>
      <w:lang w:val="en-IE"/>
    </w:rPr>
  </w:style>
  <w:style w:type="paragraph" w:styleId="Heading6">
    <w:name w:val="heading 6"/>
    <w:basedOn w:val="Normal"/>
    <w:next w:val="Normal"/>
    <w:link w:val="Heading6Char"/>
    <w:unhideWhenUsed/>
    <w:qFormat/>
    <w:rsid w:val="004B7FAC"/>
    <w:pPr>
      <w:keepNext/>
      <w:keepLines/>
      <w:widowControl/>
      <w:suppressAutoHyphens/>
      <w:autoSpaceDE/>
      <w:autoSpaceDN/>
      <w:spacing w:before="40" w:line="240" w:lineRule="atLeast"/>
      <w:outlineLvl w:val="5"/>
    </w:pPr>
    <w:rPr>
      <w:rFonts w:asciiTheme="majorHAnsi" w:eastAsiaTheme="majorEastAsia" w:hAnsiTheme="majorHAnsi" w:cstheme="majorBidi"/>
      <w:color w:val="243F60" w:themeColor="accent1" w:themeShade="7F"/>
      <w:sz w:val="20"/>
      <w:szCs w:val="20"/>
      <w:lang w:val="en-IE"/>
    </w:rPr>
  </w:style>
  <w:style w:type="paragraph" w:styleId="Heading7">
    <w:name w:val="heading 7"/>
    <w:basedOn w:val="Normal"/>
    <w:next w:val="Normal"/>
    <w:link w:val="Heading7Char"/>
    <w:unhideWhenUsed/>
    <w:qFormat/>
    <w:rsid w:val="004B7FAC"/>
    <w:pPr>
      <w:keepNext/>
      <w:keepLines/>
      <w:widowControl/>
      <w:suppressAutoHyphens/>
      <w:autoSpaceDE/>
      <w:autoSpaceDN/>
      <w:spacing w:before="40" w:line="240" w:lineRule="atLeast"/>
      <w:outlineLvl w:val="6"/>
    </w:pPr>
    <w:rPr>
      <w:rFonts w:asciiTheme="majorHAnsi" w:eastAsiaTheme="majorEastAsia" w:hAnsiTheme="majorHAnsi" w:cstheme="majorBidi"/>
      <w:i/>
      <w:iCs/>
      <w:color w:val="243F60" w:themeColor="accent1" w:themeShade="7F"/>
      <w:sz w:val="20"/>
      <w:szCs w:val="20"/>
      <w:lang w:val="en-IE"/>
    </w:rPr>
  </w:style>
  <w:style w:type="paragraph" w:styleId="Heading8">
    <w:name w:val="heading 8"/>
    <w:basedOn w:val="Normal"/>
    <w:next w:val="Normal"/>
    <w:link w:val="Heading8Char"/>
    <w:unhideWhenUsed/>
    <w:qFormat/>
    <w:rsid w:val="004B7FAC"/>
    <w:pPr>
      <w:keepNext/>
      <w:keepLines/>
      <w:widowControl/>
      <w:suppressAutoHyphens/>
      <w:autoSpaceDE/>
      <w:autoSpaceDN/>
      <w:spacing w:before="40" w:line="240" w:lineRule="atLeast"/>
      <w:outlineLvl w:val="7"/>
    </w:pPr>
    <w:rPr>
      <w:rFonts w:asciiTheme="majorHAnsi" w:eastAsiaTheme="majorEastAsia" w:hAnsiTheme="majorHAnsi" w:cstheme="majorBidi"/>
      <w:color w:val="272727" w:themeColor="text1" w:themeTint="D8"/>
      <w:sz w:val="21"/>
      <w:szCs w:val="21"/>
      <w:lang w:val="en-IE"/>
    </w:rPr>
  </w:style>
  <w:style w:type="paragraph" w:styleId="Heading9">
    <w:name w:val="heading 9"/>
    <w:basedOn w:val="Normal"/>
    <w:next w:val="Normal"/>
    <w:link w:val="Heading9Char"/>
    <w:unhideWhenUsed/>
    <w:qFormat/>
    <w:rsid w:val="004B7FAC"/>
    <w:pPr>
      <w:keepNext/>
      <w:keepLines/>
      <w:widowControl/>
      <w:suppressAutoHyphens/>
      <w:autoSpaceDE/>
      <w:autoSpaceDN/>
      <w:spacing w:before="40" w:line="240" w:lineRule="atLeast"/>
      <w:outlineLvl w:val="8"/>
    </w:pPr>
    <w:rPr>
      <w:rFonts w:asciiTheme="majorHAnsi" w:eastAsiaTheme="majorEastAsia" w:hAnsiTheme="majorHAnsi" w:cstheme="majorBidi"/>
      <w:i/>
      <w:iCs/>
      <w:color w:val="272727" w:themeColor="text1" w:themeTint="D8"/>
      <w:sz w:val="21"/>
      <w:szCs w:val="21"/>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1"/>
    <w:uiPriority w:val="99"/>
    <w:qFormat/>
    <w:pPr>
      <w:ind w:left="140"/>
    </w:pPr>
    <w:rPr>
      <w:sz w:val="20"/>
      <w:szCs w:val="20"/>
    </w:rPr>
  </w:style>
  <w:style w:type="paragraph" w:styleId="ListParagraph">
    <w:name w:val="List Paragraph"/>
    <w:aliases w:val="Dot pt,F5 List Paragraph,List Paragraph1,No Spacing1,List Paragraph Char Char Char,Indicator Text,Colorful List - Accent 11,Numbered Para 1,Bullet 1,Bullet Points,MAIN CONTENT,List Paragraph11,List Paragraph12,List Paragraph2,OBC Bullet,L"/>
    <w:basedOn w:val="Normal"/>
    <w:link w:val="ListParagraphChar"/>
    <w:uiPriority w:val="34"/>
    <w:qFormat/>
    <w:pPr>
      <w:ind w:left="479" w:hanging="340"/>
    </w:pPr>
  </w:style>
  <w:style w:type="paragraph" w:customStyle="1" w:styleId="TableParagraph">
    <w:name w:val="Table Paragraph"/>
    <w:basedOn w:val="Normal"/>
    <w:uiPriority w:val="1"/>
    <w:qFormat/>
    <w:pPr>
      <w:ind w:left="156"/>
      <w:jc w:val="center"/>
    </w:pPr>
  </w:style>
  <w:style w:type="paragraph" w:styleId="Header">
    <w:name w:val="header"/>
    <w:basedOn w:val="Normal"/>
    <w:link w:val="HeaderChar"/>
    <w:uiPriority w:val="99"/>
    <w:unhideWhenUsed/>
    <w:rsid w:val="00567C61"/>
    <w:pPr>
      <w:tabs>
        <w:tab w:val="center" w:pos="4513"/>
        <w:tab w:val="right" w:pos="9026"/>
      </w:tabs>
    </w:pPr>
  </w:style>
  <w:style w:type="character" w:customStyle="1" w:styleId="HeaderChar">
    <w:name w:val="Header Char"/>
    <w:basedOn w:val="DefaultParagraphFont"/>
    <w:link w:val="Header"/>
    <w:uiPriority w:val="99"/>
    <w:rsid w:val="00567C61"/>
    <w:rPr>
      <w:rFonts w:ascii="Times New Roman" w:eastAsia="Times New Roman" w:hAnsi="Times New Roman" w:cs="Times New Roman"/>
    </w:rPr>
  </w:style>
  <w:style w:type="paragraph" w:styleId="Footer">
    <w:name w:val="footer"/>
    <w:basedOn w:val="Normal"/>
    <w:link w:val="FooterChar"/>
    <w:uiPriority w:val="99"/>
    <w:unhideWhenUsed/>
    <w:rsid w:val="00567C61"/>
    <w:pPr>
      <w:tabs>
        <w:tab w:val="center" w:pos="4513"/>
        <w:tab w:val="right" w:pos="9026"/>
      </w:tabs>
    </w:pPr>
  </w:style>
  <w:style w:type="character" w:customStyle="1" w:styleId="FooterChar">
    <w:name w:val="Footer Char"/>
    <w:basedOn w:val="DefaultParagraphFont"/>
    <w:link w:val="Footer"/>
    <w:uiPriority w:val="99"/>
    <w:rsid w:val="00567C61"/>
    <w:rPr>
      <w:rFonts w:ascii="Times New Roman" w:eastAsia="Times New Roman" w:hAnsi="Times New Roman" w:cs="Times New Roman"/>
    </w:rPr>
  </w:style>
  <w:style w:type="character" w:customStyle="1" w:styleId="Heading4Char">
    <w:name w:val="Heading 4 Char"/>
    <w:basedOn w:val="DefaultParagraphFont"/>
    <w:link w:val="Heading4"/>
    <w:uiPriority w:val="9"/>
    <w:rsid w:val="004B7FAC"/>
    <w:rPr>
      <w:rFonts w:asciiTheme="majorHAnsi" w:eastAsiaTheme="majorEastAsia" w:hAnsiTheme="majorHAnsi" w:cstheme="majorBidi"/>
      <w:i/>
      <w:iCs/>
      <w:color w:val="365F91" w:themeColor="accent1" w:themeShade="BF"/>
      <w:sz w:val="20"/>
      <w:szCs w:val="20"/>
      <w:lang w:val="en-IE"/>
    </w:rPr>
  </w:style>
  <w:style w:type="character" w:customStyle="1" w:styleId="Heading5Char">
    <w:name w:val="Heading 5 Char"/>
    <w:basedOn w:val="DefaultParagraphFont"/>
    <w:link w:val="Heading5"/>
    <w:rsid w:val="004B7FAC"/>
    <w:rPr>
      <w:rFonts w:asciiTheme="majorHAnsi" w:eastAsiaTheme="majorEastAsia" w:hAnsiTheme="majorHAnsi" w:cstheme="majorBidi"/>
      <w:color w:val="365F91" w:themeColor="accent1" w:themeShade="BF"/>
      <w:sz w:val="20"/>
      <w:szCs w:val="20"/>
      <w:lang w:val="en-IE"/>
    </w:rPr>
  </w:style>
  <w:style w:type="character" w:customStyle="1" w:styleId="Heading6Char">
    <w:name w:val="Heading 6 Char"/>
    <w:basedOn w:val="DefaultParagraphFont"/>
    <w:link w:val="Heading6"/>
    <w:rsid w:val="004B7FAC"/>
    <w:rPr>
      <w:rFonts w:asciiTheme="majorHAnsi" w:eastAsiaTheme="majorEastAsia" w:hAnsiTheme="majorHAnsi" w:cstheme="majorBidi"/>
      <w:color w:val="243F60" w:themeColor="accent1" w:themeShade="7F"/>
      <w:sz w:val="20"/>
      <w:szCs w:val="20"/>
      <w:lang w:val="en-IE"/>
    </w:rPr>
  </w:style>
  <w:style w:type="character" w:customStyle="1" w:styleId="Heading7Char">
    <w:name w:val="Heading 7 Char"/>
    <w:basedOn w:val="DefaultParagraphFont"/>
    <w:link w:val="Heading7"/>
    <w:rsid w:val="004B7FAC"/>
    <w:rPr>
      <w:rFonts w:asciiTheme="majorHAnsi" w:eastAsiaTheme="majorEastAsia" w:hAnsiTheme="majorHAnsi" w:cstheme="majorBidi"/>
      <w:i/>
      <w:iCs/>
      <w:color w:val="243F60" w:themeColor="accent1" w:themeShade="7F"/>
      <w:sz w:val="20"/>
      <w:szCs w:val="20"/>
      <w:lang w:val="en-IE"/>
    </w:rPr>
  </w:style>
  <w:style w:type="character" w:customStyle="1" w:styleId="Heading8Char">
    <w:name w:val="Heading 8 Char"/>
    <w:basedOn w:val="DefaultParagraphFont"/>
    <w:link w:val="Heading8"/>
    <w:rsid w:val="004B7FAC"/>
    <w:rPr>
      <w:rFonts w:asciiTheme="majorHAnsi" w:eastAsiaTheme="majorEastAsia" w:hAnsiTheme="majorHAnsi" w:cstheme="majorBidi"/>
      <w:color w:val="272727" w:themeColor="text1" w:themeTint="D8"/>
      <w:sz w:val="21"/>
      <w:szCs w:val="21"/>
      <w:lang w:val="en-IE"/>
    </w:rPr>
  </w:style>
  <w:style w:type="character" w:customStyle="1" w:styleId="Heading9Char">
    <w:name w:val="Heading 9 Char"/>
    <w:basedOn w:val="DefaultParagraphFont"/>
    <w:link w:val="Heading9"/>
    <w:rsid w:val="004B7FAC"/>
    <w:rPr>
      <w:rFonts w:asciiTheme="majorHAnsi" w:eastAsiaTheme="majorEastAsia" w:hAnsiTheme="majorHAnsi" w:cstheme="majorBidi"/>
      <w:i/>
      <w:iCs/>
      <w:color w:val="272727" w:themeColor="text1" w:themeTint="D8"/>
      <w:sz w:val="21"/>
      <w:szCs w:val="21"/>
      <w:lang w:val="en-IE"/>
    </w:rPr>
  </w:style>
  <w:style w:type="character" w:customStyle="1" w:styleId="Heading1Char">
    <w:name w:val="Heading 1 Char"/>
    <w:aliases w:val="Table_G Char"/>
    <w:basedOn w:val="DefaultParagraphFont"/>
    <w:link w:val="Heading1"/>
    <w:uiPriority w:val="9"/>
    <w:rsid w:val="004B7FAC"/>
    <w:rPr>
      <w:rFonts w:ascii="Times New Roman" w:eastAsia="Times New Roman" w:hAnsi="Times New Roman" w:cs="Times New Roman"/>
      <w:b/>
      <w:bCs/>
      <w:sz w:val="32"/>
      <w:szCs w:val="32"/>
    </w:rPr>
  </w:style>
  <w:style w:type="character" w:customStyle="1" w:styleId="Heading2Char">
    <w:name w:val="Heading 2 Char"/>
    <w:basedOn w:val="DefaultParagraphFont"/>
    <w:link w:val="Heading2"/>
    <w:uiPriority w:val="9"/>
    <w:rsid w:val="004B7FAC"/>
    <w:rPr>
      <w:rFonts w:ascii="Times New Roman" w:eastAsia="Times New Roman" w:hAnsi="Times New Roman" w:cs="Times New Roman"/>
      <w:b/>
      <w:bCs/>
      <w:sz w:val="28"/>
      <w:szCs w:val="28"/>
    </w:rPr>
  </w:style>
  <w:style w:type="character" w:customStyle="1" w:styleId="Heading3Char">
    <w:name w:val="Heading 3 Char"/>
    <w:basedOn w:val="DefaultParagraphFont"/>
    <w:link w:val="Heading3"/>
    <w:uiPriority w:val="9"/>
    <w:rsid w:val="004B7FAC"/>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unhideWhenUsed/>
    <w:rsid w:val="004B7FAC"/>
    <w:pPr>
      <w:widowControl/>
      <w:suppressAutoHyphens/>
      <w:autoSpaceDE/>
      <w:autoSpaceDN/>
    </w:pPr>
    <w:rPr>
      <w:rFonts w:ascii="Segoe UI" w:hAnsi="Segoe UI" w:cs="Segoe UI"/>
      <w:sz w:val="18"/>
      <w:szCs w:val="18"/>
      <w:lang w:val="en-IE"/>
    </w:rPr>
  </w:style>
  <w:style w:type="character" w:customStyle="1" w:styleId="BalloonTextChar">
    <w:name w:val="Balloon Text Char"/>
    <w:basedOn w:val="DefaultParagraphFont"/>
    <w:link w:val="BalloonText"/>
    <w:uiPriority w:val="99"/>
    <w:semiHidden/>
    <w:rsid w:val="004B7FAC"/>
    <w:rPr>
      <w:rFonts w:ascii="Segoe UI" w:eastAsia="Times New Roman" w:hAnsi="Segoe UI" w:cs="Segoe UI"/>
      <w:sz w:val="18"/>
      <w:szCs w:val="18"/>
      <w:lang w:val="en-IE"/>
    </w:rPr>
  </w:style>
  <w:style w:type="paragraph" w:styleId="Bibliography">
    <w:name w:val="Bibliography"/>
    <w:basedOn w:val="Normal"/>
    <w:next w:val="Normal"/>
    <w:uiPriority w:val="37"/>
    <w:semiHidden/>
    <w:unhideWhenUsed/>
    <w:rsid w:val="004B7FAC"/>
    <w:pPr>
      <w:widowControl/>
      <w:suppressAutoHyphens/>
      <w:autoSpaceDE/>
      <w:autoSpaceDN/>
      <w:spacing w:line="240" w:lineRule="atLeast"/>
    </w:pPr>
    <w:rPr>
      <w:sz w:val="20"/>
      <w:szCs w:val="20"/>
      <w:lang w:val="en-IE"/>
    </w:rPr>
  </w:style>
  <w:style w:type="paragraph" w:styleId="BlockText">
    <w:name w:val="Block Text"/>
    <w:basedOn w:val="Normal"/>
    <w:uiPriority w:val="99"/>
    <w:semiHidden/>
    <w:unhideWhenUsed/>
    <w:rsid w:val="004B7FAC"/>
    <w:pPr>
      <w:widowControl/>
      <w:pBdr>
        <w:top w:val="single" w:sz="2" w:space="10" w:color="4F81BD" w:themeColor="accent1"/>
        <w:left w:val="single" w:sz="2" w:space="10" w:color="4F81BD" w:themeColor="accent1"/>
        <w:bottom w:val="single" w:sz="2" w:space="10" w:color="4F81BD" w:themeColor="accent1"/>
        <w:right w:val="single" w:sz="2" w:space="10" w:color="4F81BD" w:themeColor="accent1"/>
      </w:pBdr>
      <w:suppressAutoHyphens/>
      <w:autoSpaceDE/>
      <w:autoSpaceDN/>
      <w:spacing w:line="240" w:lineRule="atLeast"/>
      <w:ind w:left="1152" w:right="1152"/>
    </w:pPr>
    <w:rPr>
      <w:rFonts w:eastAsiaTheme="minorEastAsia"/>
      <w:i/>
      <w:iCs/>
      <w:color w:val="4F81BD" w:themeColor="accent1"/>
      <w:sz w:val="20"/>
      <w:szCs w:val="20"/>
      <w:lang w:val="en-IE"/>
    </w:rPr>
  </w:style>
  <w:style w:type="character" w:customStyle="1" w:styleId="BodyTextChar">
    <w:name w:val="Body Text Char"/>
    <w:basedOn w:val="DefaultParagraphFont"/>
    <w:uiPriority w:val="99"/>
    <w:rsid w:val="004B7FAC"/>
    <w:rPr>
      <w:rFonts w:ascii="Times New Roman" w:eastAsia="Times New Roman" w:hAnsi="Times New Roman" w:cs="Times New Roman"/>
      <w:sz w:val="20"/>
      <w:szCs w:val="20"/>
      <w:lang w:val="en-IE"/>
    </w:rPr>
  </w:style>
  <w:style w:type="paragraph" w:styleId="BodyText2">
    <w:name w:val="Body Text 2"/>
    <w:basedOn w:val="Normal"/>
    <w:link w:val="BodyText2Char"/>
    <w:uiPriority w:val="99"/>
    <w:semiHidden/>
    <w:unhideWhenUsed/>
    <w:rsid w:val="004B7FAC"/>
    <w:pPr>
      <w:widowControl/>
      <w:suppressAutoHyphens/>
      <w:autoSpaceDE/>
      <w:autoSpaceDN/>
      <w:spacing w:after="120" w:line="480" w:lineRule="auto"/>
    </w:pPr>
    <w:rPr>
      <w:sz w:val="20"/>
      <w:szCs w:val="20"/>
      <w:lang w:val="en-IE"/>
    </w:rPr>
  </w:style>
  <w:style w:type="character" w:customStyle="1" w:styleId="BodyText2Char">
    <w:name w:val="Body Text 2 Char"/>
    <w:basedOn w:val="DefaultParagraphFont"/>
    <w:link w:val="BodyText2"/>
    <w:uiPriority w:val="99"/>
    <w:semiHidden/>
    <w:rsid w:val="004B7FAC"/>
    <w:rPr>
      <w:rFonts w:ascii="Times New Roman" w:eastAsia="Times New Roman" w:hAnsi="Times New Roman" w:cs="Times New Roman"/>
      <w:sz w:val="20"/>
      <w:szCs w:val="20"/>
      <w:lang w:val="en-IE"/>
    </w:rPr>
  </w:style>
  <w:style w:type="paragraph" w:styleId="BodyText3">
    <w:name w:val="Body Text 3"/>
    <w:basedOn w:val="Normal"/>
    <w:link w:val="BodyText3Char"/>
    <w:uiPriority w:val="99"/>
    <w:semiHidden/>
    <w:unhideWhenUsed/>
    <w:rsid w:val="004B7FAC"/>
    <w:pPr>
      <w:widowControl/>
      <w:suppressAutoHyphens/>
      <w:autoSpaceDE/>
      <w:autoSpaceDN/>
      <w:spacing w:after="120" w:line="240" w:lineRule="atLeast"/>
    </w:pPr>
    <w:rPr>
      <w:sz w:val="16"/>
      <w:szCs w:val="16"/>
      <w:lang w:val="en-IE"/>
    </w:rPr>
  </w:style>
  <w:style w:type="character" w:customStyle="1" w:styleId="BodyText3Char">
    <w:name w:val="Body Text 3 Char"/>
    <w:basedOn w:val="DefaultParagraphFont"/>
    <w:link w:val="BodyText3"/>
    <w:uiPriority w:val="99"/>
    <w:semiHidden/>
    <w:rsid w:val="004B7FAC"/>
    <w:rPr>
      <w:rFonts w:ascii="Times New Roman" w:eastAsia="Times New Roman" w:hAnsi="Times New Roman" w:cs="Times New Roman"/>
      <w:sz w:val="16"/>
      <w:szCs w:val="16"/>
      <w:lang w:val="en-IE"/>
    </w:rPr>
  </w:style>
  <w:style w:type="paragraph" w:styleId="BodyTextFirstIndent">
    <w:name w:val="Body Text First Indent"/>
    <w:basedOn w:val="BodyText"/>
    <w:link w:val="BodyTextFirstIndentChar"/>
    <w:uiPriority w:val="99"/>
    <w:semiHidden/>
    <w:unhideWhenUsed/>
    <w:rsid w:val="004B7FAC"/>
    <w:pPr>
      <w:widowControl/>
      <w:suppressAutoHyphens/>
      <w:autoSpaceDE/>
      <w:autoSpaceDN/>
      <w:spacing w:after="160" w:line="240" w:lineRule="atLeast"/>
      <w:ind w:left="0" w:firstLine="360"/>
    </w:pPr>
    <w:rPr>
      <w:lang w:val="en-IE"/>
    </w:rPr>
  </w:style>
  <w:style w:type="character" w:customStyle="1" w:styleId="BodyTextChar1">
    <w:name w:val="Body Text Char1"/>
    <w:basedOn w:val="DefaultParagraphFont"/>
    <w:link w:val="BodyText"/>
    <w:uiPriority w:val="99"/>
    <w:rsid w:val="004B7FAC"/>
    <w:rPr>
      <w:rFonts w:ascii="Times New Roman" w:eastAsia="Times New Roman" w:hAnsi="Times New Roman" w:cs="Times New Roman"/>
      <w:sz w:val="20"/>
      <w:szCs w:val="20"/>
    </w:rPr>
  </w:style>
  <w:style w:type="character" w:customStyle="1" w:styleId="BodyTextFirstIndentChar">
    <w:name w:val="Body Text First Indent Char"/>
    <w:basedOn w:val="BodyTextChar1"/>
    <w:link w:val="BodyTextFirstIndent"/>
    <w:uiPriority w:val="99"/>
    <w:semiHidden/>
    <w:rsid w:val="004B7FAC"/>
    <w:rPr>
      <w:rFonts w:ascii="Times New Roman" w:eastAsia="Times New Roman" w:hAnsi="Times New Roman" w:cs="Times New Roman"/>
      <w:sz w:val="20"/>
      <w:szCs w:val="20"/>
      <w:lang w:val="en-IE"/>
    </w:rPr>
  </w:style>
  <w:style w:type="paragraph" w:styleId="BodyTextIndent">
    <w:name w:val="Body Text Indent"/>
    <w:basedOn w:val="Normal"/>
    <w:link w:val="BodyTextIndentChar"/>
    <w:uiPriority w:val="99"/>
    <w:semiHidden/>
    <w:unhideWhenUsed/>
    <w:rsid w:val="004B7FAC"/>
    <w:pPr>
      <w:widowControl/>
      <w:suppressAutoHyphens/>
      <w:autoSpaceDE/>
      <w:autoSpaceDN/>
      <w:spacing w:after="120" w:line="240" w:lineRule="atLeast"/>
      <w:ind w:left="283"/>
    </w:pPr>
    <w:rPr>
      <w:sz w:val="20"/>
      <w:szCs w:val="20"/>
      <w:lang w:val="en-IE"/>
    </w:rPr>
  </w:style>
  <w:style w:type="character" w:customStyle="1" w:styleId="BodyTextIndentChar">
    <w:name w:val="Body Text Indent Char"/>
    <w:basedOn w:val="DefaultParagraphFont"/>
    <w:link w:val="BodyTextIndent"/>
    <w:uiPriority w:val="99"/>
    <w:semiHidden/>
    <w:rsid w:val="004B7FAC"/>
    <w:rPr>
      <w:rFonts w:ascii="Times New Roman" w:eastAsia="Times New Roman" w:hAnsi="Times New Roman" w:cs="Times New Roman"/>
      <w:sz w:val="20"/>
      <w:szCs w:val="20"/>
      <w:lang w:val="en-IE"/>
    </w:rPr>
  </w:style>
  <w:style w:type="paragraph" w:styleId="BodyTextFirstIndent2">
    <w:name w:val="Body Text First Indent 2"/>
    <w:basedOn w:val="BodyTextIndent"/>
    <w:link w:val="BodyTextFirstIndent2Char"/>
    <w:uiPriority w:val="99"/>
    <w:semiHidden/>
    <w:unhideWhenUsed/>
    <w:rsid w:val="004B7FAC"/>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4B7FAC"/>
    <w:rPr>
      <w:rFonts w:ascii="Times New Roman" w:eastAsia="Times New Roman" w:hAnsi="Times New Roman" w:cs="Times New Roman"/>
      <w:sz w:val="20"/>
      <w:szCs w:val="20"/>
      <w:lang w:val="en-IE"/>
    </w:rPr>
  </w:style>
  <w:style w:type="paragraph" w:styleId="BodyTextIndent2">
    <w:name w:val="Body Text Indent 2"/>
    <w:basedOn w:val="Normal"/>
    <w:link w:val="BodyTextIndent2Char"/>
    <w:uiPriority w:val="99"/>
    <w:semiHidden/>
    <w:unhideWhenUsed/>
    <w:rsid w:val="004B7FAC"/>
    <w:pPr>
      <w:widowControl/>
      <w:suppressAutoHyphens/>
      <w:autoSpaceDE/>
      <w:autoSpaceDN/>
      <w:spacing w:after="120" w:line="480" w:lineRule="auto"/>
      <w:ind w:left="283"/>
    </w:pPr>
    <w:rPr>
      <w:sz w:val="20"/>
      <w:szCs w:val="20"/>
      <w:lang w:val="en-IE"/>
    </w:rPr>
  </w:style>
  <w:style w:type="character" w:customStyle="1" w:styleId="BodyTextIndent2Char">
    <w:name w:val="Body Text Indent 2 Char"/>
    <w:basedOn w:val="DefaultParagraphFont"/>
    <w:link w:val="BodyTextIndent2"/>
    <w:uiPriority w:val="99"/>
    <w:semiHidden/>
    <w:rsid w:val="004B7FAC"/>
    <w:rPr>
      <w:rFonts w:ascii="Times New Roman" w:eastAsia="Times New Roman" w:hAnsi="Times New Roman" w:cs="Times New Roman"/>
      <w:sz w:val="20"/>
      <w:szCs w:val="20"/>
      <w:lang w:val="en-IE"/>
    </w:rPr>
  </w:style>
  <w:style w:type="paragraph" w:styleId="BodyTextIndent3">
    <w:name w:val="Body Text Indent 3"/>
    <w:basedOn w:val="Normal"/>
    <w:link w:val="BodyTextIndent3Char"/>
    <w:uiPriority w:val="99"/>
    <w:semiHidden/>
    <w:unhideWhenUsed/>
    <w:rsid w:val="004B7FAC"/>
    <w:pPr>
      <w:widowControl/>
      <w:suppressAutoHyphens/>
      <w:autoSpaceDE/>
      <w:autoSpaceDN/>
      <w:spacing w:after="120" w:line="240" w:lineRule="atLeast"/>
      <w:ind w:left="283"/>
    </w:pPr>
    <w:rPr>
      <w:sz w:val="16"/>
      <w:szCs w:val="16"/>
      <w:lang w:val="en-IE"/>
    </w:rPr>
  </w:style>
  <w:style w:type="character" w:customStyle="1" w:styleId="BodyTextIndent3Char">
    <w:name w:val="Body Text Indent 3 Char"/>
    <w:basedOn w:val="DefaultParagraphFont"/>
    <w:link w:val="BodyTextIndent3"/>
    <w:uiPriority w:val="99"/>
    <w:semiHidden/>
    <w:rsid w:val="004B7FAC"/>
    <w:rPr>
      <w:rFonts w:ascii="Times New Roman" w:eastAsia="Times New Roman" w:hAnsi="Times New Roman" w:cs="Times New Roman"/>
      <w:sz w:val="16"/>
      <w:szCs w:val="16"/>
      <w:lang w:val="en-IE"/>
    </w:rPr>
  </w:style>
  <w:style w:type="character" w:styleId="BookTitle">
    <w:name w:val="Book Title"/>
    <w:basedOn w:val="DefaultParagraphFont"/>
    <w:uiPriority w:val="33"/>
    <w:qFormat/>
    <w:rsid w:val="004B7FAC"/>
    <w:rPr>
      <w:b/>
      <w:bCs/>
      <w:i/>
      <w:iCs/>
      <w:spacing w:val="5"/>
      <w:lang w:val="en-GB"/>
    </w:rPr>
  </w:style>
  <w:style w:type="paragraph" w:styleId="Caption">
    <w:name w:val="caption"/>
    <w:basedOn w:val="Normal"/>
    <w:next w:val="Normal"/>
    <w:uiPriority w:val="35"/>
    <w:semiHidden/>
    <w:unhideWhenUsed/>
    <w:qFormat/>
    <w:rsid w:val="004B7FAC"/>
    <w:pPr>
      <w:widowControl/>
      <w:suppressAutoHyphens/>
      <w:autoSpaceDE/>
      <w:autoSpaceDN/>
      <w:spacing w:after="200"/>
    </w:pPr>
    <w:rPr>
      <w:i/>
      <w:iCs/>
      <w:color w:val="1F497D" w:themeColor="text2"/>
      <w:sz w:val="18"/>
      <w:szCs w:val="18"/>
      <w:lang w:val="en-IE"/>
    </w:rPr>
  </w:style>
  <w:style w:type="paragraph" w:styleId="Closing">
    <w:name w:val="Closing"/>
    <w:basedOn w:val="Normal"/>
    <w:link w:val="ClosingChar"/>
    <w:uiPriority w:val="99"/>
    <w:semiHidden/>
    <w:unhideWhenUsed/>
    <w:rsid w:val="004B7FAC"/>
    <w:pPr>
      <w:widowControl/>
      <w:suppressAutoHyphens/>
      <w:autoSpaceDE/>
      <w:autoSpaceDN/>
      <w:ind w:left="4252"/>
    </w:pPr>
    <w:rPr>
      <w:sz w:val="20"/>
      <w:szCs w:val="20"/>
      <w:lang w:val="en-IE"/>
    </w:rPr>
  </w:style>
  <w:style w:type="character" w:customStyle="1" w:styleId="ClosingChar">
    <w:name w:val="Closing Char"/>
    <w:basedOn w:val="DefaultParagraphFont"/>
    <w:link w:val="Closing"/>
    <w:uiPriority w:val="99"/>
    <w:semiHidden/>
    <w:rsid w:val="004B7FAC"/>
    <w:rPr>
      <w:rFonts w:ascii="Times New Roman" w:eastAsia="Times New Roman" w:hAnsi="Times New Roman" w:cs="Times New Roman"/>
      <w:sz w:val="20"/>
      <w:szCs w:val="20"/>
      <w:lang w:val="en-IE"/>
    </w:rPr>
  </w:style>
  <w:style w:type="character" w:styleId="CommentReference">
    <w:name w:val="annotation reference"/>
    <w:basedOn w:val="DefaultParagraphFont"/>
    <w:uiPriority w:val="99"/>
    <w:semiHidden/>
    <w:unhideWhenUsed/>
    <w:rsid w:val="004B7FAC"/>
    <w:rPr>
      <w:sz w:val="16"/>
      <w:szCs w:val="16"/>
      <w:lang w:val="en-GB"/>
    </w:rPr>
  </w:style>
  <w:style w:type="paragraph" w:styleId="CommentText">
    <w:name w:val="annotation text"/>
    <w:basedOn w:val="Normal"/>
    <w:link w:val="CommentTextChar"/>
    <w:uiPriority w:val="99"/>
    <w:unhideWhenUsed/>
    <w:rsid w:val="004B7FAC"/>
    <w:pPr>
      <w:widowControl/>
      <w:suppressAutoHyphens/>
      <w:autoSpaceDE/>
      <w:autoSpaceDN/>
    </w:pPr>
    <w:rPr>
      <w:sz w:val="20"/>
      <w:szCs w:val="20"/>
      <w:lang w:val="en-IE"/>
    </w:rPr>
  </w:style>
  <w:style w:type="character" w:customStyle="1" w:styleId="CommentTextChar">
    <w:name w:val="Comment Text Char"/>
    <w:basedOn w:val="DefaultParagraphFont"/>
    <w:link w:val="CommentText"/>
    <w:uiPriority w:val="99"/>
    <w:rsid w:val="004B7FAC"/>
    <w:rPr>
      <w:rFonts w:ascii="Times New Roman" w:eastAsia="Times New Roman" w:hAnsi="Times New Roman" w:cs="Times New Roman"/>
      <w:sz w:val="20"/>
      <w:szCs w:val="20"/>
      <w:lang w:val="en-IE"/>
    </w:rPr>
  </w:style>
  <w:style w:type="paragraph" w:styleId="CommentSubject">
    <w:name w:val="annotation subject"/>
    <w:basedOn w:val="CommentText"/>
    <w:next w:val="CommentText"/>
    <w:link w:val="CommentSubjectChar"/>
    <w:uiPriority w:val="99"/>
    <w:semiHidden/>
    <w:unhideWhenUsed/>
    <w:rsid w:val="004B7FAC"/>
    <w:rPr>
      <w:b/>
      <w:bCs/>
    </w:rPr>
  </w:style>
  <w:style w:type="character" w:customStyle="1" w:styleId="CommentSubjectChar">
    <w:name w:val="Comment Subject Char"/>
    <w:basedOn w:val="CommentTextChar"/>
    <w:link w:val="CommentSubject"/>
    <w:uiPriority w:val="99"/>
    <w:semiHidden/>
    <w:rsid w:val="004B7FAC"/>
    <w:rPr>
      <w:rFonts w:ascii="Times New Roman" w:eastAsia="Times New Roman" w:hAnsi="Times New Roman" w:cs="Times New Roman"/>
      <w:b/>
      <w:bCs/>
      <w:sz w:val="20"/>
      <w:szCs w:val="20"/>
      <w:lang w:val="en-IE"/>
    </w:rPr>
  </w:style>
  <w:style w:type="paragraph" w:styleId="Date">
    <w:name w:val="Date"/>
    <w:basedOn w:val="Normal"/>
    <w:next w:val="Normal"/>
    <w:link w:val="DateChar"/>
    <w:uiPriority w:val="99"/>
    <w:semiHidden/>
    <w:unhideWhenUsed/>
    <w:rsid w:val="004B7FAC"/>
    <w:pPr>
      <w:widowControl/>
      <w:suppressAutoHyphens/>
      <w:autoSpaceDE/>
      <w:autoSpaceDN/>
      <w:spacing w:line="240" w:lineRule="atLeast"/>
    </w:pPr>
    <w:rPr>
      <w:sz w:val="20"/>
      <w:szCs w:val="20"/>
      <w:lang w:val="en-IE"/>
    </w:rPr>
  </w:style>
  <w:style w:type="character" w:customStyle="1" w:styleId="DateChar">
    <w:name w:val="Date Char"/>
    <w:basedOn w:val="DefaultParagraphFont"/>
    <w:link w:val="Date"/>
    <w:uiPriority w:val="99"/>
    <w:semiHidden/>
    <w:rsid w:val="004B7FAC"/>
    <w:rPr>
      <w:rFonts w:ascii="Times New Roman" w:eastAsia="Times New Roman" w:hAnsi="Times New Roman" w:cs="Times New Roman"/>
      <w:sz w:val="20"/>
      <w:szCs w:val="20"/>
      <w:lang w:val="en-IE"/>
    </w:rPr>
  </w:style>
  <w:style w:type="paragraph" w:styleId="DocumentMap">
    <w:name w:val="Document Map"/>
    <w:basedOn w:val="Normal"/>
    <w:link w:val="DocumentMapChar"/>
    <w:uiPriority w:val="99"/>
    <w:semiHidden/>
    <w:unhideWhenUsed/>
    <w:rsid w:val="004B7FAC"/>
    <w:pPr>
      <w:widowControl/>
      <w:suppressAutoHyphens/>
      <w:autoSpaceDE/>
      <w:autoSpaceDN/>
    </w:pPr>
    <w:rPr>
      <w:rFonts w:ascii="Segoe UI" w:hAnsi="Segoe UI" w:cs="Segoe UI"/>
      <w:sz w:val="16"/>
      <w:szCs w:val="16"/>
      <w:lang w:val="en-IE"/>
    </w:rPr>
  </w:style>
  <w:style w:type="character" w:customStyle="1" w:styleId="DocumentMapChar">
    <w:name w:val="Document Map Char"/>
    <w:basedOn w:val="DefaultParagraphFont"/>
    <w:link w:val="DocumentMap"/>
    <w:uiPriority w:val="99"/>
    <w:semiHidden/>
    <w:rsid w:val="004B7FAC"/>
    <w:rPr>
      <w:rFonts w:ascii="Segoe UI" w:eastAsia="Times New Roman" w:hAnsi="Segoe UI" w:cs="Segoe UI"/>
      <w:sz w:val="16"/>
      <w:szCs w:val="16"/>
      <w:lang w:val="en-IE"/>
    </w:rPr>
  </w:style>
  <w:style w:type="paragraph" w:styleId="E-mailSignature">
    <w:name w:val="E-mail Signature"/>
    <w:basedOn w:val="Normal"/>
    <w:link w:val="E-mailSignatureChar"/>
    <w:uiPriority w:val="99"/>
    <w:semiHidden/>
    <w:unhideWhenUsed/>
    <w:rsid w:val="004B7FAC"/>
    <w:pPr>
      <w:widowControl/>
      <w:suppressAutoHyphens/>
      <w:autoSpaceDE/>
      <w:autoSpaceDN/>
    </w:pPr>
    <w:rPr>
      <w:sz w:val="20"/>
      <w:szCs w:val="20"/>
      <w:lang w:val="en-IE"/>
    </w:rPr>
  </w:style>
  <w:style w:type="character" w:customStyle="1" w:styleId="E-mailSignatureChar">
    <w:name w:val="E-mail Signature Char"/>
    <w:basedOn w:val="DefaultParagraphFont"/>
    <w:link w:val="E-mailSignature"/>
    <w:uiPriority w:val="99"/>
    <w:semiHidden/>
    <w:rsid w:val="004B7FAC"/>
    <w:rPr>
      <w:rFonts w:ascii="Times New Roman" w:eastAsia="Times New Roman" w:hAnsi="Times New Roman" w:cs="Times New Roman"/>
      <w:sz w:val="20"/>
      <w:szCs w:val="20"/>
      <w:lang w:val="en-IE"/>
    </w:rPr>
  </w:style>
  <w:style w:type="character" w:styleId="Emphasis">
    <w:name w:val="Emphasis"/>
    <w:basedOn w:val="DefaultParagraphFont"/>
    <w:uiPriority w:val="20"/>
    <w:qFormat/>
    <w:rsid w:val="004B7FAC"/>
    <w:rPr>
      <w:i/>
      <w:iCs/>
      <w:lang w:val="en-GB"/>
    </w:rPr>
  </w:style>
  <w:style w:type="character" w:styleId="EndnoteReference">
    <w:name w:val="endnote reference"/>
    <w:basedOn w:val="DefaultParagraphFont"/>
    <w:uiPriority w:val="99"/>
    <w:semiHidden/>
    <w:unhideWhenUsed/>
    <w:rsid w:val="004B7FAC"/>
    <w:rPr>
      <w:vertAlign w:val="superscript"/>
      <w:lang w:val="en-GB"/>
    </w:rPr>
  </w:style>
  <w:style w:type="paragraph" w:styleId="EndnoteText">
    <w:name w:val="endnote text"/>
    <w:basedOn w:val="Normal"/>
    <w:link w:val="EndnoteTextChar"/>
    <w:uiPriority w:val="99"/>
    <w:semiHidden/>
    <w:unhideWhenUsed/>
    <w:rsid w:val="004B7FAC"/>
    <w:pPr>
      <w:widowControl/>
      <w:suppressAutoHyphens/>
      <w:autoSpaceDE/>
      <w:autoSpaceDN/>
    </w:pPr>
    <w:rPr>
      <w:sz w:val="20"/>
      <w:szCs w:val="20"/>
      <w:lang w:val="en-IE"/>
    </w:rPr>
  </w:style>
  <w:style w:type="character" w:customStyle="1" w:styleId="EndnoteTextChar">
    <w:name w:val="Endnote Text Char"/>
    <w:basedOn w:val="DefaultParagraphFont"/>
    <w:link w:val="EndnoteText"/>
    <w:uiPriority w:val="99"/>
    <w:semiHidden/>
    <w:rsid w:val="004B7FAC"/>
    <w:rPr>
      <w:rFonts w:ascii="Times New Roman" w:eastAsia="Times New Roman" w:hAnsi="Times New Roman" w:cs="Times New Roman"/>
      <w:sz w:val="20"/>
      <w:szCs w:val="20"/>
      <w:lang w:val="en-IE"/>
    </w:rPr>
  </w:style>
  <w:style w:type="paragraph" w:styleId="EnvelopeAddress">
    <w:name w:val="envelope address"/>
    <w:basedOn w:val="Normal"/>
    <w:uiPriority w:val="99"/>
    <w:semiHidden/>
    <w:unhideWhenUsed/>
    <w:rsid w:val="004B7FAC"/>
    <w:pPr>
      <w:framePr w:w="7920" w:h="1980" w:hRule="exact" w:hSpace="180" w:wrap="auto" w:hAnchor="page" w:xAlign="center" w:yAlign="bottom"/>
      <w:widowControl/>
      <w:suppressAutoHyphens/>
      <w:autoSpaceDE/>
      <w:autoSpaceDN/>
      <w:ind w:left="2880"/>
    </w:pPr>
    <w:rPr>
      <w:rFonts w:asciiTheme="majorHAnsi" w:eastAsiaTheme="majorEastAsia" w:hAnsiTheme="majorHAnsi" w:cstheme="majorBidi"/>
      <w:sz w:val="24"/>
      <w:szCs w:val="24"/>
      <w:lang w:val="en-IE"/>
    </w:rPr>
  </w:style>
  <w:style w:type="paragraph" w:styleId="EnvelopeReturn">
    <w:name w:val="envelope return"/>
    <w:basedOn w:val="Normal"/>
    <w:uiPriority w:val="99"/>
    <w:semiHidden/>
    <w:unhideWhenUsed/>
    <w:rsid w:val="004B7FAC"/>
    <w:pPr>
      <w:widowControl/>
      <w:suppressAutoHyphens/>
      <w:autoSpaceDE/>
      <w:autoSpaceDN/>
    </w:pPr>
    <w:rPr>
      <w:rFonts w:asciiTheme="majorHAnsi" w:eastAsiaTheme="majorEastAsia" w:hAnsiTheme="majorHAnsi" w:cstheme="majorBidi"/>
      <w:sz w:val="20"/>
      <w:szCs w:val="20"/>
      <w:lang w:val="en-IE"/>
    </w:rPr>
  </w:style>
  <w:style w:type="character" w:styleId="FollowedHyperlink">
    <w:name w:val="FollowedHyperlink"/>
    <w:basedOn w:val="DefaultParagraphFont"/>
    <w:uiPriority w:val="99"/>
    <w:semiHidden/>
    <w:unhideWhenUsed/>
    <w:rsid w:val="004B7FAC"/>
    <w:rPr>
      <w:color w:val="800080" w:themeColor="followedHyperlink"/>
      <w:u w:val="single"/>
      <w:lang w:val="en-GB"/>
    </w:rPr>
  </w:style>
  <w:style w:type="character" w:styleId="FootnoteReference">
    <w:name w:val="footnote reference"/>
    <w:aliases w:val="4_G,Footnote Reference Superscript,BVI fnr,Footnote symbol,SUPERS,Footnote reference number,note TESI,-E Fußnotenzeichen,number,Appel note de bas de p,Nota,Footnote Reference text,Voetnootverwijzing,footnote ref,FR,Odwołanie przypisu"/>
    <w:basedOn w:val="DefaultParagraphFont"/>
    <w:link w:val="FootnoteReferenceLVL6"/>
    <w:unhideWhenUsed/>
    <w:qFormat/>
    <w:rsid w:val="004B7FAC"/>
    <w:rPr>
      <w:vertAlign w:val="superscript"/>
    </w:rPr>
  </w:style>
  <w:style w:type="paragraph" w:styleId="FootnoteText">
    <w:name w:val="footnote text"/>
    <w:aliases w:val="5_G,Footnote Text Char Char,Fußnotentext Char Char1 Char,Fußnotentext Char1 Char1 Char Char,Fußnotentext Char Char Char Char Char Char,Fußnotentext Char1 Char Char Char Char1 Char,o,Fußnotentext RAXEN, Char,Char,Footnote Text Char1,Car Car"/>
    <w:basedOn w:val="Normal"/>
    <w:link w:val="FootnoteTextChar"/>
    <w:unhideWhenUsed/>
    <w:qFormat/>
    <w:rsid w:val="004B7FAC"/>
    <w:pPr>
      <w:widowControl/>
      <w:suppressAutoHyphens/>
      <w:autoSpaceDE/>
      <w:autoSpaceDN/>
    </w:pPr>
    <w:rPr>
      <w:sz w:val="20"/>
      <w:szCs w:val="20"/>
      <w:lang w:val="en-IE"/>
    </w:rPr>
  </w:style>
  <w:style w:type="character" w:customStyle="1" w:styleId="FootnoteTextChar">
    <w:name w:val="Footnote Text Char"/>
    <w:aliases w:val="5_G Char,Footnote Text Char Char Char,Fußnotentext Char Char1 Char Char,Fußnotentext Char1 Char1 Char Char Char,Fußnotentext Char Char Char Char Char Char Char,Fußnotentext Char1 Char Char Char Char1 Char Char,o Char, Char Char"/>
    <w:basedOn w:val="DefaultParagraphFont"/>
    <w:link w:val="FootnoteText"/>
    <w:qFormat/>
    <w:rsid w:val="004B7FAC"/>
    <w:rPr>
      <w:rFonts w:ascii="Times New Roman" w:eastAsia="Times New Roman" w:hAnsi="Times New Roman" w:cs="Times New Roman"/>
      <w:sz w:val="20"/>
      <w:szCs w:val="20"/>
      <w:lang w:val="en-IE"/>
    </w:rPr>
  </w:style>
  <w:style w:type="character" w:styleId="HTMLAcronym">
    <w:name w:val="HTML Acronym"/>
    <w:basedOn w:val="DefaultParagraphFont"/>
    <w:uiPriority w:val="99"/>
    <w:semiHidden/>
    <w:unhideWhenUsed/>
    <w:rsid w:val="004B7FAC"/>
    <w:rPr>
      <w:lang w:val="en-GB"/>
    </w:rPr>
  </w:style>
  <w:style w:type="paragraph" w:styleId="HTMLAddress">
    <w:name w:val="HTML Address"/>
    <w:basedOn w:val="Normal"/>
    <w:link w:val="HTMLAddressChar"/>
    <w:uiPriority w:val="99"/>
    <w:semiHidden/>
    <w:unhideWhenUsed/>
    <w:rsid w:val="004B7FAC"/>
    <w:pPr>
      <w:widowControl/>
      <w:suppressAutoHyphens/>
      <w:autoSpaceDE/>
      <w:autoSpaceDN/>
    </w:pPr>
    <w:rPr>
      <w:i/>
      <w:iCs/>
      <w:sz w:val="20"/>
      <w:szCs w:val="20"/>
      <w:lang w:val="en-IE"/>
    </w:rPr>
  </w:style>
  <w:style w:type="character" w:customStyle="1" w:styleId="HTMLAddressChar">
    <w:name w:val="HTML Address Char"/>
    <w:basedOn w:val="DefaultParagraphFont"/>
    <w:link w:val="HTMLAddress"/>
    <w:uiPriority w:val="99"/>
    <w:semiHidden/>
    <w:rsid w:val="004B7FAC"/>
    <w:rPr>
      <w:rFonts w:ascii="Times New Roman" w:eastAsia="Times New Roman" w:hAnsi="Times New Roman" w:cs="Times New Roman"/>
      <w:i/>
      <w:iCs/>
      <w:sz w:val="20"/>
      <w:szCs w:val="20"/>
      <w:lang w:val="en-IE"/>
    </w:rPr>
  </w:style>
  <w:style w:type="character" w:styleId="HTMLCite">
    <w:name w:val="HTML Cite"/>
    <w:basedOn w:val="DefaultParagraphFont"/>
    <w:uiPriority w:val="99"/>
    <w:semiHidden/>
    <w:unhideWhenUsed/>
    <w:rsid w:val="004B7FAC"/>
    <w:rPr>
      <w:i/>
      <w:iCs/>
      <w:lang w:val="en-GB"/>
    </w:rPr>
  </w:style>
  <w:style w:type="character" w:styleId="HTMLCode">
    <w:name w:val="HTML Code"/>
    <w:basedOn w:val="DefaultParagraphFont"/>
    <w:uiPriority w:val="99"/>
    <w:semiHidden/>
    <w:unhideWhenUsed/>
    <w:rsid w:val="004B7FAC"/>
    <w:rPr>
      <w:rFonts w:ascii="Consolas" w:hAnsi="Consolas"/>
      <w:sz w:val="20"/>
      <w:szCs w:val="20"/>
      <w:lang w:val="en-GB"/>
    </w:rPr>
  </w:style>
  <w:style w:type="character" w:styleId="HTMLDefinition">
    <w:name w:val="HTML Definition"/>
    <w:basedOn w:val="DefaultParagraphFont"/>
    <w:uiPriority w:val="99"/>
    <w:semiHidden/>
    <w:unhideWhenUsed/>
    <w:rsid w:val="004B7FAC"/>
    <w:rPr>
      <w:i/>
      <w:iCs/>
      <w:lang w:val="en-GB"/>
    </w:rPr>
  </w:style>
  <w:style w:type="character" w:styleId="HTMLKeyboard">
    <w:name w:val="HTML Keyboard"/>
    <w:basedOn w:val="DefaultParagraphFont"/>
    <w:uiPriority w:val="99"/>
    <w:semiHidden/>
    <w:unhideWhenUsed/>
    <w:rsid w:val="004B7FAC"/>
    <w:rPr>
      <w:rFonts w:ascii="Consolas" w:hAnsi="Consolas"/>
      <w:sz w:val="20"/>
      <w:szCs w:val="20"/>
      <w:lang w:val="en-GB"/>
    </w:rPr>
  </w:style>
  <w:style w:type="paragraph" w:styleId="HTMLPreformatted">
    <w:name w:val="HTML Preformatted"/>
    <w:basedOn w:val="Normal"/>
    <w:link w:val="HTMLPreformattedChar"/>
    <w:uiPriority w:val="99"/>
    <w:semiHidden/>
    <w:unhideWhenUsed/>
    <w:rsid w:val="004B7FAC"/>
    <w:pPr>
      <w:widowControl/>
      <w:suppressAutoHyphens/>
      <w:autoSpaceDE/>
      <w:autoSpaceDN/>
    </w:pPr>
    <w:rPr>
      <w:rFonts w:ascii="Consolas" w:hAnsi="Consolas"/>
      <w:sz w:val="20"/>
      <w:szCs w:val="20"/>
      <w:lang w:val="en-IE"/>
    </w:rPr>
  </w:style>
  <w:style w:type="character" w:customStyle="1" w:styleId="HTMLPreformattedChar">
    <w:name w:val="HTML Preformatted Char"/>
    <w:basedOn w:val="DefaultParagraphFont"/>
    <w:link w:val="HTMLPreformatted"/>
    <w:uiPriority w:val="99"/>
    <w:semiHidden/>
    <w:rsid w:val="004B7FAC"/>
    <w:rPr>
      <w:rFonts w:ascii="Consolas" w:eastAsia="Times New Roman" w:hAnsi="Consolas" w:cs="Times New Roman"/>
      <w:sz w:val="20"/>
      <w:szCs w:val="20"/>
      <w:lang w:val="en-IE"/>
    </w:rPr>
  </w:style>
  <w:style w:type="character" w:styleId="HTMLSample">
    <w:name w:val="HTML Sample"/>
    <w:basedOn w:val="DefaultParagraphFont"/>
    <w:uiPriority w:val="99"/>
    <w:semiHidden/>
    <w:unhideWhenUsed/>
    <w:rsid w:val="004B7FAC"/>
    <w:rPr>
      <w:rFonts w:ascii="Consolas" w:hAnsi="Consolas"/>
      <w:sz w:val="24"/>
      <w:szCs w:val="24"/>
      <w:lang w:val="en-GB"/>
    </w:rPr>
  </w:style>
  <w:style w:type="character" w:styleId="HTMLTypewriter">
    <w:name w:val="HTML Typewriter"/>
    <w:basedOn w:val="DefaultParagraphFont"/>
    <w:uiPriority w:val="99"/>
    <w:semiHidden/>
    <w:unhideWhenUsed/>
    <w:rsid w:val="004B7FAC"/>
    <w:rPr>
      <w:rFonts w:ascii="Consolas" w:hAnsi="Consolas"/>
      <w:sz w:val="20"/>
      <w:szCs w:val="20"/>
      <w:lang w:val="en-GB"/>
    </w:rPr>
  </w:style>
  <w:style w:type="character" w:styleId="HTMLVariable">
    <w:name w:val="HTML Variable"/>
    <w:basedOn w:val="DefaultParagraphFont"/>
    <w:uiPriority w:val="99"/>
    <w:semiHidden/>
    <w:unhideWhenUsed/>
    <w:rsid w:val="004B7FAC"/>
    <w:rPr>
      <w:i/>
      <w:iCs/>
      <w:lang w:val="en-GB"/>
    </w:rPr>
  </w:style>
  <w:style w:type="character" w:styleId="Hyperlink">
    <w:name w:val="Hyperlink"/>
    <w:basedOn w:val="DefaultParagraphFont"/>
    <w:uiPriority w:val="99"/>
    <w:unhideWhenUsed/>
    <w:rsid w:val="004B7FAC"/>
    <w:rPr>
      <w:color w:val="0000FF" w:themeColor="hyperlink"/>
      <w:u w:val="single"/>
      <w:lang w:val="en-GB"/>
    </w:rPr>
  </w:style>
  <w:style w:type="paragraph" w:styleId="Index1">
    <w:name w:val="index 1"/>
    <w:basedOn w:val="Normal"/>
    <w:next w:val="Normal"/>
    <w:autoRedefine/>
    <w:uiPriority w:val="99"/>
    <w:semiHidden/>
    <w:unhideWhenUsed/>
    <w:rsid w:val="004B7FAC"/>
    <w:pPr>
      <w:widowControl/>
      <w:suppressAutoHyphens/>
      <w:autoSpaceDE/>
      <w:autoSpaceDN/>
      <w:ind w:left="220" w:hanging="220"/>
    </w:pPr>
    <w:rPr>
      <w:sz w:val="20"/>
      <w:szCs w:val="20"/>
      <w:lang w:val="en-IE"/>
    </w:rPr>
  </w:style>
  <w:style w:type="paragraph" w:styleId="Index2">
    <w:name w:val="index 2"/>
    <w:basedOn w:val="Normal"/>
    <w:next w:val="Normal"/>
    <w:autoRedefine/>
    <w:uiPriority w:val="99"/>
    <w:semiHidden/>
    <w:unhideWhenUsed/>
    <w:rsid w:val="004B7FAC"/>
    <w:pPr>
      <w:widowControl/>
      <w:suppressAutoHyphens/>
      <w:autoSpaceDE/>
      <w:autoSpaceDN/>
      <w:ind w:left="440" w:hanging="220"/>
    </w:pPr>
    <w:rPr>
      <w:sz w:val="20"/>
      <w:szCs w:val="20"/>
      <w:lang w:val="en-IE"/>
    </w:rPr>
  </w:style>
  <w:style w:type="paragraph" w:styleId="Index3">
    <w:name w:val="index 3"/>
    <w:basedOn w:val="Normal"/>
    <w:next w:val="Normal"/>
    <w:autoRedefine/>
    <w:uiPriority w:val="99"/>
    <w:semiHidden/>
    <w:unhideWhenUsed/>
    <w:rsid w:val="004B7FAC"/>
    <w:pPr>
      <w:widowControl/>
      <w:suppressAutoHyphens/>
      <w:autoSpaceDE/>
      <w:autoSpaceDN/>
      <w:ind w:left="660" w:hanging="220"/>
    </w:pPr>
    <w:rPr>
      <w:sz w:val="20"/>
      <w:szCs w:val="20"/>
      <w:lang w:val="en-IE"/>
    </w:rPr>
  </w:style>
  <w:style w:type="paragraph" w:styleId="Index4">
    <w:name w:val="index 4"/>
    <w:basedOn w:val="Normal"/>
    <w:next w:val="Normal"/>
    <w:autoRedefine/>
    <w:uiPriority w:val="99"/>
    <w:semiHidden/>
    <w:unhideWhenUsed/>
    <w:rsid w:val="004B7FAC"/>
    <w:pPr>
      <w:widowControl/>
      <w:suppressAutoHyphens/>
      <w:autoSpaceDE/>
      <w:autoSpaceDN/>
      <w:ind w:left="880" w:hanging="220"/>
    </w:pPr>
    <w:rPr>
      <w:sz w:val="20"/>
      <w:szCs w:val="20"/>
      <w:lang w:val="en-IE"/>
    </w:rPr>
  </w:style>
  <w:style w:type="paragraph" w:styleId="Index5">
    <w:name w:val="index 5"/>
    <w:basedOn w:val="Normal"/>
    <w:next w:val="Normal"/>
    <w:autoRedefine/>
    <w:uiPriority w:val="99"/>
    <w:semiHidden/>
    <w:unhideWhenUsed/>
    <w:rsid w:val="004B7FAC"/>
    <w:pPr>
      <w:widowControl/>
      <w:suppressAutoHyphens/>
      <w:autoSpaceDE/>
      <w:autoSpaceDN/>
      <w:ind w:left="1100" w:hanging="220"/>
    </w:pPr>
    <w:rPr>
      <w:sz w:val="20"/>
      <w:szCs w:val="20"/>
      <w:lang w:val="en-IE"/>
    </w:rPr>
  </w:style>
  <w:style w:type="paragraph" w:styleId="Index6">
    <w:name w:val="index 6"/>
    <w:basedOn w:val="Normal"/>
    <w:next w:val="Normal"/>
    <w:autoRedefine/>
    <w:uiPriority w:val="99"/>
    <w:semiHidden/>
    <w:unhideWhenUsed/>
    <w:rsid w:val="004B7FAC"/>
    <w:pPr>
      <w:widowControl/>
      <w:suppressAutoHyphens/>
      <w:autoSpaceDE/>
      <w:autoSpaceDN/>
      <w:ind w:left="1320" w:hanging="220"/>
    </w:pPr>
    <w:rPr>
      <w:sz w:val="20"/>
      <w:szCs w:val="20"/>
      <w:lang w:val="en-IE"/>
    </w:rPr>
  </w:style>
  <w:style w:type="paragraph" w:styleId="Index7">
    <w:name w:val="index 7"/>
    <w:basedOn w:val="Normal"/>
    <w:next w:val="Normal"/>
    <w:autoRedefine/>
    <w:uiPriority w:val="99"/>
    <w:semiHidden/>
    <w:unhideWhenUsed/>
    <w:rsid w:val="004B7FAC"/>
    <w:pPr>
      <w:widowControl/>
      <w:suppressAutoHyphens/>
      <w:autoSpaceDE/>
      <w:autoSpaceDN/>
      <w:ind w:left="1540" w:hanging="220"/>
    </w:pPr>
    <w:rPr>
      <w:sz w:val="20"/>
      <w:szCs w:val="20"/>
      <w:lang w:val="en-IE"/>
    </w:rPr>
  </w:style>
  <w:style w:type="paragraph" w:styleId="Index8">
    <w:name w:val="index 8"/>
    <w:basedOn w:val="Normal"/>
    <w:next w:val="Normal"/>
    <w:autoRedefine/>
    <w:uiPriority w:val="99"/>
    <w:semiHidden/>
    <w:unhideWhenUsed/>
    <w:rsid w:val="004B7FAC"/>
    <w:pPr>
      <w:widowControl/>
      <w:suppressAutoHyphens/>
      <w:autoSpaceDE/>
      <w:autoSpaceDN/>
      <w:ind w:left="1760" w:hanging="220"/>
    </w:pPr>
    <w:rPr>
      <w:sz w:val="20"/>
      <w:szCs w:val="20"/>
      <w:lang w:val="en-IE"/>
    </w:rPr>
  </w:style>
  <w:style w:type="paragraph" w:styleId="Index9">
    <w:name w:val="index 9"/>
    <w:basedOn w:val="Normal"/>
    <w:next w:val="Normal"/>
    <w:autoRedefine/>
    <w:uiPriority w:val="99"/>
    <w:semiHidden/>
    <w:unhideWhenUsed/>
    <w:rsid w:val="004B7FAC"/>
    <w:pPr>
      <w:widowControl/>
      <w:suppressAutoHyphens/>
      <w:autoSpaceDE/>
      <w:autoSpaceDN/>
      <w:ind w:left="1980" w:hanging="220"/>
    </w:pPr>
    <w:rPr>
      <w:sz w:val="20"/>
      <w:szCs w:val="20"/>
      <w:lang w:val="en-IE"/>
    </w:rPr>
  </w:style>
  <w:style w:type="paragraph" w:styleId="IndexHeading">
    <w:name w:val="index heading"/>
    <w:basedOn w:val="Normal"/>
    <w:next w:val="Index1"/>
    <w:uiPriority w:val="99"/>
    <w:semiHidden/>
    <w:unhideWhenUsed/>
    <w:rsid w:val="004B7FAC"/>
    <w:pPr>
      <w:widowControl/>
      <w:suppressAutoHyphens/>
      <w:autoSpaceDE/>
      <w:autoSpaceDN/>
      <w:spacing w:line="240" w:lineRule="atLeast"/>
    </w:pPr>
    <w:rPr>
      <w:rFonts w:asciiTheme="majorHAnsi" w:eastAsiaTheme="majorEastAsia" w:hAnsiTheme="majorHAnsi" w:cstheme="majorBidi"/>
      <w:b/>
      <w:bCs/>
      <w:sz w:val="20"/>
      <w:szCs w:val="20"/>
      <w:lang w:val="en-IE"/>
    </w:rPr>
  </w:style>
  <w:style w:type="character" w:styleId="IntenseEmphasis">
    <w:name w:val="Intense Emphasis"/>
    <w:basedOn w:val="DefaultParagraphFont"/>
    <w:uiPriority w:val="21"/>
    <w:qFormat/>
    <w:rsid w:val="004B7FAC"/>
    <w:rPr>
      <w:i/>
      <w:iCs/>
      <w:color w:val="4F81BD" w:themeColor="accent1"/>
      <w:lang w:val="en-GB"/>
    </w:rPr>
  </w:style>
  <w:style w:type="paragraph" w:styleId="IntenseQuote">
    <w:name w:val="Intense Quote"/>
    <w:basedOn w:val="Normal"/>
    <w:next w:val="Normal"/>
    <w:link w:val="IntenseQuoteChar"/>
    <w:uiPriority w:val="30"/>
    <w:qFormat/>
    <w:rsid w:val="004B7FAC"/>
    <w:pPr>
      <w:widowControl/>
      <w:pBdr>
        <w:top w:val="single" w:sz="4" w:space="10" w:color="4F81BD" w:themeColor="accent1"/>
        <w:bottom w:val="single" w:sz="4" w:space="10" w:color="4F81BD" w:themeColor="accent1"/>
      </w:pBdr>
      <w:suppressAutoHyphens/>
      <w:autoSpaceDE/>
      <w:autoSpaceDN/>
      <w:spacing w:before="360" w:after="360" w:line="240" w:lineRule="atLeast"/>
      <w:ind w:left="864" w:right="864"/>
      <w:jc w:val="center"/>
    </w:pPr>
    <w:rPr>
      <w:i/>
      <w:iCs/>
      <w:color w:val="4F81BD" w:themeColor="accent1"/>
      <w:sz w:val="20"/>
      <w:szCs w:val="20"/>
      <w:lang w:val="en-IE"/>
    </w:rPr>
  </w:style>
  <w:style w:type="character" w:customStyle="1" w:styleId="IntenseQuoteChar">
    <w:name w:val="Intense Quote Char"/>
    <w:basedOn w:val="DefaultParagraphFont"/>
    <w:link w:val="IntenseQuote"/>
    <w:uiPriority w:val="30"/>
    <w:rsid w:val="004B7FAC"/>
    <w:rPr>
      <w:rFonts w:ascii="Times New Roman" w:eastAsia="Times New Roman" w:hAnsi="Times New Roman" w:cs="Times New Roman"/>
      <w:i/>
      <w:iCs/>
      <w:color w:val="4F81BD" w:themeColor="accent1"/>
      <w:sz w:val="20"/>
      <w:szCs w:val="20"/>
      <w:lang w:val="en-IE"/>
    </w:rPr>
  </w:style>
  <w:style w:type="character" w:styleId="IntenseReference">
    <w:name w:val="Intense Reference"/>
    <w:basedOn w:val="DefaultParagraphFont"/>
    <w:uiPriority w:val="32"/>
    <w:qFormat/>
    <w:rsid w:val="004B7FAC"/>
    <w:rPr>
      <w:b/>
      <w:bCs/>
      <w:smallCaps/>
      <w:color w:val="4F81BD" w:themeColor="accent1"/>
      <w:spacing w:val="5"/>
      <w:lang w:val="en-GB"/>
    </w:rPr>
  </w:style>
  <w:style w:type="character" w:styleId="LineNumber">
    <w:name w:val="line number"/>
    <w:basedOn w:val="DefaultParagraphFont"/>
    <w:uiPriority w:val="99"/>
    <w:semiHidden/>
    <w:unhideWhenUsed/>
    <w:rsid w:val="004B7FAC"/>
    <w:rPr>
      <w:lang w:val="en-GB"/>
    </w:rPr>
  </w:style>
  <w:style w:type="paragraph" w:styleId="List">
    <w:name w:val="List"/>
    <w:basedOn w:val="Normal"/>
    <w:uiPriority w:val="99"/>
    <w:semiHidden/>
    <w:unhideWhenUsed/>
    <w:rsid w:val="004B7FAC"/>
    <w:pPr>
      <w:widowControl/>
      <w:suppressAutoHyphens/>
      <w:autoSpaceDE/>
      <w:autoSpaceDN/>
      <w:spacing w:line="240" w:lineRule="atLeast"/>
      <w:ind w:left="283" w:hanging="283"/>
      <w:contextualSpacing/>
    </w:pPr>
    <w:rPr>
      <w:sz w:val="20"/>
      <w:szCs w:val="20"/>
      <w:lang w:val="en-IE"/>
    </w:rPr>
  </w:style>
  <w:style w:type="paragraph" w:styleId="List2">
    <w:name w:val="List 2"/>
    <w:basedOn w:val="Normal"/>
    <w:uiPriority w:val="99"/>
    <w:semiHidden/>
    <w:unhideWhenUsed/>
    <w:rsid w:val="004B7FAC"/>
    <w:pPr>
      <w:widowControl/>
      <w:suppressAutoHyphens/>
      <w:autoSpaceDE/>
      <w:autoSpaceDN/>
      <w:spacing w:line="240" w:lineRule="atLeast"/>
      <w:ind w:left="566" w:hanging="283"/>
      <w:contextualSpacing/>
    </w:pPr>
    <w:rPr>
      <w:sz w:val="20"/>
      <w:szCs w:val="20"/>
      <w:lang w:val="en-IE"/>
    </w:rPr>
  </w:style>
  <w:style w:type="paragraph" w:styleId="List3">
    <w:name w:val="List 3"/>
    <w:basedOn w:val="Normal"/>
    <w:uiPriority w:val="99"/>
    <w:semiHidden/>
    <w:unhideWhenUsed/>
    <w:rsid w:val="004B7FAC"/>
    <w:pPr>
      <w:widowControl/>
      <w:suppressAutoHyphens/>
      <w:autoSpaceDE/>
      <w:autoSpaceDN/>
      <w:spacing w:line="240" w:lineRule="atLeast"/>
      <w:ind w:left="849" w:hanging="283"/>
      <w:contextualSpacing/>
    </w:pPr>
    <w:rPr>
      <w:sz w:val="20"/>
      <w:szCs w:val="20"/>
      <w:lang w:val="en-IE"/>
    </w:rPr>
  </w:style>
  <w:style w:type="paragraph" w:styleId="List4">
    <w:name w:val="List 4"/>
    <w:basedOn w:val="Normal"/>
    <w:uiPriority w:val="99"/>
    <w:semiHidden/>
    <w:unhideWhenUsed/>
    <w:rsid w:val="004B7FAC"/>
    <w:pPr>
      <w:widowControl/>
      <w:suppressAutoHyphens/>
      <w:autoSpaceDE/>
      <w:autoSpaceDN/>
      <w:spacing w:line="240" w:lineRule="atLeast"/>
      <w:ind w:left="1132" w:hanging="283"/>
      <w:contextualSpacing/>
    </w:pPr>
    <w:rPr>
      <w:sz w:val="20"/>
      <w:szCs w:val="20"/>
      <w:lang w:val="en-IE"/>
    </w:rPr>
  </w:style>
  <w:style w:type="paragraph" w:styleId="List5">
    <w:name w:val="List 5"/>
    <w:basedOn w:val="Normal"/>
    <w:uiPriority w:val="99"/>
    <w:semiHidden/>
    <w:unhideWhenUsed/>
    <w:rsid w:val="004B7FAC"/>
    <w:pPr>
      <w:widowControl/>
      <w:suppressAutoHyphens/>
      <w:autoSpaceDE/>
      <w:autoSpaceDN/>
      <w:spacing w:line="240" w:lineRule="atLeast"/>
      <w:ind w:left="1415" w:hanging="283"/>
      <w:contextualSpacing/>
    </w:pPr>
    <w:rPr>
      <w:sz w:val="20"/>
      <w:szCs w:val="20"/>
      <w:lang w:val="en-IE"/>
    </w:rPr>
  </w:style>
  <w:style w:type="paragraph" w:styleId="ListBullet">
    <w:name w:val="List Bullet"/>
    <w:basedOn w:val="Normal"/>
    <w:uiPriority w:val="99"/>
    <w:semiHidden/>
    <w:unhideWhenUsed/>
    <w:rsid w:val="004B7FAC"/>
    <w:pPr>
      <w:widowControl/>
      <w:numPr>
        <w:numId w:val="3"/>
      </w:numPr>
      <w:suppressAutoHyphens/>
      <w:autoSpaceDE/>
      <w:autoSpaceDN/>
      <w:spacing w:line="240" w:lineRule="atLeast"/>
      <w:contextualSpacing/>
    </w:pPr>
    <w:rPr>
      <w:sz w:val="20"/>
      <w:szCs w:val="20"/>
      <w:lang w:val="en-IE"/>
    </w:rPr>
  </w:style>
  <w:style w:type="paragraph" w:styleId="ListBullet2">
    <w:name w:val="List Bullet 2"/>
    <w:basedOn w:val="Normal"/>
    <w:uiPriority w:val="99"/>
    <w:semiHidden/>
    <w:unhideWhenUsed/>
    <w:rsid w:val="004B7FAC"/>
    <w:pPr>
      <w:widowControl/>
      <w:numPr>
        <w:numId w:val="4"/>
      </w:numPr>
      <w:suppressAutoHyphens/>
      <w:autoSpaceDE/>
      <w:autoSpaceDN/>
      <w:spacing w:line="240" w:lineRule="atLeast"/>
      <w:contextualSpacing/>
    </w:pPr>
    <w:rPr>
      <w:sz w:val="20"/>
      <w:szCs w:val="20"/>
      <w:lang w:val="en-IE"/>
    </w:rPr>
  </w:style>
  <w:style w:type="paragraph" w:styleId="ListBullet3">
    <w:name w:val="List Bullet 3"/>
    <w:basedOn w:val="Normal"/>
    <w:uiPriority w:val="99"/>
    <w:semiHidden/>
    <w:unhideWhenUsed/>
    <w:rsid w:val="004B7FAC"/>
    <w:pPr>
      <w:widowControl/>
      <w:numPr>
        <w:numId w:val="5"/>
      </w:numPr>
      <w:suppressAutoHyphens/>
      <w:autoSpaceDE/>
      <w:autoSpaceDN/>
      <w:spacing w:line="240" w:lineRule="atLeast"/>
      <w:contextualSpacing/>
    </w:pPr>
    <w:rPr>
      <w:sz w:val="20"/>
      <w:szCs w:val="20"/>
      <w:lang w:val="en-IE"/>
    </w:rPr>
  </w:style>
  <w:style w:type="paragraph" w:styleId="ListBullet4">
    <w:name w:val="List Bullet 4"/>
    <w:basedOn w:val="Normal"/>
    <w:uiPriority w:val="99"/>
    <w:semiHidden/>
    <w:unhideWhenUsed/>
    <w:rsid w:val="004B7FAC"/>
    <w:pPr>
      <w:widowControl/>
      <w:numPr>
        <w:numId w:val="6"/>
      </w:numPr>
      <w:suppressAutoHyphens/>
      <w:autoSpaceDE/>
      <w:autoSpaceDN/>
      <w:spacing w:line="240" w:lineRule="atLeast"/>
      <w:contextualSpacing/>
    </w:pPr>
    <w:rPr>
      <w:sz w:val="20"/>
      <w:szCs w:val="20"/>
      <w:lang w:val="en-IE"/>
    </w:rPr>
  </w:style>
  <w:style w:type="paragraph" w:styleId="ListBullet5">
    <w:name w:val="List Bullet 5"/>
    <w:basedOn w:val="Normal"/>
    <w:uiPriority w:val="99"/>
    <w:semiHidden/>
    <w:unhideWhenUsed/>
    <w:rsid w:val="004B7FAC"/>
    <w:pPr>
      <w:widowControl/>
      <w:numPr>
        <w:numId w:val="7"/>
      </w:numPr>
      <w:suppressAutoHyphens/>
      <w:autoSpaceDE/>
      <w:autoSpaceDN/>
      <w:spacing w:line="240" w:lineRule="atLeast"/>
      <w:contextualSpacing/>
    </w:pPr>
    <w:rPr>
      <w:sz w:val="20"/>
      <w:szCs w:val="20"/>
      <w:lang w:val="en-IE"/>
    </w:rPr>
  </w:style>
  <w:style w:type="paragraph" w:styleId="ListContinue">
    <w:name w:val="List Continue"/>
    <w:basedOn w:val="Normal"/>
    <w:uiPriority w:val="99"/>
    <w:semiHidden/>
    <w:unhideWhenUsed/>
    <w:rsid w:val="004B7FAC"/>
    <w:pPr>
      <w:widowControl/>
      <w:suppressAutoHyphens/>
      <w:autoSpaceDE/>
      <w:autoSpaceDN/>
      <w:spacing w:after="120" w:line="240" w:lineRule="atLeast"/>
      <w:ind w:left="283"/>
      <w:contextualSpacing/>
    </w:pPr>
    <w:rPr>
      <w:sz w:val="20"/>
      <w:szCs w:val="20"/>
      <w:lang w:val="en-IE"/>
    </w:rPr>
  </w:style>
  <w:style w:type="paragraph" w:styleId="ListContinue2">
    <w:name w:val="List Continue 2"/>
    <w:basedOn w:val="Normal"/>
    <w:uiPriority w:val="99"/>
    <w:semiHidden/>
    <w:unhideWhenUsed/>
    <w:rsid w:val="004B7FAC"/>
    <w:pPr>
      <w:widowControl/>
      <w:suppressAutoHyphens/>
      <w:autoSpaceDE/>
      <w:autoSpaceDN/>
      <w:spacing w:after="120" w:line="240" w:lineRule="atLeast"/>
      <w:ind w:left="566"/>
      <w:contextualSpacing/>
    </w:pPr>
    <w:rPr>
      <w:sz w:val="20"/>
      <w:szCs w:val="20"/>
      <w:lang w:val="en-IE"/>
    </w:rPr>
  </w:style>
  <w:style w:type="paragraph" w:styleId="ListContinue3">
    <w:name w:val="List Continue 3"/>
    <w:basedOn w:val="Normal"/>
    <w:uiPriority w:val="99"/>
    <w:semiHidden/>
    <w:unhideWhenUsed/>
    <w:rsid w:val="004B7FAC"/>
    <w:pPr>
      <w:widowControl/>
      <w:suppressAutoHyphens/>
      <w:autoSpaceDE/>
      <w:autoSpaceDN/>
      <w:spacing w:after="120" w:line="240" w:lineRule="atLeast"/>
      <w:ind w:left="849"/>
      <w:contextualSpacing/>
    </w:pPr>
    <w:rPr>
      <w:sz w:val="20"/>
      <w:szCs w:val="20"/>
      <w:lang w:val="en-IE"/>
    </w:rPr>
  </w:style>
  <w:style w:type="paragraph" w:styleId="ListContinue4">
    <w:name w:val="List Continue 4"/>
    <w:basedOn w:val="Normal"/>
    <w:uiPriority w:val="99"/>
    <w:semiHidden/>
    <w:unhideWhenUsed/>
    <w:rsid w:val="004B7FAC"/>
    <w:pPr>
      <w:widowControl/>
      <w:suppressAutoHyphens/>
      <w:autoSpaceDE/>
      <w:autoSpaceDN/>
      <w:spacing w:after="120" w:line="240" w:lineRule="atLeast"/>
      <w:ind w:left="1132"/>
      <w:contextualSpacing/>
    </w:pPr>
    <w:rPr>
      <w:sz w:val="20"/>
      <w:szCs w:val="20"/>
      <w:lang w:val="en-IE"/>
    </w:rPr>
  </w:style>
  <w:style w:type="paragraph" w:styleId="ListContinue5">
    <w:name w:val="List Continue 5"/>
    <w:basedOn w:val="Normal"/>
    <w:uiPriority w:val="99"/>
    <w:semiHidden/>
    <w:unhideWhenUsed/>
    <w:rsid w:val="004B7FAC"/>
    <w:pPr>
      <w:widowControl/>
      <w:suppressAutoHyphens/>
      <w:autoSpaceDE/>
      <w:autoSpaceDN/>
      <w:spacing w:after="120" w:line="240" w:lineRule="atLeast"/>
      <w:ind w:left="1415"/>
      <w:contextualSpacing/>
    </w:pPr>
    <w:rPr>
      <w:sz w:val="20"/>
      <w:szCs w:val="20"/>
      <w:lang w:val="en-IE"/>
    </w:rPr>
  </w:style>
  <w:style w:type="paragraph" w:styleId="ListNumber">
    <w:name w:val="List Number"/>
    <w:basedOn w:val="Normal"/>
    <w:uiPriority w:val="99"/>
    <w:semiHidden/>
    <w:unhideWhenUsed/>
    <w:rsid w:val="004B7FAC"/>
    <w:pPr>
      <w:widowControl/>
      <w:numPr>
        <w:numId w:val="8"/>
      </w:numPr>
      <w:suppressAutoHyphens/>
      <w:autoSpaceDE/>
      <w:autoSpaceDN/>
      <w:spacing w:line="240" w:lineRule="atLeast"/>
      <w:contextualSpacing/>
    </w:pPr>
    <w:rPr>
      <w:sz w:val="20"/>
      <w:szCs w:val="20"/>
      <w:lang w:val="en-IE"/>
    </w:rPr>
  </w:style>
  <w:style w:type="paragraph" w:styleId="ListNumber2">
    <w:name w:val="List Number 2"/>
    <w:basedOn w:val="Normal"/>
    <w:unhideWhenUsed/>
    <w:rsid w:val="004B7FAC"/>
    <w:pPr>
      <w:widowControl/>
      <w:numPr>
        <w:numId w:val="9"/>
      </w:numPr>
      <w:suppressAutoHyphens/>
      <w:autoSpaceDE/>
      <w:autoSpaceDN/>
      <w:spacing w:line="240" w:lineRule="atLeast"/>
      <w:contextualSpacing/>
    </w:pPr>
    <w:rPr>
      <w:sz w:val="20"/>
      <w:szCs w:val="20"/>
      <w:lang w:val="en-IE"/>
    </w:rPr>
  </w:style>
  <w:style w:type="paragraph" w:styleId="ListNumber3">
    <w:name w:val="List Number 3"/>
    <w:basedOn w:val="Normal"/>
    <w:uiPriority w:val="99"/>
    <w:semiHidden/>
    <w:unhideWhenUsed/>
    <w:rsid w:val="004B7FAC"/>
    <w:pPr>
      <w:widowControl/>
      <w:numPr>
        <w:numId w:val="10"/>
      </w:numPr>
      <w:suppressAutoHyphens/>
      <w:autoSpaceDE/>
      <w:autoSpaceDN/>
      <w:spacing w:line="240" w:lineRule="atLeast"/>
      <w:contextualSpacing/>
    </w:pPr>
    <w:rPr>
      <w:sz w:val="20"/>
      <w:szCs w:val="20"/>
      <w:lang w:val="en-IE"/>
    </w:rPr>
  </w:style>
  <w:style w:type="paragraph" w:styleId="ListNumber4">
    <w:name w:val="List Number 4"/>
    <w:basedOn w:val="Normal"/>
    <w:uiPriority w:val="99"/>
    <w:semiHidden/>
    <w:unhideWhenUsed/>
    <w:rsid w:val="004B7FAC"/>
    <w:pPr>
      <w:widowControl/>
      <w:numPr>
        <w:numId w:val="11"/>
      </w:numPr>
      <w:suppressAutoHyphens/>
      <w:autoSpaceDE/>
      <w:autoSpaceDN/>
      <w:spacing w:line="240" w:lineRule="atLeast"/>
      <w:contextualSpacing/>
    </w:pPr>
    <w:rPr>
      <w:sz w:val="20"/>
      <w:szCs w:val="20"/>
      <w:lang w:val="en-IE"/>
    </w:rPr>
  </w:style>
  <w:style w:type="paragraph" w:styleId="ListNumber5">
    <w:name w:val="List Number 5"/>
    <w:basedOn w:val="Normal"/>
    <w:uiPriority w:val="99"/>
    <w:semiHidden/>
    <w:unhideWhenUsed/>
    <w:rsid w:val="004B7FAC"/>
    <w:pPr>
      <w:widowControl/>
      <w:numPr>
        <w:numId w:val="12"/>
      </w:numPr>
      <w:suppressAutoHyphens/>
      <w:autoSpaceDE/>
      <w:autoSpaceDN/>
      <w:spacing w:line="240" w:lineRule="atLeast"/>
      <w:contextualSpacing/>
    </w:pPr>
    <w:rPr>
      <w:sz w:val="20"/>
      <w:szCs w:val="20"/>
      <w:lang w:val="en-IE"/>
    </w:rPr>
  </w:style>
  <w:style w:type="paragraph" w:styleId="MacroText">
    <w:name w:val="macro"/>
    <w:link w:val="MacroTextChar"/>
    <w:uiPriority w:val="99"/>
    <w:semiHidden/>
    <w:unhideWhenUsed/>
    <w:rsid w:val="004B7FAC"/>
    <w:pPr>
      <w:widowControl/>
      <w:tabs>
        <w:tab w:val="left" w:pos="480"/>
        <w:tab w:val="left" w:pos="960"/>
        <w:tab w:val="left" w:pos="1440"/>
        <w:tab w:val="left" w:pos="1920"/>
        <w:tab w:val="left" w:pos="2400"/>
        <w:tab w:val="left" w:pos="2880"/>
        <w:tab w:val="left" w:pos="3360"/>
        <w:tab w:val="left" w:pos="3840"/>
        <w:tab w:val="left" w:pos="4320"/>
      </w:tabs>
      <w:autoSpaceDE/>
      <w:autoSpaceDN/>
      <w:spacing w:line="259" w:lineRule="auto"/>
    </w:pPr>
    <w:rPr>
      <w:rFonts w:ascii="Consolas" w:hAnsi="Consolas"/>
      <w:sz w:val="20"/>
      <w:szCs w:val="20"/>
      <w:lang w:val="en-GB"/>
    </w:rPr>
  </w:style>
  <w:style w:type="character" w:customStyle="1" w:styleId="MacroTextChar">
    <w:name w:val="Macro Text Char"/>
    <w:basedOn w:val="DefaultParagraphFont"/>
    <w:link w:val="MacroText"/>
    <w:uiPriority w:val="99"/>
    <w:semiHidden/>
    <w:rsid w:val="004B7FAC"/>
    <w:rPr>
      <w:rFonts w:ascii="Consolas" w:hAnsi="Consolas"/>
      <w:sz w:val="20"/>
      <w:szCs w:val="20"/>
      <w:lang w:val="en-GB"/>
    </w:rPr>
  </w:style>
  <w:style w:type="paragraph" w:styleId="MessageHeader">
    <w:name w:val="Message Header"/>
    <w:basedOn w:val="Normal"/>
    <w:link w:val="MessageHeaderChar"/>
    <w:uiPriority w:val="99"/>
    <w:semiHidden/>
    <w:unhideWhenUsed/>
    <w:rsid w:val="004B7FAC"/>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asciiTheme="majorHAnsi" w:eastAsiaTheme="majorEastAsia" w:hAnsiTheme="majorHAnsi" w:cstheme="majorBidi"/>
      <w:sz w:val="24"/>
      <w:szCs w:val="24"/>
      <w:lang w:val="en-IE"/>
    </w:rPr>
  </w:style>
  <w:style w:type="character" w:customStyle="1" w:styleId="MessageHeaderChar">
    <w:name w:val="Message Header Char"/>
    <w:basedOn w:val="DefaultParagraphFont"/>
    <w:link w:val="MessageHeader"/>
    <w:uiPriority w:val="99"/>
    <w:semiHidden/>
    <w:rsid w:val="004B7FAC"/>
    <w:rPr>
      <w:rFonts w:asciiTheme="majorHAnsi" w:eastAsiaTheme="majorEastAsia" w:hAnsiTheme="majorHAnsi" w:cstheme="majorBidi"/>
      <w:sz w:val="24"/>
      <w:szCs w:val="24"/>
      <w:shd w:val="pct20" w:color="auto" w:fill="auto"/>
      <w:lang w:val="en-IE"/>
    </w:rPr>
  </w:style>
  <w:style w:type="paragraph" w:styleId="NoSpacing">
    <w:name w:val="No Spacing"/>
    <w:uiPriority w:val="1"/>
    <w:qFormat/>
    <w:rsid w:val="004B7FAC"/>
    <w:pPr>
      <w:widowControl/>
      <w:autoSpaceDE/>
      <w:autoSpaceDN/>
    </w:pPr>
    <w:rPr>
      <w:lang w:val="en-GB"/>
    </w:rPr>
  </w:style>
  <w:style w:type="paragraph" w:styleId="NormalWeb">
    <w:name w:val="Normal (Web)"/>
    <w:basedOn w:val="Normal"/>
    <w:uiPriority w:val="99"/>
    <w:unhideWhenUsed/>
    <w:rsid w:val="004B7FAC"/>
    <w:pPr>
      <w:widowControl/>
      <w:suppressAutoHyphens/>
      <w:autoSpaceDE/>
      <w:autoSpaceDN/>
      <w:spacing w:line="240" w:lineRule="atLeast"/>
    </w:pPr>
    <w:rPr>
      <w:sz w:val="24"/>
      <w:szCs w:val="24"/>
      <w:lang w:val="en-IE"/>
    </w:rPr>
  </w:style>
  <w:style w:type="paragraph" w:styleId="NormalIndent">
    <w:name w:val="Normal Indent"/>
    <w:basedOn w:val="Normal"/>
    <w:uiPriority w:val="99"/>
    <w:semiHidden/>
    <w:unhideWhenUsed/>
    <w:rsid w:val="004B7FAC"/>
    <w:pPr>
      <w:widowControl/>
      <w:suppressAutoHyphens/>
      <w:autoSpaceDE/>
      <w:autoSpaceDN/>
      <w:spacing w:line="240" w:lineRule="atLeast"/>
      <w:ind w:left="720"/>
    </w:pPr>
    <w:rPr>
      <w:sz w:val="20"/>
      <w:szCs w:val="20"/>
      <w:lang w:val="en-IE"/>
    </w:rPr>
  </w:style>
  <w:style w:type="paragraph" w:styleId="NoteHeading">
    <w:name w:val="Note Heading"/>
    <w:basedOn w:val="Normal"/>
    <w:next w:val="Normal"/>
    <w:link w:val="NoteHeadingChar"/>
    <w:uiPriority w:val="99"/>
    <w:semiHidden/>
    <w:unhideWhenUsed/>
    <w:rsid w:val="004B7FAC"/>
    <w:pPr>
      <w:widowControl/>
      <w:suppressAutoHyphens/>
      <w:autoSpaceDE/>
      <w:autoSpaceDN/>
    </w:pPr>
    <w:rPr>
      <w:sz w:val="20"/>
      <w:szCs w:val="20"/>
      <w:lang w:val="en-IE"/>
    </w:rPr>
  </w:style>
  <w:style w:type="character" w:customStyle="1" w:styleId="NoteHeadingChar">
    <w:name w:val="Note Heading Char"/>
    <w:basedOn w:val="DefaultParagraphFont"/>
    <w:link w:val="NoteHeading"/>
    <w:uiPriority w:val="99"/>
    <w:semiHidden/>
    <w:rsid w:val="004B7FAC"/>
    <w:rPr>
      <w:rFonts w:ascii="Times New Roman" w:eastAsia="Times New Roman" w:hAnsi="Times New Roman" w:cs="Times New Roman"/>
      <w:sz w:val="20"/>
      <w:szCs w:val="20"/>
      <w:lang w:val="en-IE"/>
    </w:rPr>
  </w:style>
  <w:style w:type="character" w:styleId="PageNumber">
    <w:name w:val="page number"/>
    <w:basedOn w:val="DefaultParagraphFont"/>
    <w:uiPriority w:val="99"/>
    <w:semiHidden/>
    <w:unhideWhenUsed/>
    <w:rsid w:val="004B7FAC"/>
    <w:rPr>
      <w:lang w:val="en-GB"/>
    </w:rPr>
  </w:style>
  <w:style w:type="character" w:styleId="PlaceholderText">
    <w:name w:val="Placeholder Text"/>
    <w:basedOn w:val="DefaultParagraphFont"/>
    <w:uiPriority w:val="99"/>
    <w:semiHidden/>
    <w:rsid w:val="004B7FAC"/>
    <w:rPr>
      <w:color w:val="808080"/>
      <w:lang w:val="en-GB"/>
    </w:rPr>
  </w:style>
  <w:style w:type="paragraph" w:styleId="PlainText">
    <w:name w:val="Plain Text"/>
    <w:basedOn w:val="Normal"/>
    <w:link w:val="PlainTextChar"/>
    <w:uiPriority w:val="99"/>
    <w:semiHidden/>
    <w:unhideWhenUsed/>
    <w:rsid w:val="004B7FAC"/>
    <w:pPr>
      <w:widowControl/>
      <w:suppressAutoHyphens/>
      <w:autoSpaceDE/>
      <w:autoSpaceDN/>
    </w:pPr>
    <w:rPr>
      <w:rFonts w:ascii="Consolas" w:hAnsi="Consolas"/>
      <w:sz w:val="21"/>
      <w:szCs w:val="21"/>
      <w:lang w:val="en-IE"/>
    </w:rPr>
  </w:style>
  <w:style w:type="character" w:customStyle="1" w:styleId="PlainTextChar">
    <w:name w:val="Plain Text Char"/>
    <w:basedOn w:val="DefaultParagraphFont"/>
    <w:link w:val="PlainText"/>
    <w:uiPriority w:val="99"/>
    <w:semiHidden/>
    <w:rsid w:val="004B7FAC"/>
    <w:rPr>
      <w:rFonts w:ascii="Consolas" w:eastAsia="Times New Roman" w:hAnsi="Consolas" w:cs="Times New Roman"/>
      <w:sz w:val="21"/>
      <w:szCs w:val="21"/>
      <w:lang w:val="en-IE"/>
    </w:rPr>
  </w:style>
  <w:style w:type="paragraph" w:styleId="Quote">
    <w:name w:val="Quote"/>
    <w:basedOn w:val="Normal"/>
    <w:next w:val="Normal"/>
    <w:link w:val="QuoteChar"/>
    <w:uiPriority w:val="29"/>
    <w:qFormat/>
    <w:rsid w:val="004B7FAC"/>
    <w:pPr>
      <w:widowControl/>
      <w:suppressAutoHyphens/>
      <w:autoSpaceDE/>
      <w:autoSpaceDN/>
      <w:spacing w:before="200" w:line="240" w:lineRule="atLeast"/>
      <w:ind w:left="864" w:right="864"/>
      <w:jc w:val="center"/>
    </w:pPr>
    <w:rPr>
      <w:i/>
      <w:iCs/>
      <w:color w:val="404040" w:themeColor="text1" w:themeTint="BF"/>
      <w:sz w:val="20"/>
      <w:szCs w:val="20"/>
      <w:lang w:val="en-IE"/>
    </w:rPr>
  </w:style>
  <w:style w:type="character" w:customStyle="1" w:styleId="QuoteChar">
    <w:name w:val="Quote Char"/>
    <w:basedOn w:val="DefaultParagraphFont"/>
    <w:link w:val="Quote"/>
    <w:uiPriority w:val="29"/>
    <w:rsid w:val="004B7FAC"/>
    <w:rPr>
      <w:rFonts w:ascii="Times New Roman" w:eastAsia="Times New Roman" w:hAnsi="Times New Roman" w:cs="Times New Roman"/>
      <w:i/>
      <w:iCs/>
      <w:color w:val="404040" w:themeColor="text1" w:themeTint="BF"/>
      <w:sz w:val="20"/>
      <w:szCs w:val="20"/>
      <w:lang w:val="en-IE"/>
    </w:rPr>
  </w:style>
  <w:style w:type="paragraph" w:styleId="Salutation">
    <w:name w:val="Salutation"/>
    <w:basedOn w:val="Normal"/>
    <w:next w:val="Normal"/>
    <w:link w:val="SalutationChar"/>
    <w:uiPriority w:val="99"/>
    <w:semiHidden/>
    <w:unhideWhenUsed/>
    <w:rsid w:val="004B7FAC"/>
    <w:pPr>
      <w:widowControl/>
      <w:suppressAutoHyphens/>
      <w:autoSpaceDE/>
      <w:autoSpaceDN/>
      <w:spacing w:line="240" w:lineRule="atLeast"/>
    </w:pPr>
    <w:rPr>
      <w:sz w:val="20"/>
      <w:szCs w:val="20"/>
      <w:lang w:val="en-IE"/>
    </w:rPr>
  </w:style>
  <w:style w:type="character" w:customStyle="1" w:styleId="SalutationChar">
    <w:name w:val="Salutation Char"/>
    <w:basedOn w:val="DefaultParagraphFont"/>
    <w:link w:val="Salutation"/>
    <w:uiPriority w:val="99"/>
    <w:semiHidden/>
    <w:rsid w:val="004B7FAC"/>
    <w:rPr>
      <w:rFonts w:ascii="Times New Roman" w:eastAsia="Times New Roman" w:hAnsi="Times New Roman" w:cs="Times New Roman"/>
      <w:sz w:val="20"/>
      <w:szCs w:val="20"/>
      <w:lang w:val="en-IE"/>
    </w:rPr>
  </w:style>
  <w:style w:type="paragraph" w:styleId="Signature">
    <w:name w:val="Signature"/>
    <w:basedOn w:val="Normal"/>
    <w:link w:val="SignatureChar"/>
    <w:uiPriority w:val="99"/>
    <w:semiHidden/>
    <w:unhideWhenUsed/>
    <w:rsid w:val="004B7FAC"/>
    <w:pPr>
      <w:widowControl/>
      <w:suppressAutoHyphens/>
      <w:autoSpaceDE/>
      <w:autoSpaceDN/>
      <w:ind w:left="4252"/>
    </w:pPr>
    <w:rPr>
      <w:sz w:val="20"/>
      <w:szCs w:val="20"/>
      <w:lang w:val="en-IE"/>
    </w:rPr>
  </w:style>
  <w:style w:type="character" w:customStyle="1" w:styleId="SignatureChar">
    <w:name w:val="Signature Char"/>
    <w:basedOn w:val="DefaultParagraphFont"/>
    <w:link w:val="Signature"/>
    <w:uiPriority w:val="99"/>
    <w:semiHidden/>
    <w:rsid w:val="004B7FAC"/>
    <w:rPr>
      <w:rFonts w:ascii="Times New Roman" w:eastAsia="Times New Roman" w:hAnsi="Times New Roman" w:cs="Times New Roman"/>
      <w:sz w:val="20"/>
      <w:szCs w:val="20"/>
      <w:lang w:val="en-IE"/>
    </w:rPr>
  </w:style>
  <w:style w:type="character" w:styleId="Strong">
    <w:name w:val="Strong"/>
    <w:basedOn w:val="DefaultParagraphFont"/>
    <w:uiPriority w:val="22"/>
    <w:qFormat/>
    <w:rsid w:val="004B7FAC"/>
    <w:rPr>
      <w:b/>
      <w:bCs/>
      <w:lang w:val="en-GB"/>
    </w:rPr>
  </w:style>
  <w:style w:type="paragraph" w:styleId="Subtitle">
    <w:name w:val="Subtitle"/>
    <w:basedOn w:val="Normal"/>
    <w:next w:val="Normal"/>
    <w:link w:val="SubtitleChar"/>
    <w:uiPriority w:val="11"/>
    <w:qFormat/>
    <w:rsid w:val="004B7FAC"/>
    <w:pPr>
      <w:widowControl/>
      <w:numPr>
        <w:ilvl w:val="1"/>
      </w:numPr>
      <w:suppressAutoHyphens/>
      <w:autoSpaceDE/>
      <w:autoSpaceDN/>
      <w:spacing w:line="240" w:lineRule="atLeast"/>
    </w:pPr>
    <w:rPr>
      <w:rFonts w:eastAsiaTheme="minorEastAsia"/>
      <w:color w:val="5A5A5A" w:themeColor="text1" w:themeTint="A5"/>
      <w:spacing w:val="15"/>
      <w:sz w:val="20"/>
      <w:szCs w:val="20"/>
      <w:lang w:val="en-IE"/>
    </w:rPr>
  </w:style>
  <w:style w:type="character" w:customStyle="1" w:styleId="SubtitleChar">
    <w:name w:val="Subtitle Char"/>
    <w:basedOn w:val="DefaultParagraphFont"/>
    <w:link w:val="Subtitle"/>
    <w:uiPriority w:val="11"/>
    <w:rsid w:val="004B7FAC"/>
    <w:rPr>
      <w:rFonts w:ascii="Times New Roman" w:eastAsiaTheme="minorEastAsia" w:hAnsi="Times New Roman" w:cs="Times New Roman"/>
      <w:color w:val="5A5A5A" w:themeColor="text1" w:themeTint="A5"/>
      <w:spacing w:val="15"/>
      <w:sz w:val="20"/>
      <w:szCs w:val="20"/>
      <w:lang w:val="en-IE"/>
    </w:rPr>
  </w:style>
  <w:style w:type="character" w:styleId="SubtleEmphasis">
    <w:name w:val="Subtle Emphasis"/>
    <w:basedOn w:val="DefaultParagraphFont"/>
    <w:uiPriority w:val="19"/>
    <w:qFormat/>
    <w:rsid w:val="004B7FAC"/>
    <w:rPr>
      <w:i/>
      <w:iCs/>
      <w:color w:val="404040" w:themeColor="text1" w:themeTint="BF"/>
      <w:lang w:val="en-GB"/>
    </w:rPr>
  </w:style>
  <w:style w:type="character" w:styleId="SubtleReference">
    <w:name w:val="Subtle Reference"/>
    <w:basedOn w:val="DefaultParagraphFont"/>
    <w:uiPriority w:val="31"/>
    <w:qFormat/>
    <w:rsid w:val="004B7FAC"/>
    <w:rPr>
      <w:smallCaps/>
      <w:color w:val="5A5A5A" w:themeColor="text1" w:themeTint="A5"/>
      <w:lang w:val="en-GB"/>
    </w:rPr>
  </w:style>
  <w:style w:type="paragraph" w:styleId="TableofAuthorities">
    <w:name w:val="table of authorities"/>
    <w:basedOn w:val="Normal"/>
    <w:next w:val="Normal"/>
    <w:uiPriority w:val="99"/>
    <w:semiHidden/>
    <w:unhideWhenUsed/>
    <w:rsid w:val="004B7FAC"/>
    <w:pPr>
      <w:widowControl/>
      <w:suppressAutoHyphens/>
      <w:autoSpaceDE/>
      <w:autoSpaceDN/>
      <w:spacing w:line="240" w:lineRule="atLeast"/>
      <w:ind w:left="220" w:hanging="220"/>
    </w:pPr>
    <w:rPr>
      <w:sz w:val="20"/>
      <w:szCs w:val="20"/>
      <w:lang w:val="en-IE"/>
    </w:rPr>
  </w:style>
  <w:style w:type="paragraph" w:styleId="TableofFigures">
    <w:name w:val="table of figures"/>
    <w:basedOn w:val="Normal"/>
    <w:next w:val="Normal"/>
    <w:uiPriority w:val="99"/>
    <w:semiHidden/>
    <w:unhideWhenUsed/>
    <w:rsid w:val="004B7FAC"/>
    <w:pPr>
      <w:widowControl/>
      <w:suppressAutoHyphens/>
      <w:autoSpaceDE/>
      <w:autoSpaceDN/>
      <w:spacing w:line="240" w:lineRule="atLeast"/>
    </w:pPr>
    <w:rPr>
      <w:sz w:val="20"/>
      <w:szCs w:val="20"/>
      <w:lang w:val="en-IE"/>
    </w:rPr>
  </w:style>
  <w:style w:type="paragraph" w:styleId="Title">
    <w:name w:val="Title"/>
    <w:basedOn w:val="Normal"/>
    <w:next w:val="Normal"/>
    <w:link w:val="TitleChar"/>
    <w:uiPriority w:val="10"/>
    <w:qFormat/>
    <w:rsid w:val="004B7FAC"/>
    <w:pPr>
      <w:widowControl/>
      <w:suppressAutoHyphens/>
      <w:autoSpaceDE/>
      <w:autoSpaceDN/>
      <w:contextualSpacing/>
    </w:pPr>
    <w:rPr>
      <w:rFonts w:asciiTheme="majorHAnsi" w:eastAsiaTheme="majorEastAsia" w:hAnsiTheme="majorHAnsi" w:cstheme="majorBidi"/>
      <w:spacing w:val="-10"/>
      <w:kern w:val="28"/>
      <w:sz w:val="56"/>
      <w:szCs w:val="56"/>
      <w:lang w:val="en-IE"/>
    </w:rPr>
  </w:style>
  <w:style w:type="character" w:customStyle="1" w:styleId="TitleChar">
    <w:name w:val="Title Char"/>
    <w:basedOn w:val="DefaultParagraphFont"/>
    <w:link w:val="Title"/>
    <w:uiPriority w:val="10"/>
    <w:rsid w:val="004B7FAC"/>
    <w:rPr>
      <w:rFonts w:asciiTheme="majorHAnsi" w:eastAsiaTheme="majorEastAsia" w:hAnsiTheme="majorHAnsi" w:cstheme="majorBidi"/>
      <w:spacing w:val="-10"/>
      <w:kern w:val="28"/>
      <w:sz w:val="56"/>
      <w:szCs w:val="56"/>
      <w:lang w:val="en-IE"/>
    </w:rPr>
  </w:style>
  <w:style w:type="paragraph" w:styleId="TOAHeading">
    <w:name w:val="toa heading"/>
    <w:basedOn w:val="Normal"/>
    <w:next w:val="Normal"/>
    <w:uiPriority w:val="99"/>
    <w:semiHidden/>
    <w:unhideWhenUsed/>
    <w:rsid w:val="004B7FAC"/>
    <w:pPr>
      <w:widowControl/>
      <w:suppressAutoHyphens/>
      <w:autoSpaceDE/>
      <w:autoSpaceDN/>
      <w:spacing w:before="120" w:line="240" w:lineRule="atLeast"/>
    </w:pPr>
    <w:rPr>
      <w:rFonts w:asciiTheme="majorHAnsi" w:eastAsiaTheme="majorEastAsia" w:hAnsiTheme="majorHAnsi" w:cstheme="majorBidi"/>
      <w:b/>
      <w:bCs/>
      <w:sz w:val="24"/>
      <w:szCs w:val="24"/>
      <w:lang w:val="en-IE"/>
    </w:rPr>
  </w:style>
  <w:style w:type="paragraph" w:styleId="TOC1">
    <w:name w:val="toc 1"/>
    <w:basedOn w:val="Normal"/>
    <w:next w:val="Normal"/>
    <w:autoRedefine/>
    <w:uiPriority w:val="39"/>
    <w:semiHidden/>
    <w:unhideWhenUsed/>
    <w:rsid w:val="004B7FAC"/>
    <w:pPr>
      <w:widowControl/>
      <w:suppressAutoHyphens/>
      <w:autoSpaceDE/>
      <w:autoSpaceDN/>
      <w:spacing w:after="100" w:line="240" w:lineRule="atLeast"/>
    </w:pPr>
    <w:rPr>
      <w:sz w:val="20"/>
      <w:szCs w:val="20"/>
      <w:lang w:val="en-IE"/>
    </w:rPr>
  </w:style>
  <w:style w:type="paragraph" w:styleId="TOC2">
    <w:name w:val="toc 2"/>
    <w:basedOn w:val="Normal"/>
    <w:next w:val="Normal"/>
    <w:autoRedefine/>
    <w:uiPriority w:val="39"/>
    <w:semiHidden/>
    <w:unhideWhenUsed/>
    <w:rsid w:val="004B7FAC"/>
    <w:pPr>
      <w:widowControl/>
      <w:suppressAutoHyphens/>
      <w:autoSpaceDE/>
      <w:autoSpaceDN/>
      <w:spacing w:after="100" w:line="240" w:lineRule="atLeast"/>
      <w:ind w:left="220"/>
    </w:pPr>
    <w:rPr>
      <w:sz w:val="20"/>
      <w:szCs w:val="20"/>
      <w:lang w:val="en-IE"/>
    </w:rPr>
  </w:style>
  <w:style w:type="paragraph" w:styleId="TOC3">
    <w:name w:val="toc 3"/>
    <w:basedOn w:val="Normal"/>
    <w:next w:val="Normal"/>
    <w:autoRedefine/>
    <w:uiPriority w:val="39"/>
    <w:semiHidden/>
    <w:unhideWhenUsed/>
    <w:rsid w:val="004B7FAC"/>
    <w:pPr>
      <w:widowControl/>
      <w:suppressAutoHyphens/>
      <w:autoSpaceDE/>
      <w:autoSpaceDN/>
      <w:spacing w:after="100" w:line="240" w:lineRule="atLeast"/>
      <w:ind w:left="440"/>
    </w:pPr>
    <w:rPr>
      <w:sz w:val="20"/>
      <w:szCs w:val="20"/>
      <w:lang w:val="en-IE"/>
    </w:rPr>
  </w:style>
  <w:style w:type="paragraph" w:styleId="TOC4">
    <w:name w:val="toc 4"/>
    <w:basedOn w:val="Normal"/>
    <w:next w:val="Normal"/>
    <w:autoRedefine/>
    <w:uiPriority w:val="39"/>
    <w:semiHidden/>
    <w:unhideWhenUsed/>
    <w:rsid w:val="004B7FAC"/>
    <w:pPr>
      <w:widowControl/>
      <w:suppressAutoHyphens/>
      <w:autoSpaceDE/>
      <w:autoSpaceDN/>
      <w:spacing w:after="100" w:line="240" w:lineRule="atLeast"/>
      <w:ind w:left="660"/>
    </w:pPr>
    <w:rPr>
      <w:sz w:val="20"/>
      <w:szCs w:val="20"/>
      <w:lang w:val="en-IE"/>
    </w:rPr>
  </w:style>
  <w:style w:type="paragraph" w:styleId="TOC5">
    <w:name w:val="toc 5"/>
    <w:basedOn w:val="Normal"/>
    <w:next w:val="Normal"/>
    <w:autoRedefine/>
    <w:uiPriority w:val="39"/>
    <w:semiHidden/>
    <w:unhideWhenUsed/>
    <w:rsid w:val="004B7FAC"/>
    <w:pPr>
      <w:widowControl/>
      <w:suppressAutoHyphens/>
      <w:autoSpaceDE/>
      <w:autoSpaceDN/>
      <w:spacing w:after="100" w:line="240" w:lineRule="atLeast"/>
      <w:ind w:left="880"/>
    </w:pPr>
    <w:rPr>
      <w:sz w:val="20"/>
      <w:szCs w:val="20"/>
      <w:lang w:val="en-IE"/>
    </w:rPr>
  </w:style>
  <w:style w:type="paragraph" w:styleId="TOC6">
    <w:name w:val="toc 6"/>
    <w:basedOn w:val="Normal"/>
    <w:next w:val="Normal"/>
    <w:autoRedefine/>
    <w:uiPriority w:val="39"/>
    <w:semiHidden/>
    <w:unhideWhenUsed/>
    <w:rsid w:val="004B7FAC"/>
    <w:pPr>
      <w:widowControl/>
      <w:suppressAutoHyphens/>
      <w:autoSpaceDE/>
      <w:autoSpaceDN/>
      <w:spacing w:after="100" w:line="240" w:lineRule="atLeast"/>
      <w:ind w:left="1100"/>
    </w:pPr>
    <w:rPr>
      <w:sz w:val="20"/>
      <w:szCs w:val="20"/>
      <w:lang w:val="en-IE"/>
    </w:rPr>
  </w:style>
  <w:style w:type="paragraph" w:styleId="TOC7">
    <w:name w:val="toc 7"/>
    <w:basedOn w:val="Normal"/>
    <w:next w:val="Normal"/>
    <w:autoRedefine/>
    <w:uiPriority w:val="39"/>
    <w:semiHidden/>
    <w:unhideWhenUsed/>
    <w:rsid w:val="004B7FAC"/>
    <w:pPr>
      <w:widowControl/>
      <w:suppressAutoHyphens/>
      <w:autoSpaceDE/>
      <w:autoSpaceDN/>
      <w:spacing w:after="100" w:line="240" w:lineRule="atLeast"/>
      <w:ind w:left="1320"/>
    </w:pPr>
    <w:rPr>
      <w:sz w:val="20"/>
      <w:szCs w:val="20"/>
      <w:lang w:val="en-IE"/>
    </w:rPr>
  </w:style>
  <w:style w:type="paragraph" w:styleId="TOC8">
    <w:name w:val="toc 8"/>
    <w:basedOn w:val="Normal"/>
    <w:next w:val="Normal"/>
    <w:autoRedefine/>
    <w:uiPriority w:val="39"/>
    <w:semiHidden/>
    <w:unhideWhenUsed/>
    <w:rsid w:val="004B7FAC"/>
    <w:pPr>
      <w:widowControl/>
      <w:suppressAutoHyphens/>
      <w:autoSpaceDE/>
      <w:autoSpaceDN/>
      <w:spacing w:after="100" w:line="240" w:lineRule="atLeast"/>
      <w:ind w:left="1540"/>
    </w:pPr>
    <w:rPr>
      <w:sz w:val="20"/>
      <w:szCs w:val="20"/>
      <w:lang w:val="en-IE"/>
    </w:rPr>
  </w:style>
  <w:style w:type="paragraph" w:styleId="TOC9">
    <w:name w:val="toc 9"/>
    <w:basedOn w:val="Normal"/>
    <w:next w:val="Normal"/>
    <w:autoRedefine/>
    <w:uiPriority w:val="39"/>
    <w:semiHidden/>
    <w:unhideWhenUsed/>
    <w:rsid w:val="004B7FAC"/>
    <w:pPr>
      <w:widowControl/>
      <w:suppressAutoHyphens/>
      <w:autoSpaceDE/>
      <w:autoSpaceDN/>
      <w:spacing w:after="100" w:line="240" w:lineRule="atLeast"/>
      <w:ind w:left="1760"/>
    </w:pPr>
    <w:rPr>
      <w:sz w:val="20"/>
      <w:szCs w:val="20"/>
      <w:lang w:val="en-IE"/>
    </w:rPr>
  </w:style>
  <w:style w:type="paragraph" w:styleId="TOCHeading">
    <w:name w:val="TOC Heading"/>
    <w:basedOn w:val="Heading1"/>
    <w:next w:val="Normal"/>
    <w:uiPriority w:val="39"/>
    <w:semiHidden/>
    <w:unhideWhenUsed/>
    <w:qFormat/>
    <w:rsid w:val="004B7FAC"/>
    <w:pPr>
      <w:keepNext/>
      <w:keepLines/>
      <w:widowControl/>
      <w:suppressAutoHyphens/>
      <w:autoSpaceDE/>
      <w:autoSpaceDN/>
      <w:spacing w:before="240" w:line="240" w:lineRule="atLeast"/>
      <w:ind w:left="0" w:right="0"/>
      <w:jc w:val="left"/>
      <w:outlineLvl w:val="9"/>
    </w:pPr>
    <w:rPr>
      <w:rFonts w:asciiTheme="majorHAnsi" w:eastAsiaTheme="majorEastAsia" w:hAnsiTheme="majorHAnsi" w:cstheme="majorBidi"/>
      <w:b w:val="0"/>
      <w:bCs w:val="0"/>
      <w:color w:val="365F91" w:themeColor="accent1" w:themeShade="BF"/>
      <w:lang w:val="en-IE"/>
    </w:rPr>
  </w:style>
  <w:style w:type="paragraph" w:customStyle="1" w:styleId="SingleTxtG">
    <w:name w:val="_ Single Txt_G"/>
    <w:basedOn w:val="Normal"/>
    <w:link w:val="SingleTxtGChar"/>
    <w:qFormat/>
    <w:rsid w:val="004B7FAC"/>
    <w:pPr>
      <w:widowControl/>
      <w:suppressAutoHyphens/>
      <w:autoSpaceDE/>
      <w:autoSpaceDN/>
      <w:spacing w:after="120" w:line="240" w:lineRule="atLeast"/>
      <w:ind w:left="1134" w:right="1134"/>
      <w:jc w:val="both"/>
    </w:pPr>
    <w:rPr>
      <w:sz w:val="20"/>
      <w:szCs w:val="20"/>
      <w:lang w:val="en-IE"/>
    </w:rPr>
  </w:style>
  <w:style w:type="character" w:customStyle="1" w:styleId="SingleTxtGChar">
    <w:name w:val="_ Single Txt_G Char"/>
    <w:link w:val="SingleTxtG"/>
    <w:locked/>
    <w:rsid w:val="004B7FAC"/>
    <w:rPr>
      <w:rFonts w:ascii="Times New Roman" w:eastAsia="Times New Roman" w:hAnsi="Times New Roman" w:cs="Times New Roman"/>
      <w:sz w:val="20"/>
      <w:szCs w:val="20"/>
      <w:lang w:val="en-IE"/>
    </w:rPr>
  </w:style>
  <w:style w:type="table" w:styleId="TableGrid">
    <w:name w:val="Table Grid"/>
    <w:basedOn w:val="TableNormal"/>
    <w:uiPriority w:val="39"/>
    <w:rsid w:val="004B7FAC"/>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4B7FAC"/>
    <w:pPr>
      <w:widowControl/>
    </w:pPr>
    <w:rPr>
      <w:rFonts w:ascii="Verdana" w:eastAsiaTheme="minorHAnsi" w:hAnsi="Verdana" w:cs="Calibri"/>
      <w:color w:val="000000"/>
      <w:sz w:val="24"/>
      <w:szCs w:val="24"/>
      <w:lang w:val="en-IE" w:eastAsia="en-IE"/>
    </w:rPr>
  </w:style>
  <w:style w:type="paragraph" w:customStyle="1" w:styleId="FootnoteReferenceLVL6">
    <w:name w:val="Footnote Reference_LVL6"/>
    <w:aliases w:val="Footnote Reference_LVL61,Footnote Reference_LVL62,Footnote Reference_LVL63,Footnote Reference_LVL64,Odwo&lt;0142&gt;anie przypisu,SUPER,BVI fnr Char1 Char"/>
    <w:basedOn w:val="Normal"/>
    <w:next w:val="Normal"/>
    <w:link w:val="FootnoteReference"/>
    <w:rsid w:val="004B7FAC"/>
    <w:pPr>
      <w:widowControl/>
      <w:autoSpaceDE/>
      <w:autoSpaceDN/>
      <w:spacing w:after="160" w:line="240" w:lineRule="exact"/>
      <w:jc w:val="both"/>
    </w:pPr>
    <w:rPr>
      <w:rFonts w:asciiTheme="minorHAnsi" w:eastAsiaTheme="minorHAnsi" w:hAnsiTheme="minorHAnsi" w:cstheme="minorBidi"/>
      <w:vertAlign w:val="superscript"/>
    </w:rPr>
  </w:style>
  <w:style w:type="character" w:customStyle="1" w:styleId="normaltextrun">
    <w:name w:val="normaltextrun"/>
    <w:basedOn w:val="DefaultParagraphFont"/>
    <w:rsid w:val="004B7FAC"/>
  </w:style>
  <w:style w:type="character" w:customStyle="1" w:styleId="eop">
    <w:name w:val="eop"/>
    <w:basedOn w:val="DefaultParagraphFont"/>
    <w:rsid w:val="004B7FAC"/>
  </w:style>
  <w:style w:type="paragraph" w:customStyle="1" w:styleId="paragraph">
    <w:name w:val="paragraph"/>
    <w:basedOn w:val="Normal"/>
    <w:rsid w:val="004B7FAC"/>
    <w:pPr>
      <w:widowControl/>
      <w:autoSpaceDE/>
      <w:autoSpaceDN/>
      <w:spacing w:before="100" w:beforeAutospacing="1" w:after="100" w:afterAutospacing="1"/>
    </w:pPr>
    <w:rPr>
      <w:sz w:val="24"/>
      <w:szCs w:val="24"/>
    </w:rPr>
  </w:style>
  <w:style w:type="character" w:customStyle="1" w:styleId="superscript">
    <w:name w:val="superscript"/>
    <w:basedOn w:val="DefaultParagraphFont"/>
    <w:rsid w:val="004B7FAC"/>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locked/>
    <w:rsid w:val="004B7FAC"/>
    <w:rPr>
      <w:rFonts w:ascii="Times New Roman" w:eastAsia="Times New Roman" w:hAnsi="Times New Roman" w:cs="Times New Roman"/>
    </w:rPr>
  </w:style>
  <w:style w:type="paragraph" w:customStyle="1" w:styleId="Text2">
    <w:name w:val="Text 2"/>
    <w:basedOn w:val="Normal"/>
    <w:rsid w:val="004B7FAC"/>
    <w:pPr>
      <w:widowControl/>
      <w:autoSpaceDE/>
      <w:autoSpaceDN/>
      <w:spacing w:after="240"/>
      <w:ind w:left="1202"/>
      <w:jc w:val="both"/>
    </w:pPr>
    <w:rPr>
      <w:rFonts w:eastAsiaTheme="minorHAnsi"/>
      <w:sz w:val="24"/>
      <w:szCs w:val="24"/>
      <w:lang w:val="en-IE" w:eastAsia="en-GB"/>
    </w:rPr>
  </w:style>
  <w:style w:type="paragraph" w:customStyle="1" w:styleId="itemList">
    <w:name w:val="itemList"/>
    <w:basedOn w:val="Normal"/>
    <w:rsid w:val="004B7FAC"/>
    <w:pPr>
      <w:widowControl/>
      <w:autoSpaceDE/>
      <w:autoSpaceDN/>
      <w:spacing w:after="240"/>
      <w:ind w:left="425" w:hanging="425"/>
    </w:pPr>
    <w:rPr>
      <w:rFonts w:ascii="Arial" w:eastAsiaTheme="minorHAnsi" w:hAnsi="Arial" w:cs="Arial"/>
      <w:sz w:val="20"/>
      <w:szCs w:val="20"/>
      <w:lang w:eastAsia="en-GB"/>
    </w:rPr>
  </w:style>
  <w:style w:type="character" w:customStyle="1" w:styleId="history-val">
    <w:name w:val="history-val"/>
    <w:basedOn w:val="DefaultParagraphFont"/>
    <w:rsid w:val="004B7FAC"/>
  </w:style>
  <w:style w:type="paragraph" w:customStyle="1" w:styleId="Figuretitle">
    <w:name w:val="Figure title"/>
    <w:basedOn w:val="Normal"/>
    <w:rsid w:val="004B7FAC"/>
    <w:pPr>
      <w:keepNext/>
      <w:widowControl/>
      <w:autoSpaceDE/>
      <w:spacing w:before="240" w:after="120"/>
    </w:pPr>
    <w:rPr>
      <w:rFonts w:eastAsiaTheme="minorHAnsi"/>
      <w:b/>
      <w:bCs/>
      <w:color w:val="2E74B5"/>
      <w:lang w:val="en-IE" w:eastAsia="en-IE"/>
    </w:rPr>
  </w:style>
  <w:style w:type="paragraph" w:customStyle="1" w:styleId="Figuresummary">
    <w:name w:val="Figure summary"/>
    <w:basedOn w:val="Normal"/>
    <w:rsid w:val="004B7FAC"/>
    <w:pPr>
      <w:keepNext/>
      <w:widowControl/>
      <w:autoSpaceDE/>
      <w:spacing w:before="120" w:after="120"/>
      <w:jc w:val="center"/>
    </w:pPr>
    <w:rPr>
      <w:rFonts w:eastAsiaTheme="minorHAnsi"/>
      <w:b/>
      <w:bCs/>
      <w:i/>
      <w:iCs/>
      <w:color w:val="767171"/>
      <w:lang w:val="en-IE" w:eastAsia="en-IE"/>
    </w:rPr>
  </w:style>
  <w:style w:type="paragraph" w:customStyle="1" w:styleId="Notesandsources">
    <w:name w:val="Notes and sources"/>
    <w:basedOn w:val="Normal"/>
    <w:rsid w:val="004B7FAC"/>
    <w:pPr>
      <w:widowControl/>
      <w:autoSpaceDE/>
      <w:spacing w:before="60" w:after="160" w:line="276" w:lineRule="auto"/>
      <w:contextualSpacing/>
      <w:jc w:val="both"/>
    </w:pPr>
    <w:rPr>
      <w:rFonts w:eastAsiaTheme="minorHAnsi"/>
      <w:i/>
      <w:iCs/>
      <w:sz w:val="18"/>
      <w:szCs w:val="18"/>
      <w:lang w:val="en-IE" w:eastAsia="en-IE"/>
    </w:rPr>
  </w:style>
  <w:style w:type="paragraph" w:customStyle="1" w:styleId="HMG">
    <w:name w:val="_ H __M_G"/>
    <w:basedOn w:val="Normal"/>
    <w:next w:val="Normal"/>
    <w:qFormat/>
    <w:rsid w:val="004B7FAC"/>
    <w:pPr>
      <w:keepNext/>
      <w:keepLines/>
      <w:widowControl/>
      <w:tabs>
        <w:tab w:val="right" w:pos="851"/>
      </w:tabs>
      <w:suppressAutoHyphens/>
      <w:kinsoku w:val="0"/>
      <w:overflowPunct w:val="0"/>
      <w:adjustRightInd w:val="0"/>
      <w:snapToGrid w:val="0"/>
      <w:spacing w:before="240" w:after="240" w:line="360" w:lineRule="exact"/>
      <w:ind w:left="1134" w:right="1134" w:hanging="1134"/>
    </w:pPr>
    <w:rPr>
      <w:rFonts w:eastAsiaTheme="minorHAnsi"/>
      <w:b/>
      <w:sz w:val="34"/>
      <w:szCs w:val="20"/>
      <w:lang w:val="en-GB"/>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qFormat/>
    <w:rsid w:val="004B7FAC"/>
    <w:pPr>
      <w:widowControl/>
      <w:autoSpaceDE/>
      <w:autoSpaceDN/>
      <w:spacing w:before="60" w:after="160" w:line="240" w:lineRule="exact"/>
      <w:jc w:val="both"/>
    </w:pPr>
    <w:rPr>
      <w:sz w:val="24"/>
      <w:szCs w:val="20"/>
      <w:vertAlign w:val="superscript"/>
      <w:lang w:val="en-GB"/>
    </w:rPr>
  </w:style>
  <w:style w:type="paragraph" w:styleId="Revision">
    <w:name w:val="Revision"/>
    <w:hidden/>
    <w:uiPriority w:val="99"/>
    <w:semiHidden/>
    <w:rsid w:val="004B7FAC"/>
    <w:pPr>
      <w:widowControl/>
      <w:autoSpaceDE/>
      <w:autoSpaceDN/>
    </w:pPr>
    <w:rPr>
      <w:rFonts w:ascii="Times New Roman" w:eastAsia="Times New Roman" w:hAnsi="Times New Roman" w:cs="Times New Roman"/>
      <w:sz w:val="20"/>
      <w:szCs w:val="20"/>
      <w:lang w:val="en-IE"/>
    </w:rPr>
  </w:style>
  <w:style w:type="table" w:styleId="GridTable1Light">
    <w:name w:val="Grid Table 1 Light"/>
    <w:basedOn w:val="TableNormal"/>
    <w:uiPriority w:val="46"/>
    <w:rsid w:val="004B7FAC"/>
    <w:pPr>
      <w:widowControl/>
      <w:autoSpaceDE/>
      <w:autoSpaceDN/>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ListNumber2Level2">
    <w:name w:val="List Number 2 (Level 2)"/>
    <w:basedOn w:val="Text2"/>
    <w:rsid w:val="004B7FAC"/>
    <w:pPr>
      <w:tabs>
        <w:tab w:val="num" w:pos="2619"/>
      </w:tabs>
      <w:spacing w:after="0"/>
      <w:ind w:left="2619" w:hanging="708"/>
    </w:pPr>
    <w:rPr>
      <w:rFonts w:ascii="Arial" w:eastAsia="Times New Roman" w:hAnsi="Arial"/>
      <w:szCs w:val="20"/>
      <w:lang w:val="fr-FR" w:eastAsia="en-US"/>
    </w:rPr>
  </w:style>
  <w:style w:type="paragraph" w:customStyle="1" w:styleId="ListNumber2Level3">
    <w:name w:val="List Number 2 (Level 3)"/>
    <w:basedOn w:val="Text2"/>
    <w:rsid w:val="004B7FAC"/>
    <w:pPr>
      <w:tabs>
        <w:tab w:val="num" w:pos="3328"/>
      </w:tabs>
      <w:spacing w:after="0"/>
      <w:ind w:left="3328" w:hanging="709"/>
    </w:pPr>
    <w:rPr>
      <w:rFonts w:ascii="Arial" w:eastAsia="Times New Roman" w:hAnsi="Arial"/>
      <w:szCs w:val="20"/>
      <w:lang w:val="fr-FR" w:eastAsia="en-US"/>
    </w:rPr>
  </w:style>
  <w:style w:type="paragraph" w:customStyle="1" w:styleId="ListNumber2Level4">
    <w:name w:val="List Number 2 (Level 4)"/>
    <w:basedOn w:val="Text2"/>
    <w:rsid w:val="004B7FAC"/>
    <w:pPr>
      <w:tabs>
        <w:tab w:val="num" w:pos="4037"/>
      </w:tabs>
      <w:spacing w:after="0"/>
      <w:ind w:left="4037" w:hanging="709"/>
    </w:pPr>
    <w:rPr>
      <w:rFonts w:ascii="Arial" w:eastAsia="Times New Roman" w:hAnsi="Arial"/>
      <w:szCs w:val="20"/>
      <w:lang w:val="fr-FR" w:eastAsia="en-US"/>
    </w:rPr>
  </w:style>
  <w:style w:type="table" w:customStyle="1" w:styleId="TableGrid1">
    <w:name w:val="Table Grid1"/>
    <w:basedOn w:val="TableNormal"/>
    <w:next w:val="TableGrid"/>
    <w:uiPriority w:val="59"/>
    <w:rsid w:val="004B7FAC"/>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ckcovercategory">
    <w:name w:val="Backcover_category"/>
    <w:basedOn w:val="Normal"/>
    <w:link w:val="BackcovercategoryChar"/>
    <w:qFormat/>
    <w:rsid w:val="004B7FAC"/>
    <w:pPr>
      <w:widowControl/>
      <w:autoSpaceDE/>
      <w:autoSpaceDN/>
      <w:ind w:right="28"/>
      <w:jc w:val="both"/>
    </w:pPr>
    <w:rPr>
      <w:rFonts w:ascii="Verdana" w:hAnsi="Verdana"/>
      <w:i/>
      <w:color w:val="FF0000"/>
      <w:sz w:val="18"/>
      <w:szCs w:val="20"/>
      <w:lang w:val="en-GB"/>
    </w:rPr>
  </w:style>
  <w:style w:type="character" w:customStyle="1" w:styleId="BackcovercategoryChar">
    <w:name w:val="Backcover_category Char"/>
    <w:basedOn w:val="DefaultParagraphFont"/>
    <w:link w:val="Backcovercategory"/>
    <w:rsid w:val="004B7FAC"/>
    <w:rPr>
      <w:rFonts w:ascii="Verdana" w:eastAsia="Times New Roman" w:hAnsi="Verdana" w:cs="Times New Roman"/>
      <w:i/>
      <w:color w:val="FF0000"/>
      <w:sz w:val="18"/>
      <w:szCs w:val="20"/>
      <w:lang w:val="en-GB"/>
    </w:rPr>
  </w:style>
  <w:style w:type="numbering" w:customStyle="1" w:styleId="Style2">
    <w:name w:val="Style2"/>
    <w:basedOn w:val="NoList"/>
    <w:rsid w:val="004B7FAC"/>
    <w:pPr>
      <w:numPr>
        <w:numId w:val="14"/>
      </w:numPr>
    </w:pPr>
  </w:style>
  <w:style w:type="paragraph" w:customStyle="1" w:styleId="Editorname">
    <w:name w:val="Editor name"/>
    <w:basedOn w:val="Normal"/>
    <w:link w:val="EditornameChar"/>
    <w:qFormat/>
    <w:rsid w:val="004B7FAC"/>
    <w:pPr>
      <w:widowControl/>
      <w:autoSpaceDE/>
      <w:autoSpaceDN/>
      <w:jc w:val="center"/>
    </w:pPr>
    <w:rPr>
      <w:rFonts w:ascii="Verdana" w:hAnsi="Verdana"/>
      <w:color w:val="FF0000"/>
      <w:sz w:val="24"/>
      <w:szCs w:val="20"/>
      <w:lang w:val="en-GB"/>
    </w:rPr>
  </w:style>
  <w:style w:type="character" w:customStyle="1" w:styleId="EditornameChar">
    <w:name w:val="Editor name Char"/>
    <w:basedOn w:val="DefaultParagraphFont"/>
    <w:link w:val="Editorname"/>
    <w:rsid w:val="004B7FAC"/>
    <w:rPr>
      <w:rFonts w:ascii="Verdana" w:eastAsia="Times New Roman" w:hAnsi="Verdana" w:cs="Times New Roman"/>
      <w:color w:val="FF0000"/>
      <w:sz w:val="24"/>
      <w:szCs w:val="20"/>
      <w:lang w:val="en-GB"/>
    </w:rPr>
  </w:style>
  <w:style w:type="paragraph" w:customStyle="1" w:styleId="NumPar3">
    <w:name w:val="NumPar 3"/>
    <w:basedOn w:val="Heading3"/>
    <w:next w:val="Normal"/>
    <w:rsid w:val="004B7FAC"/>
    <w:pPr>
      <w:widowControl/>
      <w:numPr>
        <w:ilvl w:val="2"/>
        <w:numId w:val="13"/>
      </w:numPr>
      <w:autoSpaceDE/>
      <w:autoSpaceDN/>
      <w:jc w:val="both"/>
      <w:outlineLvl w:val="9"/>
    </w:pPr>
    <w:rPr>
      <w:rFonts w:ascii="Arial" w:hAnsi="Arial"/>
      <w:bCs w:val="0"/>
      <w:i/>
      <w:szCs w:val="20"/>
      <w:lang w:val="en-GB"/>
    </w:rPr>
  </w:style>
  <w:style w:type="paragraph" w:customStyle="1" w:styleId="OPPreliminarypage-text-nospace">
    <w:name w:val="OP_Preliminary page - text - no space"/>
    <w:basedOn w:val="Normal"/>
    <w:rsid w:val="004B7FAC"/>
    <w:pPr>
      <w:widowControl/>
      <w:autoSpaceDE/>
      <w:autoSpaceDN/>
      <w:spacing w:line="220" w:lineRule="exact"/>
      <w:jc w:val="both"/>
    </w:pPr>
    <w:rPr>
      <w:rFonts w:ascii="Arial" w:hAnsi="Arial" w:cs="Arial"/>
      <w:sz w:val="18"/>
      <w:szCs w:val="24"/>
      <w:lang w:val="en-GB" w:eastAsia="en-GB"/>
    </w:rPr>
  </w:style>
  <w:style w:type="paragraph" w:customStyle="1" w:styleId="Datasource">
    <w:name w:val="Data source"/>
    <w:basedOn w:val="Normal"/>
    <w:rsid w:val="004B7FAC"/>
    <w:pPr>
      <w:widowControl/>
      <w:autoSpaceDE/>
      <w:autoSpaceDN/>
      <w:ind w:left="426" w:hanging="426"/>
      <w:jc w:val="both"/>
    </w:pPr>
    <w:rPr>
      <w:rFonts w:ascii="Arial" w:hAnsi="Arial"/>
      <w:bCs/>
      <w:sz w:val="20"/>
      <w:szCs w:val="20"/>
      <w:lang w:val="en-GB"/>
    </w:rPr>
  </w:style>
  <w:style w:type="table" w:customStyle="1" w:styleId="Grilledutableau4">
    <w:name w:val="Grille du tableau4"/>
    <w:basedOn w:val="TableNormal"/>
    <w:next w:val="TableGrid"/>
    <w:uiPriority w:val="39"/>
    <w:rsid w:val="004B7FAC"/>
    <w:pPr>
      <w:widowControl/>
      <w:autoSpaceDE/>
      <w:autoSpaceDN/>
    </w:pPr>
    <w:rPr>
      <w:rFonts w:ascii="Calibri" w:eastAsia="Calibri" w:hAnsi="Calibri" w:cs="Times New Roman"/>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r">
    <w:name w:val="Marker"/>
    <w:basedOn w:val="DefaultParagraphFont"/>
    <w:rsid w:val="004B7FAC"/>
    <w:rPr>
      <w:color w:val="0000FF"/>
      <w:shd w:val="clear" w:color="auto" w:fill="auto"/>
    </w:rPr>
  </w:style>
  <w:style w:type="paragraph" w:customStyle="1" w:styleId="Pagedecouverture">
    <w:name w:val="Page de couverture"/>
    <w:basedOn w:val="Normal"/>
    <w:next w:val="Normal"/>
    <w:rsid w:val="004B7FAC"/>
    <w:pPr>
      <w:widowControl/>
      <w:autoSpaceDE/>
      <w:autoSpaceDN/>
      <w:jc w:val="both"/>
    </w:pPr>
    <w:rPr>
      <w:rFonts w:eastAsiaTheme="minorHAnsi"/>
      <w:sz w:val="24"/>
      <w:lang w:val="en-IE"/>
    </w:rPr>
  </w:style>
  <w:style w:type="paragraph" w:customStyle="1" w:styleId="FooterCoverPage">
    <w:name w:val="Footer Cover Page"/>
    <w:basedOn w:val="Normal"/>
    <w:link w:val="FooterCoverPageChar"/>
    <w:rsid w:val="004B7FAC"/>
    <w:pPr>
      <w:widowControl/>
      <w:tabs>
        <w:tab w:val="center" w:pos="4535"/>
        <w:tab w:val="right" w:pos="9071"/>
        <w:tab w:val="right" w:pos="9921"/>
      </w:tabs>
      <w:suppressAutoHyphens/>
      <w:autoSpaceDE/>
      <w:autoSpaceDN/>
      <w:spacing w:before="360"/>
      <w:ind w:left="-850" w:right="-850"/>
    </w:pPr>
    <w:rPr>
      <w:sz w:val="24"/>
      <w:szCs w:val="20"/>
      <w:lang w:val="en-IE"/>
    </w:rPr>
  </w:style>
  <w:style w:type="character" w:customStyle="1" w:styleId="FooterCoverPageChar">
    <w:name w:val="Footer Cover Page Char"/>
    <w:basedOn w:val="DefaultParagraphFont"/>
    <w:link w:val="FooterCoverPage"/>
    <w:rsid w:val="004B7FAC"/>
    <w:rPr>
      <w:rFonts w:ascii="Times New Roman" w:eastAsia="Times New Roman" w:hAnsi="Times New Roman" w:cs="Times New Roman"/>
      <w:sz w:val="24"/>
      <w:szCs w:val="20"/>
      <w:lang w:val="en-IE"/>
    </w:rPr>
  </w:style>
  <w:style w:type="paragraph" w:customStyle="1" w:styleId="FooterSensitivity">
    <w:name w:val="Footer Sensitivity"/>
    <w:basedOn w:val="Normal"/>
    <w:link w:val="FooterSensitivityChar"/>
    <w:rsid w:val="004B7FAC"/>
    <w:pPr>
      <w:widowControl/>
      <w:pBdr>
        <w:top w:val="single" w:sz="4" w:space="1" w:color="auto"/>
        <w:left w:val="single" w:sz="4" w:space="4" w:color="auto"/>
        <w:bottom w:val="single" w:sz="4" w:space="1" w:color="auto"/>
        <w:right w:val="single" w:sz="4" w:space="4" w:color="auto"/>
      </w:pBdr>
      <w:suppressAutoHyphens/>
      <w:autoSpaceDE/>
      <w:autoSpaceDN/>
      <w:spacing w:before="360"/>
      <w:ind w:left="113" w:right="113"/>
      <w:jc w:val="center"/>
    </w:pPr>
    <w:rPr>
      <w:b/>
      <w:sz w:val="32"/>
      <w:szCs w:val="20"/>
      <w:lang w:val="en-IE"/>
    </w:rPr>
  </w:style>
  <w:style w:type="character" w:customStyle="1" w:styleId="FooterSensitivityChar">
    <w:name w:val="Footer Sensitivity Char"/>
    <w:basedOn w:val="DefaultParagraphFont"/>
    <w:link w:val="FooterSensitivity"/>
    <w:rsid w:val="004B7FAC"/>
    <w:rPr>
      <w:rFonts w:ascii="Times New Roman" w:eastAsia="Times New Roman" w:hAnsi="Times New Roman" w:cs="Times New Roman"/>
      <w:b/>
      <w:sz w:val="32"/>
      <w:szCs w:val="20"/>
      <w:lang w:val="en-IE"/>
    </w:rPr>
  </w:style>
  <w:style w:type="paragraph" w:customStyle="1" w:styleId="HeaderCoverPage">
    <w:name w:val="Header Cover Page"/>
    <w:basedOn w:val="Normal"/>
    <w:link w:val="HeaderCoverPageChar"/>
    <w:rsid w:val="004B7FAC"/>
    <w:pPr>
      <w:widowControl/>
      <w:tabs>
        <w:tab w:val="center" w:pos="4535"/>
        <w:tab w:val="right" w:pos="9071"/>
      </w:tabs>
      <w:suppressAutoHyphens/>
      <w:autoSpaceDE/>
      <w:autoSpaceDN/>
      <w:spacing w:after="120"/>
      <w:jc w:val="both"/>
    </w:pPr>
    <w:rPr>
      <w:sz w:val="24"/>
      <w:szCs w:val="20"/>
      <w:lang w:val="en-IE"/>
    </w:rPr>
  </w:style>
  <w:style w:type="character" w:customStyle="1" w:styleId="HeaderCoverPageChar">
    <w:name w:val="Header Cover Page Char"/>
    <w:basedOn w:val="DefaultParagraphFont"/>
    <w:link w:val="HeaderCoverPage"/>
    <w:rsid w:val="004B7FAC"/>
    <w:rPr>
      <w:rFonts w:ascii="Times New Roman" w:eastAsia="Times New Roman" w:hAnsi="Times New Roman" w:cs="Times New Roman"/>
      <w:sz w:val="24"/>
      <w:szCs w:val="20"/>
      <w:lang w:val="en-IE"/>
    </w:rPr>
  </w:style>
  <w:style w:type="paragraph" w:customStyle="1" w:styleId="HeaderSensitivity">
    <w:name w:val="Header Sensitivity"/>
    <w:basedOn w:val="Normal"/>
    <w:link w:val="HeaderSensitivityChar"/>
    <w:rsid w:val="004B7FAC"/>
    <w:pPr>
      <w:widowControl/>
      <w:pBdr>
        <w:top w:val="single" w:sz="4" w:space="1" w:color="auto"/>
        <w:left w:val="single" w:sz="4" w:space="4" w:color="auto"/>
        <w:bottom w:val="single" w:sz="4" w:space="1" w:color="auto"/>
        <w:right w:val="single" w:sz="4" w:space="4" w:color="auto"/>
      </w:pBdr>
      <w:suppressAutoHyphens/>
      <w:autoSpaceDE/>
      <w:autoSpaceDN/>
      <w:spacing w:after="120"/>
      <w:ind w:left="113" w:right="113"/>
      <w:jc w:val="center"/>
    </w:pPr>
    <w:rPr>
      <w:b/>
      <w:sz w:val="32"/>
      <w:szCs w:val="20"/>
      <w:lang w:val="en-IE"/>
    </w:rPr>
  </w:style>
  <w:style w:type="character" w:customStyle="1" w:styleId="HeaderSensitivityChar">
    <w:name w:val="Header Sensitivity Char"/>
    <w:basedOn w:val="DefaultParagraphFont"/>
    <w:link w:val="HeaderSensitivity"/>
    <w:rsid w:val="004B7FAC"/>
    <w:rPr>
      <w:rFonts w:ascii="Times New Roman" w:eastAsia="Times New Roman" w:hAnsi="Times New Roman" w:cs="Times New Roman"/>
      <w:b/>
      <w:sz w:val="32"/>
      <w:szCs w:val="20"/>
      <w:lang w:val="en-IE"/>
    </w:rPr>
  </w:style>
  <w:style w:type="paragraph" w:customStyle="1" w:styleId="HeaderSensitivityRight">
    <w:name w:val="Header Sensitivity Right"/>
    <w:basedOn w:val="Normal"/>
    <w:link w:val="HeaderSensitivityRightChar"/>
    <w:rsid w:val="004B7FAC"/>
    <w:pPr>
      <w:widowControl/>
      <w:suppressAutoHyphens/>
      <w:autoSpaceDE/>
      <w:autoSpaceDN/>
      <w:spacing w:after="120"/>
      <w:jc w:val="right"/>
    </w:pPr>
    <w:rPr>
      <w:sz w:val="28"/>
      <w:szCs w:val="20"/>
      <w:lang w:val="en-IE"/>
    </w:rPr>
  </w:style>
  <w:style w:type="character" w:customStyle="1" w:styleId="HeaderSensitivityRightChar">
    <w:name w:val="Header Sensitivity Right Char"/>
    <w:basedOn w:val="DefaultParagraphFont"/>
    <w:link w:val="HeaderSensitivityRight"/>
    <w:rsid w:val="004B7FAC"/>
    <w:rPr>
      <w:rFonts w:ascii="Times New Roman" w:eastAsia="Times New Roman" w:hAnsi="Times New Roman" w:cs="Times New Roman"/>
      <w:sz w:val="28"/>
      <w:szCs w:val="20"/>
      <w:lang w:val="en-IE"/>
    </w:rPr>
  </w:style>
  <w:style w:type="character" w:customStyle="1" w:styleId="UnresolvedMention1">
    <w:name w:val="Unresolved Mention1"/>
    <w:basedOn w:val="DefaultParagraphFont"/>
    <w:uiPriority w:val="99"/>
    <w:semiHidden/>
    <w:unhideWhenUsed/>
    <w:rsid w:val="004B7FAC"/>
    <w:rPr>
      <w:color w:val="605E5C"/>
      <w:shd w:val="clear" w:color="auto" w:fill="E1DFDD"/>
    </w:rPr>
  </w:style>
  <w:style w:type="paragraph" w:customStyle="1" w:styleId="title-bold">
    <w:name w:val="title-bold"/>
    <w:basedOn w:val="Normal"/>
    <w:uiPriority w:val="99"/>
    <w:semiHidden/>
    <w:rsid w:val="004B7FAC"/>
    <w:pPr>
      <w:widowControl/>
      <w:autoSpaceDE/>
      <w:autoSpaceDN/>
      <w:spacing w:before="100" w:beforeAutospacing="1" w:after="100" w:afterAutospacing="1"/>
    </w:pPr>
    <w:rPr>
      <w:rFonts w:ascii="Calibri" w:hAnsi="Calibri" w:cs="Calibri"/>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civil-protection-knowledge-network.europa.eu/projects/see-me" TargetMode="External"/><Relationship Id="rId21" Type="http://schemas.openxmlformats.org/officeDocument/2006/relationships/hyperlink" Target="https://www.europarl.europa.eu/doceo/document/TA-9-2021-0075_EN.html" TargetMode="External"/><Relationship Id="rId63" Type="http://schemas.openxmlformats.org/officeDocument/2006/relationships/hyperlink" Target="https://eur-lex.europa.eu/legal-content/EN/TXT/?qid=1580904011697&amp;uri=CELEX:32019R2242" TargetMode="External"/><Relationship Id="rId159" Type="http://schemas.openxmlformats.org/officeDocument/2006/relationships/hyperlink" Target="https://eur-lex.europa.eu/legal-content/EN/TXT/?uri=CELEX%3A32021R0782" TargetMode="External"/><Relationship Id="rId170" Type="http://schemas.openxmlformats.org/officeDocument/2006/relationships/hyperlink" Target="https://eur-lex.europa.eu/legal-content/EN/TXT/?uri=CELEX%3A32004R0261&amp;qid=1678097071671" TargetMode="External"/><Relationship Id="rId226" Type="http://schemas.openxmlformats.org/officeDocument/2006/relationships/hyperlink" Target="https://ec.europa.eu/info/funding-tenders/opportunities/docs/2021-2027/horizon/wp-call/2023-2024/wp-5-culture-creativity-and-inclusive-society_horizon-2023-2024_en.pdf" TargetMode="External"/><Relationship Id="rId268" Type="http://schemas.openxmlformats.org/officeDocument/2006/relationships/hyperlink" Target="https://fra.europa.eu/en/about-fra/what-we-do/annual-work-programme" TargetMode="External"/><Relationship Id="rId11" Type="http://schemas.openxmlformats.org/officeDocument/2006/relationships/footer" Target="footer2.xml"/><Relationship Id="rId32" Type="http://schemas.openxmlformats.org/officeDocument/2006/relationships/hyperlink" Target="https://culture.ec.europa.eu/creative-europe" TargetMode="External"/><Relationship Id="rId53" Type="http://schemas.openxmlformats.org/officeDocument/2006/relationships/hyperlink" Target="https://eur-lex.europa.eu/legal-content/EN/TXT/?qid=1421925131614&amp;uri=CELEX:32012L0029" TargetMode="External"/><Relationship Id="rId74" Type="http://schemas.openxmlformats.org/officeDocument/2006/relationships/hyperlink" Target="https://www.schooleducationgateway.eu/en/pub/resources/toolkitsforschools.htm" TargetMode="External"/><Relationship Id="rId128" Type="http://schemas.openxmlformats.org/officeDocument/2006/relationships/hyperlink" Target="https://commission.europa.eu/strategy-and-policy/policies/justice-and-fundamental-rights/upholding-rule-law/eu-justice-scoreboard_en" TargetMode="External"/><Relationship Id="rId149" Type="http://schemas.openxmlformats.org/officeDocument/2006/relationships/hyperlink" Target="https://eur-lex.europa.eu/LexUriServ/LexUriServ.do?uri=CONSLEG:2004R0883:20130108:EN:HTML" TargetMode="External"/><Relationship Id="rId5" Type="http://schemas.openxmlformats.org/officeDocument/2006/relationships/webSettings" Target="webSettings.xml"/><Relationship Id="rId95" Type="http://schemas.openxmlformats.org/officeDocument/2006/relationships/hyperlink" Target="https://eur-lex.europa.eu/legal-content/EN/ALL/?uri=CELEX%3A32002R0733" TargetMode="External"/><Relationship Id="rId160" Type="http://schemas.openxmlformats.org/officeDocument/2006/relationships/hyperlink" Target="https://eur-lex.europa.eu/legal-content/EN/ALL/?uri=CELEX:32010R1177" TargetMode="External"/><Relationship Id="rId181" Type="http://schemas.openxmlformats.org/officeDocument/2006/relationships/hyperlink" Target="https://digital-strategy.ec.europa.eu/en/library/european-declaration-digital-rights-and-principles" TargetMode="External"/><Relationship Id="rId216" Type="http://schemas.openxmlformats.org/officeDocument/2006/relationships/hyperlink" Target="https://www.consilium.europa.eu/en/general-secretariat/jobs/traineeships/positive-action-programme-for-trainees-with-a-disability/" TargetMode="External"/><Relationship Id="rId237" Type="http://schemas.openxmlformats.org/officeDocument/2006/relationships/hyperlink" Target="https://digital-strategy.ec.europa.eu/en/library/report-availability-copyright-protected-works-persons-disabilities" TargetMode="External"/><Relationship Id="rId258" Type="http://schemas.openxmlformats.org/officeDocument/2006/relationships/hyperlink" Target="https://neighbourhood-enlargement.ec.europa.eu/funding-and-technical-assistance/taiex_en" TargetMode="External"/><Relationship Id="rId22" Type="http://schemas.openxmlformats.org/officeDocument/2006/relationships/hyperlink" Target="https://www.europarl.europa.eu/doceo/document/TA-9-2021-0414_EN.html" TargetMode="External"/><Relationship Id="rId43" Type="http://schemas.openxmlformats.org/officeDocument/2006/relationships/hyperlink" Target="https://eur-lex.europa.eu/eli/reg/2021/1529" TargetMode="External"/><Relationship Id="rId64" Type="http://schemas.openxmlformats.org/officeDocument/2006/relationships/hyperlink" Target="https://ec.europa.eu/social/main.jsp?catId=1428&amp;langId=en" TargetMode="External"/><Relationship Id="rId118" Type="http://schemas.openxmlformats.org/officeDocument/2006/relationships/hyperlink" Target="https://www.unhcr.org/ua/en/clusters" TargetMode="External"/><Relationship Id="rId139" Type="http://schemas.openxmlformats.org/officeDocument/2006/relationships/hyperlink" Target="https://data.consilium.europa.eu/doc/document/ST-6337-2019-INIT/en/pdf" TargetMode="External"/><Relationship Id="rId85" Type="http://schemas.openxmlformats.org/officeDocument/2006/relationships/hyperlink" Target="https://op.europa.eu/en/publication-detail/-/publication/2a0f1ad4-81c9-11e4-89f7-01aa75ed71a1" TargetMode="External"/><Relationship Id="rId150" Type="http://schemas.openxmlformats.org/officeDocument/2006/relationships/hyperlink" Target="https://op.europa.eu/en/publication-detail/-/publication/4adbe538-0a02-11ec-b5d3-01aa75ed71a1/language-en" TargetMode="External"/><Relationship Id="rId171" Type="http://schemas.openxmlformats.org/officeDocument/2006/relationships/hyperlink" Target="https://eur-lex.europa.eu/legal-content/EN/TXT/?uri=CELEX%3A32007R1371&amp;qid=1678097163715" TargetMode="External"/><Relationship Id="rId192" Type="http://schemas.openxmlformats.org/officeDocument/2006/relationships/hyperlink" Target="https://commission.europa.eu/publications/eu-mutual-learning-programme-gender-equality-sexual-and-reproductive-health-and-rights-seminar_en" TargetMode="External"/><Relationship Id="rId206" Type="http://schemas.openxmlformats.org/officeDocument/2006/relationships/hyperlink" Target="https://data.consilium.europa.eu/doc/document/ST-8944-2022-INIT/en/pdf" TargetMode="External"/><Relationship Id="rId227" Type="http://schemas.openxmlformats.org/officeDocument/2006/relationships/hyperlink" Target="https://ec.europa.eu/info/funding-tenders/opportunities/docs/2021-2027/horizon/wp-call/2023-2024/wp-8-climate-energy-and-mobility_horizon-2023-2024_en.pdf" TargetMode="External"/><Relationship Id="rId248" Type="http://schemas.openxmlformats.org/officeDocument/2006/relationships/hyperlink" Target="https://bridgingthegap-project.eu/" TargetMode="External"/><Relationship Id="rId269" Type="http://schemas.openxmlformats.org/officeDocument/2006/relationships/header" Target="header7.xml"/><Relationship Id="rId12" Type="http://schemas.openxmlformats.org/officeDocument/2006/relationships/header" Target="header3.xml"/><Relationship Id="rId33" Type="http://schemas.openxmlformats.org/officeDocument/2006/relationships/hyperlink" Target="https://eur-lex.europa.eu/legal-content/EN/TXT/PDF/?uri=CELEX:32021R0695&amp;from=EN" TargetMode="External"/><Relationship Id="rId108" Type="http://schemas.openxmlformats.org/officeDocument/2006/relationships/hyperlink" Target="https://eur-lex.europa.eu/legal-content/EN/TXT/?uri=CELEX:52021DC0082" TargetMode="External"/><Relationship Id="rId129" Type="http://schemas.openxmlformats.org/officeDocument/2006/relationships/hyperlink" Target="https://commission.europa.eu/strategy-and-policy/policies/justice-and-fundamental-rights/criminal-justice/rights-suspects-and-accused_en" TargetMode="External"/><Relationship Id="rId54" Type="http://schemas.openxmlformats.org/officeDocument/2006/relationships/hyperlink" Target="https://eur-lex.europa.eu/legal-content/FR/TXT/?uri=SWD:2022:179:FIN" TargetMode="External"/><Relationship Id="rId75" Type="http://schemas.openxmlformats.org/officeDocument/2006/relationships/hyperlink" Target="https://op.europa.eu/en/publication-detail/-/publication/4c526047-6f3c-11eb-aeb5-01aa75ed71a1" TargetMode="External"/><Relationship Id="rId96" Type="http://schemas.openxmlformats.org/officeDocument/2006/relationships/hyperlink" Target="https://wikis.ec.europa.eu/display/WEBGUIDE/01.+Data+Protection" TargetMode="External"/><Relationship Id="rId140" Type="http://schemas.openxmlformats.org/officeDocument/2006/relationships/hyperlink" Target="https://www.eeas.europa.eu/sites/default/files/05_hr_guidelines_punishment_en.pdf" TargetMode="External"/><Relationship Id="rId161" Type="http://schemas.openxmlformats.org/officeDocument/2006/relationships/hyperlink" Target="https://eur-lex.europa.eu/legal-content/EN/ALL/?uri=CELEX%3A32011R0181" TargetMode="External"/><Relationship Id="rId182" Type="http://schemas.openxmlformats.org/officeDocument/2006/relationships/hyperlink" Target="https://ec.europa.eu/commission/presscorner/detail/en/ip_22_5169" TargetMode="External"/><Relationship Id="rId217" Type="http://schemas.openxmlformats.org/officeDocument/2006/relationships/hyperlink" Target="https://www.europarl.europa.eu/news/en/press-room/20211126IPR18210/diversity-parliament-sets-milestones-towards-a-more-inclusive-administration" TargetMode="External"/><Relationship Id="rId6" Type="http://schemas.openxmlformats.org/officeDocument/2006/relationships/footnotes" Target="footnotes.xml"/><Relationship Id="rId238" Type="http://schemas.openxmlformats.org/officeDocument/2006/relationships/hyperlink" Target="https://www.britishcouncil.de/en/programmes/europe-beyond-access" TargetMode="External"/><Relationship Id="rId259" Type="http://schemas.openxmlformats.org/officeDocument/2006/relationships/hyperlink" Target="http://socieux.eu/" TargetMode="External"/><Relationship Id="rId23" Type="http://schemas.openxmlformats.org/officeDocument/2006/relationships/hyperlink" Target="https://www.europarl.europa.eu/doceo/document/TA-9-2022-0435_EN.pdf" TargetMode="External"/><Relationship Id="rId119" Type="http://schemas.openxmlformats.org/officeDocument/2006/relationships/hyperlink" Target="https://ec.europa.eu/social/main.jsp?catId=1532&amp;langId=en" TargetMode="External"/><Relationship Id="rId270" Type="http://schemas.openxmlformats.org/officeDocument/2006/relationships/footer" Target="footer8.xml"/><Relationship Id="rId44" Type="http://schemas.openxmlformats.org/officeDocument/2006/relationships/hyperlink" Target="https://commission.europa.eu/strategy-and-policy/eu-budget/performance-and-reporting/programme-performance-overview/instrument-pre-accession-assistance-ipa-iii-performance_en" TargetMode="External"/><Relationship Id="rId65" Type="http://schemas.openxmlformats.org/officeDocument/2006/relationships/hyperlink" Target="https://commission.europa.eu/events/14th-european-forum-rights-child-bring-children-centre-empowering-protecting-and-including-children-2022-09-27_en" TargetMode="External"/><Relationship Id="rId86" Type="http://schemas.openxmlformats.org/officeDocument/2006/relationships/hyperlink" Target="https://ec.europa.eu/growth/tools-databases/enorm/mandate/587_en" TargetMode="External"/><Relationship Id="rId130" Type="http://schemas.openxmlformats.org/officeDocument/2006/relationships/hyperlink" Target="https://commission.europa.eu/system/files/2019-06/factsheet_procedural_rights_package_en.pdf" TargetMode="External"/><Relationship Id="rId151" Type="http://schemas.openxmlformats.org/officeDocument/2006/relationships/hyperlink" Target="https://commission.europa.eu/publications/new-eu-roma-strategic-framework-equality-inclusion-and-participation-full-package_en" TargetMode="External"/><Relationship Id="rId172" Type="http://schemas.openxmlformats.org/officeDocument/2006/relationships/hyperlink" Target="https://eur-lex.europa.eu/legal-content/EN/TXT/?uri=CELEX%3A32010R1177&amp;qid=1678097387052" TargetMode="External"/><Relationship Id="rId193" Type="http://schemas.openxmlformats.org/officeDocument/2006/relationships/hyperlink" Target="https://commission.europa.eu/funding-tenders/find-funding/eu-funding-programmes/citizens-equality-rights-and-values-programme_en" TargetMode="External"/><Relationship Id="rId207" Type="http://schemas.openxmlformats.org/officeDocument/2006/relationships/hyperlink" Target="https://data.consilium.europa.eu/doc/document/ST-9237-2022-INIT/en/pdf" TargetMode="External"/><Relationship Id="rId228" Type="http://schemas.openxmlformats.org/officeDocument/2006/relationships/hyperlink" Target="https://www.oecd.org/housing/topics/affordable-housing/" TargetMode="External"/><Relationship Id="rId249" Type="http://schemas.openxmlformats.org/officeDocument/2006/relationships/hyperlink" Target="https://www.ohchr.org/en/disabilities/sdg-crpd-resource-package" TargetMode="External"/><Relationship Id="rId13" Type="http://schemas.openxmlformats.org/officeDocument/2006/relationships/footer" Target="footer3.xml"/><Relationship Id="rId109" Type="http://schemas.openxmlformats.org/officeDocument/2006/relationships/hyperlink" Target="https://www.eeas.europa.eu/sites/default/files/eu_action_plan_on_human_rights_and_democracy_2020-2024.pdf" TargetMode="External"/><Relationship Id="rId260" Type="http://schemas.openxmlformats.org/officeDocument/2006/relationships/hyperlink" Target="https://bridgingthegap-project.eu/" TargetMode="External"/><Relationship Id="rId34" Type="http://schemas.openxmlformats.org/officeDocument/2006/relationships/hyperlink" Target="https://eur-lex.europa.eu/legal-content/EN/TXT/PDF/?uri=CELEX:32021D0764&amp;from=EN" TargetMode="External"/><Relationship Id="rId55" Type="http://schemas.openxmlformats.org/officeDocument/2006/relationships/hyperlink" Target="https://eur-lex.europa.eu/legal-content/EN/TXT/?uri=celex%3A32000L0078" TargetMode="External"/><Relationship Id="rId76" Type="http://schemas.openxmlformats.org/officeDocument/2006/relationships/hyperlink" Target="https://webcast.ec.europa.eu/webinar-on-early-childhood-education-and-care-in-europe-welcoming-children-with-disabilities-and-children-with-a-migrant-background" TargetMode="External"/><Relationship Id="rId97" Type="http://schemas.openxmlformats.org/officeDocument/2006/relationships/hyperlink" Target="https://wikis.ec.europa.eu/display/WEBGUIDE/12.+Accessibility" TargetMode="External"/><Relationship Id="rId120" Type="http://schemas.openxmlformats.org/officeDocument/2006/relationships/hyperlink" Target="https://www.ecdc.europa.eu/en/publications-data/guidance-medically-and-socially-vulnerable-populations-covid-19" TargetMode="External"/><Relationship Id="rId141" Type="http://schemas.openxmlformats.org/officeDocument/2006/relationships/hyperlink" Target="https://eur-lex.europa.eu/legal-content/EN/TXT/?uri=CELEX%3A32021R1060" TargetMode="External"/><Relationship Id="rId7" Type="http://schemas.openxmlformats.org/officeDocument/2006/relationships/endnotes" Target="endnotes.xml"/><Relationship Id="rId162" Type="http://schemas.openxmlformats.org/officeDocument/2006/relationships/hyperlink" Target="https://eur-lex.europa.eu/legal-content/EN/TXT/?uri=CELEX%3A32021R0782" TargetMode="External"/><Relationship Id="rId183" Type="http://schemas.openxmlformats.org/officeDocument/2006/relationships/hyperlink" Target="https://data.consilium.europa.eu/doc/document/ST-13948-2022-INIT/en/pdf" TargetMode="External"/><Relationship Id="rId218" Type="http://schemas.openxmlformats.org/officeDocument/2006/relationships/hyperlink" Target="https://www.eib.org/en/press/news/eib-disability-inclusion-reverse-mentoring-programme" TargetMode="External"/><Relationship Id="rId239" Type="http://schemas.openxmlformats.org/officeDocument/2006/relationships/hyperlink" Target="https://www.disabilityartsinternational.org/resources/time-to-act-final-results/" TargetMode="External"/><Relationship Id="rId250" Type="http://schemas.openxmlformats.org/officeDocument/2006/relationships/hyperlink" Target="https://www.ohchr.org/en/disabilities/human-rights-indicators-convention-rights-persons-disabilities-support-disability-inclusive-2030" TargetMode="External"/><Relationship Id="rId271" Type="http://schemas.openxmlformats.org/officeDocument/2006/relationships/fontTable" Target="fontTable.xml"/><Relationship Id="rId24" Type="http://schemas.openxmlformats.org/officeDocument/2006/relationships/hyperlink" Target="https://www.eesc.europa.eu/en/our-work/publications-other-work/publications/contribution-eu-report-united-nations-convention-rights-persons-disabilities-committee" TargetMode="External"/><Relationship Id="rId45" Type="http://schemas.openxmlformats.org/officeDocument/2006/relationships/hyperlink" Target="https://ec.europa.eu/echo/files/aid/hacommunication2021.pdf" TargetMode="External"/><Relationship Id="rId66" Type="http://schemas.openxmlformats.org/officeDocument/2006/relationships/hyperlink" Target="https://eur-lex.europa.eu/legal-content/EN/TXT/?uri=CELEX%3A32021H1004" TargetMode="External"/><Relationship Id="rId87" Type="http://schemas.openxmlformats.org/officeDocument/2006/relationships/hyperlink" Target="https://www.cencenelec.eu/media/Guides/CEN-CLC/cenclcguide6.pdf" TargetMode="External"/><Relationship Id="rId110" Type="http://schemas.openxmlformats.org/officeDocument/2006/relationships/hyperlink" Target="https://www.eeas.europa.eu/eeas/gender-action-plan-iii-towards-gender-equal-world_en" TargetMode="External"/><Relationship Id="rId131" Type="http://schemas.openxmlformats.org/officeDocument/2006/relationships/hyperlink" Target="https://eur-lex.europa.eu/LexUriServ/LexUriServ.do?uri=OJ:C:2013:378:0008:0010:EN:PDF" TargetMode="External"/><Relationship Id="rId152" Type="http://schemas.openxmlformats.org/officeDocument/2006/relationships/hyperlink" Target="https://eur-lex.europa.eu/legal-content/EN/TXT/?uri=CELEX:32021H0319(01)" TargetMode="External"/><Relationship Id="rId173" Type="http://schemas.openxmlformats.org/officeDocument/2006/relationships/hyperlink" Target="https://eur-lex.europa.eu/legal-content/EN/ALL/?uri=CELEX%3A32011R0181" TargetMode="External"/><Relationship Id="rId194" Type="http://schemas.openxmlformats.org/officeDocument/2006/relationships/hyperlink" Target="https://ted.europa.eu/udl?uri=TED:NOTICE:703667-2022:TEXT:EN:HTML" TargetMode="External"/><Relationship Id="rId208" Type="http://schemas.openxmlformats.org/officeDocument/2006/relationships/hyperlink" Target="https://eur-lex.europa.eu/legal-content/EN/TXT/?uri=celex%3A32000L0078" TargetMode="External"/><Relationship Id="rId229" Type="http://schemas.openxmlformats.org/officeDocument/2006/relationships/hyperlink" Target="https://op.europa.eu/en/publication-detail/-/publication/4849864a-cd83-11eb-ac72-01aa75ed71a1" TargetMode="External"/><Relationship Id="rId240" Type="http://schemas.openxmlformats.org/officeDocument/2006/relationships/hyperlink" Target="https://www.arches-project.eu/" TargetMode="External"/><Relationship Id="rId261" Type="http://schemas.openxmlformats.org/officeDocument/2006/relationships/hyperlink" Target="https://webgate.ec.europa.eu/intpa-academy/enrol/index.php?id=699" TargetMode="External"/><Relationship Id="rId14" Type="http://schemas.openxmlformats.org/officeDocument/2006/relationships/header" Target="header4.xml"/><Relationship Id="rId35" Type="http://schemas.openxmlformats.org/officeDocument/2006/relationships/hyperlink" Target="https://marie-sklodowska-curie-actions.ec.europa.eu/" TargetMode="External"/><Relationship Id="rId56" Type="http://schemas.openxmlformats.org/officeDocument/2006/relationships/hyperlink" Target="https://ec.europa.eu/info/sites/default/files/report_on_the_application_of_the_racial_equality_directive_and_the_employment_equality_directive_en.pdf" TargetMode="External"/><Relationship Id="rId77" Type="http://schemas.openxmlformats.org/officeDocument/2006/relationships/hyperlink" Target="https://eur-lex.europa.eu/legal-content/EN/TXT/PDF/?uri=CELEX:32022H1209(01)&amp;from=EN" TargetMode="External"/><Relationship Id="rId100" Type="http://schemas.openxmlformats.org/officeDocument/2006/relationships/hyperlink" Target="https://www.project-easier.eu/" TargetMode="External"/><Relationship Id="rId8" Type="http://schemas.openxmlformats.org/officeDocument/2006/relationships/header" Target="header1.xml"/><Relationship Id="rId98" Type="http://schemas.openxmlformats.org/officeDocument/2006/relationships/hyperlink" Target="https://www.w3.org/WAI/about/projects/wai-coop/" TargetMode="External"/><Relationship Id="rId121" Type="http://schemas.openxmlformats.org/officeDocument/2006/relationships/hyperlink" Target="https://health.ec.europa.eu/latest-updates/eu-response-covid-19-preparing-autumn-and-winter-2023-2022-09-02_en" TargetMode="External"/><Relationship Id="rId142" Type="http://schemas.openxmlformats.org/officeDocument/2006/relationships/hyperlink" Target="https://home-affairs.ec.europa.eu/news/eu-strategy-combatting-trafficking-human-beings-2021-2025-2021-04-14_en" TargetMode="External"/><Relationship Id="rId163" Type="http://schemas.openxmlformats.org/officeDocument/2006/relationships/hyperlink" Target="https://eur-lex.europa.eu/legal-content/EN/TXT/?uri=uriserv%3AOJ.L_.2014.356.01.0001.01.ENG" TargetMode="External"/><Relationship Id="rId184" Type="http://schemas.openxmlformats.org/officeDocument/2006/relationships/hyperlink" Target="https://commission.europa.eu/strategy-and-policy/policies/justice-and-fundamental-rights/rights-child/eu-strategy-rights-child-and-european-child-guarantee_en" TargetMode="External"/><Relationship Id="rId219" Type="http://schemas.openxmlformats.org/officeDocument/2006/relationships/hyperlink" Target="https://single-market-economy.ec.europa.eu/sectors/proximity-and-social-economy/social-economy-eu/affordable-housing-initiative_en" TargetMode="External"/><Relationship Id="rId230" Type="http://schemas.openxmlformats.org/officeDocument/2006/relationships/hyperlink" Target="https://www.missoc.org/missoc-database/comparative-tables/" TargetMode="External"/><Relationship Id="rId251" Type="http://schemas.openxmlformats.org/officeDocument/2006/relationships/hyperlink" Target="https://international-partnerships.ec.europa.eu/news-and-events/events/human-rights-based-approach-eu-toolbox-placing-rights-holders-centre-international-partnerships-2021-09-16_en" TargetMode="External"/><Relationship Id="rId25" Type="http://schemas.openxmlformats.org/officeDocument/2006/relationships/hyperlink" Target="https://eur-lex.europa.eu/legal-content/EN/TXT/?uri=celex%3A52008PC0530%2802%29" TargetMode="External"/><Relationship Id="rId46" Type="http://schemas.openxmlformats.org/officeDocument/2006/relationships/hyperlink" Target="https://www.washingtongroup-disability.com/question-sets/wg-short-set-on-functioning-wg-ss/" TargetMode="External"/><Relationship Id="rId67" Type="http://schemas.openxmlformats.org/officeDocument/2006/relationships/hyperlink" Target="https://fra.europa.eu/en/project/2020/procedural-safeguards-children-who-are-suspects-or-accused-persons-criminal" TargetMode="External"/><Relationship Id="rId272" Type="http://schemas.openxmlformats.org/officeDocument/2006/relationships/theme" Target="theme/theme1.xml"/><Relationship Id="rId88" Type="http://schemas.openxmlformats.org/officeDocument/2006/relationships/hyperlink" Target="https://ec.europa.eu/docsroom/documents/45767" TargetMode="External"/><Relationship Id="rId111" Type="http://schemas.openxmlformats.org/officeDocument/2006/relationships/hyperlink" Target="https://ec.europa.eu/migrant-integration/library-document/union-equality-eu-anti-racism-action-plan-2020-2025_en" TargetMode="External"/><Relationship Id="rId132" Type="http://schemas.openxmlformats.org/officeDocument/2006/relationships/hyperlink" Target="https://eur-lex.europa.eu/legal-content/EN/TXT/?uri=CELEX%3A52020DC0258" TargetMode="External"/><Relationship Id="rId153" Type="http://schemas.openxmlformats.org/officeDocument/2006/relationships/hyperlink" Target="https://eur-lex.europa.eu/eli/reg/2021/1058" TargetMode="External"/><Relationship Id="rId174" Type="http://schemas.openxmlformats.org/officeDocument/2006/relationships/hyperlink" Target="https://eur-lex.europa.eu/legal-content/EN/HIS/?uri=COM:2013:130:FIN" TargetMode="External"/><Relationship Id="rId195" Type="http://schemas.openxmlformats.org/officeDocument/2006/relationships/hyperlink" Target="https://eur-lex.europa.eu/legal-content/EN/TXT/?uri=CELEX:32011L0024" TargetMode="External"/><Relationship Id="rId209" Type="http://schemas.openxmlformats.org/officeDocument/2006/relationships/hyperlink" Target="https://tgeu.org/wp-content/uploads/2022/06/20220525-guidelines-for-strategies-and-action-plans-to-enhance-LGBTIQ-equality.pdf" TargetMode="External"/><Relationship Id="rId220" Type="http://schemas.openxmlformats.org/officeDocument/2006/relationships/hyperlink" Target="https://energy.ec.europa.eu/topics/energy-efficiency/energy-efficient-buildings/renovation-wave_en" TargetMode="External"/><Relationship Id="rId241" Type="http://schemas.openxmlformats.org/officeDocument/2006/relationships/hyperlink" Target="https://www.arches-project.eu/useful-documents/" TargetMode="External"/><Relationship Id="rId15" Type="http://schemas.openxmlformats.org/officeDocument/2006/relationships/footer" Target="footer4.xml"/><Relationship Id="rId36" Type="http://schemas.openxmlformats.org/officeDocument/2006/relationships/hyperlink" Target="https://eur-lex.europa.eu/eli/reg/2021/1153" TargetMode="External"/><Relationship Id="rId57" Type="http://schemas.openxmlformats.org/officeDocument/2006/relationships/hyperlink" Target="https://commission.europa.eu/publications/communication-commission-eu-law-better-results-through-better-application_en" TargetMode="External"/><Relationship Id="rId262" Type="http://schemas.openxmlformats.org/officeDocument/2006/relationships/hyperlink" Target="https://civil-protection-humanitarian-aid.ec.europa.eu/what/humanitarian-aid/grand-bargain_en" TargetMode="External"/><Relationship Id="rId78" Type="http://schemas.openxmlformats.org/officeDocument/2006/relationships/hyperlink" Target="https://eur-lex.europa.eu/legal-content/EN/TXT/?uri=celex%3A52022DC0015" TargetMode="External"/><Relationship Id="rId99" Type="http://schemas.openxmlformats.org/officeDocument/2006/relationships/hyperlink" Target="https://www.w3.org/WAI/about/projects/wai-guide/" TargetMode="External"/><Relationship Id="rId101" Type="http://schemas.openxmlformats.org/officeDocument/2006/relationships/hyperlink" Target="https://signon-project.eu/" TargetMode="External"/><Relationship Id="rId122" Type="http://schemas.openxmlformats.org/officeDocument/2006/relationships/hyperlink" Target="https://ec.europa.eu/social/main.jsp?langId=en&amp;catId=89&amp;furtherNews=yes&amp;newsId=10382" TargetMode="External"/><Relationship Id="rId143" Type="http://schemas.openxmlformats.org/officeDocument/2006/relationships/hyperlink" Target="https://ec.europa.eu/commission/presscorner/detail/en/ip_22_7781" TargetMode="External"/><Relationship Id="rId164" Type="http://schemas.openxmlformats.org/officeDocument/2006/relationships/hyperlink" Target="https://eur-lex.europa.eu/legal-content/EN/ALL/?uri=celex%3A32006R1107" TargetMode="External"/><Relationship Id="rId185" Type="http://schemas.openxmlformats.org/officeDocument/2006/relationships/hyperlink" Target="https://education.ec.europa.eu/news/inclusive-education-in-europe-learning-from-erasmus" TargetMode="External"/><Relationship Id="rId9" Type="http://schemas.openxmlformats.org/officeDocument/2006/relationships/header" Target="header2.xml"/><Relationship Id="rId210" Type="http://schemas.openxmlformats.org/officeDocument/2006/relationships/hyperlink" Target="https://commission.europa.eu/strategy-and-policy/policies/justice-and-fundamental-rights/gender-equality/equal-pay/eu-action-equal-pay_en" TargetMode="External"/><Relationship Id="rId26" Type="http://schemas.openxmlformats.org/officeDocument/2006/relationships/hyperlink" Target="https://commission.europa.eu/law/law-making-process/types-eu-law_en" TargetMode="External"/><Relationship Id="rId231" Type="http://schemas.openxmlformats.org/officeDocument/2006/relationships/hyperlink" Target="https://commission.europa.eu/strategy-and-policy/policies/justice-and-fundamental-rights/eu-citizenship/democracy-and-electoral-rights/european-cooperation-network-elections_en" TargetMode="External"/><Relationship Id="rId252" Type="http://schemas.openxmlformats.org/officeDocument/2006/relationships/hyperlink" Target="https://eur-lex.europa.eu/EN/legal-content/glossary/acquis.html" TargetMode="External"/><Relationship Id="rId47" Type="http://schemas.openxmlformats.org/officeDocument/2006/relationships/hyperlink" Target="https://civil-protection-humanitarian-aid.ec.europa.eu/system/files/2019-06/dg_op_guidance_inclusion_gb_liens_hr.pdf" TargetMode="External"/><Relationship Id="rId68" Type="http://schemas.openxmlformats.org/officeDocument/2006/relationships/hyperlink" Target="https://fra.europa.eu/en/publication/2015/violence-against-children-disabilities-legislation-policies-and-programmes-eu" TargetMode="External"/><Relationship Id="rId89" Type="http://schemas.openxmlformats.org/officeDocument/2006/relationships/hyperlink" Target="https://eur-lex.europa.eu/legal-content/EN/ALL/?uri=CELEX:32014L0024" TargetMode="External"/><Relationship Id="rId112" Type="http://schemas.openxmlformats.org/officeDocument/2006/relationships/hyperlink" Target="https://ec.europa.eu/info/law/better-regulation/have-your-say/initiatives/12454-EU-strategy-on-the-rights-of-the-child-2021-24-_en" TargetMode="External"/><Relationship Id="rId133" Type="http://schemas.openxmlformats.org/officeDocument/2006/relationships/hyperlink" Target="https://e-justice.europa.eu/content_legal_aid-37129-en.do" TargetMode="External"/><Relationship Id="rId154" Type="http://schemas.openxmlformats.org/officeDocument/2006/relationships/hyperlink" Target="https://eur-lex.europa.eu/legal-content/EN/TXT/?uri=CELEX:32020R2221" TargetMode="External"/><Relationship Id="rId175" Type="http://schemas.openxmlformats.org/officeDocument/2006/relationships/hyperlink" Target="https://eur-lex.europa.eu/legal-content/EN/TXT/?uri=CELEX:32019L0882" TargetMode="External"/><Relationship Id="rId196" Type="http://schemas.openxmlformats.org/officeDocument/2006/relationships/hyperlink" Target="https://eur-lex.europa.eu/legal-content/EN/TXT/?uri=CELEX:52022DC0210" TargetMode="External"/><Relationship Id="rId200" Type="http://schemas.openxmlformats.org/officeDocument/2006/relationships/hyperlink" Target="https://health.ec.europa.eu/latest-updates/fruitful-two-day-event-luxembourg-supporting-knowledge-and-capacity-building-workshop-national-2023-03-07_en" TargetMode="External"/><Relationship Id="rId16" Type="http://schemas.openxmlformats.org/officeDocument/2006/relationships/header" Target="header5.xml"/><Relationship Id="rId221" Type="http://schemas.openxmlformats.org/officeDocument/2006/relationships/hyperlink" Target="https://new-european-bauhaus.europa.eu/index_en" TargetMode="External"/><Relationship Id="rId242" Type="http://schemas.openxmlformats.org/officeDocument/2006/relationships/hyperlink" Target="https://op.europa.eu/en/publication-detail/-/publication/09e457a0-04d7-11e9-adde-01aa75ed71a1" TargetMode="External"/><Relationship Id="rId263" Type="http://schemas.openxmlformats.org/officeDocument/2006/relationships/hyperlink" Target="https://ec.europa.eu/commission/presscorner/detail/en/ip_22_7153" TargetMode="External"/><Relationship Id="rId37" Type="http://schemas.openxmlformats.org/officeDocument/2006/relationships/hyperlink" Target="https://eur-lex.europa.eu/legal-content/EN/TXT/?uri=CELEX%3A32014R1300" TargetMode="External"/><Relationship Id="rId58" Type="http://schemas.openxmlformats.org/officeDocument/2006/relationships/hyperlink" Target="https://ec.europa.eu/commission/presscorner/detail/en/ip_22_7507" TargetMode="External"/><Relationship Id="rId79" Type="http://schemas.openxmlformats.org/officeDocument/2006/relationships/hyperlink" Target="https://eur-lex.europa.eu/legal-content/EN/TXT/?uri=CELEX:32018L1972" TargetMode="External"/><Relationship Id="rId102" Type="http://schemas.openxmlformats.org/officeDocument/2006/relationships/hyperlink" Target="https://digital-strategy.ec.europa.eu/en/policies/digital-services-act-package" TargetMode="External"/><Relationship Id="rId123" Type="http://schemas.openxmlformats.org/officeDocument/2006/relationships/hyperlink" Target="https://health.ec.europa.eu/state-health-eu/overview_en" TargetMode="External"/><Relationship Id="rId144" Type="http://schemas.openxmlformats.org/officeDocument/2006/relationships/hyperlink" Target="https://eur-lex.europa.eu/legal-content/EN/TXT/?uri=CELEX%3A52020DC0607" TargetMode="External"/><Relationship Id="rId90" Type="http://schemas.openxmlformats.org/officeDocument/2006/relationships/hyperlink" Target="https://eur-lex.europa.eu/legal-content/EN/ALL/?uri=CELEX:32014L0025" TargetMode="External"/><Relationship Id="rId165" Type="http://schemas.openxmlformats.org/officeDocument/2006/relationships/hyperlink" Target="https://eur-lex.europa.eu/legal-content/EN/ALL/?uri=CELEX%3A32011R0181" TargetMode="External"/><Relationship Id="rId186" Type="http://schemas.openxmlformats.org/officeDocument/2006/relationships/hyperlink" Target="https://www.eursc.eu/Documents/2018-09-D-28-en-4.pdf" TargetMode="External"/><Relationship Id="rId211" Type="http://schemas.openxmlformats.org/officeDocument/2006/relationships/hyperlink" Target="https://ec.europa.eu/eurostat/cros/content/structure-earnings-survey_en" TargetMode="External"/><Relationship Id="rId232" Type="http://schemas.openxmlformats.org/officeDocument/2006/relationships/hyperlink" Target="https://eur-lex.europa.eu/legal-content/EN/TXT/?uri=CELEX%3A52021PC0732" TargetMode="External"/><Relationship Id="rId253" Type="http://schemas.openxmlformats.org/officeDocument/2006/relationships/hyperlink" Target="https://international-partnerships.ec.europa.eu/policies/european-development-policy/european-consensus-development_en" TargetMode="External"/><Relationship Id="rId27" Type="http://schemas.openxmlformats.org/officeDocument/2006/relationships/hyperlink" Target="https://eur-lex.europa.eu/legal-content/EN/TXT/?uri=CELEX%3A32022R2496" TargetMode="External"/><Relationship Id="rId48" Type="http://schemas.openxmlformats.org/officeDocument/2006/relationships/hyperlink" Target="https://commission.europa.eu/law/law-making-process/planning-and-proposing-law/better-regulation/better-regulation-guidelines-and-toolbox_en" TargetMode="External"/><Relationship Id="rId69" Type="http://schemas.openxmlformats.org/officeDocument/2006/relationships/hyperlink" Target="https://op.europa.eu/en/publication-detail/-/publication/e8e452f2-7076-11e9-9f05-01aa75ed71a1/language-en" TargetMode="External"/><Relationship Id="rId113" Type="http://schemas.openxmlformats.org/officeDocument/2006/relationships/hyperlink" Target="https://www.eeas.europa.eu/sites/default/files/10_hr_guidelines_protection_en.pdf" TargetMode="External"/><Relationship Id="rId134" Type="http://schemas.openxmlformats.org/officeDocument/2006/relationships/hyperlink" Target="https://eur-lex.europa.eu/LexUriServ/LexUriServ.do?uri=COM:2012:0071:FIN:en:PDF" TargetMode="External"/><Relationship Id="rId80" Type="http://schemas.openxmlformats.org/officeDocument/2006/relationships/hyperlink" Target="https://eur-lex.europa.eu/legal-content/EN/TXT/?uri=CELEX:32014R0910" TargetMode="External"/><Relationship Id="rId155" Type="http://schemas.openxmlformats.org/officeDocument/2006/relationships/hyperlink" Target="https://eur-lex.europa.eu/legal-content/EN/TXT/?uri=CELEX:32022R0562" TargetMode="External"/><Relationship Id="rId176" Type="http://schemas.openxmlformats.org/officeDocument/2006/relationships/hyperlink" Target="https://op.europa.eu/webpub/com/eu-pioneers/en/" TargetMode="External"/><Relationship Id="rId197" Type="http://schemas.openxmlformats.org/officeDocument/2006/relationships/hyperlink" Target="https://eur-lex.europa.eu/resource.html?uri=cellar:24310696-d1d3-11ec-a95f-01aa75ed71a1.0019.02/DOC_2&amp;format=PDF" TargetMode="External"/><Relationship Id="rId201" Type="http://schemas.openxmlformats.org/officeDocument/2006/relationships/hyperlink" Target="https://health.ec.europa.eu/non-communicable-diseases/healthier-together-eu-non-communicable-diseases-initiative_en" TargetMode="External"/><Relationship Id="rId222" Type="http://schemas.openxmlformats.org/officeDocument/2006/relationships/hyperlink" Target="https://new-european-bauhaus.europa.eu/use-compass_en" TargetMode="External"/><Relationship Id="rId243" Type="http://schemas.openxmlformats.org/officeDocument/2006/relationships/hyperlink" Target="https://erasmus-plus.ec.europa.eu/programme-guide/part-b/key-action-1/what-is-a-mobility-project" TargetMode="External"/><Relationship Id="rId264" Type="http://schemas.openxmlformats.org/officeDocument/2006/relationships/hyperlink" Target="https://ec.europa.eu/commission/presscorner/detail/en/ip_22_5884" TargetMode="External"/><Relationship Id="rId17" Type="http://schemas.openxmlformats.org/officeDocument/2006/relationships/footer" Target="footer5.xml"/><Relationship Id="rId38" Type="http://schemas.openxmlformats.org/officeDocument/2006/relationships/hyperlink" Target="https://eur-lex.europa.eu/legal-content/EN/TXT/?uri=uriserv%3AOJ.L_.2021.107.01.0001.01.ENG" TargetMode="External"/><Relationship Id="rId59" Type="http://schemas.openxmlformats.org/officeDocument/2006/relationships/hyperlink" Target="https://eur-lex.europa.eu/legal-content/EN/TXT/PDF/?uri=CELEX:52022PC0105&amp;from=EN" TargetMode="External"/><Relationship Id="rId103" Type="http://schemas.openxmlformats.org/officeDocument/2006/relationships/hyperlink" Target="https://eur-lex.europa.eu/legal-content/EN/TXT/?uri=CELEX%3A32018L1972" TargetMode="External"/><Relationship Id="rId124" Type="http://schemas.openxmlformats.org/officeDocument/2006/relationships/hyperlink" Target="https://op.europa.eu/en/publication-detail/-/publication/7e1d9ba3-093c-11ec-b5d3-01aa75ed71a1/language-en" TargetMode="External"/><Relationship Id="rId70" Type="http://schemas.openxmlformats.org/officeDocument/2006/relationships/hyperlink" Target="https://ec.europa.eu/social/main.jsp?catId=1556&amp;langId=en" TargetMode="External"/><Relationship Id="rId91" Type="http://schemas.openxmlformats.org/officeDocument/2006/relationships/hyperlink" Target="https://www.youtube.com/playlist?list=PLmwl0nkG0dPEi_pnJ7Rlos_Z8EBoXaABY" TargetMode="External"/><Relationship Id="rId145" Type="http://schemas.openxmlformats.org/officeDocument/2006/relationships/hyperlink" Target="https://eur-lex.europa.eu/legal-content/EN/TXT/?uri=CELEX%3A52022PC0105" TargetMode="External"/><Relationship Id="rId166" Type="http://schemas.openxmlformats.org/officeDocument/2006/relationships/hyperlink" Target="https://eur-lex.europa.eu/legal-content/EN/ALL/?uri=CELEX:32010R1177" TargetMode="External"/><Relationship Id="rId187" Type="http://schemas.openxmlformats.org/officeDocument/2006/relationships/hyperlink" Target="https://www.eursc.eu/Documents/2018-12-D-34-en-5.pdf" TargetMode="External"/><Relationship Id="rId1" Type="http://schemas.openxmlformats.org/officeDocument/2006/relationships/customXml" Target="../customXml/item1.xml"/><Relationship Id="rId212" Type="http://schemas.openxmlformats.org/officeDocument/2006/relationships/hyperlink" Target="https://eur-lex.europa.eu/legal-content/EN/TXT/?toc=OJ%3AL%3A2022%3A275%3ATOC&amp;uri=uriserv%3AOJ.L_.2022.275.01.0033.01.ENG" TargetMode="External"/><Relationship Id="rId233" Type="http://schemas.openxmlformats.org/officeDocument/2006/relationships/hyperlink" Target="https://www.w3.org/WAI/standards-guidelines/wcag/" TargetMode="External"/><Relationship Id="rId254" Type="http://schemas.openxmlformats.org/officeDocument/2006/relationships/hyperlink" Target="https://www.eeas.europa.eu/eeas/eu-action-plan-human-rights-and-democracy-0_en?s=264" TargetMode="External"/><Relationship Id="rId28" Type="http://schemas.openxmlformats.org/officeDocument/2006/relationships/hyperlink" Target="https://commission.europa.eu/strategy-and-policy/eu-budget_en" TargetMode="External"/><Relationship Id="rId49" Type="http://schemas.openxmlformats.org/officeDocument/2006/relationships/hyperlink" Target="https://eur-lex.europa.eu/legal-content/EN/TXT/?uri=CELEX%3A32010D0048" TargetMode="External"/><Relationship Id="rId114" Type="http://schemas.openxmlformats.org/officeDocument/2006/relationships/hyperlink" Target="https://ec.europa.eu/commission/presscorner/detail/en/ip_22_5884" TargetMode="External"/><Relationship Id="rId60" Type="http://schemas.openxmlformats.org/officeDocument/2006/relationships/hyperlink" Target="https://forum.generationequality.org/sites/default/files/2021-06/UNW%20-%20GAP%20Report%20-%20EN%20-%20Executive%20Summary.pdf" TargetMode="External"/><Relationship Id="rId81" Type="http://schemas.openxmlformats.org/officeDocument/2006/relationships/hyperlink" Target="https://eur-lex.europa.eu/legal-content/EN/TXT/?uri=CELEX:32014R0910" TargetMode="External"/><Relationship Id="rId135" Type="http://schemas.openxmlformats.org/officeDocument/2006/relationships/hyperlink" Target="https://eur-lex.europa.eu/legal-content/EN/TXT/?uri=celex%3A32008L0115" TargetMode="External"/><Relationship Id="rId156" Type="http://schemas.openxmlformats.org/officeDocument/2006/relationships/hyperlink" Target="https://ec.europa.eu/transparency/expert-groups-register/screen/expert-groups-explained?lang=en" TargetMode="External"/><Relationship Id="rId177" Type="http://schemas.openxmlformats.org/officeDocument/2006/relationships/hyperlink" Target="https://eur-lex.europa.eu/eli/dir/2018/1808/oj" TargetMode="External"/><Relationship Id="rId198" Type="http://schemas.openxmlformats.org/officeDocument/2006/relationships/hyperlink" Target="https://eur-lex.europa.eu/legal-content/EN/TXT/?uri=SWD:2022:200:FIN" TargetMode="External"/><Relationship Id="rId202" Type="http://schemas.openxmlformats.org/officeDocument/2006/relationships/hyperlink" Target="https://commission.europa.eu/strategy-and-policy/priorities-2019-2024/economy-works-people/jobs-growth-and-investment/european-pillar-social-rights/european-pillar-social-rights-20-principles_en" TargetMode="External"/><Relationship Id="rId223" Type="http://schemas.openxmlformats.org/officeDocument/2006/relationships/hyperlink" Target="https://eit.europa.eu/sites/default/files/citizen_engagement_factsheet_july.pdf" TargetMode="External"/><Relationship Id="rId244" Type="http://schemas.openxmlformats.org/officeDocument/2006/relationships/hyperlink" Target="https://sport.ec.europa.eu/initiatives/beinclusive-eu-sport-awards" TargetMode="External"/><Relationship Id="rId18" Type="http://schemas.openxmlformats.org/officeDocument/2006/relationships/header" Target="header6.xml"/><Relationship Id="rId39" Type="http://schemas.openxmlformats.org/officeDocument/2006/relationships/hyperlink" Target="https://enrd.ec.europa.eu/search/site/disabilities_en" TargetMode="External"/><Relationship Id="rId265" Type="http://schemas.openxmlformats.org/officeDocument/2006/relationships/hyperlink" Target="https://ec.europa.eu/social/main.jsp?catId=1552&amp;langId=en" TargetMode="External"/><Relationship Id="rId50" Type="http://schemas.openxmlformats.org/officeDocument/2006/relationships/hyperlink" Target="https://eur-lex.europa.eu/legal-content/EN/TXT/?uri=celex%3A32020R0852" TargetMode="External"/><Relationship Id="rId104" Type="http://schemas.openxmlformats.org/officeDocument/2006/relationships/hyperlink" Target="https://eur-lex.europa.eu/legal-content/EN/TXT/?uri=CELEX:52021PC0206" TargetMode="External"/><Relationship Id="rId125" Type="http://schemas.openxmlformats.org/officeDocument/2006/relationships/hyperlink" Target="https://ted.europa.eu/udl?uri=TED:NOTICE:703667-2022:TEXT:EN:HTML" TargetMode="External"/><Relationship Id="rId146" Type="http://schemas.openxmlformats.org/officeDocument/2006/relationships/hyperlink" Target="https://swedish-presidency.consilium.europa.eu/" TargetMode="External"/><Relationship Id="rId167" Type="http://schemas.openxmlformats.org/officeDocument/2006/relationships/hyperlink" Target="https://eur-lex.europa.eu/legal-content/EN/TXT/?uri=CELEX%3A32021R0782" TargetMode="External"/><Relationship Id="rId188" Type="http://schemas.openxmlformats.org/officeDocument/2006/relationships/hyperlink" Target="https://www.eursc.eu/Documents/2012-05-D-14-en-10.pdf" TargetMode="External"/><Relationship Id="rId71" Type="http://schemas.openxmlformats.org/officeDocument/2006/relationships/hyperlink" Target="https://www.inclusive-education-in-action.org/" TargetMode="External"/><Relationship Id="rId92" Type="http://schemas.openxmlformats.org/officeDocument/2006/relationships/hyperlink" Target="https://wikis.ec.europa.eu/display/WEBGUIDE/Web+accessibility+action+plan" TargetMode="External"/><Relationship Id="rId213" Type="http://schemas.openxmlformats.org/officeDocument/2006/relationships/hyperlink" Target="https://digital-strategy.ec.europa.eu/en/library/declaration-european-digital-rights-and-principles" TargetMode="External"/><Relationship Id="rId234" Type="http://schemas.openxmlformats.org/officeDocument/2006/relationships/hyperlink" Target="https://eur-lex.europa.eu/legal-content/EN/TXT/?uri=CELEX:32017L1564" TargetMode="External"/><Relationship Id="rId2" Type="http://schemas.openxmlformats.org/officeDocument/2006/relationships/numbering" Target="numbering.xml"/><Relationship Id="rId29" Type="http://schemas.openxmlformats.org/officeDocument/2006/relationships/hyperlink" Target="https://eur-lex.europa.eu/legal-content/EN/TXT/?uri=CELEX%3A32021R1060" TargetMode="External"/><Relationship Id="rId255" Type="http://schemas.openxmlformats.org/officeDocument/2006/relationships/hyperlink" Target="https://www.eeas.europa.eu/eeas/eu-human-rights-guidelines_en" TargetMode="External"/><Relationship Id="rId40" Type="http://schemas.openxmlformats.org/officeDocument/2006/relationships/hyperlink" Target="https://enrd.ec.europa.eu/leader-clld/leader-toolkit/leaderclld-explained_en" TargetMode="External"/><Relationship Id="rId115" Type="http://schemas.openxmlformats.org/officeDocument/2006/relationships/hyperlink" Target="https://www.eeas.europa.eu/sites/default/files/11_hr_guidelines_external_action_en.pdf" TargetMode="External"/><Relationship Id="rId136" Type="http://schemas.openxmlformats.org/officeDocument/2006/relationships/hyperlink" Target="https://ec.europa.eu/info/funding-tenders/opportunities/docs/2021-2027/common/guidance/how-to-complete-your-ethics-self-assessment_en.pdf" TargetMode="External"/><Relationship Id="rId157" Type="http://schemas.openxmlformats.org/officeDocument/2006/relationships/hyperlink" Target="https://ec.europa.eu/transparency/expert-groups-register/screen/expert-groups/consult?lang=en&amp;groupID=3802" TargetMode="External"/><Relationship Id="rId178" Type="http://schemas.openxmlformats.org/officeDocument/2006/relationships/hyperlink" Target="https://eur-lex.europa.eu/legal-content/EN/TXT/?uri=celex%3A32022R2065" TargetMode="External"/><Relationship Id="rId61" Type="http://schemas.openxmlformats.org/officeDocument/2006/relationships/hyperlink" Target="https://eige.europa.eu/gender-equality-index/2022" TargetMode="External"/><Relationship Id="rId82" Type="http://schemas.openxmlformats.org/officeDocument/2006/relationships/hyperlink" Target="https://ec.europa.eu/transparency/documents-register/detail?ref=C(2022)6456&amp;lang=en" TargetMode="External"/><Relationship Id="rId199" Type="http://schemas.openxmlformats.org/officeDocument/2006/relationships/hyperlink" Target="https://health.ec.europa.eu/cross-border-healthcare_en" TargetMode="External"/><Relationship Id="rId203" Type="http://schemas.openxmlformats.org/officeDocument/2006/relationships/hyperlink" Target="https://ec.europa.eu/social/main.jsp?catId=1597&amp;langId=en" TargetMode="External"/><Relationship Id="rId19" Type="http://schemas.openxmlformats.org/officeDocument/2006/relationships/footer" Target="footer6.xml"/><Relationship Id="rId224" Type="http://schemas.openxmlformats.org/officeDocument/2006/relationships/hyperlink" Target="https://www.climate-kic.org/" TargetMode="External"/><Relationship Id="rId245" Type="http://schemas.openxmlformats.org/officeDocument/2006/relationships/hyperlink" Target="https://sport.ec.europa.eu/initiatives/healthylifestyle4all" TargetMode="External"/><Relationship Id="rId266" Type="http://schemas.openxmlformats.org/officeDocument/2006/relationships/hyperlink" Target="https://www.edf-feph.org/financial-information-and-transparency/" TargetMode="External"/><Relationship Id="rId30" Type="http://schemas.openxmlformats.org/officeDocument/2006/relationships/hyperlink" Target="https://eur-lex.europa.eu/legal-content/EN/TXT/?uri=CELEX%3A32021R1060" TargetMode="External"/><Relationship Id="rId105" Type="http://schemas.openxmlformats.org/officeDocument/2006/relationships/hyperlink" Target="https://commission.europa.eu/topics/migration-and-asylum_en" TargetMode="External"/><Relationship Id="rId126" Type="http://schemas.openxmlformats.org/officeDocument/2006/relationships/hyperlink" Target="https://op.europa.eu/en/publication-detail/-/publication/facf667c-99d6-11ec-83e1-01aa75ed71a1/language-en/format-PDF/source-253031377" TargetMode="External"/><Relationship Id="rId147" Type="http://schemas.openxmlformats.org/officeDocument/2006/relationships/hyperlink" Target="https://ec.europa.eu/info/funding-tenders/opportunities/docs/2021-2027/common/guidance/how-to-complete-your-ethics-self-assessment_en.pdf" TargetMode="External"/><Relationship Id="rId168" Type="http://schemas.openxmlformats.org/officeDocument/2006/relationships/hyperlink" Target="https://eur-lex.europa.eu/legal-content/EN/ALL/?uri=COM%3A2021%3A812%3AFIN" TargetMode="External"/><Relationship Id="rId51" Type="http://schemas.openxmlformats.org/officeDocument/2006/relationships/hyperlink" Target="https://finance.ec.europa.eu/system/files/2022-08/220228-sustainable-finance-platform-finance-report-social-taxonomy_en.pdf" TargetMode="External"/><Relationship Id="rId72" Type="http://schemas.openxmlformats.org/officeDocument/2006/relationships/hyperlink" Target="https://spiceacademy.eu/" TargetMode="External"/><Relationship Id="rId93" Type="http://schemas.openxmlformats.org/officeDocument/2006/relationships/hyperlink" Target="https://eur-lex.europa.eu/legal-content/EN/ALL/?uri=CELEX:32016L2102" TargetMode="External"/><Relationship Id="rId189" Type="http://schemas.openxmlformats.org/officeDocument/2006/relationships/hyperlink" Target="https://www.eursc.eu/Documents/2012-05-D-15-en-13.pdf" TargetMode="External"/><Relationship Id="rId3" Type="http://schemas.openxmlformats.org/officeDocument/2006/relationships/styles" Target="styles.xml"/><Relationship Id="rId214" Type="http://schemas.openxmlformats.org/officeDocument/2006/relationships/hyperlink" Target="https://eur-lex.europa.eu/legal-content/FR/TXT/?uri=CELEX%3A52021PC0206" TargetMode="External"/><Relationship Id="rId235" Type="http://schemas.openxmlformats.org/officeDocument/2006/relationships/hyperlink" Target="https://eur-lex.europa.eu/legal-content/EN/TXT/?uri=celex%3A32017R1563" TargetMode="External"/><Relationship Id="rId256" Type="http://schemas.openxmlformats.org/officeDocument/2006/relationships/hyperlink" Target="https://data.consilium.europa.eu/doc/document/ST-10564-2021-INIT/en/pdf" TargetMode="External"/><Relationship Id="rId116" Type="http://schemas.openxmlformats.org/officeDocument/2006/relationships/hyperlink" Target="https://idata.tools/gds/portal" TargetMode="External"/><Relationship Id="rId137" Type="http://schemas.openxmlformats.org/officeDocument/2006/relationships/hyperlink" Target="https://ec.europa.eu/info/funding-tenders/opportunities/docs/2021-2027/horizon/guidance/guidelines-on-serious-and-complex-cases_he_en.pdf" TargetMode="External"/><Relationship Id="rId158" Type="http://schemas.openxmlformats.org/officeDocument/2006/relationships/hyperlink" Target="https://eur-lex.europa.eu/legal-content/EN/TXT/?uri=CELEX:32006R1107" TargetMode="External"/><Relationship Id="rId20" Type="http://schemas.openxmlformats.org/officeDocument/2006/relationships/footer" Target="footer7.xml"/><Relationship Id="rId41" Type="http://schemas.openxmlformats.org/officeDocument/2006/relationships/hyperlink" Target="https://eur-lex.europa.eu/eli/reg/2021/947/oj" TargetMode="External"/><Relationship Id="rId62" Type="http://schemas.openxmlformats.org/officeDocument/2006/relationships/hyperlink" Target="https://eur-lex.europa.eu/legal-content/en/TXT/?uri=CELEX%3A52021DC0142" TargetMode="External"/><Relationship Id="rId83" Type="http://schemas.openxmlformats.org/officeDocument/2006/relationships/hyperlink" Target="https://op.europa.eu/en/publication-detail/-/publication/e26c9065-1b4d-11ec-b4fe-01aa75ed71a1/language-en" TargetMode="External"/><Relationship Id="rId179" Type="http://schemas.openxmlformats.org/officeDocument/2006/relationships/hyperlink" Target="https://digital-strategy.ec.europa.eu/en/policies/revision-avmsd" TargetMode="External"/><Relationship Id="rId190" Type="http://schemas.openxmlformats.org/officeDocument/2006/relationships/hyperlink" Target="https://ec.europa.eu/economy_finance/recovery-and-resilience-scoreboard/assets/thematic_analysis/scoreboard_thematic_analysis_equality.pdf" TargetMode="External"/><Relationship Id="rId204" Type="http://schemas.openxmlformats.org/officeDocument/2006/relationships/hyperlink" Target="https://ec.europa.eu/social/main.jsp?langId=en&amp;catId=89&amp;furtherNews=yes&amp;newsId=10387" TargetMode="External"/><Relationship Id="rId225" Type="http://schemas.openxmlformats.org/officeDocument/2006/relationships/hyperlink" Target="https://cordis.europa.eu/project/id/101079963" TargetMode="External"/><Relationship Id="rId246" Type="http://schemas.openxmlformats.org/officeDocument/2006/relationships/hyperlink" Target="https://www.ietm.org/en/projects/europe-beyond-access" TargetMode="External"/><Relationship Id="rId267" Type="http://schemas.openxmlformats.org/officeDocument/2006/relationships/hyperlink" Target="https://www.ombudsman.europa.eu/en/our-strategy/annual-activity-report" TargetMode="External"/><Relationship Id="rId106" Type="http://schemas.openxmlformats.org/officeDocument/2006/relationships/hyperlink" Target="https://climate-pact.europa.eu/index_en" TargetMode="External"/><Relationship Id="rId127" Type="http://schemas.openxmlformats.org/officeDocument/2006/relationships/hyperlink" Target="https://www.hcch.net/en/instruments/conventions/full-text/?cid=71" TargetMode="External"/><Relationship Id="rId10" Type="http://schemas.openxmlformats.org/officeDocument/2006/relationships/footer" Target="footer1.xml"/><Relationship Id="rId31" Type="http://schemas.openxmlformats.org/officeDocument/2006/relationships/hyperlink" Target="https://erasmus-plus.ec.europa.eu/document/commission-decision-framework-inclusion-2021-27" TargetMode="External"/><Relationship Id="rId52" Type="http://schemas.openxmlformats.org/officeDocument/2006/relationships/hyperlink" Target="https://commission.europa.eu/publications/communication-commission-enforcing-eu-law-europe-delivers_en" TargetMode="External"/><Relationship Id="rId73" Type="http://schemas.openxmlformats.org/officeDocument/2006/relationships/hyperlink" Target="https://op.europa.eu/en/publication-detail/-/publication/2edab132-7fbe-11eb-9ac9-01aa75ed71a1" TargetMode="External"/><Relationship Id="rId94" Type="http://schemas.openxmlformats.org/officeDocument/2006/relationships/hyperlink" Target="https://wikis.ec.europa.eu/display/WEBGUIDE/12.+Accessibility" TargetMode="External"/><Relationship Id="rId148" Type="http://schemas.openxmlformats.org/officeDocument/2006/relationships/hyperlink" Target="https://rm.coe.int/prems-010522-gbr-grevio-mid-term-horizontal-review-rev-february-2022/1680a58499." TargetMode="External"/><Relationship Id="rId169" Type="http://schemas.openxmlformats.org/officeDocument/2006/relationships/hyperlink" Target="https://eur-lex.europa.eu/legal-content/EN/TXT/?uri=celex%3A32013R1315" TargetMode="External"/><Relationship Id="rId4" Type="http://schemas.openxmlformats.org/officeDocument/2006/relationships/settings" Target="settings.xml"/><Relationship Id="rId180" Type="http://schemas.openxmlformats.org/officeDocument/2006/relationships/hyperlink" Target="https://digital-strategy.ec.europa.eu/en/policies/europes-digital-decade" TargetMode="External"/><Relationship Id="rId215" Type="http://schemas.openxmlformats.org/officeDocument/2006/relationships/hyperlink" Target="https://eur-lex.europa.eu/legal-content/EN/TXT/?uri=CELEX%3A01962R0031-20220101" TargetMode="External"/><Relationship Id="rId236" Type="http://schemas.openxmlformats.org/officeDocument/2006/relationships/hyperlink" Target="https://eur-lex.europa.eu/legal-content/EN/TXT/?uri=CELEX:32001L0029" TargetMode="External"/><Relationship Id="rId257" Type="http://schemas.openxmlformats.org/officeDocument/2006/relationships/hyperlink" Target="https://webgate.ec.europa.eu/intpa-academy/" TargetMode="External"/><Relationship Id="rId42" Type="http://schemas.openxmlformats.org/officeDocument/2006/relationships/hyperlink" Target="https://neighbourhood-enlargement.ec.europa.eu/funding-and-technical-assistance/neighbourhood-development-and-international-cooperation-instrument-global-europe-ndici-global-europe_en" TargetMode="External"/><Relationship Id="rId84" Type="http://schemas.openxmlformats.org/officeDocument/2006/relationships/hyperlink" Target="https://eur-lex.europa.eu/LexUriServ/LexUriServ.do?uri=OJ:L:2009:163:0001:0140:EN:PDF" TargetMode="External"/><Relationship Id="rId138" Type="http://schemas.openxmlformats.org/officeDocument/2006/relationships/hyperlink" Target="https://www.consilium.europa.eu/media/46838/st12848-en20.pdf" TargetMode="External"/><Relationship Id="rId191" Type="http://schemas.openxmlformats.org/officeDocument/2006/relationships/hyperlink" Target="https://commission.europa.eu/strategy-and-policy/policies/justice-and-fundamental-rights/gender-equality/who-we-work-gender-equality/mutual-learning-programme-gender-equality_en" TargetMode="External"/><Relationship Id="rId205" Type="http://schemas.openxmlformats.org/officeDocument/2006/relationships/hyperlink" Target="https://eur-lex.europa.eu/legal-content/EN/TXT/?uri=CELEX%3A32020H1202%2801%29" TargetMode="External"/><Relationship Id="rId247" Type="http://schemas.openxmlformats.org/officeDocument/2006/relationships/hyperlink" Target="https://performeurope.eu/" TargetMode="External"/><Relationship Id="rId107" Type="http://schemas.openxmlformats.org/officeDocument/2006/relationships/hyperlink" Target="https://climate-pact.europa.eu/ambassadors/meet-our-ambassadors/rinaldo-pinto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4AD4F-5400-4D81-BD78-3F5ED0D3F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15439</Words>
  <Characters>88006</Characters>
  <Application>Microsoft Office Word</Application>
  <DocSecurity>4</DocSecurity>
  <Lines>733</Lines>
  <Paragraphs>206</Paragraphs>
  <ScaleCrop>false</ScaleCrop>
  <HeadingPairs>
    <vt:vector size="2" baseType="variant">
      <vt:variant>
        <vt:lpstr>Title</vt:lpstr>
      </vt:variant>
      <vt:variant>
        <vt:i4>1</vt:i4>
      </vt:variant>
    </vt:vector>
  </HeadingPairs>
  <TitlesOfParts>
    <vt:vector size="1" baseType="lpstr">
      <vt:lpstr>Microsoft Word - SWD_2023_95_F1_STAFF_WORKING_PAPER_EN_V2_P1_2658469.docx</vt:lpstr>
    </vt:vector>
  </TitlesOfParts>
  <Company>EEAS</Company>
  <LinksUpToDate>false</LinksUpToDate>
  <CharactersWithSpaces>103239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SWD_2023_95_F1_STAFF_WORKING_PAPER_EN_V2_P1_2658469.docx</dc:title>
  <dc:creator>rathjfs</dc:creator>
  <cp:lastModifiedBy>Robert</cp:lastModifiedBy>
  <cp:revision>2</cp:revision>
  <dcterms:created xsi:type="dcterms:W3CDTF">2023-04-20T14:17:00Z</dcterms:created>
  <dcterms:modified xsi:type="dcterms:W3CDTF">2023-04-20T14:17:00Z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2023-04-20T00:00:00Z</vt:filetime>
  </property>
  <property fmtid="{D5CDD505-2E9C-101B-9397-08002B2CF9AE}" pid="3" name="LastSaved">
    <vt:filetime>2023-04-20T00:00:00Z</vt:filetime>
  </property>
</Properties>
</file>