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5D6" w:rsidRPr="00326590" w:rsidRDefault="00D405D6" w:rsidP="00D405D6">
      <w:pPr>
        <w:spacing w:after="120" w:line="360" w:lineRule="auto"/>
        <w:jc w:val="center"/>
        <w:rPr>
          <w:rFonts w:asciiTheme="minorHAnsi" w:hAnsiTheme="minorHAnsi" w:cstheme="minorHAnsi"/>
          <w:b/>
          <w:szCs w:val="22"/>
        </w:rPr>
      </w:pPr>
      <w:r>
        <w:rPr>
          <w:rFonts w:asciiTheme="minorHAnsi" w:hAnsiTheme="minorHAnsi" w:cstheme="minorHAnsi"/>
          <w:b/>
          <w:bCs/>
          <w:szCs w:val="22"/>
          <w:lang w:val="en-GB"/>
        </w:rPr>
        <w:t>SPEECH</w:t>
      </w:r>
    </w:p>
    <w:p w:rsidR="00D405D6" w:rsidRPr="00326590" w:rsidRDefault="00D405D6" w:rsidP="00D405D6">
      <w:pPr>
        <w:spacing w:after="120" w:line="360" w:lineRule="auto"/>
        <w:jc w:val="center"/>
        <w:rPr>
          <w:rFonts w:asciiTheme="minorHAnsi" w:hAnsiTheme="minorHAnsi" w:cstheme="minorHAnsi"/>
          <w:b/>
          <w:szCs w:val="22"/>
        </w:rPr>
      </w:pPr>
      <w:r>
        <w:rPr>
          <w:rFonts w:asciiTheme="minorHAnsi" w:hAnsiTheme="minorHAnsi" w:cstheme="minorHAnsi"/>
          <w:b/>
          <w:bCs/>
          <w:szCs w:val="22"/>
          <w:lang w:val="en-GB"/>
        </w:rPr>
        <w:t>BY THE PRESIDENT OF THE GOVERNMENTAL DELEGATION OF THE REPUBLIC OF POLAND</w:t>
      </w:r>
    </w:p>
    <w:p w:rsidR="00D405D6" w:rsidRPr="00326590" w:rsidRDefault="00D405D6" w:rsidP="00D405D6">
      <w:pPr>
        <w:spacing w:after="120" w:line="360" w:lineRule="auto"/>
        <w:jc w:val="center"/>
        <w:rPr>
          <w:rFonts w:asciiTheme="minorHAnsi" w:hAnsiTheme="minorHAnsi" w:cstheme="minorHAnsi"/>
          <w:b/>
          <w:szCs w:val="22"/>
        </w:rPr>
      </w:pPr>
    </w:p>
    <w:p w:rsidR="00D405D6" w:rsidRPr="00326590" w:rsidRDefault="00D405D6" w:rsidP="00D405D6">
      <w:pPr>
        <w:spacing w:after="120" w:line="360" w:lineRule="auto"/>
        <w:jc w:val="center"/>
        <w:rPr>
          <w:rFonts w:asciiTheme="minorHAnsi" w:hAnsiTheme="minorHAnsi" w:cstheme="minorHAnsi"/>
          <w:b/>
          <w:szCs w:val="22"/>
        </w:rPr>
      </w:pPr>
      <w:r>
        <w:rPr>
          <w:rFonts w:asciiTheme="minorHAnsi" w:hAnsiTheme="minorHAnsi" w:cstheme="minorHAnsi"/>
          <w:b/>
          <w:bCs/>
          <w:szCs w:val="22"/>
          <w:lang w:val="en-GB"/>
        </w:rPr>
        <w:t xml:space="preserve">in support of the 22nd, 23rd and 24th Periodic report of the Government of the Republic of Poland on the implementation of the provisions of the International Convention on the </w:t>
      </w:r>
      <w:bookmarkStart w:id="0" w:name="_GoBack"/>
      <w:bookmarkEnd w:id="0"/>
      <w:r>
        <w:rPr>
          <w:rFonts w:asciiTheme="minorHAnsi" w:hAnsiTheme="minorHAnsi" w:cstheme="minorHAnsi"/>
          <w:b/>
          <w:bCs/>
          <w:szCs w:val="22"/>
          <w:lang w:val="en-GB"/>
        </w:rPr>
        <w:t>Elimination of All Forms of Racial Discrimination</w:t>
      </w:r>
    </w:p>
    <w:p w:rsidR="00D405D6" w:rsidRPr="00326590" w:rsidRDefault="00D405D6" w:rsidP="00D405D6">
      <w:pPr>
        <w:spacing w:after="120" w:line="360" w:lineRule="auto"/>
        <w:jc w:val="center"/>
        <w:rPr>
          <w:rFonts w:asciiTheme="minorHAnsi" w:hAnsiTheme="minorHAnsi" w:cstheme="minorHAnsi"/>
          <w:b/>
          <w:szCs w:val="22"/>
        </w:rPr>
      </w:pPr>
      <w:r>
        <w:rPr>
          <w:rFonts w:asciiTheme="minorHAnsi" w:hAnsiTheme="minorHAnsi" w:cstheme="minorHAnsi"/>
          <w:b/>
          <w:bCs/>
          <w:szCs w:val="22"/>
          <w:lang w:val="en-GB"/>
        </w:rPr>
        <w:t>Geneva, 6–7 August 2019</w:t>
      </w:r>
    </w:p>
    <w:p w:rsidR="00D405D6" w:rsidRPr="003D0CF4" w:rsidRDefault="00D405D6" w:rsidP="00D405D6">
      <w:pPr>
        <w:spacing w:after="120" w:line="360" w:lineRule="auto"/>
        <w:jc w:val="center"/>
        <w:rPr>
          <w:rFonts w:asciiTheme="minorHAnsi" w:hAnsiTheme="minorHAnsi" w:cstheme="minorHAnsi"/>
          <w:b/>
          <w:sz w:val="22"/>
          <w:szCs w:val="22"/>
        </w:rPr>
      </w:pPr>
    </w:p>
    <w:p w:rsidR="00D405D6" w:rsidRPr="005770FA" w:rsidRDefault="00D405D6" w:rsidP="00D405D6">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Mr. Chairman, the esteemed members of the Committee on the Elimination of Racial Discrimination!</w:t>
      </w:r>
    </w:p>
    <w:p w:rsidR="00D405D6" w:rsidRPr="005770FA" w:rsidRDefault="00D405D6" w:rsidP="00BC197B">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 xml:space="preserve">I have the honour and pleasure to present to the honourable members of the Committee the </w:t>
      </w:r>
      <w:r>
        <w:rPr>
          <w:rFonts w:asciiTheme="minorHAnsi" w:hAnsiTheme="minorHAnsi" w:cstheme="minorHAnsi"/>
          <w:i/>
          <w:iCs/>
          <w:sz w:val="22"/>
          <w:szCs w:val="22"/>
          <w:lang w:val="en-GB"/>
        </w:rPr>
        <w:t>22nd, 23rd and 24th Periodic report of the Government of the Republic of Poland on the implementation of the provisions of the International Convention on the Elimination of All Forms of Racial Discrimination</w:t>
      </w:r>
      <w:r>
        <w:rPr>
          <w:rFonts w:asciiTheme="minorHAnsi" w:hAnsiTheme="minorHAnsi" w:cstheme="minorHAnsi"/>
          <w:sz w:val="22"/>
          <w:szCs w:val="22"/>
          <w:lang w:val="en-GB"/>
        </w:rPr>
        <w:t xml:space="preserve"> for the period between January 2012 and December 2017. </w:t>
      </w:r>
    </w:p>
    <w:p w:rsidR="00D405D6" w:rsidRPr="005770FA" w:rsidRDefault="00D405D6" w:rsidP="00BC197B">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 xml:space="preserve">The Government of the Republic of Poland has attentively examined the </w:t>
      </w:r>
      <w:r>
        <w:rPr>
          <w:rFonts w:asciiTheme="minorHAnsi" w:hAnsiTheme="minorHAnsi" w:cstheme="minorHAnsi"/>
          <w:i/>
          <w:iCs/>
          <w:sz w:val="22"/>
          <w:szCs w:val="22"/>
          <w:lang w:val="en-GB"/>
        </w:rPr>
        <w:t>Concluding observations of the Committee on the Elimination of Racial Discrimination</w:t>
      </w:r>
      <w:r>
        <w:rPr>
          <w:rFonts w:asciiTheme="minorHAnsi" w:hAnsiTheme="minorHAnsi" w:cstheme="minorHAnsi"/>
          <w:sz w:val="22"/>
          <w:szCs w:val="22"/>
          <w:lang w:val="en-GB"/>
        </w:rPr>
        <w:t xml:space="preserve"> forwarded by the Committee upon examining Poland’s previous reports. The Polish Government also made every effort to implement all the recommendations of the Committee, taking them as guidelines when developing its non-discrimination policy, drawing up legislative changes and disseminating good practices. </w:t>
      </w:r>
    </w:p>
    <w:p w:rsidR="00D405D6" w:rsidRPr="005770FA" w:rsidRDefault="00D405D6" w:rsidP="00BC197B">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sz w:val="22"/>
          <w:szCs w:val="22"/>
          <w:lang w:val="en-GB"/>
        </w:rPr>
        <w:lastRenderedPageBreak/>
        <w:t xml:space="preserve">Both in the reporting period and the following years, the Polish Government undertook several initiatives aimed at enhancing legal guarantees for equal treatment irrespective of sex, race, ethnic origin, nationality, religion or belief, political opinion, age or sexual orientation, as well as in the field of countering hate crime, and also initiatives aiming to improve the efficiency of the existing legislative solutions in this area. Creating a streamlined institutional system for tackling </w:t>
      </w:r>
      <w:r>
        <w:rPr>
          <w:rFonts w:asciiTheme="minorHAnsi" w:hAnsiTheme="minorHAnsi" w:cstheme="minorHAnsi"/>
          <w:color w:val="000000" w:themeColor="text1"/>
          <w:sz w:val="22"/>
          <w:szCs w:val="22"/>
          <w:lang w:val="en-GB"/>
        </w:rPr>
        <w:t>discrimination, xenophobia and racism</w:t>
      </w:r>
      <w:r>
        <w:rPr>
          <w:lang w:val="en-GB"/>
        </w:rPr>
        <w:t xml:space="preserve"> was and still is an integral part of the actions taken by the Polish Government.</w:t>
      </w:r>
      <w:r>
        <w:rPr>
          <w:rFonts w:asciiTheme="minorHAnsi" w:hAnsiTheme="minorHAnsi" w:cstheme="minorHAnsi"/>
          <w:color w:val="000000" w:themeColor="text1"/>
          <w:sz w:val="22"/>
          <w:szCs w:val="22"/>
          <w:lang w:val="en-GB"/>
        </w:rPr>
        <w:t xml:space="preserve"> </w:t>
      </w:r>
    </w:p>
    <w:p w:rsidR="00503140" w:rsidRPr="005770FA" w:rsidRDefault="00503140" w:rsidP="00BC197B">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Issues related to tackling any form of discrimination were included in the work of at least four inter-ministerial groups, including the Council for the Prevention of Racial Discrimination, Xenophobia and Related Intolerance, the Inter-ministerial Team for preventing the promotion of fascism and other totalitarian systems and crimes of incitement to hatred based on national, ethnic, race or religious differences or for reason of lack of any religious denomination, and the Joint Committee of the Government and the National and Ethnic Minorities at the Ministry of the Interior and Administration, or the Committee of the National and Ethnic Minorities of the Sejm of the Republic of Poland.</w:t>
      </w:r>
    </w:p>
    <w:p w:rsidR="00BC4AC7" w:rsidRPr="005770FA" w:rsidRDefault="0052150D" w:rsidP="00BC197B">
      <w:pPr>
        <w:spacing w:after="12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sz w:val="22"/>
          <w:szCs w:val="22"/>
          <w:lang w:val="en-GB"/>
        </w:rPr>
        <w:t xml:space="preserve">In the reporting period, Poland has extended the scope of legal rules that guarantee the practical implementation of the equal treatment principle, and undertook actions to incorporate the issue of equal treatment into the government’s mainstream policies. </w:t>
      </w:r>
      <w:r>
        <w:rPr>
          <w:rFonts w:asciiTheme="minorHAnsi" w:hAnsiTheme="minorHAnsi" w:cstheme="minorHAnsi"/>
          <w:color w:val="000000" w:themeColor="text1"/>
          <w:sz w:val="22"/>
          <w:szCs w:val="22"/>
          <w:lang w:val="en-GB"/>
        </w:rPr>
        <w:t xml:space="preserve">The Polish Government attaches great importance to ensuring that all persons under its jurisdiction fully enjoy their rights. Polish law, considered as a comprehensive system, provides effective protection against discrimination and is in line with international standards. </w:t>
      </w:r>
      <w:r>
        <w:rPr>
          <w:rFonts w:asciiTheme="minorHAnsi" w:hAnsiTheme="minorHAnsi" w:cstheme="minorHAnsi"/>
          <w:sz w:val="22"/>
          <w:szCs w:val="22"/>
          <w:lang w:val="en-GB"/>
        </w:rPr>
        <w:t xml:space="preserve">The equality principle and the prohibition of </w:t>
      </w:r>
      <w:r>
        <w:rPr>
          <w:rFonts w:asciiTheme="minorHAnsi" w:hAnsiTheme="minorHAnsi" w:cstheme="minorHAnsi"/>
          <w:sz w:val="22"/>
          <w:szCs w:val="22"/>
          <w:lang w:val="en-GB"/>
        </w:rPr>
        <w:lastRenderedPageBreak/>
        <w:t xml:space="preserve">discrimination rank as constitutional principles. Appropriate </w:t>
      </w:r>
      <w:r>
        <w:rPr>
          <w:rFonts w:asciiTheme="minorHAnsi" w:hAnsiTheme="minorHAnsi" w:cstheme="minorHAnsi"/>
          <w:color w:val="000000" w:themeColor="text1"/>
          <w:sz w:val="22"/>
          <w:szCs w:val="22"/>
          <w:lang w:val="en-GB"/>
        </w:rPr>
        <w:t xml:space="preserve">guarantees protecting against any breach of the prohibition of discrimination are also included in the criminal law, labour law and several specific acts. </w:t>
      </w:r>
    </w:p>
    <w:p w:rsidR="00BC4AC7" w:rsidRPr="005770FA" w:rsidRDefault="00BC4AC7" w:rsidP="00BC197B">
      <w:pPr>
        <w:spacing w:after="12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With regard to the Act on the implementation of certain European Union provisions on equal treatment (also known as the Act on non-discrimination), it is worth noting that the scope of protection provided in the Act with regard to race, nationality and ethnic origin is the widest possible, covering such areas as education, labour market, schools and universities, healthcare, social security, and access to and conditions for the use of goods and services.</w:t>
      </w:r>
    </w:p>
    <w:p w:rsidR="00BC4AC7" w:rsidRPr="005770FA" w:rsidRDefault="00BC4AC7" w:rsidP="00BC197B">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The Government Plenipotentiary for Equal Treatment in cooperation with 16 Voivodeship Plenipotentiaries for Equal Treatment (appointed in all voivodeships) and Equal Treatment Coordinators (appointed in all ministries, the Chancellery of the Prime Minister and Statistics Poland) constitute the national mechanism for equal treatment and conduct activities to eliminate discrimination and systematically include the equality principle to government policies, also at the regional level. The said mechanism will be strengthened, for instance, by implementing the Knowledge, Education, Development Operational Programme in 2018–2020. The Programme includes training courses and diagnostic activities at the central and regional level, covering for the first time also the issue of combined discrimination – based on sex and other characteristics, such as race, nationality and ethnic origin. In addition, a model of inter-institutional cooperation for equal treatment will be developed. </w:t>
      </w:r>
    </w:p>
    <w:p w:rsidR="0052150D" w:rsidRPr="005770FA" w:rsidRDefault="00BC4AC7" w:rsidP="00BC197B">
      <w:pPr>
        <w:spacing w:after="120" w:line="360" w:lineRule="auto"/>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 xml:space="preserve">In the period considered, substantial changes were introduced to the legislation and good practices. The Act of 12 December 2013 </w:t>
      </w:r>
      <w:r>
        <w:rPr>
          <w:rFonts w:asciiTheme="minorHAnsi" w:hAnsiTheme="minorHAnsi" w:cstheme="minorHAnsi"/>
          <w:color w:val="000000"/>
          <w:sz w:val="22"/>
          <w:szCs w:val="22"/>
          <w:lang w:val="en-GB"/>
        </w:rPr>
        <w:lastRenderedPageBreak/>
        <w:t>on foreigners, which extends the competences of authorities concerning migration and existing procedures, entered into force on 1 May 2014. The measures adopted in the Act were supported by intentions related to the rationalisation of migration procedures and alignment of the national law with the Union and international law.</w:t>
      </w:r>
    </w:p>
    <w:p w:rsidR="0052150D" w:rsidRPr="005770FA" w:rsidRDefault="0052150D" w:rsidP="00BC197B">
      <w:pPr>
        <w:spacing w:after="120" w:line="360" w:lineRule="auto"/>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As far as is relevant for eliminating racial discrimination and applying the principle of non-refoulement, the Act:</w:t>
      </w:r>
    </w:p>
    <w:p w:rsidR="0052150D" w:rsidRPr="005770FA" w:rsidRDefault="0052150D" w:rsidP="00BC197B">
      <w:pPr>
        <w:spacing w:after="120" w:line="360" w:lineRule="auto"/>
        <w:ind w:left="284"/>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 introduced a temporary residence permit for foreigners staying in Poland illegally, if their stay arises from the need to respect the right to family life within the meaning of the Convention for the Protection of Human Rights and Fundamental Freedoms signed on 4 November 1950 in Rome;</w:t>
      </w:r>
    </w:p>
    <w:p w:rsidR="0052150D" w:rsidRPr="005770FA" w:rsidRDefault="0052150D" w:rsidP="00BC197B">
      <w:pPr>
        <w:spacing w:after="120" w:line="360" w:lineRule="auto"/>
        <w:ind w:left="284"/>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 introduced a temporary residence permit for foreigners staying in Poland illegally if their return could violate the rights of a child, as defined in the Convention on the Rights of the Child, adopted by the General Assembly of the United Nations on 20 November 1989, in a manner which may represent a serious threat to his/her psychophysical development;</w:t>
      </w:r>
    </w:p>
    <w:p w:rsidR="0052150D" w:rsidRPr="005770FA" w:rsidRDefault="0052150D" w:rsidP="00BC197B">
      <w:pPr>
        <w:spacing w:after="120" w:line="360" w:lineRule="auto"/>
        <w:ind w:left="284"/>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 replaced the previous tolerated stay permit with a humanitarian residence permit and a tolerated stay permit, which – during the return procedure – ensure the respect for the right to life, freedom from torture or other inhuman or degrading treatment, freedom from forced labour, respect for the right to a fair trial and freedom from punishing without legal basis, and respect for their right to private and family life and the rights of a child laid down in the aforementioned Conventions. With the inclusion of the right to private life, the above solutions significantly expanded the capacities to provide protection;</w:t>
      </w:r>
    </w:p>
    <w:p w:rsidR="0052150D" w:rsidRPr="005770FA" w:rsidRDefault="0052150D" w:rsidP="00BC197B">
      <w:pPr>
        <w:spacing w:after="120" w:line="360" w:lineRule="auto"/>
        <w:ind w:left="284"/>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lastRenderedPageBreak/>
        <w:t>– introduced a catalogue of measures alternative to detention in return procedures and comprehensively regulated the possibility of extending the time allowed to leave the territory of Poland in the case of issuing a return decision;</w:t>
      </w:r>
    </w:p>
    <w:p w:rsidR="0052150D" w:rsidRPr="005770FA" w:rsidRDefault="0052150D" w:rsidP="00BC197B">
      <w:pPr>
        <w:spacing w:after="120" w:line="360" w:lineRule="auto"/>
        <w:ind w:left="284"/>
        <w:jc w:val="both"/>
        <w:rPr>
          <w:rFonts w:asciiTheme="minorHAnsi" w:hAnsiTheme="minorHAnsi" w:cstheme="minorHAnsi"/>
          <w:color w:val="000000"/>
          <w:sz w:val="22"/>
          <w:szCs w:val="22"/>
        </w:rPr>
      </w:pPr>
      <w:r>
        <w:rPr>
          <w:rFonts w:asciiTheme="minorHAnsi" w:hAnsiTheme="minorHAnsi" w:cstheme="minorHAnsi"/>
          <w:color w:val="000000"/>
          <w:sz w:val="22"/>
          <w:szCs w:val="22"/>
          <w:lang w:val="en-GB"/>
        </w:rPr>
        <w:t>– provided for a relative suspensory nature of complaints lodged to the Voivodship Administrative Court against a final return decision.</w:t>
      </w:r>
    </w:p>
    <w:p w:rsidR="009F72D9" w:rsidRDefault="009F72D9" w:rsidP="00BC197B">
      <w:pPr>
        <w:spacing w:after="12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Since July 2015, with a view to taking into account the specific needs of various groups of foreigners applying for international protection, the Office for Foreigners has also been providing psychological care under the medical assistance scheme. Every year, more than 4,000 psychological consultations are carried out.</w:t>
      </w:r>
    </w:p>
    <w:p w:rsidR="00BC4AC7" w:rsidRPr="005770FA" w:rsidRDefault="009F72D9" w:rsidP="00BC197B">
      <w:pPr>
        <w:spacing w:after="12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 xml:space="preserve">Since April 2017, in turn, as part of the infrastructure enabling the reception of persons applying for international protection, an “Epidemiological Filter” has been in operation in Biała Podlaska, that is a separate healthcare unit where foreigners seeking international protection are diagnosed. The Filter is a modern facility, both in terms of equipment and operation. The investment modernised the process of initial health verification of persons crossing Poland’s eastern border of Poland and applying for the refugee procedure in respect of the clinical, epidemiological and sanitary aspects. The facility houses three divisions: administrative and reception division, medical and diagnostics division and isolation division, tailored to the needs of adults and children. The facility features both stationary medical equipment – an X-ray unit, critical parameter analysers, CPR devices – and additional equipment such as medical tents, vehicles intended for persons with disabilities or wastewater disinfection stations. During its first year of operation, a total of nearly 1,500 people were examined in the facility, including about 700 adults and 800 children. </w:t>
      </w:r>
      <w:r>
        <w:rPr>
          <w:rFonts w:asciiTheme="minorHAnsi" w:hAnsiTheme="minorHAnsi" w:cstheme="minorHAnsi"/>
          <w:color w:val="000000" w:themeColor="text1"/>
          <w:sz w:val="22"/>
          <w:szCs w:val="22"/>
          <w:lang w:val="en-GB"/>
        </w:rPr>
        <w:lastRenderedPageBreak/>
        <w:t xml:space="preserve">The project was implemented as part of the Swiss-Polish Cooperation Programme. </w:t>
      </w:r>
    </w:p>
    <w:p w:rsidR="00BC4AC7" w:rsidRPr="005770FA" w:rsidRDefault="00BC4AC7" w:rsidP="008727F6">
      <w:pPr>
        <w:spacing w:after="120"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 xml:space="preserve">It should also be emphasised how much progress Poland has made since 2012 in terms of approach to detention of migrants. Over these seven years, key changes in the management of guarded centres for foreigners have taken place. The improvement in the conditions of detention in guarded centres, gradual removal of window bars, liberalisation of the rules of detention, moving away from “prison-like” elements, and the introduction of rules for dealing with persons from vulnerable groups are just some examples. Of crucial importance was also the introduction of measures alternative to detention in 2014 by means of the </w:t>
      </w:r>
      <w:r>
        <w:rPr>
          <w:rFonts w:asciiTheme="minorHAnsi" w:hAnsiTheme="minorHAnsi" w:cstheme="minorHAnsi"/>
          <w:i/>
          <w:iCs/>
          <w:color w:val="000000" w:themeColor="text1"/>
          <w:sz w:val="22"/>
          <w:szCs w:val="22"/>
          <w:lang w:val="en-GB"/>
        </w:rPr>
        <w:t>Act of 12 December 2013 on foreigners.</w:t>
      </w:r>
    </w:p>
    <w:p w:rsidR="00E3758F" w:rsidRPr="005770FA" w:rsidRDefault="008727F6" w:rsidP="008727F6">
      <w:pPr>
        <w:pStyle w:val="menfont"/>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Another important measure is the amendment of the Ordinance of the Minister of National Education of 14 November 2007 </w:t>
      </w:r>
      <w:r>
        <w:rPr>
          <w:rFonts w:asciiTheme="minorHAnsi" w:hAnsiTheme="minorHAnsi" w:cstheme="minorHAnsi"/>
          <w:i/>
          <w:iCs/>
          <w:sz w:val="22"/>
          <w:szCs w:val="22"/>
          <w:lang w:val="en-GB"/>
        </w:rPr>
        <w:t>on conditions and manner of performance by preschools, schools and public educational institutions of tasks supporting national, ethnic and linguistic identity of students from national and ethnic minorities and the community speaking the regional language</w:t>
      </w:r>
      <w:r>
        <w:rPr>
          <w:rFonts w:asciiTheme="minorHAnsi" w:hAnsiTheme="minorHAnsi" w:cstheme="minorHAnsi"/>
          <w:sz w:val="22"/>
          <w:szCs w:val="22"/>
          <w:lang w:val="en-GB"/>
        </w:rPr>
        <w:t xml:space="preserve"> (of 4 April 2012):</w:t>
      </w:r>
    </w:p>
    <w:p w:rsidR="00E3758F" w:rsidRPr="005770FA" w:rsidRDefault="00E3758F" w:rsidP="008727F6">
      <w:pPr>
        <w:pStyle w:val="menfont"/>
        <w:numPr>
          <w:ilvl w:val="0"/>
          <w:numId w:val="1"/>
        </w:numPr>
        <w:spacing w:after="120" w:line="360" w:lineRule="auto"/>
        <w:ind w:left="426" w:hanging="284"/>
        <w:jc w:val="both"/>
        <w:rPr>
          <w:rFonts w:asciiTheme="minorHAnsi" w:hAnsiTheme="minorHAnsi" w:cstheme="minorHAnsi"/>
          <w:sz w:val="22"/>
          <w:szCs w:val="22"/>
        </w:rPr>
      </w:pPr>
      <w:r>
        <w:rPr>
          <w:rFonts w:asciiTheme="minorHAnsi" w:hAnsiTheme="minorHAnsi" w:cstheme="minorHAnsi"/>
          <w:sz w:val="22"/>
          <w:szCs w:val="22"/>
          <w:lang w:val="en-GB"/>
        </w:rPr>
        <w:t xml:space="preserve">it introduced a new subject dubbed “native history and culture” as part of a combined educational package “minority language + native history and culture” guaranteed by the Polish state to national and ethnic minorities as well as communities speaking regional languages, </w:t>
      </w:r>
    </w:p>
    <w:p w:rsidR="00E3758F" w:rsidRPr="005770FA" w:rsidRDefault="00E3758F" w:rsidP="008727F6">
      <w:pPr>
        <w:pStyle w:val="menfont"/>
        <w:numPr>
          <w:ilvl w:val="0"/>
          <w:numId w:val="1"/>
        </w:numPr>
        <w:spacing w:after="120" w:line="360" w:lineRule="auto"/>
        <w:ind w:left="426" w:hanging="284"/>
        <w:jc w:val="both"/>
        <w:rPr>
          <w:rFonts w:asciiTheme="minorHAnsi" w:hAnsiTheme="minorHAnsi" w:cstheme="minorHAnsi"/>
          <w:sz w:val="22"/>
          <w:szCs w:val="22"/>
        </w:rPr>
      </w:pPr>
      <w:r>
        <w:rPr>
          <w:rFonts w:asciiTheme="minorHAnsi" w:hAnsiTheme="minorHAnsi" w:cstheme="minorHAnsi"/>
          <w:sz w:val="22"/>
          <w:szCs w:val="22"/>
          <w:lang w:val="en-GB"/>
        </w:rPr>
        <w:t>it allowed kindergartens to take up additional education tasks to support and develop the sense of ethnic identity of Roma students and assist their education, in particular by conducting compensatory classes and appointing a Roma education assistant.</w:t>
      </w:r>
    </w:p>
    <w:p w:rsidR="00E3758F" w:rsidRPr="005770FA" w:rsidRDefault="00E3758F" w:rsidP="008727F6">
      <w:pPr>
        <w:spacing w:after="120" w:line="360" w:lineRule="auto"/>
        <w:jc w:val="both"/>
        <w:rPr>
          <w:rFonts w:asciiTheme="minorHAnsi" w:hAnsiTheme="minorHAnsi" w:cstheme="minorHAnsi"/>
          <w:color w:val="000000" w:themeColor="text1"/>
          <w:sz w:val="22"/>
          <w:szCs w:val="22"/>
        </w:rPr>
      </w:pPr>
    </w:p>
    <w:p w:rsidR="009F76A3" w:rsidRPr="005770FA" w:rsidRDefault="009F76A3" w:rsidP="008727F6">
      <w:pPr>
        <w:pStyle w:val="NoSpacing"/>
        <w:spacing w:after="120" w:line="360" w:lineRule="auto"/>
        <w:ind w:firstLine="567"/>
        <w:jc w:val="both"/>
        <w:rPr>
          <w:rFonts w:cstheme="minorHAnsi"/>
        </w:rPr>
      </w:pPr>
      <w:r>
        <w:rPr>
          <w:rFonts w:cstheme="minorHAnsi"/>
          <w:color w:val="000000" w:themeColor="text1"/>
          <w:lang w:val="en-GB"/>
        </w:rPr>
        <w:t xml:space="preserve">In addition to legislative actions, racial discrimination issues are and will continue to be present in training courses organised for all representatives involved in combating this phenomenon. </w:t>
      </w:r>
      <w:r>
        <w:rPr>
          <w:rFonts w:cstheme="minorHAnsi"/>
          <w:lang w:val="en-GB"/>
        </w:rPr>
        <w:t>Noticing the need to improve the qualifications of own staff, selected employees, including the employees of the National Labour Inspectorate and the Prison Service, participated in a series of training courses on equal treatment and non-discrimination. The training aimed to raise the participants’ awareness and develop sensitivity to issues related to cultural distinctiveness and diversity and the presence of migrants in social life.</w:t>
      </w:r>
    </w:p>
    <w:p w:rsidR="00F57499" w:rsidRPr="005770FA" w:rsidRDefault="009F76A3" w:rsidP="00BC197B">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sz w:val="22"/>
          <w:szCs w:val="22"/>
          <w:lang w:val="en-GB"/>
        </w:rPr>
        <w:t>It is worth mentioning that in the area of fighting hate crimes, in 2015, the Police, together with the Ministry of the Interior and Administration, launched a series of training sessions in the form of workshops entitled “</w:t>
      </w:r>
      <w:r>
        <w:rPr>
          <w:rFonts w:asciiTheme="minorHAnsi" w:hAnsiTheme="minorHAnsi" w:cstheme="minorHAnsi"/>
          <w:i/>
          <w:iCs/>
          <w:sz w:val="22"/>
          <w:szCs w:val="22"/>
          <w:lang w:val="en-GB"/>
        </w:rPr>
        <w:t>Combating racist and xenophobic offences</w:t>
      </w:r>
      <w:r>
        <w:rPr>
          <w:rFonts w:asciiTheme="minorHAnsi" w:hAnsiTheme="minorHAnsi" w:cstheme="minorHAnsi"/>
          <w:sz w:val="22"/>
          <w:szCs w:val="22"/>
          <w:lang w:val="en-GB"/>
        </w:rPr>
        <w:t xml:space="preserve">”. The workshops are addressed to Police officers working in investigative units of the criminal service who perform tasks in cases related to the said crime categories. The training focuses primarily on the legal aspects of fighting crimes motivated by prejudices, including offences committed through the Internet. An important element of the training is discussing international legal and constitutional regulations referring to hate speech and freedom of expression. The said training sessions are attended by speakers representing governmental institutions such as the Ministry of the Interior and Administration, the Ministry of Justice, the National Public Prosecutor’s Office, the Office of the Commissioner for Human Rights and social organisations dealing with human rights and discrimination in general. In total, between 2015 and 2019, the workshops were attended by 169 Police officers from all Police garrisons, who conduct preparatory </w:t>
      </w:r>
      <w:r>
        <w:rPr>
          <w:rFonts w:asciiTheme="minorHAnsi" w:hAnsiTheme="minorHAnsi" w:cstheme="minorHAnsi"/>
          <w:sz w:val="22"/>
          <w:szCs w:val="22"/>
          <w:lang w:val="en-GB"/>
        </w:rPr>
        <w:lastRenderedPageBreak/>
        <w:t>proceedings relating to hate crimes. The workshops are also attended by officers from the Internal Security Agency, the Border Guard and the Military Gendarmerie.</w:t>
      </w:r>
    </w:p>
    <w:p w:rsidR="008E57F3" w:rsidRPr="005770FA" w:rsidRDefault="008E57F3" w:rsidP="00BC197B">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Since 2009, the Polish Police has been implementing the Law Enforcement Officer Programme on Combating Hate Crime (LEOP). The Programme is focused on ensuring the safety of all those who may become the potential victims of hate crimes. It aims to </w:t>
      </w:r>
      <w:r>
        <w:rPr>
          <w:rStyle w:val="longtext"/>
          <w:rFonts w:asciiTheme="minorHAnsi" w:hAnsiTheme="minorHAnsi" w:cstheme="minorHAnsi"/>
          <w:sz w:val="22"/>
          <w:szCs w:val="22"/>
          <w:shd w:val="clear" w:color="auto" w:fill="FFFFFF"/>
          <w:lang w:val="en-GB"/>
        </w:rPr>
        <w:t>raise the competence of Police officers</w:t>
      </w:r>
      <w:r>
        <w:rPr>
          <w:rFonts w:asciiTheme="minorHAnsi" w:hAnsiTheme="minorHAnsi" w:cstheme="minorHAnsi"/>
          <w:sz w:val="22"/>
          <w:szCs w:val="22"/>
          <w:lang w:val="en-GB"/>
        </w:rPr>
        <w:t xml:space="preserve"> </w:t>
      </w:r>
      <w:r>
        <w:rPr>
          <w:rStyle w:val="longtext"/>
          <w:rFonts w:asciiTheme="minorHAnsi" w:hAnsiTheme="minorHAnsi" w:cstheme="minorHAnsi"/>
          <w:sz w:val="22"/>
          <w:szCs w:val="22"/>
          <w:shd w:val="clear" w:color="auto" w:fill="FFFFFF"/>
          <w:lang w:val="en-GB"/>
        </w:rPr>
        <w:t xml:space="preserve">in the area of </w:t>
      </w:r>
      <w:r>
        <w:rPr>
          <w:rFonts w:asciiTheme="minorHAnsi" w:hAnsiTheme="minorHAnsi" w:cstheme="minorHAnsi"/>
          <w:sz w:val="22"/>
          <w:szCs w:val="22"/>
          <w:lang w:val="en-GB"/>
        </w:rPr>
        <w:t xml:space="preserve">conducting activities when certain events occur which may be potential hate crimes, and </w:t>
      </w:r>
      <w:r>
        <w:rPr>
          <w:rStyle w:val="longtext"/>
          <w:rFonts w:asciiTheme="minorHAnsi" w:hAnsiTheme="minorHAnsi" w:cstheme="minorHAnsi"/>
          <w:sz w:val="22"/>
          <w:szCs w:val="22"/>
          <w:shd w:val="clear" w:color="auto" w:fill="FFFFFF"/>
          <w:lang w:val="en-GB"/>
        </w:rPr>
        <w:t xml:space="preserve">providing them with the skills to deal with the victims of such crimes and raising the officers’ awareness of discrimination, including discrimination by Police officers themselves. </w:t>
      </w:r>
      <w:r>
        <w:rPr>
          <w:rFonts w:asciiTheme="minorHAnsi" w:hAnsiTheme="minorHAnsi" w:cstheme="minorHAnsi"/>
          <w:sz w:val="22"/>
          <w:szCs w:val="22"/>
          <w:lang w:val="en-GB"/>
        </w:rPr>
        <w:t>Since 2013, the training has also been extended to members of the management staff of the Police units, as persons setting out the directions of officers’ activities within a given unit, including the manner in which Police officers deal with hate crimes.   It should be emphasised that the way the LEOP programme has been implemented in Poland was very positively evaluated by ODIHR OSCE and is treated by this organisation as a good practice. Since 2016, a new version of the programme has been implemented, entitled “</w:t>
      </w:r>
      <w:r>
        <w:rPr>
          <w:rFonts w:asciiTheme="minorHAnsi" w:hAnsiTheme="minorHAnsi" w:cstheme="minorHAnsi"/>
          <w:i/>
          <w:iCs/>
          <w:sz w:val="22"/>
          <w:szCs w:val="22"/>
          <w:lang w:val="en-GB"/>
        </w:rPr>
        <w:t xml:space="preserve">Training Against Hate Crimes for Law Enforcement” </w:t>
      </w:r>
      <w:r>
        <w:rPr>
          <w:rFonts w:asciiTheme="minorHAnsi" w:hAnsiTheme="minorHAnsi" w:cstheme="minorHAnsi"/>
          <w:sz w:val="22"/>
          <w:szCs w:val="22"/>
          <w:lang w:val="en-GB"/>
        </w:rPr>
        <w:t xml:space="preserve">(TAHCLE). The new version of the programme is a result of the revised and updated </w:t>
      </w:r>
      <w:r>
        <w:rPr>
          <w:rFonts w:asciiTheme="minorHAnsi" w:hAnsiTheme="minorHAnsi" w:cstheme="minorHAnsi"/>
          <w:i/>
          <w:iCs/>
          <w:sz w:val="22"/>
          <w:szCs w:val="22"/>
          <w:lang w:val="en-GB"/>
        </w:rPr>
        <w:t xml:space="preserve">Law Enforcement Officer Programme </w:t>
      </w:r>
      <w:r>
        <w:rPr>
          <w:rFonts w:asciiTheme="minorHAnsi" w:hAnsiTheme="minorHAnsi" w:cstheme="minorHAnsi"/>
          <w:sz w:val="22"/>
          <w:szCs w:val="22"/>
          <w:lang w:val="en-GB"/>
        </w:rPr>
        <w:t>(LEOP) which has been implemented to date. The aim of the TAHCLE programme is to ensure that all Police officers who may face hate crimes during their service are equipped with adequate knowledge to efficiently combat them. By the end of May 2019, a total of over 100 thousand officers, that is practically the whole headcount, completed their training as part of the LEOP and later the TAHCLE programme.</w:t>
      </w:r>
    </w:p>
    <w:p w:rsidR="008E57F3" w:rsidRPr="005770FA" w:rsidRDefault="008E57F3" w:rsidP="00BC197B">
      <w:pPr>
        <w:spacing w:after="120" w:line="360" w:lineRule="auto"/>
        <w:jc w:val="both"/>
        <w:rPr>
          <w:rFonts w:asciiTheme="minorHAnsi" w:hAnsiTheme="minorHAnsi" w:cstheme="minorHAnsi"/>
          <w:bCs/>
          <w:sz w:val="22"/>
          <w:szCs w:val="22"/>
        </w:rPr>
      </w:pPr>
      <w:r>
        <w:rPr>
          <w:rFonts w:asciiTheme="minorHAnsi" w:hAnsiTheme="minorHAnsi" w:cstheme="minorHAnsi"/>
          <w:sz w:val="22"/>
          <w:szCs w:val="22"/>
          <w:lang w:val="en-GB"/>
        </w:rPr>
        <w:lastRenderedPageBreak/>
        <w:t>A significant Police action was the development in 2018 and implementation of a preventive programme targeting the society, entitled the Police Action Plan for 2018–2021 on counteracting the promotion of fascism and other totalitarian systems and crimes of incitement to hatred based on national, ethnic, race or religious differences or lack of any religious denomination. The Police is also implementing an education and information Activity Plan for human rights and freedoms protection for the Police for 2019–2020.</w:t>
      </w:r>
    </w:p>
    <w:p w:rsidR="008E57F3" w:rsidRPr="005770FA" w:rsidRDefault="008E57F3" w:rsidP="00BC197B">
      <w:pPr>
        <w:spacing w:after="120" w:line="360" w:lineRule="auto"/>
        <w:jc w:val="both"/>
        <w:rPr>
          <w:rFonts w:asciiTheme="minorHAnsi" w:hAnsiTheme="minorHAnsi" w:cstheme="minorHAnsi"/>
          <w:bCs/>
          <w:i/>
          <w:sz w:val="22"/>
          <w:szCs w:val="22"/>
        </w:rPr>
      </w:pPr>
      <w:r>
        <w:rPr>
          <w:rFonts w:asciiTheme="minorHAnsi" w:hAnsiTheme="minorHAnsi" w:cstheme="minorHAnsi"/>
          <w:sz w:val="22"/>
          <w:szCs w:val="22"/>
          <w:lang w:val="en-GB"/>
        </w:rPr>
        <w:t>It is worth mentioning that a network of police plenipotentiaries for human rights protection responsible for protecting human rights, including through educating Police officers in non-discrimination-related topics, which has been operating since 2004, is constantly being developed. Currently, the network of plenipotentiaries is implementing a project dubbed “</w:t>
      </w:r>
      <w:r>
        <w:rPr>
          <w:rFonts w:asciiTheme="minorHAnsi" w:hAnsiTheme="minorHAnsi" w:cstheme="minorHAnsi"/>
          <w:i/>
          <w:iCs/>
          <w:sz w:val="22"/>
          <w:szCs w:val="22"/>
          <w:lang w:val="en-GB"/>
        </w:rPr>
        <w:t>The</w:t>
      </w:r>
      <w:r>
        <w:rPr>
          <w:rFonts w:asciiTheme="minorHAnsi" w:hAnsiTheme="minorHAnsi" w:cstheme="minorHAnsi"/>
          <w:sz w:val="22"/>
          <w:szCs w:val="22"/>
          <w:lang w:val="en-GB"/>
        </w:rPr>
        <w:t xml:space="preserve"> </w:t>
      </w:r>
      <w:r>
        <w:rPr>
          <w:rFonts w:asciiTheme="minorHAnsi" w:hAnsiTheme="minorHAnsi" w:cstheme="minorHAnsi"/>
          <w:i/>
          <w:iCs/>
          <w:sz w:val="22"/>
          <w:szCs w:val="22"/>
          <w:lang w:val="en-GB"/>
        </w:rPr>
        <w:t>Main education and information activity dimensions for the human rights and freedoms protection and equal opportunities in the Police”.</w:t>
      </w:r>
    </w:p>
    <w:p w:rsidR="008E57F3" w:rsidRPr="005770FA" w:rsidRDefault="008E57F3" w:rsidP="00BC197B">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Moreover, it should be noted that an Office for Combating Cybercrime was established at the General Police Headquarters in 2016. The tasks of Police officers include monitoring social media channels, online fora, online portals of particular national groups and other websites that might contain relevant content. In case of a discovery of hate speech crimes penalised under the </w:t>
      </w:r>
      <w:r>
        <w:rPr>
          <w:rFonts w:asciiTheme="minorHAnsi" w:hAnsiTheme="minorHAnsi" w:cstheme="minorHAnsi"/>
          <w:i/>
          <w:iCs/>
          <w:sz w:val="22"/>
          <w:szCs w:val="22"/>
          <w:lang w:val="en-GB"/>
        </w:rPr>
        <w:t>Penal Code</w:t>
      </w:r>
      <w:r>
        <w:rPr>
          <w:rFonts w:asciiTheme="minorHAnsi" w:hAnsiTheme="minorHAnsi" w:cstheme="minorHAnsi"/>
          <w:sz w:val="22"/>
          <w:szCs w:val="22"/>
          <w:lang w:val="en-GB"/>
        </w:rPr>
        <w:t xml:space="preserve">, a further proceeding is conducted in order to identify personal data of the Internet users responsible for their propagation. The Voivodeship Police Headquarters also have specialised units for fighting cybercrime. Their responsibilities involve monitoring online resources to disclose prohibited acts, including hate crimes. A co-ordinator of combating hate crimes in cyberspace has been appointed both at the General Police Headquarters and in Voivodeship Headquarters. </w:t>
      </w:r>
    </w:p>
    <w:p w:rsidR="008E57F3" w:rsidRPr="005770FA" w:rsidRDefault="008E57F3" w:rsidP="008D45EE">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lastRenderedPageBreak/>
        <w:t xml:space="preserve">Also, the National Public Prosecutor’s Office in subsequent years undertook several actions aimed to increase the effectiveness of prosecutions regarding crimes based on racial, religious, national or ethnic hatred or hatred related to lack of denomination. </w:t>
      </w:r>
      <w:r>
        <w:rPr>
          <w:rFonts w:asciiTheme="minorHAnsi" w:hAnsiTheme="minorHAnsi" w:cstheme="minorHAnsi"/>
          <w:sz w:val="22"/>
          <w:szCs w:val="22"/>
          <w:lang w:val="en-GB"/>
        </w:rPr>
        <w:t xml:space="preserve">These actions aim to improve the effectiveness of prosecution, detection of the perpetrators of such acts and to immediately bring them to justice. The said actions concern all forms of discrimination, not only on the grounds of race, but also nationality, ethnicity and religion. District and regional public prosecutor’s offices and the Preparatory Proceeding Department of the National Public Prosecutor’s Office conduct constant monitoring of cases relating to crimes based on national, ethnic, racial and religious differences, consisting in systematic collection and analysis of materials, including data concerning the forms, directions and dynamics of this type of criminal activity, the perpetrators’ </w:t>
      </w:r>
      <w:r>
        <w:rPr>
          <w:rFonts w:asciiTheme="minorHAnsi" w:hAnsiTheme="minorHAnsi" w:cstheme="minorHAnsi"/>
          <w:i/>
          <w:iCs/>
          <w:sz w:val="22"/>
          <w:szCs w:val="22"/>
          <w:lang w:val="en-GB"/>
        </w:rPr>
        <w:t>modus operandi</w:t>
      </w:r>
      <w:r>
        <w:rPr>
          <w:rFonts w:asciiTheme="minorHAnsi" w:hAnsiTheme="minorHAnsi" w:cstheme="minorHAnsi"/>
          <w:sz w:val="22"/>
          <w:szCs w:val="22"/>
          <w:lang w:val="en-GB"/>
        </w:rPr>
        <w:t xml:space="preserve"> and the aggravating circumstances.</w:t>
      </w:r>
    </w:p>
    <w:p w:rsidR="008E57F3" w:rsidRPr="005770FA" w:rsidRDefault="008E57F3" w:rsidP="00BC197B">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t>Special institutional and organisational frameworks have been developed for conducting proceedings concerning hate crimes based on national, ethnic, racial or religious differences (regardless of the nature of the perpetrator’s motives) to improve their efficiency and protect the rights of the victims.</w:t>
      </w:r>
    </w:p>
    <w:p w:rsidR="008E57F3" w:rsidRPr="005770FA" w:rsidRDefault="008E57F3" w:rsidP="00BC197B">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t xml:space="preserve">Initially, one (or more, if necessary) unit (from the regional public prosecutor’s office) competent for conducting cases from this category was appointed in all district public prosecutor’s offices. Then, two public prosecutors were designated in each of these units to conduct cases from this category. As a result, a special group of prosecutors was singled out from all prosecutors professionally engaged at the regional public prosecutor’s offices level (about 100) to handle these proceedings. These public prosecutors have benefited from training sessions organised, for instance, by the National School of Judiciary and Public Prosecution, </w:t>
      </w:r>
      <w:r>
        <w:rPr>
          <w:rFonts w:asciiTheme="minorHAnsi" w:hAnsiTheme="minorHAnsi" w:cstheme="minorHAnsi"/>
          <w:sz w:val="22"/>
          <w:szCs w:val="22"/>
          <w:lang w:val="en-GB"/>
        </w:rPr>
        <w:lastRenderedPageBreak/>
        <w:t>also in cooperation with OSCE under the PAHCT training programme “</w:t>
      </w:r>
      <w:r>
        <w:rPr>
          <w:rFonts w:asciiTheme="minorHAnsi" w:hAnsiTheme="minorHAnsi" w:cstheme="minorHAnsi"/>
          <w:i/>
          <w:iCs/>
          <w:sz w:val="22"/>
          <w:szCs w:val="22"/>
          <w:lang w:val="en-GB"/>
        </w:rPr>
        <w:t>Prosecutors and Hate Crimes Training</w:t>
      </w:r>
      <w:r>
        <w:rPr>
          <w:rFonts w:asciiTheme="minorHAnsi" w:hAnsiTheme="minorHAnsi" w:cstheme="minorHAnsi"/>
          <w:sz w:val="22"/>
          <w:szCs w:val="22"/>
          <w:lang w:val="en-GB"/>
        </w:rPr>
        <w:t>”, which served to improve professional knowledge on conducting proceedings from this category.  Moreover, one public prosecutor was appointed in each District Public Prosecutor’s Office to monitor this type of cases and one public prosecutor acting as a consultant in Regional Public Prosecutor’s Offices.</w:t>
      </w:r>
    </w:p>
    <w:p w:rsidR="008E57F3" w:rsidRPr="005770FA" w:rsidRDefault="008E57F3" w:rsidP="00BC197B">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t xml:space="preserve">Any preparatory proceedings concerning a hate crime are considered to be a matter of great importance and require a superior public prosecutor to be informed about its initiation, as well as about any actions and events in its course which may be significant for its progress. Upon receiving information on such a case, the public prosecutor managing the superior organisational unit assesses whether there are premises for a case to be subjected to superior official supervision.  </w:t>
      </w:r>
    </w:p>
    <w:p w:rsidR="008E57F3" w:rsidRPr="005770FA" w:rsidRDefault="008E57F3" w:rsidP="00BC197B">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t>The cases of hatred-motivated crimes which lead to denial or discontinuation of the preparatory proceeding are cyclically, after each half-year, evaluated by public prosecutors from superior units with respect to the regularity of conducting proceedings and the validity of decisions.</w:t>
      </w:r>
    </w:p>
    <w:p w:rsidR="008E57F3" w:rsidRPr="005770FA" w:rsidRDefault="008E57F3" w:rsidP="001F2C63">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t xml:space="preserve">At the end of each six-month period, a report is drawn up by a designated prosecutor on the examination of the correctness of criminal proceedings in this category of cases as part of the monitoring activity conducted at the Preparatory Proceeding Department of the National Public Prosecutor’s Office. This report, presented to the Prosecutor General, is forwarded to subordinate organisational units of the Public Prosecutor’s Office together with any substantive recommendations. </w:t>
      </w:r>
    </w:p>
    <w:p w:rsidR="00F57499" w:rsidRPr="005770FA" w:rsidRDefault="008E57F3" w:rsidP="001F2C63">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sz w:val="22"/>
          <w:szCs w:val="22"/>
          <w:lang w:val="en-GB"/>
        </w:rPr>
        <w:t xml:space="preserve">Due to the need to homogenise the practice of conducting criminal proceedings regarding cases in this category as well </w:t>
      </w:r>
      <w:r>
        <w:rPr>
          <w:rFonts w:asciiTheme="minorHAnsi" w:hAnsiTheme="minorHAnsi" w:cstheme="minorHAnsi"/>
          <w:sz w:val="22"/>
          <w:szCs w:val="22"/>
          <w:lang w:val="en-GB"/>
        </w:rPr>
        <w:lastRenderedPageBreak/>
        <w:t xml:space="preserve">as the need to eliminate any irregularities which may arise in their course, the Prosecutor General issued guidelines on conducting the proceedings concerning hate crimes on 26 February 2014.   </w:t>
      </w:r>
    </w:p>
    <w:p w:rsidR="008E57F3" w:rsidRPr="005770FA" w:rsidRDefault="00BC197B" w:rsidP="001F2C63">
      <w:pPr>
        <w:spacing w:after="120" w:line="360" w:lineRule="auto"/>
        <w:ind w:left="1" w:firstLine="708"/>
        <w:jc w:val="both"/>
        <w:rPr>
          <w:rFonts w:asciiTheme="minorHAnsi" w:hAnsiTheme="minorHAnsi" w:cstheme="minorHAnsi"/>
          <w:sz w:val="22"/>
          <w:szCs w:val="22"/>
        </w:rPr>
      </w:pPr>
      <w:r>
        <w:rPr>
          <w:rFonts w:asciiTheme="minorHAnsi" w:hAnsiTheme="minorHAnsi" w:cstheme="minorHAnsi"/>
          <w:sz w:val="22"/>
          <w:szCs w:val="22"/>
          <w:lang w:val="en-GB"/>
        </w:rPr>
        <w:t>The proper preparation of future judges and public prosecutors to fight against such behaviours is another highly significant element of the national system for counteracting human rights abuse. Between January 2018 and May 2019, the National School of Judiciary and Public Prosecution continued organising training on human rights addressed to judges and public prosecutors, including areas regulated by the Convention on the Elimination of All Forms of Racial Discrimination. In 2018, training was organised for judges coordinators for international cooperation and human rights in civil cases and for judges coordinators for international cooperation and human rights in criminal cases.</w:t>
      </w:r>
    </w:p>
    <w:p w:rsidR="008E57F3" w:rsidRPr="005770FA" w:rsidRDefault="008E57F3" w:rsidP="001F2C63">
      <w:pPr>
        <w:spacing w:after="120" w:line="360" w:lineRule="auto"/>
        <w:ind w:left="1" w:firstLine="708"/>
        <w:jc w:val="both"/>
        <w:rPr>
          <w:rFonts w:asciiTheme="minorHAnsi" w:hAnsiTheme="minorHAnsi" w:cstheme="minorHAnsi"/>
          <w:sz w:val="22"/>
          <w:szCs w:val="22"/>
        </w:rPr>
      </w:pPr>
      <w:r>
        <w:rPr>
          <w:rFonts w:asciiTheme="minorHAnsi" w:hAnsiTheme="minorHAnsi" w:cstheme="minorHAnsi"/>
          <w:sz w:val="22"/>
          <w:szCs w:val="22"/>
          <w:lang w:val="en-GB"/>
        </w:rPr>
        <w:t>In the aforementioned period, the National School also enabled Polish judges and public prosecutors to participate in international training events on non-discrimination and human rights. Both in 2018 and 2019, international training meetings titled “</w:t>
      </w:r>
      <w:r>
        <w:rPr>
          <w:rFonts w:asciiTheme="minorHAnsi" w:hAnsiTheme="minorHAnsi" w:cstheme="minorHAnsi"/>
          <w:i/>
          <w:iCs/>
          <w:sz w:val="22"/>
          <w:szCs w:val="22"/>
          <w:lang w:val="en-GB"/>
        </w:rPr>
        <w:t>Non-discrimination law in the European Union</w:t>
      </w:r>
      <w:r>
        <w:rPr>
          <w:rFonts w:asciiTheme="minorHAnsi" w:hAnsiTheme="minorHAnsi" w:cstheme="minorHAnsi"/>
          <w:sz w:val="22"/>
          <w:szCs w:val="22"/>
          <w:lang w:val="en-GB"/>
        </w:rPr>
        <w:t>” and “</w:t>
      </w:r>
      <w:r>
        <w:rPr>
          <w:rFonts w:asciiTheme="minorHAnsi" w:hAnsiTheme="minorHAnsi" w:cstheme="minorHAnsi"/>
          <w:i/>
          <w:iCs/>
          <w:sz w:val="22"/>
          <w:szCs w:val="22"/>
          <w:lang w:val="en-GB"/>
        </w:rPr>
        <w:t>Gender Equality Law</w:t>
      </w:r>
      <w:r>
        <w:rPr>
          <w:rFonts w:asciiTheme="minorHAnsi" w:hAnsiTheme="minorHAnsi" w:cstheme="minorHAnsi"/>
          <w:sz w:val="22"/>
          <w:szCs w:val="22"/>
          <w:lang w:val="en-GB"/>
        </w:rPr>
        <w:t>” were organised in cooperation with the Academy of European Law (ERA) in Trier. Furthermore, in 2018 Polish judges and prosecutors were given the opportunity to participate in an international conference entitled “</w:t>
      </w:r>
      <w:r>
        <w:rPr>
          <w:rFonts w:asciiTheme="minorHAnsi" w:hAnsiTheme="minorHAnsi" w:cstheme="minorHAnsi"/>
          <w:i/>
          <w:iCs/>
          <w:sz w:val="22"/>
          <w:szCs w:val="22"/>
          <w:lang w:val="en-GB"/>
        </w:rPr>
        <w:t xml:space="preserve">Hate Speech and the Media” </w:t>
      </w:r>
      <w:r>
        <w:rPr>
          <w:rFonts w:asciiTheme="minorHAnsi" w:hAnsiTheme="minorHAnsi" w:cstheme="minorHAnsi"/>
          <w:sz w:val="22"/>
          <w:szCs w:val="22"/>
          <w:lang w:val="en-GB"/>
        </w:rPr>
        <w:t xml:space="preserve">organised by the European Commission in cooperation with the Croatian Agency for Electronic Media and, in 2019, in a training session entitled </w:t>
      </w:r>
      <w:r>
        <w:rPr>
          <w:rFonts w:asciiTheme="minorHAnsi" w:hAnsiTheme="minorHAnsi" w:cstheme="minorHAnsi"/>
          <w:i/>
          <w:iCs/>
          <w:sz w:val="22"/>
          <w:szCs w:val="22"/>
          <w:lang w:val="en-GB"/>
        </w:rPr>
        <w:t>“Gender violence”</w:t>
      </w:r>
      <w:r>
        <w:rPr>
          <w:rFonts w:asciiTheme="minorHAnsi" w:hAnsiTheme="minorHAnsi" w:cstheme="minorHAnsi"/>
          <w:sz w:val="22"/>
          <w:szCs w:val="22"/>
          <w:lang w:val="en-GB"/>
        </w:rPr>
        <w:t xml:space="preserve"> organised on the initiative of the European Judicial Training Network (EJTN). </w:t>
      </w:r>
    </w:p>
    <w:p w:rsidR="008E57F3" w:rsidRPr="005770FA" w:rsidRDefault="008E57F3" w:rsidP="001F2C63">
      <w:pPr>
        <w:spacing w:after="120" w:line="360" w:lineRule="auto"/>
        <w:ind w:left="1" w:firstLine="708"/>
        <w:jc w:val="both"/>
        <w:rPr>
          <w:rFonts w:asciiTheme="minorHAnsi" w:hAnsiTheme="minorHAnsi" w:cstheme="minorHAnsi"/>
          <w:sz w:val="22"/>
          <w:szCs w:val="22"/>
        </w:rPr>
      </w:pPr>
      <w:r>
        <w:rPr>
          <w:rFonts w:asciiTheme="minorHAnsi" w:hAnsiTheme="minorHAnsi" w:cstheme="minorHAnsi"/>
          <w:sz w:val="22"/>
          <w:szCs w:val="22"/>
          <w:lang w:val="en-GB"/>
        </w:rPr>
        <w:t>As part of collaborative work with the European Programme for Human Rights Education for Legal Professionals (the HELP Programme), in 2019, an e-learning course in Polish on hate crimes entitled “</w:t>
      </w:r>
      <w:r>
        <w:rPr>
          <w:rFonts w:asciiTheme="minorHAnsi" w:hAnsiTheme="minorHAnsi" w:cstheme="minorHAnsi"/>
          <w:i/>
          <w:iCs/>
          <w:sz w:val="22"/>
          <w:szCs w:val="22"/>
          <w:lang w:val="en-GB"/>
        </w:rPr>
        <w:t>Hate Crime and Hate Speech</w:t>
      </w:r>
      <w:r>
        <w:rPr>
          <w:rFonts w:asciiTheme="minorHAnsi" w:hAnsiTheme="minorHAnsi" w:cstheme="minorHAnsi"/>
          <w:sz w:val="22"/>
          <w:szCs w:val="22"/>
          <w:lang w:val="en-GB"/>
        </w:rPr>
        <w:t xml:space="preserve">” was made available </w:t>
      </w:r>
      <w:r>
        <w:rPr>
          <w:rFonts w:asciiTheme="minorHAnsi" w:hAnsiTheme="minorHAnsi" w:cstheme="minorHAnsi"/>
          <w:sz w:val="22"/>
          <w:szCs w:val="22"/>
          <w:lang w:val="en-GB"/>
        </w:rPr>
        <w:lastRenderedPageBreak/>
        <w:t>on the e-learning platform of the Council of Europe.   The course is addressed to judges and prosecutors, as well as other legal professionals. The training features information on the thematic scope of the Convention, including obligations of the States – Parties imposed by the Convention, i.a. in Articles 4 and 6. Furthermore, the course covers information concerning the Committee on the Elimination of Racial Discrimination (CERD), its composition and competences. Also mentioned is the obligation of the States–Parties to the Convention to provide the aforementioned authority with periodical reports on the implementation of the Convention’s provisions.</w:t>
      </w:r>
    </w:p>
    <w:p w:rsidR="000172DF" w:rsidRPr="005770FA" w:rsidRDefault="001F2C63" w:rsidP="001F2C63">
      <w:pPr>
        <w:spacing w:after="120" w:line="360" w:lineRule="auto"/>
        <w:ind w:firstLine="709"/>
        <w:jc w:val="both"/>
        <w:rPr>
          <w:rFonts w:asciiTheme="minorHAnsi" w:hAnsiTheme="minorHAnsi" w:cstheme="minorHAnsi"/>
          <w:sz w:val="22"/>
          <w:szCs w:val="22"/>
        </w:rPr>
      </w:pPr>
      <w:r>
        <w:rPr>
          <w:rFonts w:asciiTheme="minorHAnsi" w:hAnsiTheme="minorHAnsi" w:cstheme="minorHAnsi"/>
          <w:color w:val="000000" w:themeColor="text1"/>
          <w:sz w:val="22"/>
          <w:szCs w:val="22"/>
          <w:lang w:val="en-GB"/>
        </w:rPr>
        <w:t>Another entity whose actions significantly impact the image of the national system for prosecuting racial hate crimes, is the Prison Service, which conducts</w:t>
      </w:r>
      <w:r>
        <w:rPr>
          <w:rFonts w:asciiTheme="minorHAnsi" w:hAnsiTheme="minorHAnsi" w:cstheme="minorHAnsi"/>
          <w:sz w:val="22"/>
          <w:szCs w:val="22"/>
          <w:lang w:val="en-GB"/>
        </w:rPr>
        <w:t>multi-layered activities promoting attitudes tolerant of cultural, racial and religious diversity (such as rehabilitation programmes, training courses for the personnel), as well as mechanisms that allow monitoring for breaches with regard to racial discrimination (controls, procedure for lodging complaints).</w:t>
      </w:r>
    </w:p>
    <w:p w:rsidR="000172DF" w:rsidRPr="005770FA" w:rsidRDefault="000172DF" w:rsidP="001F2C63">
      <w:pPr>
        <w:spacing w:after="120" w:line="360" w:lineRule="auto"/>
        <w:ind w:left="1" w:hanging="1"/>
        <w:jc w:val="both"/>
        <w:rPr>
          <w:rFonts w:asciiTheme="minorHAnsi" w:hAnsiTheme="minorHAnsi" w:cstheme="minorHAnsi"/>
          <w:sz w:val="22"/>
          <w:szCs w:val="22"/>
        </w:rPr>
      </w:pPr>
      <w:r>
        <w:rPr>
          <w:rFonts w:asciiTheme="minorHAnsi" w:hAnsiTheme="minorHAnsi" w:cstheme="minorHAnsi"/>
          <w:sz w:val="22"/>
          <w:szCs w:val="22"/>
          <w:lang w:val="en-GB"/>
        </w:rPr>
        <w:t>The treatment of foreigners during the period of isolation takes into account the need to overcome communication difficulties and the potential cultural or religious diversity. The detained foreigners admitted to a penitentiary institutions have been informed of their right to notify, by mail or pay phone, consular offices or diplomatic posts, the next of kin or another person, association, organisation or institution, as well as their defender about where they are being detained.</w:t>
      </w:r>
    </w:p>
    <w:p w:rsidR="000172DF" w:rsidRPr="005770FA" w:rsidRDefault="000172DF" w:rsidP="008727F6">
      <w:pPr>
        <w:spacing w:after="120" w:line="360" w:lineRule="auto"/>
        <w:ind w:left="1" w:hanging="1"/>
        <w:jc w:val="both"/>
        <w:rPr>
          <w:rFonts w:asciiTheme="minorHAnsi" w:hAnsiTheme="minorHAnsi" w:cstheme="minorHAnsi"/>
          <w:sz w:val="22"/>
          <w:szCs w:val="22"/>
        </w:rPr>
      </w:pPr>
      <w:r>
        <w:rPr>
          <w:rFonts w:asciiTheme="minorHAnsi" w:hAnsiTheme="minorHAnsi" w:cstheme="minorHAnsi"/>
          <w:sz w:val="22"/>
          <w:szCs w:val="22"/>
          <w:lang w:val="en-GB"/>
        </w:rPr>
        <w:t xml:space="preserve">In addition, they are given the “Guidebook for foreigners held in pre-trial detention, convicted and penalised”, drawn up by the Prison Service and available in 7 languages (English, Russian, German, French, Arabic, Bulgarian and Romanian), which provides </w:t>
      </w:r>
      <w:r>
        <w:rPr>
          <w:rFonts w:asciiTheme="minorHAnsi" w:hAnsiTheme="minorHAnsi" w:cstheme="minorHAnsi"/>
          <w:sz w:val="22"/>
          <w:szCs w:val="22"/>
          <w:lang w:val="en-GB"/>
        </w:rPr>
        <w:lastRenderedPageBreak/>
        <w:t>them with basic information on a detainee’s rights and obligations. This document also includes information about the right to apply for the refugee status and about the relevant procedure.</w:t>
      </w:r>
    </w:p>
    <w:p w:rsidR="000172DF" w:rsidRPr="005770FA" w:rsidRDefault="000172DF" w:rsidP="008727F6">
      <w:pPr>
        <w:spacing w:after="120" w:line="360" w:lineRule="auto"/>
        <w:ind w:left="1" w:hanging="1"/>
        <w:jc w:val="both"/>
        <w:rPr>
          <w:rFonts w:asciiTheme="minorHAnsi" w:hAnsiTheme="minorHAnsi" w:cstheme="minorHAnsi"/>
          <w:sz w:val="22"/>
          <w:szCs w:val="22"/>
        </w:rPr>
      </w:pPr>
      <w:r>
        <w:rPr>
          <w:rFonts w:asciiTheme="minorHAnsi" w:hAnsiTheme="minorHAnsi" w:cstheme="minorHAnsi"/>
          <w:sz w:val="22"/>
          <w:szCs w:val="22"/>
          <w:lang w:val="en-GB"/>
        </w:rPr>
        <w:t>In order to improve the standards of communication with detained foreigners, in 2015 all penitentiary institutions were equipped with translator software, funded from the Norwegian Financial Mechanism, which enables communication in 29 languages. Moreover, language courses were provided to 1618 officers and staff members whose work entails direct contact with these detained foreigners.</w:t>
      </w:r>
    </w:p>
    <w:p w:rsidR="000172DF" w:rsidRPr="005770FA" w:rsidRDefault="000172DF" w:rsidP="008727F6">
      <w:pPr>
        <w:spacing w:after="120" w:line="360" w:lineRule="auto"/>
        <w:ind w:left="1" w:hanging="1"/>
        <w:jc w:val="both"/>
        <w:rPr>
          <w:rFonts w:asciiTheme="minorHAnsi" w:hAnsiTheme="minorHAnsi" w:cstheme="minorHAnsi"/>
          <w:sz w:val="22"/>
          <w:szCs w:val="22"/>
        </w:rPr>
      </w:pPr>
      <w:r>
        <w:rPr>
          <w:rFonts w:asciiTheme="minorHAnsi" w:hAnsiTheme="minorHAnsi" w:cstheme="minorHAnsi"/>
          <w:sz w:val="22"/>
          <w:szCs w:val="22"/>
          <w:lang w:val="en-GB"/>
        </w:rPr>
        <w:t>Due to the fact that the regulations setting the standards for how to proceed with penitentiary measures did not feature any regulations, nor indicate methods, which would ensure that the measures taken by the penitentiary staff cater to the specific needs of detained foreigners, these issues have been regulated in the Ordinance no. 19/16 of the Director-General of the Prison Service of 14 April 2016 on the rules governing the conduct and organisation of penitentiary work, as well as the scope of activities undertaken by the officers and staff members of penitentiary and therapeutic wards and penitentiary institutions.</w:t>
      </w:r>
    </w:p>
    <w:p w:rsidR="000172DF" w:rsidRPr="005770FA" w:rsidRDefault="000172DF" w:rsidP="008727F6">
      <w:pPr>
        <w:spacing w:after="120" w:line="360" w:lineRule="auto"/>
        <w:ind w:left="1" w:hanging="1"/>
        <w:jc w:val="both"/>
        <w:rPr>
          <w:rFonts w:asciiTheme="minorHAnsi" w:hAnsiTheme="minorHAnsi" w:cstheme="minorHAnsi"/>
          <w:sz w:val="22"/>
          <w:szCs w:val="22"/>
        </w:rPr>
      </w:pPr>
      <w:r>
        <w:rPr>
          <w:rFonts w:asciiTheme="minorHAnsi" w:hAnsiTheme="minorHAnsi" w:cstheme="minorHAnsi"/>
          <w:sz w:val="22"/>
          <w:szCs w:val="22"/>
          <w:lang w:val="en-GB"/>
        </w:rPr>
        <w:t>The penitentiary institutions have also been implementing programmes including elements of cross-cultural integration/tolerance, human rights, international standards and counteracting racial discrimination, xenophobia and the intolerance that stems from these phenomena. The aforementioned rehabilitation programmes target specific groups of detainees and aim to promote tolerant attitudes, teach convicts non-aggressive methods of solving conflicts and respecting other people’s rights.</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The Prison Service takes a number of preventive measures in order to counteract undesired behaviours among the detainees, </w:t>
      </w:r>
      <w:r>
        <w:rPr>
          <w:rFonts w:asciiTheme="minorHAnsi" w:hAnsiTheme="minorHAnsi" w:cstheme="minorHAnsi"/>
          <w:sz w:val="22"/>
          <w:szCs w:val="22"/>
          <w:lang w:val="en-GB"/>
        </w:rPr>
        <w:lastRenderedPageBreak/>
        <w:t>which include training sessions, counselling sessions, briefings, conferences, workshops and specialist personnel training dedicated to obtaining and improving the skill to recognise situations and behaviours that lead to self-aggression and active aggression on the part of the detainees. The scope of these training sessions is regularly modified and adjusted to fit the needs and conditions of specific institutions, accounting for the work experience of participating officers and staff members.</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The topic of preventing discrimination and promoting attitudes of cross-cultural tolerance, with a specific focus on adhering to international standards, is a staple of in-service training. Courses training to correctly recognise signs of discrimination, torture and harassment are mandatory for all officers and staff members.</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The professional tasks of officers and staff members of the Prison Service, as well as the penitentiary measures they take, are all carried out in compliance with the standards imposed by the instruments of international law, including the requirements to ensure equal rights, regardless of gender, race, skin colour, ethnic origin or sexual orientation, economic and social status, as well as religious and political beliefs.</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One of the mechanisms of counteracting discrimination in the Prison Service is the use of the control function of complaints lodged with regard to the cases of detainees (Article 102(10) and Article 103 of the Executive Penal Code). The issues covered by the charges raised in the complaints, including charges related to discrimination on the grounds of race and ethnicity, are monitored based on the annually drawn up statistical information. The statistical data collected by the Central Board of Prison Service shows that among the complaints lodged in 2015, there were 28 instances of this charge being raised, in 2016 – 28 instances, in </w:t>
      </w:r>
      <w:r>
        <w:rPr>
          <w:rFonts w:asciiTheme="minorHAnsi" w:hAnsiTheme="minorHAnsi" w:cstheme="minorHAnsi"/>
          <w:sz w:val="22"/>
          <w:szCs w:val="22"/>
          <w:lang w:val="en-GB"/>
        </w:rPr>
        <w:lastRenderedPageBreak/>
        <w:t>2017 – 33 instances. The settlements reached for these complaints did not confirm the validity of the charges.</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In 2017, the Director-General of the Prison Service issued the Ordinance no. 28/2017 of 24.04.2017, which defined the functions of the Plenipotentiary of the Director-General of the Prison Service for the Protection of Human Rights and Equal Treatment. The plenipotentiary’s tasks include activities related to the dissemination of the European Court of Human Rights’ case law on the protection of human rights and equal treatment.</w:t>
      </w:r>
    </w:p>
    <w:p w:rsidR="000172DF" w:rsidRPr="005770FA" w:rsidRDefault="00F15A72" w:rsidP="008727F6">
      <w:pPr>
        <w:spacing w:after="120" w:line="360" w:lineRule="auto"/>
        <w:ind w:firstLine="709"/>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lang w:val="en-GB"/>
        </w:rPr>
        <w:t xml:space="preserve">Another example of the Polish authorities’ commitment to </w:t>
      </w:r>
      <w:r>
        <w:rPr>
          <w:rFonts w:asciiTheme="minorHAnsi" w:hAnsiTheme="minorHAnsi" w:cstheme="minorHAnsi"/>
          <w:sz w:val="22"/>
          <w:szCs w:val="22"/>
          <w:lang w:val="en-GB"/>
        </w:rPr>
        <w:t xml:space="preserve">preventing racial discrimination, are the measures taken by the National Labour Inspectorate. These focused mainly on preventive and informational activities. </w:t>
      </w:r>
      <w:r>
        <w:rPr>
          <w:rFonts w:asciiTheme="minorHAnsi" w:hAnsiTheme="minorHAnsi" w:cstheme="minorHAnsi"/>
          <w:color w:val="000000"/>
          <w:sz w:val="22"/>
          <w:szCs w:val="22"/>
          <w:lang w:val="en-GB"/>
        </w:rPr>
        <w:t xml:space="preserve">Issues concerning non-discrimination and equal treatment in employment are tackled in the publications of this entity. The subject of discrimination is also present in handbooks and guides on labour law which are available also on the official website of the National Labour Inspectorate (PIP): </w:t>
      </w:r>
      <w:hyperlink r:id="rId7" w:history="1">
        <w:r>
          <w:rPr>
            <w:rFonts w:asciiTheme="minorHAnsi" w:hAnsiTheme="minorHAnsi" w:cstheme="minorHAnsi"/>
            <w:sz w:val="22"/>
            <w:szCs w:val="22"/>
            <w:u w:val="single"/>
            <w:lang w:val="en-GB"/>
          </w:rPr>
          <w:t>www.pip.gov.pl</w:t>
        </w:r>
      </w:hyperlink>
      <w:r>
        <w:rPr>
          <w:rFonts w:asciiTheme="minorHAnsi" w:hAnsiTheme="minorHAnsi" w:cstheme="minorHAnsi"/>
          <w:color w:val="000000"/>
          <w:sz w:val="22"/>
          <w:szCs w:val="22"/>
          <w:lang w:val="en-GB"/>
        </w:rPr>
        <w:t>.</w:t>
      </w:r>
    </w:p>
    <w:p w:rsidR="000172DF" w:rsidRPr="005770FA" w:rsidRDefault="000172DF" w:rsidP="008727F6">
      <w:pPr>
        <w:pStyle w:val="NoSpacing"/>
        <w:spacing w:after="120" w:line="360" w:lineRule="auto"/>
        <w:ind w:firstLine="567"/>
        <w:jc w:val="both"/>
        <w:rPr>
          <w:rFonts w:cstheme="minorHAnsi"/>
          <w:color w:val="000000"/>
        </w:rPr>
      </w:pPr>
      <w:r>
        <w:rPr>
          <w:rFonts w:cstheme="minorHAnsi"/>
          <w:lang w:val="en-GB"/>
        </w:rPr>
        <w:t xml:space="preserve">Moreover, each district labour inspectorate monitors recruitment advertisements posted by employers online, in the press and other media outlets in order to detect job offers containing information indicating unequal treatment in access to employment. </w:t>
      </w:r>
      <w:r>
        <w:rPr>
          <w:rFonts w:cstheme="minorHAnsi"/>
          <w:color w:val="000000"/>
          <w:lang w:val="en-GB"/>
        </w:rPr>
        <w:t>Whenever any such information is encountered, the authorities of the National Labour Inspectorate determine whether there has been an infringement of the law.</w:t>
      </w:r>
    </w:p>
    <w:p w:rsidR="000172DF" w:rsidRPr="005770FA" w:rsidRDefault="000172DF" w:rsidP="008727F6">
      <w:pPr>
        <w:pStyle w:val="NoSpacing"/>
        <w:spacing w:after="120" w:line="360" w:lineRule="auto"/>
        <w:ind w:firstLine="567"/>
        <w:jc w:val="both"/>
        <w:rPr>
          <w:rFonts w:cstheme="minorHAnsi"/>
        </w:rPr>
      </w:pPr>
      <w:r>
        <w:rPr>
          <w:rFonts w:cstheme="minorHAnsi"/>
          <w:lang w:val="en-GB"/>
        </w:rPr>
        <w:t>In the area of counteracting discrimination against foreigners, the National Labour Inspectorate, as one of our material partners, together with the International Organisation for Migration (IOM) and the Ministry of the Interior implemented a project “</w:t>
      </w:r>
      <w:r>
        <w:rPr>
          <w:rFonts w:cstheme="minorHAnsi"/>
          <w:i/>
          <w:iCs/>
          <w:lang w:val="en-GB"/>
        </w:rPr>
        <w:t xml:space="preserve">The </w:t>
      </w:r>
      <w:r>
        <w:rPr>
          <w:rFonts w:cstheme="minorHAnsi"/>
          <w:i/>
          <w:iCs/>
          <w:lang w:val="en-GB"/>
        </w:rPr>
        <w:lastRenderedPageBreak/>
        <w:t>rights of migrants in practice</w:t>
      </w:r>
      <w:r>
        <w:rPr>
          <w:rFonts w:cstheme="minorHAnsi"/>
          <w:lang w:val="en-GB"/>
        </w:rPr>
        <w:t>” (co-financed by the European Union).</w:t>
      </w:r>
      <w:r>
        <w:rPr>
          <w:rFonts w:cstheme="minorHAnsi"/>
          <w:b/>
          <w:bCs/>
          <w:lang w:val="en-GB"/>
        </w:rPr>
        <w:t xml:space="preserve"> </w:t>
      </w:r>
      <w:r>
        <w:rPr>
          <w:rFonts w:cstheme="minorHAnsi"/>
          <w:lang w:val="en-GB"/>
        </w:rPr>
        <w:t>The project was addressed to the citizens of selected third countries and to the representatives of public authorities implementing tasks related to the presence of foreigners in Poland. In the subsequent years, a project entitled “</w:t>
      </w:r>
      <w:r>
        <w:rPr>
          <w:rFonts w:cstheme="minorHAnsi"/>
          <w:i/>
          <w:iCs/>
          <w:lang w:val="en-GB"/>
        </w:rPr>
        <w:t>Migrant Info – support for migrants and introducing them into the Polish environment</w:t>
      </w:r>
      <w:r>
        <w:rPr>
          <w:rFonts w:cstheme="minorHAnsi"/>
          <w:lang w:val="en-GB"/>
        </w:rPr>
        <w:t xml:space="preserve">” was implemented under the same terms. It was addressed, e.g., to the citizens of selected third countries from the target group of the Asylum, Migration and Integration Fund. Under the project, the National Labour Inspectorate participated, for instance, in conducting an information campaign in Poland, providing  professional support to persons administering the contact point created as part of the project (the IOM hotline) with regard to issues concerning the rules for taking up employment by foreigners in Poland and controlling the legality of employment. As part of the project also a </w:t>
      </w:r>
      <w:hyperlink r:id="rId8" w:history="1">
        <w:r>
          <w:rPr>
            <w:rStyle w:val="Hyperlink"/>
            <w:rFonts w:cstheme="minorHAnsi"/>
            <w:lang w:val="en-GB"/>
          </w:rPr>
          <w:t>www.migrant.info.pl</w:t>
        </w:r>
      </w:hyperlink>
      <w:r>
        <w:rPr>
          <w:rFonts w:cstheme="minorHAnsi"/>
          <w:lang w:val="en-GB"/>
        </w:rPr>
        <w:t xml:space="preserve"> website was launched as well as an application for employers (</w:t>
      </w:r>
      <w:hyperlink r:id="rId9" w:history="1">
        <w:r>
          <w:rPr>
            <w:rStyle w:val="Hyperlink"/>
            <w:rFonts w:cstheme="minorHAnsi"/>
            <w:lang w:val="en-GB"/>
          </w:rPr>
          <w:t>www.aplikacja.migrant.info.pl</w:t>
        </w:r>
      </w:hyperlink>
      <w:r>
        <w:rPr>
          <w:rFonts w:cstheme="minorHAnsi"/>
          <w:lang w:val="en-GB"/>
        </w:rPr>
        <w:t>) which facilitate the acquaintance with the procedure of employment of a foreigner. At the same time, a number of preventive and informative programmes were implemented, which covered the problem of discrimination and equal treatment, such as the “</w:t>
      </w:r>
      <w:r>
        <w:rPr>
          <w:rFonts w:cstheme="minorHAnsi"/>
          <w:i/>
          <w:iCs/>
          <w:lang w:val="en-GB"/>
        </w:rPr>
        <w:t>Counteracting the negative effects of stress and other psychosocial risks at work</w:t>
      </w:r>
      <w:r>
        <w:rPr>
          <w:rFonts w:cstheme="minorHAnsi"/>
          <w:lang w:val="en-GB"/>
        </w:rPr>
        <w:t>” programme.</w:t>
      </w:r>
    </w:p>
    <w:p w:rsidR="00F57499"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color w:val="000000"/>
          <w:sz w:val="22"/>
          <w:szCs w:val="22"/>
          <w:lang w:val="en-GB"/>
        </w:rPr>
        <w:t>Not without significance for the discussed issues is also the long-standing activity in the area of legal counselling carried out by the National Labour Inspectorate, including in the field of equal treatment and non-discrimination at work. Such legal counselling is provided free of charge to anyone interested in receiving this kind of support.</w:t>
      </w:r>
    </w:p>
    <w:p w:rsidR="000172DF" w:rsidRPr="005770FA" w:rsidRDefault="00B64515" w:rsidP="003331E8">
      <w:pPr>
        <w:spacing w:after="120" w:line="360" w:lineRule="auto"/>
        <w:ind w:firstLine="708"/>
        <w:jc w:val="both"/>
        <w:rPr>
          <w:rFonts w:asciiTheme="minorHAnsi" w:eastAsia="Arial Unicode MS" w:hAnsiTheme="minorHAnsi" w:cstheme="minorHAnsi"/>
          <w:bCs/>
          <w:sz w:val="22"/>
          <w:szCs w:val="22"/>
        </w:rPr>
      </w:pPr>
      <w:r>
        <w:rPr>
          <w:rFonts w:asciiTheme="minorHAnsi" w:hAnsiTheme="minorHAnsi" w:cstheme="minorHAnsi"/>
          <w:sz w:val="22"/>
          <w:szCs w:val="22"/>
          <w:lang w:val="en-GB"/>
        </w:rPr>
        <w:t xml:space="preserve">Also education in the Republic of Poland is guided by the principles expressed in the Constitution of the Republic of Poland, </w:t>
      </w:r>
      <w:r>
        <w:rPr>
          <w:rFonts w:asciiTheme="minorHAnsi" w:hAnsiTheme="minorHAnsi" w:cstheme="minorHAnsi"/>
          <w:sz w:val="22"/>
          <w:szCs w:val="22"/>
          <w:lang w:val="en-GB"/>
        </w:rPr>
        <w:lastRenderedPageBreak/>
        <w:t xml:space="preserve">as well as by the provisions included in the Universal Declaration of Human Rights, the International Covenant on Civil and Political Rights and the Convention on the Rights of the Child. Schools are obliged to respect human rights, and the teaching programmes followed in classes such as </w:t>
      </w:r>
      <w:r>
        <w:rPr>
          <w:rFonts w:asciiTheme="minorHAnsi" w:hAnsiTheme="minorHAnsi" w:cstheme="minorHAnsi"/>
          <w:i/>
          <w:iCs/>
          <w:sz w:val="22"/>
          <w:szCs w:val="22"/>
          <w:lang w:val="en-GB"/>
        </w:rPr>
        <w:t>history, ethics and social studies</w:t>
      </w:r>
      <w:r>
        <w:rPr>
          <w:rFonts w:asciiTheme="minorHAnsi" w:hAnsiTheme="minorHAnsi" w:cstheme="minorHAnsi"/>
          <w:sz w:val="22"/>
          <w:szCs w:val="22"/>
          <w:lang w:val="en-GB"/>
        </w:rPr>
        <w:t xml:space="preserve"> directly relate to shaping attitudes of tolerance, human rights issues and their protection, as well as civic attitudes. </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As of the 2017/2018 school year, an obligation was introduced to implement a combined educational and prophylactic programme in each school/educational facility. This programme is established by parent council in consultation with the council of teachers. Therefore, parents have a significant influence on programmes, projects, undertakings, initiatives, including those implemented in cooperation with NGOs. The aim of the said interaction is to equip students with the knowledge that all people have equal rights, regardless of where they were born, what they look like, what religion they practice or what their material status is. </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As part of Poland’s Presidency of the Visegrad Group (1 July 2016 – 30 June 2017), the Ministry of National Education, in cooperation with the Foundation for the Development of the Education System, organised a working seminar in Warsaw on 22–23 February 2017 entitled “</w:t>
      </w:r>
      <w:r>
        <w:rPr>
          <w:rFonts w:asciiTheme="minorHAnsi" w:hAnsiTheme="minorHAnsi" w:cstheme="minorHAnsi"/>
          <w:i/>
          <w:iCs/>
          <w:sz w:val="22"/>
          <w:szCs w:val="22"/>
          <w:lang w:val="en-GB"/>
        </w:rPr>
        <w:t>Young people for human rights</w:t>
      </w:r>
      <w:r>
        <w:rPr>
          <w:rFonts w:asciiTheme="minorHAnsi" w:hAnsiTheme="minorHAnsi" w:cstheme="minorHAnsi"/>
          <w:sz w:val="22"/>
          <w:szCs w:val="22"/>
          <w:lang w:val="en-GB"/>
        </w:rPr>
        <w:t>” attended by representatives of the Visegrad countries (the Czech Republic, Hungary, Slovakia, Poland) and the Eastern Partnership (Armenia, Azerbaijan, Belarus, Georgia, Moldova and Ukraine). During the meeting, the attendees focused primarily on the activities and projects implemented by young people in order to promote human rights, taking into account the activities implemented under the “</w:t>
      </w:r>
      <w:r>
        <w:rPr>
          <w:rFonts w:asciiTheme="minorHAnsi" w:hAnsiTheme="minorHAnsi" w:cstheme="minorHAnsi"/>
          <w:i/>
          <w:iCs/>
          <w:sz w:val="22"/>
          <w:szCs w:val="22"/>
          <w:lang w:val="en-GB"/>
        </w:rPr>
        <w:t>No Hate Speech</w:t>
      </w:r>
      <w:r>
        <w:rPr>
          <w:rFonts w:asciiTheme="minorHAnsi" w:hAnsiTheme="minorHAnsi" w:cstheme="minorHAnsi"/>
          <w:sz w:val="22"/>
          <w:szCs w:val="22"/>
          <w:lang w:val="en-GB"/>
        </w:rPr>
        <w:t xml:space="preserve">” campaign targeting hate speech launched by the Council of Europe. </w:t>
      </w:r>
    </w:p>
    <w:p w:rsidR="000172DF" w:rsidRPr="005770FA" w:rsidRDefault="000172DF" w:rsidP="008727F6">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lastRenderedPageBreak/>
        <w:t>Foreign students, including the children of asylum seekers or</w:t>
      </w:r>
      <w:r>
        <w:rPr>
          <w:rFonts w:asciiTheme="minorHAnsi" w:hAnsiTheme="minorHAnsi" w:cstheme="minorHAnsi"/>
          <w:sz w:val="22"/>
          <w:szCs w:val="22"/>
          <w:shd w:val="clear" w:color="auto" w:fill="F8F9FA"/>
          <w:lang w:val="en-GB"/>
        </w:rPr>
        <w:t xml:space="preserve"> </w:t>
      </w:r>
      <w:r>
        <w:rPr>
          <w:rFonts w:asciiTheme="minorHAnsi" w:hAnsiTheme="minorHAnsi" w:cstheme="minorHAnsi"/>
          <w:sz w:val="22"/>
          <w:szCs w:val="22"/>
          <w:lang w:val="en-GB"/>
        </w:rPr>
        <w:t>undocumented immigrants, benefit from the education and care in all types of public preschools and schools until they reach 18 years or until they graduate from secondary/post-secondary schools under conditions applicable to Polish citizens. A child should be registered and enrolled to school as soon as possible, regardless of whether a given family lives in a city or a village.</w:t>
      </w:r>
    </w:p>
    <w:p w:rsidR="000172DF" w:rsidRPr="005770FA" w:rsidRDefault="000172DF" w:rsidP="008727F6">
      <w:pPr>
        <w:pStyle w:val="menfont"/>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Foreigners subject to compulsory schooling or education who do not know the Polish language or their level of conduct of Polish is insufficient to attend classes shall be entitled to additional free Polish courses. Additional Polish language courses are organised by the gminas or poviats with territorial jurisdiction over the place of a foreigner’s residence. Such students are also entitled to assistance provided by a person speaking the language of their country of origin, employed as a teacher’s aid by the principal of the school. </w:t>
      </w:r>
    </w:p>
    <w:p w:rsidR="000172DF" w:rsidRPr="005770FA" w:rsidRDefault="000172DF" w:rsidP="008727F6">
      <w:pPr>
        <w:pStyle w:val="menfont"/>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Children and young people of the Roma origin enjoy the statutory right of access to education on equal terms with all students subject to school-attendance obligation and education obligation. The students of Roma origin attending public schools attend the same classes and departments as their non-Roma peers. </w:t>
      </w:r>
    </w:p>
    <w:p w:rsidR="000172DF" w:rsidRPr="005770FA" w:rsidRDefault="000172DF" w:rsidP="008727F6">
      <w:pPr>
        <w:pStyle w:val="menfont"/>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The most common educational activities undertaken by schools for Roma students include organising compensatory classes in Polish language and other subjects, employing supporting teachers (trained to work in multi-cultural environment with bilingual children) and employing Roma education assistants. Currently, every sixth school attended by Roma children hires a Roma education assistant. In the 2018/2019 school year, a total of 45 Roma education assistants were employed.</w:t>
      </w:r>
    </w:p>
    <w:p w:rsidR="000172DF" w:rsidRDefault="009128A4" w:rsidP="009128A4">
      <w:pPr>
        <w:spacing w:after="120" w:line="360" w:lineRule="auto"/>
        <w:ind w:firstLine="708"/>
        <w:jc w:val="both"/>
        <w:rPr>
          <w:rFonts w:asciiTheme="minorHAnsi" w:hAnsiTheme="minorHAnsi" w:cstheme="minorHAnsi"/>
          <w:sz w:val="22"/>
          <w:szCs w:val="22"/>
        </w:rPr>
      </w:pPr>
      <w:r>
        <w:rPr>
          <w:rFonts w:asciiTheme="minorHAnsi" w:hAnsiTheme="minorHAnsi" w:cstheme="minorHAnsi"/>
          <w:sz w:val="22"/>
          <w:szCs w:val="22"/>
          <w:lang w:val="en-GB"/>
        </w:rPr>
        <w:lastRenderedPageBreak/>
        <w:t xml:space="preserve">Another key document indicating the non-discriminatory activities of the Polish government is the </w:t>
      </w:r>
      <w:r>
        <w:rPr>
          <w:rFonts w:asciiTheme="minorHAnsi" w:hAnsiTheme="minorHAnsi" w:cstheme="minorHAnsi"/>
          <w:i/>
          <w:iCs/>
          <w:sz w:val="22"/>
          <w:szCs w:val="22"/>
          <w:lang w:val="en-GB"/>
        </w:rPr>
        <w:t>Sports Development Programme until 2020</w:t>
      </w:r>
      <w:r>
        <w:rPr>
          <w:rFonts w:asciiTheme="minorHAnsi" w:hAnsiTheme="minorHAnsi" w:cstheme="minorHAnsi"/>
          <w:sz w:val="22"/>
          <w:szCs w:val="22"/>
          <w:lang w:val="en-GB"/>
        </w:rPr>
        <w:t xml:space="preserve"> adopted by the </w:t>
      </w:r>
      <w:r>
        <w:rPr>
          <w:rFonts w:asciiTheme="minorHAnsi" w:hAnsiTheme="minorHAnsi" w:cstheme="minorHAnsi"/>
          <w:sz w:val="22"/>
          <w:lang w:val="en-GB"/>
        </w:rPr>
        <w:t>Council of Ministers on 31 August 2015. The document states, for instance, that all activities related to the promotion and propagation of physical activity should be free from any form of the discrimination or favouritism of given groups.</w:t>
      </w:r>
    </w:p>
    <w:p w:rsidR="005770FA" w:rsidRPr="009128A4" w:rsidRDefault="005770FA" w:rsidP="009128A4">
      <w:pPr>
        <w:spacing w:line="360" w:lineRule="auto"/>
        <w:jc w:val="both"/>
        <w:rPr>
          <w:rFonts w:asciiTheme="minorHAnsi" w:hAnsiTheme="minorHAnsi" w:cstheme="minorHAnsi"/>
          <w:sz w:val="22"/>
          <w:szCs w:val="22"/>
        </w:rPr>
      </w:pPr>
      <w:r>
        <w:rPr>
          <w:rFonts w:asciiTheme="minorHAnsi" w:hAnsiTheme="minorHAnsi" w:cstheme="minorHAnsi"/>
          <w:sz w:val="22"/>
          <w:szCs w:val="22"/>
          <w:lang w:val="en-GB"/>
        </w:rPr>
        <w:t xml:space="preserve">Moreover, in 2017, the Ministry of Sport and Tourism drew up a document on good governance standards in the form of a Code of Good Governance for Polish Sports Associations. The Code of Good Governance is a kind of a handbook or a set of recommendations and good practices for the management boards of Polish sports associations. Ultimately, each association seeking funds granted by the Ministry of Sport and Tourism will have to comply with the recommendations of the Code. The Code includes more than 180 specific recommendations related to various thematic areas. Some of them are “soft” recommendations. Implementing some other recommendations will be required from certain associations with a greater organisational potential or fulfilling specific conditions. The remaining ones will be of imperative nature for all Polish sports associations wiling to receive funds from the Ministry. In accordance with its provisions, the Code is being implemented gradually. Since 2019, the Minister of Sport and Tourism has been including in programmes those recommendations which he considers to be urgent priorities and necessary to fulfill the tasks set out in a given programme. In 2019, in order to receive additional funding under the programmes of the Ministry of Sport and Tourism, Polish sports associations must comply with the guidelines of the Code concerning the preparation of a development strategy for a given sport. In the following years, the set of </w:t>
      </w:r>
      <w:r>
        <w:rPr>
          <w:rFonts w:asciiTheme="minorHAnsi" w:hAnsiTheme="minorHAnsi" w:cstheme="minorHAnsi"/>
          <w:sz w:val="22"/>
          <w:szCs w:val="22"/>
          <w:lang w:val="en-GB"/>
        </w:rPr>
        <w:lastRenderedPageBreak/>
        <w:t>recommendations included in the programmes will be extended, leading to the full implementation of the Code.</w:t>
      </w:r>
    </w:p>
    <w:p w:rsidR="005770FA" w:rsidRDefault="005770FA" w:rsidP="009128A4">
      <w:pPr>
        <w:spacing w:line="360" w:lineRule="auto"/>
        <w:jc w:val="both"/>
        <w:rPr>
          <w:rFonts w:asciiTheme="minorHAnsi" w:hAnsiTheme="minorHAnsi" w:cstheme="minorHAnsi"/>
          <w:sz w:val="22"/>
          <w:szCs w:val="22"/>
        </w:rPr>
      </w:pPr>
      <w:r>
        <w:rPr>
          <w:rFonts w:asciiTheme="minorHAnsi" w:hAnsiTheme="minorHAnsi" w:cstheme="minorHAnsi"/>
          <w:sz w:val="22"/>
          <w:szCs w:val="22"/>
          <w:lang w:val="en-GB"/>
        </w:rPr>
        <w:t>The Code sets out that “it is key to fairness in sport to combat the negative phenomena threatening it, such as doping, corruption or discrimination” and that “Polish sports associations should adapt solutions, both legal and programme-related, to prevent and fight against discrimination in sport. This should be reflected in the strategic documents of the association, in its educational activities, as well as in the practice of implementing disciplinary responsibility.</w:t>
      </w:r>
    </w:p>
    <w:p w:rsidR="009128A4" w:rsidRDefault="009128A4" w:rsidP="009128A4">
      <w:pPr>
        <w:tabs>
          <w:tab w:val="left" w:pos="709"/>
        </w:tabs>
        <w:suppressAutoHyphens/>
        <w:spacing w:after="120" w:line="360" w:lineRule="auto"/>
        <w:jc w:val="both"/>
        <w:rPr>
          <w:rFonts w:asciiTheme="minorHAnsi" w:hAnsiTheme="minorHAnsi" w:cstheme="minorHAnsi"/>
          <w:color w:val="000000"/>
          <w:sz w:val="22"/>
          <w:szCs w:val="22"/>
        </w:rPr>
      </w:pPr>
      <w:r>
        <w:rPr>
          <w:rFonts w:asciiTheme="minorHAnsi" w:hAnsiTheme="minorHAnsi" w:cstheme="minorHAnsi"/>
          <w:sz w:val="22"/>
          <w:szCs w:val="22"/>
          <w:lang w:val="en-GB"/>
        </w:rPr>
        <w:t>T</w:t>
      </w:r>
      <w:r>
        <w:rPr>
          <w:rFonts w:asciiTheme="minorHAnsi" w:hAnsiTheme="minorHAnsi" w:cstheme="minorHAnsi"/>
          <w:color w:val="000000"/>
          <w:sz w:val="22"/>
          <w:szCs w:val="22"/>
          <w:lang w:val="en-GB"/>
        </w:rPr>
        <w:t>he Ministry of Sport and Tourism also engages in preventive and educational actions aimed to counteract any form of discrimination in sport. In preparation for the final tournament of UEFA Euro 2012 in Poland, the Minister of Sport and Tourism commissioned a project called FANS TOGETHER, aimed at building long-lasting structures of cooperation with the community of sports fans and supporting systematically their good initiatives. The year 2015 saw the introduction of the Programme of the Minister of Sport and Tourism KIBICE RAZEM (FANS TOGETHER) on enhancing the organisation and security of sports events in Poland by creating structures of dialogue and cooperation with sport fans for 2016–2018. As part of the FANS TOGETHER project, local centres are created with a main goal of helping sports fans to coordinate their actions. The FANS TOGETHER centres, operated in cooperation with fans, are of help in engaging in dialogue and organising meetings aimed at integrating the community. Currently, the Programme is being implemented in 17 cities in Poland.</w:t>
      </w:r>
    </w:p>
    <w:p w:rsidR="000172DF" w:rsidRPr="009128A4" w:rsidRDefault="00500F0C" w:rsidP="009128A4">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Ladies and Gentlemen,</w:t>
      </w:r>
    </w:p>
    <w:p w:rsidR="00326590" w:rsidRDefault="00326590" w:rsidP="009128A4">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lastRenderedPageBreak/>
        <w:t xml:space="preserve">Social partners, such as non-governmental organisations or scientific and educational institutions, play a key role in the realisation of tasks related to the eradication of racism and xenophobia, as well as in the monitoring such phenomena. With their actions, they not only support the activities taken up by the Polish Government, but also highlight the areas requiring the development of new solutions or different instruments to enable more effective prevention of racism, anti-Semitism, xenophobia and broadly understood intolerance. </w:t>
      </w:r>
    </w:p>
    <w:p w:rsidR="0023483E" w:rsidRPr="009128A4" w:rsidRDefault="00500F0C" w:rsidP="0023483E">
      <w:pPr>
        <w:spacing w:line="360" w:lineRule="auto"/>
        <w:jc w:val="both"/>
        <w:rPr>
          <w:rFonts w:asciiTheme="minorHAnsi" w:hAnsiTheme="minorHAnsi" w:cstheme="minorHAnsi"/>
          <w:sz w:val="22"/>
          <w:szCs w:val="22"/>
        </w:rPr>
      </w:pPr>
      <w:r>
        <w:rPr>
          <w:rFonts w:asciiTheme="minorHAnsi" w:hAnsiTheme="minorHAnsi" w:cstheme="minorHAnsi"/>
          <w:sz w:val="22"/>
          <w:szCs w:val="22"/>
          <w:lang w:val="en-GB"/>
        </w:rPr>
        <w:t>The above is reflected, for instance, in the cooperation of various communities acting in support of the minorities. The Polish network of Roma education assistants, as one of the most successful in Europe, may serve as an example. The Polish practice is worth emphasising and promoting. One of the success factors was the abandonment of the requirement to have higher than primary education, which made it possible to employ and activate people who have no degrees yet understand the need for improving the educational situation of the Roma (and their integration). In a dozen or so cases, it has been noted over time that assistants increased their education or even completed higher education programmes. Roma education assistants have worked since 2001. Their number has been steadily growing – from 20 persons employed in the Małopolskie Voivodeship in 2001 to 92 persons in 2017, working throughout the country.</w:t>
      </w:r>
    </w:p>
    <w:p w:rsidR="00500F0C" w:rsidRPr="009128A4" w:rsidRDefault="0023483E" w:rsidP="00D94F0D">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 xml:space="preserve">Since 2004, this profession has been on the official list of professions in Poland. Assistants work in all major Roma communities (with about 70% of women employed at this position). A vast majority of assistants (62 assistants accounting for 67%) is employed under a permanent contract of employment. The funding of the employment has been shifted from the </w:t>
      </w:r>
      <w:r>
        <w:rPr>
          <w:rFonts w:asciiTheme="minorHAnsi" w:hAnsiTheme="minorHAnsi" w:cstheme="minorHAnsi"/>
          <w:i/>
          <w:iCs/>
          <w:sz w:val="22"/>
          <w:szCs w:val="22"/>
          <w:lang w:val="en-GB"/>
        </w:rPr>
        <w:t>Programme</w:t>
      </w:r>
      <w:r>
        <w:rPr>
          <w:rFonts w:asciiTheme="minorHAnsi" w:hAnsiTheme="minorHAnsi" w:cstheme="minorHAnsi"/>
          <w:sz w:val="22"/>
          <w:szCs w:val="22"/>
          <w:lang w:val="en-GB"/>
        </w:rPr>
        <w:t xml:space="preserve"> </w:t>
      </w:r>
      <w:r>
        <w:rPr>
          <w:rFonts w:asciiTheme="minorHAnsi" w:hAnsiTheme="minorHAnsi" w:cstheme="minorHAnsi"/>
          <w:sz w:val="22"/>
          <w:szCs w:val="22"/>
          <w:lang w:val="en-GB"/>
        </w:rPr>
        <w:lastRenderedPageBreak/>
        <w:t>funds to a stable funding mechanism as part of an increased education subsidy based on a system of weighted calculations for children from national/ethnic minorities. Since 2013, assistants have participated in the process of evaluating the students’ intellectual capacities, which is unprecedented in Europe. They set a good example for Roma students and are partners for local authorities in planning actions for the Roma.</w:t>
      </w:r>
    </w:p>
    <w:p w:rsidR="00326590" w:rsidRPr="009128A4" w:rsidRDefault="00326590" w:rsidP="009128A4">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 xml:space="preserve">Considering the Committee’s important suggestion to consult the government administration while drawing up next reports with non-governmental organisations, the draft of the </w:t>
      </w:r>
      <w:r>
        <w:rPr>
          <w:rFonts w:asciiTheme="minorHAnsi" w:hAnsiTheme="minorHAnsi" w:cstheme="minorHAnsi"/>
          <w:i/>
          <w:iCs/>
          <w:sz w:val="22"/>
          <w:szCs w:val="22"/>
          <w:lang w:val="en-GB"/>
        </w:rPr>
        <w:t>22nd, 23rd and 24th Report</w:t>
      </w:r>
      <w:r>
        <w:rPr>
          <w:rFonts w:asciiTheme="minorHAnsi" w:hAnsiTheme="minorHAnsi" w:cstheme="minorHAnsi"/>
          <w:sz w:val="22"/>
          <w:szCs w:val="22"/>
          <w:lang w:val="en-GB"/>
        </w:rPr>
        <w:t xml:space="preserve"> was made available on the website of the Ministry of the Interior and Administration which coordinated the preparation of the reports. All human rights organisations were notified of this fact. Any comments raised by these organisations were scrutinised in detail. </w:t>
      </w:r>
    </w:p>
    <w:p w:rsidR="000172DF" w:rsidRPr="009128A4" w:rsidRDefault="00326590" w:rsidP="00FB5A49">
      <w:pPr>
        <w:spacing w:after="120" w:line="360" w:lineRule="auto"/>
        <w:ind w:firstLine="709"/>
        <w:jc w:val="both"/>
        <w:rPr>
          <w:rFonts w:asciiTheme="minorHAnsi" w:hAnsiTheme="minorHAnsi" w:cstheme="minorHAnsi"/>
          <w:sz w:val="22"/>
          <w:szCs w:val="22"/>
        </w:rPr>
      </w:pPr>
      <w:r>
        <w:rPr>
          <w:rFonts w:asciiTheme="minorHAnsi" w:hAnsiTheme="minorHAnsi" w:cstheme="minorHAnsi"/>
          <w:sz w:val="22"/>
          <w:szCs w:val="22"/>
          <w:lang w:val="en-GB"/>
        </w:rPr>
        <w:t>In conclusion, I would like to once again stress the fact that the Polish government attaches great value to its obligations arising from the UN conventions to which Poland is a party, as well as from Poland’s membership in regional organisations, including the Council of Europe and the European Union. However, regardless of its international obligations, the Polish Government not only sees the need for fully implementing the rule of equality and counteracting racial, national and ethnic discrimination, but also acknowledges the need for strengthening and coordinating more effectively the related actions. We consider training and educational activities to be especially important.</w:t>
      </w:r>
    </w:p>
    <w:p w:rsidR="00F57499" w:rsidRPr="009128A4" w:rsidRDefault="00F57499" w:rsidP="009128A4">
      <w:pPr>
        <w:spacing w:after="120" w:line="360" w:lineRule="auto"/>
        <w:jc w:val="both"/>
        <w:rPr>
          <w:rFonts w:asciiTheme="minorHAnsi" w:hAnsiTheme="minorHAnsi" w:cstheme="minorHAnsi"/>
          <w:sz w:val="22"/>
          <w:szCs w:val="22"/>
        </w:rPr>
      </w:pPr>
    </w:p>
    <w:p w:rsidR="00151384" w:rsidRPr="009128A4" w:rsidRDefault="00151384" w:rsidP="009128A4">
      <w:pPr>
        <w:spacing w:after="120" w:line="360" w:lineRule="auto"/>
        <w:ind w:firstLine="709"/>
        <w:jc w:val="both"/>
        <w:rPr>
          <w:rFonts w:asciiTheme="minorHAnsi" w:hAnsiTheme="minorHAnsi" w:cstheme="minorHAnsi"/>
          <w:bCs/>
          <w:color w:val="943634"/>
          <w:sz w:val="22"/>
          <w:szCs w:val="22"/>
        </w:rPr>
      </w:pPr>
      <w:r>
        <w:rPr>
          <w:rFonts w:asciiTheme="minorHAnsi" w:hAnsiTheme="minorHAnsi" w:cstheme="minorHAnsi"/>
          <w:sz w:val="22"/>
          <w:szCs w:val="22"/>
          <w:lang w:val="en-GB"/>
        </w:rPr>
        <w:t xml:space="preserve">While presenting the </w:t>
      </w:r>
      <w:r>
        <w:rPr>
          <w:rFonts w:asciiTheme="minorHAnsi" w:hAnsiTheme="minorHAnsi" w:cstheme="minorHAnsi"/>
          <w:i/>
          <w:iCs/>
          <w:sz w:val="22"/>
          <w:szCs w:val="22"/>
          <w:lang w:val="en-GB"/>
        </w:rPr>
        <w:t>22nd, 23rd and 24th Periodic report of the Government of the Republic of Poland on the implementa</w:t>
      </w:r>
      <w:r>
        <w:rPr>
          <w:rFonts w:asciiTheme="minorHAnsi" w:hAnsiTheme="minorHAnsi" w:cstheme="minorHAnsi"/>
          <w:i/>
          <w:iCs/>
          <w:sz w:val="22"/>
          <w:szCs w:val="22"/>
          <w:lang w:val="en-GB"/>
        </w:rPr>
        <w:lastRenderedPageBreak/>
        <w:t xml:space="preserve">tion of the provisions of the International Convention on the Elimination of All Forms of Racial Discrimination </w:t>
      </w:r>
      <w:r>
        <w:rPr>
          <w:rFonts w:asciiTheme="minorHAnsi" w:hAnsiTheme="minorHAnsi" w:cstheme="minorHAnsi"/>
          <w:sz w:val="22"/>
          <w:szCs w:val="22"/>
          <w:lang w:val="en-GB"/>
        </w:rPr>
        <w:t>to the honourable members of the Committee, I would like to assure you that the delegation of the Government of the Republic of Poland remains at your disposal and will make every effort to provide you with any information required to dispel any doubts you may have in relation to the Report.</w:t>
      </w:r>
    </w:p>
    <w:p w:rsidR="00151384" w:rsidRPr="009128A4" w:rsidRDefault="00151384" w:rsidP="009128A4">
      <w:pPr>
        <w:spacing w:after="120" w:line="360" w:lineRule="auto"/>
        <w:jc w:val="both"/>
        <w:rPr>
          <w:rFonts w:asciiTheme="minorHAnsi" w:hAnsiTheme="minorHAnsi" w:cstheme="minorHAnsi"/>
          <w:sz w:val="22"/>
          <w:szCs w:val="22"/>
        </w:rPr>
      </w:pPr>
    </w:p>
    <w:p w:rsidR="00151384" w:rsidRPr="009128A4" w:rsidRDefault="00151384" w:rsidP="009128A4">
      <w:pPr>
        <w:spacing w:after="120" w:line="360" w:lineRule="auto"/>
        <w:jc w:val="both"/>
        <w:rPr>
          <w:rFonts w:asciiTheme="minorHAnsi" w:hAnsiTheme="minorHAnsi" w:cstheme="minorHAnsi"/>
          <w:sz w:val="22"/>
          <w:szCs w:val="22"/>
        </w:rPr>
      </w:pPr>
      <w:r>
        <w:rPr>
          <w:rFonts w:asciiTheme="minorHAnsi" w:hAnsiTheme="minorHAnsi" w:cstheme="minorHAnsi"/>
          <w:sz w:val="22"/>
          <w:szCs w:val="22"/>
          <w:lang w:val="en-GB"/>
        </w:rPr>
        <w:t>Thank you for your attention!</w:t>
      </w:r>
    </w:p>
    <w:p w:rsidR="00F57499" w:rsidRPr="009128A4" w:rsidRDefault="00F57499" w:rsidP="009128A4">
      <w:pPr>
        <w:spacing w:after="120" w:line="360" w:lineRule="auto"/>
        <w:jc w:val="both"/>
        <w:rPr>
          <w:rFonts w:asciiTheme="minorHAnsi" w:hAnsiTheme="minorHAnsi" w:cstheme="minorHAnsi"/>
          <w:sz w:val="22"/>
          <w:szCs w:val="22"/>
        </w:rPr>
      </w:pPr>
    </w:p>
    <w:sectPr w:rsidR="00F57499" w:rsidRPr="009128A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139" w:rsidRDefault="00A06139" w:rsidP="003D0CF4">
      <w:r>
        <w:separator/>
      </w:r>
    </w:p>
  </w:endnote>
  <w:endnote w:type="continuationSeparator" w:id="0">
    <w:p w:rsidR="00A06139" w:rsidRDefault="00A06139" w:rsidP="003D0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610764"/>
      <w:docPartObj>
        <w:docPartGallery w:val="Page Numbers (Bottom of Page)"/>
        <w:docPartUnique/>
      </w:docPartObj>
    </w:sdtPr>
    <w:sdtEndPr>
      <w:rPr>
        <w:rFonts w:asciiTheme="minorHAnsi" w:hAnsiTheme="minorHAnsi" w:cstheme="minorHAnsi"/>
        <w:sz w:val="20"/>
      </w:rPr>
    </w:sdtEndPr>
    <w:sdtContent>
      <w:p w:rsidR="003D0CF4" w:rsidRPr="003D0CF4" w:rsidRDefault="003D0CF4">
        <w:pPr>
          <w:pStyle w:val="Footer"/>
          <w:jc w:val="right"/>
          <w:rPr>
            <w:rFonts w:asciiTheme="minorHAnsi" w:hAnsiTheme="minorHAnsi" w:cstheme="minorHAnsi"/>
            <w:sz w:val="20"/>
          </w:rPr>
        </w:pPr>
        <w:r>
          <w:rPr>
            <w:rFonts w:asciiTheme="minorHAnsi" w:hAnsiTheme="minorHAnsi" w:cstheme="minorHAnsi"/>
            <w:sz w:val="20"/>
            <w:lang w:val="en-GB"/>
          </w:rPr>
          <w:fldChar w:fldCharType="begin"/>
        </w:r>
        <w:r>
          <w:rPr>
            <w:rFonts w:asciiTheme="minorHAnsi" w:hAnsiTheme="minorHAnsi" w:cstheme="minorHAnsi"/>
            <w:sz w:val="20"/>
            <w:lang w:val="en-GB"/>
          </w:rPr>
          <w:instrText>PAGE   \* MERGEFORMAT</w:instrText>
        </w:r>
        <w:r>
          <w:rPr>
            <w:rFonts w:asciiTheme="minorHAnsi" w:hAnsiTheme="minorHAnsi" w:cstheme="minorHAnsi"/>
            <w:sz w:val="20"/>
            <w:lang w:val="en-GB"/>
          </w:rPr>
          <w:fldChar w:fldCharType="separate"/>
        </w:r>
        <w:r w:rsidR="00B06670">
          <w:rPr>
            <w:rFonts w:asciiTheme="minorHAnsi" w:hAnsiTheme="minorHAnsi" w:cstheme="minorHAnsi"/>
            <w:noProof/>
            <w:sz w:val="20"/>
            <w:lang w:val="en-GB"/>
          </w:rPr>
          <w:t>2</w:t>
        </w:r>
        <w:r>
          <w:rPr>
            <w:rFonts w:asciiTheme="minorHAnsi" w:hAnsiTheme="minorHAnsi" w:cstheme="minorHAnsi"/>
            <w:sz w:val="20"/>
            <w:lang w:val="en-GB"/>
          </w:rPr>
          <w:fldChar w:fldCharType="end"/>
        </w:r>
      </w:p>
    </w:sdtContent>
  </w:sdt>
  <w:p w:rsidR="003D0CF4" w:rsidRDefault="003D0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139" w:rsidRDefault="00A06139" w:rsidP="003D0CF4">
      <w:r>
        <w:separator/>
      </w:r>
    </w:p>
  </w:footnote>
  <w:footnote w:type="continuationSeparator" w:id="0">
    <w:p w:rsidR="00A06139" w:rsidRDefault="00A06139" w:rsidP="003D0C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E5FB1"/>
    <w:multiLevelType w:val="hybridMultilevel"/>
    <w:tmpl w:val="944475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9CA334B"/>
    <w:multiLevelType w:val="hybridMultilevel"/>
    <w:tmpl w:val="669030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57436D4"/>
    <w:multiLevelType w:val="hybridMultilevel"/>
    <w:tmpl w:val="C5967DB0"/>
    <w:lvl w:ilvl="0" w:tplc="0415000F">
      <w:start w:val="1"/>
      <w:numFmt w:val="decimal"/>
      <w:lvlText w:val="%1."/>
      <w:lvlJc w:val="left"/>
      <w:pPr>
        <w:ind w:left="720" w:hanging="360"/>
      </w:pPr>
    </w:lvl>
    <w:lvl w:ilvl="1" w:tplc="0E007440">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69AE73A2"/>
    <w:multiLevelType w:val="hybridMultilevel"/>
    <w:tmpl w:val="D88649BA"/>
    <w:lvl w:ilvl="0" w:tplc="04150005">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5D6"/>
    <w:rsid w:val="000172DF"/>
    <w:rsid w:val="000529CB"/>
    <w:rsid w:val="00067446"/>
    <w:rsid w:val="00080FE9"/>
    <w:rsid w:val="00151384"/>
    <w:rsid w:val="001F2C63"/>
    <w:rsid w:val="0023483E"/>
    <w:rsid w:val="00275511"/>
    <w:rsid w:val="0031227B"/>
    <w:rsid w:val="00326590"/>
    <w:rsid w:val="003331E8"/>
    <w:rsid w:val="003B78EB"/>
    <w:rsid w:val="003B7F74"/>
    <w:rsid w:val="003D0CF4"/>
    <w:rsid w:val="00477E2D"/>
    <w:rsid w:val="00500F0C"/>
    <w:rsid w:val="00503140"/>
    <w:rsid w:val="0052150D"/>
    <w:rsid w:val="005770FA"/>
    <w:rsid w:val="00691150"/>
    <w:rsid w:val="006A6AEA"/>
    <w:rsid w:val="006C4A44"/>
    <w:rsid w:val="006D0904"/>
    <w:rsid w:val="00824F5E"/>
    <w:rsid w:val="008727F6"/>
    <w:rsid w:val="008C59E4"/>
    <w:rsid w:val="008D45EE"/>
    <w:rsid w:val="008E57F3"/>
    <w:rsid w:val="00910F5B"/>
    <w:rsid w:val="009128A4"/>
    <w:rsid w:val="009F72D9"/>
    <w:rsid w:val="009F76A3"/>
    <w:rsid w:val="00A06139"/>
    <w:rsid w:val="00A200AB"/>
    <w:rsid w:val="00A90130"/>
    <w:rsid w:val="00AA420F"/>
    <w:rsid w:val="00B06670"/>
    <w:rsid w:val="00B64515"/>
    <w:rsid w:val="00BC197B"/>
    <w:rsid w:val="00BC4AC7"/>
    <w:rsid w:val="00BF2621"/>
    <w:rsid w:val="00C03038"/>
    <w:rsid w:val="00D405D6"/>
    <w:rsid w:val="00D620A0"/>
    <w:rsid w:val="00D94F0D"/>
    <w:rsid w:val="00E0709D"/>
    <w:rsid w:val="00E3758F"/>
    <w:rsid w:val="00EC41F8"/>
    <w:rsid w:val="00F02038"/>
    <w:rsid w:val="00F15A72"/>
    <w:rsid w:val="00F57499"/>
    <w:rsid w:val="00F66739"/>
    <w:rsid w:val="00F96A16"/>
    <w:rsid w:val="00FB5A49"/>
    <w:rsid w:val="00FF5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A03E8-7709-4B90-8AA0-68346313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5D6"/>
    <w:pPr>
      <w:spacing w:after="0" w:line="240" w:lineRule="auto"/>
    </w:pPr>
    <w:rPr>
      <w:rFonts w:ascii="Times New Roman" w:eastAsia="Times New Roman" w:hAnsi="Times New Roman" w:cs="Times New Roman"/>
      <w:sz w:val="24"/>
      <w:szCs w:val="24"/>
      <w:lang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CF4"/>
    <w:pPr>
      <w:tabs>
        <w:tab w:val="center" w:pos="4536"/>
        <w:tab w:val="right" w:pos="9072"/>
      </w:tabs>
    </w:pPr>
  </w:style>
  <w:style w:type="character" w:customStyle="1" w:styleId="HeaderChar">
    <w:name w:val="Header Char"/>
    <w:basedOn w:val="DefaultParagraphFont"/>
    <w:link w:val="Header"/>
    <w:uiPriority w:val="99"/>
    <w:rsid w:val="003D0CF4"/>
    <w:rPr>
      <w:rFonts w:ascii="Times New Roman" w:eastAsia="Times New Roman" w:hAnsi="Times New Roman" w:cs="Times New Roman"/>
      <w:sz w:val="24"/>
      <w:szCs w:val="24"/>
      <w:lang w:eastAsia="pl-PL"/>
    </w:rPr>
  </w:style>
  <w:style w:type="paragraph" w:styleId="Footer">
    <w:name w:val="footer"/>
    <w:basedOn w:val="Normal"/>
    <w:link w:val="FooterChar"/>
    <w:uiPriority w:val="99"/>
    <w:unhideWhenUsed/>
    <w:rsid w:val="003D0CF4"/>
    <w:pPr>
      <w:tabs>
        <w:tab w:val="center" w:pos="4536"/>
        <w:tab w:val="right" w:pos="9072"/>
      </w:tabs>
    </w:pPr>
  </w:style>
  <w:style w:type="character" w:customStyle="1" w:styleId="FooterChar">
    <w:name w:val="Footer Char"/>
    <w:basedOn w:val="DefaultParagraphFont"/>
    <w:link w:val="Footer"/>
    <w:uiPriority w:val="99"/>
    <w:rsid w:val="003D0CF4"/>
    <w:rPr>
      <w:rFonts w:ascii="Times New Roman" w:eastAsia="Times New Roman" w:hAnsi="Times New Roman" w:cs="Times New Roman"/>
      <w:sz w:val="24"/>
      <w:szCs w:val="24"/>
      <w:lang w:eastAsia="pl-PL"/>
    </w:rPr>
  </w:style>
  <w:style w:type="paragraph" w:styleId="NoSpacing">
    <w:name w:val="No Spacing"/>
    <w:uiPriority w:val="1"/>
    <w:qFormat/>
    <w:rsid w:val="009F76A3"/>
    <w:pPr>
      <w:spacing w:after="0" w:line="240" w:lineRule="auto"/>
    </w:pPr>
  </w:style>
  <w:style w:type="character" w:customStyle="1" w:styleId="longtext">
    <w:name w:val="long_text"/>
    <w:basedOn w:val="DefaultParagraphFont"/>
    <w:uiPriority w:val="99"/>
    <w:rsid w:val="008E57F3"/>
    <w:rPr>
      <w:rFonts w:cs="Times New Roman"/>
    </w:rPr>
  </w:style>
  <w:style w:type="character" w:styleId="Hyperlink">
    <w:name w:val="Hyperlink"/>
    <w:basedOn w:val="DefaultParagraphFont"/>
    <w:uiPriority w:val="99"/>
    <w:unhideWhenUsed/>
    <w:rsid w:val="000172DF"/>
    <w:rPr>
      <w:color w:val="0563C1" w:themeColor="hyperlink"/>
      <w:u w:val="single"/>
    </w:rPr>
  </w:style>
  <w:style w:type="paragraph" w:customStyle="1" w:styleId="menfont">
    <w:name w:val="men font"/>
    <w:basedOn w:val="Normal"/>
    <w:rsid w:val="000172DF"/>
    <w:rPr>
      <w:rFonts w:ascii="Arial" w:hAnsi="Arial" w:cs="Arial"/>
    </w:rPr>
  </w:style>
  <w:style w:type="paragraph" w:styleId="FootnoteText">
    <w:name w:val="footnote text"/>
    <w:aliases w:val="Znak"/>
    <w:basedOn w:val="Normal"/>
    <w:link w:val="FootnoteTextChar"/>
    <w:uiPriority w:val="99"/>
    <w:rsid w:val="000172DF"/>
    <w:rPr>
      <w:rFonts w:ascii="Arial" w:hAnsi="Arial" w:cs="Arial"/>
      <w:sz w:val="20"/>
      <w:szCs w:val="20"/>
    </w:rPr>
  </w:style>
  <w:style w:type="character" w:customStyle="1" w:styleId="FootnoteTextChar">
    <w:name w:val="Footnote Text Char"/>
    <w:aliases w:val="Znak Char"/>
    <w:basedOn w:val="DefaultParagraphFont"/>
    <w:link w:val="FootnoteText"/>
    <w:uiPriority w:val="99"/>
    <w:rsid w:val="000172DF"/>
    <w:rPr>
      <w:rFonts w:ascii="Arial" w:eastAsia="Times New Roman" w:hAnsi="Arial" w:cs="Arial"/>
      <w:sz w:val="20"/>
      <w:szCs w:val="20"/>
      <w:lang w:eastAsia="pl-PL"/>
    </w:rPr>
  </w:style>
  <w:style w:type="character" w:styleId="FootnoteReference">
    <w:name w:val="footnote reference"/>
    <w:uiPriority w:val="99"/>
    <w:rsid w:val="000172DF"/>
    <w:rPr>
      <w:vertAlign w:val="superscript"/>
    </w:rPr>
  </w:style>
  <w:style w:type="table" w:styleId="TableGrid">
    <w:name w:val="Table Grid"/>
    <w:basedOn w:val="TableNormal"/>
    <w:uiPriority w:val="59"/>
    <w:rsid w:val="00017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20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203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03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grant.info.pl"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pip.gov.pl/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plikacja.migrant.info.pl" TargetMode="External"/><Relationship Id="rId14" Type="http://schemas.openxmlformats.org/officeDocument/2006/relationships/customXml" Target="../customXml/item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D14F7A-4CB2-469D-A5DA-334C33345FB8}"/>
</file>

<file path=customXml/itemProps2.xml><?xml version="1.0" encoding="utf-8"?>
<ds:datastoreItem xmlns:ds="http://schemas.openxmlformats.org/officeDocument/2006/customXml" ds:itemID="{BBE79F9D-CC2E-4092-88D1-18C004E59419}"/>
</file>

<file path=customXml/itemProps3.xml><?xml version="1.0" encoding="utf-8"?>
<ds:datastoreItem xmlns:ds="http://schemas.openxmlformats.org/officeDocument/2006/customXml" ds:itemID="{7CC71410-7EA1-402A-BD69-E0AAF3C15E86}"/>
</file>

<file path=docProps/app.xml><?xml version="1.0" encoding="utf-8"?>
<Properties xmlns="http://schemas.openxmlformats.org/officeDocument/2006/extended-properties" xmlns:vt="http://schemas.openxmlformats.org/officeDocument/2006/docPropsVTypes">
  <Template>Normal.dotm</Template>
  <TotalTime>1</TotalTime>
  <Pages>15</Pages>
  <Words>6254</Words>
  <Characters>35649</Characters>
  <Application>Microsoft Office Word</Application>
  <DocSecurity>4</DocSecurity>
  <Lines>297</Lines>
  <Paragraphs>83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MSWiA</Company>
  <LinksUpToDate>false</LinksUpToDate>
  <CharactersWithSpaces>41820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Sosnowska Joanna</dc:creator>
  <cp:lastModifiedBy>SINGH Kalpana</cp:lastModifiedBy>
  <cp:revision>2</cp:revision>
  <cp:lastPrinted>2019-08-06T12:53:00Z</cp:lastPrinted>
  <dcterms:created xsi:type="dcterms:W3CDTF">2019-08-06T12:54:00Z</dcterms:created>
  <dcterms:modified xsi:type="dcterms:W3CDTF">2019-08-06T12:54:00Z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