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before="360" w:lineRule="auto"/>
        <w:rPr/>
      </w:pPr>
      <w:bookmarkStart w:colFirst="0" w:colLast="0" w:name="_heading=h.63l9k1ydb346" w:id="0"/>
      <w:bookmarkEnd w:id="0"/>
      <w:r w:rsidDel="00000000" w:rsidR="00000000" w:rsidRPr="00000000">
        <w:rPr>
          <w:rtl w:val="0"/>
        </w:rPr>
        <w:t xml:space="preserve">Introduction</w:t>
      </w:r>
    </w:p>
    <w:p w:rsidR="00000000" w:rsidDel="00000000" w:rsidP="00000000" w:rsidRDefault="00000000" w:rsidRPr="00000000" w14:paraId="00000002">
      <w:pPr>
        <w:rPr/>
      </w:pPr>
      <w:r w:rsidDel="00000000" w:rsidR="00000000" w:rsidRPr="00000000">
        <w:rPr>
          <w:rtl w:val="0"/>
        </w:rPr>
        <w:t xml:space="preserve">This report is submitted by the Agenda CEDAW Working Group and the Feminist Network against Violence, within the framework of the follow-up procedure to the Concluding Observations of the CEDAW Committee on Costa Rica (VIII periodic report, 2023). The document focuses on three critical areas identified as priorities:</w:t>
      </w:r>
    </w:p>
    <w:p w:rsidR="00000000" w:rsidDel="00000000" w:rsidP="00000000" w:rsidRDefault="00000000" w:rsidRPr="00000000" w14:paraId="00000003">
      <w:pPr>
        <w:numPr>
          <w:ilvl w:val="0"/>
          <w:numId w:val="3"/>
        </w:numPr>
        <w:spacing w:after="0" w:afterAutospacing="0"/>
        <w:ind w:left="720" w:hanging="360"/>
        <w:jc w:val="left"/>
      </w:pPr>
      <w:r w:rsidDel="00000000" w:rsidR="00000000" w:rsidRPr="00000000">
        <w:rPr>
          <w:rtl w:val="0"/>
        </w:rPr>
        <w:t xml:space="preserve">The weakening of the national system for protection against gender-based violence, with emphasis on the National Women’s Institute (INAMU) as the lead authority;</w:t>
      </w:r>
    </w:p>
    <w:p w:rsidR="00000000" w:rsidDel="00000000" w:rsidP="00000000" w:rsidRDefault="00000000" w:rsidRPr="00000000" w14:paraId="00000004">
      <w:pPr>
        <w:numPr>
          <w:ilvl w:val="0"/>
          <w:numId w:val="3"/>
        </w:numPr>
        <w:spacing w:after="0" w:afterAutospacing="0" w:before="0" w:beforeAutospacing="0"/>
        <w:ind w:left="720" w:hanging="360"/>
        <w:jc w:val="left"/>
      </w:pPr>
      <w:r w:rsidDel="00000000" w:rsidR="00000000" w:rsidRPr="00000000">
        <w:rPr>
          <w:rtl w:val="0"/>
        </w:rPr>
        <w:t xml:space="preserve">The lack of implementation of therapeutic abortion and sexual and reproductive health services; and</w:t>
      </w:r>
    </w:p>
    <w:p w:rsidR="00000000" w:rsidDel="00000000" w:rsidP="00000000" w:rsidRDefault="00000000" w:rsidRPr="00000000" w14:paraId="00000005">
      <w:pPr>
        <w:numPr>
          <w:ilvl w:val="0"/>
          <w:numId w:val="3"/>
        </w:numPr>
        <w:spacing w:before="0" w:beforeAutospacing="0"/>
        <w:ind w:left="720" w:hanging="360"/>
        <w:jc w:val="left"/>
      </w:pPr>
      <w:r w:rsidDel="00000000" w:rsidR="00000000" w:rsidRPr="00000000">
        <w:rPr>
          <w:rtl w:val="0"/>
        </w:rPr>
        <w:t xml:space="preserve">The setbacks in comprehensive sexuality education.</w:t>
      </w:r>
    </w:p>
    <w:p w:rsidR="00000000" w:rsidDel="00000000" w:rsidP="00000000" w:rsidRDefault="00000000" w:rsidRPr="00000000" w14:paraId="00000006">
      <w:pPr>
        <w:pStyle w:val="Heading1"/>
        <w:rPr/>
      </w:pPr>
      <w:bookmarkStart w:colFirst="0" w:colLast="0" w:name="_heading=h.8zbic8u23m9f" w:id="1"/>
      <w:bookmarkEnd w:id="1"/>
      <w:r w:rsidDel="00000000" w:rsidR="00000000" w:rsidRPr="00000000">
        <w:rPr>
          <w:rtl w:val="0"/>
        </w:rPr>
        <w:t xml:space="preserve">1. Protection system against gender-based violence and INAMU</w:t>
      </w:r>
    </w:p>
    <w:p w:rsidR="00000000" w:rsidDel="00000000" w:rsidP="00000000" w:rsidRDefault="00000000" w:rsidRPr="00000000" w14:paraId="00000007">
      <w:pPr>
        <w:rPr/>
      </w:pPr>
      <w:r w:rsidDel="00000000" w:rsidR="00000000" w:rsidRPr="00000000">
        <w:rPr>
          <w:rtl w:val="0"/>
        </w:rPr>
        <w:t xml:space="preserve">In its 2023 Concluding Observations (paras. 15–16)</w:t>
      </w:r>
      <w:r w:rsidDel="00000000" w:rsidR="00000000" w:rsidRPr="00000000">
        <w:rPr>
          <w:vertAlign w:val="superscript"/>
        </w:rPr>
        <w:footnoteReference w:customMarkFollows="0" w:id="0"/>
      </w:r>
      <w:r w:rsidDel="00000000" w:rsidR="00000000" w:rsidRPr="00000000">
        <w:rPr>
          <w:rtl w:val="0"/>
        </w:rPr>
        <w:t xml:space="preserve">, the CEDAW Committee warned of the weakening of national mechanisms for the advancement of women and the integration of the gender perspective. It particularly highlighted threats to the National Women’s Institute (INAMU), limitations of the Municipal Women’s Offices (OFIMs), and the lack of coordination with civil society.</w:t>
      </w:r>
    </w:p>
    <w:p w:rsidR="00000000" w:rsidDel="00000000" w:rsidP="00000000" w:rsidRDefault="00000000" w:rsidRPr="00000000" w14:paraId="00000008">
      <w:pPr>
        <w:pStyle w:val="Heading2"/>
        <w:rPr/>
      </w:pPr>
      <w:bookmarkStart w:colFirst="0" w:colLast="0" w:name="_heading=h.uu1uf5pa6j3e" w:id="2"/>
      <w:bookmarkEnd w:id="2"/>
      <w:r w:rsidDel="00000000" w:rsidR="00000000" w:rsidRPr="00000000">
        <w:rPr>
          <w:rtl w:val="0"/>
        </w:rPr>
        <w:t xml:space="preserve">Current status: Not implemented.</w:t>
      </w:r>
    </w:p>
    <w:p w:rsidR="00000000" w:rsidDel="00000000" w:rsidP="00000000" w:rsidRDefault="00000000" w:rsidRPr="00000000" w14:paraId="00000009">
      <w:pPr>
        <w:rPr/>
      </w:pPr>
      <w:r w:rsidDel="00000000" w:rsidR="00000000" w:rsidRPr="00000000">
        <w:rPr>
          <w:rtl w:val="0"/>
        </w:rPr>
        <w:t xml:space="preserve">INAMU has been subject to budget cuts, restructuring attempts, and delegitimizing discourse that have undermined its role. The current administration has sidelined the implementation of the </w:t>
      </w:r>
      <w:r w:rsidDel="00000000" w:rsidR="00000000" w:rsidRPr="00000000">
        <w:rPr>
          <w:i w:val="1"/>
          <w:rtl w:val="0"/>
        </w:rPr>
        <w:t xml:space="preserve">National Policy for the Care and Prevention of Violence against Women 2017–2032</w:t>
      </w:r>
      <w:r w:rsidDel="00000000" w:rsidR="00000000" w:rsidRPr="00000000">
        <w:rPr>
          <w:rtl w:val="0"/>
        </w:rPr>
        <w:t xml:space="preserve">, thereby eroding the National System created under Law 8668. Instead, it has promoted the so-called </w:t>
      </w:r>
      <w:r w:rsidDel="00000000" w:rsidR="00000000" w:rsidRPr="00000000">
        <w:rPr>
          <w:i w:val="1"/>
          <w:rtl w:val="0"/>
        </w:rPr>
        <w:t xml:space="preserve">Gender Route 2.0</w:t>
      </w:r>
      <w:r w:rsidDel="00000000" w:rsidR="00000000" w:rsidRPr="00000000">
        <w:rPr>
          <w:rtl w:val="0"/>
        </w:rPr>
        <w:t xml:space="preserve">, centered on “Violet Points.” These operate under a service outsourcing model, staffed by individuals without specialization in violence against women, and have not proven effective in addressing the sustained increase in femicides in recent years (according to audit reports</w:t>
      </w:r>
      <w:r w:rsidDel="00000000" w:rsidR="00000000" w:rsidRPr="00000000">
        <w:rPr>
          <w:vertAlign w:val="superscript"/>
        </w:rPr>
        <w:footnoteReference w:customMarkFollows="0" w:id="1"/>
      </w:r>
      <w:r w:rsidDel="00000000" w:rsidR="00000000" w:rsidRPr="00000000">
        <w:rPr>
          <w:rtl w:val="0"/>
        </w:rPr>
        <w:t xml:space="preserve">, the Ombudsperson’s Office</w:t>
      </w:r>
      <w:r w:rsidDel="00000000" w:rsidR="00000000" w:rsidRPr="00000000">
        <w:rPr>
          <w:vertAlign w:val="superscript"/>
        </w:rPr>
        <w:footnoteReference w:customMarkFollows="0" w:id="2"/>
      </w:r>
      <w:r w:rsidDel="00000000" w:rsidR="00000000" w:rsidRPr="00000000">
        <w:rPr>
          <w:rtl w:val="0"/>
        </w:rPr>
        <w:t xml:space="preserve"> , the Judiciary Observatory</w:t>
      </w:r>
      <w:r w:rsidDel="00000000" w:rsidR="00000000" w:rsidRPr="00000000">
        <w:rPr>
          <w:vertAlign w:val="superscript"/>
        </w:rPr>
        <w:footnoteReference w:customMarkFollows="0" w:id="3"/>
      </w:r>
      <w:r w:rsidDel="00000000" w:rsidR="00000000" w:rsidRPr="00000000">
        <w:rPr>
          <w:rtl w:val="0"/>
        </w:rPr>
        <w:t xml:space="preserve"> , and civil society</w:t>
      </w:r>
      <w:r w:rsidDel="00000000" w:rsidR="00000000" w:rsidRPr="00000000">
        <w:rPr>
          <w:vertAlign w:val="superscript"/>
        </w:rPr>
        <w:footnoteReference w:customMarkFollows="0" w:id="4"/>
      </w:r>
      <w:r w:rsidDel="00000000" w:rsidR="00000000" w:rsidRPr="00000000">
        <w:rPr>
          <w:rtl w:val="0"/>
        </w:rPr>
        <w:t xml:space="preserve">).</w:t>
      </w:r>
    </w:p>
    <w:p w:rsidR="00000000" w:rsidDel="00000000" w:rsidP="00000000" w:rsidRDefault="00000000" w:rsidRPr="00000000" w14:paraId="0000000A">
      <w:pPr>
        <w:rPr/>
      </w:pPr>
      <w:r w:rsidDel="00000000" w:rsidR="00000000" w:rsidRPr="00000000">
        <w:rPr>
          <w:rtl w:val="0"/>
        </w:rPr>
        <w:t xml:space="preserve">The situation has deteriorated to the point where the former Minister for the Status of Women, who resigned to run for a congressional seat</w:t>
      </w:r>
      <w:r w:rsidDel="00000000" w:rsidR="00000000" w:rsidRPr="00000000">
        <w:rPr>
          <w:vertAlign w:val="superscript"/>
        </w:rPr>
        <w:footnoteReference w:customMarkFollows="0" w:id="5"/>
      </w:r>
      <w:r w:rsidDel="00000000" w:rsidR="00000000" w:rsidRPr="00000000">
        <w:rPr>
          <w:rtl w:val="0"/>
        </w:rPr>
        <w:t xml:space="preserve">, placed the responsibility for experiencing violence on the victims themselves.</w:t>
      </w:r>
      <w:r w:rsidDel="00000000" w:rsidR="00000000" w:rsidRPr="00000000">
        <w:rPr>
          <w:vertAlign w:val="superscript"/>
        </w:rPr>
        <w:footnoteReference w:customMarkFollows="0" w:id="6"/>
      </w:r>
      <w:r w:rsidDel="00000000" w:rsidR="00000000" w:rsidRPr="00000000">
        <w:rPr>
          <w:rtl w:val="0"/>
        </w:rPr>
        <w:t xml:space="preserve"> </w:t>
      </w:r>
      <w:r w:rsidDel="00000000" w:rsidR="00000000" w:rsidRPr="00000000">
        <w:rPr>
          <w:vertAlign w:val="superscript"/>
        </w:rPr>
        <w:footnoteReference w:customMarkFollows="0" w:id="7"/>
      </w:r>
      <w:r w:rsidDel="00000000" w:rsidR="00000000" w:rsidRPr="00000000">
        <w:rPr>
          <w:rtl w:val="0"/>
        </w:rPr>
        <w:t xml:space="preserve"> </w:t>
      </w:r>
      <w:r w:rsidDel="00000000" w:rsidR="00000000" w:rsidRPr="00000000">
        <w:rPr>
          <w:vertAlign w:val="superscript"/>
        </w:rPr>
        <w:footnoteReference w:customMarkFollows="0" w:id="8"/>
      </w:r>
      <w:r w:rsidDel="00000000" w:rsidR="00000000" w:rsidRPr="00000000">
        <w:rPr>
          <w:rtl w:val="0"/>
        </w:rPr>
        <w:t xml:space="preserve"> </w:t>
      </w:r>
      <w:r w:rsidDel="00000000" w:rsidR="00000000" w:rsidRPr="00000000">
        <w:rPr>
          <w:vertAlign w:val="superscript"/>
        </w:rPr>
        <w:footnoteReference w:customMarkFollows="0" w:id="9"/>
      </w: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Moreover, in 2025 Costa Rica has seen an alarming rise in hate speech, with more than 2.1 million messages recorded on social media. Of that total, around 491,000 specifically targeted women, reproducing stereotypes, disqualifications, and justifications of violence aimed at delegitimizing their public participation and leadership.</w:t>
      </w:r>
      <w:r w:rsidDel="00000000" w:rsidR="00000000" w:rsidRPr="00000000">
        <w:rPr>
          <w:vertAlign w:val="superscript"/>
        </w:rPr>
        <w:footnoteReference w:customMarkFollows="0" w:id="10"/>
      </w:r>
      <w:r w:rsidDel="00000000" w:rsidR="00000000" w:rsidRPr="00000000">
        <w:rPr>
          <w:rtl w:val="0"/>
        </w:rPr>
        <w:t xml:space="preserve"> These data reflect a sustained trend of harassment and misogynistic attacks that, combined with the institutional weakening of INAMU and harassment of feminist organizations and human rights defenders, increase women’s vulnerability to violence and restrict civil society’s ability to advocate for rights.</w:t>
      </w:r>
    </w:p>
    <w:p w:rsidR="00000000" w:rsidDel="00000000" w:rsidP="00000000" w:rsidRDefault="00000000" w:rsidRPr="00000000" w14:paraId="0000000C">
      <w:pPr>
        <w:rPr/>
      </w:pPr>
      <w:r w:rsidDel="00000000" w:rsidR="00000000" w:rsidRPr="00000000">
        <w:rPr>
          <w:rtl w:val="0"/>
        </w:rPr>
        <w:t xml:space="preserve">The dismantling of the care system established under Law 8668 and the diversion of resources toward short-term projects have further weakened the state response.</w:t>
      </w:r>
      <w:r w:rsidDel="00000000" w:rsidR="00000000" w:rsidRPr="00000000">
        <w:rPr>
          <w:vertAlign w:val="superscript"/>
        </w:rPr>
        <w:footnoteReference w:customMarkFollows="0" w:id="11"/>
      </w:r>
      <w:r w:rsidDel="00000000" w:rsidR="00000000" w:rsidRPr="00000000">
        <w:rPr>
          <w:rtl w:val="0"/>
        </w:rPr>
        <w:t xml:space="preserve"> At the same time, harassment and delegitimization of feminist and human rights organizations restrict civil society action in this area. Civil society has also been kept in the dark regarding key processes, including CEDAW’s follow-up mechanism, without technical support from the UN System in Costa Rica for this reporting process.</w:t>
      </w:r>
    </w:p>
    <w:p w:rsidR="00000000" w:rsidDel="00000000" w:rsidP="00000000" w:rsidRDefault="00000000" w:rsidRPr="00000000" w14:paraId="0000000D">
      <w:pPr>
        <w:rPr/>
      </w:pPr>
      <w:r w:rsidDel="00000000" w:rsidR="00000000" w:rsidRPr="00000000">
        <w:rPr>
          <w:rtl w:val="0"/>
        </w:rPr>
        <w:t xml:space="preserve">The Municipal Women’s Offices, conceived as the territorial arm for equality policies and care for violence against women, are fewer in number and currently operate with minimal budgets, without specialized staff or job stability. This severely limits their ability to respond to the needs of women in communities. The weakening of INAMU directly affects these offices, reducing coordination, technical oversight, and support that they historically received. Instead of being strengthened, as expressly recommended by the CEDAW Committee in 2023, the OFIMs are undergoing precarization and closure, undermining the state’s ability to ensure prevention, care, and redress in gender-based violence cases at the local level.</w:t>
      </w:r>
    </w:p>
    <w:p w:rsidR="00000000" w:rsidDel="00000000" w:rsidP="00000000" w:rsidRDefault="00000000" w:rsidRPr="00000000" w14:paraId="0000000E">
      <w:pPr>
        <w:pStyle w:val="Heading2"/>
        <w:rPr/>
      </w:pPr>
      <w:bookmarkStart w:colFirst="0" w:colLast="0" w:name="_heading=h.spry5qeiuzf7" w:id="3"/>
      <w:bookmarkEnd w:id="3"/>
      <w:r w:rsidDel="00000000" w:rsidR="00000000" w:rsidRPr="00000000">
        <w:rPr>
          <w:rtl w:val="0"/>
        </w:rPr>
        <w:t xml:space="preserve">Recommendations</w:t>
      </w:r>
    </w:p>
    <w:p w:rsidR="00000000" w:rsidDel="00000000" w:rsidP="00000000" w:rsidRDefault="00000000" w:rsidRPr="00000000" w14:paraId="0000000F">
      <w:pPr>
        <w:numPr>
          <w:ilvl w:val="0"/>
          <w:numId w:val="4"/>
        </w:numPr>
        <w:spacing w:after="0" w:afterAutospacing="0"/>
        <w:ind w:left="720" w:hanging="360"/>
        <w:jc w:val="left"/>
      </w:pPr>
      <w:r w:rsidDel="00000000" w:rsidR="00000000" w:rsidRPr="00000000">
        <w:rPr>
          <w:rtl w:val="0"/>
        </w:rPr>
        <w:t xml:space="preserve">Restore INAMU as the lead authority with full powers and guaranteed budget. A robust institutional framework must be secured, with protected financing not dependent on political contingencies.</w:t>
      </w:r>
    </w:p>
    <w:p w:rsidR="00000000" w:rsidDel="00000000" w:rsidP="00000000" w:rsidRDefault="00000000" w:rsidRPr="00000000" w14:paraId="00000010">
      <w:pPr>
        <w:numPr>
          <w:ilvl w:val="0"/>
          <w:numId w:val="4"/>
        </w:numPr>
        <w:spacing w:after="0" w:afterAutospacing="0" w:before="0" w:beforeAutospacing="0"/>
        <w:ind w:left="720" w:hanging="360"/>
        <w:jc w:val="left"/>
      </w:pPr>
      <w:r w:rsidDel="00000000" w:rsidR="00000000" w:rsidRPr="00000000">
        <w:rPr>
          <w:rtl w:val="0"/>
        </w:rPr>
        <w:t xml:space="preserve">Strengthen mandatory coordination between INAMU, Municipal Women’s Offices, local governments, the Judiciary, PANI, and civil society. This articulation must be formal, systematic, and binding, ensuring clear pathways, defined responsibilities, and monitoring mechanisms for effective protection and redress.</w:t>
      </w:r>
    </w:p>
    <w:p w:rsidR="00000000" w:rsidDel="00000000" w:rsidP="00000000" w:rsidRDefault="00000000" w:rsidRPr="00000000" w14:paraId="00000011">
      <w:pPr>
        <w:numPr>
          <w:ilvl w:val="0"/>
          <w:numId w:val="4"/>
        </w:numPr>
        <w:spacing w:before="0" w:beforeAutospacing="0"/>
        <w:ind w:left="720" w:hanging="360"/>
        <w:jc w:val="left"/>
      </w:pPr>
      <w:r w:rsidDel="00000000" w:rsidR="00000000" w:rsidRPr="00000000">
        <w:rPr>
          <w:rtl w:val="0"/>
        </w:rPr>
        <w:t xml:space="preserve">Create and implement specific protection protocols against reprisals and attacks on women human rights defenders. Given the absence of a national mechanism, urgent guidelines must be established, including prevention, immediate response, and redress measures to guarantee defenders’ safety.</w:t>
      </w:r>
    </w:p>
    <w:p w:rsidR="00000000" w:rsidDel="00000000" w:rsidP="00000000" w:rsidRDefault="00000000" w:rsidRPr="00000000" w14:paraId="0000001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3">
      <w:pPr>
        <w:pStyle w:val="Heading1"/>
        <w:keepNext w:val="0"/>
        <w:keepLines w:val="0"/>
        <w:spacing w:before="360" w:lineRule="auto"/>
        <w:rPr/>
      </w:pPr>
      <w:bookmarkStart w:colFirst="0" w:colLast="0" w:name="_heading=h.noxpmgm7b3us" w:id="4"/>
      <w:bookmarkEnd w:id="4"/>
      <w:r w:rsidDel="00000000" w:rsidR="00000000" w:rsidRPr="00000000">
        <w:rPr>
          <w:rtl w:val="0"/>
        </w:rPr>
        <w:t xml:space="preserve">2. Therapeutic abortion and sexual and reproductive health</w:t>
      </w:r>
    </w:p>
    <w:p w:rsidR="00000000" w:rsidDel="00000000" w:rsidP="00000000" w:rsidRDefault="00000000" w:rsidRPr="00000000" w14:paraId="00000014">
      <w:pPr>
        <w:rPr/>
      </w:pPr>
      <w:r w:rsidDel="00000000" w:rsidR="00000000" w:rsidRPr="00000000">
        <w:rPr>
          <w:rtl w:val="0"/>
        </w:rPr>
        <w:t xml:space="preserve">In its 2023 Concluding Observations (para. 34(b)), the Committee urged the State not to repeal the 2019 Technical Standard, to disseminate it, and to train health personnel.</w:t>
      </w:r>
      <w:r w:rsidDel="00000000" w:rsidR="00000000" w:rsidRPr="00000000">
        <w:rPr>
          <w:vertAlign w:val="superscript"/>
        </w:rPr>
        <w:footnoteReference w:customMarkFollows="0" w:id="12"/>
      </w:r>
      <w:r w:rsidDel="00000000" w:rsidR="00000000" w:rsidRPr="00000000">
        <w:rPr>
          <w:rtl w:val="0"/>
        </w:rPr>
      </w:r>
    </w:p>
    <w:p w:rsidR="00000000" w:rsidDel="00000000" w:rsidP="00000000" w:rsidRDefault="00000000" w:rsidRPr="00000000" w14:paraId="00000015">
      <w:pPr>
        <w:pStyle w:val="Heading2"/>
        <w:rPr/>
      </w:pPr>
      <w:bookmarkStart w:colFirst="0" w:colLast="0" w:name="_heading=h.a5htdjvoc37l" w:id="5"/>
      <w:bookmarkEnd w:id="5"/>
      <w:r w:rsidDel="00000000" w:rsidR="00000000" w:rsidRPr="00000000">
        <w:rPr>
          <w:rtl w:val="0"/>
        </w:rPr>
        <w:t xml:space="preserve">Current status: Not implemented.</w:t>
      </w:r>
    </w:p>
    <w:p w:rsidR="00000000" w:rsidDel="00000000" w:rsidP="00000000" w:rsidRDefault="00000000" w:rsidRPr="00000000" w14:paraId="00000016">
      <w:pPr>
        <w:numPr>
          <w:ilvl w:val="0"/>
          <w:numId w:val="1"/>
        </w:numPr>
        <w:spacing w:after="0" w:afterAutospacing="0"/>
        <w:ind w:left="720" w:hanging="360"/>
        <w:rPr>
          <w:u w:val="none"/>
        </w:rPr>
      </w:pPr>
      <w:r w:rsidDel="00000000" w:rsidR="00000000" w:rsidRPr="00000000">
        <w:rPr>
          <w:rtl w:val="0"/>
        </w:rPr>
        <w:t xml:space="preserve">The 2019 Technical Standard remains formally in force but is practically unenforceable due to the lack of clear guidelines, effective supervision, and institutional will to ensure compliance. The absence of official and transparent records on requests and procedures prevents knowledge of the real extent of access to therapeutic abortion. Partial information, from complaints or fragmentary reports, is scarce and alarming: continued impunity in abortions and unattended requests reveal the State’s failure to guarantee sexual and reproductive rights.</w:t>
      </w:r>
      <w:r w:rsidDel="00000000" w:rsidR="00000000" w:rsidRPr="00000000">
        <w:rPr>
          <w:vertAlign w:val="superscript"/>
        </w:rPr>
        <w:footnoteReference w:customMarkFollows="0" w:id="13"/>
      </w:r>
      <w:r w:rsidDel="00000000" w:rsidR="00000000" w:rsidRPr="00000000">
        <w:rPr>
          <w:rtl w:val="0"/>
        </w:rPr>
      </w:r>
    </w:p>
    <w:p w:rsidR="00000000" w:rsidDel="00000000" w:rsidP="00000000" w:rsidRDefault="00000000" w:rsidRPr="00000000" w14:paraId="00000017">
      <w:pPr>
        <w:numPr>
          <w:ilvl w:val="0"/>
          <w:numId w:val="1"/>
        </w:numPr>
        <w:spacing w:after="0" w:afterAutospacing="0" w:before="0" w:beforeAutospacing="0"/>
        <w:ind w:left="720" w:hanging="360"/>
        <w:rPr>
          <w:u w:val="none"/>
        </w:rPr>
      </w:pPr>
      <w:r w:rsidDel="00000000" w:rsidR="00000000" w:rsidRPr="00000000">
        <w:rPr>
          <w:rtl w:val="0"/>
        </w:rPr>
        <w:t xml:space="preserve">Landmark cases (</w:t>
      </w:r>
      <w:r w:rsidDel="00000000" w:rsidR="00000000" w:rsidRPr="00000000">
        <w:rPr>
          <w:i w:val="1"/>
          <w:rtl w:val="0"/>
        </w:rPr>
        <w:t xml:space="preserve">Ana</w:t>
      </w:r>
      <w:r w:rsidDel="00000000" w:rsidR="00000000" w:rsidRPr="00000000">
        <w:rPr>
          <w:rtl w:val="0"/>
        </w:rPr>
        <w:t xml:space="preserve"> and </w:t>
      </w:r>
      <w:r w:rsidDel="00000000" w:rsidR="00000000" w:rsidRPr="00000000">
        <w:rPr>
          <w:i w:val="1"/>
          <w:rtl w:val="0"/>
        </w:rPr>
        <w:t xml:space="preserve">Aurora</w:t>
      </w:r>
      <w:r w:rsidDel="00000000" w:rsidR="00000000" w:rsidRPr="00000000">
        <w:rPr>
          <w:rtl w:val="0"/>
        </w:rPr>
        <w:t xml:space="preserve">) before the Inter-American Commission on Human Rights remain unresolved since 2007 and 2011 respectively.</w:t>
      </w:r>
    </w:p>
    <w:p w:rsidR="00000000" w:rsidDel="00000000" w:rsidP="00000000" w:rsidRDefault="00000000" w:rsidRPr="00000000" w14:paraId="00000018">
      <w:pPr>
        <w:numPr>
          <w:ilvl w:val="0"/>
          <w:numId w:val="1"/>
        </w:numPr>
        <w:spacing w:after="0" w:afterAutospacing="0" w:before="0" w:beforeAutospacing="0"/>
        <w:ind w:left="720" w:hanging="360"/>
        <w:rPr>
          <w:u w:val="none"/>
        </w:rPr>
      </w:pPr>
      <w:r w:rsidDel="00000000" w:rsidR="00000000" w:rsidRPr="00000000">
        <w:rPr>
          <w:b w:val="1"/>
          <w:rtl w:val="0"/>
        </w:rPr>
        <w:t xml:space="preserve">Barriers in emergency contraception and misoprostol, even questioned before the Constitutional Court.</w:t>
      </w:r>
      <w:r w:rsidDel="00000000" w:rsidR="00000000" w:rsidRPr="00000000">
        <w:rPr>
          <w:vertAlign w:val="superscript"/>
        </w:rPr>
        <w:footnoteReference w:customMarkFollows="0" w:id="14"/>
      </w:r>
      <w:r w:rsidDel="00000000" w:rsidR="00000000" w:rsidRPr="00000000">
        <w:rPr>
          <w:rtl w:val="0"/>
        </w:rPr>
        <w:t xml:space="preserve">  </w:t>
      </w:r>
      <w:r w:rsidDel="00000000" w:rsidR="00000000" w:rsidRPr="00000000">
        <w:rPr>
          <w:rtl w:val="0"/>
        </w:rPr>
        <w:t xml:space="preserve"> Despite recognition as part of sexual and reproductive rights, their distribution and use face institutional and cultural obstacles, restricting reproductive autonomy. Judicial actions challenge access, creating legal uncertainty that discourages health professionals and perpetuates ineffective guarantees. Restrictive practices continue, affecting availability of these medicines, used both in therapeutic abortion and general gynecological care. Constitutional challenges against the decree authorizing over-the-counter emergency contraception have reinforced insecurity. At the same time, discourses discrediting international reproductive rights standards, including those from the Inter-American Court of Human Rights, further weaken state obligations to guarantee autonomy and non-discriminatory health services.</w:t>
      </w:r>
    </w:p>
    <w:p w:rsidR="00000000" w:rsidDel="00000000" w:rsidP="00000000" w:rsidRDefault="00000000" w:rsidRPr="00000000" w14:paraId="00000019">
      <w:pPr>
        <w:numPr>
          <w:ilvl w:val="0"/>
          <w:numId w:val="1"/>
        </w:numPr>
        <w:spacing w:before="0" w:beforeAutospacing="0"/>
        <w:ind w:left="720" w:hanging="360"/>
        <w:rPr>
          <w:u w:val="none"/>
        </w:rPr>
      </w:pPr>
      <w:r w:rsidDel="00000000" w:rsidR="00000000" w:rsidRPr="00000000">
        <w:rPr>
          <w:rtl w:val="0"/>
        </w:rPr>
        <w:t xml:space="preserve">In health services, practices that violate women’s autonomy and dignity persist, including non-consensual interventions, excessive medicalization of childbirth, and dehumanizing treatment, which constitute institutional gender-based violence.</w:t>
      </w:r>
    </w:p>
    <w:p w:rsidR="00000000" w:rsidDel="00000000" w:rsidP="00000000" w:rsidRDefault="00000000" w:rsidRPr="00000000" w14:paraId="0000001A">
      <w:pPr>
        <w:rPr/>
      </w:pPr>
      <w:r w:rsidDel="00000000" w:rsidR="00000000" w:rsidRPr="00000000">
        <w:rPr>
          <w:rtl w:val="0"/>
        </w:rPr>
        <w:t xml:space="preserve">Meanwhile, the Executive has proposed Penal Code reform to increase abortion penalties.</w:t>
      </w:r>
      <w:r w:rsidDel="00000000" w:rsidR="00000000" w:rsidRPr="00000000">
        <w:rPr>
          <w:vertAlign w:val="superscript"/>
        </w:rPr>
        <w:footnoteReference w:customMarkFollows="0" w:id="15"/>
      </w:r>
      <w:r w:rsidDel="00000000" w:rsidR="00000000" w:rsidRPr="00000000">
        <w:rPr>
          <w:vertAlign w:val="superscript"/>
          <w:rtl w:val="0"/>
        </w:rPr>
        <w:t xml:space="preserve"> </w:t>
      </w:r>
      <w:r w:rsidDel="00000000" w:rsidR="00000000" w:rsidRPr="00000000">
        <w:rPr>
          <w:vertAlign w:val="superscript"/>
        </w:rPr>
        <w:footnoteReference w:customMarkFollows="0" w:id="16"/>
      </w:r>
      <w:r w:rsidDel="00000000" w:rsidR="00000000" w:rsidRPr="00000000">
        <w:rPr>
          <w:rtl w:val="0"/>
        </w:rPr>
      </w:r>
    </w:p>
    <w:p w:rsidR="00000000" w:rsidDel="00000000" w:rsidP="00000000" w:rsidRDefault="00000000" w:rsidRPr="00000000" w14:paraId="0000001B">
      <w:pPr>
        <w:rPr>
          <w:b w:val="1"/>
        </w:rPr>
      </w:pPr>
      <w:r w:rsidDel="00000000" w:rsidR="00000000" w:rsidRPr="00000000">
        <w:rPr>
          <w:b w:val="1"/>
          <w:rtl w:val="0"/>
        </w:rPr>
        <w:t xml:space="preserve">Recommendations</w:t>
      </w:r>
    </w:p>
    <w:p w:rsidR="00000000" w:rsidDel="00000000" w:rsidP="00000000" w:rsidRDefault="00000000" w:rsidRPr="00000000" w14:paraId="0000001C">
      <w:pPr>
        <w:numPr>
          <w:ilvl w:val="0"/>
          <w:numId w:val="6"/>
        </w:numPr>
        <w:spacing w:after="0" w:afterAutospacing="0"/>
        <w:ind w:left="720" w:hanging="360"/>
        <w:jc w:val="left"/>
      </w:pPr>
      <w:r w:rsidDel="00000000" w:rsidR="00000000" w:rsidRPr="00000000">
        <w:rPr>
          <w:rtl w:val="0"/>
        </w:rPr>
        <w:t xml:space="preserve">Ensure uniform implementation without exceptions, guaranteeing that all health personnel are trained to process therapeutic abortion requests under clear medical, legal, and human rights criteria.</w:t>
      </w:r>
    </w:p>
    <w:p w:rsidR="00000000" w:rsidDel="00000000" w:rsidP="00000000" w:rsidRDefault="00000000" w:rsidRPr="00000000" w14:paraId="0000001D">
      <w:pPr>
        <w:numPr>
          <w:ilvl w:val="0"/>
          <w:numId w:val="6"/>
        </w:numPr>
        <w:spacing w:after="0" w:afterAutospacing="0" w:before="0" w:beforeAutospacing="0"/>
        <w:ind w:left="720" w:hanging="360"/>
        <w:jc w:val="left"/>
      </w:pPr>
      <w:r w:rsidDel="00000000" w:rsidR="00000000" w:rsidRPr="00000000">
        <w:rPr>
          <w:rtl w:val="0"/>
        </w:rPr>
        <w:t xml:space="preserve">Generate official and transparent records of requests and procedures. The State must establish a reliable data system to record numbers of requests, completed procedures, rejections, and justifications, ensuring traceability and accountability.</w:t>
      </w:r>
    </w:p>
    <w:p w:rsidR="00000000" w:rsidDel="00000000" w:rsidP="00000000" w:rsidRDefault="00000000" w:rsidRPr="00000000" w14:paraId="0000001E">
      <w:pPr>
        <w:numPr>
          <w:ilvl w:val="0"/>
          <w:numId w:val="6"/>
        </w:numPr>
        <w:spacing w:before="0" w:beforeAutospacing="0"/>
        <w:ind w:left="720" w:hanging="360"/>
        <w:jc w:val="left"/>
      </w:pPr>
      <w:r w:rsidDel="00000000" w:rsidR="00000000" w:rsidRPr="00000000">
        <w:rPr>
          <w:rtl w:val="0"/>
        </w:rPr>
        <w:t xml:space="preserve">Guarantee universal access to emergency contraception and misoprostol. This includes availability across all levels of the Costa Rican Social Security Fund, along with clear information campaigns so the population can exercise rights without discrimination or undue obstacles.</w:t>
      </w:r>
    </w:p>
    <w:p w:rsidR="00000000" w:rsidDel="00000000" w:rsidP="00000000" w:rsidRDefault="00000000" w:rsidRPr="00000000" w14:paraId="0000001F">
      <w:pPr>
        <w:pStyle w:val="Heading1"/>
        <w:keepNext w:val="0"/>
        <w:keepLines w:val="0"/>
        <w:spacing w:before="360" w:lineRule="auto"/>
        <w:rPr/>
      </w:pPr>
      <w:bookmarkStart w:colFirst="0" w:colLast="0" w:name="_heading=h.o4f1utl12zgj" w:id="6"/>
      <w:bookmarkEnd w:id="6"/>
      <w:r w:rsidDel="00000000" w:rsidR="00000000" w:rsidRPr="00000000">
        <w:rPr>
          <w:rtl w:val="0"/>
        </w:rPr>
        <w:t xml:space="preserve">3. Comprehensive Sexuality Education (CSE)</w:t>
      </w:r>
    </w:p>
    <w:p w:rsidR="00000000" w:rsidDel="00000000" w:rsidP="00000000" w:rsidRDefault="00000000" w:rsidRPr="00000000" w14:paraId="00000020">
      <w:pPr>
        <w:rPr/>
      </w:pPr>
      <w:r w:rsidDel="00000000" w:rsidR="00000000" w:rsidRPr="00000000">
        <w:rPr>
          <w:rtl w:val="0"/>
        </w:rPr>
        <w:t xml:space="preserve">In its 2023 Concluding Observations (para. 34(c)), the Committee expressed concern over curricular setbacks and conservative resistance. </w:t>
      </w:r>
      <w:r w:rsidDel="00000000" w:rsidR="00000000" w:rsidRPr="00000000">
        <w:rPr>
          <w:vertAlign w:val="superscript"/>
        </w:rPr>
        <w:footnoteReference w:customMarkFollows="0" w:id="17"/>
      </w:r>
      <w:r w:rsidDel="00000000" w:rsidR="00000000" w:rsidRPr="00000000">
        <w:rPr>
          <w:rtl w:val="0"/>
        </w:rPr>
      </w:r>
    </w:p>
    <w:p w:rsidR="00000000" w:rsidDel="00000000" w:rsidP="00000000" w:rsidRDefault="00000000" w:rsidRPr="00000000" w14:paraId="00000021">
      <w:pPr>
        <w:pStyle w:val="Heading2"/>
        <w:rPr/>
      </w:pPr>
      <w:bookmarkStart w:colFirst="0" w:colLast="0" w:name="_heading=h.3ujmi5pczmeh" w:id="7"/>
      <w:bookmarkEnd w:id="7"/>
      <w:r w:rsidDel="00000000" w:rsidR="00000000" w:rsidRPr="00000000">
        <w:rPr>
          <w:rtl w:val="0"/>
        </w:rPr>
        <w:t xml:space="preserve">Current status: Regression.</w:t>
      </w:r>
    </w:p>
    <w:p w:rsidR="00000000" w:rsidDel="00000000" w:rsidP="00000000" w:rsidRDefault="00000000" w:rsidRPr="00000000" w14:paraId="00000022">
      <w:pPr>
        <w:numPr>
          <w:ilvl w:val="0"/>
          <w:numId w:val="5"/>
        </w:numPr>
        <w:spacing w:after="0" w:afterAutospacing="0"/>
        <w:ind w:left="720" w:hanging="360"/>
        <w:rPr>
          <w:u w:val="none"/>
        </w:rPr>
      </w:pPr>
      <w:r w:rsidDel="00000000" w:rsidR="00000000" w:rsidRPr="00000000">
        <w:rPr>
          <w:rtl w:val="0"/>
        </w:rPr>
        <w:t xml:space="preserve">CSE programs have been eliminated despite technical criteria from the Ombudsperson’s Office</w:t>
      </w:r>
      <w:r w:rsidDel="00000000" w:rsidR="00000000" w:rsidRPr="00000000">
        <w:rPr>
          <w:vertAlign w:val="superscript"/>
        </w:rPr>
        <w:footnoteReference w:customMarkFollows="0" w:id="18"/>
      </w:r>
      <w:r w:rsidDel="00000000" w:rsidR="00000000" w:rsidRPr="00000000">
        <w:rPr>
          <w:rtl w:val="0"/>
        </w:rPr>
        <w:t xml:space="preserve">  and others</w:t>
      </w:r>
      <w:r w:rsidDel="00000000" w:rsidR="00000000" w:rsidRPr="00000000">
        <w:rPr>
          <w:vertAlign w:val="superscript"/>
        </w:rPr>
        <w:footnoteReference w:customMarkFollows="0" w:id="19"/>
      </w:r>
      <w:r w:rsidDel="00000000" w:rsidR="00000000" w:rsidRPr="00000000">
        <w:rPr>
          <w:rtl w:val="0"/>
        </w:rPr>
        <w:t xml:space="preserve">  even the Ministry of Education itself.</w:t>
      </w:r>
      <w:r w:rsidDel="00000000" w:rsidR="00000000" w:rsidRPr="00000000">
        <w:rPr>
          <w:vertAlign w:val="superscript"/>
        </w:rPr>
        <w:footnoteReference w:customMarkFollows="0" w:id="20"/>
      </w:r>
      <w:r w:rsidDel="00000000" w:rsidR="00000000" w:rsidRPr="00000000">
        <w:rPr>
          <w:rtl w:val="0"/>
        </w:rPr>
        <w:t xml:space="preserve"> </w:t>
      </w:r>
      <w:r w:rsidDel="00000000" w:rsidR="00000000" w:rsidRPr="00000000">
        <w:rPr>
          <w:vertAlign w:val="superscript"/>
        </w:rPr>
        <w:footnoteReference w:customMarkFollows="0" w:id="21"/>
      </w:r>
      <w:r w:rsidDel="00000000" w:rsidR="00000000" w:rsidRPr="00000000">
        <w:rPr>
          <w:rtl w:val="0"/>
        </w:rPr>
        <w:t xml:space="preserve"> </w:t>
      </w:r>
      <w:r w:rsidDel="00000000" w:rsidR="00000000" w:rsidRPr="00000000">
        <w:rPr>
          <w:vertAlign w:val="superscript"/>
        </w:rPr>
        <w:footnoteReference w:customMarkFollows="0" w:id="22"/>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3">
      <w:pPr>
        <w:numPr>
          <w:ilvl w:val="0"/>
          <w:numId w:val="5"/>
        </w:numPr>
        <w:spacing w:after="0" w:afterAutospacing="0" w:before="0" w:beforeAutospacing="0"/>
        <w:ind w:left="720" w:hanging="360"/>
        <w:rPr>
          <w:u w:val="none"/>
        </w:rPr>
      </w:pPr>
      <w:r w:rsidDel="00000000" w:rsidR="00000000" w:rsidRPr="00000000">
        <w:rPr>
          <w:rtl w:val="0"/>
        </w:rPr>
        <w:t xml:space="preserve">Neither INAMU nor the Ministry of Education have provided political backing to ensure continuity, leaving CSE vulnerable to conservative pressures.</w:t>
      </w:r>
    </w:p>
    <w:p w:rsidR="00000000" w:rsidDel="00000000" w:rsidP="00000000" w:rsidRDefault="00000000" w:rsidRPr="00000000" w14:paraId="00000024">
      <w:pPr>
        <w:numPr>
          <w:ilvl w:val="0"/>
          <w:numId w:val="5"/>
        </w:numPr>
        <w:spacing w:after="0" w:afterAutospacing="0" w:before="0" w:beforeAutospacing="0"/>
        <w:ind w:left="720" w:hanging="360"/>
        <w:rPr>
          <w:u w:val="none"/>
        </w:rPr>
      </w:pPr>
      <w:r w:rsidDel="00000000" w:rsidR="00000000" w:rsidRPr="00000000">
        <w:rPr>
          <w:rtl w:val="0"/>
        </w:rPr>
        <w:t xml:space="preserve">There is a persistent deficit in teacher training and absence of evaluation indicators, limiting the ability to deliver rights-based, gender-sensitive, and intersectional content. </w:t>
      </w:r>
    </w:p>
    <w:p w:rsidR="00000000" w:rsidDel="00000000" w:rsidP="00000000" w:rsidRDefault="00000000" w:rsidRPr="00000000" w14:paraId="00000025">
      <w:pPr>
        <w:numPr>
          <w:ilvl w:val="0"/>
          <w:numId w:val="5"/>
        </w:numPr>
        <w:spacing w:before="0" w:beforeAutospacing="0"/>
        <w:ind w:left="720" w:hanging="360"/>
        <w:rPr>
          <w:u w:val="none"/>
        </w:rPr>
      </w:pPr>
      <w:r w:rsidDel="00000000" w:rsidR="00000000" w:rsidRPr="00000000">
        <w:rPr>
          <w:rtl w:val="0"/>
        </w:rPr>
        <w:t xml:space="preserve">Monitoring mechanisms and quality criteria to measure scope, impact, and sustainability remain undefined.</w:t>
      </w:r>
    </w:p>
    <w:p w:rsidR="00000000" w:rsidDel="00000000" w:rsidP="00000000" w:rsidRDefault="00000000" w:rsidRPr="00000000" w14:paraId="00000026">
      <w:pPr>
        <w:pStyle w:val="Heading2"/>
        <w:rPr/>
      </w:pPr>
      <w:bookmarkStart w:colFirst="0" w:colLast="0" w:name="_heading=h.uwfg98w3i4w4" w:id="8"/>
      <w:bookmarkEnd w:id="8"/>
      <w:r w:rsidDel="00000000" w:rsidR="00000000" w:rsidRPr="00000000">
        <w:rPr>
          <w:rtl w:val="0"/>
        </w:rPr>
        <w:t xml:space="preserve">Recommendations</w:t>
      </w:r>
    </w:p>
    <w:p w:rsidR="00000000" w:rsidDel="00000000" w:rsidP="00000000" w:rsidRDefault="00000000" w:rsidRPr="00000000" w14:paraId="00000027">
      <w:pPr>
        <w:numPr>
          <w:ilvl w:val="0"/>
          <w:numId w:val="2"/>
        </w:numPr>
        <w:spacing w:after="0" w:afterAutospacing="0"/>
        <w:ind w:left="720" w:hanging="360"/>
        <w:jc w:val="left"/>
      </w:pPr>
      <w:r w:rsidDel="00000000" w:rsidR="00000000" w:rsidRPr="00000000">
        <w:rPr>
          <w:rtl w:val="0"/>
        </w:rPr>
        <w:t xml:space="preserve">Recognize comprehensive sexuality education (CSE) as mandatory public policy. The State must treat CSE as a permanent duty, grounded in scientific evidence and delivered under a secular, rights-based framework, avoiding restrictive religious or ideological visions.</w:t>
      </w:r>
    </w:p>
    <w:p w:rsidR="00000000" w:rsidDel="00000000" w:rsidP="00000000" w:rsidRDefault="00000000" w:rsidRPr="00000000" w14:paraId="00000028">
      <w:pPr>
        <w:numPr>
          <w:ilvl w:val="0"/>
          <w:numId w:val="2"/>
        </w:numPr>
        <w:spacing w:after="0" w:afterAutospacing="0" w:before="0" w:beforeAutospacing="0"/>
        <w:ind w:left="720" w:hanging="360"/>
        <w:jc w:val="left"/>
      </w:pPr>
      <w:r w:rsidDel="00000000" w:rsidR="00000000" w:rsidRPr="00000000">
        <w:rPr>
          <w:rtl w:val="0"/>
        </w:rPr>
        <w:t xml:space="preserve">Integrate CSE into curricula and teacher training. It should be cross-cutting from primary to secondary education, with age-appropriate content. Initial and ongoing teacher training must provide pedagogical and methodological tools to deliver CSE with a gender perspective, intersectional approach, and respect for diversity.</w:t>
      </w:r>
    </w:p>
    <w:p w:rsidR="00000000" w:rsidDel="00000000" w:rsidP="00000000" w:rsidRDefault="00000000" w:rsidRPr="00000000" w14:paraId="00000029">
      <w:pPr>
        <w:numPr>
          <w:ilvl w:val="0"/>
          <w:numId w:val="2"/>
        </w:numPr>
        <w:spacing w:before="0" w:beforeAutospacing="0"/>
        <w:ind w:left="720" w:hanging="360"/>
        <w:jc w:val="left"/>
      </w:pPr>
      <w:r w:rsidDel="00000000" w:rsidR="00000000" w:rsidRPr="00000000">
        <w:rPr>
          <w:rtl w:val="0"/>
        </w:rPr>
        <w:t xml:space="preserve">Establish independent and participatory monitoring mechanisms, ensuring civil society participation, including feminist organizations, student movements, LGBTIQ+ collectives, and other key actors. Monitoring should assess quality, identify obstacles, and propose improvements, ensuring state accountability.</w:t>
      </w:r>
    </w:p>
    <w:p w:rsidR="00000000" w:rsidDel="00000000" w:rsidP="00000000" w:rsidRDefault="00000000" w:rsidRPr="00000000" w14:paraId="0000002A">
      <w:pPr>
        <w:pStyle w:val="Heading1"/>
        <w:keepNext w:val="0"/>
        <w:keepLines w:val="0"/>
        <w:spacing w:before="360" w:lineRule="auto"/>
        <w:rPr/>
      </w:pPr>
      <w:bookmarkStart w:colFirst="0" w:colLast="0" w:name="_heading=h.wp1h8cgvu50g" w:id="9"/>
      <w:bookmarkEnd w:id="9"/>
      <w:r w:rsidDel="00000000" w:rsidR="00000000" w:rsidRPr="00000000">
        <w:rPr>
          <w:rtl w:val="0"/>
        </w:rPr>
        <w:t xml:space="preserve">Conclusion</w:t>
      </w:r>
    </w:p>
    <w:p w:rsidR="00000000" w:rsidDel="00000000" w:rsidP="00000000" w:rsidRDefault="00000000" w:rsidRPr="00000000" w14:paraId="0000002B">
      <w:pPr>
        <w:rPr/>
      </w:pPr>
      <w:r w:rsidDel="00000000" w:rsidR="00000000" w:rsidRPr="00000000">
        <w:rPr>
          <w:rtl w:val="0"/>
        </w:rPr>
        <w:t xml:space="preserve">Costa Rica has not effectively complied with the CEDAW Committee’s priority recommendations. The weakening of INAMU and the national system to address gender-based violence, the non-implementation of the therapeutic abortion Technical Standard, and setbacks in comprehensive sexuality education represent serious breaches of the State’s due diligence obligations.</w:t>
      </w:r>
    </w:p>
    <w:p w:rsidR="00000000" w:rsidDel="00000000" w:rsidP="00000000" w:rsidRDefault="00000000" w:rsidRPr="00000000" w14:paraId="0000002C">
      <w:pPr>
        <w:rPr/>
      </w:pPr>
      <w:r w:rsidDel="00000000" w:rsidR="00000000" w:rsidRPr="00000000">
        <w:rPr>
          <w:rtl w:val="0"/>
        </w:rPr>
        <w:t xml:space="preserve">It is urgent to adopt immediate measures to restore gender institutional frameworks, strengthen prevention and care mechanisms against violence against women, and guarantee access to sexual and reproductive rights without discrimination. Equally, it is essential to ensure the continuity and consolidation of comprehensive sexuality education as mandatory, scientific, secular public policy, implemented with a human rights approach, intersectionality, and active civil society participation.</w:t>
      </w:r>
      <w:r w:rsidDel="00000000" w:rsidR="00000000" w:rsidRPr="00000000">
        <w:rPr>
          <w:rtl w:val="0"/>
        </w:rPr>
      </w:r>
    </w:p>
    <w:sectPr>
      <w:headerReference r:id="rId8" w:type="default"/>
      <w:pgSz w:h="15840" w:w="12240" w:orient="portrait"/>
      <w:pgMar w:bottom="1411.2" w:top="1411.2" w:left="1411.2" w:right="1411.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Didact Gothic">
    <w:embedRegular w:fontKey="{00000000-0000-0000-0000-000000000000}" r:id="rId1"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E">
      <w:pPr>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b w:val="1"/>
          <w:sz w:val="16"/>
          <w:szCs w:val="16"/>
          <w:rtl w:val="0"/>
        </w:rPr>
        <w:t xml:space="preserve">“15. El Comité observa con preocupación:</w:t>
        <w:br w:type="textWrapping"/>
      </w:r>
      <w:r w:rsidDel="00000000" w:rsidR="00000000" w:rsidRPr="00000000">
        <w:rPr>
          <w:sz w:val="16"/>
          <w:szCs w:val="16"/>
          <w:rtl w:val="0"/>
        </w:rPr>
        <w:t xml:space="preserve">a) El peligro de que el discurso de odio y las amenazas de grupos extremistas contra el Instituto Nacional de las Mujeres debiliten los mecanismos nacionales para el adelanto de la mujer;</w:t>
        <w:br w:type="textWrapping"/>
        <w:t xml:space="preserve">b) La limitación de la autoridad, el mandato y la capacidad de las oficinas municipales de la mujer para promover los derechos humanos de las mujeres a nivel local;</w:t>
        <w:br w:type="textWrapping"/>
        <w:t xml:space="preserve">c) La falta de colaboración de los mecanismos nacionales para el adelanto de la mujer con las organizaciones de la sociedad civil dedicadas a las mujeres.</w:t>
      </w:r>
    </w:p>
    <w:p w:rsidR="00000000" w:rsidDel="00000000" w:rsidP="00000000" w:rsidRDefault="00000000" w:rsidRPr="00000000" w14:paraId="0000002F">
      <w:pPr>
        <w:spacing w:line="240" w:lineRule="auto"/>
        <w:rPr>
          <w:sz w:val="16"/>
          <w:szCs w:val="16"/>
        </w:rPr>
      </w:pPr>
      <w:r w:rsidDel="00000000" w:rsidR="00000000" w:rsidRPr="00000000">
        <w:rPr>
          <w:b w:val="1"/>
          <w:sz w:val="16"/>
          <w:szCs w:val="16"/>
          <w:rtl w:val="0"/>
        </w:rPr>
        <w:t xml:space="preserve">16. El Comité recomienda al Estado parte que:</w:t>
        <w:br w:type="textWrapping"/>
      </w:r>
      <w:r w:rsidDel="00000000" w:rsidR="00000000" w:rsidRPr="00000000">
        <w:rPr>
          <w:sz w:val="16"/>
          <w:szCs w:val="16"/>
          <w:rtl w:val="0"/>
        </w:rPr>
        <w:t xml:space="preserve">a) Adopte medidas eficaces para proteger al Instituto Nacional de las Mujeres de amenazas y del discurso de odio;</w:t>
        <w:br w:type="textWrapping"/>
        <w:t xml:space="preserve">b) Refuerce la autoridad, el mandato y la capacidad de las oficinas municipales de la mujer asignándoles recursos humanos, técnicos y financieros suficientes y proporcionándoles capacitación sobre los derechos de las mujeres y la igualdad de género;</w:t>
        <w:br w:type="textWrapping"/>
        <w:t xml:space="preserve">c) Vele por la coordinación y la consulta efectivas entre los mecanismos nacionales y las organizaciones de la sociedad civil dedicadas a las mujeres, incluidas aquellas que representan a las mujeres indígenas, las mujeres afrodescendientes y las mujeres con discapacidad, en la adopción y la aplicación de las políticas y programas públicos para el adelanto de las mujeres e integre un enfoque basado en los derechos humanos y una perspectiva interseccional de género en esas políticas.”</w:t>
      </w:r>
    </w:p>
  </w:footnote>
  <w:footnote w:id="1">
    <w:p w:rsidR="00000000" w:rsidDel="00000000" w:rsidP="00000000" w:rsidRDefault="00000000" w:rsidRPr="00000000" w14:paraId="00000030">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
        <w:r w:rsidDel="00000000" w:rsidR="00000000" w:rsidRPr="00000000">
          <w:rPr>
            <w:color w:val="0000ee"/>
            <w:u w:val="single"/>
            <w:rtl w:val="0"/>
          </w:rPr>
          <w:t xml:space="preserve">Informe puntos violeta auditoria</w:t>
        </w:r>
      </w:hyperlink>
      <w:r w:rsidDel="00000000" w:rsidR="00000000" w:rsidRPr="00000000">
        <w:rPr>
          <w:rtl w:val="0"/>
        </w:rPr>
      </w:r>
    </w:p>
  </w:footnote>
  <w:footnote w:id="2">
    <w:p w:rsidR="00000000" w:rsidDel="00000000" w:rsidP="00000000" w:rsidRDefault="00000000" w:rsidRPr="00000000" w14:paraId="00000031">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2">
        <w:r w:rsidDel="00000000" w:rsidR="00000000" w:rsidRPr="00000000">
          <w:rPr>
            <w:color w:val="0000ee"/>
            <w:u w:val="single"/>
            <w:rtl w:val="0"/>
          </w:rPr>
          <w:t xml:space="preserve">08379-2025-DHR-MU-464082-2025-RI PUNTOS VIOLETA.pdf</w:t>
        </w:r>
      </w:hyperlink>
      <w:r w:rsidDel="00000000" w:rsidR="00000000" w:rsidRPr="00000000">
        <w:rPr>
          <w:rtl w:val="0"/>
        </w:rPr>
      </w:r>
    </w:p>
  </w:footnote>
  <w:footnote w:id="3">
    <w:p w:rsidR="00000000" w:rsidDel="00000000" w:rsidP="00000000" w:rsidRDefault="00000000" w:rsidRPr="00000000" w14:paraId="00000032">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3">
        <w:r w:rsidDel="00000000" w:rsidR="00000000" w:rsidRPr="00000000">
          <w:rPr>
            <w:color w:val="1155cc"/>
            <w:u w:val="single"/>
            <w:rtl w:val="0"/>
          </w:rPr>
          <w:t xml:space="preserve">https://observatoriodegenero.poder-judicial.go.cr/index.php/soy-especialista-y-busco/estadisticas/femicidio</w:t>
        </w:r>
      </w:hyperlink>
      <w:r w:rsidDel="00000000" w:rsidR="00000000" w:rsidRPr="00000000">
        <w:rPr>
          <w:rtl w:val="0"/>
        </w:rPr>
      </w:r>
    </w:p>
  </w:footnote>
  <w:footnote w:id="4">
    <w:p w:rsidR="00000000" w:rsidDel="00000000" w:rsidP="00000000" w:rsidRDefault="00000000" w:rsidRPr="00000000" w14:paraId="00000033">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4">
        <w:r w:rsidDel="00000000" w:rsidR="00000000" w:rsidRPr="00000000">
          <w:rPr>
            <w:color w:val="0000ee"/>
            <w:u w:val="single"/>
            <w:rtl w:val="0"/>
          </w:rPr>
          <w:t xml:space="preserve">ILAFEM Informe Situación Nacional de Delito de Femicidio 2020 (2).pdf</w:t>
        </w:r>
      </w:hyperlink>
      <w:r w:rsidDel="00000000" w:rsidR="00000000" w:rsidRPr="00000000">
        <w:rPr>
          <w:rtl w:val="0"/>
        </w:rPr>
      </w:r>
    </w:p>
  </w:footnote>
  <w:footnote w:id="10">
    <w:p w:rsidR="00000000" w:rsidDel="00000000" w:rsidP="00000000" w:rsidRDefault="00000000" w:rsidRPr="00000000" w14:paraId="00000034">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5">
        <w:r w:rsidDel="00000000" w:rsidR="00000000" w:rsidRPr="00000000">
          <w:rPr>
            <w:color w:val="1155cc"/>
            <w:u w:val="single"/>
            <w:rtl w:val="0"/>
          </w:rPr>
          <w:t xml:space="preserve">https://costarica.un.org/es/299679-informe-sobre-discursos-de-odio-y-discriminaci%C3%B3n-2025</w:t>
        </w:r>
      </w:hyperlink>
      <w:r w:rsidDel="00000000" w:rsidR="00000000" w:rsidRPr="00000000">
        <w:rPr>
          <w:rtl w:val="0"/>
        </w:rPr>
      </w:r>
    </w:p>
  </w:footnote>
  <w:footnote w:id="6">
    <w:p w:rsidR="00000000" w:rsidDel="00000000" w:rsidP="00000000" w:rsidRDefault="00000000" w:rsidRPr="00000000" w14:paraId="00000035">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6">
        <w:r w:rsidDel="00000000" w:rsidR="00000000" w:rsidRPr="00000000">
          <w:rPr>
            <w:color w:val="1155cc"/>
            <w:u w:val="single"/>
            <w:rtl w:val="0"/>
          </w:rPr>
          <w:t xml:space="preserve">https://www.elpais.cr/2025/09/02/una-rechaza-declaraciones-de-exministra-que-responsabilizan-a-victimas-de-femicidio/</w:t>
        </w:r>
      </w:hyperlink>
      <w:r w:rsidDel="00000000" w:rsidR="00000000" w:rsidRPr="00000000">
        <w:rPr>
          <w:rtl w:val="0"/>
        </w:rPr>
      </w:r>
    </w:p>
  </w:footnote>
  <w:footnote w:id="7">
    <w:p w:rsidR="00000000" w:rsidDel="00000000" w:rsidP="00000000" w:rsidRDefault="00000000" w:rsidRPr="00000000" w14:paraId="00000036">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7">
        <w:r w:rsidDel="00000000" w:rsidR="00000000" w:rsidRPr="00000000">
          <w:rPr>
            <w:color w:val="1155cc"/>
            <w:u w:val="single"/>
            <w:rtl w:val="0"/>
          </w:rPr>
          <w:t xml:space="preserve">https://www.nacion.com/el-pais/politica/colectivos-feministas-critican-a-ministra-de-la/BVIFU5TW75ELNHS35YD2DJDLXU/story</w:t>
        </w:r>
      </w:hyperlink>
      <w:r w:rsidDel="00000000" w:rsidR="00000000" w:rsidRPr="00000000">
        <w:rPr>
          <w:rtl w:val="0"/>
        </w:rPr>
      </w:r>
    </w:p>
  </w:footnote>
  <w:footnote w:id="8">
    <w:p w:rsidR="00000000" w:rsidDel="00000000" w:rsidP="00000000" w:rsidRDefault="00000000" w:rsidRPr="00000000" w14:paraId="00000037">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8">
        <w:r w:rsidDel="00000000" w:rsidR="00000000" w:rsidRPr="00000000">
          <w:rPr>
            <w:color w:val="1155cc"/>
            <w:u w:val="single"/>
            <w:rtl w:val="0"/>
          </w:rPr>
          <w:t xml:space="preserve"> https://crhoy.com/mensaje-de-exministra-responsabiliza-a-mujeres-victimas-de-violencia-domestica-video/</w:t>
        </w:r>
      </w:hyperlink>
      <w:r w:rsidDel="00000000" w:rsidR="00000000" w:rsidRPr="00000000">
        <w:rPr>
          <w:rtl w:val="0"/>
        </w:rPr>
      </w:r>
    </w:p>
  </w:footnote>
  <w:footnote w:id="9">
    <w:p w:rsidR="00000000" w:rsidDel="00000000" w:rsidP="00000000" w:rsidRDefault="00000000" w:rsidRPr="00000000" w14:paraId="00000038">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9">
        <w:r w:rsidDel="00000000" w:rsidR="00000000" w:rsidRPr="00000000">
          <w:rPr>
            <w:color w:val="1155cc"/>
            <w:u w:val="single"/>
            <w:rtl w:val="0"/>
          </w:rPr>
          <w:t xml:space="preserve">https://www.nacion.com/el-pais/carta-con-640-firmas-exige-renuncia-de-ministra-de/ELMESRWHZFA45BPHDXSPLYF2Y4/story/</w:t>
        </w:r>
      </w:hyperlink>
      <w:r w:rsidDel="00000000" w:rsidR="00000000" w:rsidRPr="00000000">
        <w:rPr>
          <w:rtl w:val="0"/>
        </w:rPr>
      </w:r>
    </w:p>
  </w:footnote>
  <w:footnote w:id="5">
    <w:p w:rsidR="00000000" w:rsidDel="00000000" w:rsidP="00000000" w:rsidRDefault="00000000" w:rsidRPr="00000000" w14:paraId="00000039">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0">
        <w:r w:rsidDel="00000000" w:rsidR="00000000" w:rsidRPr="00000000">
          <w:rPr>
            <w:color w:val="1155cc"/>
            <w:u w:val="single"/>
            <w:rtl w:val="0"/>
          </w:rPr>
          <w:t xml:space="preserve">https://semanariouniversidad.com/pais/cindy-quesada-deja-el-cargo-para-buscar-nuevos-horizontes-cuando-su-programa-estrella-puntos-violeta-esta-bajo-fuego/</w:t>
        </w:r>
      </w:hyperlink>
      <w:r w:rsidDel="00000000" w:rsidR="00000000" w:rsidRPr="00000000">
        <w:rPr>
          <w:rtl w:val="0"/>
        </w:rPr>
      </w:r>
    </w:p>
  </w:footnote>
  <w:footnote w:id="11">
    <w:p w:rsidR="00000000" w:rsidDel="00000000" w:rsidP="00000000" w:rsidRDefault="00000000" w:rsidRPr="00000000" w14:paraId="0000003A">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1">
        <w:r w:rsidDel="00000000" w:rsidR="00000000" w:rsidRPr="00000000">
          <w:rPr>
            <w:color w:val="0000ee"/>
            <w:u w:val="single"/>
            <w:rtl w:val="0"/>
          </w:rPr>
          <w:t xml:space="preserve">CIIDDHH-0092-2025</w:t>
        </w:r>
      </w:hyperlink>
      <w:r w:rsidDel="00000000" w:rsidR="00000000" w:rsidRPr="00000000">
        <w:rPr>
          <w:rtl w:val="0"/>
        </w:rPr>
      </w:r>
    </w:p>
  </w:footnote>
  <w:footnote w:id="12">
    <w:p w:rsidR="00000000" w:rsidDel="00000000" w:rsidP="00000000" w:rsidRDefault="00000000" w:rsidRPr="00000000" w14:paraId="0000003B">
      <w:pPr>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“34. En consonancia con sus anteriores observaciones finales (CEDAW/C/CRI/CO/7, párr. 31), la recomendación general núm. 24 (1999), relativa a la mujer y la salud, y las metas 3.1 y 3.7 de los Objetivos de Desarrollo Sostenible, de reducir la mortalidad materna a nivel mundial y garantizar el acceso universal a los servicios de salud sexual y reproductiva, el Comité recomienda al Estado parte que:</w:t>
      </w:r>
    </w:p>
    <w:p w:rsidR="00000000" w:rsidDel="00000000" w:rsidP="00000000" w:rsidRDefault="00000000" w:rsidRPr="00000000" w14:paraId="0000003C">
      <w:pPr>
        <w:spacing w:after="0" w:line="240" w:lineRule="auto"/>
        <w:rPr>
          <w:sz w:val="16"/>
          <w:szCs w:val="16"/>
        </w:rPr>
      </w:pPr>
      <w:r w:rsidDel="00000000" w:rsidR="00000000" w:rsidRPr="00000000">
        <w:rPr>
          <w:sz w:val="16"/>
          <w:szCs w:val="16"/>
          <w:rtl w:val="0"/>
        </w:rPr>
        <w:t xml:space="preserve">a) Modifique sin demora el Código Penal a fin de legalizar el aborto, como mínimo en casos de violación, incesto, riesgo para la vida o la salud de la mujer embarazada y malformación grave del feto, lo despenalice en todos los demás casos y garantice que las mujeres tengan un acceso adecuado al aborto y a servicios de atención posterior al aborto en condiciones de seguridad;</w:t>
      </w:r>
    </w:p>
    <w:p w:rsidR="00000000" w:rsidDel="00000000" w:rsidP="00000000" w:rsidRDefault="00000000" w:rsidRPr="00000000" w14:paraId="0000003D">
      <w:pPr>
        <w:spacing w:after="0" w:line="240" w:lineRule="auto"/>
        <w:rPr>
          <w:sz w:val="16"/>
          <w:szCs w:val="16"/>
        </w:rPr>
      </w:pPr>
      <w:r w:rsidDel="00000000" w:rsidR="00000000" w:rsidRPr="00000000">
        <w:rPr>
          <w:sz w:val="16"/>
          <w:szCs w:val="16"/>
          <w:rtl w:val="0"/>
        </w:rPr>
        <w:t xml:space="preserve">b) Desista de sus esfuerzos por derogar la norma técnica para la interrupción terapéutica del embarazo y dé amplia difusión y formación obligatoria a los profesionales de la salud sobre esta, con miras a reducir el número de abortos peligrosos en el Estado parte;</w:t>
      </w:r>
    </w:p>
    <w:p w:rsidR="00000000" w:rsidDel="00000000" w:rsidP="00000000" w:rsidRDefault="00000000" w:rsidRPr="00000000" w14:paraId="0000003E">
      <w:pPr>
        <w:spacing w:after="0" w:line="240" w:lineRule="auto"/>
        <w:rPr>
          <w:sz w:val="16"/>
          <w:szCs w:val="16"/>
        </w:rPr>
      </w:pPr>
      <w:r w:rsidDel="00000000" w:rsidR="00000000" w:rsidRPr="00000000">
        <w:rPr>
          <w:sz w:val="16"/>
          <w:szCs w:val="16"/>
          <w:rtl w:val="0"/>
        </w:rPr>
        <w:t xml:space="preserve">c) Vele por que las mujeres y las adolescentes tengan acceso asequible a servicios de salud sexual y reproductiva y a anticonceptivos modernos, también en las zonas rurales y costeras, e integre la educación en materia de sexualidad adecuada a la edad, incluida educación sobre comportamiento sexual responsable, el uso de anticonceptivos seguros y la prevención de enfermedades de transmisión sexual, en los planes de estudios a todos los niveles de enseñanza;</w:t>
      </w:r>
    </w:p>
    <w:p w:rsidR="00000000" w:rsidDel="00000000" w:rsidP="00000000" w:rsidRDefault="00000000" w:rsidRPr="00000000" w14:paraId="0000003F">
      <w:pPr>
        <w:spacing w:after="0" w:line="240" w:lineRule="auto"/>
        <w:rPr>
          <w:sz w:val="16"/>
          <w:szCs w:val="16"/>
        </w:rPr>
      </w:pPr>
      <w:r w:rsidDel="00000000" w:rsidR="00000000" w:rsidRPr="00000000">
        <w:rPr>
          <w:sz w:val="16"/>
          <w:szCs w:val="16"/>
          <w:rtl w:val="0"/>
        </w:rPr>
        <w:t xml:space="preserve">d) Vele por que las tradiciones de las mujeres indígenas relativas al parto estén integradas en la práctica obstétrica en todo el Estado parte.”</w:t>
      </w:r>
    </w:p>
  </w:footnote>
  <w:footnote w:id="13">
    <w:p w:rsidR="00000000" w:rsidDel="00000000" w:rsidP="00000000" w:rsidRDefault="00000000" w:rsidRPr="00000000" w14:paraId="00000040">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Oficio MS-DGS-2173-2024</w:t>
      </w:r>
    </w:p>
    <w:p w:rsidR="00000000" w:rsidDel="00000000" w:rsidP="00000000" w:rsidRDefault="00000000" w:rsidRPr="00000000" w14:paraId="00000041">
      <w:pPr>
        <w:spacing w:after="0" w:before="0" w:line="240" w:lineRule="auto"/>
        <w:rPr/>
      </w:pPr>
      <w:r w:rsidDel="00000000" w:rsidR="00000000" w:rsidRPr="00000000">
        <w:rPr>
          <w:rtl w:val="0"/>
        </w:rPr>
      </w:r>
    </w:p>
  </w:footnote>
  <w:footnote w:id="14">
    <w:p w:rsidR="00000000" w:rsidDel="00000000" w:rsidP="00000000" w:rsidRDefault="00000000" w:rsidRPr="00000000" w14:paraId="00000042">
      <w:pPr>
        <w:rPr/>
      </w:pPr>
      <w:r w:rsidDel="00000000" w:rsidR="00000000" w:rsidRPr="00000000">
        <w:rPr>
          <w:rStyle w:val="FootnoteReference"/>
          <w:vertAlign w:val="superscript"/>
        </w:rPr>
        <w:footnoteRef/>
      </w:r>
      <w:r w:rsidDel="00000000" w:rsidR="00000000" w:rsidRPr="00000000">
        <w:rPr>
          <w:rtl w:val="0"/>
        </w:rPr>
        <w:t xml:space="preserve"> Sentencia 2024-4672 de la Sala Constitucional </w:t>
      </w:r>
      <w:hyperlink r:id="rId12">
        <w:r w:rsidDel="00000000" w:rsidR="00000000" w:rsidRPr="00000000">
          <w:rPr>
            <w:color w:val="1155cc"/>
            <w:u w:val="single"/>
            <w:rtl w:val="0"/>
          </w:rPr>
          <w:t xml:space="preserve">https://nexuspj.poder-judicial.go.cr/document/sen-1-0007-1243968</w:t>
        </w:r>
      </w:hyperlink>
      <w:r w:rsidDel="00000000" w:rsidR="00000000" w:rsidRPr="00000000">
        <w:rPr>
          <w:rtl w:val="0"/>
        </w:rPr>
      </w:r>
    </w:p>
  </w:footnote>
  <w:footnote w:id="15">
    <w:p w:rsidR="00000000" w:rsidDel="00000000" w:rsidP="00000000" w:rsidRDefault="00000000" w:rsidRPr="00000000" w14:paraId="00000043">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3">
        <w:r w:rsidDel="00000000" w:rsidR="00000000" w:rsidRPr="00000000">
          <w:rPr>
            <w:color w:val="1155cc"/>
            <w:u w:val="single"/>
            <w:rtl w:val="0"/>
          </w:rPr>
          <w:t xml:space="preserve">https://www.france24.com/es/am%C3%A9rica-latina/20250130-costa-rica-pretende-aumentar-las-penas-de-c%C3%A1rcel-a-las-mujeres-que-aborten</w:t>
        </w:r>
      </w:hyperlink>
      <w:r w:rsidDel="00000000" w:rsidR="00000000" w:rsidRPr="00000000">
        <w:rPr>
          <w:rtl w:val="0"/>
        </w:rPr>
      </w:r>
    </w:p>
  </w:footnote>
  <w:footnote w:id="16">
    <w:p w:rsidR="00000000" w:rsidDel="00000000" w:rsidP="00000000" w:rsidRDefault="00000000" w:rsidRPr="00000000" w14:paraId="00000044">
      <w:pPr>
        <w:spacing w:after="0" w:before="0" w:line="240" w:lineRule="auto"/>
        <w:rPr/>
      </w:pPr>
      <w:r w:rsidDel="00000000" w:rsidR="00000000" w:rsidRPr="00000000">
        <w:rPr>
          <w:rStyle w:val="FootnoteReference"/>
          <w:vertAlign w:val="superscript"/>
        </w:rPr>
        <w:footnoteRef/>
      </w:r>
      <w:hyperlink r:id="rId14">
        <w:r w:rsidDel="00000000" w:rsidR="00000000" w:rsidRPr="00000000">
          <w:rPr>
            <w:color w:val="1155cc"/>
            <w:u w:val="single"/>
            <w:rtl w:val="0"/>
          </w:rPr>
          <w:t xml:space="preserve">https://delfino.cr/2025/02/ejecutivo-presenta-proyecto-para-aumentar-penas-de-carcel-en-casos-de-aborto-un-mes-despues-de-anunciarlo</w:t>
        </w:r>
      </w:hyperlink>
      <w:r w:rsidDel="00000000" w:rsidR="00000000" w:rsidRPr="00000000">
        <w:rPr>
          <w:rtl w:val="0"/>
        </w:rPr>
      </w:r>
    </w:p>
  </w:footnote>
  <w:footnote w:id="17">
    <w:p w:rsidR="00000000" w:rsidDel="00000000" w:rsidP="00000000" w:rsidRDefault="00000000" w:rsidRPr="00000000" w14:paraId="00000045">
      <w:pPr>
        <w:spacing w:after="0" w:line="240" w:lineRule="auto"/>
        <w:rPr/>
      </w:pPr>
      <w:r w:rsidDel="00000000" w:rsidR="00000000" w:rsidRPr="00000000">
        <w:rPr>
          <w:rStyle w:val="FootnoteReference"/>
          <w:vertAlign w:val="superscript"/>
        </w:rPr>
        <w:footnoteRef/>
      </w:r>
      <w:r w:rsidDel="00000000" w:rsidR="00000000" w:rsidRPr="00000000">
        <w:rPr>
          <w:rtl w:val="0"/>
        </w:rPr>
        <w:t xml:space="preserve"> “c) Vele por que las mujeres y las adolescentes tengan acceso asequible a servicios de salud sexual y reproductiva y a anticonceptivos modernos, también en las zonas rurales y costeras, e integre la educación en materia de sexualidad adecuada a la edad, incluida educación sobre comportamiento sexual responsable, el uso de anticonceptivos seguros y la prevención de enfermedades de transmisión sexual, en los planes de estudios a todos los niveles de enseñanza;”</w:t>
      </w:r>
    </w:p>
  </w:footnote>
  <w:footnote w:id="18">
    <w:p w:rsidR="00000000" w:rsidDel="00000000" w:rsidP="00000000" w:rsidRDefault="00000000" w:rsidRPr="00000000" w14:paraId="00000046">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5">
        <w:r w:rsidDel="00000000" w:rsidR="00000000" w:rsidRPr="00000000">
          <w:rPr>
            <w:color w:val="0000ee"/>
            <w:u w:val="single"/>
            <w:rtl w:val="0"/>
          </w:rPr>
          <w:t xml:space="preserve">04442-2025-DHR-NA-469031-2025-RI ESI</w:t>
        </w:r>
      </w:hyperlink>
      <w:r w:rsidDel="00000000" w:rsidR="00000000" w:rsidRPr="00000000">
        <w:rPr>
          <w:rtl w:val="0"/>
        </w:rPr>
      </w:r>
    </w:p>
  </w:footnote>
  <w:footnote w:id="20">
    <w:p w:rsidR="00000000" w:rsidDel="00000000" w:rsidP="00000000" w:rsidRDefault="00000000" w:rsidRPr="00000000" w14:paraId="00000047">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6">
        <w:r w:rsidDel="00000000" w:rsidR="00000000" w:rsidRPr="00000000">
          <w:rPr>
            <w:color w:val="0000ee"/>
            <w:u w:val="single"/>
            <w:rtl w:val="0"/>
          </w:rPr>
          <w:t xml:space="preserve">Criterio técnico sobre el programa de estudio de Educación para la Paz y Convivencia.pdf</w:t>
        </w:r>
      </w:hyperlink>
      <w:r w:rsidDel="00000000" w:rsidR="00000000" w:rsidRPr="00000000">
        <w:rPr>
          <w:rtl w:val="0"/>
        </w:rPr>
      </w:r>
    </w:p>
  </w:footnote>
  <w:footnote w:id="21">
    <w:p w:rsidR="00000000" w:rsidDel="00000000" w:rsidP="00000000" w:rsidRDefault="00000000" w:rsidRPr="00000000" w14:paraId="00000048">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7">
        <w:r w:rsidDel="00000000" w:rsidR="00000000" w:rsidRPr="00000000">
          <w:rPr>
            <w:color w:val="1155cc"/>
            <w:u w:val="single"/>
            <w:rtl w:val="0"/>
          </w:rPr>
          <w:t xml:space="preserve">https://delfino.cr/2025/02/borrador-de-nuevo-programa-de-convivencia-del-mep-no-incluye-aspectos-basicos-de-educacion-sexual</w:t>
        </w:r>
      </w:hyperlink>
      <w:r w:rsidDel="00000000" w:rsidR="00000000" w:rsidRPr="00000000">
        <w:rPr>
          <w:rtl w:val="0"/>
        </w:rPr>
      </w:r>
    </w:p>
  </w:footnote>
  <w:footnote w:id="22">
    <w:p w:rsidR="00000000" w:rsidDel="00000000" w:rsidP="00000000" w:rsidRDefault="00000000" w:rsidRPr="00000000" w14:paraId="00000049">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8">
        <w:r w:rsidDel="00000000" w:rsidR="00000000" w:rsidRPr="00000000">
          <w:rPr>
            <w:color w:val="1155cc"/>
            <w:u w:val="single"/>
            <w:rtl w:val="0"/>
          </w:rPr>
          <w:t xml:space="preserve"> https://radios.ucr.ac.cr/2025/05/doblecheck/mep-no-hay-programa-educacion-sexual/</w:t>
        </w:r>
      </w:hyperlink>
      <w:r w:rsidDel="00000000" w:rsidR="00000000" w:rsidRPr="00000000">
        <w:rPr>
          <w:rtl w:val="0"/>
        </w:rPr>
      </w:r>
    </w:p>
  </w:footnote>
  <w:footnote w:id="19">
    <w:p w:rsidR="00000000" w:rsidDel="00000000" w:rsidP="00000000" w:rsidRDefault="00000000" w:rsidRPr="00000000" w14:paraId="0000004A">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9">
        <w:r w:rsidDel="00000000" w:rsidR="00000000" w:rsidRPr="00000000">
          <w:rPr>
            <w:color w:val="1155cc"/>
            <w:u w:val="single"/>
            <w:rtl w:val="0"/>
          </w:rPr>
          <w:t xml:space="preserve">https://ciem.ucr.ac.cr/eliminacion-del-programa-de-afectividad-y-sexualidad-integral-y-el-protocolo-de-atencion-del</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keepNext w:val="0"/>
      <w:keepLines w:val="0"/>
      <w:spacing w:after="120" w:before="480" w:lineRule="auto"/>
      <w:jc w:val="center"/>
      <w:rPr>
        <w:b w:val="1"/>
        <w:sz w:val="32"/>
        <w:szCs w:val="32"/>
      </w:rPr>
    </w:pPr>
    <w:r w:rsidDel="00000000" w:rsidR="00000000" w:rsidRPr="00000000">
      <w:rPr>
        <w:b w:val="1"/>
        <w:sz w:val="32"/>
        <w:szCs w:val="32"/>
        <w:rtl w:val="0"/>
      </w:rPr>
      <w:t xml:space="preserve">Follow-up Report – Agenda CEDAW Working Group and Feminist Network against Violence (Costa Rica)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Didact Gothic" w:cs="Didact Gothic" w:eastAsia="Didact Gothic" w:hAnsi="Didact Gothic"/>
        <w:lang w:val="en"/>
      </w:rPr>
    </w:rPrDefault>
    <w:pPrDefault>
      <w:pPr>
        <w:spacing w:after="240" w:before="24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40" w:before="240" w:lineRule="auto"/>
    </w:pPr>
    <w:rPr>
      <w:b w:val="1"/>
      <w:color w:val="1155cc"/>
      <w:sz w:val="36"/>
      <w:szCs w:val="36"/>
    </w:rPr>
  </w:style>
  <w:style w:type="paragraph" w:styleId="Heading2">
    <w:name w:val="heading 2"/>
    <w:basedOn w:val="Normal"/>
    <w:next w:val="Normal"/>
    <w:pPr>
      <w:keepNext w:val="1"/>
      <w:keepLines w:val="1"/>
      <w:spacing w:after="80" w:before="280" w:lineRule="auto"/>
    </w:pPr>
    <w:rPr>
      <w:b w:val="1"/>
      <w:color w:val="a61c00"/>
      <w:sz w:val="26"/>
      <w:szCs w:val="26"/>
    </w:rPr>
  </w:style>
  <w:style w:type="paragraph" w:styleId="Heading3">
    <w:name w:val="heading 3"/>
    <w:basedOn w:val="Normal"/>
    <w:next w:val="Normal"/>
    <w:pPr>
      <w:keepNext w:val="1"/>
      <w:keepLines w:val="1"/>
      <w:spacing w:after="240" w:before="240" w:lineRule="auto"/>
    </w:pPr>
    <w:rPr>
      <w:b w:val="1"/>
      <w:color w:val="b45f06"/>
      <w:sz w:val="22"/>
      <w:szCs w:val="22"/>
    </w:rPr>
  </w:style>
  <w:style w:type="paragraph" w:styleId="Heading4">
    <w:name w:val="heading 4"/>
    <w:basedOn w:val="Normal"/>
    <w:next w:val="Normal"/>
    <w:pPr>
      <w:keepNext w:val="1"/>
      <w:keepLines w:val="1"/>
    </w:pPr>
    <w:rPr>
      <w:b w:val="1"/>
      <w:color w:val="b7b7b7"/>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spacing w:after="80" w:before="280" w:lineRule="auto"/>
      <w:jc w:val="center"/>
    </w:pPr>
    <w:rPr>
      <w:b w:val="1"/>
      <w:color w:val="073763"/>
      <w:sz w:val="40"/>
      <w:szCs w:val="40"/>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spacing w:after="240" w:before="240" w:lineRule="auto"/>
      <w:jc w:val="center"/>
    </w:pPr>
    <w:rPr>
      <w:i w:val="1"/>
      <w:color w:val="666666"/>
      <w:sz w:val="40"/>
      <w:szCs w:val="4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DidactGothic-regular.ttf"/></Relationships>
</file>

<file path=word/_rels/footnotes.xml.rels><?xml version="1.0" encoding="UTF-8" standalone="yes"?><Relationships xmlns="http://schemas.openxmlformats.org/package/2006/relationships"><Relationship Id="rId11" Type="http://schemas.openxmlformats.org/officeDocument/2006/relationships/hyperlink" Target="https://drive.google.com/file/d/1GjYGCVoJUWaRNVN0WCEXjg6tZ8W0u0gJ/view?usp=share_link" TargetMode="External"/><Relationship Id="rId10" Type="http://schemas.openxmlformats.org/officeDocument/2006/relationships/hyperlink" Target="https://semanariouniversidad.com/pais/cindy-quesada-deja-el-cargo-para-buscar-nuevos-horizontes-cuando-su-programa-estrella-puntos-violeta-esta-bajo-fuego/?utm_source=chatgpt.com" TargetMode="External"/><Relationship Id="rId13" Type="http://schemas.openxmlformats.org/officeDocument/2006/relationships/hyperlink" Target="https://www.france24.com/es/am%C3%A9rica-latina/20250130-costa-rica-pretende-aumentar-las-penas-de-c%C3%A1rcel-a-las-mujeres-que-aborten?utm_source=chatgpt.com" TargetMode="External"/><Relationship Id="rId12" Type="http://schemas.openxmlformats.org/officeDocument/2006/relationships/hyperlink" Target="https://nexuspj.poder-judicial.go.cr/document/sen-1-0007-1243968" TargetMode="External"/><Relationship Id="rId1" Type="http://schemas.openxmlformats.org/officeDocument/2006/relationships/hyperlink" Target="https://drive.google.com/file/d/1XjU1D14acrV7GUawUXFjrl6fW3T_Hdgb/view?usp=share_link" TargetMode="External"/><Relationship Id="rId2" Type="http://schemas.openxmlformats.org/officeDocument/2006/relationships/hyperlink" Target="https://drive.google.com/file/d/1-ScjqhsY1_5YlEdx7EHQm9G_CUKv7vfE/view?usp=share_link" TargetMode="External"/><Relationship Id="rId3" Type="http://schemas.openxmlformats.org/officeDocument/2006/relationships/hyperlink" Target="https://observatoriodegenero.poder-judicial.go.cr/index.php/soy-especialista-y-busco/estadisticas/femicidio" TargetMode="External"/><Relationship Id="rId4" Type="http://schemas.openxmlformats.org/officeDocument/2006/relationships/hyperlink" Target="https://drive.google.com/file/d/1f96kRBsvEybHdAHIjzeYlkegZ-MmXDZK/view?usp=share_link" TargetMode="External"/><Relationship Id="rId9" Type="http://schemas.openxmlformats.org/officeDocument/2006/relationships/hyperlink" Target="https://www.nacion.com/el-pais/carta-con-640-firmas-exige-renuncia-de-ministra-de/ELMESRWHZFA45BPHDXSPLYF2Y4/story/" TargetMode="External"/><Relationship Id="rId15" Type="http://schemas.openxmlformats.org/officeDocument/2006/relationships/hyperlink" Target="https://drive.google.com/file/d/1iOAkJvhBqmvMqN6i0Ke2WREp4y-7zQQN/view?usp=share_link" TargetMode="External"/><Relationship Id="rId14" Type="http://schemas.openxmlformats.org/officeDocument/2006/relationships/hyperlink" Target="https://delfino.cr/2025/02/ejecutivo-presenta-proyecto-para-aumentar-penas-de-carcel-en-casos-de-aborto-un-mes-despues-de-anunciarlo" TargetMode="External"/><Relationship Id="rId17" Type="http://schemas.openxmlformats.org/officeDocument/2006/relationships/hyperlink" Target="https://delfino.cr/2025/02/borrador-de-nuevo-programa-de-convivencia-del-mep-no-incluye-aspectos-basicos-de-educacion-sexual" TargetMode="External"/><Relationship Id="rId16" Type="http://schemas.openxmlformats.org/officeDocument/2006/relationships/hyperlink" Target="https://drive.google.com/file/d/1o0Bu9o92voC_Y_S4mZbarjiiPPxVzw3N/view?usp=share_link" TargetMode="External"/><Relationship Id="rId5" Type="http://schemas.openxmlformats.org/officeDocument/2006/relationships/hyperlink" Target="https://costarica.un.org/es/299679-informe-sobre-discursos-de-odio-y-discriminaci%C3%B3n-2025" TargetMode="External"/><Relationship Id="rId19" Type="http://schemas.openxmlformats.org/officeDocument/2006/relationships/hyperlink" Target="https://ciem.ucr.ac.cr/eliminacion-del-programa-de-afectividad-y-sexualidad-integral-y-el-protocolo-de-atencion-del?utm_source=chatgpt.com" TargetMode="External"/><Relationship Id="rId6" Type="http://schemas.openxmlformats.org/officeDocument/2006/relationships/hyperlink" Target="https://www.elpais.cr/2025/09/02/una-rechaza-declaraciones-de-exministra-que-responsabilizan-a-victimas-de-femicidio/?utm_source=chatgpt.com" TargetMode="External"/><Relationship Id="rId18" Type="http://schemas.openxmlformats.org/officeDocument/2006/relationships/hyperlink" Target="https://radios.ucr.ac.cr/2025/05/doblecheck/mep-no-hay-programa-educacion-sexual/?utm_source=chatgpt.com" TargetMode="External"/><Relationship Id="rId7" Type="http://schemas.openxmlformats.org/officeDocument/2006/relationships/hyperlink" Target="https://www.nacion.com/el-pais/politica/colectivos-feministas-critican-a-ministra-de-la/BVIFU5TW75ELNHS35YD2DJDLXU/story/?utm_source=chatgpt.com" TargetMode="External"/><Relationship Id="rId8" Type="http://schemas.openxmlformats.org/officeDocument/2006/relationships/hyperlink" Target="https://crhoy.com/mensaje-de-exministra-responsabiliza-a-mujeres-victimas-de-violencia-domestica-video/?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gbE+cOIQL8AnqbXTP8l2rR25iw==">CgMxLjAyDmguNjNsOWsxeWRiMzQ2Mg5oLjh6YmljOHUyM205ZjIOaC51dTF1ZjVwYTZqM2UyDmguc3ByeTVxZWl1emY3Mg5oLm5veHBtZ203YjN1czIOaC5hNWh0ZGp2b2MzN2wyDmgubzRmMXV0bDEyemdqMg5oLjN1am1pNXBjem1laDIOaC51d2ZnOTh3M2k0dzQyDmgud3AxaDhjZ3Z1NTBnOAByITE1bFpadXlWYzVNbDZDTmRFSGZObUFUNjIxekl1WWhoYQ==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