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color w:val="000000" w:themeColor="text1"/>
        </w:rPr>
      </w:pPr>
    </w:p>
    <w:p w:rsidR="006D432D" w:rsidRPr="00DE1274" w:rsidRDefault="00DE1919" w:rsidP="0096678F">
      <w:pPr>
        <w:ind w:right="-421"/>
        <w:rPr>
          <w:rFonts w:ascii="Century Gothic" w:hAnsi="Century Gothic"/>
          <w:b/>
          <w:color w:val="000000" w:themeColor="text1"/>
          <w:sz w:val="68"/>
          <w:szCs w:val="68"/>
        </w:rPr>
      </w:pPr>
      <w:r w:rsidRPr="00DE1274">
        <w:rPr>
          <w:rFonts w:ascii="Century Gothic" w:hAnsi="Century Gothic"/>
          <w:b/>
          <w:color w:val="000000" w:themeColor="text1"/>
          <w:sz w:val="68"/>
          <w:szCs w:val="68"/>
        </w:rPr>
        <w:t>Submission for list of issues in respect of</w:t>
      </w:r>
      <w:r w:rsidR="00284F3C" w:rsidRPr="00DE1274">
        <w:rPr>
          <w:rFonts w:ascii="Century Gothic" w:hAnsi="Century Gothic"/>
          <w:b/>
          <w:color w:val="000000" w:themeColor="text1"/>
          <w:sz w:val="68"/>
          <w:szCs w:val="68"/>
        </w:rPr>
        <w:t xml:space="preserve"> Ireland’s</w:t>
      </w:r>
      <w:r w:rsidR="006D432D" w:rsidRPr="00DE1274">
        <w:rPr>
          <w:rFonts w:ascii="Century Gothic" w:hAnsi="Century Gothic"/>
          <w:b/>
          <w:color w:val="000000" w:themeColor="text1"/>
          <w:sz w:val="68"/>
          <w:szCs w:val="68"/>
        </w:rPr>
        <w:t xml:space="preserve"> </w:t>
      </w:r>
      <w:r w:rsidR="004640A4" w:rsidRPr="00DE1274">
        <w:rPr>
          <w:rFonts w:ascii="Century Gothic" w:hAnsi="Century Gothic"/>
          <w:b/>
          <w:color w:val="000000" w:themeColor="text1"/>
          <w:sz w:val="68"/>
          <w:szCs w:val="68"/>
        </w:rPr>
        <w:t>f</w:t>
      </w:r>
      <w:r w:rsidR="00284F3C" w:rsidRPr="00DE1274">
        <w:rPr>
          <w:rFonts w:ascii="Century Gothic" w:hAnsi="Century Gothic"/>
          <w:b/>
          <w:color w:val="000000" w:themeColor="text1"/>
          <w:sz w:val="68"/>
          <w:szCs w:val="68"/>
        </w:rPr>
        <w:t>ourth</w:t>
      </w:r>
      <w:r w:rsidR="006D432D" w:rsidRPr="00DE1274">
        <w:rPr>
          <w:rFonts w:ascii="Century Gothic" w:hAnsi="Century Gothic"/>
          <w:b/>
          <w:color w:val="000000" w:themeColor="text1"/>
          <w:sz w:val="68"/>
          <w:szCs w:val="68"/>
        </w:rPr>
        <w:t xml:space="preserve"> periodic report under the International Covenant on Civil and Political Rights (ICCPR)</w:t>
      </w:r>
    </w:p>
    <w:p w:rsidR="006D432D" w:rsidRPr="00DE1274" w:rsidRDefault="006D432D" w:rsidP="0096678F">
      <w:pPr>
        <w:ind w:right="-421"/>
        <w:rPr>
          <w:rFonts w:ascii="Century Gothic" w:hAnsi="Century Gothic"/>
          <w:b/>
          <w:color w:val="000000" w:themeColor="text1"/>
          <w:sz w:val="28"/>
          <w:szCs w:val="28"/>
        </w:rPr>
      </w:pPr>
      <w:r w:rsidRPr="00DE1274">
        <w:rPr>
          <w:rFonts w:ascii="Century Gothic" w:hAnsi="Century Gothic"/>
          <w:b/>
          <w:color w:val="000000" w:themeColor="text1"/>
          <w:sz w:val="28"/>
          <w:szCs w:val="28"/>
        </w:rPr>
        <w:t xml:space="preserve">A submission by FLAC </w:t>
      </w:r>
    </w:p>
    <w:p w:rsidR="007706D1" w:rsidRPr="00DE1274" w:rsidRDefault="007706D1" w:rsidP="0096678F">
      <w:pPr>
        <w:ind w:right="-421"/>
        <w:rPr>
          <w:rFonts w:ascii="Century Gothic" w:hAnsi="Century Gothic"/>
          <w:color w:val="000000" w:themeColor="text1"/>
        </w:rPr>
      </w:pPr>
    </w:p>
    <w:p w:rsidR="007706D1" w:rsidRPr="00DE1274" w:rsidRDefault="007706D1" w:rsidP="0096678F">
      <w:pPr>
        <w:ind w:right="-421"/>
        <w:rPr>
          <w:rFonts w:ascii="Century Gothic" w:hAnsi="Century Gothic"/>
          <w:b/>
          <w:color w:val="000000" w:themeColor="text1"/>
          <w:sz w:val="48"/>
          <w:szCs w:val="48"/>
        </w:rPr>
      </w:pPr>
      <w:r w:rsidRPr="00DE1274">
        <w:rPr>
          <w:rFonts w:ascii="Century Gothic" w:hAnsi="Century Gothic"/>
          <w:b/>
          <w:color w:val="000000" w:themeColor="text1"/>
          <w:sz w:val="48"/>
          <w:szCs w:val="48"/>
        </w:rPr>
        <w:t>FLAC</w:t>
      </w:r>
    </w:p>
    <w:p w:rsidR="007706D1" w:rsidRPr="00DE1274" w:rsidRDefault="007706D1" w:rsidP="0096678F">
      <w:pPr>
        <w:ind w:right="-421"/>
        <w:rPr>
          <w:color w:val="000000" w:themeColor="text1"/>
        </w:rPr>
        <w:sectPr w:rsidR="007706D1" w:rsidRPr="00DE1274" w:rsidSect="005B111A">
          <w:headerReference w:type="default" r:id="rId9"/>
          <w:footerReference w:type="default" r:id="rId10"/>
          <w:headerReference w:type="first" r:id="rId11"/>
          <w:footerReference w:type="first" r:id="rId12"/>
          <w:pgSz w:w="12240" w:h="15840"/>
          <w:pgMar w:top="1440" w:right="1440" w:bottom="1440" w:left="1440" w:header="708" w:footer="708" w:gutter="0"/>
          <w:cols w:space="708"/>
          <w:titlePg/>
          <w:docGrid w:linePitch="360"/>
        </w:sect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b/>
          <w:color w:val="000000" w:themeColor="text1"/>
          <w:sz w:val="32"/>
          <w:szCs w:val="32"/>
        </w:rPr>
      </w:pPr>
      <w:r w:rsidRPr="00DE1274">
        <w:rPr>
          <w:rFonts w:ascii="Century Gothic" w:hAnsi="Century Gothic"/>
          <w:b/>
          <w:color w:val="000000" w:themeColor="text1"/>
          <w:sz w:val="32"/>
          <w:szCs w:val="32"/>
        </w:rPr>
        <w:t>About FLAC</w:t>
      </w: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 xml:space="preserve">FLAC is an independent human rights organisation dedicated to the realisation of equal access to justice for all. </w:t>
      </w:r>
    </w:p>
    <w:p w:rsidR="007706D1" w:rsidRPr="00DE1274" w:rsidRDefault="007706D1" w:rsidP="0096678F">
      <w:pPr>
        <w:tabs>
          <w:tab w:val="left" w:pos="7500"/>
        </w:tabs>
        <w:spacing w:after="0"/>
        <w:ind w:right="-421"/>
        <w:rPr>
          <w:rFonts w:ascii="Century Gothic" w:hAnsi="Century Gothic"/>
          <w:color w:val="000000" w:themeColor="text1"/>
        </w:rPr>
      </w:pPr>
      <w:r w:rsidRPr="00DE1274">
        <w:rPr>
          <w:rFonts w:ascii="Century Gothic" w:hAnsi="Century Gothic"/>
          <w:color w:val="000000" w:themeColor="text1"/>
        </w:rPr>
        <w:tab/>
      </w:r>
    </w:p>
    <w:p w:rsidR="007706D1" w:rsidRPr="00DE1274" w:rsidRDefault="007706D1" w:rsidP="0096678F">
      <w:pPr>
        <w:spacing w:after="0"/>
        <w:ind w:right="-421"/>
        <w:rPr>
          <w:rFonts w:ascii="Century Gothic" w:hAnsi="Century Gothic"/>
          <w:b/>
          <w:color w:val="000000" w:themeColor="text1"/>
          <w:sz w:val="32"/>
          <w:szCs w:val="32"/>
        </w:rPr>
      </w:pPr>
      <w:r w:rsidRPr="00DE1274">
        <w:rPr>
          <w:rFonts w:ascii="Century Gothic" w:hAnsi="Century Gothic"/>
          <w:b/>
          <w:color w:val="000000" w:themeColor="text1"/>
          <w:sz w:val="32"/>
          <w:szCs w:val="32"/>
        </w:rPr>
        <w:t>FLAC Policy</w:t>
      </w: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Towards achieving its stated aims, FLAC produces policy papers on relevant issues to ensure that government, decision-makers and other NGOs are aware of developments that may affect the lives of people in Ireland. These developments may be legislative, government policy-related or purely practice-oriented. FLAC may make recommendations to a variety of bodies drawing on its legal expertise and bringing in a social inclusion perspective.</w:t>
      </w: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 xml:space="preserve">You can download/read FLAC’s policy papers at </w:t>
      </w:r>
      <w:hyperlink r:id="rId13" w:history="1">
        <w:r w:rsidRPr="00DE1274">
          <w:rPr>
            <w:rStyle w:val="Hyperlink"/>
            <w:rFonts w:ascii="Century Gothic" w:hAnsi="Century Gothic"/>
            <w:color w:val="000000" w:themeColor="text1"/>
          </w:rPr>
          <w:t>http://www.flac.ie/publications/policy.html</w:t>
        </w:r>
      </w:hyperlink>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 xml:space="preserve">For </w:t>
      </w:r>
      <w:r w:rsidRPr="00DE1274">
        <w:rPr>
          <w:rFonts w:ascii="Century Gothic" w:hAnsi="Century Gothic"/>
          <w:b/>
          <w:i/>
          <w:color w:val="000000" w:themeColor="text1"/>
        </w:rPr>
        <w:t>more information</w:t>
      </w:r>
      <w:r w:rsidRPr="00DE1274">
        <w:rPr>
          <w:rFonts w:ascii="Century Gothic" w:hAnsi="Century Gothic"/>
          <w:color w:val="000000" w:themeColor="text1"/>
        </w:rPr>
        <w:t>, contact us at</w:t>
      </w:r>
    </w:p>
    <w:p w:rsidR="007706D1" w:rsidRPr="00DE1274" w:rsidRDefault="007706D1" w:rsidP="0096678F">
      <w:pPr>
        <w:spacing w:after="0"/>
        <w:ind w:right="-421"/>
        <w:rPr>
          <w:rFonts w:ascii="Century Gothic" w:hAnsi="Century Gothic"/>
          <w:color w:val="000000" w:themeColor="text1"/>
        </w:rPr>
      </w:pP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 xml:space="preserve">FLAC, </w:t>
      </w:r>
    </w:p>
    <w:p w:rsidR="007706D1" w:rsidRPr="00DE1274" w:rsidRDefault="007706D1" w:rsidP="0096678F">
      <w:pPr>
        <w:spacing w:after="0"/>
        <w:ind w:right="-421"/>
        <w:rPr>
          <w:rFonts w:ascii="Century Gothic" w:hAnsi="Century Gothic"/>
          <w:color w:val="000000" w:themeColor="text1"/>
        </w:rPr>
      </w:pPr>
      <w:r w:rsidRPr="00DE1274">
        <w:rPr>
          <w:rFonts w:ascii="Century Gothic" w:hAnsi="Century Gothic"/>
          <w:color w:val="000000" w:themeColor="text1"/>
        </w:rPr>
        <w:t>13 Lower Dorset Street, Dublin 1</w:t>
      </w:r>
    </w:p>
    <w:p w:rsidR="007706D1" w:rsidRPr="00DE1274" w:rsidRDefault="007706D1" w:rsidP="0096678F">
      <w:pPr>
        <w:spacing w:after="0"/>
        <w:ind w:right="-421"/>
        <w:rPr>
          <w:rFonts w:ascii="Century Gothic" w:hAnsi="Century Gothic"/>
          <w:color w:val="000000" w:themeColor="text1"/>
        </w:rPr>
        <w:sectPr w:rsidR="007706D1" w:rsidRPr="00DE1274" w:rsidSect="005B111A">
          <w:headerReference w:type="first" r:id="rId14"/>
          <w:footerReference w:type="first" r:id="rId15"/>
          <w:pgSz w:w="12240" w:h="15840"/>
          <w:pgMar w:top="1440" w:right="1440" w:bottom="1440" w:left="1440" w:header="708" w:footer="708" w:gutter="0"/>
          <w:cols w:space="708"/>
          <w:titlePg/>
          <w:docGrid w:linePitch="360"/>
        </w:sectPr>
      </w:pPr>
      <w:r w:rsidRPr="00DE1274">
        <w:rPr>
          <w:rFonts w:ascii="Century Gothic" w:hAnsi="Century Gothic"/>
          <w:color w:val="000000" w:themeColor="text1"/>
        </w:rPr>
        <w:t xml:space="preserve">T: 1890 350250 / 01 874 5690 </w:t>
      </w:r>
      <w:r w:rsidRPr="00DE1274">
        <w:rPr>
          <w:rFonts w:ascii="Century Gothic" w:hAnsi="Century Gothic"/>
          <w:b/>
          <w:color w:val="000000" w:themeColor="text1"/>
        </w:rPr>
        <w:t>|</w:t>
      </w:r>
      <w:r w:rsidRPr="00DE1274">
        <w:rPr>
          <w:rFonts w:ascii="Century Gothic" w:hAnsi="Century Gothic"/>
          <w:color w:val="000000" w:themeColor="text1"/>
        </w:rPr>
        <w:t xml:space="preserve"> E: </w:t>
      </w:r>
      <w:proofErr w:type="gramStart"/>
      <w:r w:rsidRPr="00DE1274">
        <w:rPr>
          <w:rFonts w:ascii="Century Gothic" w:hAnsi="Century Gothic"/>
          <w:color w:val="000000" w:themeColor="text1"/>
        </w:rPr>
        <w:t xml:space="preserve">info@flac.ie  </w:t>
      </w:r>
      <w:r w:rsidRPr="00DE1274">
        <w:rPr>
          <w:rFonts w:ascii="Century Gothic" w:hAnsi="Century Gothic"/>
          <w:b/>
          <w:color w:val="000000" w:themeColor="text1"/>
        </w:rPr>
        <w:t>|</w:t>
      </w:r>
      <w:proofErr w:type="gramEnd"/>
      <w:r w:rsidR="006D432D" w:rsidRPr="00DE1274">
        <w:rPr>
          <w:rFonts w:ascii="Century Gothic" w:hAnsi="Century Gothic"/>
          <w:color w:val="000000" w:themeColor="text1"/>
        </w:rPr>
        <w:t xml:space="preserve"> W: www.flac.ie </w:t>
      </w:r>
    </w:p>
    <w:p w:rsidR="006D432D" w:rsidRPr="00DE1274" w:rsidRDefault="006D432D" w:rsidP="0096678F">
      <w:pPr>
        <w:pStyle w:val="Default"/>
        <w:spacing w:line="276" w:lineRule="auto"/>
        <w:ind w:right="-421"/>
        <w:rPr>
          <w:color w:val="000000" w:themeColor="text1"/>
          <w:sz w:val="22"/>
          <w:szCs w:val="22"/>
          <w:lang w:val="en-IE"/>
        </w:rPr>
      </w:pPr>
      <w:r w:rsidRPr="00DE1274">
        <w:rPr>
          <w:color w:val="000000" w:themeColor="text1"/>
          <w:sz w:val="22"/>
          <w:szCs w:val="22"/>
          <w:lang w:val="en-IE"/>
        </w:rPr>
        <w:lastRenderedPageBreak/>
        <w:t>FLAC, the Free Legal Advice Centres, is an independent human rights organisation dedicated to the realisation of equal access to justice for all.  FLAC was established in 1969 by law students to provide legal information, advice and representation to people who could not afford to pay for legal services and to campaign for a state civil legal aid system. Today FLAC has a full-time office in Dublin and works for law reform for the benefit of marginalised people.</w:t>
      </w:r>
    </w:p>
    <w:p w:rsidR="006D432D" w:rsidRPr="00DE1274" w:rsidRDefault="006D432D" w:rsidP="0096678F">
      <w:pPr>
        <w:pStyle w:val="Default"/>
        <w:spacing w:line="276" w:lineRule="auto"/>
        <w:ind w:right="-421"/>
        <w:rPr>
          <w:color w:val="000000" w:themeColor="text1"/>
          <w:sz w:val="14"/>
          <w:szCs w:val="14"/>
          <w:lang w:val="en-IE"/>
        </w:rPr>
      </w:pPr>
      <w:r w:rsidRPr="00DE1274">
        <w:rPr>
          <w:color w:val="000000" w:themeColor="text1"/>
          <w:sz w:val="22"/>
          <w:szCs w:val="22"/>
          <w:lang w:val="en-IE"/>
        </w:rPr>
        <w:t xml:space="preserve"> </w:t>
      </w:r>
    </w:p>
    <w:p w:rsidR="006D432D" w:rsidRPr="00DE1274" w:rsidRDefault="006D432D" w:rsidP="0096678F">
      <w:pPr>
        <w:ind w:right="-421"/>
        <w:rPr>
          <w:color w:val="000000" w:themeColor="text1"/>
        </w:rPr>
      </w:pPr>
      <w:r w:rsidRPr="00DE1274">
        <w:rPr>
          <w:color w:val="000000" w:themeColor="text1"/>
        </w:rPr>
        <w:t>Fundamental human rights are not expendable and cannot be disregarded in times of economic uncertainty. Even where resources are limited, the rights of the people living in Ireland must be maintained to the best extent possible.</w:t>
      </w:r>
    </w:p>
    <w:p w:rsidR="00832985" w:rsidRPr="00DE1274" w:rsidRDefault="00832985" w:rsidP="0096678F">
      <w:pPr>
        <w:ind w:right="-421"/>
        <w:rPr>
          <w:color w:val="000000" w:themeColor="text1"/>
        </w:rPr>
      </w:pPr>
      <w:r w:rsidRPr="00DE1274">
        <w:rPr>
          <w:color w:val="000000" w:themeColor="text1"/>
        </w:rPr>
        <w:t>While FLAC is aware that the State’s</w:t>
      </w:r>
      <w:r w:rsidR="000E18F1">
        <w:rPr>
          <w:color w:val="000000" w:themeColor="text1"/>
        </w:rPr>
        <w:t xml:space="preserve"> draft</w:t>
      </w:r>
      <w:r w:rsidRPr="00DE1274">
        <w:rPr>
          <w:color w:val="000000" w:themeColor="text1"/>
        </w:rPr>
        <w:t xml:space="preserve"> report mostly deals with developments up to December 2011, this submission includes references to the situation at that time but</w:t>
      </w:r>
      <w:r w:rsidR="00DE1274">
        <w:rPr>
          <w:color w:val="000000" w:themeColor="text1"/>
        </w:rPr>
        <w:t xml:space="preserve"> it also</w:t>
      </w:r>
      <w:r w:rsidRPr="00DE1274">
        <w:rPr>
          <w:color w:val="000000" w:themeColor="text1"/>
        </w:rPr>
        <w:t xml:space="preserve"> </w:t>
      </w:r>
      <w:r w:rsidR="00DE1919" w:rsidRPr="00DE1274">
        <w:rPr>
          <w:color w:val="000000" w:themeColor="text1"/>
        </w:rPr>
        <w:t xml:space="preserve">includes updated information from </w:t>
      </w:r>
      <w:r w:rsidRPr="00DE1274">
        <w:rPr>
          <w:color w:val="000000" w:themeColor="text1"/>
        </w:rPr>
        <w:t>2013</w:t>
      </w:r>
      <w:r w:rsidR="00DE1274">
        <w:rPr>
          <w:color w:val="000000" w:themeColor="text1"/>
        </w:rPr>
        <w:t xml:space="preserve"> where appropriate</w:t>
      </w:r>
      <w:r w:rsidRPr="00DE1274">
        <w:rPr>
          <w:color w:val="000000" w:themeColor="text1"/>
        </w:rPr>
        <w:t xml:space="preserve">. </w:t>
      </w:r>
    </w:p>
    <w:p w:rsidR="006D432D" w:rsidRPr="00DE1274" w:rsidRDefault="006D432D" w:rsidP="00DE1274">
      <w:pPr>
        <w:tabs>
          <w:tab w:val="left" w:pos="9182"/>
        </w:tabs>
        <w:ind w:right="-421"/>
        <w:rPr>
          <w:b/>
          <w:color w:val="000000" w:themeColor="text1"/>
        </w:rPr>
      </w:pPr>
      <w:r w:rsidRPr="00DE1274">
        <w:rPr>
          <w:b/>
          <w:color w:val="000000" w:themeColor="text1"/>
        </w:rPr>
        <w:t>Article</w:t>
      </w:r>
      <w:r w:rsidR="00B36FED" w:rsidRPr="00DE1274">
        <w:rPr>
          <w:b/>
          <w:color w:val="000000" w:themeColor="text1"/>
        </w:rPr>
        <w:t xml:space="preserve"> 2</w:t>
      </w:r>
      <w:r w:rsidR="007F68B0" w:rsidRPr="00DE1274">
        <w:rPr>
          <w:b/>
          <w:color w:val="000000" w:themeColor="text1"/>
        </w:rPr>
        <w:t>:</w:t>
      </w:r>
      <w:r w:rsidR="00284F3C" w:rsidRPr="00DE1274">
        <w:rPr>
          <w:b/>
          <w:color w:val="000000" w:themeColor="text1"/>
        </w:rPr>
        <w:t xml:space="preserve"> Obligation to </w:t>
      </w:r>
      <w:r w:rsidR="007F68B0" w:rsidRPr="00DE1274">
        <w:rPr>
          <w:b/>
          <w:color w:val="000000" w:themeColor="text1"/>
        </w:rPr>
        <w:t>i</w:t>
      </w:r>
      <w:r w:rsidR="00284F3C" w:rsidRPr="00DE1274">
        <w:rPr>
          <w:b/>
          <w:color w:val="000000" w:themeColor="text1"/>
        </w:rPr>
        <w:t xml:space="preserve">mplement the </w:t>
      </w:r>
      <w:r w:rsidR="007F68B0" w:rsidRPr="00DE1274">
        <w:rPr>
          <w:b/>
          <w:color w:val="000000" w:themeColor="text1"/>
        </w:rPr>
        <w:t>p</w:t>
      </w:r>
      <w:r w:rsidR="00284F3C" w:rsidRPr="00DE1274">
        <w:rPr>
          <w:b/>
          <w:color w:val="000000" w:themeColor="text1"/>
        </w:rPr>
        <w:t>rovisions of the Covenant</w:t>
      </w:r>
      <w:r w:rsidR="00DE1274">
        <w:rPr>
          <w:b/>
          <w:color w:val="000000" w:themeColor="text1"/>
        </w:rPr>
        <w:tab/>
      </w:r>
    </w:p>
    <w:p w:rsidR="00565A74" w:rsidRPr="00DE1274" w:rsidRDefault="00565A74" w:rsidP="0096678F">
      <w:pPr>
        <w:pStyle w:val="ParaNo"/>
        <w:spacing w:line="276" w:lineRule="auto"/>
        <w:ind w:left="0" w:right="-421"/>
        <w:rPr>
          <w:rFonts w:ascii="Calibri" w:hAnsi="Calibri"/>
          <w:color w:val="000000" w:themeColor="text1"/>
          <w:sz w:val="22"/>
          <w:szCs w:val="22"/>
          <w:lang w:val="en-GB"/>
        </w:rPr>
      </w:pPr>
      <w:r w:rsidRPr="00DE1274">
        <w:rPr>
          <w:rFonts w:ascii="Calibri" w:hAnsi="Calibri"/>
          <w:color w:val="000000" w:themeColor="text1"/>
          <w:sz w:val="22"/>
          <w:szCs w:val="22"/>
        </w:rPr>
        <w:t xml:space="preserve">The State has signed and ratified the ICCPR and should incorporate the rights enshrined in the Covenant into domestic law. </w:t>
      </w:r>
      <w:r w:rsidR="00FD3B39" w:rsidRPr="00DE1274">
        <w:rPr>
          <w:rFonts w:ascii="Calibri" w:hAnsi="Calibri"/>
          <w:color w:val="000000" w:themeColor="text1"/>
          <w:sz w:val="22"/>
          <w:szCs w:val="22"/>
        </w:rPr>
        <w:t xml:space="preserve"> On the presentation of its last report to the Human Rights Committee, the State delegation stated in the course of its discussions that it would undertake an analysis of its legislation and of the Covenant to identify and ensure that all of the Covenant’s provisions were incorporated into Irish law</w:t>
      </w:r>
      <w:r w:rsidR="0019036D" w:rsidRPr="00DE1274">
        <w:rPr>
          <w:rFonts w:ascii="Calibri" w:hAnsi="Calibri"/>
          <w:color w:val="000000" w:themeColor="text1"/>
          <w:sz w:val="22"/>
          <w:szCs w:val="22"/>
        </w:rPr>
        <w:t xml:space="preserve"> and “</w:t>
      </w:r>
      <w:r w:rsidR="0019036D" w:rsidRPr="00DE1274">
        <w:rPr>
          <w:rFonts w:ascii="Calibri" w:hAnsi="Calibri"/>
          <w:color w:val="000000" w:themeColor="text1"/>
          <w:sz w:val="22"/>
          <w:szCs w:val="22"/>
          <w:lang w:val="en-GB"/>
        </w:rPr>
        <w:t>would tabulate the relevant provisions in order to clarify the situation”.</w:t>
      </w:r>
      <w:r w:rsidR="0019036D" w:rsidRPr="00DE1274">
        <w:rPr>
          <w:rStyle w:val="FootnoteReference"/>
          <w:rFonts w:ascii="Calibri" w:hAnsi="Calibri"/>
          <w:color w:val="000000" w:themeColor="text1"/>
          <w:sz w:val="22"/>
          <w:szCs w:val="22"/>
          <w:lang w:val="en-GB"/>
        </w:rPr>
        <w:footnoteReference w:id="1"/>
      </w:r>
      <w:r w:rsidR="0019036D" w:rsidRPr="00DE1274">
        <w:rPr>
          <w:rFonts w:ascii="Calibri" w:hAnsi="Calibri"/>
          <w:color w:val="000000" w:themeColor="text1"/>
          <w:sz w:val="22"/>
          <w:szCs w:val="22"/>
        </w:rPr>
        <w:t xml:space="preserve"> </w:t>
      </w:r>
      <w:r w:rsidR="00FD3B39" w:rsidRPr="00DE1274">
        <w:rPr>
          <w:rFonts w:ascii="Calibri" w:hAnsi="Calibri"/>
          <w:color w:val="000000" w:themeColor="text1"/>
          <w:sz w:val="22"/>
          <w:szCs w:val="22"/>
        </w:rPr>
        <w:t>This has not been done. There has been no detailed analysis of Irish law to ensure that the provisions of the Covenant are recognised in Irish law</w:t>
      </w:r>
      <w:r w:rsidR="0019036D" w:rsidRPr="00DE1274">
        <w:rPr>
          <w:rFonts w:ascii="Calibri" w:hAnsi="Calibri"/>
          <w:color w:val="000000" w:themeColor="text1"/>
          <w:sz w:val="22"/>
          <w:szCs w:val="22"/>
        </w:rPr>
        <w:t>.</w:t>
      </w:r>
      <w:r w:rsidR="00DA32B8" w:rsidRPr="00DE1274">
        <w:rPr>
          <w:rFonts w:ascii="Calibri" w:hAnsi="Calibri"/>
          <w:color w:val="000000" w:themeColor="text1"/>
          <w:sz w:val="22"/>
          <w:szCs w:val="22"/>
        </w:rPr>
        <w:t xml:space="preserve"> </w:t>
      </w:r>
    </w:p>
    <w:p w:rsidR="006A18B5" w:rsidRPr="00DE1274" w:rsidRDefault="000D7C04" w:rsidP="0096678F">
      <w:pPr>
        <w:ind w:right="-421"/>
        <w:rPr>
          <w:color w:val="000000" w:themeColor="text1"/>
        </w:rPr>
      </w:pPr>
      <w:r w:rsidRPr="00DE1274">
        <w:rPr>
          <w:color w:val="000000" w:themeColor="text1"/>
        </w:rPr>
        <w:t xml:space="preserve">The State’s human rights and equality framework </w:t>
      </w:r>
      <w:r w:rsidR="001647F6" w:rsidRPr="00DE1274">
        <w:rPr>
          <w:color w:val="000000" w:themeColor="text1"/>
        </w:rPr>
        <w:t>was</w:t>
      </w:r>
      <w:r w:rsidRPr="00DE1274">
        <w:rPr>
          <w:color w:val="000000" w:themeColor="text1"/>
        </w:rPr>
        <w:t xml:space="preserve"> </w:t>
      </w:r>
      <w:r w:rsidR="001647F6" w:rsidRPr="00DE1274">
        <w:rPr>
          <w:color w:val="000000" w:themeColor="text1"/>
        </w:rPr>
        <w:t xml:space="preserve">severely </w:t>
      </w:r>
      <w:r w:rsidR="007A6744" w:rsidRPr="00DE1274">
        <w:rPr>
          <w:color w:val="000000" w:themeColor="text1"/>
        </w:rPr>
        <w:t>impaired</w:t>
      </w:r>
      <w:r w:rsidR="001647F6" w:rsidRPr="00DE1274">
        <w:rPr>
          <w:color w:val="000000" w:themeColor="text1"/>
        </w:rPr>
        <w:t xml:space="preserve"> </w:t>
      </w:r>
      <w:r w:rsidRPr="00DE1274">
        <w:rPr>
          <w:color w:val="000000" w:themeColor="text1"/>
        </w:rPr>
        <w:t>following drastic cuts to the budget</w:t>
      </w:r>
      <w:r w:rsidR="001647F6" w:rsidRPr="00DE1274">
        <w:rPr>
          <w:color w:val="000000" w:themeColor="text1"/>
        </w:rPr>
        <w:t>s</w:t>
      </w:r>
      <w:r w:rsidRPr="00DE1274">
        <w:rPr>
          <w:color w:val="000000" w:themeColor="text1"/>
        </w:rPr>
        <w:t xml:space="preserve"> of</w:t>
      </w:r>
      <w:r w:rsidR="001647F6" w:rsidRPr="00DE1274">
        <w:rPr>
          <w:color w:val="000000" w:themeColor="text1"/>
        </w:rPr>
        <w:t xml:space="preserve"> both the Equality Authority and the Irish Human Rights Commission</w:t>
      </w:r>
      <w:r w:rsidRPr="00DE1274">
        <w:rPr>
          <w:color w:val="000000" w:themeColor="text1"/>
        </w:rPr>
        <w:t xml:space="preserve"> </w:t>
      </w:r>
      <w:r w:rsidR="00914284" w:rsidRPr="00DE1274">
        <w:rPr>
          <w:color w:val="000000" w:themeColor="text1"/>
        </w:rPr>
        <w:t>(IHRC) as well as the abolition</w:t>
      </w:r>
      <w:r w:rsidR="001647F6" w:rsidRPr="00DE1274">
        <w:rPr>
          <w:color w:val="000000" w:themeColor="text1"/>
        </w:rPr>
        <w:t xml:space="preserve"> of the National Consultative Committee on Racism and </w:t>
      </w:r>
      <w:proofErr w:type="spellStart"/>
      <w:r w:rsidR="001647F6" w:rsidRPr="00DE1274">
        <w:rPr>
          <w:color w:val="000000" w:themeColor="text1"/>
        </w:rPr>
        <w:t>Interculturalism</w:t>
      </w:r>
      <w:proofErr w:type="spellEnd"/>
      <w:r w:rsidR="001647F6" w:rsidRPr="00DE1274">
        <w:rPr>
          <w:color w:val="000000" w:themeColor="text1"/>
        </w:rPr>
        <w:t xml:space="preserve"> (NCCRI) and the Combat Poverty Agency.</w:t>
      </w:r>
      <w:r w:rsidR="007A6744" w:rsidRPr="00DE1274">
        <w:rPr>
          <w:color w:val="000000" w:themeColor="text1"/>
        </w:rPr>
        <w:t xml:space="preserve"> </w:t>
      </w:r>
      <w:r w:rsidR="00DA32B8" w:rsidRPr="00DE1274">
        <w:rPr>
          <w:color w:val="000000" w:themeColor="text1"/>
        </w:rPr>
        <w:t xml:space="preserve">Following a Government decision in </w:t>
      </w:r>
      <w:r w:rsidR="00C07E0D" w:rsidRPr="00DE1274">
        <w:rPr>
          <w:color w:val="000000" w:themeColor="text1"/>
        </w:rPr>
        <w:t xml:space="preserve">2011 to merge the IHRC and the Equality Authority and create a “new and enhanced” Commission, a Working Group appointed by the Minister for Justice and Equality reported in April 2012 with proposals for a strong and effective new body. </w:t>
      </w:r>
    </w:p>
    <w:p w:rsidR="00A14665" w:rsidRDefault="001647F6" w:rsidP="001428E9">
      <w:pPr>
        <w:ind w:right="-421"/>
        <w:rPr>
          <w:color w:val="000000" w:themeColor="text1"/>
          <w:shd w:val="clear" w:color="auto" w:fill="FFFFFF"/>
        </w:rPr>
      </w:pPr>
      <w:r w:rsidRPr="00DE1274">
        <w:rPr>
          <w:color w:val="000000" w:themeColor="text1"/>
        </w:rPr>
        <w:t>F</w:t>
      </w:r>
      <w:r w:rsidR="00A6248B" w:rsidRPr="00DE1274">
        <w:rPr>
          <w:color w:val="000000" w:themeColor="text1"/>
        </w:rPr>
        <w:t xml:space="preserve">LAC welcomed </w:t>
      </w:r>
      <w:r w:rsidR="00F26068" w:rsidRPr="00DE1274">
        <w:rPr>
          <w:color w:val="000000" w:themeColor="text1"/>
        </w:rPr>
        <w:t xml:space="preserve">the </w:t>
      </w:r>
      <w:r w:rsidR="00994DE1" w:rsidRPr="00DE1274">
        <w:rPr>
          <w:color w:val="000000" w:themeColor="text1"/>
        </w:rPr>
        <w:t xml:space="preserve">strong call by </w:t>
      </w:r>
      <w:r w:rsidR="00914284" w:rsidRPr="00DE1274">
        <w:rPr>
          <w:color w:val="000000" w:themeColor="text1"/>
        </w:rPr>
        <w:t xml:space="preserve">the </w:t>
      </w:r>
      <w:r w:rsidR="007A6744" w:rsidRPr="00DE1274">
        <w:rPr>
          <w:color w:val="000000" w:themeColor="text1"/>
        </w:rPr>
        <w:t xml:space="preserve">merger </w:t>
      </w:r>
      <w:r w:rsidR="00914284" w:rsidRPr="00DE1274">
        <w:rPr>
          <w:color w:val="000000" w:themeColor="text1"/>
        </w:rPr>
        <w:t xml:space="preserve">Working Group </w:t>
      </w:r>
      <w:r w:rsidR="00994DE1" w:rsidRPr="00DE1274">
        <w:rPr>
          <w:color w:val="000000" w:themeColor="text1"/>
        </w:rPr>
        <w:t xml:space="preserve">that the new body be fully independent of the Government. </w:t>
      </w:r>
      <w:r w:rsidR="00914284" w:rsidRPr="00DE1274">
        <w:rPr>
          <w:color w:val="000000" w:themeColor="text1"/>
        </w:rPr>
        <w:t xml:space="preserve">The </w:t>
      </w:r>
      <w:r w:rsidR="00F26068" w:rsidRPr="00DE1274">
        <w:rPr>
          <w:color w:val="000000" w:themeColor="text1"/>
        </w:rPr>
        <w:t xml:space="preserve">proposals that </w:t>
      </w:r>
      <w:r w:rsidR="000D7C04" w:rsidRPr="00DE1274">
        <w:rPr>
          <w:color w:val="000000" w:themeColor="text1"/>
        </w:rPr>
        <w:t>t</w:t>
      </w:r>
      <w:r w:rsidR="000D7C04" w:rsidRPr="00DE1274">
        <w:rPr>
          <w:color w:val="000000" w:themeColor="text1"/>
          <w:shd w:val="clear" w:color="auto" w:fill="FFFFFF"/>
        </w:rPr>
        <w:t>he new body should have all the powers of the existing Human Rights Commission and Equality Authority and that there should be a new statutory duty on public bodies to have regard to equality and human rights in making decisions</w:t>
      </w:r>
      <w:r w:rsidR="00994DE1" w:rsidRPr="00DE1274">
        <w:rPr>
          <w:color w:val="000000" w:themeColor="text1"/>
          <w:shd w:val="clear" w:color="auto" w:fill="FFFFFF"/>
        </w:rPr>
        <w:t xml:space="preserve"> are essential </w:t>
      </w:r>
      <w:r w:rsidR="007A6744" w:rsidRPr="00DE1274">
        <w:rPr>
          <w:color w:val="000000" w:themeColor="text1"/>
          <w:shd w:val="clear" w:color="auto" w:fill="FFFFFF"/>
        </w:rPr>
        <w:t>to ensuring</w:t>
      </w:r>
      <w:r w:rsidR="00994DE1" w:rsidRPr="00DE1274">
        <w:rPr>
          <w:color w:val="000000" w:themeColor="text1"/>
          <w:shd w:val="clear" w:color="auto" w:fill="FFFFFF"/>
        </w:rPr>
        <w:t xml:space="preserve"> that the body maintains its autonomy.</w:t>
      </w:r>
      <w:r w:rsidR="001428E9" w:rsidRPr="001428E9">
        <w:rPr>
          <w:color w:val="000000" w:themeColor="text1"/>
        </w:rPr>
        <w:t xml:space="preserve"> </w:t>
      </w:r>
      <w:r w:rsidR="001428E9">
        <w:rPr>
          <w:color w:val="000000" w:themeColor="text1"/>
        </w:rPr>
        <w:t xml:space="preserve">The Working Group had recommended the establishment of an independent panel comprising five members of “high standing”. While it also considered the establishment of a </w:t>
      </w:r>
      <w:r w:rsidR="001428E9" w:rsidRPr="001428E9">
        <w:rPr>
          <w:color w:val="000000" w:themeColor="text1"/>
        </w:rPr>
        <w:t>Selection Pa</w:t>
      </w:r>
      <w:r w:rsidR="001428E9">
        <w:rPr>
          <w:color w:val="000000" w:themeColor="text1"/>
        </w:rPr>
        <w:t xml:space="preserve">nel by the Public Appointments </w:t>
      </w:r>
      <w:r w:rsidR="001428E9" w:rsidRPr="001428E9">
        <w:rPr>
          <w:color w:val="000000" w:themeColor="text1"/>
        </w:rPr>
        <w:t>Service</w:t>
      </w:r>
      <w:r w:rsidR="001428E9">
        <w:rPr>
          <w:color w:val="000000" w:themeColor="text1"/>
        </w:rPr>
        <w:t xml:space="preserve">, it stated the “disadvantage would be to </w:t>
      </w:r>
      <w:r w:rsidR="001428E9" w:rsidRPr="001428E9">
        <w:rPr>
          <w:color w:val="000000" w:themeColor="text1"/>
        </w:rPr>
        <w:t xml:space="preserve">remove an important element of </w:t>
      </w:r>
      <w:r w:rsidR="001428E9">
        <w:rPr>
          <w:color w:val="000000" w:themeColor="text1"/>
        </w:rPr>
        <w:t xml:space="preserve">democratic accountability from </w:t>
      </w:r>
      <w:r w:rsidR="001428E9" w:rsidRPr="001428E9">
        <w:rPr>
          <w:color w:val="000000" w:themeColor="text1"/>
        </w:rPr>
        <w:t>the decision-making</w:t>
      </w:r>
      <w:r w:rsidR="001428E9">
        <w:rPr>
          <w:color w:val="000000" w:themeColor="text1"/>
        </w:rPr>
        <w:t>”</w:t>
      </w:r>
      <w:r w:rsidR="001428E9" w:rsidRPr="001428E9">
        <w:rPr>
          <w:color w:val="000000" w:themeColor="text1"/>
        </w:rPr>
        <w:t>.</w:t>
      </w:r>
      <w:r w:rsidR="001428E9">
        <w:rPr>
          <w:rStyle w:val="FootnoteReference"/>
          <w:color w:val="000000" w:themeColor="text1"/>
        </w:rPr>
        <w:footnoteReference w:id="2"/>
      </w:r>
      <w:r w:rsidR="0047742F" w:rsidRPr="00DE1274">
        <w:rPr>
          <w:color w:val="000000" w:themeColor="text1"/>
          <w:shd w:val="clear" w:color="auto" w:fill="FFFFFF"/>
        </w:rPr>
        <w:t xml:space="preserve"> In April 2013, the Minister for Justice announced</w:t>
      </w:r>
      <w:r w:rsidR="00743D9F">
        <w:rPr>
          <w:color w:val="000000" w:themeColor="text1"/>
          <w:shd w:val="clear" w:color="auto" w:fill="FFFFFF"/>
        </w:rPr>
        <w:t xml:space="preserve"> the</w:t>
      </w:r>
      <w:r w:rsidR="0047742F" w:rsidRPr="00DE1274">
        <w:rPr>
          <w:color w:val="000000" w:themeColor="text1"/>
          <w:shd w:val="clear" w:color="auto" w:fill="FFFFFF"/>
        </w:rPr>
        <w:t xml:space="preserve"> fourteen members designate of the new body </w:t>
      </w:r>
      <w:r w:rsidR="00643D2C" w:rsidRPr="00DE1274">
        <w:rPr>
          <w:color w:val="000000" w:themeColor="text1"/>
          <w:shd w:val="clear" w:color="auto" w:fill="FFFFFF"/>
        </w:rPr>
        <w:t>recommend</w:t>
      </w:r>
      <w:r w:rsidR="0047742F" w:rsidRPr="00DE1274">
        <w:rPr>
          <w:color w:val="000000" w:themeColor="text1"/>
          <w:shd w:val="clear" w:color="auto" w:fill="FFFFFF"/>
        </w:rPr>
        <w:t xml:space="preserve">ed by </w:t>
      </w:r>
      <w:r w:rsidR="001428E9">
        <w:rPr>
          <w:color w:val="000000" w:themeColor="text1"/>
          <w:shd w:val="clear" w:color="auto" w:fill="FFFFFF"/>
        </w:rPr>
        <w:lastRenderedPageBreak/>
        <w:t>the</w:t>
      </w:r>
      <w:r w:rsidR="0077643D">
        <w:rPr>
          <w:color w:val="000000" w:themeColor="text1"/>
          <w:shd w:val="clear" w:color="auto" w:fill="FFFFFF"/>
        </w:rPr>
        <w:t xml:space="preserve"> Independent Selection Panel.</w:t>
      </w:r>
      <w:r w:rsidR="007A2320">
        <w:rPr>
          <w:rStyle w:val="FootnoteReference"/>
          <w:color w:val="000000" w:themeColor="text1"/>
          <w:shd w:val="clear" w:color="auto" w:fill="FFFFFF"/>
        </w:rPr>
        <w:footnoteReference w:id="3"/>
      </w:r>
      <w:r w:rsidR="00D80CBC">
        <w:rPr>
          <w:color w:val="000000" w:themeColor="text1"/>
          <w:shd w:val="clear" w:color="auto" w:fill="FFFFFF"/>
        </w:rPr>
        <w:t xml:space="preserve"> </w:t>
      </w:r>
      <w:r w:rsidR="0047742F" w:rsidRPr="00DE1274">
        <w:rPr>
          <w:color w:val="000000" w:themeColor="text1"/>
          <w:shd w:val="clear" w:color="auto" w:fill="FFFFFF"/>
        </w:rPr>
        <w:t xml:space="preserve">However, the panel did not </w:t>
      </w:r>
      <w:r w:rsidR="00643D2C" w:rsidRPr="00DE1274">
        <w:rPr>
          <w:color w:val="000000" w:themeColor="text1"/>
          <w:shd w:val="clear" w:color="auto" w:fill="FFFFFF"/>
        </w:rPr>
        <w:t>select</w:t>
      </w:r>
      <w:r w:rsidR="0047742F" w:rsidRPr="00DE1274">
        <w:rPr>
          <w:color w:val="000000" w:themeColor="text1"/>
          <w:shd w:val="clear" w:color="auto" w:fill="FFFFFF"/>
        </w:rPr>
        <w:t xml:space="preserve"> a Chief Commissioner and </w:t>
      </w:r>
      <w:r w:rsidR="00643D2C" w:rsidRPr="00DE1274">
        <w:rPr>
          <w:color w:val="000000" w:themeColor="text1"/>
          <w:shd w:val="clear" w:color="auto" w:fill="FFFFFF"/>
        </w:rPr>
        <w:t xml:space="preserve">the Minister has since signalled his intent that this person will be selected by the Public Appointments Service rather than the existing independent panel. </w:t>
      </w:r>
      <w:r w:rsidR="007A2320">
        <w:rPr>
          <w:color w:val="000000" w:themeColor="text1"/>
          <w:shd w:val="clear" w:color="auto" w:fill="FFFFFF"/>
        </w:rPr>
        <w:t xml:space="preserve">The new members designate appeared before the Joint </w:t>
      </w:r>
      <w:proofErr w:type="spellStart"/>
      <w:r w:rsidR="007A2320">
        <w:rPr>
          <w:color w:val="000000" w:themeColor="text1"/>
          <w:shd w:val="clear" w:color="auto" w:fill="FFFFFF"/>
        </w:rPr>
        <w:t>Oireachtas</w:t>
      </w:r>
      <w:proofErr w:type="spellEnd"/>
      <w:r w:rsidR="007A2320">
        <w:rPr>
          <w:color w:val="000000" w:themeColor="text1"/>
          <w:shd w:val="clear" w:color="auto" w:fill="FFFFFF"/>
        </w:rPr>
        <w:t xml:space="preserve"> Committee in </w:t>
      </w:r>
      <w:r w:rsidR="00A14665">
        <w:rPr>
          <w:color w:val="000000" w:themeColor="text1"/>
          <w:shd w:val="clear" w:color="auto" w:fill="FFFFFF"/>
        </w:rPr>
        <w:t xml:space="preserve">May 2013 and the then Acting Chief Commissioner, Siobhan </w:t>
      </w:r>
      <w:proofErr w:type="spellStart"/>
      <w:r w:rsidR="00A14665">
        <w:rPr>
          <w:color w:val="000000" w:themeColor="text1"/>
          <w:shd w:val="clear" w:color="auto" w:fill="FFFFFF"/>
        </w:rPr>
        <w:t>Mullally</w:t>
      </w:r>
      <w:proofErr w:type="spellEnd"/>
      <w:r w:rsidR="00A14665">
        <w:rPr>
          <w:color w:val="000000" w:themeColor="text1"/>
          <w:shd w:val="clear" w:color="auto" w:fill="FFFFFF"/>
        </w:rPr>
        <w:t xml:space="preserve"> stated in relation to the recruitment of the Chief Commissioner,</w:t>
      </w:r>
    </w:p>
    <w:p w:rsidR="00A14665" w:rsidRDefault="00A14665" w:rsidP="00A14665">
      <w:pPr>
        <w:ind w:left="720"/>
      </w:pPr>
      <w:bookmarkStart w:id="0" w:name="N4"/>
      <w:r w:rsidRPr="00A14665">
        <w:t>We would like to see an independent and transparent process for the recruitment and selection of the commissioner that is fully compliant with powers and principles. That will, of course, be essential to our accreditation as an A-status institution and appearing and, in fact, being fully transparent and independent. We have full confidence in the processes completed to date. Ideally, we would like to see this continuing and being restarted, if possible, without delay because it is essential to progressing all of our work and ensuring we have an effective process</w:t>
      </w:r>
      <w:bookmarkEnd w:id="0"/>
      <w:r>
        <w:t>.</w:t>
      </w:r>
      <w:r>
        <w:rPr>
          <w:rStyle w:val="FootnoteReference"/>
        </w:rPr>
        <w:footnoteReference w:id="4"/>
      </w:r>
    </w:p>
    <w:p w:rsidR="00A14665" w:rsidRPr="00A14665" w:rsidRDefault="00A14665" w:rsidP="00A14665">
      <w:r w:rsidRPr="006868BB">
        <w:t>The UN Principles relating to the Status of National Institutions</w:t>
      </w:r>
      <w:r w:rsidR="006868BB">
        <w:t xml:space="preserve"> (commonly known as the </w:t>
      </w:r>
      <w:r w:rsidR="006868BB" w:rsidRPr="006868BB">
        <w:t>Paris Principles</w:t>
      </w:r>
      <w:r w:rsidR="006868BB">
        <w:t>) require that National Human Rights Institutions be independent and the appointment of its members</w:t>
      </w:r>
      <w:r w:rsidR="006868BB" w:rsidRPr="006868BB">
        <w:t xml:space="preserve"> “shall be established in accordance with a procedure which affords all necessary guarantees to ensure the pluralist representation of the social forces (of civilian society)”</w:t>
      </w:r>
      <w:r w:rsidR="006868BB">
        <w:t>.</w:t>
      </w:r>
      <w:r w:rsidR="006868BB">
        <w:rPr>
          <w:rStyle w:val="FootnoteReference"/>
        </w:rPr>
        <w:footnoteReference w:id="5"/>
      </w:r>
      <w:r w:rsidR="006868BB">
        <w:t xml:space="preserve"> In this context it is not clear that the recruitment of the Chief Commissioner by the Public Appointments Service,</w:t>
      </w:r>
      <w:r w:rsidR="006868BB">
        <w:rPr>
          <w:rStyle w:val="FootnoteReference"/>
        </w:rPr>
        <w:footnoteReference w:id="6"/>
      </w:r>
      <w:r w:rsidR="006868BB">
        <w:t xml:space="preserve"> a body which recruits mainly for the civil or public service, complies with the independent recruitment requirement </w:t>
      </w:r>
      <w:r w:rsidR="00DD0E4A">
        <w:t>under the UN Paris Principles. Given the need for parliamentary scrutiny, t</w:t>
      </w:r>
      <w:r w:rsidR="006868BB">
        <w:t>he Independent Selection Panel</w:t>
      </w:r>
      <w:r w:rsidR="00DD0E4A">
        <w:t xml:space="preserve"> endorsed by the Joint </w:t>
      </w:r>
      <w:proofErr w:type="spellStart"/>
      <w:r w:rsidR="00DD0E4A">
        <w:t>Oireachtas</w:t>
      </w:r>
      <w:proofErr w:type="spellEnd"/>
      <w:r w:rsidR="00DD0E4A">
        <w:t xml:space="preserve"> Committee on Justice, Defence and Equality in September 2012,</w:t>
      </w:r>
      <w:r w:rsidR="00DD0E4A">
        <w:rPr>
          <w:rStyle w:val="FootnoteReference"/>
        </w:rPr>
        <w:footnoteReference w:id="7"/>
      </w:r>
      <w:r w:rsidR="00DD0E4A">
        <w:t xml:space="preserve"> would appear to be the appropriate method of recruitment. </w:t>
      </w:r>
    </w:p>
    <w:p w:rsidR="000D7C04" w:rsidRPr="001428E9" w:rsidRDefault="00643D2C" w:rsidP="001428E9">
      <w:pPr>
        <w:ind w:right="-421"/>
        <w:rPr>
          <w:color w:val="000000" w:themeColor="text1"/>
        </w:rPr>
      </w:pPr>
      <w:r w:rsidRPr="00DE1274">
        <w:rPr>
          <w:color w:val="000000" w:themeColor="text1"/>
          <w:shd w:val="clear" w:color="auto" w:fill="FFFFFF"/>
        </w:rPr>
        <w:t>T</w:t>
      </w:r>
      <w:r w:rsidR="000D7C04" w:rsidRPr="00DE1274">
        <w:rPr>
          <w:color w:val="000000" w:themeColor="text1"/>
          <w:shd w:val="clear" w:color="auto" w:fill="FFFFFF"/>
        </w:rPr>
        <w:t xml:space="preserve">he new Commission should report directly to the </w:t>
      </w:r>
      <w:proofErr w:type="spellStart"/>
      <w:r w:rsidR="000D7C04" w:rsidRPr="00DE1274">
        <w:rPr>
          <w:color w:val="000000" w:themeColor="text1"/>
          <w:shd w:val="clear" w:color="auto" w:fill="FFFFFF"/>
        </w:rPr>
        <w:t>Oireachtas</w:t>
      </w:r>
      <w:proofErr w:type="spellEnd"/>
      <w:r w:rsidR="000D7C04" w:rsidRPr="00DE1274">
        <w:rPr>
          <w:color w:val="000000" w:themeColor="text1"/>
          <w:shd w:val="clear" w:color="auto" w:fill="FFFFFF"/>
        </w:rPr>
        <w:t xml:space="preserve"> to </w:t>
      </w:r>
      <w:r w:rsidRPr="00DE1274">
        <w:rPr>
          <w:color w:val="000000" w:themeColor="text1"/>
          <w:shd w:val="clear" w:color="auto" w:fill="FFFFFF"/>
        </w:rPr>
        <w:t>ensure</w:t>
      </w:r>
      <w:r w:rsidR="000D7C04" w:rsidRPr="00DE1274">
        <w:rPr>
          <w:color w:val="000000" w:themeColor="text1"/>
          <w:shd w:val="clear" w:color="auto" w:fill="FFFFFF"/>
        </w:rPr>
        <w:t xml:space="preserve"> a strong, effective and independent </w:t>
      </w:r>
      <w:r w:rsidR="007A6744" w:rsidRPr="00DE1274">
        <w:rPr>
          <w:color w:val="000000" w:themeColor="text1"/>
          <w:shd w:val="clear" w:color="auto" w:fill="FFFFFF"/>
        </w:rPr>
        <w:t>structure</w:t>
      </w:r>
      <w:r w:rsidR="000D7C04" w:rsidRPr="00DE1274">
        <w:rPr>
          <w:color w:val="000000" w:themeColor="text1"/>
          <w:shd w:val="clear" w:color="auto" w:fill="FFFFFF"/>
        </w:rPr>
        <w:t xml:space="preserve">. Future staff appointments should be made directly by the Commission rather than </w:t>
      </w:r>
      <w:r w:rsidR="007A6744" w:rsidRPr="00DE1274">
        <w:rPr>
          <w:color w:val="000000" w:themeColor="text1"/>
          <w:shd w:val="clear" w:color="auto" w:fill="FFFFFF"/>
        </w:rPr>
        <w:t xml:space="preserve">have </w:t>
      </w:r>
      <w:r w:rsidR="000D7C04" w:rsidRPr="00DE1274">
        <w:rPr>
          <w:color w:val="000000" w:themeColor="text1"/>
          <w:shd w:val="clear" w:color="auto" w:fill="FFFFFF"/>
        </w:rPr>
        <w:t>staff</w:t>
      </w:r>
      <w:r w:rsidR="0077643D">
        <w:rPr>
          <w:color w:val="000000" w:themeColor="text1"/>
          <w:shd w:val="clear" w:color="auto" w:fill="FFFFFF"/>
        </w:rPr>
        <w:t xml:space="preserve"> members</w:t>
      </w:r>
      <w:r w:rsidR="000D7C04" w:rsidRPr="00DE1274">
        <w:rPr>
          <w:color w:val="000000" w:themeColor="text1"/>
          <w:shd w:val="clear" w:color="auto" w:fill="FFFFFF"/>
        </w:rPr>
        <w:t xml:space="preserve"> seconded from government departments.  In order that the body can carry out its work effectively, funding for the new body should be secured through a distinct, multi-annual budget line</w:t>
      </w:r>
      <w:r w:rsidR="007F68B0" w:rsidRPr="00DE1274">
        <w:rPr>
          <w:color w:val="000000" w:themeColor="text1"/>
          <w:shd w:val="clear" w:color="auto" w:fill="FFFFFF"/>
        </w:rPr>
        <w:t>; crucially, the new body</w:t>
      </w:r>
      <w:r w:rsidR="000D7C04" w:rsidRPr="00DE1274">
        <w:rPr>
          <w:color w:val="000000" w:themeColor="text1"/>
          <w:shd w:val="clear" w:color="auto" w:fill="FFFFFF"/>
        </w:rPr>
        <w:t xml:space="preserve"> must be adequately resourced</w:t>
      </w:r>
      <w:r w:rsidR="007F68B0" w:rsidRPr="00DE1274">
        <w:rPr>
          <w:color w:val="000000" w:themeColor="text1"/>
          <w:shd w:val="clear" w:color="auto" w:fill="FFFFFF"/>
        </w:rPr>
        <w:t xml:space="preserve"> if it is to perform its functions</w:t>
      </w:r>
      <w:r w:rsidR="000D7C04" w:rsidRPr="00DE1274">
        <w:rPr>
          <w:color w:val="000000" w:themeColor="text1"/>
          <w:shd w:val="clear" w:color="auto" w:fill="FFFFFF"/>
        </w:rPr>
        <w:t>.</w:t>
      </w:r>
      <w:r w:rsidRPr="00DE1274">
        <w:rPr>
          <w:color w:val="000000" w:themeColor="text1"/>
          <w:shd w:val="clear" w:color="auto" w:fill="FFFFFF"/>
        </w:rPr>
        <w:t xml:space="preserve"> The legislation to establish the new Commission was due to be published before the end of the summer term 2013 but has not yet been brought forward. </w:t>
      </w:r>
    </w:p>
    <w:p w:rsidR="00F346F1" w:rsidRPr="00DE1274" w:rsidRDefault="006567A2" w:rsidP="0096678F">
      <w:pPr>
        <w:ind w:right="-421"/>
        <w:rPr>
          <w:color w:val="000000" w:themeColor="text1"/>
        </w:rPr>
      </w:pPr>
      <w:r w:rsidRPr="00DE1274">
        <w:rPr>
          <w:color w:val="000000" w:themeColor="text1"/>
        </w:rPr>
        <w:lastRenderedPageBreak/>
        <w:t xml:space="preserve">In November 2012, </w:t>
      </w:r>
      <w:r w:rsidR="00F346F1" w:rsidRPr="00DE1274">
        <w:rPr>
          <w:color w:val="000000" w:themeColor="text1"/>
        </w:rPr>
        <w:t>C</w:t>
      </w:r>
      <w:r w:rsidRPr="00DE1274">
        <w:rPr>
          <w:color w:val="000000" w:themeColor="text1"/>
        </w:rPr>
        <w:t>ouncil of Europe C</w:t>
      </w:r>
      <w:r w:rsidR="00F346F1" w:rsidRPr="00DE1274">
        <w:rPr>
          <w:color w:val="000000" w:themeColor="text1"/>
        </w:rPr>
        <w:t>ommissioner for Human Rights Nils</w:t>
      </w:r>
      <w:r w:rsidR="00710AEE" w:rsidRPr="00DE1274">
        <w:rPr>
          <w:color w:val="000000" w:themeColor="text1"/>
        </w:rPr>
        <w:t xml:space="preserve"> </w:t>
      </w:r>
      <w:proofErr w:type="spellStart"/>
      <w:r w:rsidR="001D6E12" w:rsidRPr="00DE1274">
        <w:rPr>
          <w:rFonts w:cs="Arial"/>
          <w:bCs/>
          <w:color w:val="000000" w:themeColor="text1"/>
        </w:rPr>
        <w:t>Muižnieks</w:t>
      </w:r>
      <w:proofErr w:type="spellEnd"/>
      <w:r w:rsidRPr="00DE1274">
        <w:rPr>
          <w:color w:val="000000" w:themeColor="text1"/>
        </w:rPr>
        <w:t>,</w:t>
      </w:r>
      <w:r w:rsidR="00710AEE" w:rsidRPr="00DE1274">
        <w:rPr>
          <w:color w:val="000000" w:themeColor="text1"/>
        </w:rPr>
        <w:t xml:space="preserve"> referred to the new C</w:t>
      </w:r>
      <w:r w:rsidR="00F346F1" w:rsidRPr="00DE1274">
        <w:rPr>
          <w:color w:val="000000" w:themeColor="text1"/>
        </w:rPr>
        <w:t xml:space="preserve">ommission in his correspondence to Minister for Justice, Alan Shatter. </w:t>
      </w:r>
      <w:r w:rsidR="001D6E12" w:rsidRPr="00DE1274">
        <w:rPr>
          <w:color w:val="000000" w:themeColor="text1"/>
        </w:rPr>
        <w:t xml:space="preserve">Commissioner </w:t>
      </w:r>
      <w:proofErr w:type="spellStart"/>
      <w:r w:rsidR="001D6E12" w:rsidRPr="00DE1274">
        <w:rPr>
          <w:rFonts w:cs="Arial"/>
          <w:bCs/>
          <w:color w:val="000000" w:themeColor="text1"/>
        </w:rPr>
        <w:t>Muižnieks</w:t>
      </w:r>
      <w:proofErr w:type="spellEnd"/>
      <w:r w:rsidR="001D6E12" w:rsidRPr="00DE1274" w:rsidDel="001D6E12">
        <w:rPr>
          <w:color w:val="000000" w:themeColor="text1"/>
        </w:rPr>
        <w:t xml:space="preserve"> </w:t>
      </w:r>
      <w:r w:rsidRPr="00DE1274">
        <w:rPr>
          <w:color w:val="000000" w:themeColor="text1"/>
        </w:rPr>
        <w:t xml:space="preserve">noted </w:t>
      </w:r>
      <w:r w:rsidR="00F346F1" w:rsidRPr="00DE1274">
        <w:rPr>
          <w:color w:val="000000" w:themeColor="text1"/>
        </w:rPr>
        <w:t>that the merger of the Irish Human Rights Commission and the Equality Authority will shape the human rights protection system in Ireland for a long time</w:t>
      </w:r>
      <w:r w:rsidRPr="00DE1274">
        <w:rPr>
          <w:color w:val="000000" w:themeColor="text1"/>
        </w:rPr>
        <w:t xml:space="preserve"> and emphasised that</w:t>
      </w:r>
      <w:r w:rsidR="00710AEE" w:rsidRPr="00DE1274">
        <w:rPr>
          <w:color w:val="000000" w:themeColor="text1"/>
        </w:rPr>
        <w:t>,</w:t>
      </w:r>
      <w:r w:rsidR="00F346F1" w:rsidRPr="00DE1274">
        <w:rPr>
          <w:color w:val="000000" w:themeColor="text1"/>
        </w:rPr>
        <w:t xml:space="preserve"> “preserving the accomplishments and </w:t>
      </w:r>
      <w:r w:rsidR="00710AEE" w:rsidRPr="00DE1274">
        <w:rPr>
          <w:color w:val="000000" w:themeColor="text1"/>
        </w:rPr>
        <w:t>high reputation that the Irish Human Rights C</w:t>
      </w:r>
      <w:r w:rsidR="00F346F1" w:rsidRPr="00DE1274">
        <w:rPr>
          <w:color w:val="000000" w:themeColor="text1"/>
        </w:rPr>
        <w:t>ommission and the Equality Authority have earne</w:t>
      </w:r>
      <w:r w:rsidR="004E6F50" w:rsidRPr="00DE1274">
        <w:rPr>
          <w:color w:val="000000" w:themeColor="text1"/>
        </w:rPr>
        <w:t>d at national level and i</w:t>
      </w:r>
      <w:r w:rsidR="00F346F1" w:rsidRPr="00DE1274">
        <w:rPr>
          <w:color w:val="000000" w:themeColor="text1"/>
        </w:rPr>
        <w:t>nternational level is a particularly crucial task.”</w:t>
      </w:r>
      <w:r w:rsidR="00053B7A" w:rsidRPr="00DE1274">
        <w:rPr>
          <w:rStyle w:val="FootnoteReference"/>
          <w:color w:val="000000" w:themeColor="text1"/>
        </w:rPr>
        <w:footnoteReference w:id="8"/>
      </w:r>
    </w:p>
    <w:p w:rsidR="008F7068" w:rsidRPr="00DE1274" w:rsidRDefault="000C58DC" w:rsidP="0096678F">
      <w:pPr>
        <w:ind w:right="-421"/>
        <w:rPr>
          <w:color w:val="000000" w:themeColor="text1"/>
        </w:rPr>
      </w:pPr>
      <w:r w:rsidRPr="00DE1274">
        <w:rPr>
          <w:color w:val="000000" w:themeColor="text1"/>
        </w:rPr>
        <w:t>In line with the recommendation of</w:t>
      </w:r>
      <w:r w:rsidR="004E6F50" w:rsidRPr="00DE1274">
        <w:rPr>
          <w:color w:val="000000" w:themeColor="text1"/>
        </w:rPr>
        <w:t xml:space="preserve"> former</w:t>
      </w:r>
      <w:r w:rsidRPr="00DE1274">
        <w:rPr>
          <w:color w:val="000000" w:themeColor="text1"/>
        </w:rPr>
        <w:t xml:space="preserve"> Council of Europe Commissioner for Human Rights</w:t>
      </w:r>
      <w:r w:rsidR="004E6F50" w:rsidRPr="00DE1274">
        <w:rPr>
          <w:color w:val="000000" w:themeColor="text1"/>
        </w:rPr>
        <w:t xml:space="preserve"> Thomas </w:t>
      </w:r>
      <w:proofErr w:type="spellStart"/>
      <w:r w:rsidR="004E6F50" w:rsidRPr="00DE1274">
        <w:rPr>
          <w:color w:val="000000" w:themeColor="text1"/>
        </w:rPr>
        <w:t>Hammarber</w:t>
      </w:r>
      <w:r w:rsidR="006567A2" w:rsidRPr="00DE1274">
        <w:rPr>
          <w:color w:val="000000" w:themeColor="text1"/>
        </w:rPr>
        <w:t>g</w:t>
      </w:r>
      <w:proofErr w:type="spellEnd"/>
      <w:r w:rsidRPr="00DE1274">
        <w:rPr>
          <w:color w:val="000000" w:themeColor="text1"/>
        </w:rPr>
        <w:t xml:space="preserve">, the new body </w:t>
      </w:r>
      <w:r w:rsidR="0009339A">
        <w:rPr>
          <w:color w:val="000000" w:themeColor="text1"/>
        </w:rPr>
        <w:t>“</w:t>
      </w:r>
      <w:r w:rsidRPr="00DE1274">
        <w:rPr>
          <w:bCs/>
          <w:color w:val="000000" w:themeColor="text1"/>
        </w:rPr>
        <w:t xml:space="preserve">should also take up the mandate of the Combat Poverty Agency and the National Consultative Committee on Racism and </w:t>
      </w:r>
      <w:proofErr w:type="spellStart"/>
      <w:r w:rsidRPr="00DE1274">
        <w:rPr>
          <w:bCs/>
          <w:color w:val="000000" w:themeColor="text1"/>
        </w:rPr>
        <w:t>Interculturalism</w:t>
      </w:r>
      <w:proofErr w:type="spellEnd"/>
      <w:r w:rsidRPr="00DE1274">
        <w:rPr>
          <w:bCs/>
          <w:color w:val="000000" w:themeColor="text1"/>
        </w:rPr>
        <w:t xml:space="preserve"> </w:t>
      </w:r>
      <w:r w:rsidR="0009339A">
        <w:rPr>
          <w:color w:val="000000" w:themeColor="text1"/>
        </w:rPr>
        <w:t>(NCCRI)”</w:t>
      </w:r>
      <w:r w:rsidRPr="00DE1274">
        <w:rPr>
          <w:color w:val="000000" w:themeColor="text1"/>
        </w:rPr>
        <w:t>.</w:t>
      </w:r>
      <w:r w:rsidR="00565A74" w:rsidRPr="00DE1274">
        <w:rPr>
          <w:rStyle w:val="FootnoteReference"/>
          <w:color w:val="000000" w:themeColor="text1"/>
        </w:rPr>
        <w:footnoteReference w:id="9"/>
      </w:r>
      <w:r w:rsidRPr="00DE1274">
        <w:rPr>
          <w:color w:val="000000" w:themeColor="text1"/>
        </w:rPr>
        <w:t xml:space="preserve"> The NCCRI was closed in December 2008 and no similar body has assumed its responsibilities. While the Combat Poverty Agency was abolished in July 2009</w:t>
      </w:r>
      <w:r w:rsidR="007F68B0" w:rsidRPr="00DE1274">
        <w:rPr>
          <w:color w:val="000000" w:themeColor="text1"/>
        </w:rPr>
        <w:t>,</w:t>
      </w:r>
      <w:r w:rsidRPr="00DE1274">
        <w:rPr>
          <w:color w:val="000000" w:themeColor="text1"/>
        </w:rPr>
        <w:t xml:space="preserve"> some of its functions were </w:t>
      </w:r>
      <w:r w:rsidR="007F68B0" w:rsidRPr="00DE1274">
        <w:rPr>
          <w:color w:val="000000" w:themeColor="text1"/>
        </w:rPr>
        <w:t xml:space="preserve">subsequently </w:t>
      </w:r>
      <w:r w:rsidRPr="00DE1274">
        <w:rPr>
          <w:color w:val="000000" w:themeColor="text1"/>
        </w:rPr>
        <w:t>integrated into the Social Inclusion Division of the Department of Social Protection. However,</w:t>
      </w:r>
      <w:r w:rsidR="00C07E0D" w:rsidRPr="00DE1274">
        <w:rPr>
          <w:color w:val="000000" w:themeColor="text1"/>
        </w:rPr>
        <w:t xml:space="preserve"> this is no substitute for a stand-alone body, which was seen to provide independent critiques of government policy.</w:t>
      </w:r>
    </w:p>
    <w:p w:rsidR="001647F6" w:rsidRPr="00DE1274" w:rsidRDefault="008F7068" w:rsidP="0096678F">
      <w:pPr>
        <w:ind w:right="-421"/>
        <w:rPr>
          <w:color w:val="000000" w:themeColor="text1"/>
          <w:shd w:val="clear" w:color="auto" w:fill="FFFFFF"/>
        </w:rPr>
      </w:pPr>
      <w:r w:rsidRPr="00DE1274">
        <w:rPr>
          <w:color w:val="000000" w:themeColor="text1"/>
        </w:rPr>
        <w:t xml:space="preserve">There are also serious concerns about the proposed merging of the Equality Tribunal into the proposed new Workplace Relations Commission. The “Blueprint” for this body </w:t>
      </w:r>
      <w:r w:rsidR="0096678F" w:rsidRPr="00DE1274">
        <w:rPr>
          <w:color w:val="000000" w:themeColor="text1"/>
        </w:rPr>
        <w:t xml:space="preserve">contains no reference to the role of the Equality Tribunal in dealing with claims of discrimination in the supply of goods and services and it is unclear how the new body will deal with employment equality cases. </w:t>
      </w:r>
    </w:p>
    <w:p w:rsidR="007F68B0" w:rsidRPr="00DE1274" w:rsidRDefault="008214E5" w:rsidP="0096678F">
      <w:pPr>
        <w:spacing w:after="0"/>
        <w:ind w:left="720" w:right="-421"/>
        <w:rPr>
          <w:b/>
          <w:i/>
          <w:color w:val="000000" w:themeColor="text1"/>
          <w:sz w:val="4"/>
          <w:szCs w:val="4"/>
          <w:shd w:val="clear" w:color="auto" w:fill="FFFFFF"/>
        </w:rPr>
      </w:pPr>
      <w:r w:rsidRPr="00DE1274">
        <w:rPr>
          <w:b/>
          <w:i/>
          <w:color w:val="000000" w:themeColor="text1"/>
          <w:shd w:val="clear" w:color="auto" w:fill="FFFFFF"/>
        </w:rPr>
        <w:t xml:space="preserve">Recommendations: </w:t>
      </w:r>
      <w:r w:rsidR="007F68B0" w:rsidRPr="00DE1274">
        <w:rPr>
          <w:b/>
          <w:i/>
          <w:color w:val="000000" w:themeColor="text1"/>
          <w:shd w:val="clear" w:color="auto" w:fill="FFFFFF"/>
        </w:rPr>
        <w:br/>
      </w:r>
    </w:p>
    <w:p w:rsidR="008214E5" w:rsidRPr="00DE1274" w:rsidRDefault="008214E5" w:rsidP="0096678F">
      <w:pPr>
        <w:pStyle w:val="ListParagraph"/>
        <w:numPr>
          <w:ilvl w:val="0"/>
          <w:numId w:val="10"/>
        </w:numPr>
        <w:ind w:right="-421"/>
        <w:rPr>
          <w:b/>
          <w:i/>
          <w:color w:val="000000" w:themeColor="text1"/>
          <w:shd w:val="clear" w:color="auto" w:fill="FFFFFF"/>
        </w:rPr>
      </w:pPr>
      <w:r w:rsidRPr="00DE1274">
        <w:rPr>
          <w:b/>
          <w:i/>
          <w:color w:val="000000" w:themeColor="text1"/>
          <w:shd w:val="clear" w:color="auto" w:fill="FFFFFF"/>
        </w:rPr>
        <w:t xml:space="preserve">The ICCPR should be incorporated </w:t>
      </w:r>
      <w:r w:rsidR="00C07E0D" w:rsidRPr="00DE1274">
        <w:rPr>
          <w:b/>
          <w:i/>
          <w:color w:val="000000" w:themeColor="text1"/>
          <w:shd w:val="clear" w:color="auto" w:fill="FFFFFF"/>
        </w:rPr>
        <w:t xml:space="preserve">into domestic law </w:t>
      </w:r>
      <w:r w:rsidR="006D7586" w:rsidRPr="00DE1274">
        <w:rPr>
          <w:b/>
          <w:i/>
          <w:color w:val="000000" w:themeColor="text1"/>
          <w:shd w:val="clear" w:color="auto" w:fill="FFFFFF"/>
        </w:rPr>
        <w:t>to ensure that the rights enshrined in the Covenant are given full effect.</w:t>
      </w:r>
    </w:p>
    <w:p w:rsidR="00FF1C27" w:rsidRDefault="006D7586" w:rsidP="0096678F">
      <w:pPr>
        <w:pStyle w:val="ListParagraph"/>
        <w:numPr>
          <w:ilvl w:val="0"/>
          <w:numId w:val="10"/>
        </w:numPr>
        <w:ind w:right="-421"/>
        <w:rPr>
          <w:b/>
          <w:i/>
          <w:color w:val="000000" w:themeColor="text1"/>
          <w:shd w:val="clear" w:color="auto" w:fill="FFFFFF"/>
        </w:rPr>
      </w:pPr>
      <w:r w:rsidRPr="00DE1274">
        <w:rPr>
          <w:b/>
          <w:i/>
          <w:color w:val="000000" w:themeColor="text1"/>
          <w:shd w:val="clear" w:color="auto" w:fill="FFFFFF"/>
        </w:rPr>
        <w:t>The</w:t>
      </w:r>
      <w:r w:rsidR="00C07E0D" w:rsidRPr="00DE1274">
        <w:rPr>
          <w:b/>
          <w:i/>
          <w:color w:val="000000" w:themeColor="text1"/>
          <w:shd w:val="clear" w:color="auto" w:fill="FFFFFF"/>
        </w:rPr>
        <w:t xml:space="preserve"> new</w:t>
      </w:r>
      <w:r w:rsidRPr="00DE1274">
        <w:rPr>
          <w:b/>
          <w:i/>
          <w:color w:val="000000" w:themeColor="text1"/>
          <w:shd w:val="clear" w:color="auto" w:fill="FFFFFF"/>
        </w:rPr>
        <w:t xml:space="preserve"> Irish Human Rights and Equality Commission should be a robust, independent and effective body which should be able to provide representation for individuals or organisations in appropriate </w:t>
      </w:r>
      <w:proofErr w:type="gramStart"/>
      <w:r w:rsidRPr="00DE1274">
        <w:rPr>
          <w:b/>
          <w:i/>
          <w:color w:val="000000" w:themeColor="text1"/>
          <w:shd w:val="clear" w:color="auto" w:fill="FFFFFF"/>
        </w:rPr>
        <w:t>cases,</w:t>
      </w:r>
      <w:proofErr w:type="gramEnd"/>
      <w:r w:rsidRPr="00DE1274">
        <w:rPr>
          <w:b/>
          <w:i/>
          <w:color w:val="000000" w:themeColor="text1"/>
          <w:shd w:val="clear" w:color="auto" w:fill="FFFFFF"/>
        </w:rPr>
        <w:t xml:space="preserve"> bring legal proceedings if necessary and intervene as amicus curiae in relevant cases. </w:t>
      </w:r>
    </w:p>
    <w:p w:rsidR="00DD0E4A" w:rsidRPr="00DE1274" w:rsidRDefault="00DD0E4A" w:rsidP="0096678F">
      <w:pPr>
        <w:pStyle w:val="ListParagraph"/>
        <w:numPr>
          <w:ilvl w:val="0"/>
          <w:numId w:val="10"/>
        </w:numPr>
        <w:ind w:right="-421"/>
        <w:rPr>
          <w:b/>
          <w:i/>
          <w:color w:val="000000" w:themeColor="text1"/>
          <w:shd w:val="clear" w:color="auto" w:fill="FFFFFF"/>
        </w:rPr>
      </w:pPr>
      <w:r>
        <w:rPr>
          <w:b/>
          <w:i/>
          <w:color w:val="000000" w:themeColor="text1"/>
          <w:shd w:val="clear" w:color="auto" w:fill="FFFFFF"/>
        </w:rPr>
        <w:t xml:space="preserve">The recruitment of </w:t>
      </w:r>
      <w:proofErr w:type="gramStart"/>
      <w:r>
        <w:rPr>
          <w:b/>
          <w:i/>
          <w:color w:val="000000" w:themeColor="text1"/>
          <w:shd w:val="clear" w:color="auto" w:fill="FFFFFF"/>
        </w:rPr>
        <w:t>the  Chief</w:t>
      </w:r>
      <w:proofErr w:type="gramEnd"/>
      <w:r>
        <w:rPr>
          <w:b/>
          <w:i/>
          <w:color w:val="000000" w:themeColor="text1"/>
          <w:shd w:val="clear" w:color="auto" w:fill="FFFFFF"/>
        </w:rPr>
        <w:t xml:space="preserve"> Commissioner should be carried out in accordance with the UN Paris Principles. </w:t>
      </w:r>
    </w:p>
    <w:p w:rsidR="00FF1C27" w:rsidRPr="00DE1274" w:rsidRDefault="006D7586" w:rsidP="0096678F">
      <w:pPr>
        <w:pStyle w:val="ListParagraph"/>
        <w:numPr>
          <w:ilvl w:val="0"/>
          <w:numId w:val="10"/>
        </w:numPr>
        <w:ind w:right="-421"/>
        <w:rPr>
          <w:b/>
          <w:i/>
          <w:color w:val="000000" w:themeColor="text1"/>
          <w:shd w:val="clear" w:color="auto" w:fill="FFFFFF"/>
        </w:rPr>
      </w:pPr>
      <w:r w:rsidRPr="00DE1274">
        <w:rPr>
          <w:b/>
          <w:i/>
          <w:color w:val="000000" w:themeColor="text1"/>
          <w:shd w:val="clear" w:color="auto" w:fill="FFFFFF"/>
        </w:rPr>
        <w:t>The new body should include the mandate of the Combat Poverty Agency and the NCCRI</w:t>
      </w:r>
      <w:r w:rsidR="007E0BE2" w:rsidRPr="00DE1274">
        <w:rPr>
          <w:b/>
          <w:i/>
          <w:color w:val="000000" w:themeColor="text1"/>
          <w:shd w:val="clear" w:color="auto" w:fill="FFFFFF"/>
        </w:rPr>
        <w:t xml:space="preserve"> as well as protecting the rights incorporated in the Equal Status Acts</w:t>
      </w:r>
      <w:r w:rsidRPr="00DE1274">
        <w:rPr>
          <w:b/>
          <w:i/>
          <w:color w:val="000000" w:themeColor="text1"/>
          <w:shd w:val="clear" w:color="auto" w:fill="FFFFFF"/>
        </w:rPr>
        <w:t xml:space="preserve">. </w:t>
      </w:r>
    </w:p>
    <w:p w:rsidR="006D7586" w:rsidRPr="00DE1274" w:rsidRDefault="006D7586" w:rsidP="0096678F">
      <w:pPr>
        <w:pStyle w:val="ListParagraph"/>
        <w:numPr>
          <w:ilvl w:val="0"/>
          <w:numId w:val="10"/>
        </w:numPr>
        <w:ind w:right="-421"/>
        <w:rPr>
          <w:b/>
          <w:i/>
          <w:color w:val="000000" w:themeColor="text1"/>
          <w:shd w:val="clear" w:color="auto" w:fill="FFFFFF"/>
        </w:rPr>
      </w:pPr>
      <w:r w:rsidRPr="00DE1274">
        <w:rPr>
          <w:b/>
          <w:i/>
          <w:color w:val="000000" w:themeColor="text1"/>
          <w:shd w:val="clear" w:color="auto" w:fill="FFFFFF"/>
        </w:rPr>
        <w:t>Adequate resources should be provided for the effective working of the new body.</w:t>
      </w:r>
    </w:p>
    <w:p w:rsidR="00C9798B" w:rsidRPr="00DE1274" w:rsidRDefault="00A916D5" w:rsidP="0096678F">
      <w:pPr>
        <w:ind w:right="-421"/>
        <w:rPr>
          <w:b/>
          <w:color w:val="000000" w:themeColor="text1"/>
          <w:shd w:val="clear" w:color="auto" w:fill="FFFFFF"/>
        </w:rPr>
      </w:pPr>
      <w:r w:rsidRPr="00DE1274">
        <w:rPr>
          <w:b/>
          <w:color w:val="000000" w:themeColor="text1"/>
          <w:shd w:val="clear" w:color="auto" w:fill="FFFFFF"/>
        </w:rPr>
        <w:t>Article 3</w:t>
      </w:r>
      <w:r w:rsidR="007F68B0" w:rsidRPr="00DE1274">
        <w:rPr>
          <w:b/>
          <w:color w:val="000000" w:themeColor="text1"/>
          <w:shd w:val="clear" w:color="auto" w:fill="FFFFFF"/>
        </w:rPr>
        <w:t>:</w:t>
      </w:r>
      <w:r w:rsidR="00B36FED" w:rsidRPr="00DE1274">
        <w:rPr>
          <w:b/>
          <w:color w:val="000000" w:themeColor="text1"/>
          <w:shd w:val="clear" w:color="auto" w:fill="FFFFFF"/>
        </w:rPr>
        <w:t xml:space="preserve"> </w:t>
      </w:r>
      <w:r w:rsidRPr="00DE1274">
        <w:rPr>
          <w:b/>
          <w:color w:val="000000" w:themeColor="text1"/>
          <w:shd w:val="clear" w:color="auto" w:fill="FFFFFF"/>
        </w:rPr>
        <w:t xml:space="preserve">The </w:t>
      </w:r>
      <w:r w:rsidR="009F25F4" w:rsidRPr="00DE1274">
        <w:rPr>
          <w:b/>
          <w:color w:val="000000" w:themeColor="text1"/>
          <w:shd w:val="clear" w:color="auto" w:fill="FFFFFF"/>
        </w:rPr>
        <w:t>equal r</w:t>
      </w:r>
      <w:r w:rsidRPr="00DE1274">
        <w:rPr>
          <w:b/>
          <w:color w:val="000000" w:themeColor="text1"/>
          <w:shd w:val="clear" w:color="auto" w:fill="FFFFFF"/>
        </w:rPr>
        <w:t xml:space="preserve">ight of </w:t>
      </w:r>
      <w:r w:rsidR="007F68B0" w:rsidRPr="00DE1274">
        <w:rPr>
          <w:b/>
          <w:color w:val="000000" w:themeColor="text1"/>
          <w:shd w:val="clear" w:color="auto" w:fill="FFFFFF"/>
        </w:rPr>
        <w:t>m</w:t>
      </w:r>
      <w:r w:rsidRPr="00DE1274">
        <w:rPr>
          <w:b/>
          <w:color w:val="000000" w:themeColor="text1"/>
          <w:shd w:val="clear" w:color="auto" w:fill="FFFFFF"/>
        </w:rPr>
        <w:t xml:space="preserve">en and </w:t>
      </w:r>
      <w:r w:rsidR="007F68B0" w:rsidRPr="00DE1274">
        <w:rPr>
          <w:b/>
          <w:color w:val="000000" w:themeColor="text1"/>
          <w:shd w:val="clear" w:color="auto" w:fill="FFFFFF"/>
        </w:rPr>
        <w:t>w</w:t>
      </w:r>
      <w:r w:rsidRPr="00DE1274">
        <w:rPr>
          <w:b/>
          <w:color w:val="000000" w:themeColor="text1"/>
          <w:shd w:val="clear" w:color="auto" w:fill="FFFFFF"/>
        </w:rPr>
        <w:t xml:space="preserve">omen to the </w:t>
      </w:r>
      <w:r w:rsidR="007F68B0" w:rsidRPr="00DE1274">
        <w:rPr>
          <w:b/>
          <w:color w:val="000000" w:themeColor="text1"/>
          <w:shd w:val="clear" w:color="auto" w:fill="FFFFFF"/>
        </w:rPr>
        <w:t>e</w:t>
      </w:r>
      <w:r w:rsidRPr="00DE1274">
        <w:rPr>
          <w:b/>
          <w:color w:val="000000" w:themeColor="text1"/>
          <w:shd w:val="clear" w:color="auto" w:fill="FFFFFF"/>
        </w:rPr>
        <w:t xml:space="preserve">njoyment of all </w:t>
      </w:r>
      <w:r w:rsidR="007F68B0" w:rsidRPr="00DE1274">
        <w:rPr>
          <w:b/>
          <w:color w:val="000000" w:themeColor="text1"/>
          <w:shd w:val="clear" w:color="auto" w:fill="FFFFFF"/>
        </w:rPr>
        <w:t>c</w:t>
      </w:r>
      <w:r w:rsidRPr="00DE1274">
        <w:rPr>
          <w:b/>
          <w:color w:val="000000" w:themeColor="text1"/>
          <w:shd w:val="clear" w:color="auto" w:fill="FFFFFF"/>
        </w:rPr>
        <w:t xml:space="preserve">ivil and </w:t>
      </w:r>
      <w:r w:rsidR="007F68B0" w:rsidRPr="00DE1274">
        <w:rPr>
          <w:b/>
          <w:color w:val="000000" w:themeColor="text1"/>
          <w:shd w:val="clear" w:color="auto" w:fill="FFFFFF"/>
        </w:rPr>
        <w:t>p</w:t>
      </w:r>
      <w:r w:rsidRPr="00DE1274">
        <w:rPr>
          <w:b/>
          <w:color w:val="000000" w:themeColor="text1"/>
          <w:shd w:val="clear" w:color="auto" w:fill="FFFFFF"/>
        </w:rPr>
        <w:t xml:space="preserve">olitical </w:t>
      </w:r>
      <w:r w:rsidR="007F68B0" w:rsidRPr="00DE1274">
        <w:rPr>
          <w:b/>
          <w:color w:val="000000" w:themeColor="text1"/>
          <w:shd w:val="clear" w:color="auto" w:fill="FFFFFF"/>
        </w:rPr>
        <w:t>r</w:t>
      </w:r>
      <w:r w:rsidRPr="00DE1274">
        <w:rPr>
          <w:b/>
          <w:color w:val="000000" w:themeColor="text1"/>
          <w:shd w:val="clear" w:color="auto" w:fill="FFFFFF"/>
        </w:rPr>
        <w:t xml:space="preserve">ights </w:t>
      </w:r>
    </w:p>
    <w:p w:rsidR="00F346F1" w:rsidRPr="00DE1274" w:rsidRDefault="00A916D5" w:rsidP="00DE1274">
      <w:pPr>
        <w:spacing w:after="0"/>
        <w:ind w:right="-421"/>
        <w:rPr>
          <w:color w:val="000000" w:themeColor="text1"/>
          <w:shd w:val="clear" w:color="auto" w:fill="FFFFFF"/>
        </w:rPr>
      </w:pPr>
      <w:r w:rsidRPr="00DE1274">
        <w:rPr>
          <w:color w:val="000000" w:themeColor="text1"/>
          <w:shd w:val="clear" w:color="auto" w:fill="FFFFFF"/>
        </w:rPr>
        <w:t xml:space="preserve">The State’s report refers to the </w:t>
      </w:r>
      <w:r w:rsidRPr="00DE1274">
        <w:rPr>
          <w:i/>
          <w:color w:val="000000" w:themeColor="text1"/>
          <w:shd w:val="clear" w:color="auto" w:fill="FFFFFF"/>
        </w:rPr>
        <w:t>National Strategy on Domestic, Sexual and Gender-based Violence 2010-2014</w:t>
      </w:r>
      <w:r w:rsidRPr="00DE1274">
        <w:rPr>
          <w:color w:val="000000" w:themeColor="text1"/>
          <w:shd w:val="clear" w:color="auto" w:fill="FFFFFF"/>
        </w:rPr>
        <w:t xml:space="preserve"> and specifically refers at page 46 to “secondary intervention... by ensuring better provision of ser</w:t>
      </w:r>
      <w:r w:rsidR="00C9798B" w:rsidRPr="00DE1274">
        <w:rPr>
          <w:color w:val="000000" w:themeColor="text1"/>
          <w:shd w:val="clear" w:color="auto" w:fill="FFFFFF"/>
        </w:rPr>
        <w:t>vices to and protection for vic</w:t>
      </w:r>
      <w:r w:rsidRPr="00DE1274">
        <w:rPr>
          <w:color w:val="000000" w:themeColor="text1"/>
          <w:shd w:val="clear" w:color="auto" w:fill="FFFFFF"/>
        </w:rPr>
        <w:t>tims”. However, the impact of th</w:t>
      </w:r>
      <w:r w:rsidR="00C9798B" w:rsidRPr="00DE1274">
        <w:rPr>
          <w:color w:val="000000" w:themeColor="text1"/>
          <w:shd w:val="clear" w:color="auto" w:fill="FFFFFF"/>
        </w:rPr>
        <w:t xml:space="preserve">e Habitual Residence Condition (HRC) on non-Irish </w:t>
      </w:r>
      <w:r w:rsidR="003665A5">
        <w:rPr>
          <w:color w:val="000000" w:themeColor="text1"/>
          <w:shd w:val="clear" w:color="auto" w:fill="FFFFFF"/>
        </w:rPr>
        <w:t>women and men</w:t>
      </w:r>
      <w:r w:rsidR="00C9798B" w:rsidRPr="00DE1274">
        <w:rPr>
          <w:color w:val="000000" w:themeColor="text1"/>
          <w:shd w:val="clear" w:color="auto" w:fill="FFFFFF"/>
        </w:rPr>
        <w:t xml:space="preserve"> whose </w:t>
      </w:r>
      <w:r w:rsidR="00C9798B" w:rsidRPr="00DE1274">
        <w:rPr>
          <w:color w:val="000000" w:themeColor="text1"/>
          <w:shd w:val="clear" w:color="auto" w:fill="FFFFFF"/>
        </w:rPr>
        <w:lastRenderedPageBreak/>
        <w:t xml:space="preserve">immigration status is linked to that of their partner has meant that it may be difficult for these </w:t>
      </w:r>
      <w:r w:rsidR="003665A5">
        <w:rPr>
          <w:color w:val="000000" w:themeColor="text1"/>
          <w:shd w:val="clear" w:color="auto" w:fill="FFFFFF"/>
        </w:rPr>
        <w:t>people</w:t>
      </w:r>
      <w:r w:rsidR="00C9798B" w:rsidRPr="00DE1274">
        <w:rPr>
          <w:color w:val="000000" w:themeColor="text1"/>
          <w:shd w:val="clear" w:color="auto" w:fill="FFFFFF"/>
        </w:rPr>
        <w:t xml:space="preserve"> to flee a situation of domestic violence and access support services. A victim of domestic violence may not be able to access a social welfare payment due to the rigid application of the HRC which in turn means it is often not possible to access support services which are contingent on a person being eligible for a </w:t>
      </w:r>
      <w:r w:rsidR="008E67A0" w:rsidRPr="00DE1274">
        <w:rPr>
          <w:color w:val="000000" w:themeColor="text1"/>
          <w:shd w:val="clear" w:color="auto" w:fill="FFFFFF"/>
        </w:rPr>
        <w:t xml:space="preserve">social welfare </w:t>
      </w:r>
      <w:r w:rsidR="00C9798B" w:rsidRPr="00DE1274">
        <w:rPr>
          <w:color w:val="000000" w:themeColor="text1"/>
          <w:shd w:val="clear" w:color="auto" w:fill="FFFFFF"/>
        </w:rPr>
        <w:t>payment.</w:t>
      </w:r>
      <w:r w:rsidR="00C9798B" w:rsidRPr="00DE1274">
        <w:rPr>
          <w:rStyle w:val="FootnoteReference"/>
          <w:color w:val="000000" w:themeColor="text1"/>
          <w:shd w:val="clear" w:color="auto" w:fill="FFFFFF"/>
        </w:rPr>
        <w:footnoteReference w:id="10"/>
      </w:r>
    </w:p>
    <w:p w:rsidR="00637FC6" w:rsidRPr="00DE1274" w:rsidRDefault="00637FC6" w:rsidP="0096678F">
      <w:pPr>
        <w:spacing w:after="0"/>
        <w:ind w:left="720" w:right="-421"/>
        <w:rPr>
          <w:color w:val="000000" w:themeColor="text1"/>
          <w:shd w:val="clear" w:color="auto" w:fill="FFFFFF"/>
        </w:rPr>
      </w:pPr>
    </w:p>
    <w:p w:rsidR="0096678F" w:rsidRPr="00DE1274" w:rsidRDefault="00637FC6" w:rsidP="00DE1274">
      <w:pPr>
        <w:spacing w:after="0"/>
        <w:ind w:right="-421"/>
        <w:rPr>
          <w:color w:val="000000" w:themeColor="text1"/>
          <w:shd w:val="clear" w:color="auto" w:fill="FFFFFF"/>
        </w:rPr>
      </w:pPr>
      <w:r w:rsidRPr="00DE1274">
        <w:rPr>
          <w:color w:val="000000" w:themeColor="text1"/>
          <w:shd w:val="clear" w:color="auto" w:fill="FFFFFF"/>
        </w:rPr>
        <w:t>Since the publication of the State’s fourth report under the ICCPR, t</w:t>
      </w:r>
      <w:r w:rsidR="00F346F1" w:rsidRPr="00DE1274">
        <w:rPr>
          <w:color w:val="000000" w:themeColor="text1"/>
          <w:shd w:val="clear" w:color="auto" w:fill="FFFFFF"/>
        </w:rPr>
        <w:t>he European Commission against Racism and Intolerance</w:t>
      </w:r>
      <w:r w:rsidR="006209C6" w:rsidRPr="00DE1274">
        <w:rPr>
          <w:color w:val="000000" w:themeColor="text1"/>
          <w:shd w:val="clear" w:color="auto" w:fill="FFFFFF"/>
        </w:rPr>
        <w:t xml:space="preserve"> (ECRI) </w:t>
      </w:r>
      <w:r w:rsidRPr="00DE1274">
        <w:rPr>
          <w:color w:val="000000" w:themeColor="text1"/>
          <w:shd w:val="clear" w:color="auto" w:fill="FFFFFF"/>
        </w:rPr>
        <w:t xml:space="preserve">issued its fourth </w:t>
      </w:r>
      <w:r w:rsidR="006209C6" w:rsidRPr="00DE1274">
        <w:rPr>
          <w:color w:val="000000" w:themeColor="text1"/>
          <w:shd w:val="clear" w:color="auto" w:fill="FFFFFF"/>
        </w:rPr>
        <w:t xml:space="preserve">report on Ireland </w:t>
      </w:r>
      <w:r w:rsidRPr="00DE1274">
        <w:rPr>
          <w:color w:val="000000" w:themeColor="text1"/>
          <w:shd w:val="clear" w:color="auto" w:fill="FFFFFF"/>
        </w:rPr>
        <w:t xml:space="preserve">which </w:t>
      </w:r>
      <w:r w:rsidR="006209C6" w:rsidRPr="00DE1274">
        <w:rPr>
          <w:color w:val="000000" w:themeColor="text1"/>
          <w:shd w:val="clear" w:color="auto" w:fill="FFFFFF"/>
        </w:rPr>
        <w:t xml:space="preserve">recommended the publication of decisions on HRC. ECRI considers it necessary to have access to previous decisions of the Social Welfare Appeals Office because the guidelines for </w:t>
      </w:r>
      <w:r w:rsidRPr="00DE1274">
        <w:rPr>
          <w:color w:val="000000" w:themeColor="text1"/>
          <w:shd w:val="clear" w:color="auto" w:fill="FFFFFF"/>
        </w:rPr>
        <w:t>D</w:t>
      </w:r>
      <w:r w:rsidR="006209C6" w:rsidRPr="00DE1274">
        <w:rPr>
          <w:color w:val="000000" w:themeColor="text1"/>
          <w:shd w:val="clear" w:color="auto" w:fill="FFFFFF"/>
        </w:rPr>
        <w:t xml:space="preserve">eciding </w:t>
      </w:r>
      <w:r w:rsidRPr="00DE1274">
        <w:rPr>
          <w:color w:val="000000" w:themeColor="text1"/>
          <w:shd w:val="clear" w:color="auto" w:fill="FFFFFF"/>
        </w:rPr>
        <w:t>O</w:t>
      </w:r>
      <w:r w:rsidR="006209C6" w:rsidRPr="00DE1274">
        <w:rPr>
          <w:color w:val="000000" w:themeColor="text1"/>
          <w:shd w:val="clear" w:color="auto" w:fill="FFFFFF"/>
        </w:rPr>
        <w:t xml:space="preserve">fficers are complicated and difficult to understand. It further noted that the Social Welfare Appeals Office does not publish its decisions on a systematic </w:t>
      </w:r>
      <w:r w:rsidR="00BD0BB5" w:rsidRPr="00DE1274">
        <w:rPr>
          <w:color w:val="000000" w:themeColor="text1"/>
          <w:shd w:val="clear" w:color="auto" w:fill="FFFFFF"/>
        </w:rPr>
        <w:t>basis;</w:t>
      </w:r>
      <w:r w:rsidR="006209C6" w:rsidRPr="00DE1274">
        <w:rPr>
          <w:color w:val="000000" w:themeColor="text1"/>
          <w:shd w:val="clear" w:color="auto" w:fill="FFFFFF"/>
        </w:rPr>
        <w:t xml:space="preserve"> therefore it is not clear how representative these cases are</w:t>
      </w:r>
      <w:r w:rsidRPr="00DE1274">
        <w:rPr>
          <w:color w:val="000000" w:themeColor="text1"/>
          <w:shd w:val="clear" w:color="auto" w:fill="FFFFFF"/>
        </w:rPr>
        <w:t xml:space="preserve"> in the wider context</w:t>
      </w:r>
      <w:r w:rsidR="006209C6" w:rsidRPr="00DE1274">
        <w:rPr>
          <w:color w:val="000000" w:themeColor="text1"/>
          <w:shd w:val="clear" w:color="auto" w:fill="FFFFFF"/>
        </w:rPr>
        <w:t xml:space="preserve">. It is ECRI’s view that </w:t>
      </w:r>
      <w:r w:rsidR="00BD0BB5" w:rsidRPr="00DE1274">
        <w:rPr>
          <w:color w:val="000000" w:themeColor="text1"/>
          <w:shd w:val="clear" w:color="auto" w:fill="FFFFFF"/>
        </w:rPr>
        <w:t>a much larger number of decisions need to be published regularly for applicants to know how the HRC may apply to their cases.</w:t>
      </w:r>
      <w:r w:rsidR="00053B7A" w:rsidRPr="00DE1274">
        <w:rPr>
          <w:rStyle w:val="FootnoteReference"/>
          <w:color w:val="000000" w:themeColor="text1"/>
          <w:shd w:val="clear" w:color="auto" w:fill="FFFFFF"/>
        </w:rPr>
        <w:footnoteReference w:id="11"/>
      </w:r>
      <w:r w:rsidR="00BD0BB5" w:rsidRPr="00DE1274">
        <w:rPr>
          <w:color w:val="000000" w:themeColor="text1"/>
          <w:shd w:val="clear" w:color="auto" w:fill="FFFFFF"/>
        </w:rPr>
        <w:t xml:space="preserve"> </w:t>
      </w:r>
    </w:p>
    <w:p w:rsidR="0096678F" w:rsidRPr="00DE1274" w:rsidRDefault="0096678F" w:rsidP="000B664A">
      <w:pPr>
        <w:spacing w:after="0"/>
        <w:ind w:right="-421"/>
        <w:rPr>
          <w:b/>
          <w:i/>
          <w:color w:val="000000" w:themeColor="text1"/>
          <w:sz w:val="14"/>
          <w:szCs w:val="14"/>
          <w:shd w:val="clear" w:color="auto" w:fill="FFFFFF"/>
        </w:rPr>
      </w:pPr>
    </w:p>
    <w:p w:rsidR="007F68B0" w:rsidRPr="00DE1274" w:rsidRDefault="008E67A0" w:rsidP="0096678F">
      <w:pPr>
        <w:spacing w:after="0"/>
        <w:ind w:left="720" w:right="-421"/>
        <w:rPr>
          <w:b/>
          <w:i/>
          <w:color w:val="000000" w:themeColor="text1"/>
          <w:shd w:val="clear" w:color="auto" w:fill="FFFFFF"/>
        </w:rPr>
      </w:pPr>
      <w:r w:rsidRPr="00DE1274">
        <w:rPr>
          <w:b/>
          <w:i/>
          <w:color w:val="000000" w:themeColor="text1"/>
          <w:shd w:val="clear" w:color="auto" w:fill="FFFFFF"/>
        </w:rPr>
        <w:t xml:space="preserve">Recommendation: </w:t>
      </w:r>
    </w:p>
    <w:p w:rsidR="003665A5" w:rsidRPr="003665A5" w:rsidRDefault="008E67A0" w:rsidP="003665A5">
      <w:pPr>
        <w:pStyle w:val="ListParagraph"/>
        <w:numPr>
          <w:ilvl w:val="0"/>
          <w:numId w:val="11"/>
        </w:numPr>
        <w:ind w:right="-421"/>
        <w:rPr>
          <w:b/>
          <w:i/>
          <w:color w:val="000000" w:themeColor="text1"/>
          <w:shd w:val="clear" w:color="auto" w:fill="FFFFFF"/>
        </w:rPr>
      </w:pPr>
      <w:r w:rsidRPr="00DE1274">
        <w:rPr>
          <w:b/>
          <w:i/>
          <w:color w:val="000000" w:themeColor="text1"/>
          <w:shd w:val="clear" w:color="auto" w:fill="FFFFFF"/>
        </w:rPr>
        <w:t>The HRC should not</w:t>
      </w:r>
      <w:r w:rsidR="00C07E0D" w:rsidRPr="00DE1274">
        <w:rPr>
          <w:b/>
          <w:i/>
          <w:color w:val="000000" w:themeColor="text1"/>
          <w:shd w:val="clear" w:color="auto" w:fill="FFFFFF"/>
        </w:rPr>
        <w:t xml:space="preserve"> be applied in such a way as to adversely affect the status of persons forced</w:t>
      </w:r>
      <w:r w:rsidRPr="00DE1274">
        <w:rPr>
          <w:b/>
          <w:i/>
          <w:color w:val="000000" w:themeColor="text1"/>
          <w:shd w:val="clear" w:color="auto" w:fill="FFFFFF"/>
        </w:rPr>
        <w:t xml:space="preserve"> to leave an abusive relationship</w:t>
      </w:r>
      <w:r w:rsidR="00C07E0D" w:rsidRPr="00DE1274">
        <w:rPr>
          <w:b/>
          <w:i/>
          <w:color w:val="000000" w:themeColor="text1"/>
          <w:shd w:val="clear" w:color="auto" w:fill="FFFFFF"/>
        </w:rPr>
        <w:t xml:space="preserve"> for the purposes of accessing social welfare</w:t>
      </w:r>
      <w:r w:rsidRPr="00DE1274">
        <w:rPr>
          <w:b/>
          <w:i/>
          <w:color w:val="000000" w:themeColor="text1"/>
          <w:shd w:val="clear" w:color="auto" w:fill="FFFFFF"/>
        </w:rPr>
        <w:t>. The Department of Social Pro</w:t>
      </w:r>
      <w:r w:rsidR="003665A5">
        <w:rPr>
          <w:b/>
          <w:i/>
          <w:color w:val="000000" w:themeColor="text1"/>
          <w:shd w:val="clear" w:color="auto" w:fill="FFFFFF"/>
        </w:rPr>
        <w:t xml:space="preserve">tection should liaise with </w:t>
      </w:r>
      <w:proofErr w:type="spellStart"/>
      <w:r w:rsidR="003665A5">
        <w:rPr>
          <w:b/>
          <w:i/>
          <w:color w:val="000000" w:themeColor="text1"/>
          <w:shd w:val="clear" w:color="auto" w:fill="FFFFFF"/>
        </w:rPr>
        <w:t>Cosc</w:t>
      </w:r>
      <w:proofErr w:type="spellEnd"/>
      <w:r w:rsidR="003665A5">
        <w:rPr>
          <w:b/>
          <w:i/>
          <w:color w:val="000000" w:themeColor="text1"/>
          <w:shd w:val="clear" w:color="auto" w:fill="FFFFFF"/>
        </w:rPr>
        <w:t>,</w:t>
      </w:r>
      <w:r w:rsidR="00596373">
        <w:rPr>
          <w:rStyle w:val="FootnoteReference"/>
          <w:b/>
          <w:i/>
          <w:color w:val="000000" w:themeColor="text1"/>
          <w:shd w:val="clear" w:color="auto" w:fill="FFFFFF"/>
        </w:rPr>
        <w:footnoteReference w:id="12"/>
      </w:r>
      <w:r w:rsidR="003665A5">
        <w:rPr>
          <w:b/>
          <w:i/>
          <w:color w:val="000000" w:themeColor="text1"/>
          <w:shd w:val="clear" w:color="auto" w:fill="FFFFFF"/>
        </w:rPr>
        <w:t xml:space="preserve"> </w:t>
      </w:r>
      <w:r w:rsidRPr="00DE1274">
        <w:rPr>
          <w:b/>
          <w:i/>
          <w:color w:val="000000" w:themeColor="text1"/>
          <w:shd w:val="clear" w:color="auto" w:fill="FFFFFF"/>
        </w:rPr>
        <w:t xml:space="preserve">to develop appropriate strategies to ensure that victims of domestic violence can access the relevant supports without </w:t>
      </w:r>
      <w:r w:rsidR="008214E5" w:rsidRPr="00DE1274">
        <w:rPr>
          <w:b/>
          <w:i/>
          <w:color w:val="000000" w:themeColor="text1"/>
          <w:shd w:val="clear" w:color="auto" w:fill="FFFFFF"/>
        </w:rPr>
        <w:t xml:space="preserve">being turned away due to lack of financial support. </w:t>
      </w:r>
    </w:p>
    <w:p w:rsidR="009F25F4" w:rsidRPr="00DE1274" w:rsidRDefault="00B36FED" w:rsidP="0096678F">
      <w:pPr>
        <w:spacing w:after="0"/>
        <w:ind w:right="-421"/>
        <w:rPr>
          <w:bCs/>
          <w:color w:val="000000" w:themeColor="text1"/>
          <w:sz w:val="14"/>
          <w:szCs w:val="14"/>
        </w:rPr>
      </w:pPr>
      <w:r w:rsidRPr="00DE1274">
        <w:rPr>
          <w:b/>
          <w:color w:val="000000" w:themeColor="text1"/>
        </w:rPr>
        <w:t>Article 11</w:t>
      </w:r>
      <w:r w:rsidR="007F68B0" w:rsidRPr="00DE1274">
        <w:rPr>
          <w:b/>
          <w:color w:val="000000" w:themeColor="text1"/>
        </w:rPr>
        <w:t>:</w:t>
      </w:r>
      <w:r w:rsidR="00C9798B" w:rsidRPr="00DE1274">
        <w:rPr>
          <w:b/>
          <w:color w:val="000000" w:themeColor="text1"/>
        </w:rPr>
        <w:t xml:space="preserve"> The Right not to be</w:t>
      </w:r>
      <w:r w:rsidR="007F68B0" w:rsidRPr="00DE1274">
        <w:rPr>
          <w:b/>
          <w:color w:val="000000" w:themeColor="text1"/>
        </w:rPr>
        <w:t xml:space="preserve"> i</w:t>
      </w:r>
      <w:r w:rsidR="00C9798B" w:rsidRPr="00DE1274">
        <w:rPr>
          <w:b/>
          <w:color w:val="000000" w:themeColor="text1"/>
        </w:rPr>
        <w:t xml:space="preserve">mprisoned for </w:t>
      </w:r>
      <w:r w:rsidR="007F68B0" w:rsidRPr="00DE1274">
        <w:rPr>
          <w:b/>
          <w:color w:val="000000" w:themeColor="text1"/>
        </w:rPr>
        <w:t>f</w:t>
      </w:r>
      <w:r w:rsidR="00C9798B" w:rsidRPr="00DE1274">
        <w:rPr>
          <w:b/>
          <w:color w:val="000000" w:themeColor="text1"/>
        </w:rPr>
        <w:t xml:space="preserve">ailure to </w:t>
      </w:r>
      <w:r w:rsidR="007F68B0" w:rsidRPr="00DE1274">
        <w:rPr>
          <w:b/>
          <w:color w:val="000000" w:themeColor="text1"/>
        </w:rPr>
        <w:t>f</w:t>
      </w:r>
      <w:r w:rsidR="00C9798B" w:rsidRPr="00DE1274">
        <w:rPr>
          <w:b/>
          <w:color w:val="000000" w:themeColor="text1"/>
        </w:rPr>
        <w:t xml:space="preserve">ulfil a </w:t>
      </w:r>
      <w:r w:rsidR="007F68B0" w:rsidRPr="00DE1274">
        <w:rPr>
          <w:b/>
          <w:color w:val="000000" w:themeColor="text1"/>
        </w:rPr>
        <w:t>c</w:t>
      </w:r>
      <w:r w:rsidR="00C9798B" w:rsidRPr="00DE1274">
        <w:rPr>
          <w:b/>
          <w:color w:val="000000" w:themeColor="text1"/>
        </w:rPr>
        <w:t xml:space="preserve">ontractual </w:t>
      </w:r>
      <w:r w:rsidR="007F68B0" w:rsidRPr="00DE1274">
        <w:rPr>
          <w:b/>
          <w:color w:val="000000" w:themeColor="text1"/>
        </w:rPr>
        <w:t>o</w:t>
      </w:r>
      <w:r w:rsidR="00C9798B" w:rsidRPr="00DE1274">
        <w:rPr>
          <w:b/>
          <w:color w:val="000000" w:themeColor="text1"/>
        </w:rPr>
        <w:t>bligation</w:t>
      </w:r>
      <w:r w:rsidR="007F68B0" w:rsidRPr="00DE1274">
        <w:rPr>
          <w:b/>
          <w:color w:val="000000" w:themeColor="text1"/>
        </w:rPr>
        <w:br/>
      </w:r>
    </w:p>
    <w:p w:rsidR="000E18F1" w:rsidRPr="00BA7FBB" w:rsidRDefault="00E74414" w:rsidP="00BA7FBB">
      <w:r w:rsidRPr="000B664A">
        <w:t xml:space="preserve">The judgment in </w:t>
      </w:r>
      <w:r w:rsidR="00794782" w:rsidRPr="000B664A">
        <w:t xml:space="preserve">the </w:t>
      </w:r>
      <w:r w:rsidRPr="000B664A">
        <w:t>McCann case</w:t>
      </w:r>
      <w:r w:rsidR="003665A5">
        <w:rPr>
          <w:rStyle w:val="FootnoteReference"/>
        </w:rPr>
        <w:footnoteReference w:id="13"/>
      </w:r>
      <w:r w:rsidRPr="000B664A">
        <w:t xml:space="preserve"> </w:t>
      </w:r>
      <w:r w:rsidR="00794782" w:rsidRPr="000B664A">
        <w:t xml:space="preserve">and the subsequent enactment of </w:t>
      </w:r>
      <w:r w:rsidRPr="000B664A">
        <w:t xml:space="preserve">the Enforcement of Court Orders (Amendment) Act 2009 </w:t>
      </w:r>
      <w:r w:rsidR="00794782" w:rsidRPr="000B664A">
        <w:t xml:space="preserve">has </w:t>
      </w:r>
      <w:r w:rsidRPr="000B664A">
        <w:t>address</w:t>
      </w:r>
      <w:r w:rsidR="00794782" w:rsidRPr="000B664A">
        <w:t>ed</w:t>
      </w:r>
      <w:r w:rsidRPr="000B664A">
        <w:t xml:space="preserve"> some of the issues arising in this area</w:t>
      </w:r>
      <w:r w:rsidR="00794782" w:rsidRPr="000B664A">
        <w:t xml:space="preserve"> and has resulted in </w:t>
      </w:r>
      <w:r w:rsidR="009F25F4" w:rsidRPr="000B664A">
        <w:t>fewer</w:t>
      </w:r>
      <w:r w:rsidR="00794782" w:rsidRPr="000B664A">
        <w:t xml:space="preserve"> people </w:t>
      </w:r>
      <w:r w:rsidR="009F25F4" w:rsidRPr="000B664A">
        <w:t xml:space="preserve">being </w:t>
      </w:r>
      <w:r w:rsidR="00794782" w:rsidRPr="000B664A">
        <w:t>imprisoned for non-payment of civil debts</w:t>
      </w:r>
      <w:r w:rsidRPr="000B664A">
        <w:t xml:space="preserve">. However, the Fines Act </w:t>
      </w:r>
      <w:r w:rsidR="00794782" w:rsidRPr="000B664A">
        <w:t xml:space="preserve">2010 has not yet been completely commenced leading to the imprisonment of </w:t>
      </w:r>
      <w:r w:rsidR="00BD0BB5" w:rsidRPr="000B664A">
        <w:t>8,304 people in 2012</w:t>
      </w:r>
      <w:r w:rsidR="00794782" w:rsidRPr="000B664A">
        <w:t xml:space="preserve"> for non-payment of</w:t>
      </w:r>
      <w:r w:rsidR="0015686B" w:rsidRPr="000B664A">
        <w:t xml:space="preserve"> court ordered</w:t>
      </w:r>
      <w:r w:rsidR="00794782" w:rsidRPr="000B664A">
        <w:t xml:space="preserve"> fines</w:t>
      </w:r>
      <w:r w:rsidR="0015686B" w:rsidRPr="000B664A">
        <w:t xml:space="preserve"> and 22 people imprisoned in relation to the non-payment of a civil debt</w:t>
      </w:r>
      <w:r w:rsidR="00794782" w:rsidRPr="000B664A">
        <w:t>.</w:t>
      </w:r>
      <w:r w:rsidR="00794782" w:rsidRPr="000B664A">
        <w:footnoteReference w:id="14"/>
      </w:r>
      <w:r w:rsidR="00794782" w:rsidRPr="000B664A">
        <w:t xml:space="preserve"> </w:t>
      </w:r>
      <w:r w:rsidR="00E6718D" w:rsidRPr="000B664A">
        <w:t>FLAC</w:t>
      </w:r>
      <w:r w:rsidR="00DE1919" w:rsidRPr="000B664A">
        <w:t xml:space="preserve"> </w:t>
      </w:r>
      <w:r w:rsidR="00E6718D" w:rsidRPr="000B664A">
        <w:t xml:space="preserve">welcomed the introduction of a Fines (Amendment) Bill 2012 but </w:t>
      </w:r>
      <w:r w:rsidR="00832985" w:rsidRPr="000B664A">
        <w:t>reported in October 2012 that the “Courts ICT system still hasn’t received the upgrade necessary to process payment of fines by instalment”</w:t>
      </w:r>
      <w:r w:rsidR="00E6718D" w:rsidRPr="000B664A">
        <w:t>.</w:t>
      </w:r>
      <w:r w:rsidR="00832985" w:rsidRPr="003665A5">
        <w:rPr>
          <w:vertAlign w:val="superscript"/>
        </w:rPr>
        <w:footnoteReference w:id="15"/>
      </w:r>
      <w:r w:rsidR="00E6718D" w:rsidRPr="003665A5">
        <w:rPr>
          <w:vertAlign w:val="superscript"/>
        </w:rPr>
        <w:t xml:space="preserve"> </w:t>
      </w:r>
      <w:r w:rsidR="00BA7FBB">
        <w:t>However, the Minister for Justice has since introduced the Fines (Payment and Recovery) Bill 2013</w:t>
      </w:r>
      <w:r w:rsidR="00BA7FBB">
        <w:rPr>
          <w:rStyle w:val="FootnoteReference"/>
        </w:rPr>
        <w:footnoteReference w:id="16"/>
      </w:r>
      <w:r w:rsidR="00BA7FBB">
        <w:t xml:space="preserve"> in July 2013. </w:t>
      </w:r>
      <w:r w:rsidR="00BA7FBB" w:rsidRPr="00137C63">
        <w:t>The proposed legislation will allow a pers</w:t>
      </w:r>
      <w:r w:rsidR="003845CF">
        <w:t>on to pay a fine in instalments</w:t>
      </w:r>
      <w:r w:rsidR="00137C63" w:rsidRPr="00137C63">
        <w:t> </w:t>
      </w:r>
      <w:r w:rsidR="003845CF">
        <w:t xml:space="preserve">and </w:t>
      </w:r>
      <w:r w:rsidR="003A601E">
        <w:t xml:space="preserve">the Minister stated that </w:t>
      </w:r>
      <w:r w:rsidR="00137C63" w:rsidRPr="00137C63">
        <w:t xml:space="preserve">now that “the Bill has been published the </w:t>
      </w:r>
      <w:r w:rsidR="00137C63" w:rsidRPr="00137C63">
        <w:lastRenderedPageBreak/>
        <w:t>Service will be in a position to further progress the detailed technical development work required in parallel with the progression of the Bill through the legislative process”.</w:t>
      </w:r>
      <w:r w:rsidR="00137C63" w:rsidRPr="00137C63">
        <w:rPr>
          <w:vertAlign w:val="superscript"/>
        </w:rPr>
        <w:footnoteReference w:id="17"/>
      </w:r>
      <w:r w:rsidR="003A601E">
        <w:t xml:space="preserve"> The Government hopes that the </w:t>
      </w:r>
      <w:r w:rsidR="003A601E" w:rsidRPr="00137C63">
        <w:t>Bill will be enacted by the end of 2013 and will become operational in 2014.</w:t>
      </w:r>
    </w:p>
    <w:p w:rsidR="007F68B0" w:rsidRPr="00DE1274" w:rsidRDefault="008214E5" w:rsidP="000B664A">
      <w:pPr>
        <w:pStyle w:val="Default"/>
        <w:spacing w:line="276" w:lineRule="auto"/>
        <w:ind w:left="720" w:right="-421"/>
        <w:rPr>
          <w:b/>
          <w:bCs/>
          <w:i/>
          <w:color w:val="000000" w:themeColor="text1"/>
          <w:sz w:val="22"/>
          <w:szCs w:val="22"/>
          <w:lang w:val="en-IE"/>
        </w:rPr>
      </w:pPr>
      <w:r w:rsidRPr="00DE1274">
        <w:rPr>
          <w:b/>
          <w:bCs/>
          <w:i/>
          <w:color w:val="000000" w:themeColor="text1"/>
          <w:sz w:val="22"/>
          <w:szCs w:val="22"/>
          <w:lang w:val="en-IE"/>
        </w:rPr>
        <w:t xml:space="preserve">Recommendation: </w:t>
      </w:r>
    </w:p>
    <w:p w:rsidR="008214E5" w:rsidRPr="00DE1274" w:rsidRDefault="007F68B0" w:rsidP="0096678F">
      <w:pPr>
        <w:pStyle w:val="Default"/>
        <w:numPr>
          <w:ilvl w:val="0"/>
          <w:numId w:val="11"/>
        </w:numPr>
        <w:spacing w:line="276" w:lineRule="auto"/>
        <w:ind w:right="-421"/>
        <w:rPr>
          <w:b/>
          <w:bCs/>
          <w:i/>
          <w:color w:val="000000" w:themeColor="text1"/>
          <w:sz w:val="22"/>
          <w:szCs w:val="22"/>
          <w:lang w:val="en-IE"/>
        </w:rPr>
      </w:pPr>
      <w:r w:rsidRPr="00DE1274">
        <w:rPr>
          <w:b/>
          <w:bCs/>
          <w:i/>
          <w:color w:val="000000" w:themeColor="text1"/>
          <w:sz w:val="22"/>
          <w:szCs w:val="22"/>
          <w:lang w:val="en-IE"/>
        </w:rPr>
        <w:t>A</w:t>
      </w:r>
      <w:r w:rsidR="008214E5" w:rsidRPr="00DE1274">
        <w:rPr>
          <w:b/>
          <w:bCs/>
          <w:i/>
          <w:color w:val="000000" w:themeColor="text1"/>
          <w:sz w:val="22"/>
          <w:szCs w:val="22"/>
          <w:lang w:val="en-IE"/>
        </w:rPr>
        <w:t>ppropriate mechanisms should be put in place to ensure that a proper assessment of a person’s situa</w:t>
      </w:r>
      <w:r w:rsidRPr="00DE1274">
        <w:rPr>
          <w:b/>
          <w:bCs/>
          <w:i/>
          <w:color w:val="000000" w:themeColor="text1"/>
          <w:sz w:val="22"/>
          <w:szCs w:val="22"/>
          <w:lang w:val="en-IE"/>
        </w:rPr>
        <w:t>tion is carried out and that no-</w:t>
      </w:r>
      <w:r w:rsidR="008214E5" w:rsidRPr="00DE1274">
        <w:rPr>
          <w:b/>
          <w:bCs/>
          <w:i/>
          <w:color w:val="000000" w:themeColor="text1"/>
          <w:sz w:val="22"/>
          <w:szCs w:val="22"/>
          <w:lang w:val="en-IE"/>
        </w:rPr>
        <w:t>one is imprisoned for failure to pay a civil debt or fine that he or she cannot pay.</w:t>
      </w:r>
    </w:p>
    <w:p w:rsidR="00794782" w:rsidRPr="00DE1274" w:rsidRDefault="00794782" w:rsidP="0096678F">
      <w:pPr>
        <w:pStyle w:val="Default"/>
        <w:spacing w:line="276" w:lineRule="auto"/>
        <w:ind w:right="-421"/>
        <w:rPr>
          <w:bCs/>
          <w:color w:val="000000" w:themeColor="text1"/>
          <w:sz w:val="14"/>
          <w:szCs w:val="14"/>
          <w:lang w:val="en-IE"/>
        </w:rPr>
      </w:pPr>
    </w:p>
    <w:p w:rsidR="00794782" w:rsidRPr="00DE1274" w:rsidRDefault="00B36FED" w:rsidP="0096678F">
      <w:pPr>
        <w:pStyle w:val="Default"/>
        <w:spacing w:line="276" w:lineRule="auto"/>
        <w:ind w:right="-421"/>
        <w:rPr>
          <w:b/>
          <w:bCs/>
          <w:color w:val="000000" w:themeColor="text1"/>
          <w:sz w:val="22"/>
          <w:szCs w:val="22"/>
          <w:lang w:val="en-IE"/>
        </w:rPr>
      </w:pPr>
      <w:r w:rsidRPr="00DE1274">
        <w:rPr>
          <w:b/>
          <w:bCs/>
          <w:color w:val="000000" w:themeColor="text1"/>
          <w:sz w:val="22"/>
          <w:szCs w:val="22"/>
          <w:lang w:val="en-IE"/>
        </w:rPr>
        <w:t>Article 13</w:t>
      </w:r>
      <w:r w:rsidR="007F68B0" w:rsidRPr="00DE1274">
        <w:rPr>
          <w:b/>
          <w:bCs/>
          <w:color w:val="000000" w:themeColor="text1"/>
          <w:sz w:val="22"/>
          <w:szCs w:val="22"/>
          <w:lang w:val="en-IE"/>
        </w:rPr>
        <w:t>:</w:t>
      </w:r>
      <w:r w:rsidR="00794782" w:rsidRPr="00DE1274">
        <w:rPr>
          <w:b/>
          <w:bCs/>
          <w:color w:val="000000" w:themeColor="text1"/>
          <w:sz w:val="22"/>
          <w:szCs w:val="22"/>
          <w:lang w:val="en-IE"/>
        </w:rPr>
        <w:t xml:space="preserve"> Rights of </w:t>
      </w:r>
      <w:r w:rsidR="007F68B0" w:rsidRPr="00DE1274">
        <w:rPr>
          <w:b/>
          <w:bCs/>
          <w:color w:val="000000" w:themeColor="text1"/>
          <w:sz w:val="22"/>
          <w:szCs w:val="22"/>
          <w:lang w:val="en-IE"/>
        </w:rPr>
        <w:t>i</w:t>
      </w:r>
      <w:r w:rsidRPr="00DE1274">
        <w:rPr>
          <w:b/>
          <w:bCs/>
          <w:color w:val="000000" w:themeColor="text1"/>
          <w:sz w:val="22"/>
          <w:szCs w:val="22"/>
          <w:lang w:val="en-IE"/>
        </w:rPr>
        <w:t>mmigrants</w:t>
      </w:r>
    </w:p>
    <w:p w:rsidR="00794782" w:rsidRPr="00DE1274" w:rsidRDefault="00794782" w:rsidP="0096678F">
      <w:pPr>
        <w:pStyle w:val="Default"/>
        <w:spacing w:line="276" w:lineRule="auto"/>
        <w:ind w:right="-421"/>
        <w:rPr>
          <w:b/>
          <w:bCs/>
          <w:color w:val="000000" w:themeColor="text1"/>
          <w:sz w:val="10"/>
          <w:szCs w:val="10"/>
          <w:lang w:val="en-IE"/>
        </w:rPr>
      </w:pPr>
    </w:p>
    <w:p w:rsidR="00066188" w:rsidRPr="00DE1274" w:rsidRDefault="00794782" w:rsidP="0096678F">
      <w:pPr>
        <w:ind w:right="-421"/>
        <w:rPr>
          <w:color w:val="000000" w:themeColor="text1"/>
        </w:rPr>
      </w:pPr>
      <w:r w:rsidRPr="00DE1274">
        <w:rPr>
          <w:bCs/>
          <w:color w:val="000000" w:themeColor="text1"/>
        </w:rPr>
        <w:t xml:space="preserve">Despite the introduction of the Immigration, Residence and Protection Bill before the State’s previous examination under ICCPR in 2008, this piece of legislation has still not been enacted. FLAC maintains that </w:t>
      </w:r>
      <w:r w:rsidR="00066188" w:rsidRPr="00DE1274">
        <w:rPr>
          <w:color w:val="000000" w:themeColor="text1"/>
        </w:rPr>
        <w:t>the law concerning immigration should be considered separately to the law relating to protection.</w:t>
      </w:r>
      <w:r w:rsidR="00B95BC9" w:rsidRPr="00DE1274">
        <w:rPr>
          <w:rStyle w:val="FootnoteReference"/>
          <w:color w:val="000000" w:themeColor="text1"/>
        </w:rPr>
        <w:footnoteReference w:id="18"/>
      </w:r>
      <w:r w:rsidR="00066188" w:rsidRPr="00DE1274">
        <w:rPr>
          <w:color w:val="000000" w:themeColor="text1"/>
        </w:rPr>
        <w:t xml:space="preserve"> Both areas need to be addressed in updated legislation but should not be put together in the same statute or with common provisions. The focus of refugee law is the protection of an individual from persecution in his or her country of origin, whereas provisions dealing with general immigration matters are primarily concerned with the State’s security and entrance to and permission to remain in the State for non-Irish citizens.</w:t>
      </w:r>
    </w:p>
    <w:p w:rsidR="00B36FED" w:rsidRPr="00DE1274" w:rsidRDefault="00B36FED" w:rsidP="0096678F">
      <w:pPr>
        <w:ind w:right="-421"/>
        <w:rPr>
          <w:color w:val="000000" w:themeColor="text1"/>
        </w:rPr>
      </w:pPr>
      <w:r w:rsidRPr="00DE1274">
        <w:rPr>
          <w:color w:val="000000" w:themeColor="text1"/>
        </w:rPr>
        <w:t>According to the 2010 annual report of the Office of the Refugee Applications Commissioner, only 1.1 per cent of applicants were grant</w:t>
      </w:r>
      <w:r w:rsidR="0009339A">
        <w:rPr>
          <w:color w:val="000000" w:themeColor="text1"/>
        </w:rPr>
        <w:t>ed protection at first instance,</w:t>
      </w:r>
      <w:r w:rsidRPr="00DE1274">
        <w:rPr>
          <w:rStyle w:val="FootnoteReference"/>
          <w:color w:val="000000" w:themeColor="text1"/>
        </w:rPr>
        <w:footnoteReference w:id="19"/>
      </w:r>
      <w:r w:rsidRPr="00DE1274">
        <w:rPr>
          <w:color w:val="000000" w:themeColor="text1"/>
        </w:rPr>
        <w:t xml:space="preserve"> </w:t>
      </w:r>
      <w:r w:rsidR="0009339A">
        <w:rPr>
          <w:color w:val="000000" w:themeColor="text1"/>
        </w:rPr>
        <w:t xml:space="preserve">and this low recognition rate was raised by the UN Committee </w:t>
      </w:r>
      <w:proofErr w:type="gramStart"/>
      <w:r w:rsidR="0009339A">
        <w:rPr>
          <w:color w:val="000000" w:themeColor="text1"/>
        </w:rPr>
        <w:t>Against</w:t>
      </w:r>
      <w:proofErr w:type="gramEnd"/>
      <w:r w:rsidR="0009339A">
        <w:rPr>
          <w:color w:val="000000" w:themeColor="text1"/>
        </w:rPr>
        <w:t xml:space="preserve"> Torture </w:t>
      </w:r>
      <w:r w:rsidR="008D459C">
        <w:rPr>
          <w:color w:val="000000" w:themeColor="text1"/>
        </w:rPr>
        <w:t xml:space="preserve">(CAT) </w:t>
      </w:r>
      <w:r w:rsidR="0009339A">
        <w:rPr>
          <w:color w:val="000000" w:themeColor="text1"/>
        </w:rPr>
        <w:t xml:space="preserve">when Ireland was examined in </w:t>
      </w:r>
      <w:r w:rsidR="008D459C">
        <w:rPr>
          <w:color w:val="000000" w:themeColor="text1"/>
        </w:rPr>
        <w:t>2011. T</w:t>
      </w:r>
      <w:r w:rsidRPr="00DE1274">
        <w:rPr>
          <w:color w:val="000000" w:themeColor="text1"/>
        </w:rPr>
        <w:t xml:space="preserve">he number of applications for asylum has fallen </w:t>
      </w:r>
      <w:r w:rsidR="008D459C">
        <w:rPr>
          <w:color w:val="000000" w:themeColor="text1"/>
        </w:rPr>
        <w:t xml:space="preserve">dramatically </w:t>
      </w:r>
      <w:r w:rsidRPr="00DE1274">
        <w:rPr>
          <w:color w:val="000000" w:themeColor="text1"/>
        </w:rPr>
        <w:t>from a</w:t>
      </w:r>
      <w:r w:rsidR="00BD0BB5" w:rsidRPr="00DE1274">
        <w:rPr>
          <w:color w:val="000000" w:themeColor="text1"/>
        </w:rPr>
        <w:t xml:space="preserve"> total of 11,634 in 2002 to </w:t>
      </w:r>
      <w:r w:rsidR="0014664A" w:rsidRPr="00DE1274">
        <w:rPr>
          <w:color w:val="000000" w:themeColor="text1"/>
        </w:rPr>
        <w:t xml:space="preserve">956 </w:t>
      </w:r>
      <w:r w:rsidRPr="00DE1274">
        <w:rPr>
          <w:color w:val="000000" w:themeColor="text1"/>
        </w:rPr>
        <w:t>in 201</w:t>
      </w:r>
      <w:r w:rsidR="00BD0BB5" w:rsidRPr="00DE1274">
        <w:rPr>
          <w:color w:val="000000" w:themeColor="text1"/>
        </w:rPr>
        <w:t>2</w:t>
      </w:r>
      <w:r w:rsidRPr="00DE1274">
        <w:rPr>
          <w:rStyle w:val="FootnoteReference"/>
          <w:color w:val="000000" w:themeColor="text1"/>
        </w:rPr>
        <w:footnoteReference w:id="20"/>
      </w:r>
      <w:r w:rsidR="00BD0BB5" w:rsidRPr="00DE1274">
        <w:rPr>
          <w:color w:val="000000" w:themeColor="text1"/>
        </w:rPr>
        <w:t xml:space="preserve"> </w:t>
      </w:r>
      <w:r w:rsidR="008D459C">
        <w:rPr>
          <w:color w:val="000000" w:themeColor="text1"/>
        </w:rPr>
        <w:t>and while</w:t>
      </w:r>
      <w:r w:rsidR="0014664A" w:rsidRPr="00DE1274">
        <w:rPr>
          <w:color w:val="000000" w:themeColor="text1"/>
        </w:rPr>
        <w:t xml:space="preserve"> the rate of positive decisions </w:t>
      </w:r>
      <w:r w:rsidR="008D459C">
        <w:rPr>
          <w:color w:val="000000" w:themeColor="text1"/>
        </w:rPr>
        <w:t xml:space="preserve">has risen, it </w:t>
      </w:r>
      <w:r w:rsidR="0014664A" w:rsidRPr="00DE1274">
        <w:rPr>
          <w:color w:val="000000" w:themeColor="text1"/>
        </w:rPr>
        <w:t>remains low at 8.6 per cent in 2012, well below the EU average of 25.2 per cent</w:t>
      </w:r>
      <w:r w:rsidR="001D6E12" w:rsidRPr="00DE1274">
        <w:rPr>
          <w:color w:val="000000" w:themeColor="text1"/>
        </w:rPr>
        <w:t>.</w:t>
      </w:r>
      <w:r w:rsidR="0014664A" w:rsidRPr="00DE1274">
        <w:rPr>
          <w:rStyle w:val="FootnoteReference"/>
          <w:color w:val="000000" w:themeColor="text1"/>
        </w:rPr>
        <w:footnoteReference w:id="21"/>
      </w:r>
      <w:r w:rsidR="0014664A" w:rsidRPr="00DE1274">
        <w:rPr>
          <w:color w:val="000000" w:themeColor="text1"/>
        </w:rPr>
        <w:t xml:space="preserve"> </w:t>
      </w:r>
      <w:r w:rsidRPr="00DE1274">
        <w:rPr>
          <w:color w:val="000000" w:themeColor="text1"/>
        </w:rPr>
        <w:t xml:space="preserve"> Ireland is the only EU Member State which does not have a single procedure to “examine all the protection needs of an asylum seeker at the same time”.</w:t>
      </w:r>
      <w:r w:rsidRPr="00DE1274">
        <w:rPr>
          <w:rStyle w:val="FootnoteReference"/>
          <w:color w:val="000000" w:themeColor="text1"/>
        </w:rPr>
        <w:footnoteReference w:id="22"/>
      </w:r>
    </w:p>
    <w:p w:rsidR="00A156BD" w:rsidRPr="00DE1274" w:rsidRDefault="004E31C7" w:rsidP="0096678F">
      <w:pPr>
        <w:ind w:right="-421"/>
        <w:rPr>
          <w:color w:val="000000" w:themeColor="text1"/>
        </w:rPr>
      </w:pPr>
      <w:r w:rsidRPr="00DE1274">
        <w:rPr>
          <w:color w:val="000000" w:themeColor="text1"/>
        </w:rPr>
        <w:t>'</w:t>
      </w:r>
      <w:r w:rsidR="000F01FD" w:rsidRPr="00DE1274">
        <w:rPr>
          <w:color w:val="000000" w:themeColor="text1"/>
        </w:rPr>
        <w:t>Direct provision</w:t>
      </w:r>
      <w:r w:rsidRPr="00DE1274">
        <w:rPr>
          <w:color w:val="000000" w:themeColor="text1"/>
        </w:rPr>
        <w:t>'</w:t>
      </w:r>
      <w:r w:rsidR="000F01FD" w:rsidRPr="00DE1274">
        <w:rPr>
          <w:color w:val="000000" w:themeColor="text1"/>
        </w:rPr>
        <w:t xml:space="preserve"> is the system used to accommodate people seeking asylum or another form of protection on a full-board basis with a</w:t>
      </w:r>
      <w:r w:rsidR="00C07E0D" w:rsidRPr="00DE1274">
        <w:rPr>
          <w:color w:val="000000" w:themeColor="text1"/>
        </w:rPr>
        <w:t xml:space="preserve"> completely inadequate</w:t>
      </w:r>
      <w:r w:rsidR="000F01FD" w:rsidRPr="00DE1274">
        <w:rPr>
          <w:color w:val="000000" w:themeColor="text1"/>
        </w:rPr>
        <w:t xml:space="preserve"> weekly payment of €19.10 for an adult </w:t>
      </w:r>
      <w:r w:rsidR="00C07E0D" w:rsidRPr="00DE1274">
        <w:rPr>
          <w:color w:val="000000" w:themeColor="text1"/>
        </w:rPr>
        <w:t>and</w:t>
      </w:r>
      <w:r w:rsidR="000F01FD" w:rsidRPr="00DE1274">
        <w:rPr>
          <w:color w:val="000000" w:themeColor="text1"/>
        </w:rPr>
        <w:t xml:space="preserve"> €9.60 for a child. There are approximately </w:t>
      </w:r>
      <w:r w:rsidR="002E76C9" w:rsidRPr="00DE1274">
        <w:rPr>
          <w:color w:val="000000" w:themeColor="text1"/>
        </w:rPr>
        <w:t xml:space="preserve">4826 </w:t>
      </w:r>
      <w:r w:rsidR="000F01FD" w:rsidRPr="00DE1274">
        <w:rPr>
          <w:color w:val="000000" w:themeColor="text1"/>
        </w:rPr>
        <w:t>people living in direct provision accommodation</w:t>
      </w:r>
      <w:r w:rsidR="00086308" w:rsidRPr="00DE1274">
        <w:rPr>
          <w:color w:val="000000" w:themeColor="text1"/>
        </w:rPr>
        <w:t xml:space="preserve"> (down from 5400 at the end of 2011)</w:t>
      </w:r>
      <w:r w:rsidR="000F01FD" w:rsidRPr="00DE1274">
        <w:rPr>
          <w:color w:val="000000" w:themeColor="text1"/>
        </w:rPr>
        <w:t>, 5</w:t>
      </w:r>
      <w:r w:rsidR="002E76C9" w:rsidRPr="00DE1274">
        <w:rPr>
          <w:color w:val="000000" w:themeColor="text1"/>
        </w:rPr>
        <w:t>9</w:t>
      </w:r>
      <w:r w:rsidR="00A156BD" w:rsidRPr="00DE1274">
        <w:rPr>
          <w:color w:val="000000" w:themeColor="text1"/>
        </w:rPr>
        <w:t>.</w:t>
      </w:r>
      <w:r w:rsidR="002E76C9" w:rsidRPr="00DE1274">
        <w:rPr>
          <w:color w:val="000000" w:themeColor="text1"/>
        </w:rPr>
        <w:t>4</w:t>
      </w:r>
      <w:r w:rsidR="000F01FD" w:rsidRPr="00DE1274">
        <w:rPr>
          <w:color w:val="000000" w:themeColor="text1"/>
        </w:rPr>
        <w:t xml:space="preserve"> per cent of whom have been there for three years or more and a</w:t>
      </w:r>
      <w:r w:rsidR="00086308" w:rsidRPr="00DE1274">
        <w:rPr>
          <w:color w:val="000000" w:themeColor="text1"/>
        </w:rPr>
        <w:t>lmost a</w:t>
      </w:r>
      <w:r w:rsidR="000F01FD" w:rsidRPr="00DE1274">
        <w:rPr>
          <w:color w:val="000000" w:themeColor="text1"/>
        </w:rPr>
        <w:t xml:space="preserve"> third of the total number of residents are </w:t>
      </w:r>
      <w:r w:rsidR="000F01FD" w:rsidRPr="00DE1274">
        <w:rPr>
          <w:color w:val="000000" w:themeColor="text1"/>
        </w:rPr>
        <w:lastRenderedPageBreak/>
        <w:t>children under the age of 18.</w:t>
      </w:r>
      <w:r w:rsidR="000F01FD" w:rsidRPr="00DE1274">
        <w:rPr>
          <w:rStyle w:val="FootnoteReference"/>
          <w:color w:val="000000" w:themeColor="text1"/>
        </w:rPr>
        <w:footnoteReference w:id="23"/>
      </w:r>
      <w:r w:rsidR="000F01FD" w:rsidRPr="00DE1274">
        <w:rPr>
          <w:color w:val="000000" w:themeColor="text1"/>
        </w:rPr>
        <w:t xml:space="preserve"> FLAC published a human rights analysis of the direct provision system in 20</w:t>
      </w:r>
      <w:r w:rsidR="00086308" w:rsidRPr="00DE1274">
        <w:rPr>
          <w:color w:val="000000" w:themeColor="text1"/>
        </w:rPr>
        <w:t>09</w:t>
      </w:r>
      <w:r w:rsidR="00FB3B42" w:rsidRPr="00DE1274">
        <w:rPr>
          <w:rStyle w:val="FootnoteReference"/>
          <w:color w:val="000000" w:themeColor="text1"/>
        </w:rPr>
        <w:footnoteReference w:id="24"/>
      </w:r>
      <w:r w:rsidR="000F01FD" w:rsidRPr="00DE1274">
        <w:rPr>
          <w:color w:val="000000" w:themeColor="text1"/>
        </w:rPr>
        <w:t xml:space="preserve"> and found that the system did not comply with the State’s domestic and international human rights commitments. </w:t>
      </w:r>
      <w:r w:rsidR="00066188" w:rsidRPr="00DE1274">
        <w:rPr>
          <w:color w:val="000000" w:themeColor="text1"/>
        </w:rPr>
        <w:t>However, if the Immigration, Residence and Protection Bill is re-introduced into the Oireachtas as one bill, while FLAC hopes it will reduce the protracted length of time that people will have to spend in the direct provision system, we are concerned that the problems within the system will remain the same for both existing and new claimants without a proper review of the direct provision system</w:t>
      </w:r>
      <w:r w:rsidRPr="00DE1274">
        <w:rPr>
          <w:color w:val="000000" w:themeColor="text1"/>
        </w:rPr>
        <w:t>,</w:t>
      </w:r>
      <w:r w:rsidR="00066188" w:rsidRPr="00DE1274">
        <w:rPr>
          <w:color w:val="000000" w:themeColor="text1"/>
        </w:rPr>
        <w:t xml:space="preserve"> as recommended by the UN Committee on the Elimination of all forms of Discrimination </w:t>
      </w:r>
      <w:r w:rsidR="00326042" w:rsidRPr="00DE1274">
        <w:rPr>
          <w:color w:val="000000" w:themeColor="text1"/>
        </w:rPr>
        <w:t xml:space="preserve">(CERD) </w:t>
      </w:r>
      <w:r w:rsidR="00066188" w:rsidRPr="00DE1274">
        <w:rPr>
          <w:color w:val="000000" w:themeColor="text1"/>
        </w:rPr>
        <w:t>in February 2011</w:t>
      </w:r>
      <w:r w:rsidR="005C1E77" w:rsidRPr="00DE1274">
        <w:rPr>
          <w:rStyle w:val="FootnoteReference"/>
          <w:color w:val="000000" w:themeColor="text1"/>
        </w:rPr>
        <w:footnoteReference w:id="25"/>
      </w:r>
      <w:r w:rsidR="003F7EE2" w:rsidRPr="00DE1274">
        <w:rPr>
          <w:color w:val="000000" w:themeColor="text1"/>
        </w:rPr>
        <w:t xml:space="preserve"> and the European Commission against Racism </w:t>
      </w:r>
      <w:r w:rsidR="003855B9" w:rsidRPr="00DE1274">
        <w:rPr>
          <w:color w:val="000000" w:themeColor="text1"/>
        </w:rPr>
        <w:t>and Intol</w:t>
      </w:r>
      <w:r w:rsidR="003F7EE2" w:rsidRPr="00DE1274">
        <w:rPr>
          <w:color w:val="000000" w:themeColor="text1"/>
        </w:rPr>
        <w:t xml:space="preserve">erance </w:t>
      </w:r>
      <w:r w:rsidR="003855B9" w:rsidRPr="00DE1274">
        <w:rPr>
          <w:color w:val="000000" w:themeColor="text1"/>
        </w:rPr>
        <w:t>(</w:t>
      </w:r>
      <w:r w:rsidR="003F7EE2" w:rsidRPr="00DE1274">
        <w:rPr>
          <w:color w:val="000000" w:themeColor="text1"/>
        </w:rPr>
        <w:t>ECRI</w:t>
      </w:r>
      <w:r w:rsidR="003855B9" w:rsidRPr="00DE1274">
        <w:rPr>
          <w:color w:val="000000" w:themeColor="text1"/>
        </w:rPr>
        <w:t>)</w:t>
      </w:r>
      <w:r w:rsidR="003F7EE2" w:rsidRPr="00DE1274">
        <w:rPr>
          <w:color w:val="000000" w:themeColor="text1"/>
        </w:rPr>
        <w:t xml:space="preserve"> </w:t>
      </w:r>
      <w:r w:rsidR="003855B9" w:rsidRPr="00DE1274">
        <w:rPr>
          <w:color w:val="000000" w:themeColor="text1"/>
        </w:rPr>
        <w:t>in February 2013.</w:t>
      </w:r>
      <w:r w:rsidR="003855B9" w:rsidRPr="00DE1274">
        <w:rPr>
          <w:rStyle w:val="FootnoteReference"/>
          <w:color w:val="000000" w:themeColor="text1"/>
        </w:rPr>
        <w:footnoteReference w:id="26"/>
      </w:r>
      <w:r w:rsidR="00066188" w:rsidRPr="00DE1274">
        <w:rPr>
          <w:color w:val="000000" w:themeColor="text1"/>
        </w:rPr>
        <w:t xml:space="preserve"> </w:t>
      </w:r>
      <w:r w:rsidR="00C52520" w:rsidRPr="00DE1274">
        <w:rPr>
          <w:color w:val="000000" w:themeColor="text1"/>
        </w:rPr>
        <w:t>The new legislation will not apply to the people already in the system but it is not clear what steps will be taken to ensure that their claims will be processed efficiently and fairly.</w:t>
      </w:r>
      <w:r w:rsidR="003855B9" w:rsidRPr="00DE1274">
        <w:rPr>
          <w:color w:val="000000" w:themeColor="text1"/>
        </w:rPr>
        <w:t xml:space="preserve"> </w:t>
      </w:r>
      <w:r w:rsidR="00A156BD" w:rsidRPr="00DE1274">
        <w:rPr>
          <w:color w:val="000000" w:themeColor="text1"/>
        </w:rPr>
        <w:t xml:space="preserve">Commissioner </w:t>
      </w:r>
      <w:proofErr w:type="spellStart"/>
      <w:proofErr w:type="gramStart"/>
      <w:r w:rsidR="001D6E12" w:rsidRPr="00DE1274">
        <w:rPr>
          <w:rFonts w:cs="Arial"/>
          <w:bCs/>
          <w:color w:val="000000" w:themeColor="text1"/>
        </w:rPr>
        <w:t>Muižnieks</w:t>
      </w:r>
      <w:proofErr w:type="spellEnd"/>
      <w:r w:rsidR="001D6E12" w:rsidRPr="00DE1274">
        <w:rPr>
          <w:rFonts w:cs="Arial"/>
          <w:bCs/>
          <w:color w:val="000000" w:themeColor="text1"/>
        </w:rPr>
        <w:t xml:space="preserve"> </w:t>
      </w:r>
      <w:r w:rsidR="00A156BD" w:rsidRPr="00DE1274">
        <w:rPr>
          <w:color w:val="000000" w:themeColor="text1"/>
        </w:rPr>
        <w:t xml:space="preserve"> </w:t>
      </w:r>
      <w:r w:rsidR="003855B9" w:rsidRPr="00DE1274">
        <w:rPr>
          <w:color w:val="000000" w:themeColor="text1"/>
        </w:rPr>
        <w:t>also</w:t>
      </w:r>
      <w:proofErr w:type="gramEnd"/>
      <w:r w:rsidR="003855B9" w:rsidRPr="00DE1274">
        <w:rPr>
          <w:color w:val="000000" w:themeColor="text1"/>
        </w:rPr>
        <w:t xml:space="preserve"> </w:t>
      </w:r>
      <w:r w:rsidR="00A156BD" w:rsidRPr="00DE1274">
        <w:rPr>
          <w:color w:val="000000" w:themeColor="text1"/>
        </w:rPr>
        <w:t>raised the issue of direct provision in his letter to Minister Shatter</w:t>
      </w:r>
      <w:r w:rsidR="003855B9" w:rsidRPr="00DE1274">
        <w:rPr>
          <w:color w:val="000000" w:themeColor="text1"/>
        </w:rPr>
        <w:t xml:space="preserve"> in November 2012</w:t>
      </w:r>
      <w:r w:rsidR="000B664A">
        <w:rPr>
          <w:color w:val="000000" w:themeColor="text1"/>
        </w:rPr>
        <w:t xml:space="preserve"> </w:t>
      </w:r>
      <w:r w:rsidR="003855B9" w:rsidRPr="00DE1274">
        <w:rPr>
          <w:color w:val="000000" w:themeColor="text1"/>
        </w:rPr>
        <w:t xml:space="preserve">and </w:t>
      </w:r>
      <w:r w:rsidR="00A156BD" w:rsidRPr="00DE1274">
        <w:rPr>
          <w:color w:val="000000" w:themeColor="text1"/>
        </w:rPr>
        <w:t>encouraged the Minister to introduce the draft asylum legislation as a matter of priority.</w:t>
      </w:r>
      <w:r w:rsidR="00053B7A" w:rsidRPr="00DE1274">
        <w:rPr>
          <w:rStyle w:val="FootnoteReference"/>
          <w:color w:val="000000" w:themeColor="text1"/>
        </w:rPr>
        <w:footnoteReference w:id="27"/>
      </w:r>
      <w:r w:rsidR="008D459C">
        <w:rPr>
          <w:color w:val="000000" w:themeColor="text1"/>
        </w:rPr>
        <w:t xml:space="preserve"> In July 2013, the Ombudsman, Emily O’Reilly expressed further concerns about the operation of the direct provision and dispersal system</w:t>
      </w:r>
      <w:r w:rsidR="00CC6F44">
        <w:rPr>
          <w:rStyle w:val="FootnoteReference"/>
          <w:color w:val="000000" w:themeColor="text1"/>
        </w:rPr>
        <w:footnoteReference w:id="28"/>
      </w:r>
      <w:r w:rsidR="00CC6F44">
        <w:rPr>
          <w:color w:val="000000" w:themeColor="text1"/>
        </w:rPr>
        <w:t xml:space="preserve"> </w:t>
      </w:r>
      <w:r w:rsidR="008D459C">
        <w:rPr>
          <w:color w:val="000000" w:themeColor="text1"/>
        </w:rPr>
        <w:t>following an investigation</w:t>
      </w:r>
      <w:r w:rsidR="005D7E3E">
        <w:rPr>
          <w:rStyle w:val="FootnoteReference"/>
          <w:color w:val="000000" w:themeColor="text1"/>
        </w:rPr>
        <w:footnoteReference w:id="29"/>
      </w:r>
      <w:r w:rsidR="008D459C">
        <w:rPr>
          <w:color w:val="000000" w:themeColor="text1"/>
        </w:rPr>
        <w:t xml:space="preserve"> i</w:t>
      </w:r>
      <w:r w:rsidR="005D7E3E">
        <w:rPr>
          <w:color w:val="000000" w:themeColor="text1"/>
        </w:rPr>
        <w:t>nto the case of the Health Service Executive’s failure to pay social welfare payments to an asylum seeking family</w:t>
      </w:r>
      <w:r w:rsidR="008D459C">
        <w:rPr>
          <w:color w:val="000000" w:themeColor="text1"/>
        </w:rPr>
        <w:t xml:space="preserve"> who</w:t>
      </w:r>
      <w:r w:rsidR="005D7E3E">
        <w:rPr>
          <w:color w:val="000000" w:themeColor="text1"/>
        </w:rPr>
        <w:t xml:space="preserve"> had been deemed to be entitled to such payments by a Social Welfare Appeals Officer</w:t>
      </w:r>
      <w:r w:rsidR="008D459C">
        <w:rPr>
          <w:color w:val="000000" w:themeColor="text1"/>
        </w:rPr>
        <w:t xml:space="preserve">. </w:t>
      </w:r>
    </w:p>
    <w:p w:rsidR="000154D8" w:rsidRPr="00DE1274" w:rsidRDefault="006D7586" w:rsidP="0096678F">
      <w:pPr>
        <w:spacing w:after="0"/>
        <w:ind w:left="720" w:right="-421"/>
        <w:rPr>
          <w:b/>
          <w:i/>
          <w:color w:val="000000" w:themeColor="text1"/>
        </w:rPr>
      </w:pPr>
      <w:r w:rsidRPr="00DE1274">
        <w:rPr>
          <w:b/>
          <w:i/>
          <w:color w:val="000000" w:themeColor="text1"/>
        </w:rPr>
        <w:t>Recommendation</w:t>
      </w:r>
      <w:r w:rsidR="000F01FD" w:rsidRPr="00DE1274">
        <w:rPr>
          <w:b/>
          <w:i/>
          <w:color w:val="000000" w:themeColor="text1"/>
        </w:rPr>
        <w:t>s</w:t>
      </w:r>
      <w:r w:rsidRPr="00DE1274">
        <w:rPr>
          <w:b/>
          <w:i/>
          <w:color w:val="000000" w:themeColor="text1"/>
        </w:rPr>
        <w:t xml:space="preserve">: </w:t>
      </w:r>
    </w:p>
    <w:p w:rsidR="006D7586" w:rsidRPr="00DE1274" w:rsidRDefault="006D7586" w:rsidP="0096678F">
      <w:pPr>
        <w:numPr>
          <w:ilvl w:val="0"/>
          <w:numId w:val="11"/>
        </w:numPr>
        <w:spacing w:after="100"/>
        <w:ind w:left="1434" w:right="-421" w:hanging="357"/>
        <w:rPr>
          <w:b/>
          <w:i/>
          <w:color w:val="000000" w:themeColor="text1"/>
        </w:rPr>
      </w:pPr>
      <w:r w:rsidRPr="00DE1274">
        <w:rPr>
          <w:b/>
          <w:i/>
          <w:color w:val="000000" w:themeColor="text1"/>
        </w:rPr>
        <w:t xml:space="preserve">The IRP Bill should be amended to deal with immigration and refugee law separately. A single procedure to determine asylum </w:t>
      </w:r>
      <w:r w:rsidR="000F01FD" w:rsidRPr="00DE1274">
        <w:rPr>
          <w:b/>
          <w:i/>
          <w:color w:val="000000" w:themeColor="text1"/>
        </w:rPr>
        <w:t>and protection claims should be introduced as a matter of urgency.</w:t>
      </w:r>
    </w:p>
    <w:p w:rsidR="006D7586" w:rsidRPr="00DE1274" w:rsidRDefault="006D7586" w:rsidP="0096678F">
      <w:pPr>
        <w:numPr>
          <w:ilvl w:val="0"/>
          <w:numId w:val="11"/>
        </w:numPr>
        <w:ind w:right="-421"/>
        <w:rPr>
          <w:b/>
          <w:i/>
          <w:color w:val="000000" w:themeColor="text1"/>
        </w:rPr>
      </w:pPr>
      <w:r w:rsidRPr="00DE1274">
        <w:rPr>
          <w:b/>
          <w:bCs/>
          <w:i/>
          <w:iCs/>
          <w:color w:val="000000" w:themeColor="text1"/>
        </w:rPr>
        <w:t>The State should carry out an audit of its policy of direct provision and dispersal to ensure it meets human rights standards in Irish law and in international human rights treaties that it has ratified. The State should respect, protect and promote the fundamental human rights of all people seeking its protection regardless of their immigration status.</w:t>
      </w:r>
    </w:p>
    <w:p w:rsidR="00794782" w:rsidRPr="00DE1274" w:rsidRDefault="00C52520" w:rsidP="0096678F">
      <w:pPr>
        <w:pStyle w:val="Default"/>
        <w:spacing w:line="276" w:lineRule="auto"/>
        <w:ind w:right="-421"/>
        <w:rPr>
          <w:b/>
          <w:bCs/>
          <w:color w:val="000000" w:themeColor="text1"/>
          <w:sz w:val="22"/>
          <w:szCs w:val="22"/>
          <w:lang w:val="en-IE"/>
        </w:rPr>
      </w:pPr>
      <w:r w:rsidRPr="00DE1274">
        <w:rPr>
          <w:b/>
          <w:bCs/>
          <w:color w:val="000000" w:themeColor="text1"/>
          <w:sz w:val="22"/>
          <w:szCs w:val="22"/>
          <w:lang w:val="en-IE"/>
        </w:rPr>
        <w:t>Article 14</w:t>
      </w:r>
      <w:r w:rsidR="004E31C7" w:rsidRPr="00DE1274">
        <w:rPr>
          <w:b/>
          <w:bCs/>
          <w:color w:val="000000" w:themeColor="text1"/>
          <w:sz w:val="22"/>
          <w:szCs w:val="22"/>
          <w:lang w:val="en-IE"/>
        </w:rPr>
        <w:t>:</w:t>
      </w:r>
      <w:r w:rsidRPr="00DE1274">
        <w:rPr>
          <w:b/>
          <w:bCs/>
          <w:color w:val="000000" w:themeColor="text1"/>
          <w:sz w:val="22"/>
          <w:szCs w:val="22"/>
          <w:lang w:val="en-IE"/>
        </w:rPr>
        <w:t xml:space="preserve"> The </w:t>
      </w:r>
      <w:r w:rsidR="000154D8" w:rsidRPr="00DE1274">
        <w:rPr>
          <w:b/>
          <w:bCs/>
          <w:color w:val="000000" w:themeColor="text1"/>
          <w:sz w:val="22"/>
          <w:szCs w:val="22"/>
          <w:lang w:val="en-IE"/>
        </w:rPr>
        <w:t>r</w:t>
      </w:r>
      <w:r w:rsidRPr="00DE1274">
        <w:rPr>
          <w:b/>
          <w:bCs/>
          <w:color w:val="000000" w:themeColor="text1"/>
          <w:sz w:val="22"/>
          <w:szCs w:val="22"/>
          <w:lang w:val="en-IE"/>
        </w:rPr>
        <w:t xml:space="preserve">ight to </w:t>
      </w:r>
      <w:r w:rsidR="004E31C7" w:rsidRPr="00DE1274">
        <w:rPr>
          <w:b/>
          <w:bCs/>
          <w:color w:val="000000" w:themeColor="text1"/>
          <w:sz w:val="22"/>
          <w:szCs w:val="22"/>
          <w:lang w:val="en-IE"/>
        </w:rPr>
        <w:t>f</w:t>
      </w:r>
      <w:r w:rsidRPr="00DE1274">
        <w:rPr>
          <w:b/>
          <w:bCs/>
          <w:color w:val="000000" w:themeColor="text1"/>
          <w:sz w:val="22"/>
          <w:szCs w:val="22"/>
          <w:lang w:val="en-IE"/>
        </w:rPr>
        <w:t xml:space="preserve">air and </w:t>
      </w:r>
      <w:r w:rsidR="004E31C7" w:rsidRPr="00DE1274">
        <w:rPr>
          <w:b/>
          <w:bCs/>
          <w:color w:val="000000" w:themeColor="text1"/>
          <w:sz w:val="22"/>
          <w:szCs w:val="22"/>
          <w:lang w:val="en-IE"/>
        </w:rPr>
        <w:t>e</w:t>
      </w:r>
      <w:r w:rsidRPr="00DE1274">
        <w:rPr>
          <w:b/>
          <w:bCs/>
          <w:color w:val="000000" w:themeColor="text1"/>
          <w:sz w:val="22"/>
          <w:szCs w:val="22"/>
          <w:lang w:val="en-IE"/>
        </w:rPr>
        <w:t xml:space="preserve">qual </w:t>
      </w:r>
      <w:r w:rsidR="004E31C7" w:rsidRPr="00DE1274">
        <w:rPr>
          <w:b/>
          <w:bCs/>
          <w:color w:val="000000" w:themeColor="text1"/>
          <w:sz w:val="22"/>
          <w:szCs w:val="22"/>
          <w:lang w:val="en-IE"/>
        </w:rPr>
        <w:t>t</w:t>
      </w:r>
      <w:r w:rsidRPr="00DE1274">
        <w:rPr>
          <w:b/>
          <w:bCs/>
          <w:color w:val="000000" w:themeColor="text1"/>
          <w:sz w:val="22"/>
          <w:szCs w:val="22"/>
          <w:lang w:val="en-IE"/>
        </w:rPr>
        <w:t xml:space="preserve">reatment before the </w:t>
      </w:r>
      <w:r w:rsidR="004E31C7" w:rsidRPr="00DE1274">
        <w:rPr>
          <w:b/>
          <w:bCs/>
          <w:color w:val="000000" w:themeColor="text1"/>
          <w:sz w:val="22"/>
          <w:szCs w:val="22"/>
          <w:lang w:val="en-IE"/>
        </w:rPr>
        <w:t>l</w:t>
      </w:r>
      <w:r w:rsidRPr="00DE1274">
        <w:rPr>
          <w:b/>
          <w:bCs/>
          <w:color w:val="000000" w:themeColor="text1"/>
          <w:sz w:val="22"/>
          <w:szCs w:val="22"/>
          <w:lang w:val="en-IE"/>
        </w:rPr>
        <w:t>aw</w:t>
      </w:r>
    </w:p>
    <w:p w:rsidR="00794782" w:rsidRPr="00DE1274" w:rsidRDefault="00794782" w:rsidP="0096678F">
      <w:pPr>
        <w:pStyle w:val="Default"/>
        <w:spacing w:line="276" w:lineRule="auto"/>
        <w:ind w:right="-421"/>
        <w:rPr>
          <w:bCs/>
          <w:color w:val="000000" w:themeColor="text1"/>
          <w:sz w:val="14"/>
          <w:szCs w:val="14"/>
          <w:lang w:val="en-IE"/>
        </w:rPr>
      </w:pPr>
    </w:p>
    <w:p w:rsidR="00C07E0D" w:rsidRPr="00DE1274" w:rsidRDefault="00C07E0D" w:rsidP="0096678F">
      <w:pPr>
        <w:ind w:right="-421"/>
        <w:rPr>
          <w:color w:val="000000" w:themeColor="text1"/>
        </w:rPr>
      </w:pPr>
      <w:r w:rsidRPr="00DE1274">
        <w:rPr>
          <w:bCs/>
          <w:color w:val="000000" w:themeColor="text1"/>
        </w:rPr>
        <w:t xml:space="preserve">The State report refers to the provision of civil legal aid by the Legal Aid Board and while it describes the Board’s financial allocation as remaining “relatively stable” </w:t>
      </w:r>
      <w:r w:rsidRPr="00DE1274">
        <w:rPr>
          <w:color w:val="000000" w:themeColor="text1"/>
        </w:rPr>
        <w:t xml:space="preserve">there has been a reduction in its core budget of over 10 per cent </w:t>
      </w:r>
      <w:r w:rsidRPr="00DE1274">
        <w:rPr>
          <w:color w:val="000000" w:themeColor="text1"/>
        </w:rPr>
        <w:lastRenderedPageBreak/>
        <w:t>from 2008 to 2010.</w:t>
      </w:r>
      <w:r w:rsidRPr="00DE1274">
        <w:rPr>
          <w:rStyle w:val="FootnoteReference"/>
          <w:color w:val="000000" w:themeColor="text1"/>
        </w:rPr>
        <w:footnoteReference w:id="30"/>
      </w:r>
      <w:r w:rsidRPr="00DE1274">
        <w:rPr>
          <w:color w:val="000000" w:themeColor="text1"/>
        </w:rPr>
        <w:t xml:space="preserve">  </w:t>
      </w:r>
      <w:r w:rsidRPr="00DE1274">
        <w:rPr>
          <w:bCs/>
          <w:color w:val="000000" w:themeColor="text1"/>
        </w:rPr>
        <w:t>Also, the Legal Aid Board has taken over responsibility for other bodies such as the Family Mediation Service, increasing the pressure</w:t>
      </w:r>
      <w:r w:rsidR="0019036D" w:rsidRPr="00DE1274">
        <w:rPr>
          <w:bCs/>
          <w:color w:val="000000" w:themeColor="text1"/>
        </w:rPr>
        <w:t xml:space="preserve"> on the Board</w:t>
      </w:r>
      <w:r w:rsidRPr="00DE1274">
        <w:rPr>
          <w:bCs/>
          <w:color w:val="000000" w:themeColor="text1"/>
        </w:rPr>
        <w:t>. Civil legal aid has proved to be a barometer in the recession. Since 2007, demand for civil legal aid has risen by approximately 97</w:t>
      </w:r>
      <w:r w:rsidR="0019036D" w:rsidRPr="00DE1274">
        <w:rPr>
          <w:bCs/>
          <w:color w:val="000000" w:themeColor="text1"/>
        </w:rPr>
        <w:t xml:space="preserve"> per cent </w:t>
      </w:r>
      <w:r w:rsidRPr="00DE1274">
        <w:rPr>
          <w:bCs/>
          <w:color w:val="000000" w:themeColor="text1"/>
        </w:rPr>
        <w:t>without any change in the rules under which people can apply.  As a result of increased demand, reduced budg</w:t>
      </w:r>
      <w:r w:rsidR="000B664A">
        <w:rPr>
          <w:bCs/>
          <w:color w:val="000000" w:themeColor="text1"/>
        </w:rPr>
        <w:t xml:space="preserve">et and a recruitment ban </w:t>
      </w:r>
      <w:r w:rsidRPr="00DE1274">
        <w:rPr>
          <w:bCs/>
          <w:color w:val="000000" w:themeColor="text1"/>
        </w:rPr>
        <w:t xml:space="preserve">in the public service, the pressure on the service is such that in </w:t>
      </w:r>
      <w:r w:rsidR="00A156BD" w:rsidRPr="00DE1274">
        <w:rPr>
          <w:bCs/>
          <w:color w:val="000000" w:themeColor="text1"/>
        </w:rPr>
        <w:t xml:space="preserve">May 2013 </w:t>
      </w:r>
      <w:r w:rsidR="00596373">
        <w:rPr>
          <w:bCs/>
          <w:color w:val="000000" w:themeColor="text1"/>
        </w:rPr>
        <w:t xml:space="preserve">there were </w:t>
      </w:r>
      <w:r w:rsidR="00596373" w:rsidRPr="00596373">
        <w:rPr>
          <w:bCs/>
          <w:color w:val="000000" w:themeColor="text1"/>
        </w:rPr>
        <w:t>5271</w:t>
      </w:r>
      <w:r w:rsidR="00596373">
        <w:rPr>
          <w:bCs/>
          <w:color w:val="000000" w:themeColor="text1"/>
        </w:rPr>
        <w:t xml:space="preserve"> people</w:t>
      </w:r>
      <w:r w:rsidR="00596373" w:rsidRPr="00596373">
        <w:rPr>
          <w:bCs/>
          <w:color w:val="000000" w:themeColor="text1"/>
        </w:rPr>
        <w:t xml:space="preserve"> waiting for a first appointment</w:t>
      </w:r>
      <w:r w:rsidR="00596373">
        <w:rPr>
          <w:bCs/>
          <w:color w:val="000000" w:themeColor="text1"/>
        </w:rPr>
        <w:t>. Furthermore,</w:t>
      </w:r>
      <w:r w:rsidR="00596373" w:rsidRPr="00596373">
        <w:rPr>
          <w:bCs/>
          <w:color w:val="000000" w:themeColor="text1"/>
        </w:rPr>
        <w:t xml:space="preserve"> </w:t>
      </w:r>
      <w:r w:rsidR="00A156BD" w:rsidRPr="00DE1274">
        <w:rPr>
          <w:bCs/>
          <w:color w:val="000000" w:themeColor="text1"/>
        </w:rPr>
        <w:t xml:space="preserve">some 25 of the State’s 31 law centres had a waiting time of </w:t>
      </w:r>
      <w:r w:rsidR="00086308" w:rsidRPr="00DE1274">
        <w:rPr>
          <w:bCs/>
          <w:color w:val="000000" w:themeColor="text1"/>
        </w:rPr>
        <w:t>five</w:t>
      </w:r>
      <w:r w:rsidR="00A156BD" w:rsidRPr="00DE1274">
        <w:rPr>
          <w:bCs/>
          <w:color w:val="000000" w:themeColor="text1"/>
        </w:rPr>
        <w:t xml:space="preserve"> months or more for qualified applicants to meet a lawyer and one centre had a waiting time of 18 months. </w:t>
      </w:r>
      <w:r w:rsidR="00596373">
        <w:rPr>
          <w:bCs/>
          <w:color w:val="000000" w:themeColor="text1"/>
        </w:rPr>
        <w:t>This is despite the fact that the Legal Aid Board i</w:t>
      </w:r>
      <w:r w:rsidR="00596373" w:rsidRPr="00596373">
        <w:rPr>
          <w:bCs/>
          <w:color w:val="000000" w:themeColor="text1"/>
        </w:rPr>
        <w:t>tself designates a period of between two and four month</w:t>
      </w:r>
      <w:r w:rsidR="00596373">
        <w:rPr>
          <w:bCs/>
          <w:color w:val="000000" w:themeColor="text1"/>
        </w:rPr>
        <w:t>s as an acceptable waiting time.</w:t>
      </w:r>
      <w:r w:rsidR="00596373">
        <w:rPr>
          <w:rStyle w:val="FootnoteReference"/>
          <w:bCs/>
          <w:color w:val="000000" w:themeColor="text1"/>
        </w:rPr>
        <w:footnoteReference w:id="31"/>
      </w:r>
    </w:p>
    <w:p w:rsidR="00C07E0D" w:rsidRPr="00DE1274" w:rsidRDefault="00C07E0D" w:rsidP="0096678F">
      <w:pPr>
        <w:pStyle w:val="Default"/>
        <w:spacing w:line="276" w:lineRule="auto"/>
        <w:ind w:right="-421"/>
        <w:rPr>
          <w:color w:val="000000" w:themeColor="text1"/>
          <w:sz w:val="22"/>
          <w:szCs w:val="22"/>
          <w:lang w:val="en-IE"/>
        </w:rPr>
      </w:pPr>
      <w:r w:rsidRPr="00DE1274">
        <w:rPr>
          <w:color w:val="000000" w:themeColor="text1"/>
          <w:sz w:val="22"/>
          <w:szCs w:val="22"/>
          <w:lang w:val="en-IE"/>
        </w:rPr>
        <w:t>It is also important to note that while the State report declares at page 154 that “[u]</w:t>
      </w:r>
      <w:proofErr w:type="spellStart"/>
      <w:r w:rsidRPr="00DE1274">
        <w:rPr>
          <w:color w:val="000000" w:themeColor="text1"/>
          <w:sz w:val="22"/>
          <w:szCs w:val="22"/>
          <w:lang w:val="en-IE"/>
        </w:rPr>
        <w:t>nlike</w:t>
      </w:r>
      <w:proofErr w:type="spellEnd"/>
      <w:r w:rsidRPr="00DE1274">
        <w:rPr>
          <w:color w:val="000000" w:themeColor="text1"/>
          <w:sz w:val="22"/>
          <w:szCs w:val="22"/>
          <w:lang w:val="en-IE"/>
        </w:rPr>
        <w:t xml:space="preserve"> in a number of other jurisdictions no actions have been taken to limit the scope of civil legal aid”, this does not recognise that the legal aid scheme has always operated a number of exclusions in relation to housing rights, representation before tribunals including the Social Welfare Appeals Office, the Equality Tribunal and the Employment Appeals Tribunal and defamation. These areas of law can have a major impact on already vulnerable people and exclusion from the legal aid scheme may deny people on lower incomes access to the legal system.</w:t>
      </w:r>
    </w:p>
    <w:p w:rsidR="006A18B5" w:rsidRPr="00DE1274" w:rsidRDefault="006A18B5" w:rsidP="0096678F">
      <w:pPr>
        <w:pStyle w:val="Default"/>
        <w:spacing w:line="276" w:lineRule="auto"/>
        <w:ind w:right="-421"/>
        <w:rPr>
          <w:color w:val="000000" w:themeColor="text1"/>
          <w:sz w:val="14"/>
          <w:szCs w:val="14"/>
          <w:lang w:val="en-IE"/>
        </w:rPr>
      </w:pPr>
    </w:p>
    <w:p w:rsidR="00C07E0D" w:rsidRPr="00DE1274" w:rsidRDefault="00C07E0D" w:rsidP="0096678F">
      <w:pPr>
        <w:pStyle w:val="Default"/>
        <w:spacing w:line="276" w:lineRule="auto"/>
        <w:ind w:right="-421"/>
        <w:rPr>
          <w:color w:val="000000" w:themeColor="text1"/>
          <w:sz w:val="22"/>
          <w:szCs w:val="22"/>
          <w:lang w:val="en-IE"/>
        </w:rPr>
      </w:pPr>
      <w:r w:rsidRPr="00DE1274">
        <w:rPr>
          <w:color w:val="000000" w:themeColor="text1"/>
          <w:sz w:val="22"/>
          <w:szCs w:val="22"/>
          <w:lang w:val="en-IE"/>
        </w:rPr>
        <w:t xml:space="preserve">In relation to quasi-judicial tribunals, there are concerns about the independence of both the Refugee Appeals Tribunal and the Social Welfare Appeals Office. </w:t>
      </w:r>
    </w:p>
    <w:p w:rsidR="00C07E0D" w:rsidRPr="00DE1274" w:rsidRDefault="00C07E0D" w:rsidP="0096678F">
      <w:pPr>
        <w:pStyle w:val="Default"/>
        <w:spacing w:line="276" w:lineRule="auto"/>
        <w:ind w:right="-421"/>
        <w:rPr>
          <w:color w:val="000000" w:themeColor="text1"/>
          <w:sz w:val="14"/>
          <w:szCs w:val="14"/>
          <w:lang w:val="en-IE"/>
        </w:rPr>
      </w:pPr>
    </w:p>
    <w:p w:rsidR="00C07E0D" w:rsidRPr="00DE1274" w:rsidRDefault="00C07E0D" w:rsidP="0096678F">
      <w:pPr>
        <w:pStyle w:val="Default"/>
        <w:spacing w:line="276" w:lineRule="auto"/>
        <w:ind w:left="720" w:right="-421"/>
        <w:rPr>
          <w:b/>
          <w:bCs/>
          <w:i/>
          <w:iCs/>
          <w:color w:val="000000" w:themeColor="text1"/>
          <w:sz w:val="22"/>
          <w:szCs w:val="22"/>
          <w:lang w:val="en-IE"/>
        </w:rPr>
      </w:pPr>
      <w:r w:rsidRPr="00DE1274">
        <w:rPr>
          <w:b/>
          <w:bCs/>
          <w:i/>
          <w:iCs/>
          <w:color w:val="000000" w:themeColor="text1"/>
          <w:sz w:val="22"/>
          <w:szCs w:val="22"/>
          <w:lang w:val="en-IE"/>
        </w:rPr>
        <w:t xml:space="preserve">Recommendation: </w:t>
      </w:r>
    </w:p>
    <w:p w:rsidR="00C07E0D" w:rsidRPr="00DE1274" w:rsidRDefault="00C07E0D" w:rsidP="0096678F">
      <w:pPr>
        <w:pStyle w:val="Default"/>
        <w:numPr>
          <w:ilvl w:val="0"/>
          <w:numId w:val="11"/>
        </w:numPr>
        <w:spacing w:line="276" w:lineRule="auto"/>
        <w:ind w:right="-421"/>
        <w:rPr>
          <w:b/>
          <w:bCs/>
          <w:i/>
          <w:iCs/>
          <w:color w:val="000000" w:themeColor="text1"/>
          <w:sz w:val="22"/>
          <w:szCs w:val="22"/>
          <w:lang w:val="en-IE"/>
        </w:rPr>
      </w:pPr>
      <w:r w:rsidRPr="00DE1274">
        <w:rPr>
          <w:b/>
          <w:bCs/>
          <w:i/>
          <w:iCs/>
          <w:color w:val="000000" w:themeColor="text1"/>
          <w:sz w:val="22"/>
          <w:szCs w:val="22"/>
          <w:lang w:val="en-IE"/>
        </w:rPr>
        <w:t xml:space="preserve">The State must take steps to ensure that all those in need of civil legal aid and entitled to it will be able to gain access to the legal services that they need in a timely fashion. </w:t>
      </w:r>
    </w:p>
    <w:p w:rsidR="00C07E0D" w:rsidRPr="00DE1274" w:rsidRDefault="00C07E0D" w:rsidP="0096678F">
      <w:pPr>
        <w:pStyle w:val="Default"/>
        <w:numPr>
          <w:ilvl w:val="0"/>
          <w:numId w:val="11"/>
        </w:numPr>
        <w:spacing w:line="276" w:lineRule="auto"/>
        <w:ind w:right="-421"/>
        <w:rPr>
          <w:b/>
          <w:bCs/>
          <w:i/>
          <w:iCs/>
          <w:color w:val="000000" w:themeColor="text1"/>
          <w:sz w:val="22"/>
          <w:szCs w:val="22"/>
          <w:lang w:val="en-IE"/>
        </w:rPr>
      </w:pPr>
      <w:r w:rsidRPr="00DE1274">
        <w:rPr>
          <w:b/>
          <w:bCs/>
          <w:i/>
          <w:iCs/>
          <w:color w:val="000000" w:themeColor="text1"/>
          <w:sz w:val="22"/>
          <w:szCs w:val="22"/>
          <w:lang w:val="en-IE"/>
        </w:rPr>
        <w:t>Nobody should be excluded from accessing legal aid simply because of the area of law of his/her legal issue.</w:t>
      </w:r>
    </w:p>
    <w:p w:rsidR="00D503EC" w:rsidRPr="00DE1274" w:rsidRDefault="00D503EC" w:rsidP="0096678F">
      <w:pPr>
        <w:pStyle w:val="Default"/>
        <w:spacing w:line="276" w:lineRule="auto"/>
        <w:ind w:right="-421"/>
        <w:rPr>
          <w:color w:val="000000" w:themeColor="text1"/>
          <w:sz w:val="14"/>
          <w:szCs w:val="14"/>
          <w:lang w:val="en-IE"/>
        </w:rPr>
      </w:pPr>
    </w:p>
    <w:p w:rsidR="00D503EC" w:rsidRPr="00DE1274" w:rsidRDefault="00D503EC" w:rsidP="0096678F">
      <w:pPr>
        <w:pStyle w:val="Default"/>
        <w:spacing w:line="276" w:lineRule="auto"/>
        <w:ind w:right="-421"/>
        <w:rPr>
          <w:b/>
          <w:color w:val="000000" w:themeColor="text1"/>
          <w:sz w:val="22"/>
          <w:szCs w:val="22"/>
          <w:lang w:val="en-IE"/>
        </w:rPr>
      </w:pPr>
      <w:r w:rsidRPr="00DE1274">
        <w:rPr>
          <w:b/>
          <w:color w:val="000000" w:themeColor="text1"/>
          <w:sz w:val="22"/>
          <w:szCs w:val="22"/>
          <w:lang w:val="en-IE"/>
        </w:rPr>
        <w:t>Article 16</w:t>
      </w:r>
      <w:r w:rsidR="000154D8" w:rsidRPr="00DE1274">
        <w:rPr>
          <w:b/>
          <w:color w:val="000000" w:themeColor="text1"/>
          <w:sz w:val="22"/>
          <w:szCs w:val="22"/>
          <w:lang w:val="en-IE"/>
        </w:rPr>
        <w:t>:</w:t>
      </w:r>
      <w:r w:rsidRPr="00DE1274">
        <w:rPr>
          <w:b/>
          <w:color w:val="000000" w:themeColor="text1"/>
          <w:sz w:val="22"/>
          <w:szCs w:val="22"/>
          <w:lang w:val="en-IE"/>
        </w:rPr>
        <w:t xml:space="preserve"> The </w:t>
      </w:r>
      <w:r w:rsidR="000154D8" w:rsidRPr="00DE1274">
        <w:rPr>
          <w:b/>
          <w:color w:val="000000" w:themeColor="text1"/>
          <w:sz w:val="22"/>
          <w:szCs w:val="22"/>
          <w:lang w:val="en-IE"/>
        </w:rPr>
        <w:t>r</w:t>
      </w:r>
      <w:r w:rsidRPr="00DE1274">
        <w:rPr>
          <w:b/>
          <w:color w:val="000000" w:themeColor="text1"/>
          <w:sz w:val="22"/>
          <w:szCs w:val="22"/>
          <w:lang w:val="en-IE"/>
        </w:rPr>
        <w:t xml:space="preserve">ight to be </w:t>
      </w:r>
      <w:r w:rsidR="004E31C7" w:rsidRPr="00DE1274">
        <w:rPr>
          <w:b/>
          <w:color w:val="000000" w:themeColor="text1"/>
          <w:sz w:val="22"/>
          <w:szCs w:val="22"/>
          <w:lang w:val="en-IE"/>
        </w:rPr>
        <w:t>r</w:t>
      </w:r>
      <w:r w:rsidRPr="00DE1274">
        <w:rPr>
          <w:b/>
          <w:color w:val="000000" w:themeColor="text1"/>
          <w:sz w:val="22"/>
          <w:szCs w:val="22"/>
          <w:lang w:val="en-IE"/>
        </w:rPr>
        <w:t xml:space="preserve">ecognised as a </w:t>
      </w:r>
      <w:r w:rsidR="004E31C7" w:rsidRPr="00DE1274">
        <w:rPr>
          <w:b/>
          <w:color w:val="000000" w:themeColor="text1"/>
          <w:sz w:val="22"/>
          <w:szCs w:val="22"/>
          <w:lang w:val="en-IE"/>
        </w:rPr>
        <w:t>p</w:t>
      </w:r>
      <w:r w:rsidRPr="00DE1274">
        <w:rPr>
          <w:b/>
          <w:color w:val="000000" w:themeColor="text1"/>
          <w:sz w:val="22"/>
          <w:szCs w:val="22"/>
          <w:lang w:val="en-IE"/>
        </w:rPr>
        <w:t xml:space="preserve">erson before the </w:t>
      </w:r>
      <w:r w:rsidR="004E31C7" w:rsidRPr="00DE1274">
        <w:rPr>
          <w:b/>
          <w:color w:val="000000" w:themeColor="text1"/>
          <w:sz w:val="22"/>
          <w:szCs w:val="22"/>
          <w:lang w:val="en-IE"/>
        </w:rPr>
        <w:t>l</w:t>
      </w:r>
      <w:r w:rsidRPr="00DE1274">
        <w:rPr>
          <w:b/>
          <w:color w:val="000000" w:themeColor="text1"/>
          <w:sz w:val="22"/>
          <w:szCs w:val="22"/>
          <w:lang w:val="en-IE"/>
        </w:rPr>
        <w:t>aw</w:t>
      </w:r>
    </w:p>
    <w:p w:rsidR="008D5C60" w:rsidRDefault="008D5C60" w:rsidP="008D5C60">
      <w:pPr>
        <w:widowControl w:val="0"/>
        <w:autoSpaceDE w:val="0"/>
        <w:autoSpaceDN w:val="0"/>
        <w:adjustRightInd w:val="0"/>
        <w:spacing w:after="0"/>
        <w:ind w:right="-421"/>
        <w:rPr>
          <w:rFonts w:cs="Calibri"/>
          <w:b/>
          <w:bCs/>
          <w:color w:val="000000"/>
          <w:sz w:val="14"/>
          <w:szCs w:val="14"/>
          <w:lang w:val="en"/>
        </w:rPr>
      </w:pPr>
    </w:p>
    <w:p w:rsidR="008D5C60" w:rsidRDefault="008D5C60" w:rsidP="003845CF">
      <w:r w:rsidRPr="00D0175A">
        <w:rPr>
          <w:rFonts w:cs="Calibri"/>
          <w:color w:val="000000" w:themeColor="text1"/>
          <w:lang w:val="en"/>
        </w:rPr>
        <w:t xml:space="preserve">In July 2013, the Minister for Social Protection published outline legislation to </w:t>
      </w:r>
      <w:proofErr w:type="spellStart"/>
      <w:r w:rsidRPr="00D0175A">
        <w:rPr>
          <w:rFonts w:cs="Calibri"/>
          <w:color w:val="000000" w:themeColor="text1"/>
          <w:lang w:val="en"/>
        </w:rPr>
        <w:t>recognise</w:t>
      </w:r>
      <w:proofErr w:type="spellEnd"/>
      <w:r w:rsidRPr="00D0175A">
        <w:rPr>
          <w:rFonts w:cs="Calibri"/>
          <w:color w:val="000000" w:themeColor="text1"/>
          <w:lang w:val="en"/>
        </w:rPr>
        <w:t xml:space="preserve"> transgender people in their true gender but FLAC is concerned that the legislation has not yet been enacted to permit “the issuance of new birth certificates” as recommended by the Human Rights Committee in its Concluding Observations in 2008. The Irish courts had held in 2007 that Ireland was in breach of the European Convention on Human Rights because of its failure to give legal recognition to transgender woman Lydia Foy.</w:t>
      </w:r>
    </w:p>
    <w:p w:rsidR="00A56C95" w:rsidRDefault="007B24F1" w:rsidP="003845CF">
      <w:r w:rsidRPr="003845CF">
        <w:t xml:space="preserve">While the Heads of Bill are an improvement on the recommendations of the Gender Recognition Advisory Group (GRAG) made in 2011, FLAC remains </w:t>
      </w:r>
    </w:p>
    <w:p w:rsidR="000F01FD" w:rsidRPr="008D5C60" w:rsidRDefault="007B24F1" w:rsidP="008D5C60">
      <w:pPr>
        <w:ind w:left="720"/>
      </w:pPr>
      <w:r w:rsidRPr="003845CF">
        <w:t xml:space="preserve">concerned about a number of issues, such as the requirement on married transgender persons to divorce in order to get recognition in their preferred gender; the lack of provision for recognising young persons under 18, and the apparent requirement that only doctors can give supporting evidence of a </w:t>
      </w:r>
      <w:r w:rsidRPr="003845CF">
        <w:lastRenderedPageBreak/>
        <w:t>transgender person’s deeply felt desire and commitment to live permanently in their preferred gender.</w:t>
      </w:r>
      <w:r w:rsidR="00A56C95">
        <w:rPr>
          <w:rStyle w:val="FootnoteReference"/>
        </w:rPr>
        <w:footnoteReference w:id="32"/>
      </w:r>
      <w:r w:rsidRPr="003845CF">
        <w:t> </w:t>
      </w:r>
    </w:p>
    <w:p w:rsidR="008D5C60" w:rsidRDefault="008D5C60" w:rsidP="008D5C60">
      <w:pPr>
        <w:widowControl w:val="0"/>
        <w:autoSpaceDE w:val="0"/>
        <w:autoSpaceDN w:val="0"/>
        <w:adjustRightInd w:val="0"/>
        <w:spacing w:after="0"/>
        <w:ind w:right="-421"/>
        <w:rPr>
          <w:rFonts w:cs="Calibri"/>
          <w:color w:val="000000"/>
          <w:lang w:val="en"/>
        </w:rPr>
      </w:pPr>
      <w:r w:rsidRPr="00D0175A">
        <w:rPr>
          <w:rFonts w:cs="Calibri"/>
          <w:color w:val="000000" w:themeColor="text1"/>
          <w:lang w:val="en"/>
        </w:rPr>
        <w:t>As regards the requirement that married transgender persons must divorce, Germany had a similar provision intended to prevent apparent same-sex marriages, which were not permitted under German law.  But in May 2008 the German Constitutional Court</w:t>
      </w:r>
      <w:r>
        <w:rPr>
          <w:rFonts w:cs="Calibri"/>
          <w:color w:val="FF0000"/>
          <w:lang w:val="en"/>
        </w:rPr>
        <w:t xml:space="preserve"> </w:t>
      </w:r>
      <w:r>
        <w:rPr>
          <w:rFonts w:cs="Calibri"/>
          <w:color w:val="000000"/>
          <w:lang w:val="en"/>
        </w:rPr>
        <w:t>held that to force or pressure spouses to divorce against their wishes undermined the protection of their marriage provided by the Constitution and infringed their fundamental rights.</w:t>
      </w:r>
      <w:r w:rsidRPr="00DE1274">
        <w:rPr>
          <w:rStyle w:val="FootnoteReference"/>
          <w:color w:val="000000" w:themeColor="text1"/>
        </w:rPr>
        <w:footnoteReference w:id="33"/>
      </w:r>
      <w:r>
        <w:rPr>
          <w:rFonts w:cs="Calibri"/>
          <w:color w:val="000000"/>
          <w:lang w:val="en"/>
        </w:rPr>
        <w:t xml:space="preserve">  Ireland should follow Germany’s example and refrain from imposing a divorce requirement on married couples where one partner has transitioned her/his gender. </w:t>
      </w:r>
    </w:p>
    <w:p w:rsidR="008D5C60" w:rsidRDefault="008D5C60" w:rsidP="008D5C60">
      <w:pPr>
        <w:widowControl w:val="0"/>
        <w:autoSpaceDE w:val="0"/>
        <w:autoSpaceDN w:val="0"/>
        <w:adjustRightInd w:val="0"/>
        <w:spacing w:after="0"/>
        <w:ind w:right="-421"/>
        <w:rPr>
          <w:rFonts w:cs="Calibri"/>
          <w:color w:val="000000"/>
          <w:sz w:val="14"/>
          <w:szCs w:val="14"/>
          <w:lang w:val="en"/>
        </w:rPr>
      </w:pPr>
    </w:p>
    <w:p w:rsidR="008D5C60" w:rsidRPr="00D0175A" w:rsidRDefault="008D5C60" w:rsidP="008D5C60">
      <w:pPr>
        <w:widowControl w:val="0"/>
        <w:autoSpaceDE w:val="0"/>
        <w:autoSpaceDN w:val="0"/>
        <w:adjustRightInd w:val="0"/>
        <w:spacing w:after="0"/>
        <w:ind w:right="-421"/>
        <w:rPr>
          <w:rFonts w:cs="Calibri"/>
          <w:strike/>
          <w:color w:val="000000"/>
          <w:lang w:val="en"/>
        </w:rPr>
      </w:pPr>
      <w:r>
        <w:rPr>
          <w:rFonts w:cs="Calibri"/>
          <w:color w:val="000000"/>
          <w:lang w:val="en"/>
        </w:rPr>
        <w:t xml:space="preserve">Another anomaly has arisen in the absence of gender recognition legislation, in so far as a transgender person from another EU member </w:t>
      </w:r>
      <w:r w:rsidRPr="00D0175A">
        <w:rPr>
          <w:rFonts w:cs="Calibri"/>
          <w:color w:val="000000" w:themeColor="text1"/>
          <w:lang w:val="en"/>
        </w:rPr>
        <w:t xml:space="preserve">state, </w:t>
      </w:r>
      <w:proofErr w:type="gramStart"/>
      <w:r w:rsidRPr="00D0175A">
        <w:rPr>
          <w:rFonts w:cs="Calibri"/>
          <w:color w:val="000000" w:themeColor="text1"/>
          <w:lang w:val="en"/>
        </w:rPr>
        <w:t>whose</w:t>
      </w:r>
      <w:proofErr w:type="gramEnd"/>
      <w:r w:rsidRPr="00D0175A">
        <w:rPr>
          <w:rFonts w:cs="Calibri"/>
          <w:color w:val="000000" w:themeColor="text1"/>
          <w:lang w:val="en"/>
        </w:rPr>
        <w:t xml:space="preserve"> acquired gender is </w:t>
      </w:r>
      <w:proofErr w:type="spellStart"/>
      <w:r w:rsidRPr="00D0175A">
        <w:rPr>
          <w:rFonts w:cs="Calibri"/>
          <w:color w:val="000000" w:themeColor="text1"/>
          <w:lang w:val="en"/>
        </w:rPr>
        <w:t>recognised</w:t>
      </w:r>
      <w:proofErr w:type="spellEnd"/>
      <w:r w:rsidRPr="00D0175A">
        <w:rPr>
          <w:rFonts w:cs="Calibri"/>
          <w:color w:val="000000" w:themeColor="text1"/>
          <w:lang w:val="en"/>
        </w:rPr>
        <w:t xml:space="preserve"> by her/his own government,</w:t>
      </w:r>
      <w:r>
        <w:rPr>
          <w:rFonts w:cs="Calibri"/>
          <w:color w:val="FF0000"/>
          <w:lang w:val="en"/>
        </w:rPr>
        <w:t xml:space="preserve"> </w:t>
      </w:r>
      <w:r>
        <w:rPr>
          <w:rFonts w:cs="Calibri"/>
          <w:color w:val="000000"/>
          <w:lang w:val="en"/>
        </w:rPr>
        <w:t>can enter into a civil partnership in Ireland with a person of the same gender whereas an Irish transgender person cannot.</w:t>
      </w:r>
      <w:r w:rsidRPr="00DE1274">
        <w:rPr>
          <w:rStyle w:val="FootnoteReference"/>
          <w:color w:val="000000" w:themeColor="text1"/>
        </w:rPr>
        <w:footnoteReference w:id="34"/>
      </w:r>
      <w:r>
        <w:rPr>
          <w:rFonts w:cs="Calibri"/>
          <w:color w:val="000000"/>
          <w:lang w:val="en"/>
        </w:rPr>
        <w:t xml:space="preserve">  </w:t>
      </w:r>
    </w:p>
    <w:p w:rsidR="008760D1" w:rsidRPr="00DE1274" w:rsidRDefault="008760D1" w:rsidP="0096678F">
      <w:pPr>
        <w:pStyle w:val="Default"/>
        <w:spacing w:line="276" w:lineRule="auto"/>
        <w:ind w:right="-421"/>
        <w:rPr>
          <w:color w:val="000000" w:themeColor="text1"/>
          <w:sz w:val="22"/>
          <w:szCs w:val="22"/>
          <w:lang w:val="en-IE"/>
        </w:rPr>
      </w:pPr>
    </w:p>
    <w:p w:rsidR="008760D1" w:rsidRPr="00DE1274" w:rsidRDefault="00921893" w:rsidP="0096678F">
      <w:pPr>
        <w:pStyle w:val="Default"/>
        <w:spacing w:line="276" w:lineRule="auto"/>
        <w:ind w:right="-421"/>
        <w:rPr>
          <w:color w:val="000000" w:themeColor="text1"/>
          <w:sz w:val="22"/>
          <w:szCs w:val="22"/>
          <w:lang w:val="en-IE"/>
        </w:rPr>
      </w:pPr>
      <w:r w:rsidRPr="00DE1274">
        <w:rPr>
          <w:color w:val="000000" w:themeColor="text1"/>
          <w:sz w:val="22"/>
          <w:szCs w:val="22"/>
          <w:lang w:val="en-IE"/>
        </w:rPr>
        <w:t>Furthermore, i</w:t>
      </w:r>
      <w:r w:rsidR="008760D1" w:rsidRPr="00DE1274">
        <w:rPr>
          <w:color w:val="000000" w:themeColor="text1"/>
          <w:sz w:val="22"/>
          <w:szCs w:val="22"/>
          <w:lang w:val="en-IE"/>
        </w:rPr>
        <w:t>n March 2013, the newly elected Maltese Government brought in gender recognition legislation. This has left Ireland as the only EU Member State with no provision at all for recognising transgender persons in their acquired or true gender.</w:t>
      </w:r>
    </w:p>
    <w:p w:rsidR="00921893" w:rsidRPr="00DE1274" w:rsidRDefault="00921893" w:rsidP="0096678F">
      <w:pPr>
        <w:pStyle w:val="Default"/>
        <w:spacing w:line="276" w:lineRule="auto"/>
        <w:ind w:right="-421"/>
        <w:rPr>
          <w:color w:val="000000" w:themeColor="text1"/>
          <w:sz w:val="22"/>
          <w:szCs w:val="22"/>
          <w:lang w:val="en-IE"/>
        </w:rPr>
      </w:pPr>
    </w:p>
    <w:p w:rsidR="008D5C60" w:rsidRDefault="008D5C60" w:rsidP="008D5C60">
      <w:pPr>
        <w:widowControl w:val="0"/>
        <w:autoSpaceDE w:val="0"/>
        <w:autoSpaceDN w:val="0"/>
        <w:adjustRightInd w:val="0"/>
        <w:spacing w:after="0"/>
        <w:ind w:right="-421"/>
        <w:rPr>
          <w:rFonts w:cs="Calibri"/>
          <w:color w:val="000000"/>
          <w:lang w:val="en"/>
        </w:rPr>
      </w:pPr>
      <w:r>
        <w:rPr>
          <w:rFonts w:cs="Calibri"/>
          <w:color w:val="000000"/>
          <w:lang w:val="en"/>
        </w:rPr>
        <w:t xml:space="preserve">In January 2013, </w:t>
      </w:r>
      <w:r w:rsidRPr="00D0175A">
        <w:rPr>
          <w:rFonts w:cs="Calibri"/>
          <w:color w:val="000000" w:themeColor="text1"/>
          <w:lang w:val="en"/>
        </w:rPr>
        <w:t>Lydia Foy, represented by</w:t>
      </w:r>
      <w:r>
        <w:rPr>
          <w:rFonts w:cs="Calibri"/>
          <w:color w:val="FF0000"/>
          <w:lang w:val="en"/>
        </w:rPr>
        <w:t xml:space="preserve"> </w:t>
      </w:r>
      <w:r>
        <w:rPr>
          <w:rFonts w:cs="Calibri"/>
          <w:color w:val="000000"/>
          <w:lang w:val="en"/>
        </w:rPr>
        <w:t>FLAC, issued new legal proceedings following the government’s failure to introduce gender recognition legislation. She asked the court to either direct that gender recognition legislation be introduced forthwith, or to declare that the European Convention on Human Rights Act 2003, which incorporated the European Convention into Irish law, is ineffective and must be changed to allow for an effective remedy.</w:t>
      </w:r>
    </w:p>
    <w:p w:rsidR="00D503EC" w:rsidRPr="00DE1274" w:rsidRDefault="00D503EC" w:rsidP="0096678F">
      <w:pPr>
        <w:pStyle w:val="Default"/>
        <w:spacing w:line="276" w:lineRule="auto"/>
        <w:ind w:right="-421"/>
        <w:rPr>
          <w:bCs/>
          <w:color w:val="000000" w:themeColor="text1"/>
          <w:sz w:val="14"/>
          <w:szCs w:val="14"/>
          <w:lang w:val="en-IE"/>
        </w:rPr>
      </w:pPr>
    </w:p>
    <w:p w:rsidR="000154D8" w:rsidRPr="00DE1274" w:rsidRDefault="000F01FD" w:rsidP="0096678F">
      <w:pPr>
        <w:pStyle w:val="Default"/>
        <w:spacing w:line="276" w:lineRule="auto"/>
        <w:ind w:left="720" w:right="-421"/>
        <w:rPr>
          <w:b/>
          <w:bCs/>
          <w:i/>
          <w:color w:val="000000" w:themeColor="text1"/>
          <w:sz w:val="22"/>
          <w:szCs w:val="22"/>
          <w:lang w:val="en-IE"/>
        </w:rPr>
      </w:pPr>
      <w:r w:rsidRPr="00DE1274">
        <w:rPr>
          <w:b/>
          <w:bCs/>
          <w:i/>
          <w:color w:val="000000" w:themeColor="text1"/>
          <w:sz w:val="22"/>
          <w:szCs w:val="22"/>
          <w:lang w:val="en-IE"/>
        </w:rPr>
        <w:t xml:space="preserve">Recommendation: </w:t>
      </w:r>
    </w:p>
    <w:p w:rsidR="008D5C60" w:rsidRPr="00D0175A" w:rsidRDefault="008D5C60" w:rsidP="008D5C60">
      <w:pPr>
        <w:widowControl w:val="0"/>
        <w:numPr>
          <w:ilvl w:val="0"/>
          <w:numId w:val="12"/>
        </w:numPr>
        <w:autoSpaceDE w:val="0"/>
        <w:autoSpaceDN w:val="0"/>
        <w:adjustRightInd w:val="0"/>
        <w:spacing w:after="0"/>
        <w:ind w:left="1440" w:right="-421" w:hanging="360"/>
        <w:rPr>
          <w:rFonts w:cs="Calibri"/>
          <w:b/>
          <w:bCs/>
          <w:color w:val="000000" w:themeColor="text1"/>
          <w:sz w:val="14"/>
          <w:szCs w:val="14"/>
          <w:lang w:val="en"/>
        </w:rPr>
      </w:pPr>
      <w:r w:rsidRPr="00D0175A">
        <w:rPr>
          <w:rFonts w:cs="Calibri"/>
          <w:b/>
          <w:bCs/>
          <w:i/>
          <w:iCs/>
          <w:color w:val="000000" w:themeColor="text1"/>
          <w:lang w:val="en"/>
        </w:rPr>
        <w:t xml:space="preserve">Gender recognition legislation should be enacted as a matter of urgency; transgender people in an existing marriage should not be compelled to go through divorce proceedings as a precondition for legal recognition and provision should be made for recognition transgender persons under 18 subject to suitable safeguards.  </w:t>
      </w:r>
    </w:p>
    <w:p w:rsidR="000F01FD" w:rsidRDefault="000F01FD" w:rsidP="0096678F">
      <w:pPr>
        <w:pStyle w:val="Default"/>
        <w:ind w:right="-421"/>
        <w:rPr>
          <w:b/>
          <w:bCs/>
          <w:color w:val="000000" w:themeColor="text1"/>
          <w:sz w:val="14"/>
          <w:szCs w:val="14"/>
          <w:lang w:val="en-IE"/>
        </w:rPr>
      </w:pPr>
    </w:p>
    <w:p w:rsidR="002E797F" w:rsidRDefault="002E797F" w:rsidP="002E797F">
      <w:pPr>
        <w:rPr>
          <w:b/>
        </w:rPr>
      </w:pPr>
      <w:r w:rsidRPr="002E797F">
        <w:rPr>
          <w:b/>
        </w:rPr>
        <w:t xml:space="preserve">Article 22: </w:t>
      </w:r>
      <w:r>
        <w:rPr>
          <w:b/>
        </w:rPr>
        <w:t>Freedom of Association</w:t>
      </w:r>
    </w:p>
    <w:p w:rsidR="00966D40" w:rsidRDefault="009A533B" w:rsidP="002E797F">
      <w:r w:rsidRPr="009A533B">
        <w:t>The Charities Act 2009</w:t>
      </w:r>
      <w:r w:rsidR="00966D40">
        <w:rPr>
          <w:rStyle w:val="FootnoteReference"/>
        </w:rPr>
        <w:footnoteReference w:id="35"/>
      </w:r>
      <w:r>
        <w:t xml:space="preserve"> came into force in February 2009. </w:t>
      </w:r>
      <w:r w:rsidR="00646C7D">
        <w:t>T</w:t>
      </w:r>
      <w:r>
        <w:t xml:space="preserve">he list of charitable purposes </w:t>
      </w:r>
      <w:r w:rsidR="00646C7D">
        <w:t>originally included the “advancement of human rights” but</w:t>
      </w:r>
      <w:r w:rsidR="00DB7759">
        <w:t xml:space="preserve"> this phrase</w:t>
      </w:r>
      <w:r w:rsidR="00646C7D">
        <w:t xml:space="preserve"> was removed and excluded from the final legislation. In 2007, the then Government argued that</w:t>
      </w:r>
      <w:r w:rsidR="00DB7759">
        <w:t xml:space="preserve"> it</w:t>
      </w:r>
      <w:r w:rsidR="00646C7D">
        <w:t xml:space="preserve"> was removed as a charitable purpose to avoid the abuse of tax exemptions </w:t>
      </w:r>
      <w:r w:rsidR="006C7626">
        <w:t xml:space="preserve">or to prevent political groupings or terrorist organisations from using ‘human rights’ as a front to obtain </w:t>
      </w:r>
      <w:r w:rsidR="006C7626">
        <w:lastRenderedPageBreak/>
        <w:t xml:space="preserve">charitable status. </w:t>
      </w:r>
      <w:r w:rsidR="00207302">
        <w:t>FLAC, along with a number of other civil society organisations,</w:t>
      </w:r>
      <w:r w:rsidR="00207302">
        <w:rPr>
          <w:rStyle w:val="FootnoteReference"/>
        </w:rPr>
        <w:footnoteReference w:id="36"/>
      </w:r>
      <w:r w:rsidR="00207302">
        <w:t xml:space="preserve"> issued a joint position paper</w:t>
      </w:r>
      <w:r w:rsidR="00207302">
        <w:rPr>
          <w:rStyle w:val="FootnoteReference"/>
        </w:rPr>
        <w:footnoteReference w:id="37"/>
      </w:r>
      <w:r w:rsidR="00207302">
        <w:t xml:space="preserve"> outlining concerns that the exclusion of “</w:t>
      </w:r>
      <w:r w:rsidR="00E11427">
        <w:t xml:space="preserve">the advancement of </w:t>
      </w:r>
      <w:r w:rsidR="00207302">
        <w:t xml:space="preserve">human rights” could negatively impact on organisations involved in human rights work. </w:t>
      </w:r>
      <w:r w:rsidR="00DB7759">
        <w:t>In April 2013, a</w:t>
      </w:r>
      <w:r w:rsidR="00966D40">
        <w:t xml:space="preserve"> </w:t>
      </w:r>
      <w:r w:rsidR="00B65319">
        <w:t>Resolution adopted by the UN Human Rights Council on Pr</w:t>
      </w:r>
      <w:r w:rsidR="00966D40">
        <w:t>otecting Human Rights Defenders</w:t>
      </w:r>
      <w:r w:rsidR="00DB7759">
        <w:t>,</w:t>
      </w:r>
      <w:r w:rsidR="00B65319">
        <w:rPr>
          <w:rStyle w:val="FootnoteReference"/>
        </w:rPr>
        <w:footnoteReference w:id="38"/>
      </w:r>
      <w:r w:rsidR="00DB7759">
        <w:t xml:space="preserve"> called</w:t>
      </w:r>
      <w:r w:rsidR="00B65319">
        <w:t xml:space="preserve"> for national </w:t>
      </w:r>
      <w:r w:rsidR="00966D40">
        <w:t>legislation to support the work of those working to advance and protect human rights rather than</w:t>
      </w:r>
      <w:r w:rsidR="00DB7759">
        <w:t xml:space="preserve"> placing any restrictions on their legitimate activities. Also the 2009 Act contained</w:t>
      </w:r>
      <w:r w:rsidR="00966D40">
        <w:t xml:space="preserve"> a provision which ensures that the operation of the legislation will be reviewed by the Minister of Justice and Equality within five years of its commencement. </w:t>
      </w:r>
    </w:p>
    <w:p w:rsidR="002E745D" w:rsidRDefault="002E745D" w:rsidP="002E745D">
      <w:r>
        <w:t xml:space="preserve">The UN Special Rapporteur on Human Rights Defenders, Margaret </w:t>
      </w:r>
      <w:proofErr w:type="spellStart"/>
      <w:r>
        <w:t>Sekaggya</w:t>
      </w:r>
      <w:proofErr w:type="spellEnd"/>
      <w:r>
        <w:t xml:space="preserve"> , expressed concern following her country visit to Ireland in November 2012, that,</w:t>
      </w:r>
    </w:p>
    <w:p w:rsidR="002E745D" w:rsidRDefault="002E745D" w:rsidP="002E745D">
      <w:pPr>
        <w:ind w:left="720"/>
      </w:pPr>
      <w:r>
        <w:t>…the Act fails to recognize the promotion of human rights as “a purpose that is beneficial to the community”, therefore, effectively excluding organizations that work on the protection and promotion of human rights from being able to register as charities.</w:t>
      </w:r>
      <w:r>
        <w:rPr>
          <w:rStyle w:val="FootnoteReference"/>
        </w:rPr>
        <w:footnoteReference w:id="39"/>
      </w:r>
    </w:p>
    <w:p w:rsidR="00966D40" w:rsidRPr="00DE1274" w:rsidRDefault="00966D40" w:rsidP="00966D40">
      <w:pPr>
        <w:pStyle w:val="Default"/>
        <w:spacing w:line="276" w:lineRule="auto"/>
        <w:ind w:left="720" w:right="-421"/>
        <w:rPr>
          <w:b/>
          <w:bCs/>
          <w:i/>
          <w:color w:val="000000" w:themeColor="text1"/>
          <w:sz w:val="22"/>
          <w:szCs w:val="22"/>
          <w:lang w:val="en-IE"/>
        </w:rPr>
      </w:pPr>
      <w:r>
        <w:t xml:space="preserve"> </w:t>
      </w:r>
      <w:r w:rsidRPr="00DE1274">
        <w:rPr>
          <w:b/>
          <w:bCs/>
          <w:i/>
          <w:color w:val="000000" w:themeColor="text1"/>
          <w:sz w:val="22"/>
          <w:szCs w:val="22"/>
          <w:lang w:val="en-IE"/>
        </w:rPr>
        <w:t xml:space="preserve">Recommendation: </w:t>
      </w:r>
    </w:p>
    <w:p w:rsidR="002E797F" w:rsidRPr="00966D40" w:rsidRDefault="00966D40" w:rsidP="00966D40">
      <w:pPr>
        <w:pStyle w:val="ListParagraph"/>
        <w:numPr>
          <w:ilvl w:val="0"/>
          <w:numId w:val="11"/>
        </w:numPr>
        <w:rPr>
          <w:b/>
          <w:i/>
        </w:rPr>
      </w:pPr>
      <w:r w:rsidRPr="00966D40">
        <w:rPr>
          <w:b/>
          <w:i/>
        </w:rPr>
        <w:t>The Charities Act 2009 should be amended to include the “advancement of human r</w:t>
      </w:r>
      <w:r w:rsidR="00DB7759">
        <w:rPr>
          <w:b/>
          <w:i/>
        </w:rPr>
        <w:t>ights” as a charitable purpose, at the latest during its five-year</w:t>
      </w:r>
      <w:r w:rsidR="00596373">
        <w:rPr>
          <w:b/>
          <w:i/>
        </w:rPr>
        <w:t xml:space="preserve"> statutory</w:t>
      </w:r>
      <w:r w:rsidR="00DB7759">
        <w:rPr>
          <w:b/>
          <w:i/>
        </w:rPr>
        <w:t xml:space="preserve"> review</w:t>
      </w:r>
      <w:r w:rsidR="00596373">
        <w:rPr>
          <w:rStyle w:val="FootnoteReference"/>
          <w:b/>
          <w:i/>
        </w:rPr>
        <w:footnoteReference w:id="40"/>
      </w:r>
      <w:r w:rsidR="00DB7759">
        <w:rPr>
          <w:b/>
          <w:i/>
        </w:rPr>
        <w:t xml:space="preserve"> of the operation of the current legislation.</w:t>
      </w:r>
    </w:p>
    <w:p w:rsidR="002E797F" w:rsidRPr="00DE1274" w:rsidRDefault="002E797F" w:rsidP="0096678F">
      <w:pPr>
        <w:pStyle w:val="Default"/>
        <w:ind w:right="-421"/>
        <w:rPr>
          <w:b/>
          <w:bCs/>
          <w:color w:val="000000" w:themeColor="text1"/>
          <w:sz w:val="14"/>
          <w:szCs w:val="14"/>
          <w:lang w:val="en-IE"/>
        </w:rPr>
      </w:pPr>
    </w:p>
    <w:p w:rsidR="00D503EC" w:rsidRPr="00DE1274" w:rsidRDefault="005A0594" w:rsidP="0096678F">
      <w:pPr>
        <w:pStyle w:val="Default"/>
        <w:ind w:right="-421"/>
        <w:rPr>
          <w:b/>
          <w:bCs/>
          <w:color w:val="000000" w:themeColor="text1"/>
          <w:sz w:val="22"/>
          <w:szCs w:val="22"/>
          <w:lang w:val="en-IE"/>
        </w:rPr>
      </w:pPr>
      <w:r w:rsidRPr="00DE1274">
        <w:rPr>
          <w:b/>
          <w:bCs/>
          <w:color w:val="000000" w:themeColor="text1"/>
          <w:sz w:val="22"/>
          <w:szCs w:val="22"/>
          <w:lang w:val="en-IE"/>
        </w:rPr>
        <w:t>Article 25</w:t>
      </w:r>
      <w:r w:rsidR="000154D8" w:rsidRPr="00DE1274">
        <w:rPr>
          <w:b/>
          <w:bCs/>
          <w:color w:val="000000" w:themeColor="text1"/>
          <w:sz w:val="22"/>
          <w:szCs w:val="22"/>
          <w:lang w:val="en-IE"/>
        </w:rPr>
        <w:t>:</w:t>
      </w:r>
      <w:r w:rsidRPr="00DE1274">
        <w:rPr>
          <w:b/>
          <w:bCs/>
          <w:color w:val="000000" w:themeColor="text1"/>
          <w:sz w:val="22"/>
          <w:szCs w:val="22"/>
          <w:lang w:val="en-IE"/>
        </w:rPr>
        <w:t xml:space="preserve"> The </w:t>
      </w:r>
      <w:r w:rsidR="000154D8" w:rsidRPr="00DE1274">
        <w:rPr>
          <w:b/>
          <w:bCs/>
          <w:color w:val="000000" w:themeColor="text1"/>
          <w:sz w:val="22"/>
          <w:szCs w:val="22"/>
          <w:lang w:val="en-IE"/>
        </w:rPr>
        <w:t>r</w:t>
      </w:r>
      <w:r w:rsidRPr="00DE1274">
        <w:rPr>
          <w:b/>
          <w:bCs/>
          <w:color w:val="000000" w:themeColor="text1"/>
          <w:sz w:val="22"/>
          <w:szCs w:val="22"/>
          <w:lang w:val="en-IE"/>
        </w:rPr>
        <w:t xml:space="preserve">ight to take </w:t>
      </w:r>
      <w:r w:rsidR="000154D8" w:rsidRPr="00DE1274">
        <w:rPr>
          <w:b/>
          <w:bCs/>
          <w:color w:val="000000" w:themeColor="text1"/>
          <w:sz w:val="22"/>
          <w:szCs w:val="22"/>
          <w:lang w:val="en-IE"/>
        </w:rPr>
        <w:t>p</w:t>
      </w:r>
      <w:r w:rsidRPr="00DE1274">
        <w:rPr>
          <w:b/>
          <w:bCs/>
          <w:color w:val="000000" w:themeColor="text1"/>
          <w:sz w:val="22"/>
          <w:szCs w:val="22"/>
          <w:lang w:val="en-IE"/>
        </w:rPr>
        <w:t xml:space="preserve">art in </w:t>
      </w:r>
      <w:r w:rsidR="000154D8" w:rsidRPr="00DE1274">
        <w:rPr>
          <w:b/>
          <w:bCs/>
          <w:color w:val="000000" w:themeColor="text1"/>
          <w:sz w:val="22"/>
          <w:szCs w:val="22"/>
          <w:lang w:val="en-IE"/>
        </w:rPr>
        <w:t>p</w:t>
      </w:r>
      <w:r w:rsidRPr="00DE1274">
        <w:rPr>
          <w:b/>
          <w:bCs/>
          <w:color w:val="000000" w:themeColor="text1"/>
          <w:sz w:val="22"/>
          <w:szCs w:val="22"/>
          <w:lang w:val="en-IE"/>
        </w:rPr>
        <w:t xml:space="preserve">ublic </w:t>
      </w:r>
      <w:r w:rsidR="000154D8" w:rsidRPr="00DE1274">
        <w:rPr>
          <w:b/>
          <w:bCs/>
          <w:color w:val="000000" w:themeColor="text1"/>
          <w:sz w:val="22"/>
          <w:szCs w:val="22"/>
          <w:lang w:val="en-IE"/>
        </w:rPr>
        <w:t>a</w:t>
      </w:r>
      <w:r w:rsidRPr="00DE1274">
        <w:rPr>
          <w:b/>
          <w:bCs/>
          <w:color w:val="000000" w:themeColor="text1"/>
          <w:sz w:val="22"/>
          <w:szCs w:val="22"/>
          <w:lang w:val="en-IE"/>
        </w:rPr>
        <w:t xml:space="preserve">ffairs </w:t>
      </w:r>
    </w:p>
    <w:p w:rsidR="005A0594" w:rsidRPr="00DE1274" w:rsidRDefault="005A0594" w:rsidP="0096678F">
      <w:pPr>
        <w:pStyle w:val="Default"/>
        <w:ind w:right="-421"/>
        <w:rPr>
          <w:color w:val="000000" w:themeColor="text1"/>
          <w:sz w:val="14"/>
          <w:szCs w:val="14"/>
          <w:lang w:val="en-IE"/>
        </w:rPr>
      </w:pPr>
    </w:p>
    <w:p w:rsidR="008D5C60" w:rsidRPr="00DE1274" w:rsidRDefault="000D7C04" w:rsidP="0096678F">
      <w:pPr>
        <w:pStyle w:val="Default"/>
        <w:spacing w:line="276" w:lineRule="auto"/>
        <w:ind w:right="-421"/>
        <w:rPr>
          <w:color w:val="000000" w:themeColor="text1"/>
          <w:sz w:val="22"/>
          <w:szCs w:val="22"/>
          <w:lang w:val="en-IE"/>
        </w:rPr>
      </w:pPr>
      <w:r w:rsidRPr="00DE1274">
        <w:rPr>
          <w:color w:val="000000" w:themeColor="text1"/>
          <w:sz w:val="22"/>
          <w:szCs w:val="22"/>
          <w:lang w:val="en-IE"/>
        </w:rPr>
        <w:t>Deaf persons are excluded from serving on juries in civil and criminal trials in Ireland. This prevents them from taking part in an important aspect of public affairs and from having access on an equal basis to public service, when they could do so with the assistance of sign language interpreters operating under rules to protect the integrity and confidentiality of jury deliberations</w:t>
      </w:r>
      <w:r w:rsidR="005A0594" w:rsidRPr="00DE1274">
        <w:rPr>
          <w:color w:val="000000" w:themeColor="text1"/>
          <w:sz w:val="22"/>
          <w:szCs w:val="22"/>
          <w:lang w:val="en-IE"/>
        </w:rPr>
        <w:t xml:space="preserve">. </w:t>
      </w:r>
    </w:p>
    <w:p w:rsidR="005A0594" w:rsidRPr="00DE1274" w:rsidRDefault="005A0594" w:rsidP="0096678F">
      <w:pPr>
        <w:pStyle w:val="Default"/>
        <w:spacing w:line="276" w:lineRule="auto"/>
        <w:ind w:right="-421"/>
        <w:rPr>
          <w:color w:val="000000" w:themeColor="text1"/>
          <w:sz w:val="14"/>
          <w:szCs w:val="14"/>
          <w:lang w:val="en-IE"/>
        </w:rPr>
      </w:pPr>
    </w:p>
    <w:p w:rsidR="00914284" w:rsidRPr="00DE1274" w:rsidRDefault="00914284" w:rsidP="0096678F">
      <w:pPr>
        <w:pStyle w:val="Default"/>
        <w:spacing w:line="276" w:lineRule="auto"/>
        <w:ind w:right="-421"/>
        <w:rPr>
          <w:rFonts w:ascii="Verdana" w:hAnsi="Verdana"/>
          <w:color w:val="000000" w:themeColor="text1"/>
          <w:sz w:val="18"/>
          <w:szCs w:val="18"/>
          <w:shd w:val="clear" w:color="auto" w:fill="FFFFFF"/>
          <w:lang w:val="en-IE"/>
        </w:rPr>
      </w:pPr>
      <w:r w:rsidRPr="00DE1274">
        <w:rPr>
          <w:color w:val="000000" w:themeColor="text1"/>
          <w:sz w:val="22"/>
          <w:szCs w:val="22"/>
          <w:lang w:val="en-IE"/>
        </w:rPr>
        <w:t xml:space="preserve">In the </w:t>
      </w:r>
      <w:r w:rsidRPr="00DE1274">
        <w:rPr>
          <w:i/>
          <w:color w:val="000000" w:themeColor="text1"/>
          <w:sz w:val="22"/>
          <w:szCs w:val="22"/>
          <w:lang w:val="en-IE"/>
        </w:rPr>
        <w:t>Clarke</w:t>
      </w:r>
      <w:r w:rsidRPr="00DE1274">
        <w:rPr>
          <w:color w:val="000000" w:themeColor="text1"/>
          <w:sz w:val="22"/>
          <w:szCs w:val="22"/>
          <w:lang w:val="en-IE"/>
        </w:rPr>
        <w:t xml:space="preserve"> case, a working mother of two young children who is fluent in lip reading and sign language was excluded from </w:t>
      </w:r>
      <w:r w:rsidR="000154D8" w:rsidRPr="00DE1274">
        <w:rPr>
          <w:color w:val="000000" w:themeColor="text1"/>
          <w:sz w:val="22"/>
          <w:szCs w:val="22"/>
          <w:lang w:val="en-IE"/>
        </w:rPr>
        <w:t xml:space="preserve">jury service </w:t>
      </w:r>
      <w:r w:rsidRPr="00DE1274">
        <w:rPr>
          <w:color w:val="000000" w:themeColor="text1"/>
          <w:sz w:val="22"/>
          <w:szCs w:val="22"/>
          <w:lang w:val="en-IE"/>
        </w:rPr>
        <w:t xml:space="preserve">by the Galway </w:t>
      </w:r>
      <w:r w:rsidR="000154D8" w:rsidRPr="00DE1274">
        <w:rPr>
          <w:color w:val="000000" w:themeColor="text1"/>
          <w:sz w:val="22"/>
          <w:szCs w:val="22"/>
          <w:lang w:val="en-IE"/>
        </w:rPr>
        <w:t>C</w:t>
      </w:r>
      <w:r w:rsidRPr="00DE1274">
        <w:rPr>
          <w:color w:val="000000" w:themeColor="text1"/>
          <w:sz w:val="22"/>
          <w:szCs w:val="22"/>
          <w:lang w:val="en-IE"/>
        </w:rPr>
        <w:t xml:space="preserve">ounty Registrar. In October 2010, Mr Justice O’Keefe held that the County Registrar was wrong to exclude Ms Clarke who had never sought to be excused and </w:t>
      </w:r>
      <w:r w:rsidR="000154D8" w:rsidRPr="00DE1274">
        <w:rPr>
          <w:color w:val="000000" w:themeColor="text1"/>
          <w:sz w:val="22"/>
          <w:szCs w:val="22"/>
          <w:lang w:val="en-IE"/>
        </w:rPr>
        <w:t xml:space="preserve">that </w:t>
      </w:r>
      <w:r w:rsidRPr="00DE1274">
        <w:rPr>
          <w:rFonts w:ascii="Verdana" w:hAnsi="Verdana"/>
          <w:color w:val="000000" w:themeColor="text1"/>
          <w:sz w:val="18"/>
          <w:szCs w:val="18"/>
          <w:shd w:val="clear" w:color="auto" w:fill="FFFFFF"/>
          <w:lang w:val="en-IE"/>
        </w:rPr>
        <w:t>the question of deciding who should be on a jury was for the judge, not the court registrar.</w:t>
      </w:r>
    </w:p>
    <w:p w:rsidR="005A0594" w:rsidRPr="00DE1274" w:rsidRDefault="005A0594" w:rsidP="0096678F">
      <w:pPr>
        <w:pStyle w:val="Default"/>
        <w:spacing w:line="276" w:lineRule="auto"/>
        <w:ind w:right="-421"/>
        <w:rPr>
          <w:color w:val="000000" w:themeColor="text1"/>
          <w:sz w:val="14"/>
          <w:szCs w:val="14"/>
          <w:lang w:val="en-IE"/>
        </w:rPr>
      </w:pPr>
    </w:p>
    <w:p w:rsidR="004750FC" w:rsidRDefault="00914284" w:rsidP="0096678F">
      <w:pPr>
        <w:pStyle w:val="Default"/>
        <w:spacing w:line="276" w:lineRule="auto"/>
        <w:ind w:right="-421"/>
        <w:rPr>
          <w:color w:val="000000" w:themeColor="text1"/>
          <w:sz w:val="22"/>
          <w:szCs w:val="22"/>
          <w:lang w:val="en-IE"/>
        </w:rPr>
      </w:pPr>
      <w:r w:rsidRPr="00DE1274">
        <w:rPr>
          <w:rFonts w:ascii="Verdana" w:hAnsi="Verdana"/>
          <w:color w:val="000000" w:themeColor="text1"/>
          <w:sz w:val="18"/>
          <w:szCs w:val="18"/>
          <w:shd w:val="clear" w:color="auto" w:fill="FFFFFF"/>
          <w:lang w:val="en-IE"/>
        </w:rPr>
        <w:t xml:space="preserve">Following this decision, </w:t>
      </w:r>
      <w:r w:rsidRPr="00DE1274">
        <w:rPr>
          <w:color w:val="000000" w:themeColor="text1"/>
          <w:sz w:val="22"/>
          <w:szCs w:val="22"/>
          <w:lang w:val="en-IE"/>
        </w:rPr>
        <w:t>i</w:t>
      </w:r>
      <w:r w:rsidR="005A0594" w:rsidRPr="00DE1274">
        <w:rPr>
          <w:color w:val="000000" w:themeColor="text1"/>
          <w:sz w:val="22"/>
          <w:szCs w:val="22"/>
          <w:lang w:val="en-IE"/>
        </w:rPr>
        <w:t xml:space="preserve">n </w:t>
      </w:r>
      <w:r w:rsidRPr="00DE1274">
        <w:rPr>
          <w:color w:val="000000" w:themeColor="text1"/>
          <w:sz w:val="22"/>
          <w:szCs w:val="22"/>
          <w:lang w:val="en-IE"/>
        </w:rPr>
        <w:t xml:space="preserve">another case where a deaf person was called for jury service in </w:t>
      </w:r>
      <w:r w:rsidR="005A0594" w:rsidRPr="00DE1274">
        <w:rPr>
          <w:color w:val="000000" w:themeColor="text1"/>
          <w:sz w:val="22"/>
          <w:szCs w:val="22"/>
          <w:lang w:val="en-IE"/>
        </w:rPr>
        <w:t xml:space="preserve">November 2010, Mr Justice Carney ruled that a deaf person could sit on a jury in a criminal trial. However, the </w:t>
      </w:r>
      <w:r w:rsidRPr="00DE1274">
        <w:rPr>
          <w:color w:val="000000" w:themeColor="text1"/>
          <w:sz w:val="22"/>
          <w:szCs w:val="22"/>
          <w:lang w:val="en-IE"/>
        </w:rPr>
        <w:t>person in question d</w:t>
      </w:r>
      <w:r w:rsidR="005A0594" w:rsidRPr="00DE1274">
        <w:rPr>
          <w:color w:val="000000" w:themeColor="text1"/>
          <w:sz w:val="22"/>
          <w:szCs w:val="22"/>
          <w:lang w:val="en-IE"/>
        </w:rPr>
        <w:t xml:space="preserve">id not get to </w:t>
      </w:r>
      <w:r w:rsidR="005A0594" w:rsidRPr="00DE1274">
        <w:rPr>
          <w:color w:val="000000" w:themeColor="text1"/>
          <w:sz w:val="22"/>
          <w:szCs w:val="22"/>
          <w:lang w:val="en-IE"/>
        </w:rPr>
        <w:lastRenderedPageBreak/>
        <w:t>sit on the jury as lawyers for the defendant in the particular case challenged his position without having to give further reasons.</w:t>
      </w:r>
      <w:r w:rsidRPr="00DE1274">
        <w:rPr>
          <w:rStyle w:val="FootnoteReference"/>
          <w:color w:val="000000" w:themeColor="text1"/>
          <w:sz w:val="22"/>
          <w:szCs w:val="22"/>
          <w:lang w:val="en-IE"/>
        </w:rPr>
        <w:footnoteReference w:id="41"/>
      </w:r>
      <w:r w:rsidR="004750FC">
        <w:rPr>
          <w:color w:val="000000" w:themeColor="text1"/>
          <w:sz w:val="22"/>
          <w:szCs w:val="22"/>
          <w:lang w:val="en-IE"/>
        </w:rPr>
        <w:t xml:space="preserve"> </w:t>
      </w:r>
    </w:p>
    <w:p w:rsidR="00FB780C" w:rsidRDefault="00FB780C" w:rsidP="0096678F">
      <w:pPr>
        <w:pStyle w:val="Default"/>
        <w:spacing w:line="276" w:lineRule="auto"/>
        <w:ind w:right="-421"/>
        <w:rPr>
          <w:color w:val="000000" w:themeColor="text1"/>
          <w:sz w:val="22"/>
          <w:szCs w:val="22"/>
          <w:lang w:val="en-IE"/>
        </w:rPr>
      </w:pPr>
    </w:p>
    <w:p w:rsidR="008D5C60" w:rsidRPr="008D5C60" w:rsidRDefault="008D5C60" w:rsidP="008D5C60">
      <w:pPr>
        <w:widowControl w:val="0"/>
        <w:autoSpaceDE w:val="0"/>
        <w:autoSpaceDN w:val="0"/>
        <w:adjustRightInd w:val="0"/>
        <w:spacing w:after="0"/>
        <w:ind w:right="-421"/>
        <w:rPr>
          <w:rFonts w:cs="Calibri"/>
          <w:color w:val="000000"/>
          <w:lang w:val="en"/>
        </w:rPr>
      </w:pPr>
      <w:r>
        <w:rPr>
          <w:rFonts w:cs="Calibri"/>
          <w:color w:val="000000"/>
          <w:lang w:val="en"/>
        </w:rPr>
        <w:t xml:space="preserve">FLAC was disappointed </w:t>
      </w:r>
      <w:r w:rsidRPr="00D0175A">
        <w:rPr>
          <w:rFonts w:cs="Calibri"/>
          <w:color w:val="000000" w:themeColor="text1"/>
          <w:lang w:val="en"/>
        </w:rPr>
        <w:t>that a report</w:t>
      </w:r>
      <w:r>
        <w:rPr>
          <w:rFonts w:cs="Calibri"/>
          <w:color w:val="000000"/>
          <w:lang w:val="en"/>
        </w:rPr>
        <w:t xml:space="preserve"> of the Law Reform Commission on Jury Service</w:t>
      </w:r>
      <w:r w:rsidRPr="00DE1274">
        <w:rPr>
          <w:rStyle w:val="FootnoteReference"/>
          <w:color w:val="000000" w:themeColor="text1"/>
        </w:rPr>
        <w:footnoteReference w:id="42"/>
      </w:r>
      <w:r>
        <w:rPr>
          <w:rFonts w:cs="Calibri"/>
          <w:color w:val="000000"/>
          <w:lang w:val="en"/>
        </w:rPr>
        <w:t xml:space="preserve"> in April 2013 did not make positive recommendations to include deaf persons on juries and instead recommended a further study on codes of conduct for sign language interpreters as the Commission was concerned about the presence of interpreters during jury del</w:t>
      </w:r>
      <w:r>
        <w:rPr>
          <w:rFonts w:cs="Calibri"/>
          <w:color w:val="000000"/>
          <w:lang w:val="en"/>
        </w:rPr>
        <w:t xml:space="preserve">iberations in criminal trials. </w:t>
      </w:r>
    </w:p>
    <w:p w:rsidR="00086308" w:rsidRPr="00DE1274" w:rsidRDefault="00086308" w:rsidP="0096678F">
      <w:pPr>
        <w:pStyle w:val="Default"/>
        <w:spacing w:line="276" w:lineRule="auto"/>
        <w:ind w:right="-421"/>
        <w:rPr>
          <w:color w:val="000000" w:themeColor="text1"/>
          <w:sz w:val="14"/>
          <w:szCs w:val="14"/>
          <w:lang w:val="en-IE"/>
        </w:rPr>
      </w:pPr>
    </w:p>
    <w:p w:rsidR="000154D8" w:rsidRPr="00DE1274" w:rsidRDefault="000D7C04" w:rsidP="0096678F">
      <w:pPr>
        <w:spacing w:after="140"/>
        <w:ind w:left="720" w:right="-421"/>
        <w:rPr>
          <w:b/>
          <w:bCs/>
          <w:i/>
          <w:iCs/>
          <w:color w:val="000000" w:themeColor="text1"/>
        </w:rPr>
      </w:pPr>
      <w:r w:rsidRPr="00DE1274">
        <w:rPr>
          <w:b/>
          <w:bCs/>
          <w:i/>
          <w:iCs/>
          <w:color w:val="000000" w:themeColor="text1"/>
        </w:rPr>
        <w:t xml:space="preserve">Recommendation: </w:t>
      </w:r>
    </w:p>
    <w:p w:rsidR="000D7C04" w:rsidRPr="00DE1274" w:rsidRDefault="000D7C04" w:rsidP="0096678F">
      <w:pPr>
        <w:numPr>
          <w:ilvl w:val="0"/>
          <w:numId w:val="11"/>
        </w:numPr>
        <w:ind w:right="-421"/>
        <w:rPr>
          <w:color w:val="000000" w:themeColor="text1"/>
        </w:rPr>
      </w:pPr>
      <w:r w:rsidRPr="00DE1274">
        <w:rPr>
          <w:b/>
          <w:bCs/>
          <w:i/>
          <w:iCs/>
          <w:color w:val="000000" w:themeColor="text1"/>
        </w:rPr>
        <w:t>The State should take steps to enable deaf persons</w:t>
      </w:r>
      <w:r w:rsidR="000E18F1">
        <w:rPr>
          <w:b/>
          <w:bCs/>
          <w:i/>
          <w:iCs/>
          <w:color w:val="000000" w:themeColor="text1"/>
        </w:rPr>
        <w:t xml:space="preserve"> to serve on</w:t>
      </w:r>
      <w:r w:rsidRPr="00DE1274">
        <w:rPr>
          <w:b/>
          <w:bCs/>
          <w:i/>
          <w:iCs/>
          <w:color w:val="000000" w:themeColor="text1"/>
        </w:rPr>
        <w:t xml:space="preserve"> juries with appropriate assistance and safeguards.</w:t>
      </w:r>
    </w:p>
    <w:sectPr w:rsidR="000D7C04" w:rsidRPr="00DE1274" w:rsidSect="0096678F">
      <w:headerReference w:type="first" r:id="rId16"/>
      <w:footerReference w:type="first" r:id="rId17"/>
      <w:pgSz w:w="12240" w:h="15840"/>
      <w:pgMar w:top="1440" w:right="1080" w:bottom="1440" w:left="108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8BB" w:rsidRDefault="006868BB" w:rsidP="007706D1">
      <w:pPr>
        <w:spacing w:after="0" w:line="240" w:lineRule="auto"/>
      </w:pPr>
      <w:r>
        <w:separator/>
      </w:r>
    </w:p>
  </w:endnote>
  <w:endnote w:type="continuationSeparator" w:id="0">
    <w:p w:rsidR="006868BB" w:rsidRDefault="006868BB" w:rsidP="00770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exia-Italic">
    <w:panose1 w:val="00000000000000000000"/>
    <w:charset w:val="00"/>
    <w:family w:val="roman"/>
    <w:notTrueType/>
    <w:pitch w:val="default"/>
    <w:sig w:usb0="00000003" w:usb1="00000000" w:usb2="00000000" w:usb3="00000000" w:csb0="00000001" w:csb1="00000000"/>
  </w:font>
  <w:font w:name="Lexia-Regular">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Pr="000154D8" w:rsidRDefault="006868BB" w:rsidP="000154D8">
    <w:pPr>
      <w:pStyle w:val="Footer"/>
      <w:jc w:val="center"/>
    </w:pPr>
    <w:r>
      <w:fldChar w:fldCharType="begin"/>
    </w:r>
    <w:r>
      <w:instrText xml:space="preserve"> PAGE   \* MERGEFORMAT </w:instrText>
    </w:r>
    <w:r>
      <w:fldChar w:fldCharType="separate"/>
    </w:r>
    <w:r w:rsidR="008D5C60">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Default="006868BB">
    <w:pPr>
      <w:pStyle w:val="Footer"/>
    </w:pPr>
    <w:r>
      <w:rPr>
        <w:noProof/>
        <w:lang w:eastAsia="en-IE"/>
      </w:rPr>
      <mc:AlternateContent>
        <mc:Choice Requires="wps">
          <w:drawing>
            <wp:anchor distT="0" distB="0" distL="114300" distR="114300" simplePos="0" relativeHeight="251656704" behindDoc="0" locked="0" layoutInCell="1" allowOverlap="1" wp14:anchorId="4EE8040E" wp14:editId="35F077DC">
              <wp:simplePos x="0" y="0"/>
              <wp:positionH relativeFrom="column">
                <wp:posOffset>-374015</wp:posOffset>
              </wp:positionH>
              <wp:positionV relativeFrom="paragraph">
                <wp:posOffset>-579755</wp:posOffset>
              </wp:positionV>
              <wp:extent cx="3612515" cy="733425"/>
              <wp:effectExtent l="0" t="127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251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68BB" w:rsidRPr="00BE6DF8" w:rsidRDefault="006868BB" w:rsidP="005B111A">
                          <w:pPr>
                            <w:rPr>
                              <w:rFonts w:ascii="Century Gothic" w:hAnsi="Century Gothic"/>
                              <w:b/>
                              <w:sz w:val="36"/>
                              <w:szCs w:val="36"/>
                              <w:lang w:val="en-GB"/>
                            </w:rPr>
                          </w:pPr>
                          <w:r>
                            <w:rPr>
                              <w:rFonts w:ascii="Century Gothic" w:hAnsi="Century Gothic"/>
                              <w:b/>
                              <w:sz w:val="36"/>
                              <w:szCs w:val="36"/>
                              <w:lang w:val="en-GB"/>
                            </w:rPr>
                            <w:t>July 2013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45pt;margin-top:-45.65pt;width:284.45pt;height:5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" stroked="f">
              <v:textbox>
                <w:txbxContent>
                  <w:p w:rsidR="006868BB" w:rsidRPr="00BE6DF8" w:rsidRDefault="006868BB" w:rsidP="005B111A">
                    <w:pPr>
                      <w:rPr>
                        <w:rFonts w:ascii="Century Gothic" w:hAnsi="Century Gothic"/>
                        <w:b/>
                        <w:sz w:val="36"/>
                        <w:szCs w:val="36"/>
                        <w:lang w:val="en-GB"/>
                      </w:rPr>
                    </w:pPr>
                    <w:r>
                      <w:rPr>
                        <w:rFonts w:ascii="Century Gothic" w:hAnsi="Century Gothic"/>
                        <w:b/>
                        <w:sz w:val="36"/>
                        <w:szCs w:val="36"/>
                        <w:lang w:val="en-GB"/>
                      </w:rPr>
                      <w:t>July 2013</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Default="006868B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Pr="004640A4" w:rsidRDefault="006868BB" w:rsidP="004640A4">
    <w:pPr>
      <w:pStyle w:val="Footer"/>
      <w:jc w:val="center"/>
    </w:pPr>
    <w:r>
      <w:fldChar w:fldCharType="begin"/>
    </w:r>
    <w:r>
      <w:instrText xml:space="preserve"> PAGE   \* MERGEFORMAT </w:instrText>
    </w:r>
    <w:r>
      <w:fldChar w:fldCharType="separate"/>
    </w:r>
    <w:r w:rsidR="008D5C6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8BB" w:rsidRDefault="006868BB" w:rsidP="007706D1">
      <w:pPr>
        <w:spacing w:after="0" w:line="240" w:lineRule="auto"/>
      </w:pPr>
      <w:r>
        <w:separator/>
      </w:r>
    </w:p>
  </w:footnote>
  <w:footnote w:type="continuationSeparator" w:id="0">
    <w:p w:rsidR="006868BB" w:rsidRDefault="006868BB" w:rsidP="007706D1">
      <w:pPr>
        <w:spacing w:after="0" w:line="240" w:lineRule="auto"/>
      </w:pPr>
      <w:r>
        <w:continuationSeparator/>
      </w:r>
    </w:p>
  </w:footnote>
  <w:footnote w:id="1">
    <w:p w:rsidR="006868BB" w:rsidRDefault="006868BB" w:rsidP="001428E9">
      <w:pPr>
        <w:pStyle w:val="NoSpacing"/>
      </w:pPr>
      <w:r>
        <w:rPr>
          <w:rStyle w:val="FootnoteReference"/>
        </w:rPr>
        <w:footnoteRef/>
      </w:r>
      <w:r>
        <w:t xml:space="preserve"> </w:t>
      </w:r>
      <w:r w:rsidRPr="00743D9F">
        <w:rPr>
          <w:sz w:val="20"/>
          <w:szCs w:val="20"/>
        </w:rPr>
        <w:t xml:space="preserve">UN Human Rights Committee, </w:t>
      </w:r>
      <w:r w:rsidRPr="00743D9F">
        <w:rPr>
          <w:i/>
          <w:sz w:val="20"/>
          <w:szCs w:val="20"/>
        </w:rPr>
        <w:t>Summary Record of the 2552</w:t>
      </w:r>
      <w:r w:rsidRPr="00743D9F">
        <w:rPr>
          <w:i/>
          <w:sz w:val="20"/>
          <w:szCs w:val="20"/>
          <w:vertAlign w:val="superscript"/>
        </w:rPr>
        <w:t>nd</w:t>
      </w:r>
      <w:r w:rsidRPr="00743D9F">
        <w:rPr>
          <w:i/>
          <w:sz w:val="20"/>
          <w:szCs w:val="20"/>
        </w:rPr>
        <w:t xml:space="preserve"> meeting</w:t>
      </w:r>
      <w:r w:rsidRPr="00743D9F">
        <w:rPr>
          <w:sz w:val="20"/>
          <w:szCs w:val="20"/>
        </w:rPr>
        <w:t xml:space="preserve">, Ireland’s third report under ICCPR, available online at: </w:t>
      </w:r>
      <w:hyperlink r:id="rId1" w:history="1">
        <w:r w:rsidRPr="00743D9F">
          <w:rPr>
            <w:rStyle w:val="Hyperlink"/>
            <w:sz w:val="20"/>
            <w:szCs w:val="20"/>
          </w:rPr>
          <w:t>http://www2.ohchr.org/english/bodies/hrc/hrcs93.htm</w:t>
        </w:r>
      </w:hyperlink>
      <w:r w:rsidRPr="00743D9F">
        <w:rPr>
          <w:sz w:val="20"/>
          <w:szCs w:val="20"/>
        </w:rPr>
        <w:t>.</w:t>
      </w:r>
    </w:p>
  </w:footnote>
  <w:footnote w:id="2">
    <w:p w:rsidR="006868BB" w:rsidRPr="001428E9" w:rsidRDefault="006868BB" w:rsidP="001428E9">
      <w:pPr>
        <w:pStyle w:val="NoSpacing"/>
      </w:pPr>
      <w:r>
        <w:rPr>
          <w:rStyle w:val="FootnoteReference"/>
        </w:rPr>
        <w:footnoteRef/>
      </w:r>
      <w:r>
        <w:t xml:space="preserve"> </w:t>
      </w:r>
      <w:proofErr w:type="gramStart"/>
      <w:r w:rsidRPr="00743D9F">
        <w:rPr>
          <w:sz w:val="20"/>
          <w:szCs w:val="20"/>
        </w:rPr>
        <w:t xml:space="preserve">The Report of the Working Group on the Human Rights and Equality </w:t>
      </w:r>
      <w:hyperlink r:id="rId2" w:history="1">
        <w:r w:rsidRPr="00743D9F">
          <w:rPr>
            <w:rStyle w:val="Hyperlink"/>
            <w:sz w:val="20"/>
            <w:szCs w:val="20"/>
          </w:rPr>
          <w:t>http://www.justice.ie/en/JELR/20120419-WorkingGroupRpt-HumanRightsEqualityCommission.pdf/Files/20120419-WorkingGroupRpt-HumanRightsEqualityCommission.pdf</w:t>
        </w:r>
      </w:hyperlink>
      <w:r>
        <w:rPr>
          <w:sz w:val="20"/>
          <w:szCs w:val="20"/>
        </w:rPr>
        <w:t>.</w:t>
      </w:r>
      <w:proofErr w:type="gramEnd"/>
    </w:p>
  </w:footnote>
  <w:footnote w:id="3">
    <w:p w:rsidR="006868BB" w:rsidRPr="007A2320" w:rsidRDefault="006868BB">
      <w:pPr>
        <w:pStyle w:val="FootnoteText"/>
        <w:rPr>
          <w:lang w:val="en-IE"/>
        </w:rPr>
      </w:pPr>
      <w:r>
        <w:rPr>
          <w:rStyle w:val="FootnoteReference"/>
        </w:rPr>
        <w:footnoteRef/>
      </w:r>
      <w:r>
        <w:rPr>
          <w:lang w:val="en-IE"/>
        </w:rPr>
        <w:t xml:space="preserve"> Department of Justice and Equality press release, 16 April 2013, available online at:  </w:t>
      </w:r>
      <w:r>
        <w:t xml:space="preserve"> </w:t>
      </w:r>
      <w:hyperlink r:id="rId3" w:history="1">
        <w:r>
          <w:rPr>
            <w:rStyle w:val="Hyperlink"/>
          </w:rPr>
          <w:t>http://www.justice.ie/en/JELR/Pages/PR13000136</w:t>
        </w:r>
      </w:hyperlink>
      <w:r>
        <w:rPr>
          <w:lang w:val="en-IE"/>
        </w:rPr>
        <w:t>.</w:t>
      </w:r>
    </w:p>
  </w:footnote>
  <w:footnote w:id="4">
    <w:p w:rsidR="006868BB" w:rsidRPr="00A14665" w:rsidRDefault="006868BB">
      <w:pPr>
        <w:pStyle w:val="FootnoteText"/>
        <w:rPr>
          <w:lang w:val="en-IE"/>
        </w:rPr>
      </w:pPr>
      <w:r>
        <w:rPr>
          <w:rStyle w:val="FootnoteReference"/>
        </w:rPr>
        <w:footnoteRef/>
      </w:r>
      <w:r>
        <w:t xml:space="preserve"> </w:t>
      </w:r>
      <w:r>
        <w:rPr>
          <w:lang w:val="en-IE"/>
        </w:rPr>
        <w:t xml:space="preserve">Transcript of the meeting of the Joint </w:t>
      </w:r>
      <w:proofErr w:type="spellStart"/>
      <w:r>
        <w:rPr>
          <w:lang w:val="en-IE"/>
        </w:rPr>
        <w:t>Oireachtas</w:t>
      </w:r>
      <w:proofErr w:type="spellEnd"/>
      <w:r>
        <w:rPr>
          <w:lang w:val="en-IE"/>
        </w:rPr>
        <w:t xml:space="preserve"> Committee on Justice, Defence and Equality, 23 May 2013, available online at: </w:t>
      </w:r>
      <w:hyperlink r:id="rId4" w:history="1">
        <w:r>
          <w:rPr>
            <w:rStyle w:val="Hyperlink"/>
          </w:rPr>
          <w:t>http://oireachtasdebates.oireachtas.ie/Debates%20Authoring/DebatesWebPack.nsf/committeetakes/JUJ2013052200004?opendocument</w:t>
        </w:r>
      </w:hyperlink>
      <w:r>
        <w:rPr>
          <w:lang w:val="en-IE"/>
        </w:rPr>
        <w:t>.</w:t>
      </w:r>
    </w:p>
  </w:footnote>
  <w:footnote w:id="5">
    <w:p w:rsidR="006868BB" w:rsidRPr="006868BB" w:rsidRDefault="006868BB">
      <w:pPr>
        <w:pStyle w:val="FootnoteText"/>
        <w:rPr>
          <w:lang w:val="en-IE"/>
        </w:rPr>
      </w:pPr>
      <w:r>
        <w:rPr>
          <w:rStyle w:val="FootnoteReference"/>
        </w:rPr>
        <w:footnoteRef/>
      </w:r>
      <w:r>
        <w:t xml:space="preserve"> </w:t>
      </w:r>
      <w:r>
        <w:rPr>
          <w:lang w:val="en-IE"/>
        </w:rPr>
        <w:t xml:space="preserve">The UN Paris Principles are available online at: </w:t>
      </w:r>
      <w:hyperlink r:id="rId5" w:history="1">
        <w:r>
          <w:rPr>
            <w:rStyle w:val="Hyperlink"/>
          </w:rPr>
          <w:t>http://www.ohchr.org/EN/ProfessionalInterest/Pages/StatusOfNationalInstitutions.aspx</w:t>
        </w:r>
      </w:hyperlink>
      <w:r>
        <w:rPr>
          <w:lang w:val="en-IE"/>
        </w:rPr>
        <w:t>.</w:t>
      </w:r>
    </w:p>
  </w:footnote>
  <w:footnote w:id="6">
    <w:p w:rsidR="006868BB" w:rsidRPr="006868BB" w:rsidRDefault="006868BB">
      <w:pPr>
        <w:pStyle w:val="FootnoteText"/>
        <w:rPr>
          <w:lang w:val="en-IE"/>
        </w:rPr>
      </w:pPr>
      <w:r>
        <w:rPr>
          <w:rStyle w:val="FootnoteReference"/>
        </w:rPr>
        <w:footnoteRef/>
      </w:r>
      <w:r>
        <w:t xml:space="preserve"> </w:t>
      </w:r>
      <w:hyperlink r:id="rId6" w:history="1">
        <w:r>
          <w:rPr>
            <w:rStyle w:val="Hyperlink"/>
          </w:rPr>
          <w:t>http://www.publicjobs.ie/publicjobs/about/about_us.htm</w:t>
        </w:r>
      </w:hyperlink>
      <w:r>
        <w:rPr>
          <w:lang w:val="en-IE"/>
        </w:rPr>
        <w:t xml:space="preserve">. </w:t>
      </w:r>
    </w:p>
  </w:footnote>
  <w:footnote w:id="7">
    <w:p w:rsidR="00DD0E4A" w:rsidRPr="00DD0E4A" w:rsidRDefault="00DD0E4A">
      <w:pPr>
        <w:pStyle w:val="FootnoteText"/>
        <w:rPr>
          <w:lang w:val="en-IE"/>
        </w:rPr>
      </w:pPr>
      <w:r>
        <w:rPr>
          <w:rStyle w:val="FootnoteReference"/>
        </w:rPr>
        <w:footnoteRef/>
      </w:r>
      <w:r>
        <w:rPr>
          <w:lang w:val="en-IE"/>
        </w:rPr>
        <w:t xml:space="preserve"> Transcript of the meeting of the Joint </w:t>
      </w:r>
      <w:proofErr w:type="spellStart"/>
      <w:r>
        <w:rPr>
          <w:lang w:val="en-IE"/>
        </w:rPr>
        <w:t>Oireachtas</w:t>
      </w:r>
      <w:proofErr w:type="spellEnd"/>
      <w:r>
        <w:rPr>
          <w:lang w:val="en-IE"/>
        </w:rPr>
        <w:t xml:space="preserve"> Committee on Justice, Defence and Equality, 25 September 2012, available online at: </w:t>
      </w:r>
      <w:hyperlink r:id="rId7" w:anchor="C00050" w:history="1">
        <w:r>
          <w:rPr>
            <w:rStyle w:val="Hyperlink"/>
          </w:rPr>
          <w:t>http://oireachtasdebates.oireachtas.ie/Debates%20Authoring/DebatesWebPack.nsf/committeetakes/JUJ2012092500004?opendocument#C00050</w:t>
        </w:r>
      </w:hyperlink>
      <w:r>
        <w:rPr>
          <w:lang w:val="en-IE"/>
        </w:rPr>
        <w:t>.</w:t>
      </w:r>
    </w:p>
  </w:footnote>
  <w:footnote w:id="8">
    <w:p w:rsidR="006868BB" w:rsidRPr="00053B7A" w:rsidRDefault="006868BB">
      <w:pPr>
        <w:pStyle w:val="FootnoteText"/>
        <w:rPr>
          <w:lang w:val="en-IE"/>
        </w:rPr>
      </w:pPr>
      <w:r>
        <w:rPr>
          <w:rStyle w:val="FootnoteReference"/>
        </w:rPr>
        <w:footnoteRef/>
      </w:r>
      <w:r>
        <w:t xml:space="preserve"> </w:t>
      </w:r>
      <w:r w:rsidRPr="00C17052">
        <w:rPr>
          <w:rFonts w:cs="Arial"/>
          <w:bCs/>
        </w:rPr>
        <w:t xml:space="preserve">Letter from the Council of Europe Commissioner for Human Rights, Nils </w:t>
      </w:r>
      <w:proofErr w:type="spellStart"/>
      <w:r w:rsidRPr="00C17052">
        <w:rPr>
          <w:rFonts w:cs="Arial"/>
          <w:bCs/>
        </w:rPr>
        <w:t>Muižnieks</w:t>
      </w:r>
      <w:proofErr w:type="spellEnd"/>
      <w:r w:rsidRPr="00C17052">
        <w:rPr>
          <w:rFonts w:cs="Arial"/>
          <w:bCs/>
        </w:rPr>
        <w:t>, to the Minister for Justice, Equality and Defence of Ireland, Mr Alan Shatter</w:t>
      </w:r>
      <w:r w:rsidRPr="00C17052">
        <w:rPr>
          <w:rFonts w:cs="Arial"/>
          <w:bCs/>
          <w:lang w:val="en-IE"/>
        </w:rPr>
        <w:t xml:space="preserve">, available online at </w:t>
      </w:r>
      <w:hyperlink r:id="rId8" w:history="1">
        <w:r w:rsidRPr="00425D46">
          <w:rPr>
            <w:rStyle w:val="Hyperlink"/>
            <w:rFonts w:cs="Arial"/>
            <w:bCs/>
            <w:lang w:val="en-IE"/>
          </w:rPr>
          <w:t>https://wcd.coe.int/ViewDoc.jsp?id=2011899</w:t>
        </w:r>
      </w:hyperlink>
      <w:r>
        <w:rPr>
          <w:rFonts w:cs="Arial"/>
          <w:bCs/>
          <w:lang w:val="en-IE"/>
        </w:rPr>
        <w:t xml:space="preserve">. </w:t>
      </w:r>
    </w:p>
  </w:footnote>
  <w:footnote w:id="9">
    <w:p w:rsidR="006868BB" w:rsidRDefault="006868BB">
      <w:pPr>
        <w:pStyle w:val="FootnoteText"/>
      </w:pPr>
      <w:r>
        <w:rPr>
          <w:rStyle w:val="FootnoteReference"/>
        </w:rPr>
        <w:footnoteRef/>
      </w:r>
      <w:r>
        <w:t xml:space="preserve"> </w:t>
      </w:r>
      <w:r w:rsidRPr="00565A74">
        <w:rPr>
          <w:bCs/>
          <w:color w:val="000000"/>
          <w:shd w:val="clear" w:color="auto" w:fill="FFFFFF"/>
        </w:rPr>
        <w:t xml:space="preserve">Report by Thomas </w:t>
      </w:r>
      <w:proofErr w:type="spellStart"/>
      <w:r w:rsidRPr="00565A74">
        <w:rPr>
          <w:bCs/>
          <w:color w:val="000000"/>
          <w:shd w:val="clear" w:color="auto" w:fill="FFFFFF"/>
        </w:rPr>
        <w:t>Hammarberg</w:t>
      </w:r>
      <w:proofErr w:type="spellEnd"/>
      <w:r w:rsidRPr="00565A74">
        <w:rPr>
          <w:bCs/>
          <w:color w:val="000000"/>
          <w:shd w:val="clear" w:color="auto" w:fill="FFFFFF"/>
        </w:rPr>
        <w:t xml:space="preserve">, Commissioner for Human Rights of the Council of Europe, following his visit to Ireland from 1 to 2 June 2011, </w:t>
      </w:r>
      <w:r w:rsidRPr="00565A74">
        <w:rPr>
          <w:i/>
          <w:iCs/>
          <w:color w:val="000000"/>
          <w:shd w:val="clear" w:color="auto" w:fill="FFFFFF"/>
        </w:rPr>
        <w:t>Human rights of vulnerable groups in times of austerity budgets</w:t>
      </w:r>
      <w:r>
        <w:rPr>
          <w:i/>
          <w:iCs/>
          <w:color w:val="000000"/>
          <w:shd w:val="clear" w:color="auto" w:fill="FFFFFF"/>
        </w:rPr>
        <w:t xml:space="preserve">, </w:t>
      </w:r>
      <w:r>
        <w:rPr>
          <w:iCs/>
          <w:color w:val="000000"/>
          <w:shd w:val="clear" w:color="auto" w:fill="FFFFFF"/>
        </w:rPr>
        <w:t>available on</w:t>
      </w:r>
      <w:r w:rsidRPr="00565A74">
        <w:rPr>
          <w:iCs/>
          <w:color w:val="000000"/>
          <w:shd w:val="clear" w:color="auto" w:fill="FFFFFF"/>
        </w:rPr>
        <w:t>line at:</w:t>
      </w:r>
      <w:r>
        <w:rPr>
          <w:i/>
          <w:iCs/>
          <w:color w:val="000000"/>
          <w:shd w:val="clear" w:color="auto" w:fill="FFFFFF"/>
        </w:rPr>
        <w:t xml:space="preserve"> </w:t>
      </w:r>
      <w:hyperlink r:id="rId9" w:history="1">
        <w:r w:rsidRPr="00565A74">
          <w:rPr>
            <w:rStyle w:val="Hyperlink"/>
          </w:rPr>
          <w:t>https://wcd.coe.int/ViewDoc.jsp?id=1831077</w:t>
        </w:r>
      </w:hyperlink>
      <w:r>
        <w:t>.</w:t>
      </w:r>
    </w:p>
  </w:footnote>
  <w:footnote w:id="10">
    <w:p w:rsidR="006868BB" w:rsidRDefault="006868BB">
      <w:pPr>
        <w:pStyle w:val="FootnoteText"/>
      </w:pPr>
      <w:r>
        <w:rPr>
          <w:rStyle w:val="FootnoteReference"/>
        </w:rPr>
        <w:footnoteRef/>
      </w:r>
      <w:r>
        <w:t xml:space="preserve"> See FLAC’s Pre-Budget Submission 2012 available online at: </w:t>
      </w:r>
      <w:hyperlink r:id="rId10" w:history="1">
        <w:r>
          <w:rPr>
            <w:rStyle w:val="Hyperlink"/>
          </w:rPr>
          <w:t>http://www.flac.ie/download/pdf/2011_sept_flac_submission_to_minister_joan_burton_td_for_budget_2012_final.pdf</w:t>
        </w:r>
      </w:hyperlink>
      <w:r>
        <w:t>.</w:t>
      </w:r>
    </w:p>
  </w:footnote>
  <w:footnote w:id="11">
    <w:p w:rsidR="006868BB" w:rsidRPr="00053B7A" w:rsidRDefault="006868BB">
      <w:pPr>
        <w:pStyle w:val="FootnoteText"/>
        <w:rPr>
          <w:lang w:val="en-IE"/>
        </w:rPr>
      </w:pPr>
      <w:r>
        <w:rPr>
          <w:rStyle w:val="FootnoteReference"/>
        </w:rPr>
        <w:footnoteRef/>
      </w:r>
      <w:r>
        <w:t xml:space="preserve"> </w:t>
      </w:r>
      <w:r>
        <w:rPr>
          <w:lang w:val="en-IE"/>
        </w:rPr>
        <w:t xml:space="preserve">See European Commission against Racism and Intolerance (ECRI) Report on Ireland, (Fourth monitoring cycle CRI 2013) available online at </w:t>
      </w:r>
      <w:hyperlink r:id="rId11" w:history="1">
        <w:r w:rsidRPr="00425D46">
          <w:rPr>
            <w:rStyle w:val="Hyperlink"/>
          </w:rPr>
          <w:t>http://www.coe.int/t/dghl/monitoring/ecri/Country-by-country/Ireland/IRL-CbC-IV-2013-001-ENG.pdf</w:t>
        </w:r>
      </w:hyperlink>
      <w:r>
        <w:rPr>
          <w:lang w:val="en-IE"/>
        </w:rPr>
        <w:t xml:space="preserve">. </w:t>
      </w:r>
    </w:p>
  </w:footnote>
  <w:footnote w:id="12">
    <w:p w:rsidR="00596373" w:rsidRPr="00596373" w:rsidRDefault="00596373">
      <w:pPr>
        <w:pStyle w:val="FootnoteText"/>
        <w:rPr>
          <w:lang w:val="en-IE"/>
        </w:rPr>
      </w:pPr>
      <w:r>
        <w:rPr>
          <w:rStyle w:val="FootnoteReference"/>
        </w:rPr>
        <w:footnoteRef/>
      </w:r>
      <w:r>
        <w:t xml:space="preserve"> </w:t>
      </w:r>
      <w:proofErr w:type="spellStart"/>
      <w:r>
        <w:rPr>
          <w:lang w:val="en-IE"/>
        </w:rPr>
        <w:t>Cosc</w:t>
      </w:r>
      <w:proofErr w:type="spellEnd"/>
      <w:r>
        <w:rPr>
          <w:lang w:val="en-IE"/>
        </w:rPr>
        <w:t xml:space="preserve"> is </w:t>
      </w:r>
      <w:proofErr w:type="spellStart"/>
      <w:r>
        <w:rPr>
          <w:lang w:val="en-IE"/>
        </w:rPr>
        <w:t>t</w:t>
      </w:r>
      <w:r w:rsidRPr="00596373">
        <w:rPr>
          <w:color w:val="000000" w:themeColor="text1"/>
          <w:shd w:val="clear" w:color="auto" w:fill="FFFFFF"/>
        </w:rPr>
        <w:t>he</w:t>
      </w:r>
      <w:proofErr w:type="spellEnd"/>
      <w:r w:rsidRPr="00596373">
        <w:rPr>
          <w:color w:val="000000" w:themeColor="text1"/>
          <w:shd w:val="clear" w:color="auto" w:fill="FFFFFF"/>
        </w:rPr>
        <w:t xml:space="preserve"> National Office for the Prevention of Domestic, Sexual and Gender-based Violence</w:t>
      </w:r>
      <w:r>
        <w:rPr>
          <w:color w:val="000000" w:themeColor="text1"/>
          <w:shd w:val="clear" w:color="auto" w:fill="FFFFFF"/>
          <w:lang w:val="en-IE"/>
        </w:rPr>
        <w:t>.</w:t>
      </w:r>
    </w:p>
  </w:footnote>
  <w:footnote w:id="13">
    <w:p w:rsidR="003665A5" w:rsidRPr="003665A5" w:rsidRDefault="003665A5">
      <w:pPr>
        <w:pStyle w:val="FootnoteText"/>
        <w:rPr>
          <w:lang w:val="en-IE"/>
        </w:rPr>
      </w:pPr>
      <w:r>
        <w:rPr>
          <w:rStyle w:val="FootnoteReference"/>
        </w:rPr>
        <w:footnoteRef/>
      </w:r>
      <w:r>
        <w:t xml:space="preserve"> </w:t>
      </w:r>
      <w:proofErr w:type="spellStart"/>
      <w:r w:rsidRPr="00794782">
        <w:rPr>
          <w:rFonts w:cs="Lexia-Italic"/>
          <w:i/>
          <w:iCs/>
          <w:lang w:val="en-US" w:eastAsia="en-IE"/>
        </w:rPr>
        <w:t>Mc</w:t>
      </w:r>
      <w:proofErr w:type="spellEnd"/>
      <w:r w:rsidRPr="00794782">
        <w:rPr>
          <w:rFonts w:cs="Lexia-Italic"/>
          <w:i/>
          <w:iCs/>
          <w:lang w:val="en-US" w:eastAsia="en-IE"/>
        </w:rPr>
        <w:t xml:space="preserve"> </w:t>
      </w:r>
      <w:proofErr w:type="spellStart"/>
      <w:r w:rsidRPr="00794782">
        <w:rPr>
          <w:rFonts w:cs="Lexia-Italic"/>
          <w:i/>
          <w:iCs/>
          <w:lang w:val="en-US" w:eastAsia="en-IE"/>
        </w:rPr>
        <w:t>Cann</w:t>
      </w:r>
      <w:proofErr w:type="spellEnd"/>
      <w:r w:rsidRPr="00794782">
        <w:rPr>
          <w:rFonts w:cs="Lexia-Italic"/>
          <w:i/>
          <w:iCs/>
          <w:lang w:val="en-US" w:eastAsia="en-IE"/>
        </w:rPr>
        <w:t xml:space="preserve"> v Judges of Mona</w:t>
      </w:r>
      <w:proofErr w:type="spellStart"/>
      <w:r w:rsidRPr="00794782">
        <w:rPr>
          <w:rFonts w:cs="Lexia-Italic"/>
          <w:i/>
          <w:iCs/>
          <w:lang w:eastAsia="en-IE"/>
        </w:rPr>
        <w:t>g</w:t>
      </w:r>
      <w:r w:rsidRPr="00794782">
        <w:rPr>
          <w:rFonts w:cs="Lexia-Italic"/>
          <w:i/>
          <w:iCs/>
          <w:lang w:val="en-US" w:eastAsia="en-IE"/>
        </w:rPr>
        <w:t>han</w:t>
      </w:r>
      <w:proofErr w:type="spellEnd"/>
      <w:r w:rsidRPr="00794782">
        <w:rPr>
          <w:rFonts w:cs="Lexia-Italic"/>
          <w:i/>
          <w:iCs/>
          <w:lang w:val="en-US" w:eastAsia="en-IE"/>
        </w:rPr>
        <w:t xml:space="preserve"> District Court &amp; </w:t>
      </w:r>
      <w:proofErr w:type="spellStart"/>
      <w:r w:rsidRPr="00794782">
        <w:rPr>
          <w:rFonts w:cs="Lexia-Italic"/>
          <w:i/>
          <w:iCs/>
          <w:lang w:val="en-US" w:eastAsia="en-IE"/>
        </w:rPr>
        <w:t>Ors</w:t>
      </w:r>
      <w:proofErr w:type="spellEnd"/>
      <w:r w:rsidRPr="00794782">
        <w:rPr>
          <w:rFonts w:cs="Lexia-Italic"/>
          <w:i/>
          <w:iCs/>
          <w:lang w:val="en-US" w:eastAsia="en-IE"/>
        </w:rPr>
        <w:t xml:space="preserve"> </w:t>
      </w:r>
      <w:r w:rsidRPr="00794782">
        <w:rPr>
          <w:rFonts w:cs="Lexia-Regular"/>
          <w:lang w:val="en-US" w:eastAsia="en-IE"/>
        </w:rPr>
        <w:t>[2009] IEHC 276.</w:t>
      </w:r>
    </w:p>
  </w:footnote>
  <w:footnote w:id="14">
    <w:p w:rsidR="006868BB" w:rsidRPr="00DE1274" w:rsidRDefault="006868BB">
      <w:pPr>
        <w:pStyle w:val="FootnoteText"/>
        <w:rPr>
          <w:lang w:val="en-IE"/>
        </w:rPr>
      </w:pPr>
      <w:r>
        <w:rPr>
          <w:rStyle w:val="FootnoteReference"/>
        </w:rPr>
        <w:footnoteRef/>
      </w:r>
      <w:r>
        <w:t xml:space="preserve"> For further details, see a</w:t>
      </w:r>
      <w:r>
        <w:rPr>
          <w:lang w:val="en-IE"/>
        </w:rPr>
        <w:t>n information leaflet</w:t>
      </w:r>
      <w:r>
        <w:t xml:space="preserve"> by the Irish Penal Reform Trust (IPRT), </w:t>
      </w:r>
      <w:r>
        <w:rPr>
          <w:i/>
          <w:lang w:val="en-IE"/>
        </w:rPr>
        <w:t>Facts and Figures</w:t>
      </w:r>
      <w:r>
        <w:t xml:space="preserve"> available online at:</w:t>
      </w:r>
      <w:r w:rsidRPr="004E6F50">
        <w:t xml:space="preserve"> </w:t>
      </w:r>
      <w:hyperlink r:id="rId12" w:history="1">
        <w:r>
          <w:rPr>
            <w:rStyle w:val="Hyperlink"/>
          </w:rPr>
          <w:t>http://www.iprt.ie/prison-facts-2</w:t>
        </w:r>
      </w:hyperlink>
      <w:r>
        <w:rPr>
          <w:lang w:val="en-IE"/>
        </w:rPr>
        <w:t xml:space="preserve">. </w:t>
      </w:r>
    </w:p>
  </w:footnote>
  <w:footnote w:id="15">
    <w:p w:rsidR="006868BB" w:rsidRPr="00DE1274" w:rsidRDefault="006868BB" w:rsidP="00E6718D">
      <w:pPr>
        <w:rPr>
          <w:sz w:val="20"/>
          <w:szCs w:val="20"/>
        </w:rPr>
      </w:pPr>
      <w:r w:rsidRPr="003665A5">
        <w:rPr>
          <w:sz w:val="20"/>
          <w:szCs w:val="20"/>
          <w:vertAlign w:val="superscript"/>
        </w:rPr>
        <w:footnoteRef/>
      </w:r>
      <w:r w:rsidRPr="00E6718D">
        <w:rPr>
          <w:sz w:val="20"/>
          <w:szCs w:val="20"/>
        </w:rPr>
        <w:t xml:space="preserve"> See </w:t>
      </w:r>
      <w:r w:rsidRPr="00DE1274">
        <w:rPr>
          <w:i/>
          <w:sz w:val="20"/>
          <w:szCs w:val="20"/>
        </w:rPr>
        <w:t>Support for Bill giving a year to pay fine</w:t>
      </w:r>
      <w:r>
        <w:rPr>
          <w:sz w:val="20"/>
          <w:szCs w:val="20"/>
        </w:rPr>
        <w:t xml:space="preserve"> in Irish Times, 24 October 2012, available online at: </w:t>
      </w:r>
      <w:hyperlink r:id="rId13" w:history="1">
        <w:r>
          <w:rPr>
            <w:rStyle w:val="Hyperlink"/>
          </w:rPr>
          <w:t>http://www.irishtimes.com/news/support-for-bill-giving-a-year-to-pay-fines-1.556640</w:t>
        </w:r>
      </w:hyperlink>
      <w:r>
        <w:t>.</w:t>
      </w:r>
    </w:p>
  </w:footnote>
  <w:footnote w:id="16">
    <w:p w:rsidR="00BA7FBB" w:rsidRPr="00BA7FBB" w:rsidRDefault="00BA7FBB">
      <w:pPr>
        <w:pStyle w:val="FootnoteText"/>
        <w:rPr>
          <w:lang w:val="en-IE"/>
        </w:rPr>
      </w:pPr>
      <w:r>
        <w:rPr>
          <w:rStyle w:val="FootnoteReference"/>
        </w:rPr>
        <w:footnoteRef/>
      </w:r>
      <w:r>
        <w:t xml:space="preserve"> </w:t>
      </w:r>
      <w:r>
        <w:rPr>
          <w:lang w:val="en-IE"/>
        </w:rPr>
        <w:t xml:space="preserve">Available online at: </w:t>
      </w:r>
      <w:hyperlink r:id="rId14" w:history="1">
        <w:r>
          <w:rPr>
            <w:rStyle w:val="Hyperlink"/>
          </w:rPr>
          <w:t>http://www.oireachtas.ie/viewdoc.asp?DocID=24171&amp;&amp;CatID=59</w:t>
        </w:r>
      </w:hyperlink>
      <w:r>
        <w:rPr>
          <w:lang w:val="en-IE"/>
        </w:rPr>
        <w:t xml:space="preserve">. </w:t>
      </w:r>
    </w:p>
  </w:footnote>
  <w:footnote w:id="17">
    <w:p w:rsidR="00137C63" w:rsidRPr="00BA7FBB" w:rsidRDefault="00137C63" w:rsidP="00137C63">
      <w:pPr>
        <w:pStyle w:val="FootnoteText"/>
        <w:rPr>
          <w:lang w:val="en-IE"/>
        </w:rPr>
      </w:pPr>
      <w:r>
        <w:rPr>
          <w:rStyle w:val="FootnoteReference"/>
        </w:rPr>
        <w:footnoteRef/>
      </w:r>
      <w:r>
        <w:rPr>
          <w:lang w:val="en-IE"/>
        </w:rPr>
        <w:t xml:space="preserve"> See the press release by the Minister for Justice, Defence and Equality available online at: </w:t>
      </w:r>
      <w:hyperlink r:id="rId15" w:history="1">
        <w:r>
          <w:rPr>
            <w:rStyle w:val="Hyperlink"/>
          </w:rPr>
          <w:t>http://www.justice.ie/en/JELR/Pages/PR13000311</w:t>
        </w:r>
      </w:hyperlink>
      <w:r>
        <w:rPr>
          <w:lang w:val="en-IE"/>
        </w:rPr>
        <w:t>.</w:t>
      </w:r>
    </w:p>
  </w:footnote>
  <w:footnote w:id="18">
    <w:p w:rsidR="006868BB" w:rsidRDefault="006868BB">
      <w:pPr>
        <w:pStyle w:val="FootnoteText"/>
      </w:pPr>
      <w:r>
        <w:rPr>
          <w:rStyle w:val="FootnoteReference"/>
        </w:rPr>
        <w:footnoteRef/>
      </w:r>
      <w:r>
        <w:t xml:space="preserve"> FLAC’s submission on the Immigration, Residence and Protection Bill 2010 is available online at: </w:t>
      </w:r>
      <w:hyperlink r:id="rId16" w:history="1">
        <w:r>
          <w:rPr>
            <w:rStyle w:val="Hyperlink"/>
          </w:rPr>
          <w:t>http://www.flac.ie/download/pdf/irp_bill_submission.pdf</w:t>
        </w:r>
      </w:hyperlink>
      <w:r>
        <w:t>.</w:t>
      </w:r>
    </w:p>
  </w:footnote>
  <w:footnote w:id="19">
    <w:p w:rsidR="006868BB" w:rsidRPr="00BA3E5E" w:rsidRDefault="006868BB" w:rsidP="00B36FED">
      <w:pPr>
        <w:pStyle w:val="NoSpacing"/>
        <w:rPr>
          <w:color w:val="000000"/>
          <w:sz w:val="20"/>
          <w:szCs w:val="20"/>
        </w:rPr>
      </w:pPr>
      <w:r w:rsidRPr="00BA3E5E">
        <w:rPr>
          <w:rStyle w:val="FootnoteReference"/>
          <w:sz w:val="20"/>
          <w:szCs w:val="20"/>
        </w:rPr>
        <w:footnoteRef/>
      </w:r>
      <w:r w:rsidRPr="00BA3E5E">
        <w:rPr>
          <w:sz w:val="20"/>
          <w:szCs w:val="20"/>
        </w:rPr>
        <w:t xml:space="preserve"> </w:t>
      </w:r>
      <w:r>
        <w:t xml:space="preserve">See page 73 of the European Migration Network’s </w:t>
      </w:r>
      <w:r w:rsidRPr="00B170E2">
        <w:rPr>
          <w:i/>
        </w:rPr>
        <w:t>Annual Report on Migration and Asylum 2011</w:t>
      </w:r>
      <w:r>
        <w:t xml:space="preserve">, available online at: </w:t>
      </w:r>
      <w:hyperlink r:id="rId17" w:history="1">
        <w:r>
          <w:rPr>
            <w:rStyle w:val="Hyperlink"/>
          </w:rPr>
          <w:t>http://emn.ie/files/p_201303261240352011_Annual%20Policy%20Report%20on%20Migration%20and%20Asylum_Mar2013.pdf</w:t>
        </w:r>
      </w:hyperlink>
      <w:r>
        <w:t>.</w:t>
      </w:r>
    </w:p>
  </w:footnote>
  <w:footnote w:id="20">
    <w:p w:rsidR="006868BB" w:rsidRPr="00BA3E5E" w:rsidRDefault="006868BB" w:rsidP="00B36FED">
      <w:pPr>
        <w:pStyle w:val="NoSpacing"/>
        <w:rPr>
          <w:sz w:val="20"/>
          <w:szCs w:val="20"/>
        </w:rPr>
      </w:pPr>
      <w:r w:rsidRPr="00BA3E5E">
        <w:rPr>
          <w:rStyle w:val="FootnoteReference"/>
          <w:sz w:val="20"/>
          <w:szCs w:val="20"/>
        </w:rPr>
        <w:footnoteRef/>
      </w:r>
      <w:r w:rsidRPr="00BA3E5E">
        <w:rPr>
          <w:sz w:val="20"/>
          <w:szCs w:val="20"/>
        </w:rPr>
        <w:t xml:space="preserve"> See ORAC</w:t>
      </w:r>
      <w:r>
        <w:rPr>
          <w:sz w:val="20"/>
          <w:szCs w:val="20"/>
        </w:rPr>
        <w:t xml:space="preserve"> annual</w:t>
      </w:r>
      <w:r w:rsidRPr="00BA3E5E">
        <w:rPr>
          <w:sz w:val="20"/>
          <w:szCs w:val="20"/>
        </w:rPr>
        <w:t xml:space="preserve"> statistics for </w:t>
      </w:r>
      <w:r>
        <w:rPr>
          <w:sz w:val="20"/>
          <w:szCs w:val="20"/>
        </w:rPr>
        <w:t>2</w:t>
      </w:r>
      <w:r w:rsidRPr="00BA3E5E">
        <w:rPr>
          <w:sz w:val="20"/>
          <w:szCs w:val="20"/>
        </w:rPr>
        <w:t>01</w:t>
      </w:r>
      <w:r>
        <w:rPr>
          <w:sz w:val="20"/>
          <w:szCs w:val="20"/>
        </w:rPr>
        <w:t>2</w:t>
      </w:r>
      <w:r w:rsidRPr="00BA3E5E">
        <w:rPr>
          <w:sz w:val="20"/>
          <w:szCs w:val="20"/>
        </w:rPr>
        <w:t xml:space="preserve"> available online at</w:t>
      </w:r>
      <w:r w:rsidRPr="0014664A">
        <w:rPr>
          <w:sz w:val="20"/>
          <w:szCs w:val="20"/>
        </w:rPr>
        <w:t xml:space="preserve">: </w:t>
      </w:r>
      <w:hyperlink r:id="rId18" w:history="1">
        <w:r w:rsidRPr="00DE1274">
          <w:rPr>
            <w:rStyle w:val="Hyperlink"/>
            <w:sz w:val="20"/>
            <w:szCs w:val="20"/>
          </w:rPr>
          <w:t>http://bit.ly/ORACstats2012</w:t>
        </w:r>
      </w:hyperlink>
      <w:r w:rsidRPr="00DE1274">
        <w:rPr>
          <w:sz w:val="20"/>
          <w:szCs w:val="20"/>
        </w:rPr>
        <w:t xml:space="preserve">. </w:t>
      </w:r>
    </w:p>
  </w:footnote>
  <w:footnote w:id="21">
    <w:p w:rsidR="006868BB" w:rsidRPr="00DE1274" w:rsidRDefault="006868BB">
      <w:pPr>
        <w:pStyle w:val="FootnoteText"/>
        <w:rPr>
          <w:lang w:val="en-IE"/>
        </w:rPr>
      </w:pPr>
      <w:r>
        <w:rPr>
          <w:rStyle w:val="FootnoteReference"/>
        </w:rPr>
        <w:footnoteRef/>
      </w:r>
      <w:r>
        <w:rPr>
          <w:lang w:val="en-IE"/>
        </w:rPr>
        <w:t xml:space="preserve"> See Eurostat 2012 report available online at: </w:t>
      </w:r>
      <w:r>
        <w:t xml:space="preserve"> </w:t>
      </w:r>
      <w:hyperlink r:id="rId19" w:history="1">
        <w:r>
          <w:rPr>
            <w:rStyle w:val="Hyperlink"/>
          </w:rPr>
          <w:t>http://epp.eurostat.ec.europa.eu/cache/ITY_PUBLIC/3-18062013-AP/EN/3-18062013-AP-EN.PDF</w:t>
        </w:r>
      </w:hyperlink>
    </w:p>
  </w:footnote>
  <w:footnote w:id="22">
    <w:p w:rsidR="006868BB" w:rsidRPr="00BA3E5E" w:rsidRDefault="006868BB" w:rsidP="00B36FED">
      <w:pPr>
        <w:pStyle w:val="NoSpacing"/>
      </w:pPr>
      <w:r w:rsidRPr="00BA3E5E">
        <w:rPr>
          <w:rStyle w:val="FootnoteReference"/>
          <w:sz w:val="20"/>
          <w:szCs w:val="20"/>
        </w:rPr>
        <w:footnoteRef/>
      </w:r>
      <w:r w:rsidRPr="00BA3E5E">
        <w:rPr>
          <w:sz w:val="20"/>
          <w:szCs w:val="20"/>
        </w:rPr>
        <w:t xml:space="preserve"> See </w:t>
      </w:r>
      <w:r w:rsidRPr="00BA3E5E">
        <w:rPr>
          <w:i/>
          <w:sz w:val="20"/>
          <w:szCs w:val="20"/>
        </w:rPr>
        <w:t>UNHCR Ireland statement on need for introduction of single procedure</w:t>
      </w:r>
      <w:r w:rsidRPr="00BA3E5E">
        <w:rPr>
          <w:sz w:val="20"/>
          <w:szCs w:val="20"/>
        </w:rPr>
        <w:t xml:space="preserve"> available online at: </w:t>
      </w:r>
      <w:hyperlink r:id="rId20" w:history="1">
        <w:r w:rsidRPr="00BA3E5E">
          <w:rPr>
            <w:rStyle w:val="Hyperlink"/>
            <w:sz w:val="20"/>
            <w:szCs w:val="20"/>
          </w:rPr>
          <w:t>http://www.unhcr.ie/news/irish-story/unhcr-ireland-statement-on-need-for-introduction-of-single-procedure</w:t>
        </w:r>
      </w:hyperlink>
    </w:p>
  </w:footnote>
  <w:footnote w:id="23">
    <w:p w:rsidR="006868BB" w:rsidRDefault="006868BB" w:rsidP="000F01FD">
      <w:pPr>
        <w:pStyle w:val="FootnoteText"/>
      </w:pPr>
      <w:r>
        <w:rPr>
          <w:rStyle w:val="FootnoteReference"/>
        </w:rPr>
        <w:footnoteRef/>
      </w:r>
      <w:r>
        <w:t xml:space="preserve"> See statistics from the Reception &amp; Integration Agency from </w:t>
      </w:r>
      <w:r>
        <w:rPr>
          <w:lang w:val="en-IE"/>
        </w:rPr>
        <w:t>February 2013</w:t>
      </w:r>
      <w:r>
        <w:t xml:space="preserve"> available online at: </w:t>
      </w:r>
      <w:hyperlink r:id="rId21" w:history="1">
        <w:r w:rsidRPr="00086308" w:rsidDel="00086308">
          <w:rPr>
            <w:rStyle w:val="Hyperlink"/>
          </w:rPr>
          <w:t xml:space="preserve"> </w:t>
        </w:r>
      </w:hyperlink>
      <w:hyperlink r:id="rId22" w:history="1">
        <w:r>
          <w:rPr>
            <w:rStyle w:val="Hyperlink"/>
          </w:rPr>
          <w:t>http://www.ria.gov.ie/en/RIA/RIAFeb(A4)2013.pdf/Files/RIAFeb(A4)2013.pdf</w:t>
        </w:r>
      </w:hyperlink>
      <w:r>
        <w:t>.</w:t>
      </w:r>
    </w:p>
  </w:footnote>
  <w:footnote w:id="24">
    <w:p w:rsidR="006868BB" w:rsidRDefault="006868BB">
      <w:pPr>
        <w:pStyle w:val="FootnoteText"/>
      </w:pPr>
      <w:r>
        <w:rPr>
          <w:rStyle w:val="FootnoteReference"/>
        </w:rPr>
        <w:footnoteRef/>
      </w:r>
      <w:r>
        <w:t xml:space="preserve"> FLAC, </w:t>
      </w:r>
      <w:r w:rsidRPr="00DE1274">
        <w:rPr>
          <w:i/>
        </w:rPr>
        <w:t>One Size Doesn’t Fit All</w:t>
      </w:r>
      <w:r>
        <w:t xml:space="preserve">, available online at: </w:t>
      </w:r>
      <w:hyperlink r:id="rId23" w:history="1">
        <w:r>
          <w:rPr>
            <w:rStyle w:val="Hyperlink"/>
          </w:rPr>
          <w:t>http://www.flac.ie/publications/one-size-doesnt-fit-all/</w:t>
        </w:r>
      </w:hyperlink>
      <w:r>
        <w:t>.</w:t>
      </w:r>
    </w:p>
  </w:footnote>
  <w:footnote w:id="25">
    <w:p w:rsidR="006868BB" w:rsidRDefault="006868BB">
      <w:pPr>
        <w:pStyle w:val="FootnoteText"/>
      </w:pPr>
      <w:r>
        <w:rPr>
          <w:rStyle w:val="FootnoteReference"/>
        </w:rPr>
        <w:footnoteRef/>
      </w:r>
      <w:r>
        <w:t xml:space="preserve"> Concluding Observations of CERD following Ireland’s 3</w:t>
      </w:r>
      <w:r w:rsidRPr="00BB66EF">
        <w:rPr>
          <w:vertAlign w:val="superscript"/>
        </w:rPr>
        <w:t>rd</w:t>
      </w:r>
      <w:r>
        <w:t xml:space="preserve"> and 4</w:t>
      </w:r>
      <w:r w:rsidRPr="00BB66EF">
        <w:rPr>
          <w:vertAlign w:val="superscript"/>
        </w:rPr>
        <w:t>th</w:t>
      </w:r>
      <w:r>
        <w:t xml:space="preserve"> report available online at: </w:t>
      </w:r>
      <w:hyperlink r:id="rId24" w:history="1">
        <w:r>
          <w:rPr>
            <w:rStyle w:val="Hyperlink"/>
          </w:rPr>
          <w:t>http://www2.ohchr.org/english/bodies/cerd/docs/co/Ireland_AUV.pdf</w:t>
        </w:r>
      </w:hyperlink>
      <w:r>
        <w:t>.</w:t>
      </w:r>
    </w:p>
  </w:footnote>
  <w:footnote w:id="26">
    <w:p w:rsidR="006868BB" w:rsidRPr="0077643D" w:rsidRDefault="006868BB">
      <w:pPr>
        <w:pStyle w:val="FootnoteText"/>
        <w:rPr>
          <w:lang w:val="en-IE"/>
        </w:rPr>
      </w:pPr>
      <w:r>
        <w:rPr>
          <w:rStyle w:val="FootnoteReference"/>
        </w:rPr>
        <w:footnoteRef/>
      </w:r>
      <w:r>
        <w:t xml:space="preserve"> </w:t>
      </w:r>
      <w:proofErr w:type="gramStart"/>
      <w:r>
        <w:rPr>
          <w:lang w:val="en-IE"/>
        </w:rPr>
        <w:t xml:space="preserve">European Commission against Racism and Intolerance Report on Ireland, (Fourth monitoring cycle CRI 2013) available online at </w:t>
      </w:r>
      <w:hyperlink r:id="rId25" w:history="1">
        <w:r w:rsidRPr="00425D46">
          <w:rPr>
            <w:rStyle w:val="Hyperlink"/>
          </w:rPr>
          <w:t>http://www.coe.int/t/dghl/monitoring/ecri/Country-by-country/Ireland/IRL-CbC-IV-2013-001-ENG.pdf</w:t>
        </w:r>
      </w:hyperlink>
      <w:r>
        <w:rPr>
          <w:lang w:val="en-IE"/>
        </w:rPr>
        <w:t>.</w:t>
      </w:r>
      <w:proofErr w:type="gramEnd"/>
    </w:p>
  </w:footnote>
  <w:footnote w:id="27">
    <w:p w:rsidR="006868BB" w:rsidRPr="00053B7A" w:rsidRDefault="006868BB">
      <w:pPr>
        <w:pStyle w:val="FootnoteText"/>
        <w:rPr>
          <w:lang w:val="en-IE"/>
        </w:rPr>
      </w:pPr>
      <w:r>
        <w:rPr>
          <w:rStyle w:val="FootnoteReference"/>
        </w:rPr>
        <w:footnoteRef/>
      </w:r>
      <w:r>
        <w:t xml:space="preserve"> </w:t>
      </w:r>
      <w:r w:rsidRPr="00053B7A">
        <w:rPr>
          <w:rFonts w:cs="Arial"/>
          <w:bCs/>
        </w:rPr>
        <w:t xml:space="preserve">Letter from the Council of Europe Commissioner for Human Rights, Nils </w:t>
      </w:r>
      <w:proofErr w:type="spellStart"/>
      <w:r w:rsidRPr="00053B7A">
        <w:rPr>
          <w:rFonts w:cs="Arial"/>
          <w:bCs/>
        </w:rPr>
        <w:t>Muižnieks</w:t>
      </w:r>
      <w:proofErr w:type="spellEnd"/>
      <w:r w:rsidRPr="00053B7A">
        <w:rPr>
          <w:rFonts w:cs="Arial"/>
          <w:bCs/>
        </w:rPr>
        <w:t>, to the Minister for Justice, Equality and Defence of Ireland, Mr Alan Shatter</w:t>
      </w:r>
      <w:r w:rsidRPr="00053B7A">
        <w:rPr>
          <w:rFonts w:cs="Arial"/>
          <w:bCs/>
          <w:lang w:val="en-IE"/>
        </w:rPr>
        <w:t xml:space="preserve">, available online at </w:t>
      </w:r>
      <w:hyperlink r:id="rId26" w:history="1">
        <w:r w:rsidRPr="00425D46">
          <w:rPr>
            <w:rStyle w:val="Hyperlink"/>
            <w:rFonts w:cs="Arial"/>
            <w:bCs/>
            <w:lang w:val="en-IE"/>
          </w:rPr>
          <w:t>https://wcd.coe.int/ViewDoc.jsp?id=2011899</w:t>
        </w:r>
      </w:hyperlink>
      <w:r>
        <w:rPr>
          <w:rFonts w:cs="Arial"/>
          <w:bCs/>
          <w:lang w:val="en-IE"/>
        </w:rPr>
        <w:t>.</w:t>
      </w:r>
    </w:p>
  </w:footnote>
  <w:footnote w:id="28">
    <w:p w:rsidR="006868BB" w:rsidRPr="005D7E3E" w:rsidRDefault="006868BB" w:rsidP="00CC6F44">
      <w:pPr>
        <w:pStyle w:val="NoSpacing"/>
      </w:pPr>
      <w:r w:rsidRPr="005D7E3E">
        <w:rPr>
          <w:rStyle w:val="FootnoteReference"/>
          <w:sz w:val="20"/>
          <w:szCs w:val="20"/>
        </w:rPr>
        <w:footnoteRef/>
      </w:r>
      <w:r w:rsidRPr="005D7E3E">
        <w:rPr>
          <w:sz w:val="20"/>
          <w:szCs w:val="20"/>
        </w:rPr>
        <w:t xml:space="preserve"> The article by the Ombudsman, </w:t>
      </w:r>
      <w:r w:rsidRPr="005D7E3E">
        <w:rPr>
          <w:i/>
          <w:sz w:val="20"/>
          <w:szCs w:val="20"/>
        </w:rPr>
        <w:t>Asylum Seekers in Our Republic: Why have we gone wrong</w:t>
      </w:r>
      <w:proofErr w:type="gramStart"/>
      <w:r w:rsidRPr="005D7E3E">
        <w:rPr>
          <w:i/>
          <w:sz w:val="20"/>
          <w:szCs w:val="20"/>
        </w:rPr>
        <w:t>?</w:t>
      </w:r>
      <w:r w:rsidRPr="005D7E3E">
        <w:rPr>
          <w:sz w:val="20"/>
          <w:szCs w:val="20"/>
        </w:rPr>
        <w:t>,</w:t>
      </w:r>
      <w:proofErr w:type="gramEnd"/>
      <w:r w:rsidRPr="005D7E3E">
        <w:rPr>
          <w:sz w:val="20"/>
          <w:szCs w:val="20"/>
        </w:rPr>
        <w:t xml:space="preserve"> published in Studies: An Irish </w:t>
      </w:r>
      <w:r>
        <w:t xml:space="preserve">Quarterly Review (July 2013), available online at: </w:t>
      </w:r>
      <w:hyperlink r:id="rId27" w:history="1">
        <w:r>
          <w:rPr>
            <w:rStyle w:val="Hyperlink"/>
          </w:rPr>
          <w:t>http://www.studiesirishreview.ie/lead-articles/67-asylum-seekers-in-our-republic-why-have-we-gone-wrong</w:t>
        </w:r>
      </w:hyperlink>
      <w:r>
        <w:t xml:space="preserve">. </w:t>
      </w:r>
    </w:p>
  </w:footnote>
  <w:footnote w:id="29">
    <w:p w:rsidR="006868BB" w:rsidRPr="005D7E3E" w:rsidRDefault="006868BB" w:rsidP="005D7E3E">
      <w:pPr>
        <w:pStyle w:val="NoSpacing"/>
        <w:rPr>
          <w:sz w:val="20"/>
          <w:szCs w:val="20"/>
        </w:rPr>
      </w:pPr>
      <w:r w:rsidRPr="005D7E3E">
        <w:rPr>
          <w:rStyle w:val="FootnoteReference"/>
          <w:sz w:val="20"/>
          <w:szCs w:val="20"/>
        </w:rPr>
        <w:footnoteRef/>
      </w:r>
      <w:r w:rsidRPr="005D7E3E">
        <w:rPr>
          <w:sz w:val="20"/>
          <w:szCs w:val="20"/>
        </w:rPr>
        <w:t xml:space="preserve"> </w:t>
      </w:r>
      <w:r>
        <w:rPr>
          <w:sz w:val="20"/>
          <w:szCs w:val="20"/>
        </w:rPr>
        <w:t xml:space="preserve">The Ombudsman published a report on the investigation, </w:t>
      </w:r>
      <w:r w:rsidRPr="005D7E3E">
        <w:rPr>
          <w:i/>
          <w:sz w:val="20"/>
          <w:szCs w:val="20"/>
        </w:rPr>
        <w:t>Appeal Overruled: A failure to provide basic income for a family seeking asylum</w:t>
      </w:r>
      <w:r>
        <w:rPr>
          <w:sz w:val="20"/>
          <w:szCs w:val="20"/>
        </w:rPr>
        <w:t xml:space="preserve">, available online at: </w:t>
      </w:r>
      <w:hyperlink r:id="rId28" w:history="1">
        <w:r>
          <w:rPr>
            <w:rStyle w:val="Hyperlink"/>
          </w:rPr>
          <w:t>http://www.ombudsman.gov.ie/en/publications/investigation-reports/health-service-executive/appeal-overruled-failure-to-provide-basic-income-for-family-seeking-asylum</w:t>
        </w:r>
      </w:hyperlink>
      <w:r>
        <w:t>.</w:t>
      </w:r>
    </w:p>
  </w:footnote>
  <w:footnote w:id="30">
    <w:p w:rsidR="006868BB" w:rsidRDefault="006868BB">
      <w:pPr>
        <w:pStyle w:val="FootnoteText"/>
      </w:pPr>
      <w:r>
        <w:rPr>
          <w:rStyle w:val="FootnoteReference"/>
        </w:rPr>
        <w:footnoteRef/>
      </w:r>
      <w:r>
        <w:t xml:space="preserve"> The Legal Aid Board’s Annual Reports 2008-2010 indicate a reduction in budget from €26.998m in 2008 to €24.225m in 2010. The annual reports are available online at: </w:t>
      </w:r>
      <w:hyperlink r:id="rId29" w:history="1">
        <w:r>
          <w:rPr>
            <w:rStyle w:val="Hyperlink"/>
          </w:rPr>
          <w:t>http://www.legalaidboard.ie/lab/publishing.nsf/Content/Annual_Reports</w:t>
        </w:r>
      </w:hyperlink>
      <w:r>
        <w:t>.</w:t>
      </w:r>
    </w:p>
  </w:footnote>
  <w:footnote w:id="31">
    <w:p w:rsidR="00596373" w:rsidRPr="00596373" w:rsidRDefault="00596373" w:rsidP="00596373">
      <w:pPr>
        <w:pStyle w:val="FootnoteText"/>
        <w:tabs>
          <w:tab w:val="left" w:pos="9639"/>
        </w:tabs>
        <w:rPr>
          <w:i/>
          <w:lang w:val="en-IE"/>
        </w:rPr>
      </w:pPr>
      <w:r w:rsidRPr="00596373">
        <w:rPr>
          <w:rStyle w:val="FootnoteReference"/>
          <w:i/>
        </w:rPr>
        <w:footnoteRef/>
      </w:r>
      <w:r w:rsidRPr="00596373">
        <w:rPr>
          <w:i/>
          <w:lang w:val="en-IE"/>
        </w:rPr>
        <w:t xml:space="preserve"> </w:t>
      </w:r>
      <w:r>
        <w:rPr>
          <w:lang w:val="en-IE"/>
        </w:rPr>
        <w:t xml:space="preserve">The time limit was introduced following the judgment in </w:t>
      </w:r>
      <w:proofErr w:type="spellStart"/>
      <w:r w:rsidRPr="00596373">
        <w:rPr>
          <w:i/>
        </w:rPr>
        <w:t>O’Donohue</w:t>
      </w:r>
      <w:proofErr w:type="spellEnd"/>
      <w:r w:rsidRPr="00596373">
        <w:rPr>
          <w:i/>
        </w:rPr>
        <w:t xml:space="preserve"> v Legal Aid </w:t>
      </w:r>
      <w:proofErr w:type="gramStart"/>
      <w:r w:rsidRPr="00596373">
        <w:rPr>
          <w:i/>
        </w:rPr>
        <w:t>Board ,</w:t>
      </w:r>
      <w:proofErr w:type="gramEnd"/>
      <w:r w:rsidRPr="00596373">
        <w:rPr>
          <w:i/>
        </w:rPr>
        <w:t xml:space="preserve"> the Minister for Justice Equality and Law Reform, Ireland and the Attorney General</w:t>
      </w:r>
      <w:r>
        <w:t xml:space="preserve"> [2004] IEHC 413</w:t>
      </w:r>
      <w:r>
        <w:rPr>
          <w:lang w:val="en-IE"/>
        </w:rPr>
        <w:t>.</w:t>
      </w:r>
      <w:r>
        <w:t xml:space="preserve"> </w:t>
      </w:r>
    </w:p>
  </w:footnote>
  <w:footnote w:id="32">
    <w:p w:rsidR="00A56C95" w:rsidRPr="00A56C95" w:rsidRDefault="00A56C95">
      <w:pPr>
        <w:pStyle w:val="FootnoteText"/>
        <w:rPr>
          <w:lang w:val="en-IE"/>
        </w:rPr>
      </w:pPr>
      <w:r>
        <w:rPr>
          <w:rStyle w:val="FootnoteReference"/>
        </w:rPr>
        <w:footnoteRef/>
      </w:r>
      <w:r>
        <w:t xml:space="preserve"> </w:t>
      </w:r>
      <w:r>
        <w:rPr>
          <w:lang w:val="en-IE"/>
        </w:rPr>
        <w:t xml:space="preserve">See FLAC press release of 18 July 2013 available online at: </w:t>
      </w:r>
      <w:hyperlink r:id="rId30" w:history="1">
        <w:r>
          <w:rPr>
            <w:rStyle w:val="Hyperlink"/>
          </w:rPr>
          <w:t>http://www.flac.ie/news/2013/07/18/first-step-towards-transgender-recognition-law-welcome-but-government-must-not-blunder-on-forced-divorce/</w:t>
        </w:r>
      </w:hyperlink>
      <w:r>
        <w:rPr>
          <w:lang w:val="en-IE"/>
        </w:rPr>
        <w:t xml:space="preserve">. </w:t>
      </w:r>
    </w:p>
  </w:footnote>
  <w:footnote w:id="33">
    <w:p w:rsidR="008D5C60" w:rsidRDefault="008D5C60" w:rsidP="008D5C60">
      <w:pPr>
        <w:pStyle w:val="FootnoteText"/>
      </w:pPr>
      <w:r>
        <w:rPr>
          <w:rStyle w:val="FootnoteReference"/>
        </w:rPr>
        <w:footnoteRef/>
      </w:r>
      <w:r>
        <w:t xml:space="preserve"> </w:t>
      </w:r>
      <w:r>
        <w:t xml:space="preserve">For further information on this issue see FLAC’s </w:t>
      </w:r>
      <w:r>
        <w:rPr>
          <w:i/>
          <w:lang w:val="en-IE"/>
        </w:rPr>
        <w:t xml:space="preserve">Briefing Note on the Foy Case and Transgender Issues in Ireland </w:t>
      </w:r>
      <w:r>
        <w:t xml:space="preserve">issued in </w:t>
      </w:r>
      <w:r>
        <w:rPr>
          <w:lang w:val="en-IE"/>
        </w:rPr>
        <w:t>February 2013</w:t>
      </w:r>
      <w:r>
        <w:t xml:space="preserve"> available online at: </w:t>
      </w:r>
      <w:hyperlink r:id="rId31" w:history="1">
        <w:r w:rsidRPr="00DC4EE1">
          <w:rPr>
            <w:rStyle w:val="Hyperlink"/>
          </w:rPr>
          <w:t>http://www.flac.ie/download/pdf/foy_case_briefing_note_feb_2013.pdf</w:t>
        </w:r>
      </w:hyperlink>
      <w:hyperlink r:id="rId32" w:history="1"/>
      <w:r>
        <w:t>.</w:t>
      </w:r>
    </w:p>
  </w:footnote>
  <w:footnote w:id="34">
    <w:p w:rsidR="008D5C60" w:rsidRDefault="008D5C60" w:rsidP="008D5C60">
      <w:pPr>
        <w:pStyle w:val="FootnoteText"/>
      </w:pPr>
      <w:r>
        <w:rPr>
          <w:rStyle w:val="FootnoteReference"/>
        </w:rPr>
        <w:footnoteRef/>
      </w:r>
      <w:r>
        <w:t xml:space="preserve"> </w:t>
      </w:r>
      <w:r>
        <w:t xml:space="preserve">For more details of this case see a press release available online at: </w:t>
      </w:r>
      <w:hyperlink r:id="rId33" w:history="1">
        <w:r>
          <w:rPr>
            <w:rStyle w:val="Hyperlink"/>
          </w:rPr>
          <w:t>http://www.flac.ie/news/2012/02/22/transgender-woman-in-civil-partnership/</w:t>
        </w:r>
      </w:hyperlink>
      <w:r>
        <w:t>.</w:t>
      </w:r>
    </w:p>
  </w:footnote>
  <w:footnote w:id="35">
    <w:p w:rsidR="006868BB" w:rsidRPr="00966D40" w:rsidRDefault="006868BB">
      <w:pPr>
        <w:pStyle w:val="FootnoteText"/>
        <w:rPr>
          <w:lang w:val="en-IE"/>
        </w:rPr>
      </w:pPr>
      <w:r>
        <w:rPr>
          <w:rStyle w:val="FootnoteReference"/>
        </w:rPr>
        <w:footnoteRef/>
      </w:r>
      <w:r w:rsidR="003665A5">
        <w:rPr>
          <w:lang w:val="en-IE"/>
        </w:rPr>
        <w:t xml:space="preserve"> The Charities Act 2009</w:t>
      </w:r>
      <w:r>
        <w:rPr>
          <w:lang w:val="en-IE"/>
        </w:rPr>
        <w:t xml:space="preserve"> is available online at:</w:t>
      </w:r>
      <w:r>
        <w:t xml:space="preserve"> </w:t>
      </w:r>
      <w:hyperlink r:id="rId34" w:history="1">
        <w:r>
          <w:rPr>
            <w:rStyle w:val="Hyperlink"/>
          </w:rPr>
          <w:t>http://www.irishstatutebook.ie/2009/en/act/pub/0006/print.html</w:t>
        </w:r>
      </w:hyperlink>
      <w:r>
        <w:rPr>
          <w:lang w:val="en-IE"/>
        </w:rPr>
        <w:t>.</w:t>
      </w:r>
    </w:p>
  </w:footnote>
  <w:footnote w:id="36">
    <w:p w:rsidR="006868BB" w:rsidRPr="00207302" w:rsidRDefault="006868BB">
      <w:pPr>
        <w:pStyle w:val="FootnoteText"/>
        <w:rPr>
          <w:lang w:val="en-IE"/>
        </w:rPr>
      </w:pPr>
      <w:r>
        <w:rPr>
          <w:rStyle w:val="FootnoteReference"/>
        </w:rPr>
        <w:footnoteRef/>
      </w:r>
      <w:r>
        <w:t xml:space="preserve"> </w:t>
      </w:r>
      <w:r>
        <w:rPr>
          <w:lang w:val="en-IE"/>
        </w:rPr>
        <w:t xml:space="preserve">The other organisations included Front Line Defenders, Amnesty Ireland, </w:t>
      </w:r>
      <w:proofErr w:type="gramStart"/>
      <w:r>
        <w:rPr>
          <w:lang w:val="en-IE"/>
        </w:rPr>
        <w:t>the</w:t>
      </w:r>
      <w:proofErr w:type="gramEnd"/>
      <w:r>
        <w:rPr>
          <w:lang w:val="en-IE"/>
        </w:rPr>
        <w:t xml:space="preserve"> Irish Council for Civil Liberties (ICCL) and the Wheel. </w:t>
      </w:r>
    </w:p>
  </w:footnote>
  <w:footnote w:id="37">
    <w:p w:rsidR="006868BB" w:rsidRPr="00207302" w:rsidRDefault="006868BB">
      <w:pPr>
        <w:pStyle w:val="FootnoteText"/>
        <w:rPr>
          <w:lang w:val="en-IE"/>
        </w:rPr>
      </w:pPr>
      <w:r>
        <w:rPr>
          <w:rStyle w:val="FootnoteReference"/>
        </w:rPr>
        <w:footnoteRef/>
      </w:r>
      <w:r>
        <w:t xml:space="preserve"> </w:t>
      </w:r>
      <w:r>
        <w:rPr>
          <w:lang w:val="en-IE"/>
        </w:rPr>
        <w:t xml:space="preserve">The joint position paper is available online at: </w:t>
      </w:r>
      <w:hyperlink r:id="rId35" w:history="1">
        <w:r>
          <w:rPr>
            <w:rStyle w:val="Hyperlink"/>
          </w:rPr>
          <w:t>http://www.flac.ie/download/pdf/2008_12_08_pos_paper_on_charities_bill_final.pdf</w:t>
        </w:r>
      </w:hyperlink>
      <w:r>
        <w:rPr>
          <w:lang w:val="en-IE"/>
        </w:rPr>
        <w:t>.</w:t>
      </w:r>
    </w:p>
  </w:footnote>
  <w:footnote w:id="38">
    <w:p w:rsidR="006868BB" w:rsidRPr="00B65319" w:rsidRDefault="006868BB">
      <w:pPr>
        <w:pStyle w:val="FootnoteText"/>
        <w:rPr>
          <w:lang w:val="en-IE"/>
        </w:rPr>
      </w:pPr>
      <w:r>
        <w:rPr>
          <w:rStyle w:val="FootnoteReference"/>
        </w:rPr>
        <w:footnoteRef/>
      </w:r>
      <w:r>
        <w:t xml:space="preserve"> </w:t>
      </w:r>
      <w:r>
        <w:rPr>
          <w:lang w:val="en-IE"/>
        </w:rPr>
        <w:t xml:space="preserve">Available online at: </w:t>
      </w:r>
      <w:hyperlink r:id="rId36" w:history="1">
        <w:r>
          <w:rPr>
            <w:rStyle w:val="Hyperlink"/>
          </w:rPr>
          <w:t>http://daccess-dds-ny.un.org/doc/RESOLUTION/GEN/G13/148/13/PDF/G1314813.pdf?OpenElement</w:t>
        </w:r>
      </w:hyperlink>
      <w:r>
        <w:rPr>
          <w:lang w:val="en-IE"/>
        </w:rPr>
        <w:t>.</w:t>
      </w:r>
    </w:p>
  </w:footnote>
  <w:footnote w:id="39">
    <w:p w:rsidR="006868BB" w:rsidRPr="002E745D" w:rsidRDefault="006868BB" w:rsidP="002E745D">
      <w:pPr>
        <w:pStyle w:val="NoSpacing"/>
        <w:rPr>
          <w:sz w:val="20"/>
          <w:szCs w:val="20"/>
        </w:rPr>
      </w:pPr>
      <w:r>
        <w:rPr>
          <w:rStyle w:val="FootnoteReference"/>
        </w:rPr>
        <w:footnoteRef/>
      </w:r>
      <w:r>
        <w:t xml:space="preserve"> </w:t>
      </w:r>
      <w:r w:rsidRPr="00216CC2">
        <w:rPr>
          <w:sz w:val="20"/>
          <w:szCs w:val="20"/>
        </w:rPr>
        <w:t>Report of the Special Rappor</w:t>
      </w:r>
      <w:r>
        <w:rPr>
          <w:sz w:val="20"/>
          <w:szCs w:val="20"/>
        </w:rPr>
        <w:t xml:space="preserve">teur on the situation of human </w:t>
      </w:r>
      <w:r w:rsidRPr="00216CC2">
        <w:rPr>
          <w:sz w:val="20"/>
          <w:szCs w:val="20"/>
        </w:rPr>
        <w:t xml:space="preserve">rights defenders, Margaret </w:t>
      </w:r>
      <w:proofErr w:type="spellStart"/>
      <w:r w:rsidRPr="00216CC2">
        <w:rPr>
          <w:sz w:val="20"/>
          <w:szCs w:val="20"/>
        </w:rPr>
        <w:t>Sekaggya</w:t>
      </w:r>
      <w:proofErr w:type="spellEnd"/>
      <w:r>
        <w:rPr>
          <w:sz w:val="20"/>
          <w:szCs w:val="20"/>
        </w:rPr>
        <w:t xml:space="preserve">, Mission to Ireland (November 2012) available online at: </w:t>
      </w:r>
      <w:hyperlink r:id="rId37" w:history="1">
        <w:r>
          <w:rPr>
            <w:rStyle w:val="Hyperlink"/>
          </w:rPr>
          <w:t>http://www.ohchr.org/Documents/HRBodies/HRCouncil/RegularSession/Session22/A-HRC-22-47-Add-3_en.pdf</w:t>
        </w:r>
      </w:hyperlink>
      <w:r>
        <w:t>.</w:t>
      </w:r>
    </w:p>
  </w:footnote>
  <w:footnote w:id="40">
    <w:p w:rsidR="00596373" w:rsidRPr="00596373" w:rsidRDefault="00596373">
      <w:pPr>
        <w:pStyle w:val="FootnoteText"/>
        <w:rPr>
          <w:lang w:val="en-IE"/>
        </w:rPr>
      </w:pPr>
      <w:r>
        <w:rPr>
          <w:rStyle w:val="FootnoteReference"/>
        </w:rPr>
        <w:footnoteRef/>
      </w:r>
      <w:r>
        <w:t xml:space="preserve"> </w:t>
      </w:r>
      <w:r>
        <w:rPr>
          <w:lang w:val="en-IE"/>
        </w:rPr>
        <w:t xml:space="preserve">See s.6 of the Charities Act 2009: </w:t>
      </w:r>
      <w:hyperlink r:id="rId38" w:anchor="sec6" w:history="1">
        <w:r>
          <w:rPr>
            <w:rStyle w:val="Hyperlink"/>
          </w:rPr>
          <w:t>http://www.irishstatutebook.ie/2009/en/act/pub/0006/sec0006.html#sec6</w:t>
        </w:r>
      </w:hyperlink>
      <w:r>
        <w:rPr>
          <w:lang w:val="en-IE"/>
        </w:rPr>
        <w:t xml:space="preserve">. </w:t>
      </w:r>
    </w:p>
  </w:footnote>
  <w:footnote w:id="41">
    <w:p w:rsidR="006868BB" w:rsidRDefault="006868BB" w:rsidP="002E745D">
      <w:pPr>
        <w:pStyle w:val="NoSpacing"/>
      </w:pPr>
      <w:r>
        <w:rPr>
          <w:rStyle w:val="FootnoteReference"/>
        </w:rPr>
        <w:footnoteRef/>
      </w:r>
      <w:r>
        <w:t xml:space="preserve"> For a briefing note on the </w:t>
      </w:r>
      <w:r>
        <w:rPr>
          <w:i/>
          <w:iCs/>
        </w:rPr>
        <w:t xml:space="preserve">Clarke </w:t>
      </w:r>
      <w:proofErr w:type="gramStart"/>
      <w:r>
        <w:t>case taken by FLAC see</w:t>
      </w:r>
      <w:proofErr w:type="gramEnd"/>
      <w:r>
        <w:t xml:space="preserve">: http://www.flac.ie/download/pdf/2010_07_14_clarke_case_briefing_document.pdf and for further details on a subsequent case involving a deaf man called for jury service go to </w:t>
      </w:r>
      <w:hyperlink r:id="rId39" w:history="1">
        <w:r w:rsidRPr="0061184D">
          <w:rPr>
            <w:rStyle w:val="Hyperlink"/>
          </w:rPr>
          <w:t>http://www.flac.ie/news/2010/11/29/judge-rules-deaf-man-can-sit-on-jury/</w:t>
        </w:r>
      </w:hyperlink>
      <w:r>
        <w:t xml:space="preserve">.   </w:t>
      </w:r>
    </w:p>
  </w:footnote>
  <w:footnote w:id="42">
    <w:p w:rsidR="008D5C60" w:rsidRPr="00DE1274" w:rsidRDefault="008D5C60" w:rsidP="008D5C60">
      <w:pPr>
        <w:pStyle w:val="FootnoteText"/>
        <w:rPr>
          <w:lang w:val="en-IE"/>
        </w:rPr>
      </w:pPr>
      <w:r>
        <w:rPr>
          <w:rStyle w:val="FootnoteReference"/>
        </w:rPr>
        <w:footnoteRef/>
      </w:r>
      <w:r>
        <w:t xml:space="preserve"> </w:t>
      </w:r>
      <w:r>
        <w:rPr>
          <w:lang w:val="en-IE"/>
        </w:rPr>
        <w:t xml:space="preserve">Law Reform Commission Report on Jury Service available online at: </w:t>
      </w:r>
      <w:hyperlink r:id="rId40" w:history="1">
        <w:r>
          <w:rPr>
            <w:rStyle w:val="Hyperlink"/>
          </w:rPr>
          <w:t>http://www.lawreform.ie/_fileupload/Reports/r107.pdf</w:t>
        </w:r>
      </w:hyperlink>
      <w:r>
        <w:rPr>
          <w:lang w:val="en-IE"/>
        </w:rPr>
        <w:t xml:space="preserve">. </w:t>
      </w:r>
      <w:bookmarkStart w:id="1" w:name="_GoBack"/>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373" w:rsidRPr="004F12DF" w:rsidRDefault="00596373" w:rsidP="00596373">
    <w:pPr>
      <w:tabs>
        <w:tab w:val="left" w:pos="7938"/>
      </w:tabs>
      <w:ind w:right="2142"/>
      <w:rPr>
        <w:rFonts w:ascii="Century Gothic" w:hAnsi="Century Gothic"/>
        <w:b/>
        <w:color w:val="595959"/>
      </w:rPr>
    </w:pPr>
    <w:r>
      <w:rPr>
        <w:b/>
        <w:noProof/>
        <w:color w:val="595959"/>
        <w:lang w:eastAsia="en-IE"/>
      </w:rPr>
      <mc:AlternateContent>
        <mc:Choice Requires="wps">
          <w:drawing>
            <wp:anchor distT="0" distB="0" distL="114300" distR="114300" simplePos="0" relativeHeight="251659776" behindDoc="0" locked="0" layoutInCell="1" allowOverlap="1" wp14:anchorId="50BE4D2F" wp14:editId="2FA3E183">
              <wp:simplePos x="0" y="0"/>
              <wp:positionH relativeFrom="column">
                <wp:posOffset>5241290</wp:posOffset>
              </wp:positionH>
              <wp:positionV relativeFrom="paragraph">
                <wp:posOffset>-196850</wp:posOffset>
              </wp:positionV>
              <wp:extent cx="1350010" cy="726440"/>
              <wp:effectExtent l="2540" t="3175" r="0" b="3810"/>
              <wp:wrapNone/>
              <wp:docPr id="1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010" cy="726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96373" w:rsidRDefault="00596373" w:rsidP="00596373">
                          <w:r>
                            <w:rPr>
                              <w:noProof/>
                              <w:lang w:eastAsia="en-IE"/>
                            </w:rPr>
                            <w:drawing>
                              <wp:inline distT="0" distB="0" distL="0" distR="0" wp14:anchorId="422BA2A1" wp14:editId="1F0AD6E1">
                                <wp:extent cx="935990" cy="483870"/>
                                <wp:effectExtent l="0" t="0" r="0" b="0"/>
                                <wp:docPr id="13" name="Picture 1" descr="FLAC(RG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C(RGB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990" cy="48387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12.7pt;margin-top:-15.5pt;width:106.3pt;height:57.2pt;z-index:251659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" stroked="f">
              <v:textbox style="mso-fit-shape-to-text:t">
                <w:txbxContent>
                  <w:p w:rsidR="00596373" w:rsidRDefault="00596373" w:rsidP="00596373">
                    <w:r>
                      <w:rPr>
                        <w:noProof/>
                        <w:lang w:eastAsia="en-IE"/>
                      </w:rPr>
                      <w:drawing>
                        <wp:inline distT="0" distB="0" distL="0" distR="0" wp14:anchorId="422BA2A1" wp14:editId="1F0AD6E1">
                          <wp:extent cx="935990" cy="483870"/>
                          <wp:effectExtent l="0" t="0" r="0" b="0"/>
                          <wp:docPr id="13" name="Picture 1" descr="FLAC(RG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C(RGB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990" cy="483870"/>
                                  </a:xfrm>
                                  <a:prstGeom prst="rect">
                                    <a:avLst/>
                                  </a:prstGeom>
                                  <a:noFill/>
                                  <a:ln>
                                    <a:noFill/>
                                  </a:ln>
                                </pic:spPr>
                              </pic:pic>
                            </a:graphicData>
                          </a:graphic>
                        </wp:inline>
                      </w:drawing>
                    </w:r>
                  </w:p>
                </w:txbxContent>
              </v:textbox>
            </v:shape>
          </w:pict>
        </mc:Fallback>
      </mc:AlternateContent>
    </w:r>
    <w:r w:rsidRPr="00A4778D">
      <w:rPr>
        <w:rFonts w:ascii="Century Gothic" w:hAnsi="Century Gothic"/>
        <w:b/>
        <w:color w:val="595959"/>
      </w:rPr>
      <w:t xml:space="preserve">FLAC: </w:t>
    </w:r>
    <w:r>
      <w:rPr>
        <w:rFonts w:ascii="Century Gothic" w:hAnsi="Century Gothic"/>
        <w:b/>
        <w:color w:val="595959"/>
      </w:rPr>
      <w:t>Submission on List of Issues in respect of Ireland’s fourth examination under the ICCPR</w:t>
    </w:r>
    <w:r w:rsidRPr="00557B93">
      <w:rPr>
        <w:rFonts w:ascii="Century Gothic" w:hAnsi="Century Gothic"/>
        <w:color w:val="595959"/>
      </w:rPr>
      <w:t xml:space="preserve"> (</w:t>
    </w:r>
    <w:r>
      <w:rPr>
        <w:rFonts w:ascii="Century Gothic" w:hAnsi="Century Gothic"/>
        <w:b/>
        <w:color w:val="595959"/>
      </w:rPr>
      <w:t>July 2013</w:t>
    </w:r>
    <w:r w:rsidRPr="00557B93">
      <w:rPr>
        <w:rFonts w:ascii="Century Gothic" w:hAnsi="Century Gothic"/>
        <w:color w:val="595959"/>
      </w:rPr>
      <w:t>)</w:t>
    </w:r>
  </w:p>
  <w:p w:rsidR="006868BB" w:rsidRPr="004F12DF" w:rsidRDefault="006868BB" w:rsidP="004F12DF">
    <w:pPr>
      <w:rPr>
        <w:rFonts w:ascii="Impact" w:hAnsi="Impact"/>
        <w:color w:val="595959"/>
        <w:sz w:val="12"/>
        <w:szCs w:val="12"/>
      </w:rPr>
    </w:pPr>
    <w:r w:rsidRPr="00A4778D">
      <w:rPr>
        <w:rFonts w:ascii="Impact" w:hAnsi="Impact"/>
        <w:color w:val="595959"/>
        <w:sz w:val="12"/>
        <w:szCs w:val="12"/>
      </w:rPr>
      <w:t>______</w:t>
    </w:r>
    <w:r>
      <w:rPr>
        <w:rFonts w:ascii="Impact" w:hAnsi="Impact"/>
        <w:color w:val="595959"/>
        <w:sz w:val="12"/>
        <w:szCs w:val="12"/>
      </w:rPr>
      <w:t>_______________________________</w:t>
    </w:r>
    <w:r w:rsidRPr="00A4778D">
      <w:rPr>
        <w:rFonts w:ascii="Impact" w:hAnsi="Impact"/>
        <w:color w:val="595959"/>
        <w:sz w:val="12"/>
        <w:szCs w:val="12"/>
      </w:rPr>
      <w:t>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Default="006868BB" w:rsidP="005B111A">
    <w:pPr>
      <w:pStyle w:val="Header"/>
      <w:jc w:val="right"/>
    </w:pPr>
    <w:r>
      <w:rPr>
        <w:noProof/>
        <w:lang w:eastAsia="en-IE"/>
      </w:rPr>
      <w:drawing>
        <wp:inline distT="0" distB="0" distL="0" distR="0" wp14:anchorId="54E745B6" wp14:editId="476A2A5D">
          <wp:extent cx="1517015" cy="796290"/>
          <wp:effectExtent l="0" t="0" r="0" b="0"/>
          <wp:docPr id="3" name="Picture 0" descr="FLAC(RG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FLAC(RGB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7015" cy="79629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Pr="00557B93" w:rsidRDefault="006868BB" w:rsidP="005B111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8BB" w:rsidRPr="004F12DF" w:rsidRDefault="006868BB" w:rsidP="003665A5">
    <w:pPr>
      <w:tabs>
        <w:tab w:val="left" w:pos="7938"/>
      </w:tabs>
      <w:ind w:right="2142"/>
      <w:rPr>
        <w:rFonts w:ascii="Century Gothic" w:hAnsi="Century Gothic"/>
        <w:b/>
        <w:color w:val="595959"/>
      </w:rPr>
    </w:pPr>
    <w:r>
      <w:rPr>
        <w:b/>
        <w:noProof/>
        <w:color w:val="595959"/>
        <w:lang w:eastAsia="en-IE"/>
      </w:rPr>
      <mc:AlternateContent>
        <mc:Choice Requires="wps">
          <w:drawing>
            <wp:anchor distT="0" distB="0" distL="114300" distR="114300" simplePos="0" relativeHeight="251657728" behindDoc="0" locked="0" layoutInCell="1" allowOverlap="1" wp14:anchorId="43367CDC" wp14:editId="1C60DC6A">
              <wp:simplePos x="0" y="0"/>
              <wp:positionH relativeFrom="column">
                <wp:posOffset>5241290</wp:posOffset>
              </wp:positionH>
              <wp:positionV relativeFrom="paragraph">
                <wp:posOffset>-196850</wp:posOffset>
              </wp:positionV>
              <wp:extent cx="1350010" cy="726440"/>
              <wp:effectExtent l="2540" t="3175" r="0" b="381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010" cy="726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68BB" w:rsidRDefault="006868BB" w:rsidP="006D432D">
                          <w:r>
                            <w:rPr>
                              <w:noProof/>
                              <w:lang w:eastAsia="en-IE"/>
                            </w:rPr>
                            <w:drawing>
                              <wp:inline distT="0" distB="0" distL="0" distR="0" wp14:anchorId="5043A032" wp14:editId="4D657262">
                                <wp:extent cx="935990" cy="483870"/>
                                <wp:effectExtent l="0" t="0" r="0" b="0"/>
                                <wp:docPr id="10" name="Picture 1" descr="FLAC(RG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C(RGB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990" cy="483870"/>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412.7pt;margin-top:-15.5pt;width:106.3pt;height:57.2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" stroked="f">
              <v:textbox style="mso-fit-shape-to-text:t">
                <w:txbxContent>
                  <w:p w:rsidR="006868BB" w:rsidRDefault="006868BB" w:rsidP="006D432D">
                    <w:r>
                      <w:rPr>
                        <w:noProof/>
                        <w:lang w:eastAsia="en-IE"/>
                      </w:rPr>
                      <w:drawing>
                        <wp:inline distT="0" distB="0" distL="0" distR="0" wp14:anchorId="5043A032" wp14:editId="4D657262">
                          <wp:extent cx="935990" cy="483870"/>
                          <wp:effectExtent l="0" t="0" r="0" b="0"/>
                          <wp:docPr id="10" name="Picture 1" descr="FLAC(RG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C(RGB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990" cy="483870"/>
                                  </a:xfrm>
                                  <a:prstGeom prst="rect">
                                    <a:avLst/>
                                  </a:prstGeom>
                                  <a:noFill/>
                                  <a:ln>
                                    <a:noFill/>
                                  </a:ln>
                                </pic:spPr>
                              </pic:pic>
                            </a:graphicData>
                          </a:graphic>
                        </wp:inline>
                      </w:drawing>
                    </w:r>
                  </w:p>
                </w:txbxContent>
              </v:textbox>
            </v:shape>
          </w:pict>
        </mc:Fallback>
      </mc:AlternateContent>
    </w:r>
    <w:r w:rsidRPr="00A4778D">
      <w:rPr>
        <w:rFonts w:ascii="Century Gothic" w:hAnsi="Century Gothic"/>
        <w:b/>
        <w:color w:val="595959"/>
      </w:rPr>
      <w:t xml:space="preserve">FLAC: </w:t>
    </w:r>
    <w:r>
      <w:rPr>
        <w:rFonts w:ascii="Century Gothic" w:hAnsi="Century Gothic"/>
        <w:b/>
        <w:color w:val="595959"/>
      </w:rPr>
      <w:t>Submission on</w:t>
    </w:r>
    <w:r w:rsidR="003665A5">
      <w:rPr>
        <w:rFonts w:ascii="Century Gothic" w:hAnsi="Century Gothic"/>
        <w:b/>
        <w:color w:val="595959"/>
      </w:rPr>
      <w:t xml:space="preserve"> List of Issues in respect of Ireland’s fourth </w:t>
    </w:r>
    <w:r w:rsidR="000E18F1">
      <w:rPr>
        <w:rFonts w:ascii="Century Gothic" w:hAnsi="Century Gothic"/>
        <w:b/>
        <w:color w:val="595959"/>
      </w:rPr>
      <w:t>periodic report</w:t>
    </w:r>
    <w:r>
      <w:rPr>
        <w:rFonts w:ascii="Century Gothic" w:hAnsi="Century Gothic"/>
        <w:b/>
        <w:color w:val="595959"/>
      </w:rPr>
      <w:t xml:space="preserve"> </w:t>
    </w:r>
    <w:r w:rsidR="003665A5">
      <w:rPr>
        <w:rFonts w:ascii="Century Gothic" w:hAnsi="Century Gothic"/>
        <w:b/>
        <w:color w:val="595959"/>
      </w:rPr>
      <w:t>under the ICCPR</w:t>
    </w:r>
    <w:r w:rsidRPr="00557B93">
      <w:rPr>
        <w:rFonts w:ascii="Century Gothic" w:hAnsi="Century Gothic"/>
        <w:color w:val="595959"/>
      </w:rPr>
      <w:t xml:space="preserve"> (</w:t>
    </w:r>
    <w:r w:rsidR="003665A5">
      <w:rPr>
        <w:rFonts w:ascii="Century Gothic" w:hAnsi="Century Gothic"/>
        <w:b/>
        <w:color w:val="595959"/>
      </w:rPr>
      <w:t>July 2013</w:t>
    </w:r>
    <w:r w:rsidRPr="00557B93">
      <w:rPr>
        <w:rFonts w:ascii="Century Gothic" w:hAnsi="Century Gothic"/>
        <w:color w:val="595959"/>
      </w:rPr>
      <w:t>)</w:t>
    </w:r>
  </w:p>
  <w:p w:rsidR="006868BB" w:rsidRPr="006D432D" w:rsidRDefault="006868BB" w:rsidP="006D432D">
    <w:pPr>
      <w:rPr>
        <w:rFonts w:ascii="Impact" w:hAnsi="Impact"/>
        <w:sz w:val="12"/>
        <w:szCs w:val="12"/>
      </w:rPr>
    </w:pPr>
    <w:r w:rsidRPr="00475883">
      <w:rPr>
        <w:rFonts w:ascii="Impact" w:hAnsi="Impact"/>
        <w:sz w:val="12"/>
        <w:szCs w:val="12"/>
      </w:rPr>
      <w:t>__________________________________________________</w:t>
    </w:r>
    <w:r>
      <w:rPr>
        <w:rFonts w:ascii="Impact" w:hAnsi="Impact"/>
        <w:sz w:val="12"/>
        <w:szCs w:val="12"/>
      </w:rPr>
      <w:t>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DA801D0"/>
    <w:lvl w:ilvl="0">
      <w:numFmt w:val="bullet"/>
      <w:lvlText w:val="*"/>
      <w:lvlJc w:val="left"/>
    </w:lvl>
  </w:abstractNum>
  <w:abstractNum w:abstractNumId="1">
    <w:nsid w:val="08456C93"/>
    <w:multiLevelType w:val="hybridMultilevel"/>
    <w:tmpl w:val="83CE1D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16A3C1D"/>
    <w:multiLevelType w:val="hybridMultilevel"/>
    <w:tmpl w:val="EFAC437A"/>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
    <w:nsid w:val="3EB14A01"/>
    <w:multiLevelType w:val="multilevel"/>
    <w:tmpl w:val="B1E42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2E72F62"/>
    <w:multiLevelType w:val="hybridMultilevel"/>
    <w:tmpl w:val="FA0086A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nsid w:val="556D6CC5"/>
    <w:multiLevelType w:val="hybridMultilevel"/>
    <w:tmpl w:val="AE2EC648"/>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nsid w:val="5CC07047"/>
    <w:multiLevelType w:val="hybridMultilevel"/>
    <w:tmpl w:val="5D166BB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5F434FF6"/>
    <w:multiLevelType w:val="hybridMultilevel"/>
    <w:tmpl w:val="A6DCBE12"/>
    <w:lvl w:ilvl="0" w:tplc="0409000F">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6C4D1F04"/>
    <w:multiLevelType w:val="hybridMultilevel"/>
    <w:tmpl w:val="2908A53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79B4356C"/>
    <w:multiLevelType w:val="hybridMultilevel"/>
    <w:tmpl w:val="40DCCC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7DA14DF5"/>
    <w:multiLevelType w:val="hybridMultilevel"/>
    <w:tmpl w:val="D28869B8"/>
    <w:lvl w:ilvl="0" w:tplc="18090015">
      <w:start w:val="1"/>
      <w:numFmt w:val="upperLetter"/>
      <w:lvlText w:val="%1."/>
      <w:lvlJc w:val="left"/>
      <w:pPr>
        <w:ind w:left="1637" w:hanging="360"/>
      </w:pPr>
    </w:lvl>
    <w:lvl w:ilvl="1" w:tplc="18090019" w:tentative="1">
      <w:start w:val="1"/>
      <w:numFmt w:val="lowerLetter"/>
      <w:lvlText w:val="%2."/>
      <w:lvlJc w:val="left"/>
      <w:pPr>
        <w:ind w:left="2357" w:hanging="360"/>
      </w:pPr>
    </w:lvl>
    <w:lvl w:ilvl="2" w:tplc="1809001B" w:tentative="1">
      <w:start w:val="1"/>
      <w:numFmt w:val="lowerRoman"/>
      <w:lvlText w:val="%3."/>
      <w:lvlJc w:val="right"/>
      <w:pPr>
        <w:ind w:left="3077" w:hanging="180"/>
      </w:pPr>
    </w:lvl>
    <w:lvl w:ilvl="3" w:tplc="1809000F" w:tentative="1">
      <w:start w:val="1"/>
      <w:numFmt w:val="decimal"/>
      <w:lvlText w:val="%4."/>
      <w:lvlJc w:val="left"/>
      <w:pPr>
        <w:ind w:left="3797" w:hanging="360"/>
      </w:pPr>
    </w:lvl>
    <w:lvl w:ilvl="4" w:tplc="18090019" w:tentative="1">
      <w:start w:val="1"/>
      <w:numFmt w:val="lowerLetter"/>
      <w:lvlText w:val="%5."/>
      <w:lvlJc w:val="left"/>
      <w:pPr>
        <w:ind w:left="4517" w:hanging="360"/>
      </w:pPr>
    </w:lvl>
    <w:lvl w:ilvl="5" w:tplc="1809001B" w:tentative="1">
      <w:start w:val="1"/>
      <w:numFmt w:val="lowerRoman"/>
      <w:lvlText w:val="%6."/>
      <w:lvlJc w:val="right"/>
      <w:pPr>
        <w:ind w:left="5237" w:hanging="180"/>
      </w:pPr>
    </w:lvl>
    <w:lvl w:ilvl="6" w:tplc="1809000F" w:tentative="1">
      <w:start w:val="1"/>
      <w:numFmt w:val="decimal"/>
      <w:lvlText w:val="%7."/>
      <w:lvlJc w:val="left"/>
      <w:pPr>
        <w:ind w:left="5957" w:hanging="360"/>
      </w:pPr>
    </w:lvl>
    <w:lvl w:ilvl="7" w:tplc="18090019" w:tentative="1">
      <w:start w:val="1"/>
      <w:numFmt w:val="lowerLetter"/>
      <w:lvlText w:val="%8."/>
      <w:lvlJc w:val="left"/>
      <w:pPr>
        <w:ind w:left="6677" w:hanging="360"/>
      </w:pPr>
    </w:lvl>
    <w:lvl w:ilvl="8" w:tplc="1809001B" w:tentative="1">
      <w:start w:val="1"/>
      <w:numFmt w:val="lowerRoman"/>
      <w:lvlText w:val="%9."/>
      <w:lvlJc w:val="right"/>
      <w:pPr>
        <w:ind w:left="7397" w:hanging="180"/>
      </w:pPr>
    </w:lvl>
  </w:abstractNum>
  <w:abstractNum w:abstractNumId="11">
    <w:nsid w:val="7E09609E"/>
    <w:multiLevelType w:val="multilevel"/>
    <w:tmpl w:val="B4640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0"/>
  </w:num>
  <w:num w:numId="3">
    <w:abstractNumId w:val="1"/>
  </w:num>
  <w:num w:numId="4">
    <w:abstractNumId w:val="9"/>
  </w:num>
  <w:num w:numId="5">
    <w:abstractNumId w:val="8"/>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2"/>
  </w:num>
  <w:num w:numId="11">
    <w:abstractNumId w:val="5"/>
  </w:num>
  <w:num w:numId="12">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6D1"/>
    <w:rsid w:val="000154D8"/>
    <w:rsid w:val="000269B7"/>
    <w:rsid w:val="00053B7A"/>
    <w:rsid w:val="00066188"/>
    <w:rsid w:val="0007737D"/>
    <w:rsid w:val="00086308"/>
    <w:rsid w:val="00093014"/>
    <w:rsid w:val="0009339A"/>
    <w:rsid w:val="000B664A"/>
    <w:rsid w:val="000C58DC"/>
    <w:rsid w:val="000D7C04"/>
    <w:rsid w:val="000E18F1"/>
    <w:rsid w:val="000F01FD"/>
    <w:rsid w:val="00112605"/>
    <w:rsid w:val="00137C63"/>
    <w:rsid w:val="001428E9"/>
    <w:rsid w:val="0014664A"/>
    <w:rsid w:val="0015686B"/>
    <w:rsid w:val="001647F6"/>
    <w:rsid w:val="0019036D"/>
    <w:rsid w:val="001C721B"/>
    <w:rsid w:val="001D6E12"/>
    <w:rsid w:val="001F213E"/>
    <w:rsid w:val="001F717C"/>
    <w:rsid w:val="00207302"/>
    <w:rsid w:val="00233F7B"/>
    <w:rsid w:val="00253970"/>
    <w:rsid w:val="002674A0"/>
    <w:rsid w:val="00284F3C"/>
    <w:rsid w:val="002878B7"/>
    <w:rsid w:val="002B270D"/>
    <w:rsid w:val="002E5264"/>
    <w:rsid w:val="002E745D"/>
    <w:rsid w:val="002E76C9"/>
    <w:rsid w:val="002E797F"/>
    <w:rsid w:val="00313169"/>
    <w:rsid w:val="00315FA5"/>
    <w:rsid w:val="00326042"/>
    <w:rsid w:val="00337898"/>
    <w:rsid w:val="00344518"/>
    <w:rsid w:val="00350677"/>
    <w:rsid w:val="0035194C"/>
    <w:rsid w:val="0036290F"/>
    <w:rsid w:val="00362B95"/>
    <w:rsid w:val="003665A5"/>
    <w:rsid w:val="003845CF"/>
    <w:rsid w:val="003855B9"/>
    <w:rsid w:val="003A1E2B"/>
    <w:rsid w:val="003A601E"/>
    <w:rsid w:val="003E19EC"/>
    <w:rsid w:val="003F7EE2"/>
    <w:rsid w:val="0045004A"/>
    <w:rsid w:val="004640A4"/>
    <w:rsid w:val="00466852"/>
    <w:rsid w:val="004750FC"/>
    <w:rsid w:val="0047742F"/>
    <w:rsid w:val="004C1E45"/>
    <w:rsid w:val="004E31C7"/>
    <w:rsid w:val="004E6F50"/>
    <w:rsid w:val="004F12DF"/>
    <w:rsid w:val="004F50D6"/>
    <w:rsid w:val="00550AA0"/>
    <w:rsid w:val="00554191"/>
    <w:rsid w:val="00562548"/>
    <w:rsid w:val="00565A74"/>
    <w:rsid w:val="00596373"/>
    <w:rsid w:val="005A0594"/>
    <w:rsid w:val="005B111A"/>
    <w:rsid w:val="005C1E77"/>
    <w:rsid w:val="005D7E3E"/>
    <w:rsid w:val="005F3044"/>
    <w:rsid w:val="00607B46"/>
    <w:rsid w:val="006209C6"/>
    <w:rsid w:val="00637FC6"/>
    <w:rsid w:val="006423E0"/>
    <w:rsid w:val="00643D2C"/>
    <w:rsid w:val="00646C7D"/>
    <w:rsid w:val="006567A2"/>
    <w:rsid w:val="00672794"/>
    <w:rsid w:val="006868BB"/>
    <w:rsid w:val="0069749D"/>
    <w:rsid w:val="006A18B5"/>
    <w:rsid w:val="006B1DE2"/>
    <w:rsid w:val="006C7626"/>
    <w:rsid w:val="006D432D"/>
    <w:rsid w:val="006D7586"/>
    <w:rsid w:val="006E752E"/>
    <w:rsid w:val="006F6535"/>
    <w:rsid w:val="00704505"/>
    <w:rsid w:val="00710AEE"/>
    <w:rsid w:val="00743D9F"/>
    <w:rsid w:val="00757EA6"/>
    <w:rsid w:val="007706D1"/>
    <w:rsid w:val="0077643D"/>
    <w:rsid w:val="007934BE"/>
    <w:rsid w:val="00794782"/>
    <w:rsid w:val="007A2320"/>
    <w:rsid w:val="007A5155"/>
    <w:rsid w:val="007A6744"/>
    <w:rsid w:val="007B24F1"/>
    <w:rsid w:val="007E0BE2"/>
    <w:rsid w:val="007F68B0"/>
    <w:rsid w:val="008214E5"/>
    <w:rsid w:val="00826968"/>
    <w:rsid w:val="00832985"/>
    <w:rsid w:val="00860927"/>
    <w:rsid w:val="00867B6A"/>
    <w:rsid w:val="008760D1"/>
    <w:rsid w:val="008B4954"/>
    <w:rsid w:val="008C1A00"/>
    <w:rsid w:val="008D459C"/>
    <w:rsid w:val="008D5C60"/>
    <w:rsid w:val="008E67A0"/>
    <w:rsid w:val="008F7068"/>
    <w:rsid w:val="00903953"/>
    <w:rsid w:val="0090644C"/>
    <w:rsid w:val="00910AC9"/>
    <w:rsid w:val="00914284"/>
    <w:rsid w:val="00921893"/>
    <w:rsid w:val="0096678F"/>
    <w:rsid w:val="00966D40"/>
    <w:rsid w:val="00976CD6"/>
    <w:rsid w:val="00994DE1"/>
    <w:rsid w:val="009A4A78"/>
    <w:rsid w:val="009A533B"/>
    <w:rsid w:val="009F25F4"/>
    <w:rsid w:val="00A14665"/>
    <w:rsid w:val="00A156BD"/>
    <w:rsid w:val="00A15960"/>
    <w:rsid w:val="00A46AAD"/>
    <w:rsid w:val="00A56C95"/>
    <w:rsid w:val="00A6248B"/>
    <w:rsid w:val="00A916D5"/>
    <w:rsid w:val="00A93458"/>
    <w:rsid w:val="00A977C8"/>
    <w:rsid w:val="00B156F5"/>
    <w:rsid w:val="00B24716"/>
    <w:rsid w:val="00B36FED"/>
    <w:rsid w:val="00B37EAD"/>
    <w:rsid w:val="00B41CD1"/>
    <w:rsid w:val="00B63A27"/>
    <w:rsid w:val="00B65319"/>
    <w:rsid w:val="00B84BF2"/>
    <w:rsid w:val="00B95BC9"/>
    <w:rsid w:val="00BA7FBB"/>
    <w:rsid w:val="00BB3F3B"/>
    <w:rsid w:val="00BB66EF"/>
    <w:rsid w:val="00BD0BB5"/>
    <w:rsid w:val="00BE5843"/>
    <w:rsid w:val="00BE6DF8"/>
    <w:rsid w:val="00BF0032"/>
    <w:rsid w:val="00C07E0D"/>
    <w:rsid w:val="00C17052"/>
    <w:rsid w:val="00C32E16"/>
    <w:rsid w:val="00C52520"/>
    <w:rsid w:val="00C9798B"/>
    <w:rsid w:val="00CC6F44"/>
    <w:rsid w:val="00CD2A91"/>
    <w:rsid w:val="00CD7B67"/>
    <w:rsid w:val="00CF0B0F"/>
    <w:rsid w:val="00CF5190"/>
    <w:rsid w:val="00CF66FA"/>
    <w:rsid w:val="00D503EC"/>
    <w:rsid w:val="00D80CBC"/>
    <w:rsid w:val="00D91100"/>
    <w:rsid w:val="00D93022"/>
    <w:rsid w:val="00DA32B8"/>
    <w:rsid w:val="00DB7759"/>
    <w:rsid w:val="00DD0E4A"/>
    <w:rsid w:val="00DE1274"/>
    <w:rsid w:val="00DE1919"/>
    <w:rsid w:val="00E00441"/>
    <w:rsid w:val="00E11427"/>
    <w:rsid w:val="00E11DB2"/>
    <w:rsid w:val="00E66FD1"/>
    <w:rsid w:val="00E6718D"/>
    <w:rsid w:val="00E74414"/>
    <w:rsid w:val="00E83190"/>
    <w:rsid w:val="00F0045C"/>
    <w:rsid w:val="00F00B65"/>
    <w:rsid w:val="00F26068"/>
    <w:rsid w:val="00F3341C"/>
    <w:rsid w:val="00F346F1"/>
    <w:rsid w:val="00FB3B42"/>
    <w:rsid w:val="00FB780C"/>
    <w:rsid w:val="00FC25D4"/>
    <w:rsid w:val="00FD3B39"/>
    <w:rsid w:val="00FE51A1"/>
    <w:rsid w:val="00FF1C2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6D1"/>
    <w:pPr>
      <w:spacing w:after="200" w:line="276" w:lineRule="auto"/>
    </w:pPr>
    <w:rPr>
      <w:sz w:val="22"/>
      <w:szCs w:val="22"/>
      <w:lang w:eastAsia="en-US"/>
    </w:rPr>
  </w:style>
  <w:style w:type="paragraph" w:styleId="Heading1">
    <w:name w:val="heading 1"/>
    <w:basedOn w:val="Normal"/>
    <w:link w:val="Heading1Char"/>
    <w:uiPriority w:val="9"/>
    <w:qFormat/>
    <w:rsid w:val="00B63A27"/>
    <w:pPr>
      <w:spacing w:before="100" w:beforeAutospacing="1" w:after="100" w:afterAutospacing="1" w:line="240" w:lineRule="auto"/>
      <w:outlineLvl w:val="0"/>
    </w:pPr>
    <w:rPr>
      <w:rFonts w:ascii="Times New Roman" w:eastAsia="Times New Roman" w:hAnsi="Times New Roman"/>
      <w:b/>
      <w:bCs/>
      <w:kern w:val="36"/>
      <w:sz w:val="48"/>
      <w:szCs w:val="48"/>
      <w:lang w:eastAsia="en-IE"/>
    </w:rPr>
  </w:style>
  <w:style w:type="paragraph" w:styleId="Heading2">
    <w:name w:val="heading 2"/>
    <w:basedOn w:val="Normal"/>
    <w:link w:val="Heading2Char"/>
    <w:uiPriority w:val="9"/>
    <w:qFormat/>
    <w:rsid w:val="00B63A27"/>
    <w:pPr>
      <w:spacing w:before="100" w:beforeAutospacing="1" w:after="100" w:afterAutospacing="1" w:line="240" w:lineRule="auto"/>
      <w:outlineLvl w:val="1"/>
    </w:pPr>
    <w:rPr>
      <w:rFonts w:ascii="Times New Roman" w:eastAsia="Times New Roman" w:hAnsi="Times New Roman"/>
      <w:b/>
      <w:bCs/>
      <w:sz w:val="36"/>
      <w:szCs w:val="36"/>
      <w:lang w:eastAsia="en-IE"/>
    </w:rPr>
  </w:style>
  <w:style w:type="paragraph" w:styleId="Heading3">
    <w:name w:val="heading 3"/>
    <w:basedOn w:val="Normal"/>
    <w:link w:val="Heading3Char"/>
    <w:uiPriority w:val="9"/>
    <w:qFormat/>
    <w:rsid w:val="00B63A27"/>
    <w:pPr>
      <w:spacing w:before="100" w:beforeAutospacing="1" w:after="100" w:afterAutospacing="1" w:line="240" w:lineRule="auto"/>
      <w:outlineLvl w:val="2"/>
    </w:pPr>
    <w:rPr>
      <w:rFonts w:ascii="Times New Roman" w:eastAsia="Times New Roman" w:hAnsi="Times New Roman"/>
      <w:b/>
      <w:bCs/>
      <w:sz w:val="27"/>
      <w:szCs w:val="27"/>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6D1"/>
    <w:pPr>
      <w:tabs>
        <w:tab w:val="center" w:pos="4680"/>
        <w:tab w:val="right" w:pos="9360"/>
      </w:tabs>
      <w:spacing w:after="0" w:line="240" w:lineRule="auto"/>
    </w:pPr>
    <w:rPr>
      <w:sz w:val="20"/>
      <w:szCs w:val="20"/>
      <w:lang w:eastAsia="x-none"/>
    </w:rPr>
  </w:style>
  <w:style w:type="character" w:customStyle="1" w:styleId="HeaderChar">
    <w:name w:val="Header Char"/>
    <w:link w:val="Header"/>
    <w:uiPriority w:val="99"/>
    <w:rsid w:val="007706D1"/>
    <w:rPr>
      <w:rFonts w:ascii="Calibri" w:eastAsia="Calibri" w:hAnsi="Calibri" w:cs="Times New Roman"/>
      <w:lang w:val="en-IE"/>
    </w:rPr>
  </w:style>
  <w:style w:type="paragraph" w:styleId="Footer">
    <w:name w:val="footer"/>
    <w:basedOn w:val="Normal"/>
    <w:link w:val="FooterChar"/>
    <w:uiPriority w:val="99"/>
    <w:unhideWhenUsed/>
    <w:rsid w:val="007706D1"/>
    <w:pPr>
      <w:tabs>
        <w:tab w:val="center" w:pos="4680"/>
        <w:tab w:val="right" w:pos="9360"/>
      </w:tabs>
      <w:spacing w:after="0" w:line="240" w:lineRule="auto"/>
    </w:pPr>
    <w:rPr>
      <w:sz w:val="20"/>
      <w:szCs w:val="20"/>
      <w:lang w:eastAsia="x-none"/>
    </w:rPr>
  </w:style>
  <w:style w:type="character" w:customStyle="1" w:styleId="FooterChar">
    <w:name w:val="Footer Char"/>
    <w:link w:val="Footer"/>
    <w:uiPriority w:val="99"/>
    <w:rsid w:val="007706D1"/>
    <w:rPr>
      <w:rFonts w:ascii="Calibri" w:eastAsia="Calibri" w:hAnsi="Calibri" w:cs="Times New Roman"/>
      <w:lang w:val="en-IE"/>
    </w:rPr>
  </w:style>
  <w:style w:type="character" w:styleId="Hyperlink">
    <w:name w:val="Hyperlink"/>
    <w:uiPriority w:val="99"/>
    <w:unhideWhenUsed/>
    <w:rsid w:val="007706D1"/>
    <w:rPr>
      <w:color w:val="0000FF"/>
      <w:u w:val="single"/>
    </w:rPr>
  </w:style>
  <w:style w:type="character" w:customStyle="1" w:styleId="Heading1Char">
    <w:name w:val="Heading 1 Char"/>
    <w:link w:val="Heading1"/>
    <w:uiPriority w:val="9"/>
    <w:rsid w:val="00B63A27"/>
    <w:rPr>
      <w:rFonts w:ascii="Times New Roman" w:eastAsia="Times New Roman" w:hAnsi="Times New Roman" w:cs="Times New Roman"/>
      <w:b/>
      <w:bCs/>
      <w:kern w:val="36"/>
      <w:sz w:val="48"/>
      <w:szCs w:val="48"/>
      <w:lang w:val="en-IE" w:eastAsia="en-IE"/>
    </w:rPr>
  </w:style>
  <w:style w:type="character" w:customStyle="1" w:styleId="Heading2Char">
    <w:name w:val="Heading 2 Char"/>
    <w:link w:val="Heading2"/>
    <w:uiPriority w:val="9"/>
    <w:rsid w:val="00B63A27"/>
    <w:rPr>
      <w:rFonts w:ascii="Times New Roman" w:eastAsia="Times New Roman" w:hAnsi="Times New Roman" w:cs="Times New Roman"/>
      <w:b/>
      <w:bCs/>
      <w:sz w:val="36"/>
      <w:szCs w:val="36"/>
      <w:lang w:val="en-IE" w:eastAsia="en-IE"/>
    </w:rPr>
  </w:style>
  <w:style w:type="character" w:customStyle="1" w:styleId="Heading3Char">
    <w:name w:val="Heading 3 Char"/>
    <w:link w:val="Heading3"/>
    <w:uiPriority w:val="9"/>
    <w:rsid w:val="00B63A27"/>
    <w:rPr>
      <w:rFonts w:ascii="Times New Roman" w:eastAsia="Times New Roman" w:hAnsi="Times New Roman" w:cs="Times New Roman"/>
      <w:b/>
      <w:bCs/>
      <w:sz w:val="27"/>
      <w:szCs w:val="27"/>
      <w:lang w:val="en-IE" w:eastAsia="en-IE"/>
    </w:rPr>
  </w:style>
  <w:style w:type="paragraph" w:styleId="ListParagraph">
    <w:name w:val="List Paragraph"/>
    <w:basedOn w:val="Normal"/>
    <w:uiPriority w:val="34"/>
    <w:qFormat/>
    <w:rsid w:val="00B63A27"/>
    <w:pPr>
      <w:ind w:left="720"/>
      <w:contextualSpacing/>
    </w:pPr>
  </w:style>
  <w:style w:type="character" w:styleId="Strong">
    <w:name w:val="Strong"/>
    <w:uiPriority w:val="22"/>
    <w:qFormat/>
    <w:rsid w:val="00B63A27"/>
    <w:rPr>
      <w:b/>
      <w:bCs/>
    </w:rPr>
  </w:style>
  <w:style w:type="paragraph" w:styleId="NormalWeb">
    <w:name w:val="Normal (Web)"/>
    <w:basedOn w:val="Normal"/>
    <w:uiPriority w:val="99"/>
    <w:unhideWhenUsed/>
    <w:rsid w:val="00B63A27"/>
    <w:pPr>
      <w:spacing w:before="100" w:beforeAutospacing="1" w:after="100" w:afterAutospacing="1" w:line="240" w:lineRule="auto"/>
    </w:pPr>
    <w:rPr>
      <w:rFonts w:ascii="Times New Roman" w:eastAsia="Times New Roman" w:hAnsi="Times New Roman"/>
      <w:sz w:val="24"/>
      <w:szCs w:val="24"/>
      <w:lang w:eastAsia="en-IE"/>
    </w:rPr>
  </w:style>
  <w:style w:type="character" w:styleId="CommentReference">
    <w:name w:val="annotation reference"/>
    <w:uiPriority w:val="99"/>
    <w:semiHidden/>
    <w:unhideWhenUsed/>
    <w:rsid w:val="00607B46"/>
    <w:rPr>
      <w:sz w:val="16"/>
      <w:szCs w:val="16"/>
    </w:rPr>
  </w:style>
  <w:style w:type="paragraph" w:styleId="CommentText">
    <w:name w:val="annotation text"/>
    <w:basedOn w:val="Normal"/>
    <w:link w:val="CommentTextChar"/>
    <w:uiPriority w:val="99"/>
    <w:semiHidden/>
    <w:unhideWhenUsed/>
    <w:rsid w:val="00607B46"/>
    <w:pPr>
      <w:spacing w:line="240" w:lineRule="auto"/>
    </w:pPr>
    <w:rPr>
      <w:sz w:val="20"/>
      <w:szCs w:val="20"/>
      <w:lang w:eastAsia="x-none"/>
    </w:rPr>
  </w:style>
  <w:style w:type="character" w:customStyle="1" w:styleId="CommentTextChar">
    <w:name w:val="Comment Text Char"/>
    <w:link w:val="CommentText"/>
    <w:uiPriority w:val="99"/>
    <w:semiHidden/>
    <w:rsid w:val="00607B46"/>
    <w:rPr>
      <w:rFonts w:ascii="Calibri" w:eastAsia="Calibri" w:hAnsi="Calibri" w:cs="Times New Roman"/>
      <w:sz w:val="20"/>
      <w:szCs w:val="20"/>
      <w:lang w:val="en-IE"/>
    </w:rPr>
  </w:style>
  <w:style w:type="paragraph" w:styleId="CommentSubject">
    <w:name w:val="annotation subject"/>
    <w:basedOn w:val="CommentText"/>
    <w:next w:val="CommentText"/>
    <w:link w:val="CommentSubjectChar"/>
    <w:uiPriority w:val="99"/>
    <w:semiHidden/>
    <w:unhideWhenUsed/>
    <w:rsid w:val="00607B46"/>
    <w:rPr>
      <w:b/>
      <w:bCs/>
    </w:rPr>
  </w:style>
  <w:style w:type="character" w:customStyle="1" w:styleId="CommentSubjectChar">
    <w:name w:val="Comment Subject Char"/>
    <w:link w:val="CommentSubject"/>
    <w:uiPriority w:val="99"/>
    <w:semiHidden/>
    <w:rsid w:val="00607B46"/>
    <w:rPr>
      <w:rFonts w:ascii="Calibri" w:eastAsia="Calibri" w:hAnsi="Calibri" w:cs="Times New Roman"/>
      <w:b/>
      <w:bCs/>
      <w:sz w:val="20"/>
      <w:szCs w:val="20"/>
      <w:lang w:val="en-IE"/>
    </w:rPr>
  </w:style>
  <w:style w:type="paragraph" w:styleId="BalloonText">
    <w:name w:val="Balloon Text"/>
    <w:basedOn w:val="Normal"/>
    <w:link w:val="BalloonTextChar"/>
    <w:uiPriority w:val="99"/>
    <w:semiHidden/>
    <w:unhideWhenUsed/>
    <w:rsid w:val="00607B46"/>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607B46"/>
    <w:rPr>
      <w:rFonts w:ascii="Tahoma" w:eastAsia="Calibri" w:hAnsi="Tahoma" w:cs="Tahoma"/>
      <w:sz w:val="16"/>
      <w:szCs w:val="16"/>
      <w:lang w:val="en-IE"/>
    </w:rPr>
  </w:style>
  <w:style w:type="paragraph" w:customStyle="1" w:styleId="Default">
    <w:name w:val="Default"/>
    <w:rsid w:val="006D432D"/>
    <w:pPr>
      <w:autoSpaceDE w:val="0"/>
      <w:autoSpaceDN w:val="0"/>
      <w:adjustRightInd w:val="0"/>
    </w:pPr>
    <w:rPr>
      <w:rFonts w:cs="Calibri"/>
      <w:color w:val="000000"/>
      <w:sz w:val="24"/>
      <w:szCs w:val="24"/>
      <w:lang w:val="en-US" w:eastAsia="en-US"/>
    </w:rPr>
  </w:style>
  <w:style w:type="paragraph" w:styleId="NoSpacing">
    <w:name w:val="No Spacing"/>
    <w:uiPriority w:val="1"/>
    <w:qFormat/>
    <w:rsid w:val="000D7C04"/>
    <w:rPr>
      <w:sz w:val="22"/>
      <w:szCs w:val="22"/>
      <w:lang w:eastAsia="en-US"/>
    </w:rPr>
  </w:style>
  <w:style w:type="paragraph" w:styleId="FootnoteText">
    <w:name w:val="footnote text"/>
    <w:basedOn w:val="Normal"/>
    <w:link w:val="FootnoteTextChar"/>
    <w:uiPriority w:val="99"/>
    <w:semiHidden/>
    <w:unhideWhenUsed/>
    <w:rsid w:val="00C9798B"/>
    <w:pPr>
      <w:spacing w:after="0" w:line="240" w:lineRule="auto"/>
    </w:pPr>
    <w:rPr>
      <w:sz w:val="20"/>
      <w:szCs w:val="20"/>
      <w:lang w:val="x-none"/>
    </w:rPr>
  </w:style>
  <w:style w:type="character" w:customStyle="1" w:styleId="FootnoteTextChar">
    <w:name w:val="Footnote Text Char"/>
    <w:link w:val="FootnoteText"/>
    <w:uiPriority w:val="99"/>
    <w:semiHidden/>
    <w:rsid w:val="00C9798B"/>
    <w:rPr>
      <w:lang w:eastAsia="en-US"/>
    </w:rPr>
  </w:style>
  <w:style w:type="character" w:styleId="FootnoteReference">
    <w:name w:val="footnote reference"/>
    <w:aliases w:val="Footnotes refss"/>
    <w:uiPriority w:val="99"/>
    <w:semiHidden/>
    <w:unhideWhenUsed/>
    <w:rsid w:val="00C9798B"/>
    <w:rPr>
      <w:vertAlign w:val="superscript"/>
    </w:rPr>
  </w:style>
  <w:style w:type="character" w:customStyle="1" w:styleId="apple-converted-space">
    <w:name w:val="apple-converted-space"/>
    <w:basedOn w:val="DefaultParagraphFont"/>
    <w:rsid w:val="005A0594"/>
  </w:style>
  <w:style w:type="character" w:styleId="FollowedHyperlink">
    <w:name w:val="FollowedHyperlink"/>
    <w:uiPriority w:val="99"/>
    <w:semiHidden/>
    <w:unhideWhenUsed/>
    <w:rsid w:val="008214E5"/>
    <w:rPr>
      <w:color w:val="800080"/>
      <w:u w:val="single"/>
    </w:rPr>
  </w:style>
  <w:style w:type="paragraph" w:customStyle="1" w:styleId="ParaNo">
    <w:name w:val="ParaNo."/>
    <w:basedOn w:val="Normal"/>
    <w:rsid w:val="00DA32B8"/>
    <w:pPr>
      <w:spacing w:after="240" w:line="240" w:lineRule="auto"/>
      <w:ind w:left="-1"/>
    </w:pPr>
    <w:rPr>
      <w:rFonts w:ascii="Times New Roman" w:hAnsi="Times New Roman"/>
      <w:sz w:val="24"/>
      <w:szCs w:val="24"/>
      <w:lang w:val="en-US"/>
    </w:rPr>
  </w:style>
  <w:style w:type="character" w:styleId="Emphasis">
    <w:name w:val="Emphasis"/>
    <w:uiPriority w:val="20"/>
    <w:qFormat/>
    <w:rsid w:val="00832985"/>
    <w:rPr>
      <w:i/>
      <w:iCs/>
    </w:rPr>
  </w:style>
  <w:style w:type="character" w:customStyle="1" w:styleId="protocol">
    <w:name w:val="protocol"/>
    <w:rsid w:val="00146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6D1"/>
    <w:pPr>
      <w:spacing w:after="200" w:line="276" w:lineRule="auto"/>
    </w:pPr>
    <w:rPr>
      <w:sz w:val="22"/>
      <w:szCs w:val="22"/>
      <w:lang w:eastAsia="en-US"/>
    </w:rPr>
  </w:style>
  <w:style w:type="paragraph" w:styleId="Heading1">
    <w:name w:val="heading 1"/>
    <w:basedOn w:val="Normal"/>
    <w:link w:val="Heading1Char"/>
    <w:uiPriority w:val="9"/>
    <w:qFormat/>
    <w:rsid w:val="00B63A27"/>
    <w:pPr>
      <w:spacing w:before="100" w:beforeAutospacing="1" w:after="100" w:afterAutospacing="1" w:line="240" w:lineRule="auto"/>
      <w:outlineLvl w:val="0"/>
    </w:pPr>
    <w:rPr>
      <w:rFonts w:ascii="Times New Roman" w:eastAsia="Times New Roman" w:hAnsi="Times New Roman"/>
      <w:b/>
      <w:bCs/>
      <w:kern w:val="36"/>
      <w:sz w:val="48"/>
      <w:szCs w:val="48"/>
      <w:lang w:eastAsia="en-IE"/>
    </w:rPr>
  </w:style>
  <w:style w:type="paragraph" w:styleId="Heading2">
    <w:name w:val="heading 2"/>
    <w:basedOn w:val="Normal"/>
    <w:link w:val="Heading2Char"/>
    <w:uiPriority w:val="9"/>
    <w:qFormat/>
    <w:rsid w:val="00B63A27"/>
    <w:pPr>
      <w:spacing w:before="100" w:beforeAutospacing="1" w:after="100" w:afterAutospacing="1" w:line="240" w:lineRule="auto"/>
      <w:outlineLvl w:val="1"/>
    </w:pPr>
    <w:rPr>
      <w:rFonts w:ascii="Times New Roman" w:eastAsia="Times New Roman" w:hAnsi="Times New Roman"/>
      <w:b/>
      <w:bCs/>
      <w:sz w:val="36"/>
      <w:szCs w:val="36"/>
      <w:lang w:eastAsia="en-IE"/>
    </w:rPr>
  </w:style>
  <w:style w:type="paragraph" w:styleId="Heading3">
    <w:name w:val="heading 3"/>
    <w:basedOn w:val="Normal"/>
    <w:link w:val="Heading3Char"/>
    <w:uiPriority w:val="9"/>
    <w:qFormat/>
    <w:rsid w:val="00B63A27"/>
    <w:pPr>
      <w:spacing w:before="100" w:beforeAutospacing="1" w:after="100" w:afterAutospacing="1" w:line="240" w:lineRule="auto"/>
      <w:outlineLvl w:val="2"/>
    </w:pPr>
    <w:rPr>
      <w:rFonts w:ascii="Times New Roman" w:eastAsia="Times New Roman" w:hAnsi="Times New Roman"/>
      <w:b/>
      <w:bCs/>
      <w:sz w:val="27"/>
      <w:szCs w:val="27"/>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06D1"/>
    <w:pPr>
      <w:tabs>
        <w:tab w:val="center" w:pos="4680"/>
        <w:tab w:val="right" w:pos="9360"/>
      </w:tabs>
      <w:spacing w:after="0" w:line="240" w:lineRule="auto"/>
    </w:pPr>
    <w:rPr>
      <w:sz w:val="20"/>
      <w:szCs w:val="20"/>
      <w:lang w:eastAsia="x-none"/>
    </w:rPr>
  </w:style>
  <w:style w:type="character" w:customStyle="1" w:styleId="HeaderChar">
    <w:name w:val="Header Char"/>
    <w:link w:val="Header"/>
    <w:uiPriority w:val="99"/>
    <w:rsid w:val="007706D1"/>
    <w:rPr>
      <w:rFonts w:ascii="Calibri" w:eastAsia="Calibri" w:hAnsi="Calibri" w:cs="Times New Roman"/>
      <w:lang w:val="en-IE"/>
    </w:rPr>
  </w:style>
  <w:style w:type="paragraph" w:styleId="Footer">
    <w:name w:val="footer"/>
    <w:basedOn w:val="Normal"/>
    <w:link w:val="FooterChar"/>
    <w:uiPriority w:val="99"/>
    <w:unhideWhenUsed/>
    <w:rsid w:val="007706D1"/>
    <w:pPr>
      <w:tabs>
        <w:tab w:val="center" w:pos="4680"/>
        <w:tab w:val="right" w:pos="9360"/>
      </w:tabs>
      <w:spacing w:after="0" w:line="240" w:lineRule="auto"/>
    </w:pPr>
    <w:rPr>
      <w:sz w:val="20"/>
      <w:szCs w:val="20"/>
      <w:lang w:eastAsia="x-none"/>
    </w:rPr>
  </w:style>
  <w:style w:type="character" w:customStyle="1" w:styleId="FooterChar">
    <w:name w:val="Footer Char"/>
    <w:link w:val="Footer"/>
    <w:uiPriority w:val="99"/>
    <w:rsid w:val="007706D1"/>
    <w:rPr>
      <w:rFonts w:ascii="Calibri" w:eastAsia="Calibri" w:hAnsi="Calibri" w:cs="Times New Roman"/>
      <w:lang w:val="en-IE"/>
    </w:rPr>
  </w:style>
  <w:style w:type="character" w:styleId="Hyperlink">
    <w:name w:val="Hyperlink"/>
    <w:uiPriority w:val="99"/>
    <w:unhideWhenUsed/>
    <w:rsid w:val="007706D1"/>
    <w:rPr>
      <w:color w:val="0000FF"/>
      <w:u w:val="single"/>
    </w:rPr>
  </w:style>
  <w:style w:type="character" w:customStyle="1" w:styleId="Heading1Char">
    <w:name w:val="Heading 1 Char"/>
    <w:link w:val="Heading1"/>
    <w:uiPriority w:val="9"/>
    <w:rsid w:val="00B63A27"/>
    <w:rPr>
      <w:rFonts w:ascii="Times New Roman" w:eastAsia="Times New Roman" w:hAnsi="Times New Roman" w:cs="Times New Roman"/>
      <w:b/>
      <w:bCs/>
      <w:kern w:val="36"/>
      <w:sz w:val="48"/>
      <w:szCs w:val="48"/>
      <w:lang w:val="en-IE" w:eastAsia="en-IE"/>
    </w:rPr>
  </w:style>
  <w:style w:type="character" w:customStyle="1" w:styleId="Heading2Char">
    <w:name w:val="Heading 2 Char"/>
    <w:link w:val="Heading2"/>
    <w:uiPriority w:val="9"/>
    <w:rsid w:val="00B63A27"/>
    <w:rPr>
      <w:rFonts w:ascii="Times New Roman" w:eastAsia="Times New Roman" w:hAnsi="Times New Roman" w:cs="Times New Roman"/>
      <w:b/>
      <w:bCs/>
      <w:sz w:val="36"/>
      <w:szCs w:val="36"/>
      <w:lang w:val="en-IE" w:eastAsia="en-IE"/>
    </w:rPr>
  </w:style>
  <w:style w:type="character" w:customStyle="1" w:styleId="Heading3Char">
    <w:name w:val="Heading 3 Char"/>
    <w:link w:val="Heading3"/>
    <w:uiPriority w:val="9"/>
    <w:rsid w:val="00B63A27"/>
    <w:rPr>
      <w:rFonts w:ascii="Times New Roman" w:eastAsia="Times New Roman" w:hAnsi="Times New Roman" w:cs="Times New Roman"/>
      <w:b/>
      <w:bCs/>
      <w:sz w:val="27"/>
      <w:szCs w:val="27"/>
      <w:lang w:val="en-IE" w:eastAsia="en-IE"/>
    </w:rPr>
  </w:style>
  <w:style w:type="paragraph" w:styleId="ListParagraph">
    <w:name w:val="List Paragraph"/>
    <w:basedOn w:val="Normal"/>
    <w:uiPriority w:val="34"/>
    <w:qFormat/>
    <w:rsid w:val="00B63A27"/>
    <w:pPr>
      <w:ind w:left="720"/>
      <w:contextualSpacing/>
    </w:pPr>
  </w:style>
  <w:style w:type="character" w:styleId="Strong">
    <w:name w:val="Strong"/>
    <w:uiPriority w:val="22"/>
    <w:qFormat/>
    <w:rsid w:val="00B63A27"/>
    <w:rPr>
      <w:b/>
      <w:bCs/>
    </w:rPr>
  </w:style>
  <w:style w:type="paragraph" w:styleId="NormalWeb">
    <w:name w:val="Normal (Web)"/>
    <w:basedOn w:val="Normal"/>
    <w:uiPriority w:val="99"/>
    <w:unhideWhenUsed/>
    <w:rsid w:val="00B63A27"/>
    <w:pPr>
      <w:spacing w:before="100" w:beforeAutospacing="1" w:after="100" w:afterAutospacing="1" w:line="240" w:lineRule="auto"/>
    </w:pPr>
    <w:rPr>
      <w:rFonts w:ascii="Times New Roman" w:eastAsia="Times New Roman" w:hAnsi="Times New Roman"/>
      <w:sz w:val="24"/>
      <w:szCs w:val="24"/>
      <w:lang w:eastAsia="en-IE"/>
    </w:rPr>
  </w:style>
  <w:style w:type="character" w:styleId="CommentReference">
    <w:name w:val="annotation reference"/>
    <w:uiPriority w:val="99"/>
    <w:semiHidden/>
    <w:unhideWhenUsed/>
    <w:rsid w:val="00607B46"/>
    <w:rPr>
      <w:sz w:val="16"/>
      <w:szCs w:val="16"/>
    </w:rPr>
  </w:style>
  <w:style w:type="paragraph" w:styleId="CommentText">
    <w:name w:val="annotation text"/>
    <w:basedOn w:val="Normal"/>
    <w:link w:val="CommentTextChar"/>
    <w:uiPriority w:val="99"/>
    <w:semiHidden/>
    <w:unhideWhenUsed/>
    <w:rsid w:val="00607B46"/>
    <w:pPr>
      <w:spacing w:line="240" w:lineRule="auto"/>
    </w:pPr>
    <w:rPr>
      <w:sz w:val="20"/>
      <w:szCs w:val="20"/>
      <w:lang w:eastAsia="x-none"/>
    </w:rPr>
  </w:style>
  <w:style w:type="character" w:customStyle="1" w:styleId="CommentTextChar">
    <w:name w:val="Comment Text Char"/>
    <w:link w:val="CommentText"/>
    <w:uiPriority w:val="99"/>
    <w:semiHidden/>
    <w:rsid w:val="00607B46"/>
    <w:rPr>
      <w:rFonts w:ascii="Calibri" w:eastAsia="Calibri" w:hAnsi="Calibri" w:cs="Times New Roman"/>
      <w:sz w:val="20"/>
      <w:szCs w:val="20"/>
      <w:lang w:val="en-IE"/>
    </w:rPr>
  </w:style>
  <w:style w:type="paragraph" w:styleId="CommentSubject">
    <w:name w:val="annotation subject"/>
    <w:basedOn w:val="CommentText"/>
    <w:next w:val="CommentText"/>
    <w:link w:val="CommentSubjectChar"/>
    <w:uiPriority w:val="99"/>
    <w:semiHidden/>
    <w:unhideWhenUsed/>
    <w:rsid w:val="00607B46"/>
    <w:rPr>
      <w:b/>
      <w:bCs/>
    </w:rPr>
  </w:style>
  <w:style w:type="character" w:customStyle="1" w:styleId="CommentSubjectChar">
    <w:name w:val="Comment Subject Char"/>
    <w:link w:val="CommentSubject"/>
    <w:uiPriority w:val="99"/>
    <w:semiHidden/>
    <w:rsid w:val="00607B46"/>
    <w:rPr>
      <w:rFonts w:ascii="Calibri" w:eastAsia="Calibri" w:hAnsi="Calibri" w:cs="Times New Roman"/>
      <w:b/>
      <w:bCs/>
      <w:sz w:val="20"/>
      <w:szCs w:val="20"/>
      <w:lang w:val="en-IE"/>
    </w:rPr>
  </w:style>
  <w:style w:type="paragraph" w:styleId="BalloonText">
    <w:name w:val="Balloon Text"/>
    <w:basedOn w:val="Normal"/>
    <w:link w:val="BalloonTextChar"/>
    <w:uiPriority w:val="99"/>
    <w:semiHidden/>
    <w:unhideWhenUsed/>
    <w:rsid w:val="00607B46"/>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607B46"/>
    <w:rPr>
      <w:rFonts w:ascii="Tahoma" w:eastAsia="Calibri" w:hAnsi="Tahoma" w:cs="Tahoma"/>
      <w:sz w:val="16"/>
      <w:szCs w:val="16"/>
      <w:lang w:val="en-IE"/>
    </w:rPr>
  </w:style>
  <w:style w:type="paragraph" w:customStyle="1" w:styleId="Default">
    <w:name w:val="Default"/>
    <w:rsid w:val="006D432D"/>
    <w:pPr>
      <w:autoSpaceDE w:val="0"/>
      <w:autoSpaceDN w:val="0"/>
      <w:adjustRightInd w:val="0"/>
    </w:pPr>
    <w:rPr>
      <w:rFonts w:cs="Calibri"/>
      <w:color w:val="000000"/>
      <w:sz w:val="24"/>
      <w:szCs w:val="24"/>
      <w:lang w:val="en-US" w:eastAsia="en-US"/>
    </w:rPr>
  </w:style>
  <w:style w:type="paragraph" w:styleId="NoSpacing">
    <w:name w:val="No Spacing"/>
    <w:uiPriority w:val="1"/>
    <w:qFormat/>
    <w:rsid w:val="000D7C04"/>
    <w:rPr>
      <w:sz w:val="22"/>
      <w:szCs w:val="22"/>
      <w:lang w:eastAsia="en-US"/>
    </w:rPr>
  </w:style>
  <w:style w:type="paragraph" w:styleId="FootnoteText">
    <w:name w:val="footnote text"/>
    <w:basedOn w:val="Normal"/>
    <w:link w:val="FootnoteTextChar"/>
    <w:uiPriority w:val="99"/>
    <w:semiHidden/>
    <w:unhideWhenUsed/>
    <w:rsid w:val="00C9798B"/>
    <w:pPr>
      <w:spacing w:after="0" w:line="240" w:lineRule="auto"/>
    </w:pPr>
    <w:rPr>
      <w:sz w:val="20"/>
      <w:szCs w:val="20"/>
      <w:lang w:val="x-none"/>
    </w:rPr>
  </w:style>
  <w:style w:type="character" w:customStyle="1" w:styleId="FootnoteTextChar">
    <w:name w:val="Footnote Text Char"/>
    <w:link w:val="FootnoteText"/>
    <w:uiPriority w:val="99"/>
    <w:semiHidden/>
    <w:rsid w:val="00C9798B"/>
    <w:rPr>
      <w:lang w:eastAsia="en-US"/>
    </w:rPr>
  </w:style>
  <w:style w:type="character" w:styleId="FootnoteReference">
    <w:name w:val="footnote reference"/>
    <w:aliases w:val="Footnotes refss"/>
    <w:uiPriority w:val="99"/>
    <w:semiHidden/>
    <w:unhideWhenUsed/>
    <w:rsid w:val="00C9798B"/>
    <w:rPr>
      <w:vertAlign w:val="superscript"/>
    </w:rPr>
  </w:style>
  <w:style w:type="character" w:customStyle="1" w:styleId="apple-converted-space">
    <w:name w:val="apple-converted-space"/>
    <w:basedOn w:val="DefaultParagraphFont"/>
    <w:rsid w:val="005A0594"/>
  </w:style>
  <w:style w:type="character" w:styleId="FollowedHyperlink">
    <w:name w:val="FollowedHyperlink"/>
    <w:uiPriority w:val="99"/>
    <w:semiHidden/>
    <w:unhideWhenUsed/>
    <w:rsid w:val="008214E5"/>
    <w:rPr>
      <w:color w:val="800080"/>
      <w:u w:val="single"/>
    </w:rPr>
  </w:style>
  <w:style w:type="paragraph" w:customStyle="1" w:styleId="ParaNo">
    <w:name w:val="ParaNo."/>
    <w:basedOn w:val="Normal"/>
    <w:rsid w:val="00DA32B8"/>
    <w:pPr>
      <w:spacing w:after="240" w:line="240" w:lineRule="auto"/>
      <w:ind w:left="-1"/>
    </w:pPr>
    <w:rPr>
      <w:rFonts w:ascii="Times New Roman" w:hAnsi="Times New Roman"/>
      <w:sz w:val="24"/>
      <w:szCs w:val="24"/>
      <w:lang w:val="en-US"/>
    </w:rPr>
  </w:style>
  <w:style w:type="character" w:styleId="Emphasis">
    <w:name w:val="Emphasis"/>
    <w:uiPriority w:val="20"/>
    <w:qFormat/>
    <w:rsid w:val="00832985"/>
    <w:rPr>
      <w:i/>
      <w:iCs/>
    </w:rPr>
  </w:style>
  <w:style w:type="character" w:customStyle="1" w:styleId="protocol">
    <w:name w:val="protocol"/>
    <w:rsid w:val="00146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4706">
      <w:bodyDiv w:val="1"/>
      <w:marLeft w:val="0"/>
      <w:marRight w:val="0"/>
      <w:marTop w:val="0"/>
      <w:marBottom w:val="0"/>
      <w:divBdr>
        <w:top w:val="none" w:sz="0" w:space="0" w:color="auto"/>
        <w:left w:val="none" w:sz="0" w:space="0" w:color="auto"/>
        <w:bottom w:val="none" w:sz="0" w:space="0" w:color="auto"/>
        <w:right w:val="none" w:sz="0" w:space="0" w:color="auto"/>
      </w:divBdr>
    </w:div>
    <w:div w:id="181751558">
      <w:bodyDiv w:val="1"/>
      <w:marLeft w:val="0"/>
      <w:marRight w:val="0"/>
      <w:marTop w:val="0"/>
      <w:marBottom w:val="0"/>
      <w:divBdr>
        <w:top w:val="none" w:sz="0" w:space="0" w:color="auto"/>
        <w:left w:val="none" w:sz="0" w:space="0" w:color="auto"/>
        <w:bottom w:val="none" w:sz="0" w:space="0" w:color="auto"/>
        <w:right w:val="none" w:sz="0" w:space="0" w:color="auto"/>
      </w:divBdr>
    </w:div>
    <w:div w:id="909921422">
      <w:bodyDiv w:val="1"/>
      <w:marLeft w:val="0"/>
      <w:marRight w:val="0"/>
      <w:marTop w:val="0"/>
      <w:marBottom w:val="0"/>
      <w:divBdr>
        <w:top w:val="none" w:sz="0" w:space="0" w:color="auto"/>
        <w:left w:val="none" w:sz="0" w:space="0" w:color="auto"/>
        <w:bottom w:val="none" w:sz="0" w:space="0" w:color="auto"/>
        <w:right w:val="none" w:sz="0" w:space="0" w:color="auto"/>
      </w:divBdr>
    </w:div>
    <w:div w:id="1079448171">
      <w:bodyDiv w:val="1"/>
      <w:marLeft w:val="0"/>
      <w:marRight w:val="0"/>
      <w:marTop w:val="0"/>
      <w:marBottom w:val="0"/>
      <w:divBdr>
        <w:top w:val="none" w:sz="0" w:space="0" w:color="auto"/>
        <w:left w:val="none" w:sz="0" w:space="0" w:color="auto"/>
        <w:bottom w:val="none" w:sz="0" w:space="0" w:color="auto"/>
        <w:right w:val="none" w:sz="0" w:space="0" w:color="auto"/>
      </w:divBdr>
    </w:div>
    <w:div w:id="1469977399">
      <w:bodyDiv w:val="1"/>
      <w:marLeft w:val="0"/>
      <w:marRight w:val="0"/>
      <w:marTop w:val="0"/>
      <w:marBottom w:val="0"/>
      <w:divBdr>
        <w:top w:val="none" w:sz="0" w:space="0" w:color="auto"/>
        <w:left w:val="none" w:sz="0" w:space="0" w:color="auto"/>
        <w:bottom w:val="none" w:sz="0" w:space="0" w:color="auto"/>
        <w:right w:val="none" w:sz="0" w:space="0" w:color="auto"/>
      </w:divBdr>
    </w:div>
    <w:div w:id="1757823584">
      <w:bodyDiv w:val="1"/>
      <w:marLeft w:val="0"/>
      <w:marRight w:val="0"/>
      <w:marTop w:val="0"/>
      <w:marBottom w:val="0"/>
      <w:divBdr>
        <w:top w:val="none" w:sz="0" w:space="0" w:color="auto"/>
        <w:left w:val="none" w:sz="0" w:space="0" w:color="auto"/>
        <w:bottom w:val="none" w:sz="0" w:space="0" w:color="auto"/>
        <w:right w:val="none" w:sz="0" w:space="0" w:color="auto"/>
      </w:divBdr>
    </w:div>
    <w:div w:id="1841195159">
      <w:bodyDiv w:val="1"/>
      <w:marLeft w:val="0"/>
      <w:marRight w:val="0"/>
      <w:marTop w:val="0"/>
      <w:marBottom w:val="0"/>
      <w:divBdr>
        <w:top w:val="none" w:sz="0" w:space="0" w:color="auto"/>
        <w:left w:val="none" w:sz="0" w:space="0" w:color="auto"/>
        <w:bottom w:val="none" w:sz="0" w:space="0" w:color="auto"/>
        <w:right w:val="none" w:sz="0" w:space="0" w:color="auto"/>
      </w:divBdr>
    </w:div>
    <w:div w:id="1958027403">
      <w:bodyDiv w:val="1"/>
      <w:marLeft w:val="0"/>
      <w:marRight w:val="0"/>
      <w:marTop w:val="0"/>
      <w:marBottom w:val="0"/>
      <w:divBdr>
        <w:top w:val="none" w:sz="0" w:space="0" w:color="auto"/>
        <w:left w:val="none" w:sz="0" w:space="0" w:color="auto"/>
        <w:bottom w:val="none" w:sz="0" w:space="0" w:color="auto"/>
        <w:right w:val="none" w:sz="0" w:space="0" w:color="auto"/>
      </w:divBdr>
    </w:div>
    <w:div w:id="2137209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lac.ie/publications/policy.html"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cd.coe.int/ViewDoc.jsp?id=2011899" TargetMode="External"/><Relationship Id="rId13" Type="http://schemas.openxmlformats.org/officeDocument/2006/relationships/hyperlink" Target="http://www.irishtimes.com/news/support-for-bill-giving-a-year-to-pay-fines-1.556640" TargetMode="External"/><Relationship Id="rId18" Type="http://schemas.openxmlformats.org/officeDocument/2006/relationships/hyperlink" Target="http://bit.ly/ORACstats2012" TargetMode="External"/><Relationship Id="rId26" Type="http://schemas.openxmlformats.org/officeDocument/2006/relationships/hyperlink" Target="https://wcd.coe.int/ViewDoc.jsp?id=2011899" TargetMode="External"/><Relationship Id="rId39" Type="http://schemas.openxmlformats.org/officeDocument/2006/relationships/hyperlink" Target="http://www.flac.ie/news/2010/11/29/judge-rules-deaf-man-can-sit-on-jury/" TargetMode="External"/><Relationship Id="rId3" Type="http://schemas.openxmlformats.org/officeDocument/2006/relationships/hyperlink" Target="http://www.justice.ie/en/JELR/Pages/PR13000136" TargetMode="External"/><Relationship Id="rId21" Type="http://schemas.openxmlformats.org/officeDocument/2006/relationships/hyperlink" Target="file:///\\server\FlacGeneralOLD\Human%20Rights\ICCPR%204th%20Report%202012\%20" TargetMode="External"/><Relationship Id="rId34" Type="http://schemas.openxmlformats.org/officeDocument/2006/relationships/hyperlink" Target="http://www.irishstatutebook.ie/2009/en/act/pub/0006/print.html" TargetMode="External"/><Relationship Id="rId7" Type="http://schemas.openxmlformats.org/officeDocument/2006/relationships/hyperlink" Target="http://oireachtasdebates.oireachtas.ie/Debates%20Authoring/DebatesWebPack.nsf/committeetakes/JUJ2012092500004?opendocument" TargetMode="External"/><Relationship Id="rId12" Type="http://schemas.openxmlformats.org/officeDocument/2006/relationships/hyperlink" Target="http://www.iprt.ie/prison-facts-2" TargetMode="External"/><Relationship Id="rId17" Type="http://schemas.openxmlformats.org/officeDocument/2006/relationships/hyperlink" Target="http://emn.ie/files/p_201303261240352011_Annual%20Policy%20Report%20on%20Migration%20and%20Asylum_Mar2013.pdf" TargetMode="External"/><Relationship Id="rId25" Type="http://schemas.openxmlformats.org/officeDocument/2006/relationships/hyperlink" Target="http://www.coe.int/t/dghl/monitoring/ecri/Country-by-country/Ireland/IRL-CbC-IV-2013-001-ENG.pdf" TargetMode="External"/><Relationship Id="rId33" Type="http://schemas.openxmlformats.org/officeDocument/2006/relationships/hyperlink" Target="http://www.flac.ie/news/2012/02/22/transgender-woman-in-civil-partnership/" TargetMode="External"/><Relationship Id="rId38" Type="http://schemas.openxmlformats.org/officeDocument/2006/relationships/hyperlink" Target="http://www.irishstatutebook.ie/2009/en/act/pub/0006/sec0006.html" TargetMode="External"/><Relationship Id="rId2" Type="http://schemas.openxmlformats.org/officeDocument/2006/relationships/hyperlink" Target="http://www.justice.ie/en/JELR/20120419-WorkingGroupRpt-HumanRightsEqualityCommission.pdf/Files/20120419-WorkingGroupRpt-HumanRightsEqualityCommission.pdf" TargetMode="External"/><Relationship Id="rId16" Type="http://schemas.openxmlformats.org/officeDocument/2006/relationships/hyperlink" Target="http://www.flac.ie/download/pdf/irp_bill_submission.pdf" TargetMode="External"/><Relationship Id="rId20" Type="http://schemas.openxmlformats.org/officeDocument/2006/relationships/hyperlink" Target="http://www.unhcr.ie/news/irish-story/unhcr-ireland-statement-on-need-for-introduction-of-single-procedure" TargetMode="External"/><Relationship Id="rId29" Type="http://schemas.openxmlformats.org/officeDocument/2006/relationships/hyperlink" Target="http://www.legalaidboard.ie/lab/publishing.nsf/Content/Annual_Reports" TargetMode="External"/><Relationship Id="rId1" Type="http://schemas.openxmlformats.org/officeDocument/2006/relationships/hyperlink" Target="http://www2.ohchr.org/english/bodies/hrc/hrcs93.htm" TargetMode="External"/><Relationship Id="rId6" Type="http://schemas.openxmlformats.org/officeDocument/2006/relationships/hyperlink" Target="http://www.publicjobs.ie/publicjobs/about/about_us.htm" TargetMode="External"/><Relationship Id="rId11" Type="http://schemas.openxmlformats.org/officeDocument/2006/relationships/hyperlink" Target="http://www.coe.int/t/dghl/monitoring/ecri/Country-by-country/Ireland/IRL-CbC-IV-2013-001-ENG.pdf" TargetMode="External"/><Relationship Id="rId24" Type="http://schemas.openxmlformats.org/officeDocument/2006/relationships/hyperlink" Target="http://www2.ohchr.org/english/bodies/cerd/docs/co/Ireland_AUV.pdf" TargetMode="External"/><Relationship Id="rId32" Type="http://schemas.openxmlformats.org/officeDocument/2006/relationships/hyperlink" Target="http://www.flac.ie/publications/recognising-transgender-persons-in-ireland/" TargetMode="External"/><Relationship Id="rId37" Type="http://schemas.openxmlformats.org/officeDocument/2006/relationships/hyperlink" Target="http://www.ohchr.org/Documents/HRBodies/HRCouncil/RegularSession/Session22/A-HRC-22-47-Add-3_en.pdf" TargetMode="External"/><Relationship Id="rId40" Type="http://schemas.openxmlformats.org/officeDocument/2006/relationships/hyperlink" Target="http://www.lawreform.ie/_fileupload/Reports/r107.pdf" TargetMode="External"/><Relationship Id="rId5" Type="http://schemas.openxmlformats.org/officeDocument/2006/relationships/hyperlink" Target="http://www.ohchr.org/EN/ProfessionalInterest/Pages/StatusOfNationalInstitutions.aspx" TargetMode="External"/><Relationship Id="rId15" Type="http://schemas.openxmlformats.org/officeDocument/2006/relationships/hyperlink" Target="http://www.justice.ie/en/JELR/Pages/PR13000311" TargetMode="External"/><Relationship Id="rId23" Type="http://schemas.openxmlformats.org/officeDocument/2006/relationships/hyperlink" Target="http://www.flac.ie/publications/one-size-doesnt-fit-all/" TargetMode="External"/><Relationship Id="rId28" Type="http://schemas.openxmlformats.org/officeDocument/2006/relationships/hyperlink" Target="http://www.ombudsman.gov.ie/en/publications/investigation-reports/health-service-executive/appeal-overruled-failure-to-provide-basic-income-for-family-seeking-asylum" TargetMode="External"/><Relationship Id="rId36" Type="http://schemas.openxmlformats.org/officeDocument/2006/relationships/hyperlink" Target="http://daccess-dds-ny.un.org/doc/RESOLUTION/GEN/G13/148/13/PDF/G1314813.pdf?OpenElement" TargetMode="External"/><Relationship Id="rId10" Type="http://schemas.openxmlformats.org/officeDocument/2006/relationships/hyperlink" Target="http://www.flac.ie/download/pdf/2011_sept_flac_submission_to_minister_joan_burton_td_for_budget_2012_final.pdf" TargetMode="External"/><Relationship Id="rId19" Type="http://schemas.openxmlformats.org/officeDocument/2006/relationships/hyperlink" Target="http://epp.eurostat.ec.europa.eu/cache/ITY_PUBLIC/3-18062013-AP/EN/3-18062013-AP-EN.PDF" TargetMode="External"/><Relationship Id="rId31" Type="http://schemas.openxmlformats.org/officeDocument/2006/relationships/hyperlink" Target="http://www.flac.ie/download/pdf/foy_case_briefing_note_feb_2013.pdf" TargetMode="External"/><Relationship Id="rId4" Type="http://schemas.openxmlformats.org/officeDocument/2006/relationships/hyperlink" Target="http://oireachtasdebates.oireachtas.ie/Debates%20Authoring/DebatesWebPack.nsf/committeetakes/JUJ2013052200004?opendocument" TargetMode="External"/><Relationship Id="rId9" Type="http://schemas.openxmlformats.org/officeDocument/2006/relationships/hyperlink" Target="https://wcd.coe.int/ViewDoc.jsp?id=1831077" TargetMode="External"/><Relationship Id="rId14" Type="http://schemas.openxmlformats.org/officeDocument/2006/relationships/hyperlink" Target="http://www.oireachtas.ie/viewdoc.asp?DocID=24171&amp;&amp;CatID=59" TargetMode="External"/><Relationship Id="rId22" Type="http://schemas.openxmlformats.org/officeDocument/2006/relationships/hyperlink" Target="http://www.ria.gov.ie/en/RIA/RIAFeb(A4)2013.pdf/Files/RIAFeb(A4)2013.pdf" TargetMode="External"/><Relationship Id="rId27" Type="http://schemas.openxmlformats.org/officeDocument/2006/relationships/hyperlink" Target="http://www.studiesirishreview.ie/lead-articles/67-asylum-seekers-in-our-republic-why-have-we-gone-wrong" TargetMode="External"/><Relationship Id="rId30" Type="http://schemas.openxmlformats.org/officeDocument/2006/relationships/hyperlink" Target="http://www.flac.ie/news/2013/07/18/first-step-towards-transgender-recognition-law-welcome-but-government-must-not-blunder-on-forced-divorce/" TargetMode="External"/><Relationship Id="rId35" Type="http://schemas.openxmlformats.org/officeDocument/2006/relationships/hyperlink" Target="http://www.flac.ie/download/pdf/2008_12_08_pos_paper_on_charities_bill_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D1B04-1D18-4249-8497-6470187FF59D}"/>
</file>

<file path=customXml/itemProps2.xml><?xml version="1.0" encoding="utf-8"?>
<ds:datastoreItem xmlns:ds="http://schemas.openxmlformats.org/officeDocument/2006/customXml" ds:itemID="{7C8D33DC-A2F8-4FEE-BDCD-93703D9391D5}"/>
</file>

<file path=customXml/itemProps3.xml><?xml version="1.0" encoding="utf-8"?>
<ds:datastoreItem xmlns:ds="http://schemas.openxmlformats.org/officeDocument/2006/customXml" ds:itemID="{47CDC219-8B0C-44F8-8C23-DB6519FBA4AE}"/>
</file>

<file path=customXml/itemProps4.xml><?xml version="1.0" encoding="utf-8"?>
<ds:datastoreItem xmlns:ds="http://schemas.openxmlformats.org/officeDocument/2006/customXml" ds:itemID="{0EA61BAA-2A2C-4F4E-A77B-E24C562DD3DF}"/>
</file>

<file path=docProps/app.xml><?xml version="1.0" encoding="utf-8"?>
<Properties xmlns="http://schemas.openxmlformats.org/officeDocument/2006/extended-properties" xmlns:vt="http://schemas.openxmlformats.org/officeDocument/2006/docPropsVTypes">
  <Template>Normal</Template>
  <TotalTime>0</TotalTime>
  <Pages>12</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25811</CharactersWithSpaces>
  <SharedDoc>false</SharedDoc>
  <HLinks>
    <vt:vector size="114" baseType="variant">
      <vt:variant>
        <vt:i4>3080238</vt:i4>
      </vt:variant>
      <vt:variant>
        <vt:i4>0</vt:i4>
      </vt:variant>
      <vt:variant>
        <vt:i4>0</vt:i4>
      </vt:variant>
      <vt:variant>
        <vt:i4>5</vt:i4>
      </vt:variant>
      <vt:variant>
        <vt:lpwstr>http://www.flac.ie/publications/policy.html</vt:lpwstr>
      </vt:variant>
      <vt:variant>
        <vt:lpwstr/>
      </vt:variant>
      <vt:variant>
        <vt:i4>4522057</vt:i4>
      </vt:variant>
      <vt:variant>
        <vt:i4>51</vt:i4>
      </vt:variant>
      <vt:variant>
        <vt:i4>0</vt:i4>
      </vt:variant>
      <vt:variant>
        <vt:i4>5</vt:i4>
      </vt:variant>
      <vt:variant>
        <vt:lpwstr>http://www.flac.ie/news/2010/11/29/judge-rules-deaf-man-can-sit-on-jury/</vt:lpwstr>
      </vt:variant>
      <vt:variant>
        <vt:lpwstr/>
      </vt:variant>
      <vt:variant>
        <vt:i4>3342435</vt:i4>
      </vt:variant>
      <vt:variant>
        <vt:i4>48</vt:i4>
      </vt:variant>
      <vt:variant>
        <vt:i4>0</vt:i4>
      </vt:variant>
      <vt:variant>
        <vt:i4>5</vt:i4>
      </vt:variant>
      <vt:variant>
        <vt:lpwstr>http://www.flac.ie/news/2012/02/22/transgender-woman-in-civil-partnership/</vt:lpwstr>
      </vt:variant>
      <vt:variant>
        <vt:lpwstr/>
      </vt:variant>
      <vt:variant>
        <vt:i4>7208997</vt:i4>
      </vt:variant>
      <vt:variant>
        <vt:i4>45</vt:i4>
      </vt:variant>
      <vt:variant>
        <vt:i4>0</vt:i4>
      </vt:variant>
      <vt:variant>
        <vt:i4>5</vt:i4>
      </vt:variant>
      <vt:variant>
        <vt:lpwstr>http://www.flac.ie/publications/recognising-transgender-persons-in-ireland/</vt:lpwstr>
      </vt:variant>
      <vt:variant>
        <vt:lpwstr/>
      </vt:variant>
      <vt:variant>
        <vt:i4>7667803</vt:i4>
      </vt:variant>
      <vt:variant>
        <vt:i4>42</vt:i4>
      </vt:variant>
      <vt:variant>
        <vt:i4>0</vt:i4>
      </vt:variant>
      <vt:variant>
        <vt:i4>5</vt:i4>
      </vt:variant>
      <vt:variant>
        <vt:lpwstr>http://www.legalaidboard.ie/lab/publishing.nsf/Content/Annual_Reports</vt:lpwstr>
      </vt:variant>
      <vt:variant>
        <vt:lpwstr/>
      </vt:variant>
      <vt:variant>
        <vt:i4>2687018</vt:i4>
      </vt:variant>
      <vt:variant>
        <vt:i4>39</vt:i4>
      </vt:variant>
      <vt:variant>
        <vt:i4>0</vt:i4>
      </vt:variant>
      <vt:variant>
        <vt:i4>5</vt:i4>
      </vt:variant>
      <vt:variant>
        <vt:lpwstr>https://wcd.coe.int/ViewDoc.jsp?id=2011899</vt:lpwstr>
      </vt:variant>
      <vt:variant>
        <vt:lpwstr/>
      </vt:variant>
      <vt:variant>
        <vt:i4>2293853</vt:i4>
      </vt:variant>
      <vt:variant>
        <vt:i4>36</vt:i4>
      </vt:variant>
      <vt:variant>
        <vt:i4>0</vt:i4>
      </vt:variant>
      <vt:variant>
        <vt:i4>5</vt:i4>
      </vt:variant>
      <vt:variant>
        <vt:lpwstr>http://www2.ohchr.org/english/bodies/cerd/docs/co/Ireland_AUV.pdf</vt:lpwstr>
      </vt:variant>
      <vt:variant>
        <vt:lpwstr/>
      </vt:variant>
      <vt:variant>
        <vt:i4>6226002</vt:i4>
      </vt:variant>
      <vt:variant>
        <vt:i4>33</vt:i4>
      </vt:variant>
      <vt:variant>
        <vt:i4>0</vt:i4>
      </vt:variant>
      <vt:variant>
        <vt:i4>5</vt:i4>
      </vt:variant>
      <vt:variant>
        <vt:lpwstr>http://www.flac.ie/publications/one-size-doesnt-fit-all/</vt:lpwstr>
      </vt:variant>
      <vt:variant>
        <vt:lpwstr/>
      </vt:variant>
      <vt:variant>
        <vt:i4>786516</vt:i4>
      </vt:variant>
      <vt:variant>
        <vt:i4>30</vt:i4>
      </vt:variant>
      <vt:variant>
        <vt:i4>0</vt:i4>
      </vt:variant>
      <vt:variant>
        <vt:i4>5</vt:i4>
      </vt:variant>
      <vt:variant>
        <vt:lpwstr>http://www.ria.gov.ie/en/RIA/RIADec(A4)2011.pdf/Files/RIADec(A4)2011.pdf</vt:lpwstr>
      </vt:variant>
      <vt:variant>
        <vt:lpwstr/>
      </vt:variant>
      <vt:variant>
        <vt:i4>4325446</vt:i4>
      </vt:variant>
      <vt:variant>
        <vt:i4>27</vt:i4>
      </vt:variant>
      <vt:variant>
        <vt:i4>0</vt:i4>
      </vt:variant>
      <vt:variant>
        <vt:i4>5</vt:i4>
      </vt:variant>
      <vt:variant>
        <vt:lpwstr>http://www.unhcr.ie/news/irish-story/unhcr-ireland-statement-on-need-for-introduction-of-single-procedure</vt:lpwstr>
      </vt:variant>
      <vt:variant>
        <vt:lpwstr/>
      </vt:variant>
      <vt:variant>
        <vt:i4>4325406</vt:i4>
      </vt:variant>
      <vt:variant>
        <vt:i4>24</vt:i4>
      </vt:variant>
      <vt:variant>
        <vt:i4>0</vt:i4>
      </vt:variant>
      <vt:variant>
        <vt:i4>5</vt:i4>
      </vt:variant>
      <vt:variant>
        <vt:lpwstr>http://www.orac.ie/pdf/PDFStats/Monthly Statistics/2011/2011 12 December ORAC monthly report.pdf</vt:lpwstr>
      </vt:variant>
      <vt:variant>
        <vt:lpwstr/>
      </vt:variant>
      <vt:variant>
        <vt:i4>3080316</vt:i4>
      </vt:variant>
      <vt:variant>
        <vt:i4>21</vt:i4>
      </vt:variant>
      <vt:variant>
        <vt:i4>0</vt:i4>
      </vt:variant>
      <vt:variant>
        <vt:i4>5</vt:i4>
      </vt:variant>
      <vt:variant>
        <vt:lpwstr>http://www.irishtimes.com/newspaper/breaking/2011/0704/breaking59.html</vt:lpwstr>
      </vt:variant>
      <vt:variant>
        <vt:lpwstr/>
      </vt:variant>
      <vt:variant>
        <vt:i4>1769553</vt:i4>
      </vt:variant>
      <vt:variant>
        <vt:i4>18</vt:i4>
      </vt:variant>
      <vt:variant>
        <vt:i4>0</vt:i4>
      </vt:variant>
      <vt:variant>
        <vt:i4>5</vt:i4>
      </vt:variant>
      <vt:variant>
        <vt:lpwstr>http://www.flac.ie/download/pdf/irp_bill_submission.pdf</vt:lpwstr>
      </vt:variant>
      <vt:variant>
        <vt:lpwstr/>
      </vt:variant>
      <vt:variant>
        <vt:i4>1769553</vt:i4>
      </vt:variant>
      <vt:variant>
        <vt:i4>15</vt:i4>
      </vt:variant>
      <vt:variant>
        <vt:i4>0</vt:i4>
      </vt:variant>
      <vt:variant>
        <vt:i4>5</vt:i4>
      </vt:variant>
      <vt:variant>
        <vt:lpwstr>http://www.flac.ie/download/pdf/irp_bill_submission.pdf</vt:lpwstr>
      </vt:variant>
      <vt:variant>
        <vt:lpwstr/>
      </vt:variant>
      <vt:variant>
        <vt:i4>5898268</vt:i4>
      </vt:variant>
      <vt:variant>
        <vt:i4>12</vt:i4>
      </vt:variant>
      <vt:variant>
        <vt:i4>0</vt:i4>
      </vt:variant>
      <vt:variant>
        <vt:i4>5</vt:i4>
      </vt:variant>
      <vt:variant>
        <vt:lpwstr>http://www.coe.int/t/dghl/monitoring/ecri/Country-by-country/Ireland/IRL-CbC-IV-2013-001-ENG.pdf</vt:lpwstr>
      </vt:variant>
      <vt:variant>
        <vt:lpwstr/>
      </vt:variant>
      <vt:variant>
        <vt:i4>4980745</vt:i4>
      </vt:variant>
      <vt:variant>
        <vt:i4>9</vt:i4>
      </vt:variant>
      <vt:variant>
        <vt:i4>0</vt:i4>
      </vt:variant>
      <vt:variant>
        <vt:i4>5</vt:i4>
      </vt:variant>
      <vt:variant>
        <vt:lpwstr>http://www.flac.ie/download/pdf/2011_sept_flac_submission_to_minister_joan_burton_td_for_budget_2012_final.pdf</vt:lpwstr>
      </vt:variant>
      <vt:variant>
        <vt:lpwstr/>
      </vt:variant>
      <vt:variant>
        <vt:i4>3014700</vt:i4>
      </vt:variant>
      <vt:variant>
        <vt:i4>6</vt:i4>
      </vt:variant>
      <vt:variant>
        <vt:i4>0</vt:i4>
      </vt:variant>
      <vt:variant>
        <vt:i4>5</vt:i4>
      </vt:variant>
      <vt:variant>
        <vt:lpwstr>https://wcd.coe.int/ViewDoc.jsp?id=1831077</vt:lpwstr>
      </vt:variant>
      <vt:variant>
        <vt:lpwstr/>
      </vt:variant>
      <vt:variant>
        <vt:i4>2687018</vt:i4>
      </vt:variant>
      <vt:variant>
        <vt:i4>3</vt:i4>
      </vt:variant>
      <vt:variant>
        <vt:i4>0</vt:i4>
      </vt:variant>
      <vt:variant>
        <vt:i4>5</vt:i4>
      </vt:variant>
      <vt:variant>
        <vt:lpwstr>https://wcd.coe.int/ViewDoc.jsp?id=2011899</vt:lpwstr>
      </vt:variant>
      <vt:variant>
        <vt:lpwstr/>
      </vt:variant>
      <vt:variant>
        <vt:i4>4063346</vt:i4>
      </vt:variant>
      <vt:variant>
        <vt:i4>0</vt:i4>
      </vt:variant>
      <vt:variant>
        <vt:i4>0</vt:i4>
      </vt:variant>
      <vt:variant>
        <vt:i4>5</vt:i4>
      </vt:variant>
      <vt:variant>
        <vt:lpwstr>http://www2.ohchr.org/english/bodies/hrc/hrcs93.htm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Saoirse Brady</dc:creator>
  <cp:lastModifiedBy>Saoirse Brady</cp:lastModifiedBy>
  <cp:revision>2</cp:revision>
  <cp:lastPrinted>2013-07-17T11:30:00Z</cp:lastPrinted>
  <dcterms:created xsi:type="dcterms:W3CDTF">2013-07-31T15:54:00Z</dcterms:created>
  <dcterms:modified xsi:type="dcterms:W3CDTF">2013-07-31T15:54:00Z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