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2AA9C5CD" w14:textId="77777777" w:rsidTr="00A24317">
        <w:trPr>
          <w:cantSplit/>
          <w:trHeight w:hRule="exact" w:val="851"/>
        </w:trPr>
        <w:tc>
          <w:tcPr>
            <w:tcW w:w="1276" w:type="dxa"/>
            <w:tcBorders>
              <w:bottom w:val="single" w:sz="4" w:space="0" w:color="auto"/>
            </w:tcBorders>
            <w:shd w:val="clear" w:color="auto" w:fill="auto"/>
            <w:vAlign w:val="bottom"/>
          </w:tcPr>
          <w:p w14:paraId="6BE06490" w14:textId="4180574B" w:rsidR="001E498C" w:rsidRPr="009C41E2" w:rsidRDefault="001E498C" w:rsidP="00A24317">
            <w:pPr>
              <w:spacing w:after="80"/>
            </w:pPr>
            <w:bookmarkStart w:id="0" w:name="_GoBack"/>
            <w:bookmarkEnd w:id="0"/>
          </w:p>
        </w:tc>
        <w:tc>
          <w:tcPr>
            <w:tcW w:w="2268" w:type="dxa"/>
            <w:tcBorders>
              <w:bottom w:val="single" w:sz="4" w:space="0" w:color="auto"/>
            </w:tcBorders>
            <w:shd w:val="clear" w:color="auto" w:fill="auto"/>
            <w:vAlign w:val="bottom"/>
          </w:tcPr>
          <w:p w14:paraId="1A7EE359" w14:textId="77777777" w:rsidR="001E498C" w:rsidRPr="00A24317" w:rsidRDefault="001E498C" w:rsidP="00A24317">
            <w:pPr>
              <w:spacing w:after="80" w:line="300" w:lineRule="exact"/>
              <w:rPr>
                <w:sz w:val="24"/>
                <w:szCs w:val="24"/>
              </w:rPr>
            </w:pPr>
            <w:r w:rsidRPr="00A24317">
              <w:rPr>
                <w:sz w:val="28"/>
                <w:szCs w:val="28"/>
              </w:rPr>
              <w:t>United Nations</w:t>
            </w:r>
          </w:p>
        </w:tc>
        <w:tc>
          <w:tcPr>
            <w:tcW w:w="6095" w:type="dxa"/>
            <w:gridSpan w:val="2"/>
            <w:tcBorders>
              <w:bottom w:val="single" w:sz="4" w:space="0" w:color="auto"/>
            </w:tcBorders>
            <w:shd w:val="clear" w:color="auto" w:fill="auto"/>
            <w:vAlign w:val="bottom"/>
          </w:tcPr>
          <w:p w14:paraId="10E48AB4" w14:textId="19AE3C6E" w:rsidR="001E498C" w:rsidRPr="009C41E2" w:rsidRDefault="003D3938" w:rsidP="00A24317">
            <w:pPr>
              <w:suppressAutoHyphens w:val="0"/>
              <w:spacing w:after="20"/>
              <w:jc w:val="right"/>
            </w:pPr>
            <w:r w:rsidRPr="00A24317">
              <w:rPr>
                <w:sz w:val="40"/>
              </w:rPr>
              <w:t>C</w:t>
            </w:r>
            <w:r w:rsidR="0053631F" w:rsidRPr="00A24317">
              <w:rPr>
                <w:sz w:val="40"/>
              </w:rPr>
              <w:t>AT</w:t>
            </w:r>
            <w:r w:rsidR="001E498C" w:rsidRPr="009C41E2">
              <w:t>/</w:t>
            </w:r>
            <w:r w:rsidR="003B0B0F" w:rsidRPr="009C41E2">
              <w:t>C/SR.</w:t>
            </w:r>
            <w:r w:rsidR="00257838" w:rsidRPr="009C41E2">
              <w:t>16</w:t>
            </w:r>
            <w:r w:rsidR="003C1022">
              <w:t>64</w:t>
            </w:r>
          </w:p>
        </w:tc>
      </w:tr>
      <w:tr w:rsidR="001E498C" w:rsidRPr="00B65FCA" w14:paraId="434BEBEC" w14:textId="77777777" w:rsidTr="00A24317">
        <w:trPr>
          <w:cantSplit/>
          <w:trHeight w:hRule="exact" w:val="2835"/>
        </w:trPr>
        <w:tc>
          <w:tcPr>
            <w:tcW w:w="1276" w:type="dxa"/>
            <w:tcBorders>
              <w:top w:val="single" w:sz="4" w:space="0" w:color="auto"/>
              <w:bottom w:val="single" w:sz="12" w:space="0" w:color="auto"/>
            </w:tcBorders>
            <w:shd w:val="clear" w:color="auto" w:fill="auto"/>
          </w:tcPr>
          <w:p w14:paraId="4E161BF8" w14:textId="1B47C3A1" w:rsidR="001E498C" w:rsidRPr="009C41E2" w:rsidRDefault="00A24317" w:rsidP="00A24317">
            <w:pPr>
              <w:spacing w:before="120"/>
              <w:jc w:val="center"/>
            </w:pPr>
            <w:r w:rsidRPr="00316389">
              <w:rPr>
                <w:noProof/>
                <w:lang w:eastAsia="en-GB"/>
              </w:rPr>
              <w:pict w14:anchorId="7AAB5E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4pt;height:46.8pt;visibility:visible;mso-wrap-style:square">
                  <v:imagedata r:id="rId8" o:title="_unlogo"/>
                </v:shape>
              </w:pict>
            </w:r>
          </w:p>
        </w:tc>
        <w:tc>
          <w:tcPr>
            <w:tcW w:w="5528" w:type="dxa"/>
            <w:gridSpan w:val="2"/>
            <w:tcBorders>
              <w:top w:val="single" w:sz="4" w:space="0" w:color="auto"/>
              <w:bottom w:val="single" w:sz="12" w:space="0" w:color="auto"/>
            </w:tcBorders>
            <w:shd w:val="clear" w:color="auto" w:fill="auto"/>
          </w:tcPr>
          <w:p w14:paraId="413BD269" w14:textId="77777777" w:rsidR="001E498C" w:rsidRPr="00A24317" w:rsidRDefault="005B75E3" w:rsidP="00A24317">
            <w:pPr>
              <w:spacing w:before="120" w:line="380" w:lineRule="exact"/>
              <w:rPr>
                <w:b/>
                <w:bCs/>
                <w:sz w:val="34"/>
                <w:szCs w:val="40"/>
              </w:rPr>
            </w:pPr>
            <w:r w:rsidRPr="00A24317">
              <w:rPr>
                <w:b/>
                <w:sz w:val="34"/>
                <w:szCs w:val="40"/>
              </w:rPr>
              <w:t>Convention against Torture</w:t>
            </w:r>
            <w:r w:rsidRPr="00A24317">
              <w:rPr>
                <w:b/>
                <w:sz w:val="34"/>
                <w:szCs w:val="40"/>
              </w:rPr>
              <w:br/>
              <w:t>and Other Cruel, Inhuman</w:t>
            </w:r>
            <w:r w:rsidRPr="00A24317">
              <w:rPr>
                <w:b/>
                <w:sz w:val="34"/>
                <w:szCs w:val="40"/>
              </w:rPr>
              <w:br/>
              <w:t>or Degrading Treatment</w:t>
            </w:r>
            <w:r w:rsidRPr="00A24317">
              <w:rPr>
                <w:b/>
                <w:sz w:val="34"/>
                <w:szCs w:val="40"/>
              </w:rPr>
              <w:br/>
              <w:t>or Punishment</w:t>
            </w:r>
          </w:p>
        </w:tc>
        <w:tc>
          <w:tcPr>
            <w:tcW w:w="2835" w:type="dxa"/>
            <w:tcBorders>
              <w:top w:val="single" w:sz="4" w:space="0" w:color="auto"/>
              <w:bottom w:val="single" w:sz="12" w:space="0" w:color="auto"/>
            </w:tcBorders>
            <w:shd w:val="clear" w:color="auto" w:fill="auto"/>
          </w:tcPr>
          <w:p w14:paraId="2F03CD67" w14:textId="18A7A893" w:rsidR="001E498C" w:rsidRPr="00A24317" w:rsidRDefault="006748CF" w:rsidP="00A24317">
            <w:pPr>
              <w:suppressAutoHyphens w:val="0"/>
              <w:spacing w:before="240" w:line="240" w:lineRule="exact"/>
              <w:rPr>
                <w:lang w:val="en-US"/>
              </w:rPr>
            </w:pPr>
            <w:r w:rsidRPr="00A24317">
              <w:rPr>
                <w:lang w:val="en-US"/>
              </w:rPr>
              <w:t>Distr.</w:t>
            </w:r>
            <w:r w:rsidR="0046257D" w:rsidRPr="00A24317">
              <w:rPr>
                <w:lang w:val="en-US"/>
              </w:rPr>
              <w:t>:</w:t>
            </w:r>
            <w:r w:rsidR="001E498C" w:rsidRPr="00A24317">
              <w:rPr>
                <w:lang w:val="en-US"/>
              </w:rPr>
              <w:t xml:space="preserve"> </w:t>
            </w:r>
            <w:r w:rsidR="00257838" w:rsidRPr="00A24317">
              <w:rPr>
                <w:lang w:val="en-US"/>
              </w:rPr>
              <w:t>General</w:t>
            </w:r>
          </w:p>
          <w:p w14:paraId="3FEBB84B" w14:textId="22AC18B0" w:rsidR="001E498C" w:rsidRPr="00A24317" w:rsidRDefault="00C54746" w:rsidP="00A24317">
            <w:pPr>
              <w:suppressAutoHyphens w:val="0"/>
              <w:rPr>
                <w:lang w:val="en-US"/>
              </w:rPr>
            </w:pPr>
            <w:r>
              <w:t>8</w:t>
            </w:r>
            <w:r w:rsidR="007B1457">
              <w:t xml:space="preserve"> August 2018</w:t>
            </w:r>
          </w:p>
          <w:p w14:paraId="5109E0D9" w14:textId="77777777" w:rsidR="003B0B0F" w:rsidRPr="00A24317" w:rsidRDefault="003B0B0F" w:rsidP="00A24317">
            <w:pPr>
              <w:suppressAutoHyphens w:val="0"/>
              <w:rPr>
                <w:lang w:val="en-US"/>
              </w:rPr>
            </w:pPr>
          </w:p>
          <w:p w14:paraId="0303C93D" w14:textId="4D8A389D" w:rsidR="006056E0" w:rsidRPr="00A24317" w:rsidRDefault="00CB43B4" w:rsidP="00A24317">
            <w:pPr>
              <w:suppressAutoHyphens w:val="0"/>
              <w:rPr>
                <w:lang w:val="en-US"/>
              </w:rPr>
            </w:pPr>
            <w:r w:rsidRPr="00A24317">
              <w:rPr>
                <w:lang w:val="en-US"/>
              </w:rPr>
              <w:t>Original: English</w:t>
            </w:r>
          </w:p>
        </w:tc>
      </w:tr>
    </w:tbl>
    <w:p w14:paraId="52A69081" w14:textId="77777777" w:rsidR="00CB43B4" w:rsidRPr="0039421D" w:rsidRDefault="005B75E3" w:rsidP="00CB43B4">
      <w:pPr>
        <w:spacing w:before="120"/>
        <w:rPr>
          <w:b/>
          <w:bCs/>
          <w:sz w:val="24"/>
          <w:szCs w:val="24"/>
        </w:rPr>
      </w:pPr>
      <w:r w:rsidRPr="0039421D">
        <w:rPr>
          <w:b/>
          <w:sz w:val="24"/>
        </w:rPr>
        <w:t>Committee against Torture</w:t>
      </w:r>
    </w:p>
    <w:p w14:paraId="5B02988D" w14:textId="2845FCA3" w:rsidR="003B0B0F" w:rsidRPr="0039421D" w:rsidRDefault="00257838" w:rsidP="00CB43B4">
      <w:pPr>
        <w:spacing w:after="120"/>
        <w:rPr>
          <w:b/>
          <w:bCs/>
        </w:rPr>
      </w:pPr>
      <w:r w:rsidRPr="0039421D">
        <w:rPr>
          <w:b/>
          <w:bCs/>
        </w:rPr>
        <w:t>Sixty-fourth</w:t>
      </w:r>
      <w:r w:rsidR="003B0B0F" w:rsidRPr="0039421D">
        <w:rPr>
          <w:b/>
          <w:bCs/>
        </w:rPr>
        <w:t xml:space="preserve"> session</w:t>
      </w:r>
    </w:p>
    <w:p w14:paraId="0DA34473" w14:textId="311DF447" w:rsidR="003B0B0F" w:rsidRPr="0039421D" w:rsidRDefault="003B0B0F" w:rsidP="002E6AF8">
      <w:pPr>
        <w:rPr>
          <w:b/>
          <w:bCs/>
        </w:rPr>
      </w:pPr>
      <w:r w:rsidRPr="0039421D">
        <w:rPr>
          <w:b/>
          <w:bCs/>
        </w:rPr>
        <w:t xml:space="preserve">Summary record of the </w:t>
      </w:r>
      <w:r w:rsidR="003C1022" w:rsidRPr="0039421D">
        <w:rPr>
          <w:b/>
          <w:bCs/>
        </w:rPr>
        <w:t>1664</w:t>
      </w:r>
      <w:r w:rsidR="002E6AF8" w:rsidRPr="0039421D">
        <w:rPr>
          <w:b/>
          <w:bCs/>
        </w:rPr>
        <w:t xml:space="preserve">th </w:t>
      </w:r>
      <w:r w:rsidRPr="0039421D">
        <w:rPr>
          <w:b/>
          <w:bCs/>
        </w:rPr>
        <w:t>meeting</w:t>
      </w:r>
    </w:p>
    <w:p w14:paraId="4B85A07B" w14:textId="695E15DE" w:rsidR="003B0B0F" w:rsidRPr="0039421D" w:rsidRDefault="003B0B0F" w:rsidP="003C1022">
      <w:pPr>
        <w:spacing w:after="120"/>
      </w:pPr>
      <w:r w:rsidRPr="0039421D">
        <w:t xml:space="preserve">Held at the </w:t>
      </w:r>
      <w:r w:rsidR="00AE7729" w:rsidRPr="0039421D">
        <w:t>Palais Wilson, Geneva</w:t>
      </w:r>
      <w:r w:rsidRPr="0039421D">
        <w:t xml:space="preserve">, on </w:t>
      </w:r>
      <w:r w:rsidR="003C1022" w:rsidRPr="0039421D">
        <w:t>Mon</w:t>
      </w:r>
      <w:r w:rsidR="00AE7729" w:rsidRPr="0039421D">
        <w:t xml:space="preserve">day, </w:t>
      </w:r>
      <w:r w:rsidR="003C1022" w:rsidRPr="0039421D">
        <w:t>30</w:t>
      </w:r>
      <w:r w:rsidR="00AE7729" w:rsidRPr="0039421D">
        <w:t xml:space="preserve"> July 2018, at 10 a.m.</w:t>
      </w:r>
      <w:r w:rsidRPr="0039421D">
        <w:rPr>
          <w:color w:val="FF0000"/>
        </w:rPr>
        <w:t xml:space="preserve"> </w:t>
      </w:r>
    </w:p>
    <w:p w14:paraId="606A6B12" w14:textId="1C2F51AA" w:rsidR="003B0B0F" w:rsidRPr="0039421D" w:rsidRDefault="003B0B0F" w:rsidP="00AE7729">
      <w:pPr>
        <w:tabs>
          <w:tab w:val="left" w:pos="1134"/>
          <w:tab w:val="right" w:leader="dot" w:pos="8504"/>
        </w:tabs>
        <w:spacing w:after="120"/>
      </w:pPr>
      <w:r w:rsidRPr="0039421D">
        <w:rPr>
          <w:i/>
        </w:rPr>
        <w:t>Chair</w:t>
      </w:r>
      <w:r w:rsidRPr="0039421D">
        <w:t>:</w:t>
      </w:r>
      <w:r w:rsidRPr="0039421D">
        <w:tab/>
      </w:r>
      <w:r w:rsidR="00AE7729" w:rsidRPr="0039421D">
        <w:t>Mr. Modvig</w:t>
      </w:r>
    </w:p>
    <w:p w14:paraId="6D9A69F4" w14:textId="77777777" w:rsidR="003B0B0F" w:rsidRPr="0039421D" w:rsidRDefault="003B0B0F" w:rsidP="003B0B0F">
      <w:pPr>
        <w:tabs>
          <w:tab w:val="right" w:pos="992"/>
          <w:tab w:val="left" w:pos="1276"/>
          <w:tab w:val="right" w:leader="dot" w:pos="8504"/>
        </w:tabs>
        <w:spacing w:before="360" w:after="240"/>
        <w:rPr>
          <w:sz w:val="28"/>
        </w:rPr>
      </w:pPr>
      <w:r w:rsidRPr="0039421D">
        <w:rPr>
          <w:sz w:val="28"/>
        </w:rPr>
        <w:t>Contents</w:t>
      </w:r>
    </w:p>
    <w:p w14:paraId="57DF9C5E" w14:textId="2D301FBE" w:rsidR="00816A05" w:rsidRPr="0039421D" w:rsidRDefault="00816A05" w:rsidP="00483AFC">
      <w:pPr>
        <w:pStyle w:val="SingleTxtG"/>
        <w:jc w:val="left"/>
      </w:pPr>
      <w:r w:rsidRPr="0039421D">
        <w:t>Consideration of reports submitted by States parties under article 19 of the Convention (</w:t>
      </w:r>
      <w:r w:rsidRPr="0039421D">
        <w:rPr>
          <w:i/>
          <w:iCs/>
        </w:rPr>
        <w:t>continued</w:t>
      </w:r>
      <w:r w:rsidRPr="0039421D">
        <w:t>)</w:t>
      </w:r>
    </w:p>
    <w:p w14:paraId="27EF72F7" w14:textId="281A4207" w:rsidR="001516E8" w:rsidRPr="0039421D" w:rsidRDefault="001516E8" w:rsidP="001516E8">
      <w:pPr>
        <w:pStyle w:val="SingleTxtG"/>
        <w:jc w:val="left"/>
        <w:rPr>
          <w:i/>
          <w:iCs/>
          <w:sz w:val="16"/>
          <w:szCs w:val="16"/>
        </w:rPr>
      </w:pPr>
      <w:r w:rsidRPr="0039421D">
        <w:tab/>
      </w:r>
      <w:r w:rsidR="007C3B86" w:rsidRPr="0039421D">
        <w:rPr>
          <w:i/>
          <w:iCs/>
        </w:rPr>
        <w:t xml:space="preserve">Initial </w:t>
      </w:r>
      <w:r w:rsidR="00816A05" w:rsidRPr="0039421D">
        <w:rPr>
          <w:i/>
          <w:iCs/>
        </w:rPr>
        <w:t xml:space="preserve">report of </w:t>
      </w:r>
      <w:r w:rsidR="007C3B86" w:rsidRPr="0039421D">
        <w:rPr>
          <w:i/>
          <w:iCs/>
        </w:rPr>
        <w:t>Seychelles</w:t>
      </w:r>
      <w:r w:rsidR="00816A05" w:rsidRPr="0039421D">
        <w:rPr>
          <w:i/>
          <w:iCs/>
          <w:sz w:val="16"/>
          <w:szCs w:val="16"/>
        </w:rPr>
        <w:t xml:space="preserve"> </w:t>
      </w:r>
    </w:p>
    <w:p w14:paraId="75B035D2" w14:textId="71563996" w:rsidR="00B81BFF" w:rsidRPr="0039421D" w:rsidRDefault="000C2BDC" w:rsidP="001516E8">
      <w:pPr>
        <w:pStyle w:val="SingleTxtG"/>
        <w:jc w:val="left"/>
        <w:rPr>
          <w:sz w:val="24"/>
          <w:szCs w:val="24"/>
        </w:rPr>
      </w:pPr>
      <w:r w:rsidRPr="0039421D">
        <w:br w:type="page"/>
      </w:r>
    </w:p>
    <w:p w14:paraId="6FE71D33" w14:textId="70269C3B" w:rsidR="00EE6E27" w:rsidRPr="0039421D" w:rsidRDefault="00EE6E27" w:rsidP="00EE6E27">
      <w:pPr>
        <w:pStyle w:val="SingleTxtG"/>
      </w:pPr>
      <w:r w:rsidRPr="0039421D">
        <w:rPr>
          <w:i/>
          <w:iCs/>
        </w:rPr>
        <w:lastRenderedPageBreak/>
        <w:t>The meeting was called to order at 10 a.m.</w:t>
      </w:r>
    </w:p>
    <w:p w14:paraId="48BEE9E7" w14:textId="22A05FCB" w:rsidR="00EE6E27" w:rsidRPr="0039421D" w:rsidRDefault="00EE6E27" w:rsidP="00EE6E27">
      <w:pPr>
        <w:pStyle w:val="H23G"/>
        <w:rPr>
          <w:b w:val="0"/>
          <w:bCs/>
        </w:rPr>
      </w:pPr>
      <w:r w:rsidRPr="0039421D">
        <w:tab/>
      </w:r>
      <w:r w:rsidRPr="0039421D">
        <w:tab/>
        <w:t xml:space="preserve">Consideration of reports submitted by States parties under article 19 of the Convention </w:t>
      </w:r>
      <w:r w:rsidRPr="0039421D">
        <w:rPr>
          <w:b w:val="0"/>
          <w:bCs/>
        </w:rPr>
        <w:t>(</w:t>
      </w:r>
      <w:r w:rsidRPr="0039421D">
        <w:rPr>
          <w:b w:val="0"/>
          <w:bCs/>
          <w:i/>
          <w:iCs/>
        </w:rPr>
        <w:t>continued</w:t>
      </w:r>
      <w:r w:rsidRPr="0039421D">
        <w:rPr>
          <w:b w:val="0"/>
          <w:bCs/>
        </w:rPr>
        <w:t>)</w:t>
      </w:r>
    </w:p>
    <w:p w14:paraId="5F201B68" w14:textId="5E2503D8" w:rsidR="00EE6E27" w:rsidRPr="0039421D" w:rsidRDefault="00EE6E27" w:rsidP="00EE6E27">
      <w:pPr>
        <w:pStyle w:val="SingleTxtG"/>
      </w:pPr>
      <w:r w:rsidRPr="0039421D">
        <w:tab/>
      </w:r>
      <w:r w:rsidRPr="0039421D">
        <w:rPr>
          <w:i/>
          <w:iCs/>
        </w:rPr>
        <w:t>Initial report of Seychelles</w:t>
      </w:r>
      <w:r w:rsidRPr="0039421D">
        <w:t xml:space="preserve"> (</w:t>
      </w:r>
      <w:hyperlink r:id="rId9" w:history="1">
        <w:r w:rsidRPr="0039421D">
          <w:rPr>
            <w:rStyle w:val="Hyperlink"/>
          </w:rPr>
          <w:t>CAT/C/SYC/1</w:t>
        </w:r>
      </w:hyperlink>
      <w:r w:rsidRPr="0039421D">
        <w:t>)</w:t>
      </w:r>
    </w:p>
    <w:p w14:paraId="6DC85279" w14:textId="64FA835D" w:rsidR="00EE6E27" w:rsidRPr="0039421D" w:rsidRDefault="00EE6E27" w:rsidP="00B66502">
      <w:pPr>
        <w:pStyle w:val="ParNoG"/>
        <w:rPr>
          <w:i/>
          <w:iCs/>
        </w:rPr>
      </w:pPr>
      <w:r w:rsidRPr="0039421D">
        <w:rPr>
          <w:i/>
          <w:iCs/>
        </w:rPr>
        <w:t>At the invitation of the Chair, the delegation of Seychelles</w:t>
      </w:r>
      <w:r w:rsidR="0039303F" w:rsidRPr="0039421D">
        <w:rPr>
          <w:i/>
          <w:iCs/>
        </w:rPr>
        <w:t xml:space="preserve"> </w:t>
      </w:r>
      <w:r w:rsidRPr="0039421D">
        <w:rPr>
          <w:i/>
          <w:iCs/>
        </w:rPr>
        <w:t>joined the meeting via video link.</w:t>
      </w:r>
    </w:p>
    <w:p w14:paraId="3910E92A" w14:textId="3706E118" w:rsidR="00EE6E27" w:rsidRPr="0039421D" w:rsidRDefault="00EE6E27" w:rsidP="00B66502">
      <w:pPr>
        <w:pStyle w:val="ParNoG"/>
        <w:tabs>
          <w:tab w:val="clear" w:pos="1701"/>
        </w:tabs>
      </w:pPr>
      <w:r w:rsidRPr="0039421D">
        <w:rPr>
          <w:b/>
          <w:bCs/>
        </w:rPr>
        <w:t>Mr. St. Ange</w:t>
      </w:r>
      <w:r w:rsidRPr="0039421D">
        <w:t xml:space="preserve"> (Seychelles) said that he regretted the delay in submission of his country</w:t>
      </w:r>
      <w:r w:rsidR="00206B75">
        <w:t>’</w:t>
      </w:r>
      <w:r w:rsidRPr="0039421D">
        <w:t>s initial report (</w:t>
      </w:r>
      <w:hyperlink r:id="rId10" w:history="1">
        <w:r w:rsidRPr="0039421D">
          <w:rPr>
            <w:rStyle w:val="Hyperlink"/>
          </w:rPr>
          <w:t>CAT/C/SYC/1</w:t>
        </w:r>
      </w:hyperlink>
      <w:r w:rsidRPr="0039421D">
        <w:t>) to the Committee and wished to affirm his Government</w:t>
      </w:r>
      <w:r w:rsidR="00206B75">
        <w:t>’</w:t>
      </w:r>
      <w:r w:rsidRPr="0039421D">
        <w:t>s willingness, with the appropriate support, to meet its obligations under the Convention. His Government faced financial and human resource constraints, which sometimes made it difficult to fulfil its many re</w:t>
      </w:r>
      <w:r w:rsidR="003C3B4D" w:rsidRPr="0039421D">
        <w:t>porting obligations as a State p</w:t>
      </w:r>
      <w:r w:rsidRPr="0039421D">
        <w:t xml:space="preserve">arty to the nine core human rights instruments. Efforts to address those constraints included the establishment, in 2012, of the Seychelles Human Rights Treaty Committee, which comprised representatives from relevant ministries and non-governmental organizations (NGOs) and was responsible for oversight of international reporting obligations. </w:t>
      </w:r>
    </w:p>
    <w:p w14:paraId="58CDB7D0" w14:textId="21E648B2" w:rsidR="00EE6E27" w:rsidRPr="0039421D" w:rsidRDefault="003C3B4D" w:rsidP="00B66502">
      <w:pPr>
        <w:pStyle w:val="ParNoG"/>
        <w:tabs>
          <w:tab w:val="clear" w:pos="1701"/>
        </w:tabs>
      </w:pPr>
      <w:r w:rsidRPr="0039421D">
        <w:t>Seychelles was a multi</w:t>
      </w:r>
      <w:r w:rsidR="00EE6E27" w:rsidRPr="0039421D">
        <w:t>party democracy with a strong culture of respect for human rights, equality and non-discrimination. It had no indigenous population, but was a country founded by settlers and migrants of different races and cultures. Chapter III of the Constitution, adopted in 1993, contained the Seychellois Charter of Fundamental Human Rights and Freedoms, article 16 of which established that every person had the right to be treated with dignity and the right not to be subjected to torture or cruel, inhuman or degrading treatment or punishment. No derogations were permitted from that article. The Constitution provided for remedies for contraventions of the rights and freedoms enshrined in the Charter.</w:t>
      </w:r>
    </w:p>
    <w:p w14:paraId="6711924F" w14:textId="77777777" w:rsidR="00EE6E27" w:rsidRPr="0039421D" w:rsidRDefault="00EE6E27" w:rsidP="00B66502">
      <w:pPr>
        <w:pStyle w:val="ParNoG"/>
        <w:tabs>
          <w:tab w:val="clear" w:pos="1701"/>
        </w:tabs>
      </w:pPr>
      <w:r w:rsidRPr="0039421D">
        <w:t>To ensure that torture, as defined in the Convention, was illegal and prosecutable in Seychelles, the Police Force Act and the Prisons Act were being revised with a view to strengthening operating procedures and infrastructure. Potential breaches of the Convention were investigated by commissions of inquiry established by the President of the Republic. The commissions investigated the conduct of public officials and carried out inquiries on other matters relating to the public service and other matters of public interest or concern. Matters relating to fundamental rights and freedoms provided for in the Constitution could also be investigated by the Ombudsman, and the National Human Rights Commission was empowered to investigate written complaints of alleged human rights violations.</w:t>
      </w:r>
    </w:p>
    <w:p w14:paraId="2826C22F" w14:textId="77777777" w:rsidR="00EE6E27" w:rsidRPr="0039421D" w:rsidRDefault="00EE6E27" w:rsidP="00B66502">
      <w:pPr>
        <w:pStyle w:val="ParNoG"/>
        <w:tabs>
          <w:tab w:val="clear" w:pos="1701"/>
        </w:tabs>
      </w:pPr>
      <w:r w:rsidRPr="0039421D">
        <w:t>While much had been done to ensure that all peoples in Seychelles were afforded protection and proper treatment as provided under the Constitution, challenges to the effective implementation of the Convention remained. Strengthening the capacity of public servants was crucial in order to address those challenges effectively. As a small country with limited resources, Seychelles welcomed the technical support of national and international partners in raising awareness of the Convention. His Government would continue to cooperate with the human rights mechanisms of both regional bodies and the United Nations, including special procedures mandate holders, whose visits it welcomed.</w:t>
      </w:r>
    </w:p>
    <w:p w14:paraId="71F4449C" w14:textId="071E430D" w:rsidR="00EE6E27" w:rsidRPr="0039421D" w:rsidRDefault="00EE6E27" w:rsidP="00B66502">
      <w:pPr>
        <w:pStyle w:val="ParNoG"/>
        <w:tabs>
          <w:tab w:val="clear" w:pos="1701"/>
        </w:tabs>
      </w:pPr>
      <w:r w:rsidRPr="0039421D">
        <w:rPr>
          <w:b/>
          <w:bCs/>
        </w:rPr>
        <w:t>Mr. Hani</w:t>
      </w:r>
      <w:r w:rsidRPr="0039421D">
        <w:t xml:space="preserve"> (Country Rapporteur), welcoming the State party</w:t>
      </w:r>
      <w:r w:rsidR="00206B75">
        <w:t>’</w:t>
      </w:r>
      <w:r w:rsidRPr="0039421D">
        <w:t xml:space="preserve">s willingness to interact with the Committee and other human rights mechanisms, said that he would like information on any cases in which the Convention had been invoked before domestic courts, in keeping with article 48 of the Constitution, which required the courts to take into consideration the international instruments ratified by Seychelles when interpreting the provisions of the Charter of Fundamental Human Rights and Freedoms. The delegation had indicated that the provisions of ratified international instruments were not directly applicable in Seychelles and that domestic law contained no definition of torture; he wished to know whether the State party intended to take steps to define and criminalize the offence of torture in its Penal Code and establish penalties commensurate with the gravity of the offence, in line with articles 1 and 4 of the Convention. Details would be appreciated regarding the offences that might currently, under the Penal Code, be considered to constitute torture or cruel, inhuman or degrading treatment. Examples of any related </w:t>
      </w:r>
      <w:r w:rsidR="00215DDA" w:rsidRPr="0039421D">
        <w:t>jurisprudence would be helpful.</w:t>
      </w:r>
    </w:p>
    <w:p w14:paraId="42F91613" w14:textId="20B7CA8E" w:rsidR="00EE6E27" w:rsidRPr="0039421D" w:rsidRDefault="00EE6E27" w:rsidP="00B66502">
      <w:pPr>
        <w:pStyle w:val="ParNoG"/>
        <w:tabs>
          <w:tab w:val="clear" w:pos="1701"/>
        </w:tabs>
      </w:pPr>
      <w:r w:rsidRPr="0039421D">
        <w:lastRenderedPageBreak/>
        <w:t xml:space="preserve">With regard to jurisprudence from the Constitutional Court, he would be grateful if the delegation could provide information on any cases other than that of </w:t>
      </w:r>
      <w:r w:rsidRPr="0039421D">
        <w:rPr>
          <w:i/>
          <w:iCs/>
        </w:rPr>
        <w:t>Ponnoo v. Attorney General</w:t>
      </w:r>
      <w:r w:rsidRPr="0039421D" w:rsidDel="00126965">
        <w:t xml:space="preserve"> </w:t>
      </w:r>
      <w:r w:rsidRPr="0039421D">
        <w:t>(2010), cited in the initial report, and indicate whether the jurisprudence of the Constitutional Court was followed by other courts. Regarding the cases of Mervyn Pierre, Robert Banane and Steve Khan, mentioned in paragraph 40 of the report, he would like to know the offences for which the perpetrators had been prosecuted and the outcome, including the sentences handed down. An update on the case of Kevin Bristol would also be appreciated.</w:t>
      </w:r>
    </w:p>
    <w:p w14:paraId="68D0A50D" w14:textId="052517A5" w:rsidR="00EE6E27" w:rsidRPr="0039421D" w:rsidRDefault="00EE6E27" w:rsidP="00B66502">
      <w:pPr>
        <w:pStyle w:val="ParNoG"/>
        <w:tabs>
          <w:tab w:val="clear" w:pos="1701"/>
        </w:tabs>
      </w:pPr>
      <w:r w:rsidRPr="0039421D">
        <w:t>He would like clarification as to whether the order of a superior could be used to justify torture. In the light of reports that the armed forces had been used to perform police operations in the State party, including arrests, he wondered whether the non-derogable nature of article 16 of the Constitution was respected in such cases. He noted that the State party</w:t>
      </w:r>
      <w:r w:rsidR="00206B75">
        <w:t>’</w:t>
      </w:r>
      <w:r w:rsidRPr="0039421D">
        <w:t>s Constitution provided for retroactive effect of the law for the crime of genocide and crimes against humanity and wished to know whether the same applied to the crime of torture. It would also be useful to know whether torture was considered an imprescriptible offence.</w:t>
      </w:r>
    </w:p>
    <w:p w14:paraId="2758CEDF" w14:textId="398B4BC6" w:rsidR="00EE6E27" w:rsidRPr="0039421D" w:rsidRDefault="00EE6E27" w:rsidP="00B06FA2">
      <w:pPr>
        <w:pStyle w:val="ParNoG"/>
        <w:tabs>
          <w:tab w:val="clear" w:pos="1701"/>
        </w:tabs>
      </w:pPr>
      <w:r w:rsidRPr="0039421D">
        <w:t xml:space="preserve">The Constitution of Seychelles and the Penal Code provided for a certain number of fundamental legal safeguards during arrest and detention. However, some of the provisions appeared to be overly flexible. </w:t>
      </w:r>
      <w:r w:rsidR="00B06FA2">
        <w:t>An example was</w:t>
      </w:r>
      <w:r w:rsidRPr="0039421D">
        <w:t xml:space="preserve"> the requirement set out in article 18 of the Constitution to inform a person under arrest of the charge against him or her </w:t>
      </w:r>
      <w:r w:rsidR="00206B75">
        <w:t>“</w:t>
      </w:r>
      <w:r w:rsidRPr="0039421D">
        <w:t>at the time of arrest or detention or as soon as is reasonably practicable thereafter</w:t>
      </w:r>
      <w:r w:rsidR="00206B75">
        <w:t>”</w:t>
      </w:r>
      <w:r w:rsidRPr="0039421D">
        <w:t>. The same article was not clear about the presence, as early as possible, of an attorney of the accused</w:t>
      </w:r>
      <w:r w:rsidR="00206B75">
        <w:t>’</w:t>
      </w:r>
      <w:r w:rsidRPr="0039421D">
        <w:t>s choice. The article provided that in the case of arrest of a minor, the accused had the right to contact his or her family. He wondered if that also applied in the case of a person who was not a minor. Alternate sources suggested that the 24-hour limit for holding a person in detention without charges was not respected and that people were sometimes held for as long as</w:t>
      </w:r>
      <w:r w:rsidR="003C3B4D" w:rsidRPr="0039421D">
        <w:t xml:space="preserve"> </w:t>
      </w:r>
      <w:r w:rsidRPr="0039421D">
        <w:t>14 days. Certain reports also indicated that prisoners</w:t>
      </w:r>
      <w:r w:rsidR="00206B75">
        <w:t>’</w:t>
      </w:r>
      <w:r w:rsidRPr="0039421D">
        <w:t xml:space="preserve"> right to health care was not fully respected in Seychelles. The Committee would welcome clarification regarding the application, in law and in practice, of the provisions guaranteeing those rights. </w:t>
      </w:r>
    </w:p>
    <w:p w14:paraId="1505111D" w14:textId="42375553" w:rsidR="00EE6E27" w:rsidRPr="0039421D" w:rsidRDefault="00EE6E27" w:rsidP="00B66502">
      <w:pPr>
        <w:pStyle w:val="ParNoG"/>
        <w:tabs>
          <w:tab w:val="clear" w:pos="1701"/>
        </w:tabs>
      </w:pPr>
      <w:r w:rsidRPr="0039421D">
        <w:t>Article 18</w:t>
      </w:r>
      <w:r w:rsidR="003C3B4D" w:rsidRPr="0039421D">
        <w:t xml:space="preserve"> </w:t>
      </w:r>
      <w:r w:rsidRPr="0039421D">
        <w:t>(8) of the Constitution provided that all persons in detention could appeal their detention to the Supreme Court. He would be grateful for statistics on recourse to that procedure and on the number of rulings in favour of the appellant. The report indicated that the interrogation of suspects in police custody was governed by the 1912 guidelines drawn up by the Judges of the King</w:t>
      </w:r>
      <w:r w:rsidR="00206B75">
        <w:t>’</w:t>
      </w:r>
      <w:r w:rsidRPr="0039421D">
        <w:t>s Bench in the United Kingdom. In cases of contradiction with the Criminal Procedural Code, he wondered whether the guidelines or the Code took precedence. He also wished to hear further details of the announced revision of the Police Force Act and the Prisons Act.</w:t>
      </w:r>
    </w:p>
    <w:p w14:paraId="7E6E3FAD" w14:textId="18317822" w:rsidR="00EE6E27" w:rsidRPr="0039421D" w:rsidRDefault="00EE6E27" w:rsidP="00B06FA2">
      <w:pPr>
        <w:pStyle w:val="ParNoG"/>
        <w:tabs>
          <w:tab w:val="clear" w:pos="1701"/>
        </w:tabs>
      </w:pPr>
      <w:r w:rsidRPr="0039421D">
        <w:t xml:space="preserve">He wished to know whether there was a register of violations of fundamental legal safeguards on arrest and in pretrial detention, whether proceedings had been initiated in any such cases and whether members of the armed forces participating in police operations respected legal safeguards with regard to arrest and detention. The State party reported that it was considering ratification of the Optional Protocol </w:t>
      </w:r>
      <w:r w:rsidR="0084497E" w:rsidRPr="0039421D">
        <w:t>to</w:t>
      </w:r>
      <w:r w:rsidRPr="0039421D">
        <w:t xml:space="preserve"> the Convention against Torture. The Committee would welcome details on the discussions and possible timeline for ratification. The report contained information on various supervisory institutions monitoring places of detention. The Committee would like to know the number of inspections of places of detention carried out by the Prison Advisory Board, the National Human Rights Institute, the Office of the Ombudsman and by NGOs. </w:t>
      </w:r>
    </w:p>
    <w:p w14:paraId="668DCE40" w14:textId="78878BA1" w:rsidR="00EE6E27" w:rsidRPr="0039421D" w:rsidRDefault="00EE6E27" w:rsidP="00B66502">
      <w:pPr>
        <w:pStyle w:val="ParNoG"/>
        <w:tabs>
          <w:tab w:val="clear" w:pos="1701"/>
        </w:tabs>
      </w:pPr>
      <w:r w:rsidRPr="0039421D">
        <w:t>Article 25 of the Constitution prohibited the extradition of any person in danger of being subjected to the death penalty. He wondered whether the State party</w:t>
      </w:r>
      <w:r w:rsidR="00206B75">
        <w:t>’</w:t>
      </w:r>
      <w:r w:rsidRPr="0039421D">
        <w:t xml:space="preserve">s legislation provided the same guarantee for persons in danger of torture or ill-treatment if extradited. The State party reported that there was no specific provision in its national legislation concerning the principle of non-refoulement, but that certain provisions of the Extradition Act of 1991 could be used to uphold the principle. Details concerning those provisions would be appreciated, as would examples of extraditions in which the individuals concerned had claimed they faced a risk of torture. </w:t>
      </w:r>
    </w:p>
    <w:p w14:paraId="692E5792" w14:textId="623E68C1" w:rsidR="00EE6E27" w:rsidRPr="0039421D" w:rsidRDefault="000A4B99" w:rsidP="00B66502">
      <w:pPr>
        <w:pStyle w:val="ParNoG"/>
        <w:tabs>
          <w:tab w:val="clear" w:pos="1701"/>
        </w:tabs>
      </w:pPr>
      <w:r w:rsidRPr="008D180F">
        <w:lastRenderedPageBreak/>
        <w:t>Noting that Seychelles was party to the 1951 Convention relating to the Status of Refugees, which contained a specific provision referring to non-refoulement, he said that information on the State party</w:t>
      </w:r>
      <w:r w:rsidR="00206B75">
        <w:t>’</w:t>
      </w:r>
      <w:r w:rsidRPr="008D180F">
        <w:t>s cooperation with the Office of the United Nations High Commissioner for Refugees (UNHCR) would be welcome. The Committee would like to receive statistics on the number of persons seeking asylum in Seychelles and on the numbers of those refused asylum and expelled. It would also be interesting to learn how many of the Chagossian people who had migrated to Seychelles from neighbouring islands had not been granted Seychelles nationality, what rights they enjoyed and whether any had been expelled from the country.</w:t>
      </w:r>
      <w:r w:rsidR="00EE6E27" w:rsidRPr="0039421D">
        <w:t xml:space="preserve"> </w:t>
      </w:r>
    </w:p>
    <w:p w14:paraId="31E27294" w14:textId="364EF181" w:rsidR="00EE6E27" w:rsidRPr="0039421D" w:rsidRDefault="00EE6E27" w:rsidP="00B66502">
      <w:pPr>
        <w:pStyle w:val="ParNoG"/>
        <w:tabs>
          <w:tab w:val="clear" w:pos="1701"/>
        </w:tabs>
      </w:pPr>
      <w:r w:rsidRPr="0039421D">
        <w:t>He would like to have more details, including statistics, of penalties imposed under the Defence Forces (Offences) Act, in particular that of confinement to barracks for periods of up to 180 days. If those penalties involved solitary confinement, they contravened international standards for such confinement.</w:t>
      </w:r>
    </w:p>
    <w:p w14:paraId="575258E1" w14:textId="7D96ED74" w:rsidR="00EE6E27" w:rsidRPr="0039421D" w:rsidRDefault="00EE6E27" w:rsidP="00B66502">
      <w:pPr>
        <w:pStyle w:val="ParNoG"/>
        <w:tabs>
          <w:tab w:val="clear" w:pos="1701"/>
        </w:tabs>
      </w:pPr>
      <w:r w:rsidRPr="0039421D">
        <w:t>The State party had indicated that all crimes committed within the national territory, including that of torture, were under its jurisdiction, whether or not the author of the crime was Seychellois or not, and that its jurisdiction extended to crimes committed on boats or aeroplanes registered in Seychelles. He would like more details on how it exercised that jurisdiction in practice. He would also welcome a comment on the State party</w:t>
      </w:r>
      <w:r w:rsidR="00206B75">
        <w:t>’</w:t>
      </w:r>
      <w:r w:rsidRPr="0039421D">
        <w:t xml:space="preserve">s willingness and capacity to exercise universal jurisdiction, as provided for by the Convention, in cases where the perpetrator of a crime of torture committed in another country was present on the national territory, and where neither the perpetrator nor the victim was a national of Seychelles. Had the State party ever been confronted with such a situation? </w:t>
      </w:r>
    </w:p>
    <w:p w14:paraId="0D2883A9" w14:textId="7A94F9F2" w:rsidR="00EE6E27" w:rsidRPr="0039421D" w:rsidRDefault="00EE6E27" w:rsidP="000A4B99">
      <w:pPr>
        <w:pStyle w:val="ParNoG"/>
        <w:tabs>
          <w:tab w:val="clear" w:pos="1701"/>
        </w:tabs>
      </w:pPr>
      <w:r w:rsidRPr="0039421D">
        <w:rPr>
          <w:b/>
          <w:bCs/>
        </w:rPr>
        <w:t>Mr. Tuzmukhamedov</w:t>
      </w:r>
      <w:r w:rsidRPr="0039421D">
        <w:t xml:space="preserve"> (Country Rapporteur) said that the Committee would welcome details of any training programmes developed by the State party to ensure that all law enforcement personnel, prison staff, and immigration officers were fully aware of the obligations imposed by the Convention, and of any in-built evaluation mechanisms that had been developed to assess the effectiveness of the programmes. It would also like to hear about any training programmes for judges, prosecutors, forensic experts and medical personnel to equip them to detect and document physical and psychological evidence of torture, in line with the Manual on the Effective Investigation and Documentation of Torture and Other Cruel, Inhuman or Degrading Treatment or Punishment (Istanbul Protocol). In addition, the Committee would like information on training for law enforcement officers and judges with regard to managing terrorist threats and acts of terrorism and also on the rights of persons suspected or convicted of acts of terrorism.</w:t>
      </w:r>
    </w:p>
    <w:p w14:paraId="664FAEA7" w14:textId="7F52F26D" w:rsidR="00EE6E27" w:rsidRPr="0039421D" w:rsidRDefault="00EE6E27" w:rsidP="00B66502">
      <w:pPr>
        <w:pStyle w:val="ParNoG"/>
        <w:tabs>
          <w:tab w:val="clear" w:pos="1701"/>
        </w:tabs>
      </w:pPr>
      <w:r w:rsidRPr="0039421D">
        <w:t>The Committee would be grateful if the delegation would provide information on the rules governing arrest, interrogation and custody, especially those introduced or revised since the entry into force of the Convention for the State party. Specifically, the Committee wished to learn about provisions of those rules designed to prevent torture. Information on measures taken to palliate prison overcrowding, including measures to encourage alternatives to custodial sentences, would also be appreciated. The information should include disaggregated statistics giving the ethnic origin and numbers of convicted, remand and pretrial detainees, and provide the occupancy rates of all places of detention. The Committee would be grateful if the delegation could provide details of measures taken t</w:t>
      </w:r>
      <w:r w:rsidR="0084497E" w:rsidRPr="0039421D">
        <w:t>o improve conditions and health-</w:t>
      </w:r>
      <w:r w:rsidRPr="0039421D">
        <w:t>care provision in prisons, including for prisoners with HIV/AIDS or other diseases; on measures taken to put an end to prolonged pretrial detention; on efforts made to meet the needs of minors, women and persons with mental and psychological disorders in detention; and on measures taken to separate male detainees from female detainees, pretrial detainees from convicted prisoners, and adults from minors in all places of detention. It would also be useful to have information on the frequency of prison violence and on the number of related complaints made in that connection and the outcomes thereof.</w:t>
      </w:r>
    </w:p>
    <w:p w14:paraId="19EC28B8" w14:textId="378B7ADF" w:rsidR="00EE6E27" w:rsidRPr="0039421D" w:rsidRDefault="00EE6E27" w:rsidP="00B66502">
      <w:pPr>
        <w:pStyle w:val="ParNoG"/>
        <w:tabs>
          <w:tab w:val="clear" w:pos="1701"/>
        </w:tabs>
      </w:pPr>
      <w:r w:rsidRPr="0039421D">
        <w:t xml:space="preserve">He would welcome a clarification of the purpose of the </w:t>
      </w:r>
      <w:r w:rsidR="00206B75">
        <w:t>“</w:t>
      </w:r>
      <w:r w:rsidRPr="0039421D">
        <w:t>special prisons</w:t>
      </w:r>
      <w:r w:rsidR="00206B75">
        <w:t>”</w:t>
      </w:r>
      <w:r w:rsidRPr="0039421D">
        <w:t xml:space="preserve"> that the Prisons Act authorized the President to establish. In addition, he recalled that at the height of the problem of piracy in the Indian Ocean, the Government of Seychelles had agreed to hold captured suspected pirates in detention on the national territory; he would like information on the detention conditions of any such persons still being held by Seychelles. </w:t>
      </w:r>
    </w:p>
    <w:p w14:paraId="13E2CB7A" w14:textId="53F1E7A9" w:rsidR="00EE6E27" w:rsidRPr="0039421D" w:rsidRDefault="00EE6E27" w:rsidP="00B66502">
      <w:pPr>
        <w:pStyle w:val="ParNoG"/>
        <w:tabs>
          <w:tab w:val="clear" w:pos="1701"/>
        </w:tabs>
      </w:pPr>
      <w:r w:rsidRPr="0039421D">
        <w:lastRenderedPageBreak/>
        <w:t xml:space="preserve"> While the Office of the Ombudsman was empowered to assist complainants with legal proceedings relating to contraventions of the Seychellois Charter of Fundamental Human Rights and Freedoms, it did not appear to have the capacity to investigate complaints of torture. Furthermore, the Police Act did not appear to provide for any board, commission or other authority to handle complaints of torture filed by civilians against police officers.</w:t>
      </w:r>
      <w:r w:rsidRPr="0039421D" w:rsidDel="00590687">
        <w:t xml:space="preserve"> </w:t>
      </w:r>
      <w:r w:rsidRPr="0039421D">
        <w:t>The Prison Advisory Board</w:t>
      </w:r>
      <w:r w:rsidR="00206B75">
        <w:t>’</w:t>
      </w:r>
      <w:r w:rsidRPr="0039421D">
        <w:t>s remit did include investigation of complaints relating to prison welfare, but it was unclear whether that mandate extended to the investigation of cases of torture or ill-treatment. Had the Board ever investigated any such cases? If so, what disciplinary and remedial action had been taken as a result? He wished to know whether the State party intended to establish an independent and impartial body to investigate allegations of torture or ill-treatment committed by police, security or prison personnel and to introduce an effective complaints mechanism for persons deprived of their liberty.</w:t>
      </w:r>
    </w:p>
    <w:p w14:paraId="7EA4B65F" w14:textId="19AACD22" w:rsidR="00EE6E27" w:rsidRPr="0039421D" w:rsidRDefault="00EE6E27" w:rsidP="00B66502">
      <w:pPr>
        <w:pStyle w:val="ParNoG"/>
        <w:tabs>
          <w:tab w:val="clear" w:pos="1701"/>
        </w:tabs>
      </w:pPr>
      <w:r w:rsidRPr="0039421D">
        <w:t>He would be grateful if the delegation would provide statistical data, disaggregated by sex, age, ethnic or national origin and place of detention, on complaints of torture, ill-treatment or excessive use of force recorded during the period covered by the report, together with information on investigations of allegations of torture and ill-treatment, disciplinary and criminal proceedings undertaken as a result, convictions, and criminal or disciplinary sanctions imposed. Examples of relevant cases and judicial decisions</w:t>
      </w:r>
      <w:r w:rsidRPr="0039421D" w:rsidDel="005437F1">
        <w:t xml:space="preserve"> </w:t>
      </w:r>
      <w:r w:rsidRPr="0039421D">
        <w:t>would be appreciated. It would also be useful to have statistics on applications for compensation by victims of torture and on the amount of compensation awarded in each case, as well as information on the material, human and financial resources allocated to existing victim reparations and rehabilitation programmes.</w:t>
      </w:r>
    </w:p>
    <w:p w14:paraId="0FF55D6A" w14:textId="488C57DC" w:rsidR="00EE6E27" w:rsidRPr="0039421D" w:rsidRDefault="00EE6E27" w:rsidP="00B66502">
      <w:pPr>
        <w:pStyle w:val="ParNoG"/>
        <w:tabs>
          <w:tab w:val="clear" w:pos="1701"/>
        </w:tabs>
      </w:pPr>
      <w:r w:rsidRPr="0039421D">
        <w:t xml:space="preserve">He was concerned that the Criminal Procedure Code did not contain an explicit provision establishing the inadmissibility of confessions obtained through torture and would like to know what measures were in place to ensure that such confessions could not be used as evidence in a court proceeding. He also wished to know whether the authorities had identified, investigated and prosecuted any officials who had extracted confessions through torture. Noting that the Criminal Procedure Code and the Prisons Act contained explicit references to the death penalty as a form of punishment, he asked what efforts would be made to bring those two pieces of legislation into line with the constitutional stipulation that no law could provide for a sentence of death to be imposed by any court. </w:t>
      </w:r>
    </w:p>
    <w:p w14:paraId="530D6B92" w14:textId="7FD8BC66" w:rsidR="00EE6E27" w:rsidRPr="0039421D" w:rsidRDefault="00EE6E27" w:rsidP="00B66502">
      <w:pPr>
        <w:pStyle w:val="ParNoG"/>
        <w:tabs>
          <w:tab w:val="clear" w:pos="1701"/>
        </w:tabs>
      </w:pPr>
      <w:r w:rsidRPr="0039421D">
        <w:t>He would like further information regarding the application of the Family Violence (Protection of Victims) Act and the Children</w:t>
      </w:r>
      <w:r w:rsidR="00206B75">
        <w:t>’</w:t>
      </w:r>
      <w:r w:rsidRPr="0039421D">
        <w:t xml:space="preserve">s Act. He would also like to know whether the State party intended to raise the minimum age of criminal responsibility, which was currently 7; prohibit corporal punishment in all settings, especially for children with disabilities; and introduce protection measures for children living on the streets. Lastly, he was concerned by reports of deplorable working and living conditions among migrant workers in Seychelles and encouraged the authorities to take disciplinary action against companies found to be mistreating their foreign employees. </w:t>
      </w:r>
    </w:p>
    <w:p w14:paraId="44E4A57E" w14:textId="5069FF5F" w:rsidR="00EE6E27" w:rsidRPr="0039421D" w:rsidRDefault="00EE6E27" w:rsidP="00B66502">
      <w:pPr>
        <w:pStyle w:val="ParNoG"/>
        <w:tabs>
          <w:tab w:val="clear" w:pos="1701"/>
        </w:tabs>
      </w:pPr>
      <w:r w:rsidRPr="0039421D">
        <w:rPr>
          <w:b/>
          <w:bCs/>
        </w:rPr>
        <w:t>Ms. Gaer</w:t>
      </w:r>
      <w:r w:rsidRPr="0039421D">
        <w:t>, noting that the national prison population had reportedly grown by 93 per cent in recent years, said that she would be interested in hearing the delegation</w:t>
      </w:r>
      <w:r w:rsidR="00206B75">
        <w:t>’</w:t>
      </w:r>
      <w:r w:rsidRPr="0039421D">
        <w:t>s views on the reasons for that increase, which was undoubtedly contributing to problems such as prison overcrowding. She would also appreciate further information concerning the investigation into the rape of a detainee by a police officer, mentioned in paragraph 21 of the report, including whether the perpetrator had been dismissed from his post and imprisoned. An update on the status of the first case of human trafficking to be prosecuted in the State party would be welcome. In addition, she would like to know whether the authorities had investigated allegations that Seychelles immigration officials were allowing young w</w:t>
      </w:r>
      <w:r w:rsidR="009261D4" w:rsidRPr="0039421D">
        <w:t>ome</w:t>
      </w:r>
      <w:r w:rsidRPr="0039421D">
        <w:t>n who might be trafficking victims to be brought into the country by wealthy foreign visitors.</w:t>
      </w:r>
    </w:p>
    <w:p w14:paraId="12ADAA5E" w14:textId="4723C73E" w:rsidR="00EE6E27" w:rsidRPr="0039421D" w:rsidRDefault="00EE6E27" w:rsidP="00B66502">
      <w:pPr>
        <w:pStyle w:val="ParNoG"/>
        <w:tabs>
          <w:tab w:val="clear" w:pos="1701"/>
        </w:tabs>
      </w:pPr>
      <w:r w:rsidRPr="0039421D">
        <w:rPr>
          <w:b/>
          <w:bCs/>
        </w:rPr>
        <w:t>Mr. Rodríguez-Pinzón</w:t>
      </w:r>
      <w:r w:rsidRPr="0039421D">
        <w:t xml:space="preserve"> said that he would like further clarification of the type of legal redress available to victims of torture and ill-treatment, including whether they had the right to seek both compensatory and punitive damages. He also wished to know whether victims of acts of torture committed by the police or security forces could bring civil claims against both the State and the perpetrator. </w:t>
      </w:r>
    </w:p>
    <w:p w14:paraId="2B6D9897" w14:textId="1EBFE2B9" w:rsidR="00EE6E27" w:rsidRPr="0039421D" w:rsidRDefault="00EE6E27" w:rsidP="00B66502">
      <w:pPr>
        <w:pStyle w:val="ParNoG"/>
        <w:tabs>
          <w:tab w:val="clear" w:pos="1701"/>
        </w:tabs>
      </w:pPr>
      <w:r w:rsidRPr="0039421D">
        <w:rPr>
          <w:b/>
          <w:bCs/>
        </w:rPr>
        <w:lastRenderedPageBreak/>
        <w:t>Ms. Belmir</w:t>
      </w:r>
      <w:r w:rsidRPr="0039421D">
        <w:t>, welcoming the State party</w:t>
      </w:r>
      <w:r w:rsidR="00206B75">
        <w:t>’</w:t>
      </w:r>
      <w:r w:rsidRPr="0039421D">
        <w:t xml:space="preserve">s efforts to strengthen the administration of justice, said that she would like to know more about the mandate and the work of the Anti-Corruption Commission and the role played by the Attorney General in that regard. </w:t>
      </w:r>
    </w:p>
    <w:p w14:paraId="2683946D" w14:textId="7B51BF81" w:rsidR="00EE6E27" w:rsidRPr="0039421D" w:rsidRDefault="00EE6E27" w:rsidP="00B66502">
      <w:pPr>
        <w:pStyle w:val="ParNoG"/>
        <w:tabs>
          <w:tab w:val="clear" w:pos="1701"/>
        </w:tabs>
      </w:pPr>
      <w:r w:rsidRPr="0039421D">
        <w:rPr>
          <w:b/>
          <w:bCs/>
        </w:rPr>
        <w:t>Ms. Racu</w:t>
      </w:r>
      <w:r w:rsidRPr="0039421D">
        <w:t xml:space="preserve"> said that she would like further information regarding the number of women in prison, including in pretrial detention, and regarding the efforts being made to improve their material conditions of detention. The Committee had been informed that no women had been included in the group of 78 prisoners pardoned by the President in 2016. She would appreciate a comment from the delegation in that regard. She would also appreciate information on the status and capacity of the new juvenile prison in Praslin and on the number of young persons in detention, including in pretrial detention. </w:t>
      </w:r>
    </w:p>
    <w:p w14:paraId="2E37CE46" w14:textId="67F8BB5F" w:rsidR="00DB2F98" w:rsidRPr="0039421D" w:rsidRDefault="00EE6E27" w:rsidP="00B66502">
      <w:pPr>
        <w:pStyle w:val="ParNoG"/>
        <w:tabs>
          <w:tab w:val="clear" w:pos="1701"/>
        </w:tabs>
      </w:pPr>
      <w:r w:rsidRPr="0039421D">
        <w:rPr>
          <w:b/>
          <w:bCs/>
        </w:rPr>
        <w:t>The Chair</w:t>
      </w:r>
      <w:r w:rsidRPr="0039421D">
        <w:t xml:space="preserve"> asked whether HIV and hepatitis C screening was carried out as part of the medical examinations conducted when prisoners arrived at a detention facility and whether the entire prison population was screened periodically. Detailed information on the number of prisoners with those two diseases and the number of new cases recorded during incarceration would be welcome. He would appreciate information on the measures to prevent and treat HIV and hepatitis C infection in prisons; in particular, how many prisoners with HIV received antiretroviral treatment? An update on the status of the prison methadone and needle exchange programmes would also be appreciated. He wondered whether prisoners in all three of the country</w:t>
      </w:r>
      <w:r w:rsidR="00206B75">
        <w:t>’</w:t>
      </w:r>
      <w:r w:rsidRPr="0039421D">
        <w:t>s prisons had equal access to health-care services and how many full-time prison doctors and nurses were employed by the Prison Service. Lastly, he would appreciate a comment on media reports of ill-treatment and lack of access to health care for suspected pirates detained in the Seychelles.</w:t>
      </w:r>
    </w:p>
    <w:p w14:paraId="20E1DC96" w14:textId="0A1EEC2B" w:rsidR="00EE6E27" w:rsidRPr="0039421D" w:rsidRDefault="00EE6E27" w:rsidP="00B66502">
      <w:pPr>
        <w:pStyle w:val="ParNoG"/>
        <w:tabs>
          <w:tab w:val="clear" w:pos="1701"/>
        </w:tabs>
      </w:pPr>
      <w:r w:rsidRPr="0039421D">
        <w:rPr>
          <w:b/>
          <w:bCs/>
        </w:rPr>
        <w:t>Mr. Hani</w:t>
      </w:r>
      <w:r w:rsidRPr="0039421D">
        <w:t xml:space="preserve"> asked whether a definition of torture in line with the definition in </w:t>
      </w:r>
      <w:r w:rsidR="009261D4" w:rsidRPr="0039421D">
        <w:t xml:space="preserve">the </w:t>
      </w:r>
      <w:r w:rsidRPr="0039421D">
        <w:t xml:space="preserve">Convention would be introduced as part of the ongoing reform of the Penal Code. He also wished to know whether the State party intended to ratify the Optional Protocol to the Convention against Torture. He welcomed the fact that the Government had translated the Convention on the Rights of the Child, the Convention on the Rights of Persons with Disabilities and the Convention on the Elimination of all Forms of Discrimination against Women into Creole and wondered whether it planned also to translate the Convention against Torture into Creole. </w:t>
      </w:r>
    </w:p>
    <w:p w14:paraId="13D828CF" w14:textId="15A5214C" w:rsidR="00EE6E27" w:rsidRPr="0039421D" w:rsidRDefault="00EE6E27" w:rsidP="00B66502">
      <w:pPr>
        <w:pStyle w:val="ParNoG"/>
        <w:tabs>
          <w:tab w:val="clear" w:pos="1701"/>
        </w:tabs>
      </w:pPr>
      <w:r w:rsidRPr="0039421D">
        <w:t xml:space="preserve">He was aware that in the past the State party had recruited foreign judges and magistrates, who were often employed on short, fixed-term contracts. He wondered whether the circumstances that had prompted it to do so persisted and what measures were taken to ensure the independence of such judges. Further information on the legal aid and assistance available to indigent persons would be welcome. </w:t>
      </w:r>
    </w:p>
    <w:p w14:paraId="66A23728" w14:textId="7AFB1BB9" w:rsidR="00EE6E27" w:rsidRPr="0039421D" w:rsidRDefault="00EE6E27" w:rsidP="00B66502">
      <w:pPr>
        <w:pStyle w:val="ParNoG"/>
        <w:tabs>
          <w:tab w:val="clear" w:pos="1701"/>
        </w:tabs>
      </w:pPr>
      <w:r w:rsidRPr="0039421D">
        <w:t xml:space="preserve">He would like clarification of the time limit for bringing an action before the Constitutional Court and of whether the limit applied to cases involving torture. From information in the public domain, he had learned that cases of violence against women had doubled, which would appear to indicate that the State had not taken adequate measures to address the problem. Might that be deemed an omission for which remedies could be sought from the Constitutional Court? </w:t>
      </w:r>
    </w:p>
    <w:p w14:paraId="782AEEF1" w14:textId="0E63947A" w:rsidR="00EE6E27" w:rsidRPr="0039421D" w:rsidRDefault="00EE6E27" w:rsidP="00B66502">
      <w:pPr>
        <w:pStyle w:val="ParNoG"/>
        <w:tabs>
          <w:tab w:val="clear" w:pos="1701"/>
        </w:tabs>
      </w:pPr>
      <w:r w:rsidRPr="0039421D">
        <w:t>He wondered whether Seychelles had taken steps to draft legislation on asylum. He would appreciate information about how, in the absence of such a law, asylum applications were processed, how deportation decisions were made, whether those affected had the right to seek judicial review and whether the State party had cooperated with the Office of the United Nations High Commissioner for Refugees to resettle asylum seekers in third countries that had agreed to receive them.</w:t>
      </w:r>
    </w:p>
    <w:p w14:paraId="221D8598" w14:textId="77777777" w:rsidR="00EE6E27" w:rsidRPr="0039421D" w:rsidRDefault="00EE6E27" w:rsidP="00B66502">
      <w:pPr>
        <w:pStyle w:val="ParNoG"/>
        <w:tabs>
          <w:tab w:val="clear" w:pos="1701"/>
        </w:tabs>
      </w:pPr>
      <w:r w:rsidRPr="0039421D">
        <w:rPr>
          <w:b/>
          <w:bCs/>
        </w:rPr>
        <w:t>Mr. Tuzmukhamedov</w:t>
      </w:r>
      <w:r w:rsidRPr="0039421D">
        <w:t xml:space="preserve">, recalling his earlier question about suspected pirates in custody in Seychelles, asked what would happen to any remaining suspects if the mandate of the European Union Naval Force Operation Atalanta (EU NAVFOR) were not extended beyond December 2018. </w:t>
      </w:r>
    </w:p>
    <w:p w14:paraId="619ADD60" w14:textId="77777777" w:rsidR="00EE6E27" w:rsidRPr="0039421D" w:rsidRDefault="00EE6E27" w:rsidP="00B66502">
      <w:pPr>
        <w:pStyle w:val="ParNoG"/>
        <w:tabs>
          <w:tab w:val="clear" w:pos="1701"/>
        </w:tabs>
      </w:pPr>
      <w:r w:rsidRPr="0039421D">
        <w:rPr>
          <w:b/>
          <w:bCs/>
        </w:rPr>
        <w:t>Mr. St. Ange</w:t>
      </w:r>
      <w:r w:rsidRPr="0039421D">
        <w:t xml:space="preserve"> (Seychelles) said that six of the suspected Somali pirates arrested under the EU NAVFOR operation were in remand detention in Victoria, and one convicted pirate was in prison, with three years of his sentence left to serve. The Committee might be interested to learn that that inmate had rejected the opportunity to be relocated to a prison </w:t>
      </w:r>
      <w:r w:rsidRPr="0039421D">
        <w:lastRenderedPageBreak/>
        <w:t>supervised by the United Nations Office on Drugs and Crime (UNODC) in Somalia, preferring to stay in Seychelles. A number of other inmates had decided to return to Somalia. If the six suspects were found guilty they would serve their sentence in Seychelles, although they could be repatriated if the Somali Government wished to have them back. They were visited regularly by an UNODC officer and had also been visited by Somali officials. They were provided with translation services and had not complained of their treatment.</w:t>
      </w:r>
    </w:p>
    <w:p w14:paraId="0D2B9ED2" w14:textId="77777777" w:rsidR="00EE6E27" w:rsidRPr="0039421D" w:rsidRDefault="00EE6E27" w:rsidP="00EE6E27">
      <w:pPr>
        <w:pStyle w:val="SingleTxtG"/>
        <w:rPr>
          <w:i/>
          <w:iCs/>
        </w:rPr>
      </w:pPr>
      <w:r w:rsidRPr="0039421D">
        <w:rPr>
          <w:i/>
          <w:iCs/>
        </w:rPr>
        <w:t>The meeting was suspended at noon and resumed at 12.30 p.m.</w:t>
      </w:r>
    </w:p>
    <w:p w14:paraId="5D7883D4" w14:textId="06338513" w:rsidR="00EE6E27" w:rsidRPr="0039421D" w:rsidRDefault="00EE6E27" w:rsidP="00344E25">
      <w:pPr>
        <w:pStyle w:val="ParNoG"/>
        <w:tabs>
          <w:tab w:val="clear" w:pos="1701"/>
        </w:tabs>
      </w:pPr>
      <w:r w:rsidRPr="0039421D">
        <w:rPr>
          <w:b/>
          <w:bCs/>
        </w:rPr>
        <w:t>Mr. Mondon</w:t>
      </w:r>
      <w:r w:rsidRPr="0039421D">
        <w:t xml:space="preserve"> (Seychelles) said that arrested persons were informed of the grounds for their arrest and of their right to silence and right to a lawyer. Minors were informed of the</w:t>
      </w:r>
      <w:r w:rsidR="00344E25">
        <w:t>ir</w:t>
      </w:r>
      <w:r w:rsidRPr="0039421D">
        <w:t xml:space="preserve"> right to contact their parents or legal guardians. Human rights training was provided to police officers.</w:t>
      </w:r>
    </w:p>
    <w:p w14:paraId="736635ED" w14:textId="77777777" w:rsidR="00EE6E27" w:rsidRPr="0039421D" w:rsidRDefault="00EE6E27" w:rsidP="00183C80">
      <w:pPr>
        <w:pStyle w:val="ParNoG"/>
        <w:tabs>
          <w:tab w:val="clear" w:pos="1701"/>
        </w:tabs>
      </w:pPr>
      <w:r w:rsidRPr="0039421D">
        <w:rPr>
          <w:b/>
          <w:bCs/>
        </w:rPr>
        <w:t>Mr. Thaver</w:t>
      </w:r>
      <w:r w:rsidRPr="0039421D">
        <w:t xml:space="preserve"> (Seychelles) said that the 24-hour detention limit was adhered to by police officers, unless the person was arrested over the weekend or during a public holiday, in which case the person was brought before a court as soon as was feasible. The 24-hour detention limit could only be extended to 14 days if the investigating officer lodged a specific application to a court under the relevant provision of the Criminal Procedure Code, with a detailed explanation of why more time was needed to complete the investigation. If a further extension was required, the investigating officer could submit a second application.</w:t>
      </w:r>
    </w:p>
    <w:p w14:paraId="332FC41A" w14:textId="438EF3DB" w:rsidR="00EE6E27" w:rsidRPr="0039421D" w:rsidRDefault="00EE6E27" w:rsidP="00183C80">
      <w:pPr>
        <w:pStyle w:val="ParNoG"/>
        <w:tabs>
          <w:tab w:val="clear" w:pos="1701"/>
        </w:tabs>
      </w:pPr>
      <w:r w:rsidRPr="0039421D">
        <w:rPr>
          <w:b/>
          <w:bCs/>
        </w:rPr>
        <w:t>Mr. Karunakaran</w:t>
      </w:r>
      <w:r w:rsidRPr="0039421D">
        <w:t xml:space="preserve"> (Seychelles) said that there had been very few requests for extradition from Seychelles. The issue of the risk of torture had not been raised in any of those cases. The Attorney General</w:t>
      </w:r>
      <w:r w:rsidR="00206B75">
        <w:t>’</w:t>
      </w:r>
      <w:r w:rsidRPr="0039421D">
        <w:t>s office provided human rights training to police officers; while the training was not specific to any international convention in particular, that could change under future legislation. There was no independent police body for receiving complaints from the public, but that function was covered by the National Human Rights Commission and the Ombudsman. While courts did not specifically enforce provisions on the prohibition of torture, judges paid close attention in their consideration of the admissibility of statements and evidence to whether they had been obtained in compliance with procedures. After the adoption of the new Constitution, steps had been taken to bring all legislation into line with its provisions, including removing any r</w:t>
      </w:r>
      <w:r w:rsidR="004D3D89" w:rsidRPr="0039421D">
        <w:t>eferences to the death penalty.</w:t>
      </w:r>
    </w:p>
    <w:p w14:paraId="4A82EECA" w14:textId="262E8868" w:rsidR="00EE6E27" w:rsidRPr="0039421D" w:rsidRDefault="00EE6E27" w:rsidP="00183C80">
      <w:pPr>
        <w:pStyle w:val="ParNoG"/>
        <w:tabs>
          <w:tab w:val="clear" w:pos="1701"/>
        </w:tabs>
      </w:pPr>
      <w:r w:rsidRPr="0039421D">
        <w:rPr>
          <w:b/>
          <w:bCs/>
        </w:rPr>
        <w:t>Mr. St. Ange</w:t>
      </w:r>
      <w:r w:rsidRPr="0039421D">
        <w:t xml:space="preserve"> (Seychelles) said that the total prison population in Seychelles numbered 393 detainees; of that total, 293 male and 14 fe</w:t>
      </w:r>
      <w:r w:rsidR="0039421D" w:rsidRPr="0039421D">
        <w:t xml:space="preserve">male inmates had been convicted. </w:t>
      </w:r>
      <w:r w:rsidRPr="0039421D">
        <w:t>The main prison, Montagne Posée, had one block for men, a separate block for women, a block for vulnerable detainees and a high-security block. While the women</w:t>
      </w:r>
      <w:r w:rsidR="00206B75">
        <w:t>’</w:t>
      </w:r>
      <w:r w:rsidRPr="0039421D">
        <w:t>s block had capacity for approximately 60 women, it was occupied by only 14. There was no overcrowding in any block of the prison. Some 26 detainees were being held at the pretrial detention centre in Vict</w:t>
      </w:r>
      <w:r w:rsidR="0039303F" w:rsidRPr="0039421D">
        <w:t>oria, which had capacity for 40–</w:t>
      </w:r>
      <w:r w:rsidRPr="0039421D">
        <w:t xml:space="preserve">50 inmates. The open prison on Coetivy Island had capacity for 100 inmates, but just 39 were serving their sentences there. The Phoenix rehabilitation project, open to both male and female inmates, consisted of three programmes. The first focused on educational, recreational, spiritual and religious activities and sport; over 200 inmates were enrolled. The second programme — which was open to those inmates having completed the first — allowed inmates to gain work experience outside prison; approximately 100 inmates were enrolled. Inmates enrolled in the second programme could also apply to transfer to the open prison on Coetivy Island in order to farm, fish and produce items for prison use. Under the third programme, inmates could seek a </w:t>
      </w:r>
      <w:r w:rsidR="00206B75">
        <w:t>“</w:t>
      </w:r>
      <w:r w:rsidRPr="0039421D">
        <w:t>licence to be at large</w:t>
      </w:r>
      <w:r w:rsidR="00206B75">
        <w:t>”</w:t>
      </w:r>
      <w:r w:rsidRPr="0039421D">
        <w:t xml:space="preserve"> and serve the remainder of their sentence outside prison; seven men and one woman were enrolled. One presidential pardon had been granted in 2018, on medical grounds. Work was currently under way to improve the pardons procedure. </w:t>
      </w:r>
    </w:p>
    <w:p w14:paraId="1C0F90F4" w14:textId="76CD43FF" w:rsidR="00EE6E27" w:rsidRPr="0039421D" w:rsidRDefault="00EE6E27" w:rsidP="00183C80">
      <w:pPr>
        <w:pStyle w:val="ParNoG"/>
        <w:tabs>
          <w:tab w:val="clear" w:pos="1701"/>
        </w:tabs>
      </w:pPr>
      <w:r w:rsidRPr="0039421D">
        <w:t>Marie Louise Island prison had closed down in 2017; the inmates had been transferred either to Montagne Posée prison or, at their request, to Coetivy Island prison. The women</w:t>
      </w:r>
      <w:r w:rsidR="00206B75">
        <w:t>’</w:t>
      </w:r>
      <w:r w:rsidRPr="0039421D">
        <w:t xml:space="preserve">s block in Montagne Posée prison had its own laundry facility; that service would soon be extended to all inmates. Montagne Posée prison had a medical facility that operated Monday to Friday; a doctor was on call at night and at weekends. The prison medical staff included one doctor, two nurses, one nursing assistant, one dentist, one dental </w:t>
      </w:r>
      <w:r w:rsidRPr="0039421D">
        <w:lastRenderedPageBreak/>
        <w:t xml:space="preserve">hygienist and one dental assistant. The medical staff worked full-time from Monday to Friday. Dental services were available three mornings a week. The doctor also served the pretrial detention centre and the open prison. If out-of-hours medical care was required, inmates were escorted to a nearby clinic. They could also choose to see a private doctor. The Prison Service had recently held a meeting with the Ministry of Health to discuss how to improve health-care services in prison. </w:t>
      </w:r>
    </w:p>
    <w:p w14:paraId="1C38A4C1" w14:textId="77777777" w:rsidR="00EE6E27" w:rsidRPr="0039421D" w:rsidRDefault="00EE6E27" w:rsidP="00183C80">
      <w:pPr>
        <w:pStyle w:val="ParNoG"/>
        <w:tabs>
          <w:tab w:val="clear" w:pos="1701"/>
        </w:tabs>
      </w:pPr>
      <w:r w:rsidRPr="0039421D">
        <w:t>Six inmates were HIV-positive, 53 had hepatitis C, 2 had full-blown AIDS and also had hepatitis B, 42 were infected with both HIV and hepatitis C, and 3 inmates had HIV infection, hepatitis C and hepatitis B. Currently, there was voluntary screening on admission for inmates, but screening would become mandatory in 2019. Access to antiretroviral medicines was provided to inmates who wished to take them; currently 24 were doing so. HIV-infected inmates received counselling and were encouraged to take antiretrovirals.</w:t>
      </w:r>
    </w:p>
    <w:p w14:paraId="441537DC" w14:textId="77777777" w:rsidR="00EE6E27" w:rsidRPr="0039421D" w:rsidRDefault="00EE6E27" w:rsidP="00EE6E27">
      <w:pPr>
        <w:pStyle w:val="SingleTxtG"/>
        <w:rPr>
          <w:i/>
          <w:iCs/>
        </w:rPr>
      </w:pPr>
      <w:r w:rsidRPr="0039421D">
        <w:rPr>
          <w:i/>
          <w:iCs/>
        </w:rPr>
        <w:t>The meeting rose at 1 p.m.</w:t>
      </w:r>
    </w:p>
    <w:sectPr w:rsidR="00EE6E27" w:rsidRPr="0039421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F8962" w14:textId="77777777" w:rsidR="0039671B" w:rsidRDefault="0039671B" w:rsidP="00F95C08">
      <w:pPr>
        <w:spacing w:line="240" w:lineRule="auto"/>
      </w:pPr>
    </w:p>
  </w:endnote>
  <w:endnote w:type="continuationSeparator" w:id="0">
    <w:p w14:paraId="0D18D67F" w14:textId="77777777" w:rsidR="0039671B" w:rsidRPr="00AC3823" w:rsidRDefault="0039671B" w:rsidP="00AC3823">
      <w:pPr>
        <w:pStyle w:val="Footer"/>
      </w:pPr>
    </w:p>
  </w:endnote>
  <w:endnote w:type="continuationNotice" w:id="1">
    <w:p w14:paraId="71E0253E" w14:textId="77777777" w:rsidR="0039671B" w:rsidRDefault="003967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711D5" w14:textId="5BB36D7F" w:rsidR="00585663" w:rsidRPr="00B81BFF" w:rsidRDefault="00B81BFF" w:rsidP="00B81BFF">
    <w:pPr>
      <w:pStyle w:val="Footer"/>
      <w:tabs>
        <w:tab w:val="right" w:pos="9638"/>
      </w:tabs>
    </w:pPr>
    <w:r w:rsidRPr="00B81BFF">
      <w:rPr>
        <w:b/>
        <w:bCs/>
        <w:sz w:val="18"/>
      </w:rPr>
      <w:fldChar w:fldCharType="begin"/>
    </w:r>
    <w:r w:rsidRPr="00B81BFF">
      <w:rPr>
        <w:b/>
        <w:bCs/>
        <w:sz w:val="18"/>
      </w:rPr>
      <w:instrText xml:space="preserve"> PAGE  \* MERGEFORMAT </w:instrText>
    </w:r>
    <w:r w:rsidRPr="00B81BFF">
      <w:rPr>
        <w:b/>
        <w:bCs/>
        <w:sz w:val="18"/>
      </w:rPr>
      <w:fldChar w:fldCharType="separate"/>
    </w:r>
    <w:r w:rsidR="00A24317">
      <w:rPr>
        <w:b/>
        <w:bCs/>
        <w:noProof/>
        <w:sz w:val="18"/>
      </w:rPr>
      <w:t>2</w:t>
    </w:r>
    <w:r w:rsidRPr="00B81BFF">
      <w:rPr>
        <w:b/>
        <w:bCs/>
        <w:sz w:val="18"/>
      </w:rPr>
      <w:fldChar w:fldCharType="end"/>
    </w:r>
    <w:r>
      <w:tab/>
      <w:t>GE.18-12721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6E4D0" w14:textId="33C2F449" w:rsidR="00585663" w:rsidRPr="00B81BFF" w:rsidRDefault="00B81BFF" w:rsidP="00B81BFF">
    <w:pPr>
      <w:pStyle w:val="Footer"/>
      <w:tabs>
        <w:tab w:val="right" w:pos="9638"/>
      </w:tabs>
    </w:pPr>
    <w:r>
      <w:t>GE.18-12721</w:t>
    </w:r>
    <w:r>
      <w:tab/>
    </w:r>
    <w:r w:rsidRPr="00B81BFF">
      <w:rPr>
        <w:b/>
        <w:bCs/>
        <w:sz w:val="18"/>
      </w:rPr>
      <w:fldChar w:fldCharType="begin"/>
    </w:r>
    <w:r w:rsidRPr="00B81BFF">
      <w:rPr>
        <w:b/>
        <w:bCs/>
        <w:sz w:val="18"/>
      </w:rPr>
      <w:instrText xml:space="preserve"> PAGE  \* MERGEFORMAT </w:instrText>
    </w:r>
    <w:r w:rsidRPr="00B81BFF">
      <w:rPr>
        <w:b/>
        <w:bCs/>
        <w:sz w:val="18"/>
      </w:rPr>
      <w:fldChar w:fldCharType="separate"/>
    </w:r>
    <w:r w:rsidR="00A24317">
      <w:rPr>
        <w:b/>
        <w:bCs/>
        <w:noProof/>
        <w:sz w:val="18"/>
      </w:rPr>
      <w:t>7</w:t>
    </w:r>
    <w:r w:rsidRPr="00B81BFF">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3CAA4" w14:textId="77777777" w:rsidR="00585663" w:rsidRDefault="00585663" w:rsidP="003B0B0F">
    <w:pPr>
      <w:pStyle w:val="FootnoteText"/>
      <w:pBdr>
        <w:bottom w:val="single" w:sz="4" w:space="1" w:color="auto"/>
      </w:pBdr>
      <w:tabs>
        <w:tab w:val="clear" w:pos="1021"/>
      </w:tabs>
      <w:ind w:left="0" w:right="0" w:firstLine="0"/>
    </w:pPr>
  </w:p>
  <w:p w14:paraId="5291B9D6" w14:textId="77777777" w:rsidR="00585663" w:rsidRDefault="0058566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B9332CA" w14:textId="3847B50C" w:rsidR="00585663" w:rsidRDefault="00585663"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A24317">
      <w:rPr>
        <w:noProof/>
      </w:rPr>
      <w:pict w14:anchorId="3A751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2290" type="#_x0000_t75" style="position:absolute;left:0;text-align:left;margin-left:340.2pt;margin-top:720.1pt;width:73.4pt;height:1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 o:title=""/>
          <w10:wrap type="tight" anchorx="margin" anchory="margin"/>
          <w10:anchorlock/>
        </v:shape>
      </w:pict>
    </w:r>
  </w:p>
  <w:p w14:paraId="7356B408" w14:textId="1CE348B8" w:rsidR="00B81BFF" w:rsidRDefault="00B81BFF" w:rsidP="00C5474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GE.18-12721  (E)</w:t>
    </w:r>
    <w:r w:rsidR="00483AFC">
      <w:rPr>
        <w:rFonts w:eastAsia="SimSun"/>
        <w:sz w:val="20"/>
        <w:szCs w:val="18"/>
        <w:lang w:eastAsia="zh-CN"/>
      </w:rPr>
      <w:t xml:space="preserve">    080818    </w:t>
    </w:r>
    <w:r w:rsidR="00C54746">
      <w:rPr>
        <w:rFonts w:eastAsia="SimSun"/>
        <w:sz w:val="20"/>
        <w:szCs w:val="18"/>
        <w:lang w:eastAsia="zh-CN"/>
      </w:rPr>
      <w:t>08</w:t>
    </w:r>
    <w:r w:rsidR="00483AFC">
      <w:rPr>
        <w:rFonts w:eastAsia="SimSun"/>
        <w:sz w:val="20"/>
        <w:szCs w:val="18"/>
        <w:lang w:eastAsia="zh-CN"/>
      </w:rPr>
      <w:t>0818</w:t>
    </w:r>
  </w:p>
  <w:p w14:paraId="4064B58E" w14:textId="0741C25C" w:rsidR="00B81BFF" w:rsidRPr="00B81BFF" w:rsidRDefault="00B81BFF" w:rsidP="00B81BF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sidR="00A24317">
      <w:rPr>
        <w:noProof/>
      </w:rPr>
      <w:pict w14:anchorId="09406A7C">
        <v:shape id="Picture 1" o:spid="_x0000_s12289" type="#_x0000_t75" alt="https://undocs.org/m2/QRCode.ashx?DS=CAT/C/SR.1664&amp;Size=2 &amp;Lang=E" style="position:absolute;margin-left:431.4pt;margin-top:692.5pt;width:50.25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v:imagedata r:id="rId2" o:title="SR"/>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A71E1" w14:textId="77777777" w:rsidR="0039671B" w:rsidRPr="00AC3823" w:rsidRDefault="0039671B" w:rsidP="00AC3823">
      <w:pPr>
        <w:pStyle w:val="Footer"/>
        <w:tabs>
          <w:tab w:val="right" w:pos="2155"/>
        </w:tabs>
        <w:spacing w:after="80" w:line="240" w:lineRule="atLeast"/>
        <w:ind w:left="680"/>
        <w:rPr>
          <w:u w:val="single"/>
        </w:rPr>
      </w:pPr>
      <w:r>
        <w:rPr>
          <w:u w:val="single"/>
        </w:rPr>
        <w:tab/>
      </w:r>
    </w:p>
  </w:footnote>
  <w:footnote w:type="continuationSeparator" w:id="0">
    <w:p w14:paraId="01B02426" w14:textId="77777777" w:rsidR="0039671B" w:rsidRPr="00AC3823" w:rsidRDefault="0039671B" w:rsidP="00AC3823">
      <w:pPr>
        <w:pStyle w:val="Footer"/>
        <w:tabs>
          <w:tab w:val="right" w:pos="2155"/>
        </w:tabs>
        <w:spacing w:after="80" w:line="240" w:lineRule="atLeast"/>
        <w:ind w:left="680"/>
        <w:rPr>
          <w:u w:val="single"/>
        </w:rPr>
      </w:pPr>
      <w:r>
        <w:rPr>
          <w:u w:val="single"/>
        </w:rPr>
        <w:tab/>
      </w:r>
    </w:p>
  </w:footnote>
  <w:footnote w:type="continuationNotice" w:id="1">
    <w:p w14:paraId="65261685" w14:textId="77777777" w:rsidR="0039671B" w:rsidRPr="00AC3823" w:rsidRDefault="0039671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B5BFB" w14:textId="7DE77F26" w:rsidR="00585663" w:rsidRDefault="00A24317" w:rsidP="006533EE">
    <w:pPr>
      <w:pStyle w:val="Header"/>
    </w:pPr>
    <w:r>
      <w:fldChar w:fldCharType="begin"/>
    </w:r>
    <w:r>
      <w:instrText xml:space="preserve"> DOCPROPERTY  symh  \* MERGEFORMAT </w:instrText>
    </w:r>
    <w:r>
      <w:fldChar w:fldCharType="separate"/>
    </w:r>
    <w:r w:rsidR="007A429F">
      <w:t>CAT/C/SR.1658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960AD" w14:textId="3CC3944C" w:rsidR="00585663" w:rsidRDefault="00A24317" w:rsidP="005B6BC9">
    <w:pPr>
      <w:pStyle w:val="Header"/>
      <w:jc w:val="right"/>
    </w:pPr>
    <w:r>
      <w:fldChar w:fldCharType="begin"/>
    </w:r>
    <w:r>
      <w:instrText xml:space="preserve"> DOCPROPERTY  symh  \* MERGEFORMAT </w:instrText>
    </w:r>
    <w:r>
      <w:fldChar w:fldCharType="separate"/>
    </w:r>
    <w:r w:rsidR="007A429F">
      <w:t>CAT/C/SR.1658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doNotTrackMoves/>
  <w:defaultTabStop w:val="567"/>
  <w:hyphenationZone w:val="425"/>
  <w:evenAndOddHeaders/>
  <w:characterSpacingControl w:val="doNotCompress"/>
  <w:hdrShapeDefaults>
    <o:shapedefaults v:ext="edit" spidmax="12291"/>
    <o:shapelayout v:ext="edit">
      <o:idmap v:ext="edit" data="1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E9D"/>
    <w:rsid w:val="00003CF7"/>
    <w:rsid w:val="000047B1"/>
    <w:rsid w:val="00017F94"/>
    <w:rsid w:val="00023842"/>
    <w:rsid w:val="000334F9"/>
    <w:rsid w:val="0007796D"/>
    <w:rsid w:val="000A4B99"/>
    <w:rsid w:val="000B7790"/>
    <w:rsid w:val="000C2BDC"/>
    <w:rsid w:val="000C390E"/>
    <w:rsid w:val="000C4A15"/>
    <w:rsid w:val="000E6254"/>
    <w:rsid w:val="00111F2F"/>
    <w:rsid w:val="00123F37"/>
    <w:rsid w:val="0014365E"/>
    <w:rsid w:val="00150724"/>
    <w:rsid w:val="00150DB2"/>
    <w:rsid w:val="001516E8"/>
    <w:rsid w:val="00154E15"/>
    <w:rsid w:val="00176178"/>
    <w:rsid w:val="00183C80"/>
    <w:rsid w:val="001B3E73"/>
    <w:rsid w:val="001E498C"/>
    <w:rsid w:val="001F525A"/>
    <w:rsid w:val="001F5733"/>
    <w:rsid w:val="00200D58"/>
    <w:rsid w:val="00206B75"/>
    <w:rsid w:val="00215DDA"/>
    <w:rsid w:val="00223272"/>
    <w:rsid w:val="00237F51"/>
    <w:rsid w:val="002460E2"/>
    <w:rsid w:val="0024779E"/>
    <w:rsid w:val="00257838"/>
    <w:rsid w:val="00291F1D"/>
    <w:rsid w:val="002D0F56"/>
    <w:rsid w:val="002E6AF8"/>
    <w:rsid w:val="002F1C80"/>
    <w:rsid w:val="00303183"/>
    <w:rsid w:val="00303C2D"/>
    <w:rsid w:val="00312CE1"/>
    <w:rsid w:val="00344E25"/>
    <w:rsid w:val="00353ED5"/>
    <w:rsid w:val="003743AA"/>
    <w:rsid w:val="0039005B"/>
    <w:rsid w:val="00390488"/>
    <w:rsid w:val="0039303F"/>
    <w:rsid w:val="0039421D"/>
    <w:rsid w:val="0039671B"/>
    <w:rsid w:val="003B0B0F"/>
    <w:rsid w:val="003C1022"/>
    <w:rsid w:val="003C1B51"/>
    <w:rsid w:val="003C3B4D"/>
    <w:rsid w:val="003D1AD0"/>
    <w:rsid w:val="003D3938"/>
    <w:rsid w:val="003E7A5E"/>
    <w:rsid w:val="0042338D"/>
    <w:rsid w:val="00446FE5"/>
    <w:rsid w:val="00452396"/>
    <w:rsid w:val="00457CD7"/>
    <w:rsid w:val="0046257D"/>
    <w:rsid w:val="004647C8"/>
    <w:rsid w:val="00477718"/>
    <w:rsid w:val="00482156"/>
    <w:rsid w:val="00482559"/>
    <w:rsid w:val="00483AFC"/>
    <w:rsid w:val="004D0848"/>
    <w:rsid w:val="004D3D89"/>
    <w:rsid w:val="004D7D22"/>
    <w:rsid w:val="004E6C71"/>
    <w:rsid w:val="0053631F"/>
    <w:rsid w:val="005505B7"/>
    <w:rsid w:val="00573BE5"/>
    <w:rsid w:val="00585663"/>
    <w:rsid w:val="00586ED3"/>
    <w:rsid w:val="00594DB6"/>
    <w:rsid w:val="00596AA9"/>
    <w:rsid w:val="005A14CB"/>
    <w:rsid w:val="005B43E7"/>
    <w:rsid w:val="005B6BC9"/>
    <w:rsid w:val="005B75E3"/>
    <w:rsid w:val="005C06D4"/>
    <w:rsid w:val="005F4E01"/>
    <w:rsid w:val="006056E0"/>
    <w:rsid w:val="006533EE"/>
    <w:rsid w:val="00670DFB"/>
    <w:rsid w:val="006748CF"/>
    <w:rsid w:val="006813D2"/>
    <w:rsid w:val="006861E6"/>
    <w:rsid w:val="006901C5"/>
    <w:rsid w:val="00695BDA"/>
    <w:rsid w:val="006B627B"/>
    <w:rsid w:val="006D2BC1"/>
    <w:rsid w:val="006E3F0A"/>
    <w:rsid w:val="006F60EB"/>
    <w:rsid w:val="00706E82"/>
    <w:rsid w:val="0071601D"/>
    <w:rsid w:val="00732C75"/>
    <w:rsid w:val="00732EA9"/>
    <w:rsid w:val="00766CEC"/>
    <w:rsid w:val="0078635D"/>
    <w:rsid w:val="007A26B7"/>
    <w:rsid w:val="007A429F"/>
    <w:rsid w:val="007A62E6"/>
    <w:rsid w:val="007B1457"/>
    <w:rsid w:val="007C3B86"/>
    <w:rsid w:val="007C3E1D"/>
    <w:rsid w:val="007E4E99"/>
    <w:rsid w:val="0080347A"/>
    <w:rsid w:val="0080684C"/>
    <w:rsid w:val="00813862"/>
    <w:rsid w:val="00815502"/>
    <w:rsid w:val="00816A05"/>
    <w:rsid w:val="00831242"/>
    <w:rsid w:val="0084497E"/>
    <w:rsid w:val="00852EB9"/>
    <w:rsid w:val="00861053"/>
    <w:rsid w:val="00871C75"/>
    <w:rsid w:val="008776DC"/>
    <w:rsid w:val="00880106"/>
    <w:rsid w:val="008C7952"/>
    <w:rsid w:val="008D595E"/>
    <w:rsid w:val="008E2BD2"/>
    <w:rsid w:val="008F106E"/>
    <w:rsid w:val="008F69EF"/>
    <w:rsid w:val="009261D4"/>
    <w:rsid w:val="0093746F"/>
    <w:rsid w:val="00957790"/>
    <w:rsid w:val="009705C8"/>
    <w:rsid w:val="00982806"/>
    <w:rsid w:val="0099212C"/>
    <w:rsid w:val="009C41E2"/>
    <w:rsid w:val="009C7313"/>
    <w:rsid w:val="009F68F5"/>
    <w:rsid w:val="00A24317"/>
    <w:rsid w:val="00A265A9"/>
    <w:rsid w:val="00A319E9"/>
    <w:rsid w:val="00A54FF2"/>
    <w:rsid w:val="00A567F2"/>
    <w:rsid w:val="00A75EB9"/>
    <w:rsid w:val="00A815AF"/>
    <w:rsid w:val="00AB7E73"/>
    <w:rsid w:val="00AC2CCD"/>
    <w:rsid w:val="00AC3823"/>
    <w:rsid w:val="00AE323C"/>
    <w:rsid w:val="00AE6FC2"/>
    <w:rsid w:val="00AE7498"/>
    <w:rsid w:val="00AE7729"/>
    <w:rsid w:val="00B00181"/>
    <w:rsid w:val="00B06FA2"/>
    <w:rsid w:val="00B34BE7"/>
    <w:rsid w:val="00B41FDC"/>
    <w:rsid w:val="00B43C66"/>
    <w:rsid w:val="00B65FCA"/>
    <w:rsid w:val="00B66502"/>
    <w:rsid w:val="00B765F7"/>
    <w:rsid w:val="00B81BFF"/>
    <w:rsid w:val="00B9024D"/>
    <w:rsid w:val="00BA07AB"/>
    <w:rsid w:val="00BA0CA9"/>
    <w:rsid w:val="00BA7318"/>
    <w:rsid w:val="00BE4745"/>
    <w:rsid w:val="00BE6A5F"/>
    <w:rsid w:val="00BF30B9"/>
    <w:rsid w:val="00BF3C2C"/>
    <w:rsid w:val="00C02897"/>
    <w:rsid w:val="00C12091"/>
    <w:rsid w:val="00C133C0"/>
    <w:rsid w:val="00C54746"/>
    <w:rsid w:val="00C572B6"/>
    <w:rsid w:val="00C638E5"/>
    <w:rsid w:val="00CB43B4"/>
    <w:rsid w:val="00CB56FC"/>
    <w:rsid w:val="00CC1AC6"/>
    <w:rsid w:val="00CC2887"/>
    <w:rsid w:val="00D064C7"/>
    <w:rsid w:val="00D1769C"/>
    <w:rsid w:val="00D3439C"/>
    <w:rsid w:val="00D71798"/>
    <w:rsid w:val="00DA19CC"/>
    <w:rsid w:val="00DA22F4"/>
    <w:rsid w:val="00DA40FE"/>
    <w:rsid w:val="00DA7A8A"/>
    <w:rsid w:val="00DB1831"/>
    <w:rsid w:val="00DB2F98"/>
    <w:rsid w:val="00DC0AE6"/>
    <w:rsid w:val="00DD335B"/>
    <w:rsid w:val="00DD3BFD"/>
    <w:rsid w:val="00DF6678"/>
    <w:rsid w:val="00E20702"/>
    <w:rsid w:val="00E22CF2"/>
    <w:rsid w:val="00E37935"/>
    <w:rsid w:val="00E52D9F"/>
    <w:rsid w:val="00E56B4F"/>
    <w:rsid w:val="00E64669"/>
    <w:rsid w:val="00E8587B"/>
    <w:rsid w:val="00E92093"/>
    <w:rsid w:val="00EB0BC2"/>
    <w:rsid w:val="00EE6E27"/>
    <w:rsid w:val="00EF7F45"/>
    <w:rsid w:val="00F01808"/>
    <w:rsid w:val="00F03967"/>
    <w:rsid w:val="00F132C7"/>
    <w:rsid w:val="00F164B0"/>
    <w:rsid w:val="00F24D6D"/>
    <w:rsid w:val="00F4130F"/>
    <w:rsid w:val="00F660DF"/>
    <w:rsid w:val="00F66162"/>
    <w:rsid w:val="00F80094"/>
    <w:rsid w:val="00F849E6"/>
    <w:rsid w:val="00F94BB0"/>
    <w:rsid w:val="00F95C08"/>
    <w:rsid w:val="00FD5E87"/>
    <w:rsid w:val="00FE282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21C095A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Calibr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Calibr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Calibr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Calibr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Calibr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Calibr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Calibr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Calibr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Calibri"/>
      <w:sz w:val="16"/>
    </w:rPr>
  </w:style>
  <w:style w:type="character" w:customStyle="1" w:styleId="FooterChar">
    <w:name w:val="Footer Char"/>
    <w:aliases w:val="3_G Char"/>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Calibri"/>
    </w:rPr>
  </w:style>
  <w:style w:type="character" w:styleId="FootnoteReference">
    <w:name w:val="footnote reference"/>
    <w:aliases w:val="4_G"/>
    <w:qFormat/>
    <w:rsid w:val="00482156"/>
    <w:rPr>
      <w:rFonts w:ascii="Times New Roman" w:hAnsi="Times New Roman"/>
      <w:sz w:val="18"/>
      <w:vertAlign w:val="superscript"/>
      <w:lang w:val="en-GB"/>
    </w:rPr>
  </w:style>
  <w:style w:type="character" w:styleId="EndnoteReference">
    <w:name w:val="endnote reference"/>
    <w:aliases w:val="1_G"/>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82156"/>
    <w:rPr>
      <w:color w:val="0000FF"/>
      <w:u w:val="none"/>
    </w:rPr>
  </w:style>
  <w:style w:type="character" w:styleId="FollowedHyperlink">
    <w:name w:val="FollowedHyperlink"/>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FootnoteTextChar">
    <w:name w:val="Footnote Text Char"/>
    <w:aliases w:val="5_G Char"/>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link w:val="EndnoteText"/>
    <w:rsid w:val="00482156"/>
    <w:rPr>
      <w:rFonts w:ascii="Times New Roman" w:hAnsi="Times New Roman" w:cs="Times New Roman"/>
      <w:sz w:val="18"/>
      <w:szCs w:val="20"/>
      <w:lang w:val="en-GB"/>
    </w:rPr>
  </w:style>
  <w:style w:type="character" w:styleId="PageNumber">
    <w:name w:val="page number"/>
    <w:aliases w:val="7_G"/>
    <w:qFormat/>
    <w:rsid w:val="00482156"/>
    <w:rPr>
      <w:rFonts w:ascii="Times New Roman" w:hAnsi="Times New Roman"/>
      <w:b/>
      <w:sz w:val="18"/>
      <w:lang w:val="en-GB"/>
    </w:rPr>
  </w:style>
  <w:style w:type="character" w:customStyle="1" w:styleId="Heading1Char">
    <w:name w:val="Heading 1 Char"/>
    <w:aliases w:val="Table_G Char"/>
    <w:link w:val="Heading1"/>
    <w:rsid w:val="00482156"/>
    <w:rPr>
      <w:rFonts w:ascii="Times New Roman" w:hAnsi="Times New Roman" w:cs="Times New Roman"/>
      <w:sz w:val="20"/>
      <w:szCs w:val="20"/>
      <w:lang w:val="en-GB"/>
    </w:rPr>
  </w:style>
  <w:style w:type="character" w:customStyle="1" w:styleId="Heading2Char">
    <w:name w:val="Heading 2 Char"/>
    <w:link w:val="Heading2"/>
    <w:semiHidden/>
    <w:rsid w:val="00482156"/>
    <w:rPr>
      <w:rFonts w:ascii="Times New Roman" w:hAnsi="Times New Roman" w:cs="Times New Roman"/>
      <w:sz w:val="20"/>
      <w:szCs w:val="20"/>
    </w:rPr>
  </w:style>
  <w:style w:type="character" w:customStyle="1" w:styleId="Heading3Char">
    <w:name w:val="Heading 3 Char"/>
    <w:link w:val="Heading3"/>
    <w:semiHidden/>
    <w:rsid w:val="00482156"/>
    <w:rPr>
      <w:rFonts w:ascii="Times New Roman" w:hAnsi="Times New Roman" w:cs="Times New Roman"/>
      <w:sz w:val="20"/>
      <w:szCs w:val="20"/>
    </w:rPr>
  </w:style>
  <w:style w:type="character" w:customStyle="1" w:styleId="Heading4Char">
    <w:name w:val="Heading 4 Char"/>
    <w:link w:val="Heading4"/>
    <w:semiHidden/>
    <w:rsid w:val="00482156"/>
    <w:rPr>
      <w:rFonts w:ascii="Times New Roman" w:hAnsi="Times New Roman" w:cs="Times New Roman"/>
      <w:sz w:val="20"/>
      <w:szCs w:val="20"/>
    </w:rPr>
  </w:style>
  <w:style w:type="character" w:customStyle="1" w:styleId="Heading5Char">
    <w:name w:val="Heading 5 Char"/>
    <w:link w:val="Heading5"/>
    <w:semiHidden/>
    <w:rsid w:val="00482156"/>
    <w:rPr>
      <w:rFonts w:ascii="Times New Roman" w:hAnsi="Times New Roman" w:cs="Times New Roman"/>
      <w:sz w:val="20"/>
      <w:szCs w:val="20"/>
    </w:rPr>
  </w:style>
  <w:style w:type="character" w:customStyle="1" w:styleId="Heading6Char">
    <w:name w:val="Heading 6 Char"/>
    <w:link w:val="Heading6"/>
    <w:semiHidden/>
    <w:rsid w:val="00482156"/>
    <w:rPr>
      <w:rFonts w:ascii="Times New Roman" w:hAnsi="Times New Roman" w:cs="Times New Roman"/>
      <w:sz w:val="20"/>
      <w:szCs w:val="20"/>
    </w:rPr>
  </w:style>
  <w:style w:type="character" w:customStyle="1" w:styleId="Heading7Char">
    <w:name w:val="Heading 7 Char"/>
    <w:link w:val="Heading7"/>
    <w:semiHidden/>
    <w:rsid w:val="00482156"/>
    <w:rPr>
      <w:rFonts w:ascii="Times New Roman" w:hAnsi="Times New Roman" w:cs="Times New Roman"/>
      <w:sz w:val="20"/>
      <w:szCs w:val="20"/>
    </w:rPr>
  </w:style>
  <w:style w:type="character" w:customStyle="1" w:styleId="Heading8Char">
    <w:name w:val="Heading 8 Char"/>
    <w:link w:val="Heading8"/>
    <w:semiHidden/>
    <w:rsid w:val="00482156"/>
    <w:rPr>
      <w:rFonts w:ascii="Times New Roman" w:hAnsi="Times New Roman" w:cs="Times New Roman"/>
      <w:sz w:val="20"/>
      <w:szCs w:val="20"/>
    </w:rPr>
  </w:style>
  <w:style w:type="character" w:customStyle="1" w:styleId="Heading9Char">
    <w:name w:val="Heading 9 Char"/>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uiPriority w:val="99"/>
    <w:semiHidden/>
    <w:unhideWhenUsed/>
    <w:rsid w:val="00A567F2"/>
    <w:rPr>
      <w:sz w:val="16"/>
      <w:szCs w:val="16"/>
    </w:rPr>
  </w:style>
  <w:style w:type="paragraph" w:styleId="CommentText">
    <w:name w:val="annotation text"/>
    <w:basedOn w:val="Normal"/>
    <w:link w:val="CommentTextChar"/>
    <w:uiPriority w:val="99"/>
    <w:semiHidden/>
    <w:unhideWhenUsed/>
    <w:rsid w:val="00A567F2"/>
    <w:pPr>
      <w:spacing w:line="240" w:lineRule="auto"/>
    </w:pPr>
    <w:rPr>
      <w:rFonts w:eastAsia="SimSun"/>
    </w:rPr>
  </w:style>
  <w:style w:type="character" w:customStyle="1" w:styleId="CommentTextChar">
    <w:name w:val="Comment Text Char"/>
    <w:link w:val="CommentText"/>
    <w:uiPriority w:val="99"/>
    <w:semiHidden/>
    <w:rsid w:val="00A567F2"/>
    <w:rPr>
      <w:rFonts w:ascii="Times New Roman" w:eastAsia="SimSun" w:hAnsi="Times New Roman" w:cs="Times New Roman"/>
      <w:sz w:val="20"/>
      <w:szCs w:val="20"/>
      <w:lang w:val="en-GB"/>
    </w:rPr>
  </w:style>
  <w:style w:type="paragraph" w:customStyle="1" w:styleId="Default">
    <w:name w:val="Default"/>
    <w:rsid w:val="00F849E6"/>
    <w:pPr>
      <w:autoSpaceDE w:val="0"/>
      <w:autoSpaceDN w:val="0"/>
      <w:adjustRightInd w:val="0"/>
    </w:pPr>
    <w:rPr>
      <w:rFonts w:ascii="Times New Roman" w:eastAsia="SimSun" w:hAnsi="Times New Roman" w:cs="Times New Roman"/>
      <w:color w:val="000000"/>
      <w:sz w:val="24"/>
      <w:szCs w:val="24"/>
      <w:lang w:eastAsia="zh-CN"/>
    </w:rPr>
  </w:style>
  <w:style w:type="character" w:customStyle="1" w:styleId="UnresolvedMention">
    <w:name w:val="Unresolved Mention"/>
    <w:uiPriority w:val="99"/>
    <w:semiHidden/>
    <w:unhideWhenUsed/>
    <w:rsid w:val="00695B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SYC/1"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undocs.org/en/CAT/C/SYC/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B36C7-D111-469C-9450-80974FA35CE8}"/>
</file>

<file path=customXml/itemProps2.xml><?xml version="1.0" encoding="utf-8"?>
<ds:datastoreItem xmlns:ds="http://schemas.openxmlformats.org/officeDocument/2006/customXml" ds:itemID="{2C7B1309-00DE-4153-838F-21002BB153D7}"/>
</file>

<file path=customXml/itemProps3.xml><?xml version="1.0" encoding="utf-8"?>
<ds:datastoreItem xmlns:ds="http://schemas.openxmlformats.org/officeDocument/2006/customXml" ds:itemID="{752344C3-7BFE-488D-9022-A9852F96FF1E}"/>
</file>

<file path=customXml/itemProps4.xml><?xml version="1.0" encoding="utf-8"?>
<ds:datastoreItem xmlns:ds="http://schemas.openxmlformats.org/officeDocument/2006/customXml" ds:itemID="{E26CB118-324A-4173-8CBA-2E446845EFEA}"/>
</file>

<file path=docProps/app.xml><?xml version="1.0" encoding="utf-8"?>
<Properties xmlns="http://schemas.openxmlformats.org/officeDocument/2006/extended-properties" xmlns:vt="http://schemas.openxmlformats.org/officeDocument/2006/docPropsVTypes">
  <Template>Normal.dotm</Template>
  <TotalTime>1</TotalTime>
  <Pages>8</Pages>
  <Words>4340</Words>
  <Characters>24741</Characters>
  <Application>Microsoft Office Word</Application>
  <DocSecurity>0</DocSecurity>
  <Lines>206</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CAT/C/SR.1664</vt:lpstr>
      <vt:lpstr/>
      <vt:lpstr/>
    </vt:vector>
  </TitlesOfParts>
  <Company>DCM</Company>
  <LinksUpToDate>false</LinksUpToDate>
  <CharactersWithSpaces>29023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CAT/C/SR.1664</dc:title>
  <dc:subject>1812721</dc:subject>
  <dc:creator>Indra</dc:creator>
  <cp:keywords/>
  <dc:description/>
  <cp:lastModifiedBy>Hélène Orrü</cp:lastModifiedBy>
  <cp:revision>2</cp:revision>
  <cp:lastPrinted>2018-08-08T15:40:00Z</cp:lastPrinted>
  <dcterms:created xsi:type="dcterms:W3CDTF">2018-09-03T07:44:00Z</dcterms:created>
  <dcterms:modified xsi:type="dcterms:W3CDTF">2018-09-03T07:44:00Z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1658</vt:lpwstr>
  </property>
  <property fmtid="{D5CDD505-2E9C-101B-9397-08002B2CF9AE}" pid="15" name="symh">
    <vt:lpwstr>CAT/C/SR.1658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25 July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1658th</vt:lpwstr>
  </property>
  <property fmtid="{D5CDD505-2E9C-101B-9397-08002B2CF9AE}" pid="26" name="Date-Generated">
    <vt:lpwstr>7/25/2018 3:19:55 PM</vt:lpwstr>
  </property>
  <property fmtid="{D5CDD505-2E9C-101B-9397-08002B2CF9AE}" pid="27" name="ContentTypeId">
    <vt:lpwstr>0x01010022B3C51BB8F9654FB8068485B2E4975B</vt:lpwstr>
  </property>
</Properties>
</file>