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193" w:type="dxa"/>
        <w:tblLayout w:type="fixed"/>
        <w:tblCellMar>
          <w:left w:w="0" w:type="dxa"/>
          <w:right w:w="0" w:type="dxa"/>
        </w:tblCellMar>
        <w:tblLook w:val="01E0" w:firstRow="1" w:lastRow="1" w:firstColumn="1" w:lastColumn="1" w:noHBand="0" w:noVBand="0"/>
      </w:tblPr>
      <w:tblGrid>
        <w:gridCol w:w="1276"/>
        <w:gridCol w:w="2268"/>
        <w:gridCol w:w="3260"/>
        <w:gridCol w:w="2389"/>
      </w:tblGrid>
      <w:tr w:rsidR="00B56E9C" w:rsidRPr="00E86AA2" w14:paraId="27948175" w14:textId="77777777" w:rsidTr="00BC6B73">
        <w:trPr>
          <w:cantSplit/>
          <w:trHeight w:hRule="exact" w:val="1418"/>
        </w:trPr>
        <w:tc>
          <w:tcPr>
            <w:tcW w:w="1276" w:type="dxa"/>
            <w:tcBorders>
              <w:bottom w:val="single" w:sz="4" w:space="0" w:color="auto"/>
            </w:tcBorders>
            <w:vAlign w:val="bottom"/>
          </w:tcPr>
          <w:p w14:paraId="1704413B" w14:textId="77777777" w:rsidR="00B56E9C" w:rsidRPr="006636A1" w:rsidRDefault="00B56E9C" w:rsidP="00DC046E">
            <w:pPr>
              <w:spacing w:after="80"/>
              <w:rPr>
                <w:lang w:val="en-US"/>
              </w:rPr>
            </w:pPr>
          </w:p>
        </w:tc>
        <w:tc>
          <w:tcPr>
            <w:tcW w:w="2268" w:type="dxa"/>
            <w:tcBorders>
              <w:bottom w:val="single" w:sz="4" w:space="0" w:color="auto"/>
            </w:tcBorders>
            <w:vAlign w:val="bottom"/>
          </w:tcPr>
          <w:p w14:paraId="19473027" w14:textId="5A2EE49C" w:rsidR="00B56E9C" w:rsidRPr="00E86AA2" w:rsidRDefault="00B56E9C" w:rsidP="00DC046E">
            <w:pPr>
              <w:spacing w:after="80" w:line="300" w:lineRule="exact"/>
              <w:rPr>
                <w:b/>
                <w:sz w:val="24"/>
                <w:szCs w:val="24"/>
              </w:rPr>
            </w:pPr>
          </w:p>
        </w:tc>
        <w:tc>
          <w:tcPr>
            <w:tcW w:w="5649" w:type="dxa"/>
            <w:gridSpan w:val="2"/>
            <w:tcBorders>
              <w:bottom w:val="single" w:sz="4" w:space="0" w:color="auto"/>
            </w:tcBorders>
            <w:vAlign w:val="bottom"/>
          </w:tcPr>
          <w:p w14:paraId="6D4267C9" w14:textId="0C5C3999" w:rsidR="008A16F2" w:rsidRPr="00E630AB" w:rsidRDefault="008A16F2" w:rsidP="00BC6B73">
            <w:pPr>
              <w:ind w:left="330"/>
              <w:jc w:val="right"/>
              <w:rPr>
                <w:sz w:val="18"/>
                <w:szCs w:val="18"/>
              </w:rPr>
            </w:pPr>
            <w:r w:rsidRPr="00E630AB">
              <w:rPr>
                <w:sz w:val="24"/>
                <w:szCs w:val="24"/>
              </w:rPr>
              <w:t>CCPR</w:t>
            </w:r>
            <w:r w:rsidR="00093D76" w:rsidRPr="00E630AB">
              <w:rPr>
                <w:sz w:val="19"/>
                <w:szCs w:val="19"/>
              </w:rPr>
              <w:t>/</w:t>
            </w:r>
            <w:r w:rsidR="00093D76" w:rsidRPr="00E630AB">
              <w:rPr>
                <w:sz w:val="18"/>
                <w:szCs w:val="18"/>
              </w:rPr>
              <w:t>C</w:t>
            </w:r>
            <w:r w:rsidR="00F07E86" w:rsidRPr="00E630AB" w:rsidDel="00F07E86">
              <w:rPr>
                <w:sz w:val="18"/>
                <w:szCs w:val="18"/>
              </w:rPr>
              <w:t xml:space="preserve"> </w:t>
            </w:r>
            <w:r w:rsidR="00093D76" w:rsidRPr="00E630AB">
              <w:rPr>
                <w:sz w:val="18"/>
                <w:szCs w:val="18"/>
              </w:rPr>
              <w:t>13</w:t>
            </w:r>
            <w:r w:rsidR="00401648" w:rsidRPr="00E630AB">
              <w:rPr>
                <w:sz w:val="18"/>
                <w:szCs w:val="18"/>
              </w:rPr>
              <w:t>8</w:t>
            </w:r>
            <w:r w:rsidRPr="00E630AB">
              <w:rPr>
                <w:sz w:val="18"/>
                <w:szCs w:val="18"/>
              </w:rPr>
              <w:t>/D/2</w:t>
            </w:r>
            <w:r w:rsidR="00401648" w:rsidRPr="00E630AB">
              <w:rPr>
                <w:sz w:val="18"/>
                <w:szCs w:val="18"/>
              </w:rPr>
              <w:t>579</w:t>
            </w:r>
            <w:r w:rsidRPr="00E630AB">
              <w:rPr>
                <w:sz w:val="18"/>
                <w:szCs w:val="18"/>
              </w:rPr>
              <w:t>/201</w:t>
            </w:r>
            <w:r w:rsidR="00401648" w:rsidRPr="00E630AB">
              <w:rPr>
                <w:sz w:val="18"/>
                <w:szCs w:val="18"/>
              </w:rPr>
              <w:t>5</w:t>
            </w:r>
            <w:r w:rsidR="0086026C" w:rsidRPr="00E630AB">
              <w:rPr>
                <w:sz w:val="18"/>
                <w:szCs w:val="18"/>
              </w:rPr>
              <w:t>,</w:t>
            </w:r>
            <w:r w:rsidR="00D33821" w:rsidRPr="00E630AB">
              <w:rPr>
                <w:sz w:val="19"/>
                <w:szCs w:val="19"/>
              </w:rPr>
              <w:t xml:space="preserve"> </w:t>
            </w:r>
            <w:r w:rsidR="00093D76" w:rsidRPr="00E630AB">
              <w:rPr>
                <w:sz w:val="24"/>
                <w:szCs w:val="24"/>
              </w:rPr>
              <w:t>CCPR</w:t>
            </w:r>
            <w:r w:rsidR="00093D76" w:rsidRPr="00E630AB">
              <w:rPr>
                <w:sz w:val="19"/>
                <w:szCs w:val="19"/>
              </w:rPr>
              <w:t>/</w:t>
            </w:r>
            <w:r w:rsidR="00093D76" w:rsidRPr="00E630AB">
              <w:rPr>
                <w:sz w:val="18"/>
                <w:szCs w:val="18"/>
              </w:rPr>
              <w:t>C</w:t>
            </w:r>
            <w:r w:rsidR="00F07E86" w:rsidRPr="00E630AB" w:rsidDel="00F07E86">
              <w:rPr>
                <w:sz w:val="18"/>
                <w:szCs w:val="18"/>
              </w:rPr>
              <w:t xml:space="preserve"> </w:t>
            </w:r>
            <w:r w:rsidR="00E630AB" w:rsidRPr="00E630AB">
              <w:rPr>
                <w:sz w:val="18"/>
                <w:szCs w:val="18"/>
              </w:rPr>
              <w:t>/</w:t>
            </w:r>
            <w:r w:rsidR="00093D76" w:rsidRPr="00E630AB">
              <w:rPr>
                <w:sz w:val="18"/>
                <w:szCs w:val="18"/>
              </w:rPr>
              <w:t>13</w:t>
            </w:r>
            <w:r w:rsidR="00401648" w:rsidRPr="00E630AB">
              <w:rPr>
                <w:sz w:val="18"/>
                <w:szCs w:val="18"/>
              </w:rPr>
              <w:t>8/</w:t>
            </w:r>
            <w:r w:rsidRPr="00E630AB">
              <w:rPr>
                <w:sz w:val="18"/>
                <w:szCs w:val="18"/>
              </w:rPr>
              <w:t>D</w:t>
            </w:r>
            <w:r w:rsidR="00093D76" w:rsidRPr="00E630AB">
              <w:rPr>
                <w:sz w:val="18"/>
                <w:szCs w:val="18"/>
              </w:rPr>
              <w:t>/</w:t>
            </w:r>
            <w:r w:rsidR="00401648" w:rsidRPr="00E630AB">
              <w:rPr>
                <w:sz w:val="18"/>
                <w:szCs w:val="18"/>
              </w:rPr>
              <w:t>2968</w:t>
            </w:r>
            <w:r w:rsidRPr="00E630AB">
              <w:rPr>
                <w:sz w:val="18"/>
                <w:szCs w:val="18"/>
              </w:rPr>
              <w:t>/201</w:t>
            </w:r>
            <w:r w:rsidR="00093D76" w:rsidRPr="00E630AB">
              <w:rPr>
                <w:sz w:val="18"/>
                <w:szCs w:val="18"/>
              </w:rPr>
              <w:t>7</w:t>
            </w:r>
            <w:r w:rsidR="00C81F8B" w:rsidRPr="00E630AB">
              <w:rPr>
                <w:sz w:val="18"/>
                <w:szCs w:val="18"/>
              </w:rPr>
              <w:t xml:space="preserve"> </w:t>
            </w:r>
            <w:r w:rsidR="0086026C" w:rsidRPr="00E630AB">
              <w:rPr>
                <w:sz w:val="24"/>
                <w:szCs w:val="24"/>
              </w:rPr>
              <w:t>CCPR</w:t>
            </w:r>
            <w:r w:rsidR="0086026C" w:rsidRPr="00E630AB">
              <w:rPr>
                <w:sz w:val="19"/>
                <w:szCs w:val="19"/>
              </w:rPr>
              <w:t>/</w:t>
            </w:r>
            <w:r w:rsidR="0086026C" w:rsidRPr="00E630AB">
              <w:rPr>
                <w:sz w:val="18"/>
                <w:szCs w:val="18"/>
              </w:rPr>
              <w:t>C</w:t>
            </w:r>
            <w:r w:rsidR="00F07E86" w:rsidRPr="00E630AB" w:rsidDel="00F07E86">
              <w:rPr>
                <w:sz w:val="18"/>
                <w:szCs w:val="18"/>
              </w:rPr>
              <w:t xml:space="preserve"> </w:t>
            </w:r>
            <w:r w:rsidR="00E630AB" w:rsidRPr="00E630AB">
              <w:rPr>
                <w:sz w:val="18"/>
                <w:szCs w:val="18"/>
              </w:rPr>
              <w:t>/</w:t>
            </w:r>
            <w:r w:rsidR="0086026C" w:rsidRPr="00E630AB">
              <w:rPr>
                <w:sz w:val="18"/>
                <w:szCs w:val="18"/>
              </w:rPr>
              <w:t>13</w:t>
            </w:r>
            <w:r w:rsidR="00401648" w:rsidRPr="00E630AB">
              <w:rPr>
                <w:sz w:val="18"/>
                <w:szCs w:val="18"/>
              </w:rPr>
              <w:t>8</w:t>
            </w:r>
            <w:r w:rsidR="0086026C" w:rsidRPr="00E630AB">
              <w:rPr>
                <w:sz w:val="18"/>
                <w:szCs w:val="18"/>
              </w:rPr>
              <w:t>/D/3</w:t>
            </w:r>
            <w:r w:rsidR="00401648" w:rsidRPr="00E630AB">
              <w:rPr>
                <w:sz w:val="18"/>
                <w:szCs w:val="18"/>
              </w:rPr>
              <w:t>05</w:t>
            </w:r>
            <w:r w:rsidR="0086026C" w:rsidRPr="00E630AB">
              <w:rPr>
                <w:sz w:val="18"/>
                <w:szCs w:val="18"/>
              </w:rPr>
              <w:t>7/201</w:t>
            </w:r>
            <w:r w:rsidR="00401648" w:rsidRPr="00E630AB">
              <w:rPr>
                <w:sz w:val="18"/>
                <w:szCs w:val="18"/>
              </w:rPr>
              <w:t>7</w:t>
            </w:r>
            <w:r w:rsidR="0086026C" w:rsidRPr="00E630AB">
              <w:rPr>
                <w:sz w:val="18"/>
                <w:szCs w:val="18"/>
              </w:rPr>
              <w:t>,</w:t>
            </w:r>
            <w:r w:rsidR="0086026C" w:rsidRPr="00E630AB">
              <w:rPr>
                <w:sz w:val="19"/>
                <w:szCs w:val="19"/>
              </w:rPr>
              <w:t xml:space="preserve"> </w:t>
            </w:r>
            <w:r w:rsidRPr="00E630AB">
              <w:rPr>
                <w:sz w:val="24"/>
                <w:szCs w:val="24"/>
              </w:rPr>
              <w:t>CCPR</w:t>
            </w:r>
            <w:r w:rsidRPr="00E630AB">
              <w:rPr>
                <w:sz w:val="19"/>
                <w:szCs w:val="19"/>
              </w:rPr>
              <w:t>/</w:t>
            </w:r>
            <w:r w:rsidRPr="00E630AB">
              <w:rPr>
                <w:sz w:val="18"/>
                <w:szCs w:val="18"/>
              </w:rPr>
              <w:t>C/</w:t>
            </w:r>
            <w:r w:rsidR="00F07E86" w:rsidRPr="00E630AB" w:rsidDel="00F07E86">
              <w:rPr>
                <w:sz w:val="18"/>
                <w:szCs w:val="18"/>
              </w:rPr>
              <w:t xml:space="preserve"> </w:t>
            </w:r>
            <w:r w:rsidRPr="00E630AB">
              <w:rPr>
                <w:sz w:val="18"/>
                <w:szCs w:val="18"/>
              </w:rPr>
              <w:t>13</w:t>
            </w:r>
            <w:r w:rsidR="00401648" w:rsidRPr="00E630AB">
              <w:rPr>
                <w:sz w:val="18"/>
                <w:szCs w:val="18"/>
              </w:rPr>
              <w:t>8</w:t>
            </w:r>
            <w:r w:rsidRPr="00E630AB">
              <w:rPr>
                <w:sz w:val="18"/>
                <w:szCs w:val="18"/>
              </w:rPr>
              <w:t>/D/</w:t>
            </w:r>
            <w:r w:rsidR="00093D76" w:rsidRPr="00E630AB">
              <w:rPr>
                <w:sz w:val="18"/>
                <w:szCs w:val="18"/>
              </w:rPr>
              <w:t>30</w:t>
            </w:r>
            <w:r w:rsidR="00401648" w:rsidRPr="00E630AB">
              <w:rPr>
                <w:sz w:val="18"/>
                <w:szCs w:val="18"/>
              </w:rPr>
              <w:t>59</w:t>
            </w:r>
            <w:r w:rsidRPr="00E630AB">
              <w:rPr>
                <w:sz w:val="18"/>
                <w:szCs w:val="18"/>
              </w:rPr>
              <w:t>/201</w:t>
            </w:r>
            <w:r w:rsidR="00401648" w:rsidRPr="00E630AB">
              <w:rPr>
                <w:sz w:val="18"/>
                <w:szCs w:val="18"/>
              </w:rPr>
              <w:t>7</w:t>
            </w:r>
            <w:r w:rsidR="00C81F8B" w:rsidRPr="00E630AB">
              <w:rPr>
                <w:sz w:val="18"/>
                <w:szCs w:val="18"/>
              </w:rPr>
              <w:t xml:space="preserve"> </w:t>
            </w:r>
            <w:r w:rsidR="00401648" w:rsidRPr="00E630AB">
              <w:rPr>
                <w:sz w:val="24"/>
                <w:szCs w:val="24"/>
              </w:rPr>
              <w:t>CCPR</w:t>
            </w:r>
            <w:r w:rsidR="00401648" w:rsidRPr="00E630AB">
              <w:rPr>
                <w:sz w:val="18"/>
                <w:szCs w:val="18"/>
              </w:rPr>
              <w:t>/C</w:t>
            </w:r>
            <w:r w:rsidR="00F07E86" w:rsidRPr="00E630AB" w:rsidDel="00F07E86">
              <w:rPr>
                <w:sz w:val="18"/>
                <w:szCs w:val="18"/>
              </w:rPr>
              <w:t xml:space="preserve"> </w:t>
            </w:r>
            <w:r w:rsidR="00E630AB" w:rsidRPr="00E630AB">
              <w:rPr>
                <w:sz w:val="18"/>
                <w:szCs w:val="18"/>
              </w:rPr>
              <w:t>/</w:t>
            </w:r>
            <w:r w:rsidR="00401648" w:rsidRPr="00E630AB">
              <w:rPr>
                <w:sz w:val="18"/>
                <w:szCs w:val="18"/>
              </w:rPr>
              <w:t>138/D/3099/2018</w:t>
            </w:r>
            <w:r w:rsidR="00AD68B4" w:rsidRPr="00E630AB">
              <w:rPr>
                <w:sz w:val="18"/>
                <w:szCs w:val="18"/>
              </w:rPr>
              <w:t>,</w:t>
            </w:r>
            <w:r w:rsidR="00AD68B4" w:rsidRPr="00E630AB">
              <w:rPr>
                <w:sz w:val="19"/>
                <w:szCs w:val="19"/>
              </w:rPr>
              <w:t xml:space="preserve"> </w:t>
            </w:r>
            <w:r w:rsidR="00AD68B4" w:rsidRPr="00E630AB">
              <w:rPr>
                <w:sz w:val="24"/>
                <w:szCs w:val="24"/>
              </w:rPr>
              <w:t>CCPR</w:t>
            </w:r>
            <w:r w:rsidR="00AD68B4" w:rsidRPr="00E630AB">
              <w:rPr>
                <w:sz w:val="19"/>
                <w:szCs w:val="19"/>
              </w:rPr>
              <w:t>/</w:t>
            </w:r>
            <w:r w:rsidR="00AD68B4" w:rsidRPr="00E630AB">
              <w:rPr>
                <w:sz w:val="18"/>
                <w:szCs w:val="18"/>
              </w:rPr>
              <w:t>C</w:t>
            </w:r>
            <w:r w:rsidR="00F07E86" w:rsidRPr="00E630AB" w:rsidDel="00F07E86">
              <w:rPr>
                <w:sz w:val="18"/>
                <w:szCs w:val="18"/>
              </w:rPr>
              <w:t xml:space="preserve"> </w:t>
            </w:r>
            <w:r w:rsidR="00E630AB" w:rsidRPr="00E630AB">
              <w:rPr>
                <w:sz w:val="18"/>
                <w:szCs w:val="18"/>
              </w:rPr>
              <w:t>/</w:t>
            </w:r>
            <w:r w:rsidR="00AD68B4" w:rsidRPr="00E630AB">
              <w:rPr>
                <w:sz w:val="18"/>
                <w:szCs w:val="18"/>
              </w:rPr>
              <w:t>138/D/3234/2018</w:t>
            </w:r>
          </w:p>
        </w:tc>
      </w:tr>
      <w:tr w:rsidR="00B56E9C" w:rsidRPr="00E86AA2" w14:paraId="03DCAF48" w14:textId="77777777" w:rsidTr="007F60AC">
        <w:trPr>
          <w:cantSplit/>
          <w:trHeight w:hRule="exact" w:val="1850"/>
        </w:trPr>
        <w:tc>
          <w:tcPr>
            <w:tcW w:w="1276" w:type="dxa"/>
            <w:tcBorders>
              <w:top w:val="single" w:sz="4" w:space="0" w:color="auto"/>
              <w:bottom w:val="single" w:sz="12" w:space="0" w:color="auto"/>
            </w:tcBorders>
          </w:tcPr>
          <w:p w14:paraId="07372DAA" w14:textId="491A675E" w:rsidR="00B56E9C" w:rsidRPr="00E86AA2" w:rsidRDefault="00B56E9C" w:rsidP="00DC046E">
            <w:pPr>
              <w:spacing w:before="120"/>
            </w:pPr>
          </w:p>
        </w:tc>
        <w:tc>
          <w:tcPr>
            <w:tcW w:w="5528" w:type="dxa"/>
            <w:gridSpan w:val="2"/>
            <w:tcBorders>
              <w:top w:val="single" w:sz="4" w:space="0" w:color="auto"/>
              <w:bottom w:val="single" w:sz="12" w:space="0" w:color="auto"/>
            </w:tcBorders>
          </w:tcPr>
          <w:p w14:paraId="218A2A28" w14:textId="77777777" w:rsidR="008E1621" w:rsidRDefault="008E1621" w:rsidP="00DC046E">
            <w:pPr>
              <w:spacing w:before="120" w:line="380" w:lineRule="exact"/>
              <w:rPr>
                <w:b/>
                <w:sz w:val="34"/>
                <w:szCs w:val="40"/>
              </w:rPr>
            </w:pPr>
          </w:p>
          <w:p w14:paraId="12DC789E" w14:textId="3FE7252E" w:rsidR="00F07E86" w:rsidRPr="00E86AA2" w:rsidRDefault="00F07E86" w:rsidP="00DC046E">
            <w:pPr>
              <w:spacing w:before="120" w:line="380" w:lineRule="exact"/>
              <w:rPr>
                <w:b/>
                <w:sz w:val="34"/>
                <w:szCs w:val="40"/>
              </w:rPr>
            </w:pPr>
            <w:r>
              <w:rPr>
                <w:b/>
                <w:sz w:val="34"/>
                <w:szCs w:val="40"/>
              </w:rPr>
              <w:t>Advance unedited version</w:t>
            </w:r>
          </w:p>
          <w:p w14:paraId="1BB7A2C6" w14:textId="77777777" w:rsidR="00503C65" w:rsidRPr="00E86AA2" w:rsidRDefault="00503C65" w:rsidP="00DC046E">
            <w:pPr>
              <w:spacing w:before="120" w:line="380" w:lineRule="exact"/>
              <w:rPr>
                <w:sz w:val="34"/>
              </w:rPr>
            </w:pPr>
          </w:p>
        </w:tc>
        <w:tc>
          <w:tcPr>
            <w:tcW w:w="2389" w:type="dxa"/>
            <w:tcBorders>
              <w:top w:val="single" w:sz="4" w:space="0" w:color="auto"/>
              <w:bottom w:val="single" w:sz="12" w:space="0" w:color="auto"/>
            </w:tcBorders>
          </w:tcPr>
          <w:p w14:paraId="7CBD85B8" w14:textId="4E7D43B8" w:rsidR="00AC7EDB" w:rsidRPr="00E86AA2" w:rsidRDefault="008A16F2" w:rsidP="00AC7EDB">
            <w:pPr>
              <w:suppressAutoHyphens w:val="0"/>
              <w:spacing w:before="240" w:line="240" w:lineRule="exact"/>
            </w:pPr>
            <w:proofErr w:type="spellStart"/>
            <w:proofErr w:type="gramStart"/>
            <w:r w:rsidRPr="00E86AA2">
              <w:t>Distr</w:t>
            </w:r>
            <w:proofErr w:type="spellEnd"/>
            <w:r w:rsidRPr="00E86AA2">
              <w:t>.:</w:t>
            </w:r>
            <w:r w:rsidR="00F07E86">
              <w:t>General</w:t>
            </w:r>
            <w:proofErr w:type="gramEnd"/>
          </w:p>
          <w:p w14:paraId="79A7C253" w14:textId="369BDB36" w:rsidR="008A16F2" w:rsidRPr="00E86AA2" w:rsidRDefault="00F07E86" w:rsidP="008A16F2">
            <w:pPr>
              <w:spacing w:line="240" w:lineRule="exact"/>
            </w:pPr>
            <w:r>
              <w:t>13 September.</w:t>
            </w:r>
            <w:r w:rsidR="00AC7EDB" w:rsidRPr="00E86AA2">
              <w:t xml:space="preserve"> </w:t>
            </w:r>
            <w:r w:rsidR="00AB07FF" w:rsidRPr="00E86AA2">
              <w:t>2023</w:t>
            </w:r>
          </w:p>
          <w:p w14:paraId="33D6F572" w14:textId="77777777" w:rsidR="008A16F2" w:rsidRPr="00E86AA2" w:rsidRDefault="008A16F2" w:rsidP="008A16F2">
            <w:pPr>
              <w:spacing w:line="240" w:lineRule="exact"/>
            </w:pPr>
          </w:p>
          <w:p w14:paraId="1634D504" w14:textId="143579A4" w:rsidR="008A16F2" w:rsidRPr="00E86AA2" w:rsidRDefault="008A16F2" w:rsidP="00C82642">
            <w:pPr>
              <w:spacing w:line="240" w:lineRule="exact"/>
            </w:pPr>
            <w:r w:rsidRPr="00E86AA2">
              <w:t>English</w:t>
            </w:r>
            <w:r w:rsidR="00AC7EDB" w:rsidRPr="00E86AA2">
              <w:t xml:space="preserve"> </w:t>
            </w:r>
          </w:p>
        </w:tc>
      </w:tr>
    </w:tbl>
    <w:p w14:paraId="5CD41BC6" w14:textId="68BB6657" w:rsidR="00AC7EDB" w:rsidRPr="00E86AA2" w:rsidRDefault="00397AFA" w:rsidP="00F07E86">
      <w:r w:rsidRPr="00E86AA2">
        <w:rPr>
          <w:b/>
          <w:bCs/>
          <w:sz w:val="24"/>
        </w:rPr>
        <w:t>Human Rights Committee</w:t>
      </w:r>
      <w:r w:rsidR="00AB07FF" w:rsidRPr="00E86AA2">
        <w:rPr>
          <w:b/>
          <w:bCs/>
          <w:sz w:val="24"/>
        </w:rPr>
        <w:br/>
      </w:r>
    </w:p>
    <w:p w14:paraId="760744C5" w14:textId="61EB4B94" w:rsidR="00EA285A" w:rsidRPr="00E86AA2" w:rsidRDefault="008A16F2" w:rsidP="00C62CFF">
      <w:pPr>
        <w:pStyle w:val="HChG"/>
      </w:pPr>
      <w:r w:rsidRPr="00E86AA2">
        <w:tab/>
      </w:r>
      <w:r w:rsidRPr="00E86AA2">
        <w:tab/>
      </w:r>
      <w:r w:rsidR="00F07E86">
        <w:t xml:space="preserve">Views adopted by the Committee under article 5 (4) of the Optional Protocol, concerning </w:t>
      </w:r>
      <w:r w:rsidR="00397AFA" w:rsidRPr="00E86AA2">
        <w:t>C</w:t>
      </w:r>
      <w:r w:rsidRPr="00E86AA2">
        <w:t xml:space="preserve">ommunications Nos. </w:t>
      </w:r>
      <w:r w:rsidR="00401648" w:rsidRPr="00E86AA2">
        <w:t>2579/2015</w:t>
      </w:r>
      <w:r w:rsidR="00397AFA" w:rsidRPr="00E86AA2">
        <w:t>,</w:t>
      </w:r>
      <w:r w:rsidR="00401648" w:rsidRPr="00E86AA2">
        <w:t xml:space="preserve"> 2968/2017, 3057/2017, 3059/2017, 3099/2018</w:t>
      </w:r>
      <w:r w:rsidR="009203D7" w:rsidRPr="00E86AA2">
        <w:t>, 3234/2018</w:t>
      </w:r>
      <w:r w:rsidR="00F07E86" w:rsidRPr="008E1621">
        <w:rPr>
          <w:rStyle w:val="FootnoteReference"/>
          <w:sz w:val="20"/>
          <w:vertAlign w:val="baseline"/>
        </w:rPr>
        <w:footnoteReference w:customMarkFollows="1" w:id="2"/>
        <w:t>*</w:t>
      </w:r>
      <w:r w:rsidR="00F07E86" w:rsidRPr="000F010C">
        <w:rPr>
          <w:sz w:val="20"/>
          <w:vertAlign w:val="superscript"/>
        </w:rPr>
        <w:t>,</w:t>
      </w:r>
      <w:r w:rsidR="00F07E86" w:rsidRPr="008E1621">
        <w:rPr>
          <w:rStyle w:val="FootnoteReference"/>
          <w:sz w:val="20"/>
          <w:vertAlign w:val="baseline"/>
        </w:rPr>
        <w:footnoteReference w:customMarkFollows="1" w:id="3"/>
        <w:t>**</w:t>
      </w:r>
    </w:p>
    <w:p w14:paraId="6C836E6E" w14:textId="7389EDF1" w:rsidR="00502356" w:rsidRPr="00E86AA2" w:rsidRDefault="008A16F2" w:rsidP="008A16F2">
      <w:pPr>
        <w:pStyle w:val="SingleTxtG"/>
        <w:ind w:left="4536" w:hanging="3402"/>
        <w:jc w:val="left"/>
      </w:pPr>
      <w:r w:rsidRPr="00E86AA2">
        <w:rPr>
          <w:i/>
        </w:rPr>
        <w:t>Communications submitted by:</w:t>
      </w:r>
      <w:r w:rsidRPr="00E86AA2">
        <w:tab/>
      </w:r>
      <w:r w:rsidR="00502356" w:rsidRPr="00E86AA2">
        <w:t xml:space="preserve">Andrey </w:t>
      </w:r>
      <w:proofErr w:type="spellStart"/>
      <w:r w:rsidR="00502356" w:rsidRPr="00E86AA2">
        <w:t>Strizhak</w:t>
      </w:r>
      <w:proofErr w:type="spellEnd"/>
      <w:r w:rsidR="00397AFA" w:rsidRPr="00E86AA2">
        <w:t xml:space="preserve"> </w:t>
      </w:r>
      <w:r w:rsidRPr="00E86AA2">
        <w:t>(</w:t>
      </w:r>
      <w:r w:rsidR="00502356" w:rsidRPr="00E86AA2">
        <w:t xml:space="preserve">not </w:t>
      </w:r>
      <w:r w:rsidR="00397AFA" w:rsidRPr="00E86AA2">
        <w:t>represented by counsel</w:t>
      </w:r>
      <w:r w:rsidR="00502356" w:rsidRPr="00E86AA2">
        <w:t xml:space="preserve">); Sergey </w:t>
      </w:r>
      <w:proofErr w:type="spellStart"/>
      <w:proofErr w:type="gramStart"/>
      <w:r w:rsidR="00502356" w:rsidRPr="00E86AA2">
        <w:t>Kosobutsky,Viktor</w:t>
      </w:r>
      <w:proofErr w:type="spellEnd"/>
      <w:proofErr w:type="gramEnd"/>
      <w:r w:rsidR="00502356" w:rsidRPr="00E86AA2">
        <w:t xml:space="preserve"> Kozlov, Konstantin </w:t>
      </w:r>
      <w:proofErr w:type="spellStart"/>
      <w:r w:rsidR="00502356" w:rsidRPr="00E86AA2">
        <w:t>Zhukovski</w:t>
      </w:r>
      <w:proofErr w:type="spellEnd"/>
      <w:r w:rsidR="00502356" w:rsidRPr="00E86AA2">
        <w:t xml:space="preserve"> and Leonid </w:t>
      </w:r>
      <w:proofErr w:type="spellStart"/>
      <w:r w:rsidR="00502356" w:rsidRPr="00E86AA2">
        <w:t>Sudalenko</w:t>
      </w:r>
      <w:proofErr w:type="spellEnd"/>
      <w:r w:rsidR="00502356" w:rsidRPr="00E86AA2">
        <w:t xml:space="preserve"> (represented by Sergey </w:t>
      </w:r>
      <w:proofErr w:type="spellStart"/>
      <w:r w:rsidR="00502356" w:rsidRPr="00E86AA2">
        <w:t>Kosobutsky</w:t>
      </w:r>
      <w:proofErr w:type="spellEnd"/>
      <w:r w:rsidR="00502356" w:rsidRPr="00E86AA2">
        <w:t xml:space="preserve">); </w:t>
      </w:r>
      <w:proofErr w:type="spellStart"/>
      <w:r w:rsidR="00502356" w:rsidRPr="00E86AA2">
        <w:t>Zinaida</w:t>
      </w:r>
      <w:proofErr w:type="spellEnd"/>
      <w:r w:rsidR="00502356" w:rsidRPr="00E86AA2">
        <w:t xml:space="preserve"> </w:t>
      </w:r>
      <w:proofErr w:type="spellStart"/>
      <w:r w:rsidR="00502356" w:rsidRPr="00E86AA2">
        <w:t>Shumilina</w:t>
      </w:r>
      <w:proofErr w:type="spellEnd"/>
      <w:r w:rsidR="00502356" w:rsidRPr="00E86AA2">
        <w:t xml:space="preserve">, </w:t>
      </w:r>
      <w:proofErr w:type="spellStart"/>
      <w:r w:rsidR="00502356" w:rsidRPr="00E86AA2">
        <w:t>Vasily</w:t>
      </w:r>
      <w:proofErr w:type="spellEnd"/>
      <w:r w:rsidR="00502356" w:rsidRPr="00E86AA2">
        <w:t xml:space="preserve"> Polyakov and Mikhail </w:t>
      </w:r>
      <w:proofErr w:type="spellStart"/>
      <w:r w:rsidR="00502356" w:rsidRPr="00E86AA2">
        <w:t>Nepomnyashchikh</w:t>
      </w:r>
      <w:proofErr w:type="spellEnd"/>
      <w:r w:rsidR="00502356" w:rsidRPr="00E86AA2">
        <w:t xml:space="preserve"> (</w:t>
      </w:r>
      <w:proofErr w:type="spellStart"/>
      <w:r w:rsidR="00502356" w:rsidRPr="00E86AA2">
        <w:t>reprented</w:t>
      </w:r>
      <w:proofErr w:type="spellEnd"/>
      <w:r w:rsidR="00502356" w:rsidRPr="00E86AA2">
        <w:t xml:space="preserve"> by </w:t>
      </w:r>
      <w:proofErr w:type="spellStart"/>
      <w:r w:rsidR="00502356" w:rsidRPr="00E86AA2">
        <w:t>Zinaida</w:t>
      </w:r>
      <w:proofErr w:type="spellEnd"/>
      <w:r w:rsidR="00502356" w:rsidRPr="00E86AA2">
        <w:t xml:space="preserve"> </w:t>
      </w:r>
      <w:proofErr w:type="spellStart"/>
      <w:r w:rsidR="00502356" w:rsidRPr="00E86AA2">
        <w:t>Shumilina</w:t>
      </w:r>
      <w:proofErr w:type="spellEnd"/>
      <w:r w:rsidR="00502356" w:rsidRPr="00E86AA2">
        <w:t xml:space="preserve">); Viktor Kozlov, Leonid </w:t>
      </w:r>
      <w:proofErr w:type="spellStart"/>
      <w:r w:rsidR="00502356" w:rsidRPr="00E86AA2">
        <w:t>Sudalenko</w:t>
      </w:r>
      <w:proofErr w:type="spellEnd"/>
      <w:r w:rsidR="00502356" w:rsidRPr="00E86AA2">
        <w:t xml:space="preserve"> and Anatoly </w:t>
      </w:r>
      <w:proofErr w:type="spellStart"/>
      <w:r w:rsidR="00502356" w:rsidRPr="00E86AA2">
        <w:t>Poplavny</w:t>
      </w:r>
      <w:proofErr w:type="spellEnd"/>
      <w:r w:rsidR="00502356" w:rsidRPr="00E86AA2">
        <w:t xml:space="preserve"> (represented by Viktor Kozlov); Vladimir </w:t>
      </w:r>
      <w:proofErr w:type="spellStart"/>
      <w:r w:rsidR="00502356" w:rsidRPr="00E86AA2">
        <w:t>Nepomnyashchikh</w:t>
      </w:r>
      <w:proofErr w:type="spellEnd"/>
      <w:r w:rsidR="00502356" w:rsidRPr="00E86AA2">
        <w:t xml:space="preserve"> (represented by counsel, Leonid </w:t>
      </w:r>
      <w:proofErr w:type="spellStart"/>
      <w:r w:rsidR="00502356" w:rsidRPr="00E86AA2">
        <w:t>Sudalenko</w:t>
      </w:r>
      <w:proofErr w:type="spellEnd"/>
      <w:r w:rsidR="00502356" w:rsidRPr="00E86AA2">
        <w:t>)</w:t>
      </w:r>
    </w:p>
    <w:p w14:paraId="6259BB0C" w14:textId="77777777" w:rsidR="008A16F2" w:rsidRPr="00E86AA2" w:rsidRDefault="008A16F2" w:rsidP="008A16F2">
      <w:pPr>
        <w:pStyle w:val="SingleTxtG"/>
        <w:ind w:left="4536" w:hanging="3402"/>
        <w:jc w:val="left"/>
      </w:pPr>
      <w:r w:rsidRPr="00E86AA2">
        <w:rPr>
          <w:i/>
        </w:rPr>
        <w:t>Alleged victims:</w:t>
      </w:r>
      <w:r w:rsidRPr="00E86AA2">
        <w:tab/>
        <w:t>The authors</w:t>
      </w:r>
    </w:p>
    <w:p w14:paraId="2769ACF4" w14:textId="77777777" w:rsidR="008A16F2" w:rsidRPr="00E86AA2" w:rsidRDefault="008A16F2" w:rsidP="008A16F2">
      <w:pPr>
        <w:pStyle w:val="SingleTxtG"/>
        <w:ind w:left="4536" w:hanging="3402"/>
        <w:jc w:val="left"/>
      </w:pPr>
      <w:r w:rsidRPr="00E86AA2">
        <w:rPr>
          <w:i/>
        </w:rPr>
        <w:t>State party:</w:t>
      </w:r>
      <w:r w:rsidRPr="00E86AA2">
        <w:tab/>
        <w:t>Belarus</w:t>
      </w:r>
    </w:p>
    <w:p w14:paraId="1C1CCE35" w14:textId="46CD133A" w:rsidR="008A16F2" w:rsidRPr="00E86AA2" w:rsidRDefault="008A16F2" w:rsidP="008A16F2">
      <w:pPr>
        <w:pStyle w:val="SingleTxtG"/>
        <w:ind w:left="4536" w:hanging="3402"/>
        <w:jc w:val="left"/>
      </w:pPr>
      <w:r w:rsidRPr="00E86AA2">
        <w:rPr>
          <w:i/>
        </w:rPr>
        <w:t>Dates of communications:</w:t>
      </w:r>
      <w:r w:rsidRPr="00E86AA2">
        <w:tab/>
      </w:r>
      <w:r w:rsidR="00397AFA" w:rsidRPr="00E86AA2">
        <w:t>20</w:t>
      </w:r>
      <w:r w:rsidRPr="00E86AA2">
        <w:t xml:space="preserve"> </w:t>
      </w:r>
      <w:r w:rsidR="00314839" w:rsidRPr="00E86AA2">
        <w:t>August</w:t>
      </w:r>
      <w:r w:rsidRPr="00E86AA2">
        <w:t xml:space="preserve"> 201</w:t>
      </w:r>
      <w:r w:rsidR="00A663CF" w:rsidRPr="00E86AA2">
        <w:t>4</w:t>
      </w:r>
      <w:r w:rsidRPr="00E86AA2">
        <w:t xml:space="preserve"> (communication No. </w:t>
      </w:r>
      <w:r w:rsidR="00397AFA" w:rsidRPr="00E86AA2">
        <w:t>2</w:t>
      </w:r>
      <w:r w:rsidR="00314839" w:rsidRPr="00E86AA2">
        <w:t>57</w:t>
      </w:r>
      <w:r w:rsidR="00397AFA" w:rsidRPr="00E86AA2">
        <w:t>9/201</w:t>
      </w:r>
      <w:r w:rsidR="00314839" w:rsidRPr="00E86AA2">
        <w:t>5</w:t>
      </w:r>
      <w:r w:rsidRPr="00E86AA2">
        <w:t>); 2</w:t>
      </w:r>
      <w:r w:rsidR="00314839" w:rsidRPr="00E86AA2">
        <w:t>7</w:t>
      </w:r>
      <w:r w:rsidRPr="00E86AA2">
        <w:t xml:space="preserve"> </w:t>
      </w:r>
      <w:r w:rsidR="00397AFA" w:rsidRPr="00E86AA2">
        <w:t xml:space="preserve">February </w:t>
      </w:r>
      <w:r w:rsidRPr="00E86AA2">
        <w:t>201</w:t>
      </w:r>
      <w:r w:rsidR="00397AFA" w:rsidRPr="00E86AA2">
        <w:t>7</w:t>
      </w:r>
      <w:r w:rsidRPr="00E86AA2">
        <w:t xml:space="preserve"> (communication No. </w:t>
      </w:r>
      <w:r w:rsidR="00314839" w:rsidRPr="00E86AA2">
        <w:t>2968</w:t>
      </w:r>
      <w:r w:rsidR="00397AFA" w:rsidRPr="00E86AA2">
        <w:t>/2017</w:t>
      </w:r>
      <w:r w:rsidRPr="00E86AA2">
        <w:t xml:space="preserve">); </w:t>
      </w:r>
      <w:r w:rsidR="00314839" w:rsidRPr="00E86AA2">
        <w:t>7</w:t>
      </w:r>
      <w:r w:rsidR="00773836" w:rsidRPr="00E86AA2">
        <w:t xml:space="preserve"> </w:t>
      </w:r>
      <w:r w:rsidR="00314839" w:rsidRPr="00E86AA2">
        <w:t>May</w:t>
      </w:r>
      <w:r w:rsidR="00773836" w:rsidRPr="00E86AA2">
        <w:t xml:space="preserve"> 201</w:t>
      </w:r>
      <w:r w:rsidR="00A663CF" w:rsidRPr="00E86AA2">
        <w:t>6</w:t>
      </w:r>
      <w:r w:rsidR="00773836" w:rsidRPr="00E86AA2">
        <w:t xml:space="preserve"> (communication No. 3</w:t>
      </w:r>
      <w:r w:rsidR="00314839" w:rsidRPr="00E86AA2">
        <w:t>057</w:t>
      </w:r>
      <w:r w:rsidR="00773836" w:rsidRPr="00E86AA2">
        <w:t>/201</w:t>
      </w:r>
      <w:r w:rsidR="00314839" w:rsidRPr="00E86AA2">
        <w:t>7</w:t>
      </w:r>
      <w:r w:rsidR="00773836" w:rsidRPr="00E86AA2">
        <w:t>);</w:t>
      </w:r>
      <w:r w:rsidR="00A663CF" w:rsidRPr="00E86AA2">
        <w:t xml:space="preserve"> 7 May 2016 (communication No. 3059/2017);</w:t>
      </w:r>
      <w:r w:rsidR="00773836" w:rsidRPr="00E86AA2">
        <w:t xml:space="preserve"> </w:t>
      </w:r>
      <w:r w:rsidR="00A663CF" w:rsidRPr="00E86AA2">
        <w:t>9 October</w:t>
      </w:r>
      <w:r w:rsidRPr="00E86AA2">
        <w:t xml:space="preserve"> 201</w:t>
      </w:r>
      <w:r w:rsidR="00773836" w:rsidRPr="00E86AA2">
        <w:t>7</w:t>
      </w:r>
      <w:r w:rsidRPr="00E86AA2">
        <w:t xml:space="preserve"> (communication No. </w:t>
      </w:r>
      <w:r w:rsidR="00397AFA" w:rsidRPr="00E86AA2">
        <w:t>3</w:t>
      </w:r>
      <w:r w:rsidR="00A663CF" w:rsidRPr="00E86AA2">
        <w:t>099</w:t>
      </w:r>
      <w:r w:rsidR="00397AFA" w:rsidRPr="00E86AA2">
        <w:t>/2018</w:t>
      </w:r>
      <w:r w:rsidR="00573B80" w:rsidRPr="00E86AA2">
        <w:t xml:space="preserve"> and No. 3234/2018)</w:t>
      </w:r>
      <w:r w:rsidR="00397AFA" w:rsidRPr="00E86AA2">
        <w:t xml:space="preserve"> </w:t>
      </w:r>
      <w:r w:rsidRPr="00E86AA2">
        <w:t>(initial submissions)</w:t>
      </w:r>
    </w:p>
    <w:p w14:paraId="181F7843" w14:textId="05926DBB" w:rsidR="008A16F2" w:rsidRPr="00E86AA2" w:rsidRDefault="008A16F2" w:rsidP="008A16F2">
      <w:pPr>
        <w:pStyle w:val="SingleTxtG"/>
        <w:ind w:left="4536" w:hanging="3402"/>
        <w:jc w:val="left"/>
        <w:rPr>
          <w:rFonts w:eastAsia="SimSun"/>
          <w:lang w:eastAsia="zh-CN"/>
        </w:rPr>
      </w:pPr>
      <w:r w:rsidRPr="00E86AA2">
        <w:rPr>
          <w:i/>
        </w:rPr>
        <w:t>Document references:</w:t>
      </w:r>
      <w:r w:rsidRPr="00E86AA2">
        <w:tab/>
      </w:r>
      <w:r w:rsidRPr="00E86AA2">
        <w:rPr>
          <w:rFonts w:eastAsia="SimSun"/>
          <w:lang w:eastAsia="zh-CN"/>
        </w:rPr>
        <w:t xml:space="preserve">Decisions taken pursuant to rule 92 of the Committee’s rules of procedure, transmitted to the State party on </w:t>
      </w:r>
      <w:r w:rsidR="00492C83" w:rsidRPr="00E86AA2">
        <w:rPr>
          <w:rFonts w:eastAsia="SimSun"/>
          <w:lang w:eastAsia="zh-CN"/>
        </w:rPr>
        <w:t>4 March 2015</w:t>
      </w:r>
      <w:r w:rsidRPr="00E86AA2">
        <w:rPr>
          <w:rFonts w:eastAsia="SimSun"/>
          <w:lang w:eastAsia="zh-CN"/>
        </w:rPr>
        <w:t xml:space="preserve"> (communication No. </w:t>
      </w:r>
      <w:r w:rsidR="00492C83" w:rsidRPr="00E86AA2">
        <w:t>2579/2015</w:t>
      </w:r>
      <w:r w:rsidRPr="00E86AA2">
        <w:rPr>
          <w:rFonts w:eastAsia="SimSun"/>
          <w:lang w:eastAsia="zh-CN"/>
        </w:rPr>
        <w:t>); 1</w:t>
      </w:r>
      <w:r w:rsidR="00492C83" w:rsidRPr="00E86AA2">
        <w:rPr>
          <w:rFonts w:eastAsia="SimSun"/>
          <w:lang w:eastAsia="zh-CN"/>
        </w:rPr>
        <w:t>5</w:t>
      </w:r>
      <w:r w:rsidRPr="00E86AA2">
        <w:rPr>
          <w:rFonts w:eastAsia="SimSun"/>
          <w:lang w:eastAsia="zh-CN"/>
        </w:rPr>
        <w:t xml:space="preserve"> </w:t>
      </w:r>
      <w:r w:rsidR="00492C83" w:rsidRPr="00E86AA2">
        <w:rPr>
          <w:rFonts w:eastAsia="SimSun"/>
          <w:lang w:eastAsia="zh-CN"/>
        </w:rPr>
        <w:t xml:space="preserve">March </w:t>
      </w:r>
      <w:r w:rsidRPr="00E86AA2">
        <w:rPr>
          <w:rFonts w:eastAsia="SimSun"/>
          <w:lang w:eastAsia="zh-CN"/>
        </w:rPr>
        <w:t>201</w:t>
      </w:r>
      <w:r w:rsidR="00773836" w:rsidRPr="00E86AA2">
        <w:rPr>
          <w:rFonts w:eastAsia="SimSun"/>
          <w:lang w:eastAsia="zh-CN"/>
        </w:rPr>
        <w:t>7</w:t>
      </w:r>
      <w:r w:rsidRPr="00E86AA2">
        <w:rPr>
          <w:rFonts w:eastAsia="SimSun"/>
          <w:lang w:eastAsia="zh-CN"/>
        </w:rPr>
        <w:t xml:space="preserve"> (communication No. </w:t>
      </w:r>
      <w:r w:rsidR="00492C83" w:rsidRPr="00E86AA2">
        <w:t>2968/2017</w:t>
      </w:r>
      <w:r w:rsidRPr="00E86AA2">
        <w:rPr>
          <w:rFonts w:eastAsia="SimSun"/>
          <w:lang w:eastAsia="zh-CN"/>
        </w:rPr>
        <w:t xml:space="preserve">); </w:t>
      </w:r>
      <w:r w:rsidR="00492C83" w:rsidRPr="00E86AA2">
        <w:rPr>
          <w:rFonts w:eastAsia="SimSun"/>
          <w:lang w:eastAsia="zh-CN"/>
        </w:rPr>
        <w:t>29</w:t>
      </w:r>
      <w:r w:rsidR="00773836" w:rsidRPr="00E86AA2">
        <w:t xml:space="preserve"> </w:t>
      </w:r>
      <w:r w:rsidR="00492C83" w:rsidRPr="00E86AA2">
        <w:t xml:space="preserve">November </w:t>
      </w:r>
      <w:r w:rsidR="00773836" w:rsidRPr="00E86AA2">
        <w:t>201</w:t>
      </w:r>
      <w:r w:rsidR="00492C83" w:rsidRPr="00E86AA2">
        <w:t>7</w:t>
      </w:r>
      <w:r w:rsidR="00773836" w:rsidRPr="00E86AA2">
        <w:rPr>
          <w:rFonts w:eastAsia="SimSun"/>
          <w:lang w:eastAsia="zh-CN"/>
        </w:rPr>
        <w:t xml:space="preserve"> (communication No</w:t>
      </w:r>
      <w:r w:rsidR="00A25B9F" w:rsidRPr="00E86AA2">
        <w:rPr>
          <w:rFonts w:eastAsia="SimSun"/>
          <w:lang w:eastAsia="zh-CN"/>
        </w:rPr>
        <w:t>.</w:t>
      </w:r>
      <w:r w:rsidR="00773836" w:rsidRPr="00E86AA2">
        <w:rPr>
          <w:rFonts w:eastAsia="SimSun"/>
          <w:lang w:eastAsia="zh-CN"/>
        </w:rPr>
        <w:t xml:space="preserve"> </w:t>
      </w:r>
      <w:r w:rsidR="0042405B" w:rsidRPr="00E86AA2">
        <w:t>3057/2017</w:t>
      </w:r>
      <w:r w:rsidR="00773836" w:rsidRPr="00E86AA2">
        <w:rPr>
          <w:rFonts w:eastAsia="SimSun"/>
          <w:lang w:eastAsia="zh-CN"/>
        </w:rPr>
        <w:t>)</w:t>
      </w:r>
      <w:r w:rsidR="0042405B" w:rsidRPr="00E86AA2">
        <w:rPr>
          <w:rFonts w:eastAsia="SimSun"/>
          <w:lang w:eastAsia="zh-CN"/>
        </w:rPr>
        <w:t xml:space="preserve">; </w:t>
      </w:r>
      <w:r w:rsidR="007D3B85" w:rsidRPr="00E86AA2">
        <w:rPr>
          <w:rFonts w:eastAsia="SimSun"/>
          <w:lang w:eastAsia="zh-CN"/>
        </w:rPr>
        <w:t xml:space="preserve">1 </w:t>
      </w:r>
      <w:r w:rsidR="0042405B" w:rsidRPr="00E86AA2">
        <w:rPr>
          <w:rFonts w:eastAsia="SimSun"/>
          <w:lang w:eastAsia="zh-CN"/>
        </w:rPr>
        <w:t xml:space="preserve">December </w:t>
      </w:r>
      <w:r w:rsidR="007D3B85" w:rsidRPr="00E86AA2">
        <w:rPr>
          <w:rFonts w:eastAsia="SimSun"/>
          <w:lang w:eastAsia="zh-CN"/>
        </w:rPr>
        <w:t>201</w:t>
      </w:r>
      <w:r w:rsidR="0042405B" w:rsidRPr="00E86AA2">
        <w:rPr>
          <w:rFonts w:eastAsia="SimSun"/>
          <w:lang w:eastAsia="zh-CN"/>
        </w:rPr>
        <w:t>7</w:t>
      </w:r>
      <w:r w:rsidR="007D3B85" w:rsidRPr="00E86AA2">
        <w:rPr>
          <w:rFonts w:eastAsia="SimSun"/>
          <w:lang w:eastAsia="zh-CN"/>
        </w:rPr>
        <w:t xml:space="preserve"> </w:t>
      </w:r>
      <w:r w:rsidRPr="00E86AA2">
        <w:rPr>
          <w:rFonts w:eastAsia="SimSun"/>
          <w:lang w:eastAsia="zh-CN"/>
        </w:rPr>
        <w:t xml:space="preserve">(communication No. </w:t>
      </w:r>
      <w:r w:rsidR="0042405B" w:rsidRPr="00E86AA2">
        <w:t>3059/2017</w:t>
      </w:r>
      <w:r w:rsidR="00773836" w:rsidRPr="00E86AA2">
        <w:rPr>
          <w:rFonts w:eastAsia="SimSun"/>
          <w:lang w:eastAsia="zh-CN"/>
        </w:rPr>
        <w:t>)</w:t>
      </w:r>
      <w:r w:rsidR="0042405B" w:rsidRPr="00E86AA2">
        <w:rPr>
          <w:rFonts w:eastAsia="SimSun"/>
          <w:lang w:eastAsia="zh-CN"/>
        </w:rPr>
        <w:t>; 10 January 2018 (communication No.</w:t>
      </w:r>
      <w:r w:rsidR="0042405B" w:rsidRPr="00E86AA2">
        <w:t xml:space="preserve"> 3099/2018)</w:t>
      </w:r>
      <w:r w:rsidR="002B7A34" w:rsidRPr="00E86AA2">
        <w:t xml:space="preserve"> and 18 December 2018 (</w:t>
      </w:r>
      <w:r w:rsidR="002B7A34" w:rsidRPr="00E86AA2">
        <w:rPr>
          <w:rFonts w:eastAsia="SimSun"/>
          <w:lang w:eastAsia="zh-CN"/>
        </w:rPr>
        <w:t>communication No.</w:t>
      </w:r>
      <w:r w:rsidR="00153DFD" w:rsidRPr="00E86AA2">
        <w:rPr>
          <w:rFonts w:eastAsia="SimSun"/>
          <w:lang w:eastAsia="zh-CN"/>
        </w:rPr>
        <w:t xml:space="preserve"> </w:t>
      </w:r>
      <w:r w:rsidR="002B7A34" w:rsidRPr="00E86AA2">
        <w:rPr>
          <w:rFonts w:eastAsia="SimSun"/>
          <w:lang w:eastAsia="zh-CN"/>
        </w:rPr>
        <w:t>3234/2018)</w:t>
      </w:r>
    </w:p>
    <w:p w14:paraId="0A554DE0" w14:textId="4F7B4FB5" w:rsidR="008A16F2" w:rsidRPr="00E86AA2" w:rsidRDefault="008A16F2" w:rsidP="00C62CFF">
      <w:pPr>
        <w:pStyle w:val="SingleTxtG"/>
        <w:ind w:left="4536" w:hanging="3402"/>
        <w:jc w:val="left"/>
        <w:rPr>
          <w:i/>
        </w:rPr>
      </w:pPr>
      <w:r w:rsidRPr="00E86AA2">
        <w:rPr>
          <w:i/>
        </w:rPr>
        <w:t>Date of adoption of Views:</w:t>
      </w:r>
      <w:r w:rsidRPr="00E86AA2">
        <w:tab/>
      </w:r>
      <w:r w:rsidR="00651DC2">
        <w:t>7</w:t>
      </w:r>
      <w:r w:rsidR="00795DA6" w:rsidRPr="00E86AA2">
        <w:t xml:space="preserve"> </w:t>
      </w:r>
      <w:r w:rsidR="00401648" w:rsidRPr="00E86AA2">
        <w:t>July</w:t>
      </w:r>
      <w:r w:rsidR="00773836" w:rsidRPr="00E86AA2">
        <w:t xml:space="preserve"> 2023</w:t>
      </w:r>
    </w:p>
    <w:p w14:paraId="0599524F" w14:textId="7FA5F796" w:rsidR="008A16F2" w:rsidRPr="00E86AA2" w:rsidRDefault="008A16F2" w:rsidP="008A16F2">
      <w:pPr>
        <w:pStyle w:val="SingleTxtG"/>
        <w:ind w:left="4536" w:hanging="3402"/>
        <w:jc w:val="left"/>
      </w:pPr>
      <w:r w:rsidRPr="00E86AA2">
        <w:rPr>
          <w:i/>
          <w:iCs/>
        </w:rPr>
        <w:lastRenderedPageBreak/>
        <w:t>Subject matter:</w:t>
      </w:r>
      <w:r w:rsidRPr="00E86AA2">
        <w:tab/>
      </w:r>
      <w:r w:rsidR="00573B80" w:rsidRPr="00E86AA2">
        <w:t xml:space="preserve">Refusal of local authorities to authorize organization of peaceful </w:t>
      </w:r>
      <w:r w:rsidR="00B0098A" w:rsidRPr="00E86AA2">
        <w:t>assemblies</w:t>
      </w:r>
    </w:p>
    <w:p w14:paraId="65F7628F" w14:textId="38691F61" w:rsidR="008A16F2" w:rsidRPr="00E86AA2" w:rsidRDefault="008A16F2" w:rsidP="008A16F2">
      <w:pPr>
        <w:pStyle w:val="SingleTxtG"/>
        <w:ind w:left="4536" w:hanging="3402"/>
        <w:jc w:val="left"/>
        <w:rPr>
          <w:lang w:val="en-US"/>
        </w:rPr>
      </w:pPr>
      <w:r w:rsidRPr="00E86AA2">
        <w:rPr>
          <w:i/>
          <w:iCs/>
        </w:rPr>
        <w:t xml:space="preserve">Procedural issue: </w:t>
      </w:r>
      <w:r w:rsidRPr="00E86AA2">
        <w:rPr>
          <w:i/>
          <w:iCs/>
        </w:rPr>
        <w:tab/>
      </w:r>
      <w:r w:rsidRPr="00E86AA2">
        <w:t xml:space="preserve">Exhaustion of domestic remedies </w:t>
      </w:r>
    </w:p>
    <w:p w14:paraId="5E8CFB30" w14:textId="7AEAC40A" w:rsidR="008A16F2" w:rsidRPr="00E86AA2" w:rsidRDefault="008A16F2" w:rsidP="008A16F2">
      <w:pPr>
        <w:pStyle w:val="SingleTxtG"/>
        <w:ind w:left="4536" w:hanging="3402"/>
        <w:jc w:val="left"/>
      </w:pPr>
      <w:r w:rsidRPr="00E86AA2">
        <w:rPr>
          <w:i/>
          <w:iCs/>
        </w:rPr>
        <w:t xml:space="preserve">Substantive issues: </w:t>
      </w:r>
      <w:r w:rsidRPr="00E86AA2">
        <w:rPr>
          <w:i/>
          <w:iCs/>
        </w:rPr>
        <w:tab/>
      </w:r>
      <w:r w:rsidRPr="00E86AA2">
        <w:rPr>
          <w:iCs/>
        </w:rPr>
        <w:t xml:space="preserve">Freedom </w:t>
      </w:r>
      <w:r w:rsidRPr="00E86AA2">
        <w:t>of expression</w:t>
      </w:r>
      <w:r w:rsidR="00151169" w:rsidRPr="00E86AA2">
        <w:t>, right to peaceful assembly</w:t>
      </w:r>
    </w:p>
    <w:p w14:paraId="618D4836" w14:textId="1EE69432" w:rsidR="008A16F2" w:rsidRPr="00E86AA2" w:rsidRDefault="008A16F2" w:rsidP="008A16F2">
      <w:pPr>
        <w:pStyle w:val="SingleTxtG"/>
        <w:ind w:left="4536" w:hanging="3402"/>
        <w:jc w:val="left"/>
        <w:rPr>
          <w:lang w:val="en-US"/>
        </w:rPr>
      </w:pPr>
      <w:r w:rsidRPr="00E86AA2">
        <w:rPr>
          <w:i/>
          <w:iCs/>
        </w:rPr>
        <w:t>Articles of the Covenant:</w:t>
      </w:r>
      <w:r w:rsidRPr="00E86AA2">
        <w:t xml:space="preserve"> </w:t>
      </w:r>
      <w:r w:rsidRPr="00E86AA2">
        <w:tab/>
        <w:t>2 (2) and (3), 19</w:t>
      </w:r>
      <w:r w:rsidR="00573B80" w:rsidRPr="00E86AA2">
        <w:t xml:space="preserve"> and 21</w:t>
      </w:r>
      <w:r w:rsidRPr="00E86AA2">
        <w:t xml:space="preserve"> </w:t>
      </w:r>
    </w:p>
    <w:p w14:paraId="04182F6A" w14:textId="3AFD65EF" w:rsidR="008A16F2" w:rsidRPr="00E86AA2" w:rsidRDefault="008A16F2" w:rsidP="008A16F2">
      <w:pPr>
        <w:pStyle w:val="SingleTxtG"/>
        <w:ind w:left="4536" w:hanging="3402"/>
        <w:jc w:val="left"/>
        <w:rPr>
          <w:iCs/>
        </w:rPr>
      </w:pPr>
      <w:r w:rsidRPr="00E86AA2">
        <w:rPr>
          <w:i/>
          <w:iCs/>
        </w:rPr>
        <w:t>Articles of the Optional Protocol:</w:t>
      </w:r>
      <w:r w:rsidRPr="00E86AA2">
        <w:rPr>
          <w:i/>
          <w:iCs/>
        </w:rPr>
        <w:tab/>
      </w:r>
      <w:r w:rsidRPr="00E86AA2">
        <w:rPr>
          <w:iCs/>
        </w:rPr>
        <w:t>2 and 5(2)(b)</w:t>
      </w:r>
    </w:p>
    <w:p w14:paraId="2EDFA949" w14:textId="09E732BF" w:rsidR="008A16F2" w:rsidRPr="00E86AA2" w:rsidRDefault="008A16F2" w:rsidP="00AC7EDB">
      <w:pPr>
        <w:pStyle w:val="SingleTxtG"/>
      </w:pPr>
      <w:r w:rsidRPr="00E86AA2">
        <w:t>1.</w:t>
      </w:r>
      <w:r w:rsidR="00C848EB" w:rsidRPr="00E86AA2">
        <w:t>1</w:t>
      </w:r>
      <w:r w:rsidRPr="00E86AA2">
        <w:tab/>
        <w:t xml:space="preserve">The authors of the communications are </w:t>
      </w:r>
      <w:r w:rsidR="00532256" w:rsidRPr="00E86AA2">
        <w:t xml:space="preserve">Andrey </w:t>
      </w:r>
      <w:proofErr w:type="spellStart"/>
      <w:r w:rsidR="00532256" w:rsidRPr="00E86AA2">
        <w:t>Strizhak</w:t>
      </w:r>
      <w:proofErr w:type="spellEnd"/>
      <w:r w:rsidR="00532256" w:rsidRPr="00E86AA2">
        <w:t xml:space="preserve"> </w:t>
      </w:r>
      <w:r w:rsidR="00CD6D75" w:rsidRPr="00E86AA2">
        <w:t>(author</w:t>
      </w:r>
      <w:r w:rsidR="00532256" w:rsidRPr="00E86AA2">
        <w:t xml:space="preserve"> of the</w:t>
      </w:r>
      <w:r w:rsidR="00CD6D75" w:rsidRPr="00E86AA2">
        <w:t xml:space="preserve"> </w:t>
      </w:r>
      <w:r w:rsidRPr="00E86AA2">
        <w:t>communication No.</w:t>
      </w:r>
      <w:r w:rsidR="00A25B9F" w:rsidRPr="00E86AA2">
        <w:t xml:space="preserve"> 2</w:t>
      </w:r>
      <w:r w:rsidR="00532256" w:rsidRPr="00E86AA2">
        <w:t>579</w:t>
      </w:r>
      <w:r w:rsidR="00A25B9F" w:rsidRPr="00E86AA2">
        <w:t>/201</w:t>
      </w:r>
      <w:r w:rsidR="00532256" w:rsidRPr="00E86AA2">
        <w:t>5</w:t>
      </w:r>
      <w:r w:rsidRPr="00E86AA2">
        <w:t xml:space="preserve">), </w:t>
      </w:r>
      <w:r w:rsidR="00532256" w:rsidRPr="00E86AA2">
        <w:t xml:space="preserve">Sergey </w:t>
      </w:r>
      <w:proofErr w:type="spellStart"/>
      <w:r w:rsidR="00532256" w:rsidRPr="00E86AA2">
        <w:t>Kosobutsky,Viktor</w:t>
      </w:r>
      <w:proofErr w:type="spellEnd"/>
      <w:r w:rsidR="00153DFD" w:rsidRPr="00E86AA2">
        <w:t xml:space="preserve"> </w:t>
      </w:r>
      <w:r w:rsidR="00532256" w:rsidRPr="00E86AA2">
        <w:t xml:space="preserve">Kozlov, Konstantin </w:t>
      </w:r>
      <w:proofErr w:type="spellStart"/>
      <w:r w:rsidR="00532256" w:rsidRPr="00E86AA2">
        <w:t>Zhukovski</w:t>
      </w:r>
      <w:proofErr w:type="spellEnd"/>
      <w:r w:rsidR="00532256" w:rsidRPr="00E86AA2">
        <w:t xml:space="preserve"> and Leonid </w:t>
      </w:r>
      <w:proofErr w:type="spellStart"/>
      <w:r w:rsidR="00532256" w:rsidRPr="00E86AA2">
        <w:t>Sudalenko</w:t>
      </w:r>
      <w:proofErr w:type="spellEnd"/>
      <w:r w:rsidR="00532256" w:rsidRPr="00E86AA2">
        <w:t xml:space="preserve"> </w:t>
      </w:r>
      <w:r w:rsidR="00CD6D75" w:rsidRPr="00E86AA2">
        <w:t>(author</w:t>
      </w:r>
      <w:r w:rsidR="00532256" w:rsidRPr="00E86AA2">
        <w:t xml:space="preserve">s of the </w:t>
      </w:r>
      <w:r w:rsidRPr="00E86AA2">
        <w:t>communication No.</w:t>
      </w:r>
      <w:r w:rsidR="00532256" w:rsidRPr="00E86AA2">
        <w:t xml:space="preserve"> 2968/2017</w:t>
      </w:r>
      <w:r w:rsidRPr="00E86AA2">
        <w:t xml:space="preserve">), </w:t>
      </w:r>
      <w:proofErr w:type="spellStart"/>
      <w:r w:rsidR="00532256" w:rsidRPr="00E86AA2">
        <w:t>Zinaida</w:t>
      </w:r>
      <w:proofErr w:type="spellEnd"/>
      <w:r w:rsidR="00532256" w:rsidRPr="00E86AA2">
        <w:t xml:space="preserve"> </w:t>
      </w:r>
      <w:proofErr w:type="spellStart"/>
      <w:r w:rsidR="00532256" w:rsidRPr="00E86AA2">
        <w:t>Shumilina</w:t>
      </w:r>
      <w:proofErr w:type="spellEnd"/>
      <w:r w:rsidR="00532256" w:rsidRPr="00E86AA2">
        <w:t xml:space="preserve">, </w:t>
      </w:r>
      <w:proofErr w:type="spellStart"/>
      <w:r w:rsidR="00532256" w:rsidRPr="00E86AA2">
        <w:t>Vasily</w:t>
      </w:r>
      <w:proofErr w:type="spellEnd"/>
      <w:r w:rsidR="00532256" w:rsidRPr="00E86AA2">
        <w:t xml:space="preserve"> Polyakov and Mikhail </w:t>
      </w:r>
      <w:proofErr w:type="spellStart"/>
      <w:r w:rsidR="00532256" w:rsidRPr="00E86AA2">
        <w:t>Nepomnyashchikh</w:t>
      </w:r>
      <w:proofErr w:type="spellEnd"/>
      <w:r w:rsidR="00532256" w:rsidRPr="00E86AA2">
        <w:t xml:space="preserve"> </w:t>
      </w:r>
      <w:r w:rsidR="00CD6D75" w:rsidRPr="00E86AA2">
        <w:t>(author</w:t>
      </w:r>
      <w:r w:rsidR="00532256" w:rsidRPr="00E86AA2">
        <w:t xml:space="preserve">s of the </w:t>
      </w:r>
      <w:r w:rsidRPr="00E86AA2">
        <w:t>communication</w:t>
      </w:r>
      <w:r w:rsidR="00795DA6" w:rsidRPr="00E86AA2">
        <w:t>s</w:t>
      </w:r>
      <w:r w:rsidRPr="00E86AA2">
        <w:t xml:space="preserve"> No. </w:t>
      </w:r>
      <w:r w:rsidR="00532256" w:rsidRPr="00E86AA2">
        <w:t>3057/2017</w:t>
      </w:r>
      <w:r w:rsidRPr="00E86AA2">
        <w:t xml:space="preserve">), </w:t>
      </w:r>
      <w:r w:rsidR="00532256" w:rsidRPr="00E86AA2">
        <w:t xml:space="preserve">Viktor Kozlov, Leonid </w:t>
      </w:r>
      <w:proofErr w:type="spellStart"/>
      <w:r w:rsidR="00532256" w:rsidRPr="00E86AA2">
        <w:t>Sudalenko</w:t>
      </w:r>
      <w:proofErr w:type="spellEnd"/>
      <w:r w:rsidR="00532256" w:rsidRPr="00E86AA2">
        <w:t xml:space="preserve"> and Anatoly </w:t>
      </w:r>
      <w:proofErr w:type="spellStart"/>
      <w:r w:rsidR="00532256" w:rsidRPr="00E86AA2">
        <w:t>Poplavny</w:t>
      </w:r>
      <w:proofErr w:type="spellEnd"/>
      <w:r w:rsidR="00532256" w:rsidRPr="00E86AA2">
        <w:t xml:space="preserve"> (authors of the communication No. 3059/2017), </w:t>
      </w:r>
      <w:r w:rsidR="00A25B9F" w:rsidRPr="00E86AA2">
        <w:t xml:space="preserve">and </w:t>
      </w:r>
      <w:r w:rsidR="00532256" w:rsidRPr="00E86AA2">
        <w:t xml:space="preserve">Vladimir </w:t>
      </w:r>
      <w:proofErr w:type="spellStart"/>
      <w:r w:rsidR="00532256" w:rsidRPr="00E86AA2">
        <w:t>Nepomnyashchikh</w:t>
      </w:r>
      <w:proofErr w:type="spellEnd"/>
      <w:r w:rsidR="00532256" w:rsidRPr="00E86AA2">
        <w:t xml:space="preserve"> </w:t>
      </w:r>
      <w:r w:rsidR="00CD6D75" w:rsidRPr="00E86AA2">
        <w:t>(author</w:t>
      </w:r>
      <w:r w:rsidR="00532256" w:rsidRPr="00E86AA2">
        <w:t xml:space="preserve"> of the </w:t>
      </w:r>
      <w:r w:rsidRPr="00E86AA2">
        <w:rPr>
          <w:lang w:val="en-US"/>
        </w:rPr>
        <w:t xml:space="preserve">communication No. </w:t>
      </w:r>
      <w:r w:rsidR="00532256" w:rsidRPr="00E86AA2">
        <w:t>3099/2018</w:t>
      </w:r>
      <w:r w:rsidR="00795DA6" w:rsidRPr="00E86AA2">
        <w:t xml:space="preserve"> and No. 3234/2018</w:t>
      </w:r>
      <w:r w:rsidRPr="00E86AA2">
        <w:rPr>
          <w:lang w:val="en-US"/>
        </w:rPr>
        <w:t xml:space="preserve">). The authors are </w:t>
      </w:r>
      <w:r w:rsidRPr="00E86AA2">
        <w:t xml:space="preserve">nationals of Belarus. They claim that the State party has violated their rights under articles 2 (2), </w:t>
      </w:r>
      <w:r w:rsidR="00BD5D22" w:rsidRPr="00E86AA2">
        <w:t xml:space="preserve">2 </w:t>
      </w:r>
      <w:r w:rsidRPr="00E86AA2">
        <w:t>(3)</w:t>
      </w:r>
      <w:r w:rsidR="00532256" w:rsidRPr="00E86AA2">
        <w:t>, 19</w:t>
      </w:r>
      <w:r w:rsidRPr="00E86AA2">
        <w:t xml:space="preserve"> </w:t>
      </w:r>
      <w:r w:rsidR="00A25B9F" w:rsidRPr="00E86AA2">
        <w:t xml:space="preserve">and </w:t>
      </w:r>
      <w:r w:rsidR="00532256" w:rsidRPr="00E86AA2">
        <w:t>2</w:t>
      </w:r>
      <w:r w:rsidRPr="00E86AA2">
        <w:t xml:space="preserve">1 of the International Covenant on Civil and Political Rights. The Optional Protocol entered into force for Belarus on 30 December 1992. </w:t>
      </w:r>
    </w:p>
    <w:p w14:paraId="556E1CB3" w14:textId="20CB0D76" w:rsidR="00C848EB" w:rsidRPr="00E86AA2" w:rsidRDefault="00C848EB" w:rsidP="00AC7EDB">
      <w:pPr>
        <w:pStyle w:val="SingleTxtG"/>
        <w:rPr>
          <w:sz w:val="22"/>
          <w:szCs w:val="22"/>
          <w:lang w:val="en-US"/>
        </w:rPr>
      </w:pPr>
      <w:r w:rsidRPr="00E86AA2">
        <w:t>1.2</w:t>
      </w:r>
      <w:r w:rsidRPr="00E86AA2">
        <w:tab/>
        <w:t xml:space="preserve">On </w:t>
      </w:r>
      <w:r w:rsidR="00054580" w:rsidRPr="00E86AA2">
        <w:t>… July</w:t>
      </w:r>
      <w:r w:rsidRPr="00E86AA2">
        <w:t xml:space="preserve"> 2023, pursuant to rule 97 (3) of the Committee’s rules of procedure, the Committee decided </w:t>
      </w:r>
      <w:r w:rsidR="001B3B4C" w:rsidRPr="00E86AA2">
        <w:t>to deal with</w:t>
      </w:r>
      <w:r w:rsidRPr="00E86AA2">
        <w:t xml:space="preserve"> communications </w:t>
      </w:r>
      <w:r w:rsidR="00054580" w:rsidRPr="00E86AA2">
        <w:t>Nos. 2579/2015</w:t>
      </w:r>
      <w:r w:rsidRPr="00E86AA2">
        <w:t xml:space="preserve">, </w:t>
      </w:r>
      <w:r w:rsidR="00054580" w:rsidRPr="00E86AA2">
        <w:t>2968/2017</w:t>
      </w:r>
      <w:r w:rsidRPr="00E86AA2">
        <w:t xml:space="preserve">, </w:t>
      </w:r>
      <w:r w:rsidR="00054580" w:rsidRPr="00E86AA2">
        <w:t>3057/2017, 3059/2017</w:t>
      </w:r>
      <w:r w:rsidR="00DC6C7F" w:rsidRPr="00E86AA2">
        <w:t xml:space="preserve">, </w:t>
      </w:r>
      <w:r w:rsidR="00054580" w:rsidRPr="00E86AA2">
        <w:t>3099/2018</w:t>
      </w:r>
      <w:r w:rsidR="00DC6C7F" w:rsidRPr="00E86AA2">
        <w:t xml:space="preserve"> and 3234/2018</w:t>
      </w:r>
      <w:r w:rsidR="001B3B4C" w:rsidRPr="00E86AA2">
        <w:t xml:space="preserve"> jointly</w:t>
      </w:r>
      <w:r w:rsidRPr="00E86AA2">
        <w:t>, in view of substantial factual and legal similarity.</w:t>
      </w:r>
    </w:p>
    <w:p w14:paraId="7C4FEE4B" w14:textId="77777777" w:rsidR="008A16F2" w:rsidRPr="00E86AA2" w:rsidRDefault="008A16F2" w:rsidP="008A16F2">
      <w:pPr>
        <w:pStyle w:val="H23G"/>
      </w:pPr>
      <w:r w:rsidRPr="00E86AA2">
        <w:tab/>
      </w:r>
      <w:r w:rsidRPr="00E86AA2">
        <w:tab/>
        <w:t>The facts as submitted by the authors</w:t>
      </w:r>
    </w:p>
    <w:p w14:paraId="2175A956" w14:textId="54C6B8D8" w:rsidR="008A16F2" w:rsidRPr="00E86AA2" w:rsidRDefault="008A16F2" w:rsidP="003A30F6">
      <w:pPr>
        <w:pStyle w:val="SingleTxtG"/>
      </w:pPr>
      <w:r w:rsidRPr="00E86AA2">
        <w:t>2.1</w:t>
      </w:r>
      <w:r w:rsidRPr="00E86AA2">
        <w:tab/>
      </w:r>
      <w:r w:rsidR="005A12FA" w:rsidRPr="00E86AA2">
        <w:t xml:space="preserve">All authors filed applications for authorization to organize peaceful assemblies with the respective local executive authorities in the cities of </w:t>
      </w:r>
      <w:proofErr w:type="spellStart"/>
      <w:r w:rsidR="005A12FA" w:rsidRPr="00E86AA2">
        <w:t>Rechitsa</w:t>
      </w:r>
      <w:proofErr w:type="spellEnd"/>
      <w:r w:rsidR="005A12FA" w:rsidRPr="00E86AA2">
        <w:t xml:space="preserve"> and Gomel between 2013 and 2017. Their applications were rejected. Subsequently, all authors </w:t>
      </w:r>
      <w:r w:rsidR="001B3B4C" w:rsidRPr="00E86AA2">
        <w:t xml:space="preserve">have filed </w:t>
      </w:r>
      <w:r w:rsidR="005A12FA" w:rsidRPr="00E86AA2">
        <w:t xml:space="preserve">unsuccessful appeals against the decisions of the executive authorities in </w:t>
      </w:r>
      <w:r w:rsidR="001B3B4C" w:rsidRPr="00E86AA2">
        <w:t>various courts</w:t>
      </w:r>
      <w:r w:rsidR="005A12FA" w:rsidRPr="00E86AA2">
        <w:t>.</w:t>
      </w:r>
    </w:p>
    <w:p w14:paraId="39EE05E9" w14:textId="77777777" w:rsidR="004E038E" w:rsidRPr="00E86AA2" w:rsidRDefault="004E038E" w:rsidP="003A30F6">
      <w:pPr>
        <w:pStyle w:val="SingleTxtG"/>
      </w:pPr>
      <w:r w:rsidRPr="00E86AA2">
        <w:t>2.2</w:t>
      </w:r>
      <w:r w:rsidRPr="00E86AA2">
        <w:tab/>
        <w:t>The facts relevant to each individual communication are summarized below.</w:t>
      </w:r>
    </w:p>
    <w:p w14:paraId="7B6581ED" w14:textId="56CE4DC5" w:rsidR="00701666" w:rsidRPr="00E86AA2" w:rsidRDefault="00F72F41" w:rsidP="00F72F41">
      <w:pPr>
        <w:pStyle w:val="H4G"/>
        <w:rPr>
          <w:color w:val="000000"/>
          <w:lang w:eastAsia="en-GB"/>
        </w:rPr>
      </w:pPr>
      <w:r w:rsidRPr="00E86AA2">
        <w:tab/>
      </w:r>
      <w:r w:rsidRPr="00E86AA2">
        <w:tab/>
      </w:r>
      <w:r w:rsidR="004E038E" w:rsidRPr="00E86AA2">
        <w:t>Communication No.</w:t>
      </w:r>
      <w:r w:rsidR="00701666" w:rsidRPr="00E86AA2">
        <w:t xml:space="preserve"> </w:t>
      </w:r>
      <w:r w:rsidR="00273ABE" w:rsidRPr="00E86AA2">
        <w:t>2579/2015</w:t>
      </w:r>
      <w:r w:rsidR="00701666" w:rsidRPr="00E86AA2">
        <w:t xml:space="preserve">, </w:t>
      </w:r>
      <w:r w:rsidR="00273ABE" w:rsidRPr="00E86AA2">
        <w:t xml:space="preserve">Andrey </w:t>
      </w:r>
      <w:proofErr w:type="spellStart"/>
      <w:r w:rsidR="00273ABE" w:rsidRPr="00E86AA2">
        <w:t>Strizhak</w:t>
      </w:r>
      <w:proofErr w:type="spellEnd"/>
      <w:r w:rsidR="00273ABE" w:rsidRPr="00E86AA2">
        <w:t xml:space="preserve"> </w:t>
      </w:r>
      <w:r w:rsidR="00701666" w:rsidRPr="00E86AA2">
        <w:rPr>
          <w:color w:val="000000"/>
          <w:lang w:eastAsia="en-GB"/>
        </w:rPr>
        <w:t>v. Belarus</w:t>
      </w:r>
    </w:p>
    <w:p w14:paraId="706ED3B2" w14:textId="47D5D570" w:rsidR="00273ABE" w:rsidRPr="00E86AA2" w:rsidRDefault="00701666" w:rsidP="00273ABE">
      <w:pPr>
        <w:pStyle w:val="SingleTxtG"/>
        <w:rPr>
          <w:color w:val="000000"/>
          <w:lang w:eastAsia="en-GB"/>
        </w:rPr>
      </w:pPr>
      <w:r w:rsidRPr="00E86AA2">
        <w:rPr>
          <w:color w:val="000000"/>
          <w:lang w:eastAsia="en-GB"/>
        </w:rPr>
        <w:t>2.3</w:t>
      </w:r>
      <w:r w:rsidRPr="00E86AA2">
        <w:rPr>
          <w:color w:val="000000"/>
          <w:lang w:eastAsia="en-GB"/>
        </w:rPr>
        <w:tab/>
      </w:r>
      <w:r w:rsidR="00273ABE" w:rsidRPr="00E86AA2">
        <w:rPr>
          <w:color w:val="000000"/>
          <w:lang w:eastAsia="en-GB"/>
        </w:rPr>
        <w:t>On 23 August 2013, the author submitted a</w:t>
      </w:r>
      <w:r w:rsidR="00AC06F0" w:rsidRPr="00E86AA2">
        <w:rPr>
          <w:color w:val="000000"/>
          <w:lang w:eastAsia="en-GB"/>
        </w:rPr>
        <w:t>n application</w:t>
      </w:r>
      <w:r w:rsidR="00273ABE" w:rsidRPr="00E86AA2">
        <w:rPr>
          <w:color w:val="000000"/>
          <w:lang w:eastAsia="en-GB"/>
        </w:rPr>
        <w:t xml:space="preserve"> to the </w:t>
      </w:r>
      <w:proofErr w:type="spellStart"/>
      <w:r w:rsidR="00273ABE" w:rsidRPr="00E86AA2">
        <w:rPr>
          <w:color w:val="000000"/>
          <w:lang w:eastAsia="en-GB"/>
        </w:rPr>
        <w:t>Rechitsa</w:t>
      </w:r>
      <w:proofErr w:type="spellEnd"/>
      <w:r w:rsidR="00273ABE" w:rsidRPr="00E86AA2">
        <w:rPr>
          <w:color w:val="000000"/>
          <w:lang w:eastAsia="en-GB"/>
        </w:rPr>
        <w:t xml:space="preserve"> District Executive Committee of the Gomel Region, requesting an authorisation to </w:t>
      </w:r>
      <w:r w:rsidR="001C4618" w:rsidRPr="00E86AA2">
        <w:rPr>
          <w:color w:val="000000"/>
          <w:lang w:eastAsia="en-GB"/>
        </w:rPr>
        <w:t>organize</w:t>
      </w:r>
      <w:r w:rsidR="00273ABE" w:rsidRPr="00E86AA2">
        <w:rPr>
          <w:color w:val="000000"/>
          <w:lang w:eastAsia="en-GB"/>
        </w:rPr>
        <w:t xml:space="preserve"> on 8 September 2013</w:t>
      </w:r>
      <w:r w:rsidR="004411CC" w:rsidRPr="00E86AA2">
        <w:rPr>
          <w:color w:val="000000"/>
          <w:lang w:eastAsia="en-GB"/>
        </w:rPr>
        <w:t>,</w:t>
      </w:r>
      <w:r w:rsidR="00273ABE" w:rsidRPr="00E86AA2">
        <w:rPr>
          <w:color w:val="000000"/>
          <w:lang w:eastAsia="en-GB"/>
        </w:rPr>
        <w:t xml:space="preserve"> a peaceful </w:t>
      </w:r>
      <w:r w:rsidR="00DC1B21" w:rsidRPr="00E86AA2">
        <w:rPr>
          <w:color w:val="000000"/>
          <w:lang w:eastAsia="en-GB"/>
        </w:rPr>
        <w:t>march</w:t>
      </w:r>
      <w:r w:rsidR="00273ABE" w:rsidRPr="00E86AA2">
        <w:rPr>
          <w:color w:val="000000"/>
          <w:lang w:eastAsia="en-GB"/>
        </w:rPr>
        <w:t xml:space="preserve"> of </w:t>
      </w:r>
      <w:r w:rsidR="00AC06F0" w:rsidRPr="00E86AA2">
        <w:rPr>
          <w:color w:val="000000"/>
          <w:lang w:eastAsia="en-GB"/>
        </w:rPr>
        <w:t>up to</w:t>
      </w:r>
      <w:r w:rsidR="00273ABE" w:rsidRPr="00E86AA2">
        <w:rPr>
          <w:color w:val="000000"/>
          <w:lang w:eastAsia="en-GB"/>
        </w:rPr>
        <w:t xml:space="preserve"> 15 participants</w:t>
      </w:r>
      <w:r w:rsidR="001B3B4C" w:rsidRPr="00E86AA2">
        <w:rPr>
          <w:color w:val="000000"/>
          <w:lang w:eastAsia="en-GB"/>
        </w:rPr>
        <w:t xml:space="preserve"> in the</w:t>
      </w:r>
      <w:r w:rsidR="00273ABE" w:rsidRPr="00E86AA2">
        <w:rPr>
          <w:color w:val="000000"/>
          <w:lang w:eastAsia="en-GB"/>
        </w:rPr>
        <w:t xml:space="preserve"> </w:t>
      </w:r>
      <w:r w:rsidR="005A12FA" w:rsidRPr="00E86AA2">
        <w:rPr>
          <w:color w:val="000000"/>
          <w:lang w:eastAsia="en-GB"/>
        </w:rPr>
        <w:t xml:space="preserve">city </w:t>
      </w:r>
      <w:r w:rsidR="00273ABE" w:rsidRPr="00E86AA2">
        <w:rPr>
          <w:color w:val="000000"/>
          <w:lang w:eastAsia="en-GB"/>
        </w:rPr>
        <w:t>centre</w:t>
      </w:r>
      <w:r w:rsidR="005A12FA" w:rsidRPr="00E86AA2">
        <w:rPr>
          <w:color w:val="000000"/>
          <w:lang w:eastAsia="en-GB"/>
        </w:rPr>
        <w:t xml:space="preserve">. The purpose of the </w:t>
      </w:r>
      <w:r w:rsidR="00DC1B21" w:rsidRPr="00E86AA2">
        <w:rPr>
          <w:color w:val="000000"/>
          <w:lang w:eastAsia="en-GB"/>
        </w:rPr>
        <w:t>march</w:t>
      </w:r>
      <w:r w:rsidR="005A12FA" w:rsidRPr="00E86AA2">
        <w:rPr>
          <w:color w:val="000000"/>
          <w:lang w:eastAsia="en-GB"/>
        </w:rPr>
        <w:t xml:space="preserve"> was to raise public awareness about the government's decision to abolish the reimbursement of sick leave for employees with children. Along with the application, the author included a signed document agreeing to cover any expenses related to maintaining public order, providing healthcare, and cleaning the area within 10 days</w:t>
      </w:r>
      <w:r w:rsidR="001B3B4C" w:rsidRPr="00E86AA2">
        <w:rPr>
          <w:color w:val="000000"/>
          <w:lang w:eastAsia="en-GB"/>
        </w:rPr>
        <w:t xml:space="preserve"> after the event</w:t>
      </w:r>
      <w:r w:rsidR="005A12FA" w:rsidRPr="00E86AA2">
        <w:rPr>
          <w:color w:val="000000"/>
          <w:lang w:eastAsia="en-GB"/>
        </w:rPr>
        <w:t>, as stipulated by the relevant decision of the local executive authority.</w:t>
      </w:r>
    </w:p>
    <w:p w14:paraId="19B8410B" w14:textId="7169FC41" w:rsidR="005A12FA" w:rsidRPr="00E86AA2" w:rsidRDefault="00701666" w:rsidP="005A12FA">
      <w:pPr>
        <w:pStyle w:val="SingleTxtG"/>
        <w:rPr>
          <w:color w:val="000000"/>
          <w:lang w:eastAsia="en-GB"/>
        </w:rPr>
      </w:pPr>
      <w:r w:rsidRPr="00E86AA2">
        <w:rPr>
          <w:color w:val="000000"/>
          <w:lang w:eastAsia="en-GB"/>
        </w:rPr>
        <w:t>2.4</w:t>
      </w:r>
      <w:r w:rsidRPr="00E86AA2">
        <w:rPr>
          <w:color w:val="000000"/>
          <w:lang w:eastAsia="en-GB"/>
        </w:rPr>
        <w:tab/>
      </w:r>
      <w:r w:rsidR="008A4307" w:rsidRPr="00E86AA2">
        <w:rPr>
          <w:color w:val="000000"/>
          <w:lang w:eastAsia="en-GB"/>
        </w:rPr>
        <w:t xml:space="preserve">On 29 August 2013, the Executive Committee denied the authorization to </w:t>
      </w:r>
      <w:r w:rsidR="001C4618" w:rsidRPr="00E86AA2">
        <w:rPr>
          <w:color w:val="000000"/>
          <w:lang w:eastAsia="en-GB"/>
        </w:rPr>
        <w:t>organize</w:t>
      </w:r>
      <w:r w:rsidR="008A4307" w:rsidRPr="00E86AA2">
        <w:rPr>
          <w:color w:val="000000"/>
          <w:lang w:eastAsia="en-GB"/>
        </w:rPr>
        <w:t xml:space="preserve"> the </w:t>
      </w:r>
      <w:r w:rsidR="00DC1B21" w:rsidRPr="00E86AA2">
        <w:rPr>
          <w:color w:val="000000"/>
          <w:lang w:eastAsia="en-GB"/>
        </w:rPr>
        <w:t>march</w:t>
      </w:r>
      <w:r w:rsidR="008A4307" w:rsidRPr="00E86AA2">
        <w:rPr>
          <w:color w:val="000000"/>
          <w:lang w:eastAsia="en-GB"/>
        </w:rPr>
        <w:t xml:space="preserve">, on the ground that the author’s application did not fulfil the requirements of the </w:t>
      </w:r>
      <w:r w:rsidR="005A12FA" w:rsidRPr="00E86AA2">
        <w:rPr>
          <w:color w:val="000000"/>
          <w:lang w:eastAsia="en-GB"/>
        </w:rPr>
        <w:t>Public Events Act</w:t>
      </w:r>
      <w:r w:rsidR="001277B3" w:rsidRPr="00E86AA2">
        <w:rPr>
          <w:vertAlign w:val="superscript"/>
        </w:rPr>
        <w:footnoteReference w:id="4"/>
      </w:r>
      <w:r w:rsidR="008A4307" w:rsidRPr="00E86AA2">
        <w:rPr>
          <w:color w:val="000000"/>
          <w:lang w:eastAsia="en-GB"/>
        </w:rPr>
        <w:t xml:space="preserve"> and the decision of the Executive Committee of 10 April 2012 No. 802 </w:t>
      </w:r>
      <w:r w:rsidR="00A2538A" w:rsidRPr="00E86AA2">
        <w:rPr>
          <w:color w:val="000000"/>
          <w:lang w:eastAsia="en-GB"/>
        </w:rPr>
        <w:t>o</w:t>
      </w:r>
      <w:r w:rsidR="008A4307" w:rsidRPr="00E86AA2">
        <w:rPr>
          <w:color w:val="000000"/>
          <w:lang w:eastAsia="en-GB"/>
        </w:rPr>
        <w:t xml:space="preserve">n </w:t>
      </w:r>
      <w:r w:rsidR="001D4D05" w:rsidRPr="00E86AA2">
        <w:rPr>
          <w:color w:val="000000"/>
          <w:lang w:eastAsia="en-GB"/>
        </w:rPr>
        <w:t>mass</w:t>
      </w:r>
      <w:r w:rsidR="008A4307" w:rsidRPr="00E86AA2">
        <w:rPr>
          <w:color w:val="000000"/>
          <w:lang w:eastAsia="en-GB"/>
        </w:rPr>
        <w:t xml:space="preserve"> events in the </w:t>
      </w:r>
      <w:proofErr w:type="spellStart"/>
      <w:r w:rsidR="008A4307" w:rsidRPr="00E86AA2">
        <w:rPr>
          <w:color w:val="000000"/>
          <w:lang w:eastAsia="en-GB"/>
        </w:rPr>
        <w:t>Rechitsa</w:t>
      </w:r>
      <w:proofErr w:type="spellEnd"/>
      <w:r w:rsidR="008A4307" w:rsidRPr="00E86AA2">
        <w:rPr>
          <w:color w:val="000000"/>
          <w:lang w:eastAsia="en-GB"/>
        </w:rPr>
        <w:t xml:space="preserve"> District.</w:t>
      </w:r>
      <w:r w:rsidR="006C61CF" w:rsidRPr="00E86AA2">
        <w:rPr>
          <w:color w:val="000000"/>
          <w:lang w:eastAsia="en-GB"/>
        </w:rPr>
        <w:t xml:space="preserve"> </w:t>
      </w:r>
      <w:r w:rsidR="005A12FA" w:rsidRPr="00E86AA2">
        <w:rPr>
          <w:color w:val="000000"/>
          <w:lang w:eastAsia="en-GB"/>
        </w:rPr>
        <w:t xml:space="preserve">According to Decision No. 802, the Executive Committee has designated two specific locations for organizing public events in the town. Additionally, the decision mandates that contracts be signed with the relevant service providers prior to the event, covering aspects such as maintaining public order, providing medical services during the event, and cleaning the location afterwards. The author's request to hold the event was rejected due to two reasons. Firstly, the planned event's location did not fall within the designated areas specified for such purposes. Secondly, the author had not fulfilled the requirement of </w:t>
      </w:r>
      <w:proofErr w:type="gramStart"/>
      <w:r w:rsidR="005A12FA" w:rsidRPr="00E86AA2">
        <w:rPr>
          <w:color w:val="000000"/>
          <w:lang w:eastAsia="en-GB"/>
        </w:rPr>
        <w:t>entering into</w:t>
      </w:r>
      <w:proofErr w:type="gramEnd"/>
      <w:r w:rsidR="005A12FA" w:rsidRPr="00E86AA2">
        <w:rPr>
          <w:color w:val="000000"/>
          <w:lang w:eastAsia="en-GB"/>
        </w:rPr>
        <w:t xml:space="preserve"> contracts with the necessary service providers</w:t>
      </w:r>
      <w:r w:rsidR="001B3B4C" w:rsidRPr="00E86AA2">
        <w:rPr>
          <w:color w:val="000000"/>
          <w:lang w:eastAsia="en-GB"/>
        </w:rPr>
        <w:t xml:space="preserve"> beforehand</w:t>
      </w:r>
      <w:r w:rsidR="005A12FA" w:rsidRPr="00E86AA2">
        <w:rPr>
          <w:color w:val="000000"/>
          <w:lang w:eastAsia="en-GB"/>
        </w:rPr>
        <w:t>.</w:t>
      </w:r>
    </w:p>
    <w:p w14:paraId="1FAB87F1" w14:textId="0B0A9452" w:rsidR="008A4307" w:rsidRPr="00E86AA2" w:rsidRDefault="008A4307" w:rsidP="008A4307">
      <w:pPr>
        <w:pStyle w:val="SingleTxtG"/>
        <w:rPr>
          <w:color w:val="000000"/>
          <w:lang w:eastAsia="en-GB"/>
        </w:rPr>
      </w:pPr>
      <w:r w:rsidRPr="00E86AA2">
        <w:rPr>
          <w:color w:val="000000"/>
          <w:lang w:eastAsia="en-GB"/>
        </w:rPr>
        <w:lastRenderedPageBreak/>
        <w:t>2.</w:t>
      </w:r>
      <w:r w:rsidR="001B3B4C" w:rsidRPr="00E86AA2">
        <w:rPr>
          <w:color w:val="000000"/>
          <w:lang w:eastAsia="en-GB"/>
        </w:rPr>
        <w:t>5</w:t>
      </w:r>
      <w:r w:rsidRPr="00E86AA2">
        <w:rPr>
          <w:color w:val="000000"/>
          <w:lang w:eastAsia="en-GB"/>
        </w:rPr>
        <w:tab/>
        <w:t xml:space="preserve">On 11 September 2013, the author appealed the decision of the Executive Committee of 29 August 2013 to the </w:t>
      </w:r>
      <w:proofErr w:type="spellStart"/>
      <w:r w:rsidRPr="00E86AA2">
        <w:rPr>
          <w:color w:val="000000"/>
          <w:lang w:eastAsia="en-GB"/>
        </w:rPr>
        <w:t>Rechitsa</w:t>
      </w:r>
      <w:proofErr w:type="spellEnd"/>
      <w:r w:rsidRPr="00E86AA2">
        <w:rPr>
          <w:color w:val="000000"/>
          <w:lang w:eastAsia="en-GB"/>
        </w:rPr>
        <w:t xml:space="preserve"> District Court of the Gomel Region. On 8 October 2013, the author’s appeal was rejected by the </w:t>
      </w:r>
      <w:r w:rsidR="001B3B4C" w:rsidRPr="00E86AA2">
        <w:rPr>
          <w:color w:val="000000"/>
          <w:lang w:eastAsia="en-GB"/>
        </w:rPr>
        <w:t>c</w:t>
      </w:r>
      <w:r w:rsidRPr="00E86AA2">
        <w:rPr>
          <w:color w:val="000000"/>
          <w:lang w:eastAsia="en-GB"/>
        </w:rPr>
        <w:t xml:space="preserve">ourt. On 15 October 2013, the author submitted appeal against the decision of the District Court to the Gomel Regional Court, </w:t>
      </w:r>
      <w:r w:rsidR="001B3B4C" w:rsidRPr="00E86AA2">
        <w:rPr>
          <w:color w:val="000000"/>
          <w:lang w:eastAsia="en-GB"/>
        </w:rPr>
        <w:t>and this appeal was</w:t>
      </w:r>
      <w:r w:rsidRPr="00E86AA2">
        <w:rPr>
          <w:color w:val="000000"/>
          <w:lang w:eastAsia="en-GB"/>
        </w:rPr>
        <w:t xml:space="preserve"> rejected on 5 November 2013.</w:t>
      </w:r>
      <w:r w:rsidR="00DC1B21" w:rsidRPr="00E86AA2">
        <w:rPr>
          <w:color w:val="000000"/>
          <w:lang w:eastAsia="en-GB"/>
        </w:rPr>
        <w:t xml:space="preserve"> The courts found that the author failed to comply with the requirements for organization of public events as set out in the Public Events Act </w:t>
      </w:r>
      <w:r w:rsidR="00AB6D0C" w:rsidRPr="00E86AA2">
        <w:rPr>
          <w:color w:val="000000"/>
          <w:lang w:eastAsia="en-GB"/>
        </w:rPr>
        <w:t xml:space="preserve">and the Decision No. 802 of the </w:t>
      </w:r>
      <w:proofErr w:type="spellStart"/>
      <w:r w:rsidR="00AB6D0C" w:rsidRPr="00E86AA2">
        <w:rPr>
          <w:color w:val="000000"/>
          <w:lang w:eastAsia="en-GB"/>
        </w:rPr>
        <w:t>Rechitsa</w:t>
      </w:r>
      <w:proofErr w:type="spellEnd"/>
      <w:r w:rsidR="00AB6D0C" w:rsidRPr="00E86AA2">
        <w:rPr>
          <w:color w:val="000000"/>
          <w:lang w:eastAsia="en-GB"/>
        </w:rPr>
        <w:t xml:space="preserve"> Executive Committee. </w:t>
      </w:r>
    </w:p>
    <w:p w14:paraId="445B21F9" w14:textId="7D2A5778" w:rsidR="00701666" w:rsidRPr="00E86AA2" w:rsidRDefault="00F72F41" w:rsidP="008A4307">
      <w:pPr>
        <w:pStyle w:val="SingleTxtG"/>
        <w:rPr>
          <w:b/>
          <w:bCs/>
          <w:i/>
          <w:iCs/>
        </w:rPr>
      </w:pPr>
      <w:r w:rsidRPr="00E86AA2">
        <w:tab/>
      </w:r>
      <w:r w:rsidR="00701666" w:rsidRPr="00E86AA2">
        <w:rPr>
          <w:i/>
          <w:iCs/>
        </w:rPr>
        <w:t xml:space="preserve">Communication No. </w:t>
      </w:r>
      <w:r w:rsidR="008A4307" w:rsidRPr="00E86AA2">
        <w:rPr>
          <w:i/>
          <w:iCs/>
        </w:rPr>
        <w:t>2968/2017</w:t>
      </w:r>
      <w:r w:rsidR="00701666" w:rsidRPr="00E86AA2">
        <w:rPr>
          <w:i/>
          <w:iCs/>
        </w:rPr>
        <w:t xml:space="preserve">, </w:t>
      </w:r>
      <w:r w:rsidR="008A4307" w:rsidRPr="00E86AA2">
        <w:rPr>
          <w:i/>
          <w:iCs/>
        </w:rPr>
        <w:t xml:space="preserve">Sergey </w:t>
      </w:r>
      <w:proofErr w:type="spellStart"/>
      <w:r w:rsidR="008A4307" w:rsidRPr="00E86AA2">
        <w:rPr>
          <w:i/>
          <w:iCs/>
        </w:rPr>
        <w:t>Kosobutsky</w:t>
      </w:r>
      <w:proofErr w:type="spellEnd"/>
      <w:r w:rsidR="008A4307" w:rsidRPr="00E86AA2">
        <w:rPr>
          <w:i/>
          <w:iCs/>
        </w:rPr>
        <w:t xml:space="preserve"> et al. </w:t>
      </w:r>
      <w:r w:rsidR="00701666" w:rsidRPr="00E86AA2">
        <w:rPr>
          <w:i/>
          <w:iCs/>
        </w:rPr>
        <w:t>v. Belarus</w:t>
      </w:r>
    </w:p>
    <w:p w14:paraId="50FDEBBB" w14:textId="2FE8C59D" w:rsidR="00AC06F0" w:rsidRPr="00E86AA2" w:rsidRDefault="00E95583" w:rsidP="00CC37FE">
      <w:pPr>
        <w:pStyle w:val="SingleTxtG"/>
        <w:rPr>
          <w:color w:val="000000"/>
          <w:lang w:eastAsia="en-GB"/>
        </w:rPr>
      </w:pPr>
      <w:r w:rsidRPr="00E86AA2">
        <w:rPr>
          <w:color w:val="000000"/>
          <w:lang w:eastAsia="en-GB"/>
        </w:rPr>
        <w:t>2.</w:t>
      </w:r>
      <w:r w:rsidR="001B3B4C" w:rsidRPr="00E86AA2">
        <w:rPr>
          <w:color w:val="000000"/>
          <w:lang w:eastAsia="en-GB"/>
        </w:rPr>
        <w:t>6</w:t>
      </w:r>
      <w:r w:rsidRPr="00E86AA2">
        <w:rPr>
          <w:color w:val="000000"/>
          <w:lang w:eastAsia="en-GB"/>
        </w:rPr>
        <w:tab/>
      </w:r>
      <w:r w:rsidR="00CC37FE" w:rsidRPr="00E86AA2">
        <w:rPr>
          <w:color w:val="000000"/>
          <w:lang w:eastAsia="en-GB"/>
        </w:rPr>
        <w:t xml:space="preserve">On 11 May 2016, the authors </w:t>
      </w:r>
      <w:r w:rsidR="00AC06F0" w:rsidRPr="00E86AA2">
        <w:rPr>
          <w:color w:val="000000"/>
          <w:lang w:eastAsia="en-GB"/>
        </w:rPr>
        <w:t xml:space="preserve">submitted an application </w:t>
      </w:r>
      <w:r w:rsidR="00CC37FE" w:rsidRPr="00E86AA2">
        <w:rPr>
          <w:color w:val="000000"/>
          <w:lang w:eastAsia="en-GB"/>
        </w:rPr>
        <w:t xml:space="preserve">to </w:t>
      </w:r>
      <w:r w:rsidR="00AC06F0" w:rsidRPr="00E86AA2">
        <w:rPr>
          <w:color w:val="000000"/>
          <w:lang w:eastAsia="en-GB"/>
        </w:rPr>
        <w:t xml:space="preserve">the </w:t>
      </w:r>
      <w:r w:rsidR="00CC37FE" w:rsidRPr="00E86AA2">
        <w:rPr>
          <w:color w:val="000000"/>
          <w:lang w:eastAsia="en-GB"/>
        </w:rPr>
        <w:t xml:space="preserve">Gomel </w:t>
      </w:r>
      <w:r w:rsidR="006C61CF" w:rsidRPr="00E86AA2">
        <w:rPr>
          <w:color w:val="000000"/>
          <w:lang w:eastAsia="en-GB"/>
        </w:rPr>
        <w:t>City</w:t>
      </w:r>
      <w:r w:rsidR="00CC37FE" w:rsidRPr="00E86AA2">
        <w:rPr>
          <w:color w:val="000000"/>
          <w:lang w:eastAsia="en-GB"/>
        </w:rPr>
        <w:t xml:space="preserve"> Executive Committee </w:t>
      </w:r>
      <w:r w:rsidR="006C61CF" w:rsidRPr="00E86AA2">
        <w:rPr>
          <w:color w:val="000000"/>
          <w:lang w:eastAsia="en-GB"/>
        </w:rPr>
        <w:t>requesting an authorization</w:t>
      </w:r>
      <w:r w:rsidR="00CC37FE" w:rsidRPr="00E86AA2">
        <w:rPr>
          <w:color w:val="000000"/>
          <w:lang w:eastAsia="en-GB"/>
        </w:rPr>
        <w:t xml:space="preserve"> to conduct a </w:t>
      </w:r>
      <w:r w:rsidR="00AC06F0" w:rsidRPr="00E86AA2">
        <w:rPr>
          <w:color w:val="000000"/>
          <w:lang w:eastAsia="en-GB"/>
        </w:rPr>
        <w:t xml:space="preserve">public event in the form of a </w:t>
      </w:r>
      <w:r w:rsidR="00CC37FE" w:rsidRPr="00E86AA2">
        <w:rPr>
          <w:color w:val="000000"/>
          <w:lang w:eastAsia="en-GB"/>
        </w:rPr>
        <w:t xml:space="preserve">picket </w:t>
      </w:r>
      <w:r w:rsidR="006C61CF" w:rsidRPr="00E86AA2">
        <w:rPr>
          <w:color w:val="000000"/>
          <w:lang w:eastAsia="en-GB"/>
        </w:rPr>
        <w:t>at the location, authorized for such events by the Executive Committee</w:t>
      </w:r>
      <w:r w:rsidR="00AB6D0C" w:rsidRPr="00E86AA2">
        <w:rPr>
          <w:color w:val="000000"/>
          <w:lang w:eastAsia="en-GB"/>
        </w:rPr>
        <w:t>, nam</w:t>
      </w:r>
      <w:r w:rsidR="00AB6D0C" w:rsidRPr="00E86AA2">
        <w:t xml:space="preserve">ely, </w:t>
      </w:r>
      <w:r w:rsidR="00AB6D0C" w:rsidRPr="00E86AA2">
        <w:rPr>
          <w:lang w:val="en-US"/>
        </w:rPr>
        <w:t>t</w:t>
      </w:r>
      <w:r w:rsidR="00AB6D0C" w:rsidRPr="00E86AA2">
        <w:t xml:space="preserve">he site adjacent to the square at the intersection of </w:t>
      </w:r>
      <w:proofErr w:type="spellStart"/>
      <w:r w:rsidR="00AB6D0C" w:rsidRPr="00E86AA2">
        <w:t>Barykina</w:t>
      </w:r>
      <w:proofErr w:type="spellEnd"/>
      <w:r w:rsidR="00AB6D0C" w:rsidRPr="00E86AA2">
        <w:t xml:space="preserve"> and </w:t>
      </w:r>
      <w:proofErr w:type="spellStart"/>
      <w:r w:rsidR="00AB6D0C" w:rsidRPr="00E86AA2">
        <w:t>Voiskovaya</w:t>
      </w:r>
      <w:proofErr w:type="spellEnd"/>
      <w:r w:rsidR="00AB6D0C" w:rsidRPr="00E86AA2">
        <w:t xml:space="preserve"> streets in Gomel</w:t>
      </w:r>
      <w:r w:rsidR="00CC37FE" w:rsidRPr="00E86AA2">
        <w:t>.</w:t>
      </w:r>
      <w:r w:rsidR="00CC37FE" w:rsidRPr="00E86AA2">
        <w:rPr>
          <w:color w:val="000000"/>
          <w:lang w:eastAsia="en-GB"/>
        </w:rPr>
        <w:t xml:space="preserve"> </w:t>
      </w:r>
      <w:r w:rsidR="005A12FA" w:rsidRPr="00E86AA2">
        <w:rPr>
          <w:color w:val="000000"/>
          <w:lang w:eastAsia="en-GB"/>
        </w:rPr>
        <w:t xml:space="preserve">The purpose of the event was to draw attention to the issue of wage reduction for workers in Belarus. </w:t>
      </w:r>
      <w:r w:rsidR="00CC37FE" w:rsidRPr="00E86AA2">
        <w:rPr>
          <w:color w:val="000000"/>
          <w:lang w:eastAsia="en-GB"/>
        </w:rPr>
        <w:t xml:space="preserve">On 20 May 2016, the Executive Committee </w:t>
      </w:r>
      <w:r w:rsidR="00AC06F0" w:rsidRPr="00E86AA2">
        <w:rPr>
          <w:color w:val="000000"/>
          <w:lang w:eastAsia="en-GB"/>
        </w:rPr>
        <w:t>denied the authorization to hold the picket on the ground that the authors</w:t>
      </w:r>
      <w:r w:rsidR="001277B3" w:rsidRPr="00E86AA2">
        <w:rPr>
          <w:color w:val="000000"/>
          <w:lang w:eastAsia="en-GB"/>
        </w:rPr>
        <w:t>’</w:t>
      </w:r>
      <w:r w:rsidR="00AC06F0" w:rsidRPr="00E86AA2">
        <w:rPr>
          <w:color w:val="000000"/>
          <w:lang w:eastAsia="en-GB"/>
        </w:rPr>
        <w:t xml:space="preserve"> application did not fulfil the requirements of the</w:t>
      </w:r>
      <w:r w:rsidR="00A25459" w:rsidRPr="00E86AA2">
        <w:rPr>
          <w:color w:val="000000"/>
          <w:lang w:eastAsia="en-GB"/>
        </w:rPr>
        <w:t xml:space="preserve"> Executive Committee Decision No.755 </w:t>
      </w:r>
      <w:r w:rsidR="005A0255" w:rsidRPr="00E86AA2">
        <w:t xml:space="preserve">of 15 August 2013 </w:t>
      </w:r>
      <w:r w:rsidR="00A2538A" w:rsidRPr="00E86AA2">
        <w:rPr>
          <w:color w:val="000000"/>
          <w:lang w:eastAsia="en-GB"/>
        </w:rPr>
        <w:t>o</w:t>
      </w:r>
      <w:r w:rsidR="00A25459" w:rsidRPr="00E86AA2">
        <w:rPr>
          <w:color w:val="000000"/>
          <w:lang w:eastAsia="en-GB"/>
        </w:rPr>
        <w:t>n</w:t>
      </w:r>
      <w:r w:rsidR="00A2538A" w:rsidRPr="00E86AA2">
        <w:rPr>
          <w:color w:val="000000"/>
          <w:lang w:eastAsia="en-GB"/>
        </w:rPr>
        <w:t xml:space="preserve"> </w:t>
      </w:r>
      <w:r w:rsidR="001D4D05" w:rsidRPr="00E86AA2">
        <w:rPr>
          <w:color w:val="000000"/>
          <w:lang w:eastAsia="en-GB"/>
        </w:rPr>
        <w:t>mass</w:t>
      </w:r>
      <w:r w:rsidR="00A25459" w:rsidRPr="00E86AA2">
        <w:rPr>
          <w:color w:val="000000"/>
          <w:lang w:eastAsia="en-GB"/>
        </w:rPr>
        <w:t xml:space="preserve"> events in Gomel City</w:t>
      </w:r>
      <w:r w:rsidR="00A2538A" w:rsidRPr="00E86AA2">
        <w:rPr>
          <w:color w:val="000000"/>
          <w:lang w:eastAsia="en-GB"/>
        </w:rPr>
        <w:t>.</w:t>
      </w:r>
      <w:r w:rsidR="00BF6EA0" w:rsidRPr="00E86AA2">
        <w:rPr>
          <w:color w:val="000000"/>
          <w:lang w:eastAsia="en-GB"/>
        </w:rPr>
        <w:t xml:space="preserve"> </w:t>
      </w:r>
      <w:r w:rsidR="003B4269" w:rsidRPr="00E86AA2">
        <w:rPr>
          <w:color w:val="000000"/>
          <w:lang w:eastAsia="en-GB"/>
        </w:rPr>
        <w:t>According to Decision No. 755, there are two designated locations in Gomel for organizing public events: a park and an area adjacent to the stadium. If an event is organized without the involvement of a state institution, the organizers are required to provide contracts with specific service providers along with their application for permission. These contracts include a contract with the Central Gomel Town Polyclinic for medical services during the event, and a contract with the community enterprise “</w:t>
      </w:r>
      <w:proofErr w:type="spellStart"/>
      <w:r w:rsidR="003B4269" w:rsidRPr="00E86AA2">
        <w:rPr>
          <w:color w:val="000000"/>
          <w:lang w:eastAsia="en-GB"/>
        </w:rPr>
        <w:t>GorSAP</w:t>
      </w:r>
      <w:proofErr w:type="spellEnd"/>
      <w:r w:rsidR="003B4269" w:rsidRPr="00E86AA2">
        <w:rPr>
          <w:color w:val="000000"/>
          <w:lang w:eastAsia="en-GB"/>
        </w:rPr>
        <w:t>” responsible for road maintenance, for cleaning services after the event. The authors failed to provide the necessary contracts with the service providers, resulting in the denial of their authorization request.</w:t>
      </w:r>
    </w:p>
    <w:p w14:paraId="7D342C8D" w14:textId="5C5D3DD7" w:rsidR="00AD479D" w:rsidRPr="00E86AA2" w:rsidRDefault="00134111" w:rsidP="00CC37FE">
      <w:pPr>
        <w:pStyle w:val="SingleTxtG"/>
        <w:rPr>
          <w:color w:val="000000"/>
          <w:lang w:eastAsia="en-GB"/>
        </w:rPr>
      </w:pPr>
      <w:r w:rsidRPr="00E86AA2">
        <w:rPr>
          <w:color w:val="000000"/>
          <w:lang w:eastAsia="en-GB"/>
        </w:rPr>
        <w:t>2.</w:t>
      </w:r>
      <w:r w:rsidR="001B3B4C" w:rsidRPr="00E86AA2">
        <w:rPr>
          <w:color w:val="000000"/>
          <w:lang w:eastAsia="en-GB"/>
        </w:rPr>
        <w:t>7</w:t>
      </w:r>
      <w:r w:rsidRPr="00E86AA2">
        <w:rPr>
          <w:color w:val="000000"/>
          <w:lang w:eastAsia="en-GB"/>
        </w:rPr>
        <w:tab/>
      </w:r>
      <w:r w:rsidR="00CC37FE" w:rsidRPr="00E86AA2">
        <w:rPr>
          <w:color w:val="000000"/>
          <w:lang w:eastAsia="en-GB"/>
        </w:rPr>
        <w:t>On 23 May 2016, the</w:t>
      </w:r>
      <w:r w:rsidRPr="00E86AA2">
        <w:rPr>
          <w:color w:val="000000"/>
          <w:lang w:eastAsia="en-GB"/>
        </w:rPr>
        <w:t xml:space="preserve"> authors</w:t>
      </w:r>
      <w:r w:rsidR="00CC37FE" w:rsidRPr="00E86AA2">
        <w:rPr>
          <w:color w:val="000000"/>
          <w:lang w:eastAsia="en-GB"/>
        </w:rPr>
        <w:t xml:space="preserve"> appealed the </w:t>
      </w:r>
      <w:r w:rsidRPr="00E86AA2">
        <w:rPr>
          <w:color w:val="000000"/>
          <w:lang w:eastAsia="en-GB"/>
        </w:rPr>
        <w:t xml:space="preserve">decision of the Executive Committee </w:t>
      </w:r>
      <w:r w:rsidR="00CC37FE" w:rsidRPr="00E86AA2">
        <w:rPr>
          <w:color w:val="000000"/>
          <w:lang w:eastAsia="en-GB"/>
        </w:rPr>
        <w:t>before the Central District Court of Gome</w:t>
      </w:r>
      <w:r w:rsidR="00E70C9C" w:rsidRPr="00E86AA2">
        <w:rPr>
          <w:color w:val="000000"/>
          <w:lang w:eastAsia="en-GB"/>
        </w:rPr>
        <w:t>l</w:t>
      </w:r>
      <w:r w:rsidRPr="00E86AA2">
        <w:rPr>
          <w:color w:val="000000"/>
          <w:lang w:eastAsia="en-GB"/>
        </w:rPr>
        <w:t xml:space="preserve">. Their </w:t>
      </w:r>
      <w:r w:rsidR="00CC37FE" w:rsidRPr="00E86AA2">
        <w:rPr>
          <w:color w:val="000000"/>
          <w:lang w:eastAsia="en-GB"/>
        </w:rPr>
        <w:t xml:space="preserve">appeal </w:t>
      </w:r>
      <w:r w:rsidRPr="00E86AA2">
        <w:rPr>
          <w:color w:val="000000"/>
          <w:lang w:eastAsia="en-GB"/>
        </w:rPr>
        <w:t xml:space="preserve">was rejected </w:t>
      </w:r>
      <w:r w:rsidR="00CC37FE" w:rsidRPr="00E86AA2">
        <w:rPr>
          <w:color w:val="000000"/>
          <w:lang w:eastAsia="en-GB"/>
        </w:rPr>
        <w:t xml:space="preserve">on 16 June 2016. </w:t>
      </w:r>
      <w:r w:rsidRPr="00E86AA2">
        <w:rPr>
          <w:color w:val="000000"/>
          <w:lang w:eastAsia="en-GB"/>
        </w:rPr>
        <w:t>Their cassation appeal of</w:t>
      </w:r>
      <w:r w:rsidR="00CC37FE" w:rsidRPr="00E86AA2">
        <w:rPr>
          <w:color w:val="000000"/>
          <w:lang w:eastAsia="en-GB"/>
        </w:rPr>
        <w:t xml:space="preserve"> 17 June 2016 </w:t>
      </w:r>
      <w:r w:rsidRPr="00E86AA2">
        <w:rPr>
          <w:color w:val="000000"/>
          <w:lang w:eastAsia="en-GB"/>
        </w:rPr>
        <w:t>to the Gomel Regional Court was</w:t>
      </w:r>
      <w:r w:rsidR="00CC37FE" w:rsidRPr="00E86AA2">
        <w:rPr>
          <w:color w:val="000000"/>
          <w:lang w:eastAsia="en-GB"/>
        </w:rPr>
        <w:t xml:space="preserve"> rejected on 9 August 2016. The authors filed requests for supervisory review </w:t>
      </w:r>
      <w:r w:rsidR="006229D9" w:rsidRPr="00E86AA2">
        <w:rPr>
          <w:color w:val="000000"/>
          <w:lang w:eastAsia="en-GB"/>
        </w:rPr>
        <w:t xml:space="preserve">to </w:t>
      </w:r>
      <w:r w:rsidR="00CC37FE" w:rsidRPr="00E86AA2">
        <w:rPr>
          <w:color w:val="000000"/>
          <w:lang w:eastAsia="en-GB"/>
        </w:rPr>
        <w:t xml:space="preserve">the </w:t>
      </w:r>
      <w:r w:rsidR="00DB40F8" w:rsidRPr="00E86AA2">
        <w:rPr>
          <w:color w:val="000000"/>
          <w:lang w:eastAsia="en-GB"/>
        </w:rPr>
        <w:t>Chair</w:t>
      </w:r>
      <w:r w:rsidR="00CC37FE" w:rsidRPr="00E86AA2">
        <w:rPr>
          <w:color w:val="000000"/>
          <w:lang w:eastAsia="en-GB"/>
        </w:rPr>
        <w:t xml:space="preserve"> of the Gomel Regional Court </w:t>
      </w:r>
      <w:r w:rsidR="006229D9" w:rsidRPr="00E86AA2">
        <w:rPr>
          <w:color w:val="000000"/>
          <w:lang w:eastAsia="en-GB"/>
        </w:rPr>
        <w:t xml:space="preserve">on 20 September 2016 and to the </w:t>
      </w:r>
      <w:r w:rsidR="00DB40F8" w:rsidRPr="00E86AA2">
        <w:rPr>
          <w:color w:val="000000"/>
          <w:lang w:eastAsia="en-GB"/>
        </w:rPr>
        <w:t>Chair</w:t>
      </w:r>
      <w:r w:rsidR="006229D9" w:rsidRPr="00E86AA2">
        <w:rPr>
          <w:color w:val="000000"/>
          <w:lang w:eastAsia="en-GB"/>
        </w:rPr>
        <w:t xml:space="preserve"> of the Supreme Court</w:t>
      </w:r>
      <w:r w:rsidR="001B3B4C" w:rsidRPr="00E86AA2">
        <w:rPr>
          <w:color w:val="000000"/>
          <w:lang w:eastAsia="en-GB"/>
        </w:rPr>
        <w:t xml:space="preserve"> of Belarus</w:t>
      </w:r>
      <w:r w:rsidR="006229D9" w:rsidRPr="00E86AA2">
        <w:rPr>
          <w:color w:val="000000"/>
          <w:lang w:eastAsia="en-GB"/>
        </w:rPr>
        <w:t xml:space="preserve"> (unspecified dated). Their requests were rejected </w:t>
      </w:r>
      <w:r w:rsidR="00CC37FE" w:rsidRPr="00E86AA2">
        <w:rPr>
          <w:color w:val="000000"/>
          <w:lang w:eastAsia="en-GB"/>
        </w:rPr>
        <w:t>on 3 October and 17 November 2016</w:t>
      </w:r>
      <w:r w:rsidR="006229D9" w:rsidRPr="00E86AA2">
        <w:rPr>
          <w:color w:val="000000"/>
          <w:lang w:eastAsia="en-GB"/>
        </w:rPr>
        <w:t>, respectively</w:t>
      </w:r>
      <w:r w:rsidR="00CC37FE" w:rsidRPr="00E86AA2">
        <w:rPr>
          <w:color w:val="000000"/>
          <w:lang w:eastAsia="en-GB"/>
        </w:rPr>
        <w:t xml:space="preserve">. </w:t>
      </w:r>
      <w:r w:rsidR="0094467D" w:rsidRPr="00E86AA2">
        <w:rPr>
          <w:color w:val="000000"/>
          <w:lang w:eastAsia="en-GB"/>
        </w:rPr>
        <w:t>The authors filed r</w:t>
      </w:r>
      <w:r w:rsidR="00CC37FE" w:rsidRPr="00E86AA2">
        <w:rPr>
          <w:color w:val="000000"/>
          <w:lang w:eastAsia="en-GB"/>
        </w:rPr>
        <w:t>equests for supervisory review to the Gomel Prosecutor</w:t>
      </w:r>
      <w:r w:rsidR="0094467D" w:rsidRPr="00E86AA2">
        <w:rPr>
          <w:color w:val="000000"/>
          <w:lang w:eastAsia="en-GB"/>
        </w:rPr>
        <w:t>’s office on 25 November 2016</w:t>
      </w:r>
      <w:r w:rsidR="00CC37FE" w:rsidRPr="00E86AA2">
        <w:rPr>
          <w:color w:val="000000"/>
          <w:lang w:eastAsia="en-GB"/>
        </w:rPr>
        <w:t xml:space="preserve">, and </w:t>
      </w:r>
      <w:r w:rsidR="0094467D" w:rsidRPr="00E86AA2">
        <w:rPr>
          <w:color w:val="000000"/>
          <w:lang w:eastAsia="en-GB"/>
        </w:rPr>
        <w:t xml:space="preserve">to the </w:t>
      </w:r>
      <w:proofErr w:type="spellStart"/>
      <w:r w:rsidR="00CC37FE" w:rsidRPr="00E86AA2">
        <w:rPr>
          <w:color w:val="000000"/>
          <w:lang w:eastAsia="en-GB"/>
        </w:rPr>
        <w:t>the</w:t>
      </w:r>
      <w:proofErr w:type="spellEnd"/>
      <w:r w:rsidR="00CC37FE" w:rsidRPr="00E86AA2">
        <w:rPr>
          <w:color w:val="000000"/>
          <w:lang w:eastAsia="en-GB"/>
        </w:rPr>
        <w:t xml:space="preserve"> Prosecutor </w:t>
      </w:r>
      <w:r w:rsidR="0094467D" w:rsidRPr="00E86AA2">
        <w:rPr>
          <w:color w:val="000000"/>
          <w:lang w:eastAsia="en-GB"/>
        </w:rPr>
        <w:t xml:space="preserve">General’s office on 20 December 2016. These requests </w:t>
      </w:r>
      <w:r w:rsidR="00CC37FE" w:rsidRPr="00E86AA2">
        <w:rPr>
          <w:color w:val="000000"/>
          <w:lang w:eastAsia="en-GB"/>
        </w:rPr>
        <w:t>were also rejected on 14 December 2016 and 10 February 2017</w:t>
      </w:r>
      <w:r w:rsidR="0094467D" w:rsidRPr="00E86AA2">
        <w:rPr>
          <w:color w:val="000000"/>
          <w:lang w:eastAsia="en-GB"/>
        </w:rPr>
        <w:t>, respectively</w:t>
      </w:r>
      <w:r w:rsidR="00CC37FE" w:rsidRPr="00E86AA2">
        <w:rPr>
          <w:color w:val="000000"/>
          <w:lang w:eastAsia="en-GB"/>
        </w:rPr>
        <w:t>.</w:t>
      </w:r>
      <w:r w:rsidR="00AB6D0C" w:rsidRPr="00E86AA2">
        <w:rPr>
          <w:color w:val="000000"/>
          <w:lang w:eastAsia="en-GB"/>
        </w:rPr>
        <w:t xml:space="preserve"> The author’s appeals were rejected on the ground that  </w:t>
      </w:r>
      <w:r w:rsidR="00BB196E" w:rsidRPr="00E86AA2">
        <w:rPr>
          <w:color w:val="000000"/>
          <w:lang w:eastAsia="en-GB"/>
        </w:rPr>
        <w:t xml:space="preserve">they </w:t>
      </w:r>
      <w:r w:rsidR="00AB6D0C" w:rsidRPr="00E86AA2">
        <w:rPr>
          <w:color w:val="000000"/>
          <w:lang w:eastAsia="en-GB"/>
        </w:rPr>
        <w:t xml:space="preserve">failed to comply with the requirements of the Executive Committee Decision No. 775. </w:t>
      </w:r>
    </w:p>
    <w:p w14:paraId="7FA86997" w14:textId="5C0593B8" w:rsidR="00E95583" w:rsidRPr="00E86AA2" w:rsidRDefault="00E95583" w:rsidP="00CC37FE">
      <w:pPr>
        <w:pStyle w:val="SingleTxtG"/>
        <w:rPr>
          <w:i/>
          <w:iCs/>
          <w:lang w:val="fr-CH"/>
        </w:rPr>
      </w:pPr>
      <w:r w:rsidRPr="00E86AA2">
        <w:rPr>
          <w:i/>
          <w:iCs/>
          <w:lang w:val="fr-CH"/>
        </w:rPr>
        <w:t xml:space="preserve">Communication No. </w:t>
      </w:r>
      <w:r w:rsidR="00AD479D" w:rsidRPr="00E86AA2">
        <w:rPr>
          <w:i/>
          <w:iCs/>
          <w:lang w:val="fr-CH"/>
        </w:rPr>
        <w:t>3057/2017</w:t>
      </w:r>
      <w:r w:rsidRPr="00E86AA2">
        <w:rPr>
          <w:i/>
          <w:iCs/>
          <w:lang w:val="fr-CH"/>
        </w:rPr>
        <w:t xml:space="preserve">, </w:t>
      </w:r>
      <w:proofErr w:type="spellStart"/>
      <w:r w:rsidR="00AD479D" w:rsidRPr="00E86AA2">
        <w:rPr>
          <w:i/>
          <w:iCs/>
          <w:lang w:val="fr-CH"/>
        </w:rPr>
        <w:t>Zinaida</w:t>
      </w:r>
      <w:proofErr w:type="spellEnd"/>
      <w:r w:rsidR="00AD479D" w:rsidRPr="00E86AA2">
        <w:rPr>
          <w:i/>
          <w:iCs/>
          <w:lang w:val="fr-CH"/>
        </w:rPr>
        <w:t xml:space="preserve"> </w:t>
      </w:r>
      <w:proofErr w:type="spellStart"/>
      <w:r w:rsidR="00AD479D" w:rsidRPr="00E86AA2">
        <w:rPr>
          <w:i/>
          <w:iCs/>
          <w:lang w:val="fr-CH"/>
        </w:rPr>
        <w:t>Shumilina</w:t>
      </w:r>
      <w:proofErr w:type="spellEnd"/>
      <w:r w:rsidR="00AD479D" w:rsidRPr="00E86AA2">
        <w:rPr>
          <w:i/>
          <w:iCs/>
          <w:lang w:val="fr-CH"/>
        </w:rPr>
        <w:t xml:space="preserve"> et al. </w:t>
      </w:r>
      <w:r w:rsidRPr="00E86AA2">
        <w:rPr>
          <w:i/>
          <w:iCs/>
          <w:lang w:val="fr-CH"/>
        </w:rPr>
        <w:t>v. Belarus</w:t>
      </w:r>
    </w:p>
    <w:p w14:paraId="076B9556" w14:textId="570C4DB0" w:rsidR="00550B8F" w:rsidRPr="00E86AA2" w:rsidRDefault="00E95583" w:rsidP="00550B8F">
      <w:pPr>
        <w:pStyle w:val="SingleTxtG"/>
        <w:rPr>
          <w:color w:val="000000"/>
          <w:lang w:eastAsia="en-GB"/>
        </w:rPr>
      </w:pPr>
      <w:r w:rsidRPr="00E86AA2">
        <w:rPr>
          <w:color w:val="000000"/>
          <w:lang w:eastAsia="en-GB"/>
        </w:rPr>
        <w:t>2.</w:t>
      </w:r>
      <w:r w:rsidR="00D72783" w:rsidRPr="00E86AA2">
        <w:rPr>
          <w:color w:val="000000"/>
          <w:lang w:eastAsia="en-GB"/>
        </w:rPr>
        <w:t>8</w:t>
      </w:r>
      <w:r w:rsidRPr="00E86AA2">
        <w:rPr>
          <w:color w:val="000000"/>
          <w:lang w:eastAsia="en-GB"/>
        </w:rPr>
        <w:tab/>
      </w:r>
      <w:r w:rsidR="00F72F41" w:rsidRPr="00E86AA2">
        <w:rPr>
          <w:color w:val="000000"/>
          <w:lang w:eastAsia="en-GB"/>
        </w:rPr>
        <w:t xml:space="preserve"> </w:t>
      </w:r>
      <w:r w:rsidR="00550B8F" w:rsidRPr="00E86AA2">
        <w:rPr>
          <w:color w:val="000000"/>
          <w:lang w:eastAsia="en-GB"/>
        </w:rPr>
        <w:t xml:space="preserve">On 29 December 2014, </w:t>
      </w:r>
      <w:r w:rsidR="00520547" w:rsidRPr="00E86AA2">
        <w:rPr>
          <w:color w:val="000000"/>
          <w:lang w:eastAsia="en-GB"/>
        </w:rPr>
        <w:t xml:space="preserve">the authors submitted an application to the Gomel City Executive Committee, seeking authorization to conduct several peaceful pickets in various locations around Gomel </w:t>
      </w:r>
      <w:r w:rsidR="00550B8F" w:rsidRPr="00E86AA2">
        <w:rPr>
          <w:color w:val="000000"/>
          <w:lang w:eastAsia="en-GB"/>
        </w:rPr>
        <w:t>on 17 January 2015</w:t>
      </w:r>
      <w:r w:rsidR="00520547" w:rsidRPr="00E86AA2">
        <w:rPr>
          <w:color w:val="000000"/>
          <w:lang w:eastAsia="en-GB"/>
        </w:rPr>
        <w:t>.</w:t>
      </w:r>
      <w:r w:rsidR="00550B8F" w:rsidRPr="00E86AA2">
        <w:rPr>
          <w:color w:val="000000"/>
          <w:lang w:eastAsia="en-GB"/>
        </w:rPr>
        <w:t xml:space="preserve"> </w:t>
      </w:r>
      <w:r w:rsidR="00520547" w:rsidRPr="00E86AA2">
        <w:rPr>
          <w:color w:val="000000"/>
          <w:lang w:eastAsia="en-GB"/>
        </w:rPr>
        <w:t>The purpose of these pickets was to express their views on the financial crisis in Belarus and to call for the resignation of President Lukashenko.</w:t>
      </w:r>
    </w:p>
    <w:p w14:paraId="150E2E45" w14:textId="0E0D3E9E" w:rsidR="00B44FBD" w:rsidRPr="00E86AA2" w:rsidRDefault="00B44FBD" w:rsidP="00550B8F">
      <w:pPr>
        <w:pStyle w:val="SingleTxtG"/>
      </w:pPr>
      <w:r w:rsidRPr="00E86AA2">
        <w:rPr>
          <w:color w:val="000000"/>
          <w:lang w:eastAsia="en-GB"/>
        </w:rPr>
        <w:t>2.</w:t>
      </w:r>
      <w:r w:rsidR="00D72783" w:rsidRPr="00E86AA2">
        <w:rPr>
          <w:color w:val="000000"/>
          <w:lang w:eastAsia="en-GB"/>
        </w:rPr>
        <w:t>9</w:t>
      </w:r>
      <w:r w:rsidRPr="00E86AA2">
        <w:rPr>
          <w:color w:val="000000"/>
          <w:lang w:eastAsia="en-GB"/>
        </w:rPr>
        <w:tab/>
      </w:r>
      <w:r w:rsidRPr="00E86AA2">
        <w:t>On 10 January 201</w:t>
      </w:r>
      <w:r w:rsidRPr="00E86AA2">
        <w:rPr>
          <w:color w:val="000000"/>
          <w:lang w:eastAsia="en-GB"/>
        </w:rPr>
        <w:t xml:space="preserve">5, </w:t>
      </w:r>
      <w:r w:rsidR="003C4C1D" w:rsidRPr="00E86AA2">
        <w:rPr>
          <w:color w:val="000000"/>
          <w:lang w:eastAsia="en-GB"/>
        </w:rPr>
        <w:t>the Executive Committee denied the authorization to hold the pickets requested by the authors. The reason cited for the denial was that the authors' application did not meet the requirements outlined in the Executive Committee Decision No. 755 on mass events in Gomel City. Specifically, the planned locations for the pickets differed from those specified in the Decree, and the authors failed to provide contracts with the necessary service providers as mandated by the decision.</w:t>
      </w:r>
    </w:p>
    <w:p w14:paraId="4D39CA55" w14:textId="642DC09D" w:rsidR="00E70C9C" w:rsidRPr="00E86AA2" w:rsidRDefault="00E70C9C" w:rsidP="00550B8F">
      <w:pPr>
        <w:pStyle w:val="SingleTxtG"/>
        <w:rPr>
          <w:color w:val="000000"/>
          <w:lang w:eastAsia="en-GB"/>
        </w:rPr>
      </w:pPr>
      <w:r w:rsidRPr="00E86AA2">
        <w:rPr>
          <w:color w:val="000000"/>
          <w:lang w:eastAsia="en-GB"/>
        </w:rPr>
        <w:t>2.</w:t>
      </w:r>
      <w:r w:rsidR="00D72783" w:rsidRPr="00E86AA2">
        <w:rPr>
          <w:color w:val="000000"/>
          <w:lang w:eastAsia="en-GB"/>
        </w:rPr>
        <w:t>10</w:t>
      </w:r>
      <w:r w:rsidRPr="00E86AA2">
        <w:rPr>
          <w:color w:val="000000"/>
          <w:lang w:eastAsia="en-GB"/>
        </w:rPr>
        <w:tab/>
      </w:r>
      <w:r w:rsidRPr="00E86AA2">
        <w:t>On 20 January 2015, the authors</w:t>
      </w:r>
      <w:r w:rsidRPr="00E86AA2">
        <w:rPr>
          <w:color w:val="000000"/>
          <w:lang w:eastAsia="en-GB"/>
        </w:rPr>
        <w:t xml:space="preserve"> appealed the decision of the Executive Committee before the Central District Court of Gomel. Their appeal was rejected o</w:t>
      </w:r>
      <w:r w:rsidRPr="00E86AA2">
        <w:t xml:space="preserve">n 25 February 2015. </w:t>
      </w:r>
      <w:r w:rsidR="00DB40F8" w:rsidRPr="00E86AA2">
        <w:t xml:space="preserve">The authors’ appeal to the Gomel Regional Court of 16 March 2015, was rejected on 23 April 2015. The authors submitted requests for supervisory review to the </w:t>
      </w:r>
      <w:r w:rsidR="00DB40F8" w:rsidRPr="00E86AA2">
        <w:rPr>
          <w:color w:val="000000"/>
          <w:lang w:eastAsia="en-GB"/>
        </w:rPr>
        <w:t>Chair of the Gomel Regional Court on 14 August 2015, to the Chair of the Supreme Court</w:t>
      </w:r>
      <w:r w:rsidR="001B3B4C" w:rsidRPr="00E86AA2">
        <w:rPr>
          <w:color w:val="000000"/>
          <w:lang w:eastAsia="en-GB"/>
        </w:rPr>
        <w:t xml:space="preserve"> </w:t>
      </w:r>
      <w:r w:rsidR="00DB40F8" w:rsidRPr="00E86AA2">
        <w:rPr>
          <w:color w:val="000000"/>
          <w:lang w:eastAsia="en-GB"/>
        </w:rPr>
        <w:t>on 5 October 2015, to the Gomel Region Prosecutor’s office on 24 November 2015, and to the Prosecutor General on 17 February 2016. Their requests were rejected on 25 September, 17 November, 28 December 2015, and 21 April 2016</w:t>
      </w:r>
      <w:r w:rsidR="00405C51" w:rsidRPr="00E86AA2">
        <w:rPr>
          <w:color w:val="000000"/>
          <w:lang w:eastAsia="en-GB"/>
        </w:rPr>
        <w:t>, respectively</w:t>
      </w:r>
      <w:r w:rsidR="00AB6D0C" w:rsidRPr="00E86AA2">
        <w:rPr>
          <w:color w:val="000000"/>
          <w:lang w:eastAsia="en-GB"/>
        </w:rPr>
        <w:t xml:space="preserve"> on the ground that the authors have </w:t>
      </w:r>
      <w:r w:rsidR="00944F4D" w:rsidRPr="00E86AA2">
        <w:rPr>
          <w:color w:val="000000"/>
          <w:lang w:eastAsia="en-GB"/>
        </w:rPr>
        <w:t>failed to comply with the requirements of the Executive Committee Decision No. 775</w:t>
      </w:r>
      <w:r w:rsidR="00DB40F8" w:rsidRPr="00E86AA2">
        <w:rPr>
          <w:color w:val="000000"/>
          <w:lang w:eastAsia="en-GB"/>
        </w:rPr>
        <w:t>.</w:t>
      </w:r>
      <w:r w:rsidR="00AB6D0C" w:rsidRPr="00E86AA2">
        <w:rPr>
          <w:color w:val="000000"/>
          <w:lang w:eastAsia="en-GB"/>
        </w:rPr>
        <w:t xml:space="preserve"> </w:t>
      </w:r>
    </w:p>
    <w:p w14:paraId="2713914E" w14:textId="7B1CDA61" w:rsidR="00E95583" w:rsidRPr="00E86AA2" w:rsidRDefault="00F72F41" w:rsidP="00F72F41">
      <w:pPr>
        <w:pStyle w:val="H4G"/>
        <w:rPr>
          <w:lang w:val="es-ES"/>
        </w:rPr>
      </w:pPr>
      <w:r w:rsidRPr="00E86AA2">
        <w:lastRenderedPageBreak/>
        <w:tab/>
      </w:r>
      <w:r w:rsidRPr="00E86AA2">
        <w:tab/>
      </w:r>
      <w:proofErr w:type="spellStart"/>
      <w:r w:rsidR="00E95583" w:rsidRPr="00E86AA2">
        <w:rPr>
          <w:lang w:val="es-ES"/>
        </w:rPr>
        <w:t>Communication</w:t>
      </w:r>
      <w:proofErr w:type="spellEnd"/>
      <w:r w:rsidR="00E95583" w:rsidRPr="00E86AA2">
        <w:rPr>
          <w:lang w:val="es-ES"/>
        </w:rPr>
        <w:t xml:space="preserve"> No. </w:t>
      </w:r>
      <w:r w:rsidR="00EC2E5C" w:rsidRPr="00E86AA2">
        <w:rPr>
          <w:lang w:val="es-ES"/>
        </w:rPr>
        <w:t>3059</w:t>
      </w:r>
      <w:r w:rsidR="00E95583" w:rsidRPr="00E86AA2">
        <w:rPr>
          <w:lang w:val="es-ES"/>
        </w:rPr>
        <w:t>/201</w:t>
      </w:r>
      <w:r w:rsidR="00EC2E5C" w:rsidRPr="00E86AA2">
        <w:rPr>
          <w:lang w:val="es-ES"/>
        </w:rPr>
        <w:t>7</w:t>
      </w:r>
      <w:r w:rsidR="00E95583" w:rsidRPr="00E86AA2">
        <w:rPr>
          <w:lang w:val="es-ES"/>
        </w:rPr>
        <w:t xml:space="preserve">, </w:t>
      </w:r>
      <w:proofErr w:type="spellStart"/>
      <w:r w:rsidR="00EC2E5C" w:rsidRPr="00E86AA2">
        <w:rPr>
          <w:lang w:val="es-ES"/>
        </w:rPr>
        <w:t>Victor</w:t>
      </w:r>
      <w:proofErr w:type="spellEnd"/>
      <w:r w:rsidR="00EC2E5C" w:rsidRPr="00E86AA2">
        <w:rPr>
          <w:lang w:val="es-ES"/>
        </w:rPr>
        <w:t xml:space="preserve"> </w:t>
      </w:r>
      <w:proofErr w:type="spellStart"/>
      <w:r w:rsidR="00EC2E5C" w:rsidRPr="00E86AA2">
        <w:rPr>
          <w:lang w:val="es-ES"/>
        </w:rPr>
        <w:t>Kozlov</w:t>
      </w:r>
      <w:proofErr w:type="spellEnd"/>
      <w:r w:rsidR="00EC2E5C" w:rsidRPr="00E86AA2">
        <w:rPr>
          <w:lang w:val="es-ES"/>
        </w:rPr>
        <w:t xml:space="preserve"> et al.</w:t>
      </w:r>
      <w:r w:rsidR="00E95583" w:rsidRPr="00E86AA2">
        <w:rPr>
          <w:lang w:val="es-ES"/>
        </w:rPr>
        <w:t xml:space="preserve"> v. Belarus</w:t>
      </w:r>
    </w:p>
    <w:p w14:paraId="11B501FA" w14:textId="30761AFD" w:rsidR="001C4618" w:rsidRPr="00E86AA2" w:rsidRDefault="00E95583" w:rsidP="001C4618">
      <w:pPr>
        <w:pStyle w:val="SingleTxtG"/>
      </w:pPr>
      <w:r w:rsidRPr="00E86AA2">
        <w:t>2.</w:t>
      </w:r>
      <w:r w:rsidR="00D72783" w:rsidRPr="00E86AA2">
        <w:t>11</w:t>
      </w:r>
      <w:r w:rsidRPr="00E86AA2">
        <w:tab/>
      </w:r>
      <w:r w:rsidR="001C4618" w:rsidRPr="00E86AA2">
        <w:t xml:space="preserve">On 7 September 2015, </w:t>
      </w:r>
      <w:r w:rsidR="003C4C1D" w:rsidRPr="00E86AA2">
        <w:t xml:space="preserve">the authors submitted an application to the Gomel City Executive Committee, seeking authorization to organize a </w:t>
      </w:r>
      <w:r w:rsidR="00DC1B21" w:rsidRPr="00E86AA2">
        <w:t>march</w:t>
      </w:r>
      <w:r w:rsidR="003C4C1D" w:rsidRPr="00E86AA2">
        <w:t xml:space="preserve"> in the city </w:t>
      </w:r>
      <w:proofErr w:type="spellStart"/>
      <w:r w:rsidR="003C4C1D" w:rsidRPr="00E86AA2">
        <w:t>center</w:t>
      </w:r>
      <w:proofErr w:type="spellEnd"/>
      <w:r w:rsidR="003C4C1D" w:rsidRPr="00E86AA2">
        <w:t xml:space="preserve"> on 27 September 2015. The purpose of the </w:t>
      </w:r>
      <w:r w:rsidR="00DC1B21" w:rsidRPr="00E86AA2">
        <w:t>march</w:t>
      </w:r>
      <w:r w:rsidR="003C4C1D" w:rsidRPr="00E86AA2">
        <w:t xml:space="preserve"> was to draw public attention to the exercise of voting rights in the upcoming Presidential elections. To support their application, the authors included a signed document in which they committed to covering any costs associated with maintaining public order, providing healthcare services, and cleaning the area within 10 days. This commitment was made in accordance with the </w:t>
      </w:r>
      <w:r w:rsidR="00944F4D" w:rsidRPr="00E86AA2">
        <w:t xml:space="preserve">Executive Committee </w:t>
      </w:r>
      <w:r w:rsidR="00AB6D0C" w:rsidRPr="00E86AA2">
        <w:t>D</w:t>
      </w:r>
      <w:r w:rsidR="003C4C1D" w:rsidRPr="00E86AA2">
        <w:t xml:space="preserve">ecision </w:t>
      </w:r>
      <w:r w:rsidR="00944F4D" w:rsidRPr="00E86AA2">
        <w:t>No. 755</w:t>
      </w:r>
      <w:r w:rsidR="003C4C1D" w:rsidRPr="00E86AA2">
        <w:t>.</w:t>
      </w:r>
    </w:p>
    <w:p w14:paraId="73A84022" w14:textId="25F800C6" w:rsidR="005A0255" w:rsidRPr="00E86AA2" w:rsidRDefault="005A0255" w:rsidP="001C4618">
      <w:pPr>
        <w:pStyle w:val="SingleTxtG"/>
      </w:pPr>
      <w:r w:rsidRPr="00E86AA2">
        <w:t>2.1</w:t>
      </w:r>
      <w:r w:rsidR="00D72783" w:rsidRPr="00E86AA2">
        <w:t>2</w:t>
      </w:r>
      <w:r w:rsidRPr="00E86AA2">
        <w:tab/>
        <w:t xml:space="preserve">On 21 September 2015, </w:t>
      </w:r>
      <w:r w:rsidR="003C4C1D" w:rsidRPr="00E86AA2">
        <w:t xml:space="preserve">the Executive Committee rejected the application having determined that the requested </w:t>
      </w:r>
      <w:r w:rsidR="00DC1B21" w:rsidRPr="00E86AA2">
        <w:t>march</w:t>
      </w:r>
      <w:r w:rsidR="003C4C1D" w:rsidRPr="00E86AA2">
        <w:t xml:space="preserve">'s itinerary contradicted the provisions of the Public Events Act. According to this act, no public events should be authorized within </w:t>
      </w:r>
      <w:proofErr w:type="gramStart"/>
      <w:r w:rsidR="003C4C1D" w:rsidRPr="00E86AA2">
        <w:t>a distance of less</w:t>
      </w:r>
      <w:proofErr w:type="gramEnd"/>
      <w:r w:rsidR="003C4C1D" w:rsidRPr="00E86AA2">
        <w:t xml:space="preserve"> than 50 meters from local administrations and less than 200 meters from mass media editorial offices. </w:t>
      </w:r>
      <w:r w:rsidRPr="00E86AA2">
        <w:t xml:space="preserve">Furthermore, the decision referred to the Executive Committee </w:t>
      </w:r>
      <w:r w:rsidR="00944F4D" w:rsidRPr="00E86AA2">
        <w:t>Decision</w:t>
      </w:r>
      <w:r w:rsidRPr="00E86AA2">
        <w:t xml:space="preserve"> no. 775</w:t>
      </w:r>
      <w:r w:rsidR="008C65C8" w:rsidRPr="00E86AA2">
        <w:t xml:space="preserve"> in that the authors failed to provide </w:t>
      </w:r>
      <w:r w:rsidR="008C65C8" w:rsidRPr="00E86AA2">
        <w:rPr>
          <w:color w:val="000000"/>
          <w:lang w:eastAsia="en-GB"/>
        </w:rPr>
        <w:t xml:space="preserve">contracts with service providers </w:t>
      </w:r>
      <w:r w:rsidR="003C4C1D" w:rsidRPr="00E86AA2">
        <w:rPr>
          <w:color w:val="000000"/>
          <w:lang w:eastAsia="en-GB"/>
        </w:rPr>
        <w:t xml:space="preserve">along </w:t>
      </w:r>
      <w:r w:rsidR="008C65C8" w:rsidRPr="00E86AA2">
        <w:rPr>
          <w:color w:val="000000"/>
          <w:lang w:eastAsia="en-GB"/>
        </w:rPr>
        <w:t>with their application</w:t>
      </w:r>
      <w:r w:rsidR="008C65C8" w:rsidRPr="00E86AA2">
        <w:t>.</w:t>
      </w:r>
      <w:r w:rsidRPr="00E86AA2">
        <w:t xml:space="preserve">  </w:t>
      </w:r>
    </w:p>
    <w:p w14:paraId="3C64C4D4" w14:textId="364272BD" w:rsidR="00DE7132" w:rsidRPr="00E86AA2" w:rsidRDefault="00DE7132" w:rsidP="001C4618">
      <w:pPr>
        <w:pStyle w:val="SingleTxtG"/>
      </w:pPr>
      <w:r w:rsidRPr="00E86AA2">
        <w:t>2.1</w:t>
      </w:r>
      <w:r w:rsidR="00FF544D" w:rsidRPr="00E86AA2">
        <w:t>3</w:t>
      </w:r>
      <w:r w:rsidRPr="00E86AA2">
        <w:tab/>
        <w:t xml:space="preserve">On 24 September 2015, the </w:t>
      </w:r>
      <w:proofErr w:type="spellStart"/>
      <w:r w:rsidRPr="00E86AA2">
        <w:t>the</w:t>
      </w:r>
      <w:proofErr w:type="spellEnd"/>
      <w:r w:rsidRPr="00E86AA2">
        <w:t xml:space="preserve"> authors</w:t>
      </w:r>
      <w:r w:rsidRPr="00E86AA2">
        <w:rPr>
          <w:color w:val="000000"/>
          <w:lang w:eastAsia="en-GB"/>
        </w:rPr>
        <w:t xml:space="preserve"> appealed the decision of the Executive Committee before the Central District Court of Gomel. Their appeal was rejected on </w:t>
      </w:r>
      <w:r w:rsidRPr="00E86AA2">
        <w:t xml:space="preserve">12 October 2015. The authors’ </w:t>
      </w:r>
      <w:r w:rsidR="0006038A" w:rsidRPr="00E86AA2">
        <w:t>cassation appeal to the Gomel Regional Court dated 14 October 2015, was rejected on 24 November 2015.</w:t>
      </w:r>
      <w:r w:rsidR="003245AB" w:rsidRPr="00E86AA2">
        <w:t xml:space="preserve"> The authors submitted requests for supervisory review to the </w:t>
      </w:r>
      <w:r w:rsidR="003245AB" w:rsidRPr="00E86AA2">
        <w:rPr>
          <w:color w:val="000000"/>
          <w:lang w:eastAsia="en-GB"/>
        </w:rPr>
        <w:t xml:space="preserve">Chair of the Gomel Regional Court on </w:t>
      </w:r>
      <w:r w:rsidR="003245AB" w:rsidRPr="00E86AA2">
        <w:t>11 December 2015</w:t>
      </w:r>
      <w:r w:rsidR="003245AB" w:rsidRPr="00E86AA2">
        <w:rPr>
          <w:color w:val="000000"/>
          <w:lang w:eastAsia="en-GB"/>
        </w:rPr>
        <w:t>, to the Chair of the Supreme Court</w:t>
      </w:r>
      <w:r w:rsidR="001B3B4C" w:rsidRPr="00E86AA2">
        <w:rPr>
          <w:color w:val="000000"/>
          <w:lang w:eastAsia="en-GB"/>
        </w:rPr>
        <w:t xml:space="preserve"> of Belarus</w:t>
      </w:r>
      <w:r w:rsidR="003245AB" w:rsidRPr="00E86AA2">
        <w:rPr>
          <w:color w:val="000000"/>
          <w:lang w:eastAsia="en-GB"/>
        </w:rPr>
        <w:t xml:space="preserve"> on </w:t>
      </w:r>
      <w:r w:rsidR="003245AB" w:rsidRPr="00E86AA2">
        <w:t>19 January 2016</w:t>
      </w:r>
      <w:r w:rsidR="003245AB" w:rsidRPr="00E86AA2">
        <w:rPr>
          <w:color w:val="000000"/>
          <w:lang w:eastAsia="en-GB"/>
        </w:rPr>
        <w:t xml:space="preserve">, to the Gomel Region Prosecutor’s office on </w:t>
      </w:r>
      <w:r w:rsidR="003245AB" w:rsidRPr="00E86AA2">
        <w:t>9 March 2016</w:t>
      </w:r>
      <w:r w:rsidR="003245AB" w:rsidRPr="00E86AA2">
        <w:rPr>
          <w:color w:val="000000"/>
          <w:lang w:eastAsia="en-GB"/>
        </w:rPr>
        <w:t xml:space="preserve">, and to the Prosecutor General’s Office on </w:t>
      </w:r>
      <w:r w:rsidR="003245AB" w:rsidRPr="00E86AA2">
        <w:t>18 April 2016</w:t>
      </w:r>
      <w:r w:rsidR="003245AB" w:rsidRPr="00E86AA2">
        <w:rPr>
          <w:color w:val="000000"/>
          <w:lang w:eastAsia="en-GB"/>
        </w:rPr>
        <w:t xml:space="preserve">. Their requests were rejected on </w:t>
      </w:r>
      <w:r w:rsidR="003245AB" w:rsidRPr="00E86AA2">
        <w:t>16 January, 2 March, 8 April and 15 June 2016</w:t>
      </w:r>
      <w:r w:rsidR="003245AB" w:rsidRPr="00E86AA2">
        <w:rPr>
          <w:color w:val="000000"/>
          <w:lang w:eastAsia="en-GB"/>
        </w:rPr>
        <w:t>, respectively.</w:t>
      </w:r>
      <w:r w:rsidR="005E06C2" w:rsidRPr="00E86AA2">
        <w:rPr>
          <w:color w:val="000000"/>
          <w:lang w:eastAsia="en-GB"/>
        </w:rPr>
        <w:t xml:space="preserve"> The authors’ appeals were rejected because they failed to comply with the requirements of the Executive Committee Decision No. 775.  </w:t>
      </w:r>
    </w:p>
    <w:p w14:paraId="34BA18E8" w14:textId="477AD6BE" w:rsidR="00E95583" w:rsidRPr="00E86AA2" w:rsidRDefault="00760F0F" w:rsidP="00760F0F">
      <w:pPr>
        <w:spacing w:line="360" w:lineRule="auto"/>
        <w:ind w:left="1170" w:right="1179" w:hanging="36"/>
        <w:jc w:val="both"/>
        <w:rPr>
          <w:i/>
          <w:iCs/>
          <w:lang w:val="es-ES"/>
        </w:rPr>
      </w:pPr>
      <w:proofErr w:type="spellStart"/>
      <w:r w:rsidRPr="00E86AA2">
        <w:rPr>
          <w:i/>
          <w:iCs/>
          <w:lang w:val="es-ES"/>
        </w:rPr>
        <w:t>Communication</w:t>
      </w:r>
      <w:proofErr w:type="spellEnd"/>
      <w:r w:rsidRPr="00E86AA2">
        <w:rPr>
          <w:i/>
          <w:iCs/>
          <w:lang w:val="es-ES"/>
        </w:rPr>
        <w:t xml:space="preserve"> No. 3099/2018, Vladimir </w:t>
      </w:r>
      <w:proofErr w:type="spellStart"/>
      <w:r w:rsidRPr="00E86AA2">
        <w:rPr>
          <w:i/>
          <w:iCs/>
          <w:lang w:val="es-ES"/>
        </w:rPr>
        <w:t>Nepomnyashchikh</w:t>
      </w:r>
      <w:proofErr w:type="spellEnd"/>
      <w:r w:rsidRPr="00E86AA2">
        <w:rPr>
          <w:i/>
          <w:iCs/>
          <w:lang w:val="es-ES"/>
        </w:rPr>
        <w:t xml:space="preserve"> v. Belarus</w:t>
      </w:r>
    </w:p>
    <w:p w14:paraId="7964A3EB" w14:textId="4A9F5F19" w:rsidR="00760F0F" w:rsidRPr="00E86AA2" w:rsidRDefault="00760F0F" w:rsidP="00760F0F">
      <w:pPr>
        <w:pStyle w:val="SingleTxtG"/>
        <w:rPr>
          <w:color w:val="000000"/>
          <w:lang w:eastAsia="en-GB"/>
        </w:rPr>
      </w:pPr>
      <w:r w:rsidRPr="00E86AA2">
        <w:rPr>
          <w:color w:val="000000"/>
          <w:lang w:eastAsia="en-GB"/>
        </w:rPr>
        <w:t>2.1</w:t>
      </w:r>
      <w:r w:rsidR="00FF544D" w:rsidRPr="00E86AA2">
        <w:rPr>
          <w:color w:val="000000"/>
          <w:lang w:eastAsia="en-GB"/>
        </w:rPr>
        <w:t>4</w:t>
      </w:r>
      <w:r w:rsidRPr="00E86AA2">
        <w:rPr>
          <w:color w:val="000000"/>
          <w:lang w:eastAsia="en-GB"/>
        </w:rPr>
        <w:tab/>
        <w:t>On an unspecified date in February 2017,</w:t>
      </w:r>
      <w:r w:rsidR="008F4B56" w:rsidRPr="00E86AA2">
        <w:rPr>
          <w:color w:val="000000"/>
          <w:lang w:eastAsia="en-GB"/>
        </w:rPr>
        <w:t xml:space="preserve"> the author</w:t>
      </w:r>
      <w:r w:rsidRPr="00E86AA2">
        <w:rPr>
          <w:color w:val="000000"/>
          <w:lang w:eastAsia="en-GB"/>
        </w:rPr>
        <w:t xml:space="preserve"> </w:t>
      </w:r>
      <w:proofErr w:type="gramStart"/>
      <w:r w:rsidRPr="00E86AA2">
        <w:rPr>
          <w:color w:val="000000"/>
          <w:lang w:eastAsia="en-GB"/>
        </w:rPr>
        <w:t>submitted an application</w:t>
      </w:r>
      <w:proofErr w:type="gramEnd"/>
      <w:r w:rsidRPr="00E86AA2">
        <w:rPr>
          <w:color w:val="000000"/>
          <w:lang w:eastAsia="en-GB"/>
        </w:rPr>
        <w:t xml:space="preserve"> to the Gomel City Executive Committee</w:t>
      </w:r>
      <w:r w:rsidR="007233F4" w:rsidRPr="00E86AA2">
        <w:rPr>
          <w:color w:val="000000"/>
          <w:lang w:eastAsia="en-GB"/>
        </w:rPr>
        <w:t>, seeking a</w:t>
      </w:r>
      <w:r w:rsidRPr="00E86AA2">
        <w:rPr>
          <w:color w:val="000000"/>
          <w:lang w:eastAsia="en-GB"/>
        </w:rPr>
        <w:t>uthorization to organize a demonstration in the city centre on 19 February 2017</w:t>
      </w:r>
      <w:r w:rsidR="007233F4" w:rsidRPr="00E86AA2">
        <w:rPr>
          <w:color w:val="000000"/>
          <w:lang w:eastAsia="en-GB"/>
        </w:rPr>
        <w:t xml:space="preserve">. The purpose of the demonstration was </w:t>
      </w:r>
      <w:r w:rsidR="00AC23C7" w:rsidRPr="00E86AA2">
        <w:rPr>
          <w:color w:val="000000"/>
          <w:lang w:eastAsia="en-GB"/>
        </w:rPr>
        <w:t xml:space="preserve">to </w:t>
      </w:r>
      <w:proofErr w:type="gramStart"/>
      <w:r w:rsidR="00AC23C7" w:rsidRPr="00E86AA2">
        <w:rPr>
          <w:color w:val="000000"/>
          <w:lang w:eastAsia="en-GB"/>
        </w:rPr>
        <w:t>protest against</w:t>
      </w:r>
      <w:proofErr w:type="gramEnd"/>
      <w:r w:rsidR="00AC23C7" w:rsidRPr="00E86AA2">
        <w:rPr>
          <w:color w:val="000000"/>
          <w:lang w:eastAsia="en-GB"/>
        </w:rPr>
        <w:t xml:space="preserve"> the Presidential decree of 2 April 2015 No. 3 on the prevention of social dependency</w:t>
      </w:r>
      <w:r w:rsidRPr="00E86AA2">
        <w:rPr>
          <w:color w:val="000000"/>
          <w:lang w:eastAsia="en-GB"/>
        </w:rPr>
        <w:t xml:space="preserve">. On 13 February 2017 the Executive Committee denied </w:t>
      </w:r>
      <w:r w:rsidR="0029434E" w:rsidRPr="00E86AA2">
        <w:rPr>
          <w:color w:val="000000"/>
          <w:lang w:eastAsia="en-GB"/>
        </w:rPr>
        <w:t xml:space="preserve">the </w:t>
      </w:r>
      <w:r w:rsidRPr="00E86AA2">
        <w:rPr>
          <w:color w:val="000000"/>
          <w:lang w:eastAsia="en-GB"/>
        </w:rPr>
        <w:t>authorization for the event</w:t>
      </w:r>
      <w:r w:rsidR="00CD4FC0" w:rsidRPr="00E86AA2">
        <w:rPr>
          <w:color w:val="000000"/>
          <w:lang w:eastAsia="en-GB"/>
        </w:rPr>
        <w:t xml:space="preserve">. Its decision was </w:t>
      </w:r>
      <w:proofErr w:type="gramStart"/>
      <w:r w:rsidR="00CD4FC0" w:rsidRPr="00E86AA2">
        <w:rPr>
          <w:color w:val="000000"/>
          <w:lang w:eastAsia="en-GB"/>
        </w:rPr>
        <w:t>based on the fact that</w:t>
      </w:r>
      <w:proofErr w:type="gramEnd"/>
      <w:r w:rsidR="00CD4FC0" w:rsidRPr="00E86AA2">
        <w:rPr>
          <w:color w:val="000000"/>
          <w:lang w:eastAsia="en-GB"/>
        </w:rPr>
        <w:t xml:space="preserve"> the </w:t>
      </w:r>
      <w:r w:rsidR="00D7554B" w:rsidRPr="00E86AA2">
        <w:rPr>
          <w:color w:val="000000"/>
          <w:lang w:eastAsia="en-GB"/>
        </w:rPr>
        <w:t xml:space="preserve">author </w:t>
      </w:r>
      <w:r w:rsidR="00CD4FC0" w:rsidRPr="00E86AA2">
        <w:rPr>
          <w:color w:val="000000"/>
          <w:lang w:eastAsia="en-GB"/>
        </w:rPr>
        <w:t xml:space="preserve">did not comply with the provisions which </w:t>
      </w:r>
      <w:r w:rsidR="00D72783" w:rsidRPr="00E86AA2">
        <w:rPr>
          <w:color w:val="000000"/>
          <w:lang w:eastAsia="en-GB"/>
        </w:rPr>
        <w:t xml:space="preserve">require </w:t>
      </w:r>
      <w:r w:rsidR="00CD4FC0" w:rsidRPr="00E86AA2">
        <w:rPr>
          <w:color w:val="000000"/>
          <w:lang w:eastAsia="en-GB"/>
        </w:rPr>
        <w:t>that public events should not be authorized within a distance of less than 50 meters from local administration</w:t>
      </w:r>
      <w:r w:rsidR="00DB3D72" w:rsidRPr="00E86AA2">
        <w:rPr>
          <w:color w:val="000000"/>
          <w:lang w:eastAsia="en-GB"/>
        </w:rPr>
        <w:t xml:space="preserve"> buildings</w:t>
      </w:r>
      <w:r w:rsidR="00CD4FC0" w:rsidRPr="00E86AA2">
        <w:rPr>
          <w:color w:val="000000"/>
          <w:lang w:eastAsia="en-GB"/>
        </w:rPr>
        <w:t xml:space="preserve"> and less than 200 meters from mass media editorial offices. Furthermore, the author failed to provide contracts with public service providers as required by the Executive Committee's Decision No. 755</w:t>
      </w:r>
      <w:r w:rsidR="003E4CBC" w:rsidRPr="00E86AA2">
        <w:rPr>
          <w:color w:val="000000"/>
          <w:lang w:eastAsia="en-GB"/>
        </w:rPr>
        <w:t xml:space="preserve"> </w:t>
      </w:r>
      <w:r w:rsidR="00CD4FC0" w:rsidRPr="00E86AA2">
        <w:rPr>
          <w:color w:val="000000"/>
          <w:lang w:eastAsia="en-GB"/>
        </w:rPr>
        <w:t>o</w:t>
      </w:r>
      <w:r w:rsidR="003E4CBC" w:rsidRPr="00E86AA2">
        <w:rPr>
          <w:color w:val="000000"/>
          <w:lang w:eastAsia="en-GB"/>
        </w:rPr>
        <w:t>n</w:t>
      </w:r>
      <w:r w:rsidR="00CD4FC0" w:rsidRPr="00E86AA2">
        <w:rPr>
          <w:color w:val="000000"/>
          <w:lang w:eastAsia="en-GB"/>
        </w:rPr>
        <w:t xml:space="preserve"> mass events in Gomel City.</w:t>
      </w:r>
      <w:r w:rsidRPr="00E86AA2">
        <w:rPr>
          <w:color w:val="000000"/>
          <w:lang w:eastAsia="en-GB"/>
        </w:rPr>
        <w:t xml:space="preserve"> On the same date the author appealed the decision of the Executive Committee before the Central District Court in Gomel, which rejected his appeal on 4 April 2017. On 16 May 2017, the author’s cassation appeal, submitted on 7 April 2017, was rejected by the Gomel Regional Court</w:t>
      </w:r>
      <w:r w:rsidR="0016281D" w:rsidRPr="00E86AA2">
        <w:rPr>
          <w:color w:val="000000"/>
          <w:lang w:eastAsia="en-GB"/>
        </w:rPr>
        <w:t xml:space="preserve"> for failure to comply with the requirements for </w:t>
      </w:r>
      <w:proofErr w:type="spellStart"/>
      <w:r w:rsidR="0016281D" w:rsidRPr="00E86AA2">
        <w:rPr>
          <w:color w:val="000000"/>
          <w:lang w:eastAsia="en-GB"/>
        </w:rPr>
        <w:t>orginizing</w:t>
      </w:r>
      <w:proofErr w:type="spellEnd"/>
      <w:r w:rsidR="0016281D" w:rsidRPr="00E86AA2">
        <w:rPr>
          <w:color w:val="000000"/>
          <w:lang w:eastAsia="en-GB"/>
        </w:rPr>
        <w:t xml:space="preserve"> public events, as set out in of the Executive Committee Decision No. 775</w:t>
      </w:r>
      <w:r w:rsidR="00A21179" w:rsidRPr="00E86AA2">
        <w:rPr>
          <w:color w:val="000000"/>
          <w:lang w:eastAsia="en-GB"/>
        </w:rPr>
        <w:t>.</w:t>
      </w:r>
      <w:r w:rsidR="00205E5F" w:rsidRPr="00E86AA2">
        <w:rPr>
          <w:rStyle w:val="FootnoteReference"/>
          <w:color w:val="000000"/>
          <w:lang w:eastAsia="en-GB"/>
        </w:rPr>
        <w:footnoteReference w:id="5"/>
      </w:r>
    </w:p>
    <w:p w14:paraId="1B2A4773" w14:textId="65F8995E" w:rsidR="008F4B56" w:rsidRPr="00E86AA2" w:rsidRDefault="008F4B56" w:rsidP="008F4B56">
      <w:pPr>
        <w:spacing w:line="360" w:lineRule="auto"/>
        <w:ind w:left="1170" w:right="1179" w:hanging="36"/>
        <w:jc w:val="both"/>
        <w:rPr>
          <w:i/>
          <w:iCs/>
        </w:rPr>
      </w:pPr>
      <w:r w:rsidRPr="00E86AA2">
        <w:rPr>
          <w:i/>
          <w:iCs/>
        </w:rPr>
        <w:t xml:space="preserve">Communication No. 3234/2018, Vladimir </w:t>
      </w:r>
      <w:proofErr w:type="spellStart"/>
      <w:r w:rsidRPr="00E86AA2">
        <w:rPr>
          <w:i/>
          <w:iCs/>
        </w:rPr>
        <w:t>Nepomnyashchikh</w:t>
      </w:r>
      <w:proofErr w:type="spellEnd"/>
      <w:r w:rsidRPr="00E86AA2">
        <w:rPr>
          <w:i/>
          <w:iCs/>
        </w:rPr>
        <w:t xml:space="preserve"> v. Belarus</w:t>
      </w:r>
    </w:p>
    <w:p w14:paraId="4C8B683A" w14:textId="5F101CAB" w:rsidR="008F4B56" w:rsidRPr="00E86AA2" w:rsidRDefault="008F4B56" w:rsidP="00760F0F">
      <w:pPr>
        <w:pStyle w:val="SingleTxtG"/>
        <w:rPr>
          <w:color w:val="000000"/>
          <w:lang w:eastAsia="en-GB"/>
        </w:rPr>
      </w:pPr>
      <w:r w:rsidRPr="00E86AA2">
        <w:rPr>
          <w:color w:val="000000"/>
          <w:lang w:eastAsia="en-GB"/>
        </w:rPr>
        <w:t>2.1</w:t>
      </w:r>
      <w:r w:rsidR="00FF544D" w:rsidRPr="00C82642">
        <w:rPr>
          <w:color w:val="000000"/>
          <w:lang w:eastAsia="en-GB"/>
        </w:rPr>
        <w:t>5</w:t>
      </w:r>
      <w:r w:rsidRPr="00E86AA2">
        <w:rPr>
          <w:color w:val="000000"/>
          <w:lang w:eastAsia="en-GB"/>
        </w:rPr>
        <w:tab/>
        <w:t xml:space="preserve">On 18 December 2017, the </w:t>
      </w:r>
      <w:r w:rsidRPr="00E86AA2">
        <w:rPr>
          <w:color w:val="000000"/>
          <w:lang w:val="en-US" w:eastAsia="en-GB"/>
        </w:rPr>
        <w:t xml:space="preserve">author </w:t>
      </w:r>
      <w:proofErr w:type="gramStart"/>
      <w:r w:rsidRPr="00E86AA2">
        <w:rPr>
          <w:color w:val="000000"/>
          <w:lang w:val="en-US" w:eastAsia="en-GB"/>
        </w:rPr>
        <w:t>submitted an application</w:t>
      </w:r>
      <w:proofErr w:type="gramEnd"/>
      <w:r w:rsidRPr="00E86AA2">
        <w:rPr>
          <w:color w:val="000000"/>
          <w:lang w:val="en-US" w:eastAsia="en-GB"/>
        </w:rPr>
        <w:t xml:space="preserve"> to the Gomel Executive Committee</w:t>
      </w:r>
      <w:r w:rsidR="003E4CBC" w:rsidRPr="00E86AA2">
        <w:rPr>
          <w:color w:val="000000"/>
          <w:lang w:val="en-US" w:eastAsia="en-GB"/>
        </w:rPr>
        <w:t>, seeking an</w:t>
      </w:r>
      <w:r w:rsidRPr="00E86AA2">
        <w:rPr>
          <w:color w:val="000000"/>
          <w:lang w:val="en-US" w:eastAsia="en-GB"/>
        </w:rPr>
        <w:t xml:space="preserve"> authorization </w:t>
      </w:r>
      <w:r w:rsidR="003E4CBC" w:rsidRPr="00E86AA2">
        <w:rPr>
          <w:color w:val="000000"/>
          <w:lang w:val="en-US" w:eastAsia="en-GB"/>
        </w:rPr>
        <w:t>for</w:t>
      </w:r>
      <w:r w:rsidRPr="00E86AA2">
        <w:rPr>
          <w:color w:val="000000"/>
          <w:lang w:val="en-US" w:eastAsia="en-GB"/>
        </w:rPr>
        <w:t xml:space="preserve"> a peaceful picket of up to 10 participants</w:t>
      </w:r>
      <w:r w:rsidR="00C36A3A" w:rsidRPr="00E86AA2">
        <w:rPr>
          <w:color w:val="000000"/>
          <w:lang w:val="en-US" w:eastAsia="en-GB"/>
        </w:rPr>
        <w:t xml:space="preserve">. </w:t>
      </w:r>
      <w:r w:rsidR="003E4CBC" w:rsidRPr="00E86AA2">
        <w:t xml:space="preserve">The purpose of the picket was to draw attention to two main issues: the blocking of the website 'Belarussian partisan' and the absence of free speech in Belarus. </w:t>
      </w:r>
      <w:r w:rsidR="00B44570" w:rsidRPr="00E86AA2">
        <w:t xml:space="preserve">On 28 December 2017, the Executive Committee denied the authorization for the picket because the author </w:t>
      </w:r>
      <w:r w:rsidR="00B44570" w:rsidRPr="00E86AA2">
        <w:rPr>
          <w:color w:val="000000"/>
          <w:lang w:eastAsia="en-GB"/>
        </w:rPr>
        <w:t>failed to provide contracts with public service providers required under the Decision No. 755 on mass events in Gomel City</w:t>
      </w:r>
      <w:r w:rsidR="00B44570" w:rsidRPr="00E86AA2">
        <w:t xml:space="preserve">. On 6 January 2018, the author appealed against the </w:t>
      </w:r>
      <w:r w:rsidR="00670247" w:rsidRPr="00E86AA2">
        <w:t xml:space="preserve">Executive </w:t>
      </w:r>
      <w:proofErr w:type="spellStart"/>
      <w:r w:rsidR="00670247" w:rsidRPr="00E86AA2">
        <w:t>Committe</w:t>
      </w:r>
      <w:proofErr w:type="spellEnd"/>
      <w:r w:rsidR="00B44570" w:rsidRPr="00E86AA2">
        <w:t xml:space="preserve"> decision to the Central District Court in Gomel, which rejected his appeal on 5 April 2018. On 14 June 2018, the author’s cassation appeal (submitted on 12 May 2018) was rejected by the Gomel Regional Court. On </w:t>
      </w:r>
      <w:r w:rsidR="00670247" w:rsidRPr="00E86AA2">
        <w:t xml:space="preserve">14 June 2018, the author’s request for supervisory </w:t>
      </w:r>
      <w:r w:rsidR="00670247" w:rsidRPr="00E86AA2">
        <w:lastRenderedPageBreak/>
        <w:t xml:space="preserve">review (submitted on 12 May), was rejected by the President of the Gomel Regional Court. On </w:t>
      </w:r>
      <w:r w:rsidR="00B44570" w:rsidRPr="00E86AA2">
        <w:t xml:space="preserve">3 August 2018, his </w:t>
      </w:r>
      <w:r w:rsidR="005211FC" w:rsidRPr="00E86AA2">
        <w:t xml:space="preserve">request for supervisory review </w:t>
      </w:r>
      <w:r w:rsidR="00B44570" w:rsidRPr="00E86AA2">
        <w:t xml:space="preserve">(submitted on 18 May) was rejected by the </w:t>
      </w:r>
      <w:r w:rsidR="008B076A" w:rsidRPr="00E86AA2">
        <w:t xml:space="preserve">President of the </w:t>
      </w:r>
      <w:r w:rsidR="00B44570" w:rsidRPr="00E86AA2">
        <w:t>Supreme Court</w:t>
      </w:r>
      <w:r w:rsidR="0016281D" w:rsidRPr="00E86AA2">
        <w:t xml:space="preserve"> because the author failed to comply with requirements of the</w:t>
      </w:r>
      <w:r w:rsidR="0016281D" w:rsidRPr="00E86AA2">
        <w:rPr>
          <w:color w:val="000000"/>
          <w:lang w:eastAsia="en-GB"/>
        </w:rPr>
        <w:t xml:space="preserve"> Executive Committee Decision No. 775</w:t>
      </w:r>
      <w:r w:rsidR="00B44570" w:rsidRPr="00E86AA2">
        <w:t>.</w:t>
      </w:r>
    </w:p>
    <w:p w14:paraId="625A3F44" w14:textId="0828BD1E" w:rsidR="008A16F2" w:rsidRPr="00E86AA2" w:rsidRDefault="008A16F2" w:rsidP="008A16F2">
      <w:pPr>
        <w:pStyle w:val="H23G"/>
        <w:ind w:right="36"/>
      </w:pPr>
      <w:r w:rsidRPr="00E86AA2">
        <w:tab/>
      </w:r>
      <w:r w:rsidRPr="00E86AA2">
        <w:tab/>
        <w:t>The complaint</w:t>
      </w:r>
    </w:p>
    <w:p w14:paraId="070B87B0" w14:textId="7BCD493C" w:rsidR="002E7836" w:rsidRPr="00E86AA2" w:rsidRDefault="008A16F2" w:rsidP="00C23A00">
      <w:pPr>
        <w:pStyle w:val="SingleTxtG"/>
        <w:rPr>
          <w:color w:val="000000"/>
          <w:lang w:val="en-US" w:eastAsia="en-GB"/>
        </w:rPr>
      </w:pPr>
      <w:r w:rsidRPr="00E86AA2">
        <w:rPr>
          <w:color w:val="000000"/>
          <w:lang w:val="en-US" w:eastAsia="en-GB"/>
        </w:rPr>
        <w:t>3.</w:t>
      </w:r>
      <w:r w:rsidR="00AC23C7" w:rsidRPr="00E86AA2">
        <w:rPr>
          <w:color w:val="000000"/>
          <w:lang w:val="en-US" w:eastAsia="en-GB"/>
        </w:rPr>
        <w:t>1</w:t>
      </w:r>
      <w:r w:rsidRPr="00E86AA2">
        <w:rPr>
          <w:color w:val="000000"/>
          <w:lang w:val="en-US" w:eastAsia="en-GB"/>
        </w:rPr>
        <w:tab/>
      </w:r>
      <w:r w:rsidR="002E7836" w:rsidRPr="00E86AA2">
        <w:rPr>
          <w:color w:val="000000"/>
          <w:lang w:val="en-US" w:eastAsia="en-GB"/>
        </w:rPr>
        <w:t>All authors assert that the denial of</w:t>
      </w:r>
      <w:r w:rsidR="00C52DD5" w:rsidRPr="00E86AA2">
        <w:rPr>
          <w:color w:val="000000"/>
          <w:lang w:val="en-US" w:eastAsia="en-GB"/>
        </w:rPr>
        <w:t xml:space="preserve"> their requests for</w:t>
      </w:r>
      <w:r w:rsidR="002E7836" w:rsidRPr="00E86AA2">
        <w:rPr>
          <w:color w:val="000000"/>
          <w:lang w:val="en-US" w:eastAsia="en-GB"/>
        </w:rPr>
        <w:t xml:space="preserve"> authorization</w:t>
      </w:r>
      <w:r w:rsidR="00C52DD5" w:rsidRPr="00E86AA2">
        <w:rPr>
          <w:color w:val="000000"/>
          <w:lang w:val="en-US" w:eastAsia="en-GB"/>
        </w:rPr>
        <w:t xml:space="preserve"> of public events</w:t>
      </w:r>
      <w:r w:rsidR="002E7836" w:rsidRPr="00E86AA2">
        <w:rPr>
          <w:color w:val="000000"/>
          <w:lang w:val="en-US" w:eastAsia="en-GB"/>
        </w:rPr>
        <w:t xml:space="preserve"> by local executive authorities, based on existing legislation, violated their rights under </w:t>
      </w:r>
      <w:r w:rsidR="00C52DD5" w:rsidRPr="00E86AA2">
        <w:rPr>
          <w:color w:val="000000"/>
          <w:lang w:val="en-US" w:eastAsia="en-GB"/>
        </w:rPr>
        <w:t>a</w:t>
      </w:r>
      <w:r w:rsidR="002E7836" w:rsidRPr="00E86AA2">
        <w:rPr>
          <w:color w:val="000000"/>
          <w:lang w:val="en-US" w:eastAsia="en-GB"/>
        </w:rPr>
        <w:t>rticles 19 and 21, read in conjunction with article 2(2) and (3)</w:t>
      </w:r>
      <w:r w:rsidR="0020066E" w:rsidRPr="00E86AA2">
        <w:rPr>
          <w:color w:val="000000"/>
          <w:lang w:val="en-US" w:eastAsia="en-GB"/>
        </w:rPr>
        <w:t>,</w:t>
      </w:r>
      <w:r w:rsidR="002E7836" w:rsidRPr="00E86AA2">
        <w:rPr>
          <w:color w:val="000000"/>
          <w:lang w:val="en-US" w:eastAsia="en-GB"/>
        </w:rPr>
        <w:t xml:space="preserve"> of the Covenant. They argue that neither the local authorities nor the courts assessed whether the limitations imposed on their rights under</w:t>
      </w:r>
      <w:r w:rsidR="00F112B2" w:rsidRPr="00E86AA2">
        <w:rPr>
          <w:color w:val="000000"/>
          <w:lang w:val="en-US" w:eastAsia="en-GB"/>
        </w:rPr>
        <w:t xml:space="preserve"> the</w:t>
      </w:r>
      <w:r w:rsidR="002E7836" w:rsidRPr="00E86AA2">
        <w:rPr>
          <w:color w:val="000000"/>
          <w:lang w:val="en-US" w:eastAsia="en-GB"/>
        </w:rPr>
        <w:t xml:space="preserve"> </w:t>
      </w:r>
      <w:proofErr w:type="spellStart"/>
      <w:r w:rsidR="002E7836" w:rsidRPr="00E86AA2">
        <w:rPr>
          <w:color w:val="000000"/>
          <w:lang w:val="en-US" w:eastAsia="en-GB"/>
        </w:rPr>
        <w:t>Rechitsa</w:t>
      </w:r>
      <w:proofErr w:type="spellEnd"/>
      <w:r w:rsidR="002E7836" w:rsidRPr="00E86AA2">
        <w:rPr>
          <w:color w:val="000000"/>
          <w:lang w:val="en-US" w:eastAsia="en-GB"/>
        </w:rPr>
        <w:t xml:space="preserve"> Executive Committee Decision No. 802 and </w:t>
      </w:r>
      <w:r w:rsidR="00F112B2" w:rsidRPr="00E86AA2">
        <w:rPr>
          <w:color w:val="000000"/>
          <w:lang w:val="en-US" w:eastAsia="en-GB"/>
        </w:rPr>
        <w:t xml:space="preserve">the </w:t>
      </w:r>
      <w:r w:rsidR="002E7836" w:rsidRPr="00E86AA2">
        <w:rPr>
          <w:color w:val="000000"/>
          <w:lang w:val="en-US" w:eastAsia="en-GB"/>
        </w:rPr>
        <w:t>Gomel Executive Committee Decision No. 755 were justified on</w:t>
      </w:r>
      <w:r w:rsidR="003365FE" w:rsidRPr="00E86AA2">
        <w:rPr>
          <w:color w:val="000000"/>
          <w:lang w:val="en-US" w:eastAsia="en-GB"/>
        </w:rPr>
        <w:t xml:space="preserve"> the</w:t>
      </w:r>
      <w:r w:rsidR="002E7836" w:rsidRPr="00E86AA2">
        <w:rPr>
          <w:color w:val="000000"/>
          <w:lang w:val="en-US" w:eastAsia="en-GB"/>
        </w:rPr>
        <w:t xml:space="preserve"> grounds of national security, public safety, public order, </w:t>
      </w:r>
      <w:r w:rsidR="001F7565" w:rsidRPr="00E86AA2">
        <w:rPr>
          <w:color w:val="000000"/>
          <w:lang w:val="en-US" w:eastAsia="en-GB"/>
        </w:rPr>
        <w:t xml:space="preserve">for </w:t>
      </w:r>
      <w:r w:rsidR="002E7836" w:rsidRPr="00E86AA2">
        <w:rPr>
          <w:color w:val="000000"/>
          <w:lang w:val="en-US" w:eastAsia="en-GB"/>
        </w:rPr>
        <w:t xml:space="preserve">the protection of public health or morals, or the protection of the rights and freedoms of others. The authors contend that these decisions, which confine all mass events to two remote locations in </w:t>
      </w:r>
      <w:proofErr w:type="spellStart"/>
      <w:r w:rsidR="002E7836" w:rsidRPr="00E86AA2">
        <w:rPr>
          <w:color w:val="000000"/>
          <w:lang w:val="en-US" w:eastAsia="en-GB"/>
        </w:rPr>
        <w:t>Rechitsa</w:t>
      </w:r>
      <w:proofErr w:type="spellEnd"/>
      <w:r w:rsidR="002E7836" w:rsidRPr="00E86AA2">
        <w:rPr>
          <w:color w:val="000000"/>
          <w:lang w:val="en-US" w:eastAsia="en-GB"/>
        </w:rPr>
        <w:t xml:space="preserve"> and three locations in </w:t>
      </w:r>
      <w:proofErr w:type="gramStart"/>
      <w:r w:rsidR="002E7836" w:rsidRPr="00E86AA2">
        <w:rPr>
          <w:color w:val="000000"/>
          <w:lang w:val="en-US" w:eastAsia="en-GB"/>
        </w:rPr>
        <w:t>Gomel, and</w:t>
      </w:r>
      <w:proofErr w:type="gramEnd"/>
      <w:r w:rsidR="002E7836" w:rsidRPr="00E86AA2">
        <w:rPr>
          <w:color w:val="000000"/>
          <w:lang w:val="en-US" w:eastAsia="en-GB"/>
        </w:rPr>
        <w:t xml:space="preserve"> require organizers to enter into prior paid contracts with city service providers, unduly restrict their rights under articles 19 and 21 of the Covenant. They further claim that the provisions of the Public Events Act grant local executive authorities the power to designate permanent locations for mass events without requiring justification for such limitations.</w:t>
      </w:r>
    </w:p>
    <w:p w14:paraId="4B13869B" w14:textId="0806C6F6" w:rsidR="00AC23C7" w:rsidRPr="00E86AA2" w:rsidRDefault="00AC23C7" w:rsidP="00C23A00">
      <w:pPr>
        <w:pStyle w:val="SingleTxtG"/>
        <w:rPr>
          <w:color w:val="000000"/>
          <w:lang w:val="en-US" w:eastAsia="en-GB"/>
        </w:rPr>
      </w:pPr>
      <w:r w:rsidRPr="00E86AA2">
        <w:rPr>
          <w:color w:val="000000"/>
          <w:lang w:eastAsia="en-GB"/>
        </w:rPr>
        <w:t>3.2</w:t>
      </w:r>
      <w:r w:rsidRPr="00E86AA2">
        <w:rPr>
          <w:color w:val="000000"/>
          <w:lang w:eastAsia="en-GB"/>
        </w:rPr>
        <w:tab/>
      </w:r>
      <w:r w:rsidR="006A4F2C" w:rsidRPr="00E86AA2">
        <w:rPr>
          <w:color w:val="000000"/>
          <w:lang w:val="en-US" w:eastAsia="en-GB"/>
        </w:rPr>
        <w:t>The authors ask the Committee to recommend that the State party aligns provisions of it</w:t>
      </w:r>
      <w:r w:rsidR="00743937" w:rsidRPr="00E86AA2">
        <w:rPr>
          <w:color w:val="000000"/>
          <w:lang w:val="en-US" w:eastAsia="en-GB"/>
        </w:rPr>
        <w:t>s</w:t>
      </w:r>
      <w:r w:rsidR="006A4F2C" w:rsidRPr="00E86AA2">
        <w:rPr>
          <w:color w:val="000000"/>
          <w:lang w:val="en-US" w:eastAsia="en-GB"/>
        </w:rPr>
        <w:t xml:space="preserve"> legislation </w:t>
      </w:r>
      <w:r w:rsidR="00743937" w:rsidRPr="00E86AA2">
        <w:rPr>
          <w:color w:val="000000"/>
          <w:lang w:val="en-US" w:eastAsia="en-GB"/>
        </w:rPr>
        <w:t>on</w:t>
      </w:r>
      <w:r w:rsidR="006A4F2C" w:rsidRPr="00E86AA2">
        <w:rPr>
          <w:color w:val="000000"/>
          <w:lang w:val="en-US" w:eastAsia="en-GB"/>
        </w:rPr>
        <w:t xml:space="preserve"> organization of public events with the standards set </w:t>
      </w:r>
      <w:r w:rsidR="00743937" w:rsidRPr="00E86AA2">
        <w:rPr>
          <w:color w:val="000000"/>
          <w:lang w:val="en-US" w:eastAsia="en-GB"/>
        </w:rPr>
        <w:t xml:space="preserve">out </w:t>
      </w:r>
      <w:r w:rsidR="006A4F2C" w:rsidRPr="00E86AA2">
        <w:rPr>
          <w:color w:val="000000"/>
          <w:lang w:val="en-US" w:eastAsia="en-GB"/>
        </w:rPr>
        <w:t xml:space="preserve">in articles 19 and 21 of the Covenant. </w:t>
      </w:r>
    </w:p>
    <w:p w14:paraId="3A93E590" w14:textId="77777777" w:rsidR="008A16F2" w:rsidRPr="00E86AA2" w:rsidRDefault="008A16F2" w:rsidP="008A16F2">
      <w:pPr>
        <w:pStyle w:val="H23G"/>
        <w:ind w:right="-144"/>
      </w:pPr>
      <w:r w:rsidRPr="00E86AA2">
        <w:tab/>
      </w:r>
      <w:r w:rsidRPr="00E86AA2">
        <w:tab/>
      </w:r>
      <w:bookmarkStart w:id="0" w:name="_Hlk113452517"/>
      <w:r w:rsidRPr="00E86AA2">
        <w:t>State party’s observations on admissibility and merits</w:t>
      </w:r>
      <w:bookmarkEnd w:id="0"/>
    </w:p>
    <w:p w14:paraId="56DA945C" w14:textId="0702394B" w:rsidR="00105CDA" w:rsidRPr="00E86AA2" w:rsidRDefault="008A16F2" w:rsidP="008A16F2">
      <w:pPr>
        <w:pStyle w:val="SingleTxtG"/>
        <w:rPr>
          <w:lang w:val="en-US"/>
        </w:rPr>
      </w:pPr>
      <w:r w:rsidRPr="00E86AA2">
        <w:t>4.1</w:t>
      </w:r>
      <w:r w:rsidRPr="00E86AA2">
        <w:tab/>
        <w:t xml:space="preserve">By notes verbales of </w:t>
      </w:r>
      <w:r w:rsidR="00F02EA2" w:rsidRPr="00E86AA2">
        <w:t>22 April</w:t>
      </w:r>
      <w:r w:rsidR="00592A0B" w:rsidRPr="00E86AA2">
        <w:t xml:space="preserve"> 201</w:t>
      </w:r>
      <w:r w:rsidR="00F02EA2" w:rsidRPr="00E86AA2">
        <w:t>5</w:t>
      </w:r>
      <w:r w:rsidR="00CA52F0" w:rsidRPr="00E86AA2">
        <w:t>,</w:t>
      </w:r>
      <w:r w:rsidRPr="00E86AA2">
        <w:rPr>
          <w:rStyle w:val="FootnoteReference"/>
        </w:rPr>
        <w:footnoteReference w:id="6"/>
      </w:r>
      <w:r w:rsidR="00592A0B" w:rsidRPr="00E86AA2">
        <w:t xml:space="preserve"> </w:t>
      </w:r>
      <w:r w:rsidR="00F02EA2" w:rsidRPr="00E86AA2">
        <w:t>11 May</w:t>
      </w:r>
      <w:r w:rsidR="00592A0B" w:rsidRPr="00E86AA2">
        <w:t xml:space="preserve"> 201</w:t>
      </w:r>
      <w:r w:rsidR="00F02EA2" w:rsidRPr="00E86AA2">
        <w:t>7</w:t>
      </w:r>
      <w:r w:rsidR="00CA52F0" w:rsidRPr="00E86AA2">
        <w:t>,</w:t>
      </w:r>
      <w:r w:rsidRPr="00E86AA2">
        <w:rPr>
          <w:rStyle w:val="FootnoteReference"/>
        </w:rPr>
        <w:footnoteReference w:id="7"/>
      </w:r>
      <w:r w:rsidRPr="00E86AA2">
        <w:t xml:space="preserve"> </w:t>
      </w:r>
      <w:r w:rsidR="00592A0B" w:rsidRPr="00E86AA2">
        <w:t>1</w:t>
      </w:r>
      <w:r w:rsidR="00F21D5E" w:rsidRPr="00E86AA2">
        <w:t>5</w:t>
      </w:r>
      <w:r w:rsidR="00592A0B" w:rsidRPr="00E86AA2">
        <w:t xml:space="preserve"> </w:t>
      </w:r>
      <w:r w:rsidR="00F21D5E" w:rsidRPr="00E86AA2">
        <w:t>January</w:t>
      </w:r>
      <w:r w:rsidR="00592A0B" w:rsidRPr="00E86AA2">
        <w:t xml:space="preserve"> 2018</w:t>
      </w:r>
      <w:r w:rsidR="00F21D5E" w:rsidRPr="00E86AA2">
        <w:t>,</w:t>
      </w:r>
      <w:r w:rsidRPr="00E86AA2">
        <w:rPr>
          <w:rStyle w:val="FootnoteReference"/>
        </w:rPr>
        <w:footnoteReference w:id="8"/>
      </w:r>
      <w:r w:rsidR="00F21D5E" w:rsidRPr="00E86AA2">
        <w:t xml:space="preserve"> 2 February 2018,</w:t>
      </w:r>
      <w:r w:rsidR="00F21D5E" w:rsidRPr="00E86AA2">
        <w:rPr>
          <w:rStyle w:val="FootnoteReference"/>
        </w:rPr>
        <w:footnoteReference w:id="9"/>
      </w:r>
      <w:r w:rsidRPr="00E86AA2">
        <w:t xml:space="preserve"> </w:t>
      </w:r>
      <w:r w:rsidR="00F21D5E" w:rsidRPr="00E86AA2">
        <w:t>5</w:t>
      </w:r>
      <w:r w:rsidR="007D3B85" w:rsidRPr="00E86AA2">
        <w:t xml:space="preserve"> </w:t>
      </w:r>
      <w:r w:rsidR="000C23DE" w:rsidRPr="00E86AA2">
        <w:t>Ma</w:t>
      </w:r>
      <w:r w:rsidR="00F21D5E" w:rsidRPr="00E86AA2">
        <w:t>rch</w:t>
      </w:r>
      <w:r w:rsidR="007D3B85" w:rsidRPr="00E86AA2">
        <w:t xml:space="preserve"> 2018</w:t>
      </w:r>
      <w:r w:rsidR="00CA52F0" w:rsidRPr="00E86AA2">
        <w:t>,</w:t>
      </w:r>
      <w:r w:rsidRPr="00E86AA2">
        <w:rPr>
          <w:rStyle w:val="FootnoteReference"/>
        </w:rPr>
        <w:footnoteReference w:id="10"/>
      </w:r>
      <w:r w:rsidR="005C7BA5" w:rsidRPr="00E86AA2">
        <w:t xml:space="preserve"> and 11 February 2019,</w:t>
      </w:r>
      <w:r w:rsidR="005C7BA5" w:rsidRPr="00E86AA2">
        <w:rPr>
          <w:rStyle w:val="FootnoteReference"/>
        </w:rPr>
        <w:footnoteReference w:id="11"/>
      </w:r>
      <w:r w:rsidRPr="00E86AA2">
        <w:t xml:space="preserve"> the State party submitted its observations on admissibility and</w:t>
      </w:r>
      <w:r w:rsidR="00F21D5E" w:rsidRPr="00E86AA2">
        <w:t>/or</w:t>
      </w:r>
      <w:r w:rsidRPr="00E86AA2">
        <w:t xml:space="preserve"> merits of the communications</w:t>
      </w:r>
      <w:r w:rsidRPr="00E86AA2">
        <w:rPr>
          <w:lang w:val="en-US"/>
        </w:rPr>
        <w:t xml:space="preserve">. </w:t>
      </w:r>
    </w:p>
    <w:p w14:paraId="1A7A7F77" w14:textId="7C03E0DC" w:rsidR="008C232A" w:rsidRPr="00E86AA2" w:rsidRDefault="00105CDA" w:rsidP="008C232A">
      <w:pPr>
        <w:pStyle w:val="SingleTxtG"/>
        <w:rPr>
          <w:lang w:val="en-US"/>
        </w:rPr>
      </w:pPr>
      <w:r w:rsidRPr="00E86AA2">
        <w:rPr>
          <w:lang w:val="en-US"/>
        </w:rPr>
        <w:t>4.2</w:t>
      </w:r>
      <w:r w:rsidRPr="00E86AA2">
        <w:rPr>
          <w:lang w:val="en-US"/>
        </w:rPr>
        <w:tab/>
      </w:r>
      <w:r w:rsidR="008C232A" w:rsidRPr="00E86AA2">
        <w:rPr>
          <w:lang w:val="en-US"/>
        </w:rPr>
        <w:t xml:space="preserve">In respect of communication </w:t>
      </w:r>
      <w:r w:rsidR="00A21179" w:rsidRPr="00E86AA2">
        <w:rPr>
          <w:lang w:val="en-US"/>
        </w:rPr>
        <w:t xml:space="preserve">No. </w:t>
      </w:r>
      <w:r w:rsidR="00A41123" w:rsidRPr="00E86AA2">
        <w:rPr>
          <w:lang w:val="en-US"/>
        </w:rPr>
        <w:t>2579/2015</w:t>
      </w:r>
      <w:r w:rsidR="008C232A" w:rsidRPr="00E86AA2">
        <w:rPr>
          <w:lang w:val="en-US"/>
        </w:rPr>
        <w:t xml:space="preserve">, </w:t>
      </w:r>
      <w:r w:rsidR="00522DF1" w:rsidRPr="00E86AA2">
        <w:rPr>
          <w:lang w:val="en-US"/>
        </w:rPr>
        <w:t xml:space="preserve">the State party submits that the author himself acknowledges that he has not exhausted all available domestic remedies, contrary to the requirements of article 2 of the Optional Protocol. The State party views the Committee's decision to register the communication as a violation of article 5 of the Optional Protocol. Furthermore, the State party argues that the Committee's arbitrary interpretation of articles 2 and 5 </w:t>
      </w:r>
      <w:r w:rsidR="00F32380" w:rsidRPr="00E86AA2">
        <w:rPr>
          <w:lang w:val="en-US"/>
        </w:rPr>
        <w:t xml:space="preserve">of the Optional Protocol </w:t>
      </w:r>
      <w:r w:rsidR="00522DF1" w:rsidRPr="00E86AA2">
        <w:rPr>
          <w:lang w:val="en-US"/>
        </w:rPr>
        <w:t xml:space="preserve">contradicts the principles of treaty interpretation outlined in the Vienna Convention on the Law of Treaties. Due to these procedural violations by the author and the Committee, the State party </w:t>
      </w:r>
      <w:r w:rsidR="00C63505" w:rsidRPr="00E86AA2">
        <w:rPr>
          <w:lang w:val="en-US"/>
        </w:rPr>
        <w:t xml:space="preserve">states that it </w:t>
      </w:r>
      <w:r w:rsidR="00522DF1" w:rsidRPr="00E86AA2">
        <w:rPr>
          <w:lang w:val="en-US"/>
        </w:rPr>
        <w:t xml:space="preserve">will cease further correspondence. </w:t>
      </w:r>
    </w:p>
    <w:p w14:paraId="366CB55F" w14:textId="3A98514A" w:rsidR="00B81216" w:rsidRPr="00E86AA2" w:rsidRDefault="008C232A" w:rsidP="00B81216">
      <w:pPr>
        <w:pStyle w:val="SingleTxtG"/>
      </w:pPr>
      <w:r w:rsidRPr="00E86AA2">
        <w:rPr>
          <w:lang w:val="en-US"/>
        </w:rPr>
        <w:t>4.3</w:t>
      </w:r>
      <w:r w:rsidRPr="00E86AA2">
        <w:rPr>
          <w:lang w:val="en-US"/>
        </w:rPr>
        <w:tab/>
      </w:r>
      <w:r w:rsidR="00B81216" w:rsidRPr="00E86AA2">
        <w:rPr>
          <w:lang w:val="en-US"/>
        </w:rPr>
        <w:t xml:space="preserve">The State party challenges the exhaustion of domestic remedies by the authors </w:t>
      </w:r>
      <w:proofErr w:type="gramStart"/>
      <w:r w:rsidR="00B81216" w:rsidRPr="00E86AA2">
        <w:rPr>
          <w:lang w:val="en-US"/>
        </w:rPr>
        <w:t>of  communications</w:t>
      </w:r>
      <w:proofErr w:type="gramEnd"/>
      <w:r w:rsidR="00B81216" w:rsidRPr="00E86AA2">
        <w:rPr>
          <w:lang w:val="en-US"/>
        </w:rPr>
        <w:t xml:space="preserve"> No</w:t>
      </w:r>
      <w:r w:rsidR="00E32445" w:rsidRPr="00E86AA2">
        <w:rPr>
          <w:lang w:val="en-US"/>
        </w:rPr>
        <w:t>s</w:t>
      </w:r>
      <w:r w:rsidR="00B81216" w:rsidRPr="00E86AA2">
        <w:rPr>
          <w:lang w:val="en-US"/>
        </w:rPr>
        <w:t>. 3057/2017, 3059/2017, 3099/2018 and 3234/2018.</w:t>
      </w:r>
      <w:r w:rsidR="00C42ADE" w:rsidRPr="00E86AA2">
        <w:rPr>
          <w:lang w:val="en-US"/>
        </w:rPr>
        <w:t xml:space="preserve"> The State party notes that the author of communication</w:t>
      </w:r>
      <w:r w:rsidR="00736B1F" w:rsidRPr="00E86AA2">
        <w:rPr>
          <w:lang w:val="en-US"/>
        </w:rPr>
        <w:t>s</w:t>
      </w:r>
      <w:r w:rsidR="00C42ADE" w:rsidRPr="00E86AA2">
        <w:rPr>
          <w:lang w:val="en-US"/>
        </w:rPr>
        <w:t xml:space="preserve"> No. 3099/2018</w:t>
      </w:r>
      <w:r w:rsidR="00736B1F" w:rsidRPr="00E86AA2">
        <w:rPr>
          <w:lang w:val="en-US"/>
        </w:rPr>
        <w:t xml:space="preserve"> and 3234/2018</w:t>
      </w:r>
      <w:r w:rsidR="00C42ADE" w:rsidRPr="00E86AA2">
        <w:rPr>
          <w:lang w:val="en-US"/>
        </w:rPr>
        <w:t xml:space="preserve"> failed to submit a request for supervisory review under article </w:t>
      </w:r>
      <w:r w:rsidR="00C42ADE" w:rsidRPr="00E86AA2">
        <w:t>439 of the Civil Procedure Code</w:t>
      </w:r>
      <w:r w:rsidR="00C42ADE" w:rsidRPr="00E86AA2">
        <w:rPr>
          <w:lang w:val="en-US"/>
        </w:rPr>
        <w:t>. The authors of communications</w:t>
      </w:r>
      <w:r w:rsidR="00255F75" w:rsidRPr="00E86AA2">
        <w:rPr>
          <w:lang w:val="en-US"/>
        </w:rPr>
        <w:t xml:space="preserve"> Nos. </w:t>
      </w:r>
      <w:r w:rsidR="00BF419C" w:rsidRPr="00E86AA2">
        <w:rPr>
          <w:lang w:val="en-US"/>
        </w:rPr>
        <w:t xml:space="preserve">2968/2017, </w:t>
      </w:r>
      <w:r w:rsidR="00255F75" w:rsidRPr="00E86AA2">
        <w:rPr>
          <w:lang w:val="en-US"/>
        </w:rPr>
        <w:t>3057/2017 and 3059/2017</w:t>
      </w:r>
      <w:r w:rsidR="00C42ADE" w:rsidRPr="00E86AA2">
        <w:rPr>
          <w:lang w:val="en-US"/>
        </w:rPr>
        <w:t xml:space="preserve"> have not availed themselves fully of this procedure</w:t>
      </w:r>
      <w:r w:rsidR="00B81216" w:rsidRPr="00E86AA2">
        <w:t xml:space="preserve">, which provides a possibility to file a request for supervisory review through the President of the Supreme Court or his/her deputies, as well through the Prosecutor General or his/her deputies. </w:t>
      </w:r>
    </w:p>
    <w:p w14:paraId="21995C0A" w14:textId="6E2DBBA0" w:rsidR="00E32445" w:rsidRPr="00E86AA2" w:rsidRDefault="00E32445" w:rsidP="00B81216">
      <w:pPr>
        <w:pStyle w:val="SingleTxtG"/>
        <w:rPr>
          <w:lang w:val="en-US"/>
        </w:rPr>
      </w:pPr>
      <w:r w:rsidRPr="00E86AA2">
        <w:t>4.4</w:t>
      </w:r>
      <w:r w:rsidRPr="00E86AA2">
        <w:tab/>
        <w:t>On the merits</w:t>
      </w:r>
      <w:r w:rsidRPr="00E86AA2">
        <w:rPr>
          <w:lang w:val="en-US"/>
        </w:rPr>
        <w:t xml:space="preserve">, the State party submits that the organization of public events affects the rights of others. </w:t>
      </w:r>
      <w:proofErr w:type="gramStart"/>
      <w:r w:rsidRPr="00E86AA2">
        <w:rPr>
          <w:lang w:val="en-US"/>
        </w:rPr>
        <w:t>In order to</w:t>
      </w:r>
      <w:proofErr w:type="gramEnd"/>
      <w:r w:rsidRPr="00E86AA2">
        <w:rPr>
          <w:lang w:val="en-US"/>
        </w:rPr>
        <w:t xml:space="preserve"> protect these rights</w:t>
      </w:r>
      <w:r w:rsidR="00C63505" w:rsidRPr="00E86AA2">
        <w:rPr>
          <w:lang w:val="en-US"/>
        </w:rPr>
        <w:t>,</w:t>
      </w:r>
      <w:r w:rsidRPr="00E86AA2">
        <w:rPr>
          <w:lang w:val="en-US"/>
        </w:rPr>
        <w:t xml:space="preserve"> the State</w:t>
      </w:r>
      <w:r w:rsidR="00C63505" w:rsidRPr="00E86AA2">
        <w:rPr>
          <w:lang w:val="en-US"/>
        </w:rPr>
        <w:t xml:space="preserve"> party</w:t>
      </w:r>
      <w:r w:rsidRPr="00E86AA2">
        <w:rPr>
          <w:lang w:val="en-US"/>
        </w:rPr>
        <w:t xml:space="preserve"> has established a procedure for organization of public events</w:t>
      </w:r>
      <w:r w:rsidR="00C523F9" w:rsidRPr="00E86AA2">
        <w:rPr>
          <w:lang w:val="en-US"/>
        </w:rPr>
        <w:t xml:space="preserve"> in the Public Events Act</w:t>
      </w:r>
      <w:r w:rsidRPr="00E86AA2">
        <w:rPr>
          <w:lang w:val="en-US"/>
        </w:rPr>
        <w:t>.</w:t>
      </w:r>
      <w:r w:rsidR="00C523F9" w:rsidRPr="00E86AA2">
        <w:rPr>
          <w:lang w:val="en-US"/>
        </w:rPr>
        <w:t xml:space="preserve"> </w:t>
      </w:r>
      <w:r w:rsidR="000D6E3E" w:rsidRPr="00E86AA2">
        <w:rPr>
          <w:lang w:val="en-US"/>
        </w:rPr>
        <w:t xml:space="preserve">According to article 9 of </w:t>
      </w:r>
      <w:r w:rsidR="00C0480E" w:rsidRPr="00E86AA2">
        <w:rPr>
          <w:lang w:val="en-US"/>
        </w:rPr>
        <w:t>the</w:t>
      </w:r>
      <w:r w:rsidR="000D6E3E" w:rsidRPr="00E86AA2">
        <w:rPr>
          <w:lang w:val="en-US"/>
        </w:rPr>
        <w:t xml:space="preserve"> Act local executive authorities are </w:t>
      </w:r>
      <w:r w:rsidR="00C55370" w:rsidRPr="00E86AA2">
        <w:rPr>
          <w:lang w:val="en-US"/>
        </w:rPr>
        <w:t xml:space="preserve">empowered </w:t>
      </w:r>
      <w:r w:rsidR="000D6E3E" w:rsidRPr="00E86AA2">
        <w:rPr>
          <w:lang w:val="en-US"/>
        </w:rPr>
        <w:t>to determine locations for public events.</w:t>
      </w:r>
      <w:r w:rsidR="00C523F9" w:rsidRPr="00E86AA2">
        <w:rPr>
          <w:lang w:val="en-US"/>
        </w:rPr>
        <w:t xml:space="preserve"> </w:t>
      </w:r>
      <w:r w:rsidR="00872904" w:rsidRPr="00E86AA2">
        <w:rPr>
          <w:lang w:val="en-US"/>
        </w:rPr>
        <w:t xml:space="preserve">The locations proposed by the authors of communications Nos. 3057/2017, 3059/2017, </w:t>
      </w:r>
      <w:r w:rsidR="00872904" w:rsidRPr="00E86AA2">
        <w:rPr>
          <w:lang w:val="en-US"/>
        </w:rPr>
        <w:lastRenderedPageBreak/>
        <w:t xml:space="preserve">3099/2018 and 3234/2018 did not correspond to those designated for such </w:t>
      </w:r>
      <w:r w:rsidR="001F0F1C" w:rsidRPr="00E86AA2">
        <w:rPr>
          <w:lang w:val="en-US"/>
        </w:rPr>
        <w:t xml:space="preserve">purposes </w:t>
      </w:r>
      <w:r w:rsidR="00872904" w:rsidRPr="00E86AA2">
        <w:rPr>
          <w:lang w:val="en-US"/>
        </w:rPr>
        <w:t xml:space="preserve">by the respective decisions of the local authorities. </w:t>
      </w:r>
    </w:p>
    <w:p w14:paraId="4B267C89" w14:textId="45858448" w:rsidR="00872904" w:rsidRPr="00E86AA2" w:rsidRDefault="00872904" w:rsidP="00B81216">
      <w:pPr>
        <w:pStyle w:val="SingleTxtG"/>
        <w:rPr>
          <w:lang w:val="en-US"/>
        </w:rPr>
      </w:pPr>
      <w:r w:rsidRPr="00E86AA2">
        <w:rPr>
          <w:lang w:val="en-US"/>
        </w:rPr>
        <w:t>4.5</w:t>
      </w:r>
      <w:r w:rsidRPr="00E86AA2">
        <w:rPr>
          <w:lang w:val="en-US"/>
        </w:rPr>
        <w:tab/>
        <w:t xml:space="preserve">In order to guarantee </w:t>
      </w:r>
      <w:r w:rsidR="00EE2899" w:rsidRPr="00E86AA2">
        <w:rPr>
          <w:lang w:val="en-US"/>
        </w:rPr>
        <w:t xml:space="preserve">protection of </w:t>
      </w:r>
      <w:r w:rsidRPr="00E86AA2">
        <w:rPr>
          <w:lang w:val="en-US"/>
        </w:rPr>
        <w:t xml:space="preserve">public </w:t>
      </w:r>
      <w:r w:rsidR="00EE2899" w:rsidRPr="00E86AA2">
        <w:rPr>
          <w:lang w:val="en-US"/>
        </w:rPr>
        <w:t>order</w:t>
      </w:r>
      <w:r w:rsidRPr="00E86AA2">
        <w:rPr>
          <w:lang w:val="en-US"/>
        </w:rPr>
        <w:t xml:space="preserve"> and </w:t>
      </w:r>
      <w:r w:rsidR="00EE2899" w:rsidRPr="00E86AA2">
        <w:rPr>
          <w:lang w:val="en-US"/>
        </w:rPr>
        <w:t>of the</w:t>
      </w:r>
      <w:r w:rsidRPr="00E86AA2">
        <w:rPr>
          <w:lang w:val="en-US"/>
        </w:rPr>
        <w:t xml:space="preserve"> rights of the participants of public events </w:t>
      </w:r>
      <w:r w:rsidR="00EE2899" w:rsidRPr="00E86AA2">
        <w:rPr>
          <w:lang w:val="en-US"/>
        </w:rPr>
        <w:t>and the rights of</w:t>
      </w:r>
      <w:r w:rsidRPr="00E86AA2">
        <w:rPr>
          <w:lang w:val="en-US"/>
        </w:rPr>
        <w:t xml:space="preserve"> others</w:t>
      </w:r>
      <w:r w:rsidR="00EE2899" w:rsidRPr="00E86AA2">
        <w:rPr>
          <w:lang w:val="en-US"/>
        </w:rPr>
        <w:t>,</w:t>
      </w:r>
      <w:r w:rsidRPr="00E86AA2">
        <w:rPr>
          <w:lang w:val="en-US"/>
        </w:rPr>
        <w:t xml:space="preserve"> the </w:t>
      </w:r>
      <w:r w:rsidR="00EE2899" w:rsidRPr="00E86AA2">
        <w:rPr>
          <w:lang w:val="en-US"/>
        </w:rPr>
        <w:t xml:space="preserve">national legislation requires </w:t>
      </w:r>
      <w:r w:rsidRPr="00E86AA2">
        <w:rPr>
          <w:lang w:val="en-US"/>
        </w:rPr>
        <w:t xml:space="preserve">conclusion of contracts with public service providers in advance of the </w:t>
      </w:r>
      <w:r w:rsidR="00EE2899" w:rsidRPr="00E86AA2">
        <w:rPr>
          <w:lang w:val="en-US"/>
        </w:rPr>
        <w:t xml:space="preserve">public </w:t>
      </w:r>
      <w:r w:rsidRPr="00E86AA2">
        <w:rPr>
          <w:lang w:val="en-US"/>
        </w:rPr>
        <w:t>event</w:t>
      </w:r>
      <w:r w:rsidR="00EE2899" w:rsidRPr="00E86AA2">
        <w:rPr>
          <w:lang w:val="en-US"/>
        </w:rPr>
        <w:t>.</w:t>
      </w:r>
      <w:r w:rsidRPr="00E86AA2">
        <w:rPr>
          <w:lang w:val="en-US"/>
        </w:rPr>
        <w:t xml:space="preserve"> </w:t>
      </w:r>
      <w:r w:rsidR="00EE2899" w:rsidRPr="00E86AA2">
        <w:rPr>
          <w:lang w:val="en-US"/>
        </w:rPr>
        <w:t>T</w:t>
      </w:r>
      <w:r w:rsidRPr="00E86AA2">
        <w:rPr>
          <w:lang w:val="en-US"/>
        </w:rPr>
        <w:t xml:space="preserve">he authors of </w:t>
      </w:r>
      <w:r w:rsidR="00EE2899" w:rsidRPr="00E86AA2">
        <w:rPr>
          <w:lang w:val="en-US"/>
        </w:rPr>
        <w:t>communications Nos.</w:t>
      </w:r>
      <w:r w:rsidRPr="00E86AA2">
        <w:rPr>
          <w:lang w:val="en-US"/>
        </w:rPr>
        <w:t xml:space="preserve"> </w:t>
      </w:r>
      <w:r w:rsidR="00EE2899" w:rsidRPr="00E86AA2">
        <w:t xml:space="preserve">2968/2017, </w:t>
      </w:r>
      <w:r w:rsidR="00EE2899" w:rsidRPr="00E86AA2">
        <w:rPr>
          <w:lang w:val="en-US"/>
        </w:rPr>
        <w:t xml:space="preserve">3057/2017, 3059/2017, 3099/2018 </w:t>
      </w:r>
      <w:r w:rsidRPr="00E86AA2">
        <w:rPr>
          <w:lang w:val="en-US"/>
        </w:rPr>
        <w:t>have not provided such contracts together with their application to the local executive committees</w:t>
      </w:r>
      <w:r w:rsidR="00EE2899" w:rsidRPr="00E86AA2">
        <w:rPr>
          <w:lang w:val="en-US"/>
        </w:rPr>
        <w:t>.</w:t>
      </w:r>
      <w:r w:rsidRPr="00E86AA2">
        <w:rPr>
          <w:lang w:val="en-US"/>
        </w:rPr>
        <w:t xml:space="preserve"> </w:t>
      </w:r>
      <w:r w:rsidR="00EE2899" w:rsidRPr="00E86AA2">
        <w:rPr>
          <w:lang w:val="en-US"/>
        </w:rPr>
        <w:t>T</w:t>
      </w:r>
      <w:r w:rsidRPr="00E86AA2">
        <w:rPr>
          <w:lang w:val="en-US"/>
        </w:rPr>
        <w:t xml:space="preserve">he state party concludes that </w:t>
      </w:r>
      <w:r w:rsidR="00EE2899" w:rsidRPr="00E86AA2">
        <w:rPr>
          <w:lang w:val="en-US"/>
        </w:rPr>
        <w:t xml:space="preserve">the authors’ applications have been rejected in accordance with the national law and that </w:t>
      </w:r>
      <w:r w:rsidRPr="00E86AA2">
        <w:rPr>
          <w:lang w:val="en-US"/>
        </w:rPr>
        <w:t xml:space="preserve">there has been no violation of articles 19 and 21 of the </w:t>
      </w:r>
      <w:r w:rsidR="00EE2899" w:rsidRPr="00E86AA2">
        <w:rPr>
          <w:lang w:val="en-US"/>
        </w:rPr>
        <w:t>C</w:t>
      </w:r>
      <w:r w:rsidRPr="00E86AA2">
        <w:rPr>
          <w:lang w:val="en-US"/>
        </w:rPr>
        <w:t>ovenant.</w:t>
      </w:r>
    </w:p>
    <w:p w14:paraId="64BFC966" w14:textId="77777777" w:rsidR="008A16F2" w:rsidRPr="00E86AA2" w:rsidRDefault="008A16F2" w:rsidP="008A16F2">
      <w:pPr>
        <w:pStyle w:val="H23G"/>
      </w:pPr>
      <w:r w:rsidRPr="00E86AA2">
        <w:tab/>
      </w:r>
      <w:r w:rsidRPr="00E86AA2">
        <w:tab/>
        <w:t>Authors</w:t>
      </w:r>
      <w:r w:rsidRPr="00E86AA2">
        <w:rPr>
          <w:lang w:val="en-US"/>
        </w:rPr>
        <w:t>’</w:t>
      </w:r>
      <w:r w:rsidRPr="00E86AA2">
        <w:t xml:space="preserve"> comments on the State party’s observations</w:t>
      </w:r>
    </w:p>
    <w:p w14:paraId="2C9E4DA9" w14:textId="3DC376E3" w:rsidR="008A16F2" w:rsidRPr="00E86AA2" w:rsidRDefault="008A16F2" w:rsidP="008A16F2">
      <w:pPr>
        <w:pStyle w:val="SingleTxtG"/>
      </w:pPr>
      <w:r w:rsidRPr="00E86AA2">
        <w:t xml:space="preserve">5.1 </w:t>
      </w:r>
      <w:r w:rsidR="000C23DE" w:rsidRPr="00E86AA2">
        <w:tab/>
      </w:r>
      <w:r w:rsidRPr="00E86AA2">
        <w:t xml:space="preserve">On </w:t>
      </w:r>
      <w:r w:rsidR="00C966D5" w:rsidRPr="00E86AA2">
        <w:t xml:space="preserve">11 May </w:t>
      </w:r>
      <w:r w:rsidR="00E7506C" w:rsidRPr="00E86AA2">
        <w:t>201</w:t>
      </w:r>
      <w:r w:rsidR="00C966D5" w:rsidRPr="00E86AA2">
        <w:t>5,</w:t>
      </w:r>
      <w:r w:rsidRPr="00E86AA2">
        <w:rPr>
          <w:rStyle w:val="FootnoteReference"/>
        </w:rPr>
        <w:footnoteReference w:id="12"/>
      </w:r>
      <w:r w:rsidRPr="00E86AA2">
        <w:t xml:space="preserve"> </w:t>
      </w:r>
      <w:r w:rsidR="00E7506C" w:rsidRPr="00E86AA2">
        <w:t>2</w:t>
      </w:r>
      <w:r w:rsidR="00C966D5" w:rsidRPr="00E86AA2">
        <w:t>3</w:t>
      </w:r>
      <w:r w:rsidR="00E7506C" w:rsidRPr="00E86AA2">
        <w:t xml:space="preserve"> J</w:t>
      </w:r>
      <w:r w:rsidR="00C966D5" w:rsidRPr="00E86AA2">
        <w:t>anuary</w:t>
      </w:r>
      <w:r w:rsidRPr="00E86AA2">
        <w:t xml:space="preserve"> </w:t>
      </w:r>
      <w:r w:rsidR="00E7506C" w:rsidRPr="00E86AA2">
        <w:t>20</w:t>
      </w:r>
      <w:r w:rsidR="00C966D5" w:rsidRPr="00E86AA2">
        <w:t>20,</w:t>
      </w:r>
      <w:r w:rsidRPr="00E86AA2">
        <w:rPr>
          <w:rStyle w:val="FootnoteReference"/>
        </w:rPr>
        <w:footnoteReference w:id="13"/>
      </w:r>
      <w:r w:rsidRPr="00E86AA2">
        <w:t xml:space="preserve"> </w:t>
      </w:r>
      <w:r w:rsidR="00C966D5" w:rsidRPr="00E86AA2">
        <w:t>28 April</w:t>
      </w:r>
      <w:r w:rsidR="00E7506C" w:rsidRPr="00E86AA2">
        <w:t xml:space="preserve"> 201</w:t>
      </w:r>
      <w:r w:rsidR="00C966D5" w:rsidRPr="00E86AA2">
        <w:t>7,</w:t>
      </w:r>
      <w:r w:rsidRPr="00E86AA2">
        <w:rPr>
          <w:rStyle w:val="FootnoteReference"/>
        </w:rPr>
        <w:footnoteReference w:id="14"/>
      </w:r>
      <w:r w:rsidRPr="00E86AA2">
        <w:t xml:space="preserve"> </w:t>
      </w:r>
      <w:r w:rsidR="00C966D5" w:rsidRPr="00E86AA2">
        <w:t>12 May 2018, 5 June 2018,</w:t>
      </w:r>
      <w:r w:rsidR="00C966D5" w:rsidRPr="00E86AA2">
        <w:rPr>
          <w:rStyle w:val="FootnoteReference"/>
        </w:rPr>
        <w:footnoteReference w:id="15"/>
      </w:r>
      <w:r w:rsidR="00C966D5" w:rsidRPr="00E86AA2">
        <w:t xml:space="preserve"> </w:t>
      </w:r>
      <w:r w:rsidRPr="00E86AA2">
        <w:t xml:space="preserve">and </w:t>
      </w:r>
      <w:r w:rsidR="00C966D5" w:rsidRPr="00E86AA2">
        <w:t>17 April</w:t>
      </w:r>
      <w:r w:rsidR="00E7506C" w:rsidRPr="00E86AA2">
        <w:t xml:space="preserve"> 201</w:t>
      </w:r>
      <w:r w:rsidR="00C966D5" w:rsidRPr="00E86AA2">
        <w:t>9,</w:t>
      </w:r>
      <w:r w:rsidRPr="00E86AA2">
        <w:rPr>
          <w:rStyle w:val="FootnoteReference"/>
        </w:rPr>
        <w:footnoteReference w:id="16"/>
      </w:r>
      <w:r w:rsidRPr="00E86AA2">
        <w:t xml:space="preserve"> the authors submitted their comments on the State party’s </w:t>
      </w:r>
      <w:r w:rsidR="00705720" w:rsidRPr="00E86AA2">
        <w:t xml:space="preserve">respective </w:t>
      </w:r>
      <w:r w:rsidRPr="00E86AA2">
        <w:t>observations. Addressing the State party’s arguments as to the inadmissibility of the communications for</w:t>
      </w:r>
      <w:r w:rsidR="00F72F41" w:rsidRPr="00E86AA2">
        <w:t xml:space="preserve"> </w:t>
      </w:r>
      <w:r w:rsidRPr="00E86AA2">
        <w:t>failure to exhaust domestic remedies,</w:t>
      </w:r>
      <w:r w:rsidR="000C23DE" w:rsidRPr="00E86AA2">
        <w:t xml:space="preserve"> the authors </w:t>
      </w:r>
      <w:r w:rsidR="00A625BD" w:rsidRPr="00E86AA2">
        <w:t>of</w:t>
      </w:r>
      <w:r w:rsidR="000C23DE" w:rsidRPr="00E86AA2">
        <w:t xml:space="preserve"> communications N</w:t>
      </w:r>
      <w:r w:rsidRPr="00E86AA2">
        <w:t xml:space="preserve">os. </w:t>
      </w:r>
      <w:r w:rsidR="0035366F" w:rsidRPr="00E86AA2">
        <w:rPr>
          <w:lang w:val="en-US"/>
        </w:rPr>
        <w:t>2579/2015</w:t>
      </w:r>
      <w:r w:rsidR="000C23DE" w:rsidRPr="00E86AA2">
        <w:rPr>
          <w:lang w:val="en-US"/>
        </w:rPr>
        <w:t xml:space="preserve">, </w:t>
      </w:r>
      <w:r w:rsidR="008E5A15" w:rsidRPr="00E86AA2">
        <w:rPr>
          <w:lang w:val="en-US"/>
        </w:rPr>
        <w:t xml:space="preserve">2968/2017, 3057/2017, 3059/2017, 3099/2018 and </w:t>
      </w:r>
      <w:r w:rsidR="000C23DE" w:rsidRPr="00E86AA2">
        <w:t>3</w:t>
      </w:r>
      <w:r w:rsidR="008E5A15" w:rsidRPr="00E86AA2">
        <w:t>234</w:t>
      </w:r>
      <w:r w:rsidR="000C23DE" w:rsidRPr="00E86AA2">
        <w:t xml:space="preserve">/2018 </w:t>
      </w:r>
      <w:r w:rsidRPr="00E86AA2">
        <w:t>submit that the supervisory review procedure does not constitute an effective domestic remedy, as it does not entail a fresh examination of the case and its outcome depends on the sole discretion of the relevant prosecutor or</w:t>
      </w:r>
      <w:r w:rsidR="00F72F41" w:rsidRPr="00E86AA2">
        <w:t xml:space="preserve"> </w:t>
      </w:r>
      <w:r w:rsidRPr="00E86AA2">
        <w:t>judge.</w:t>
      </w:r>
      <w:r w:rsidR="00F72F41" w:rsidRPr="00E86AA2">
        <w:t xml:space="preserve"> </w:t>
      </w:r>
      <w:r w:rsidR="00A625BD" w:rsidRPr="00E86AA2">
        <w:t>In addition, the authors of communications 2968/2017, 3057/2017, 3059/2017 and 3234/2018 submit, that the President of the Supreme Court</w:t>
      </w:r>
      <w:r w:rsidR="001B3B4C" w:rsidRPr="00E86AA2">
        <w:t xml:space="preserve"> of Belarus</w:t>
      </w:r>
      <w:r w:rsidR="00A625BD" w:rsidRPr="00E86AA2">
        <w:t xml:space="preserve"> has </w:t>
      </w:r>
      <w:r w:rsidR="00A542D7" w:rsidRPr="00E86AA2">
        <w:t>five</w:t>
      </w:r>
      <w:r w:rsidR="00A625BD" w:rsidRPr="00E86AA2">
        <w:t xml:space="preserve"> deputies, several of whom may review the appeal. The Prosecutor General has </w:t>
      </w:r>
      <w:r w:rsidR="00A542D7" w:rsidRPr="00E86AA2">
        <w:t>four</w:t>
      </w:r>
      <w:r w:rsidR="00A625BD" w:rsidRPr="00E86AA2">
        <w:t xml:space="preserve"> deputies. The State party does not explain which deputy needs to be addressed so that the appeal is reviewed personally by the </w:t>
      </w:r>
      <w:r w:rsidR="00DB3477" w:rsidRPr="00E86AA2">
        <w:t>President</w:t>
      </w:r>
      <w:r w:rsidR="00A625BD" w:rsidRPr="00E86AA2">
        <w:t xml:space="preserve"> of the Supreme Court or by the Prosecutor General.</w:t>
      </w:r>
      <w:r w:rsidR="00DB3477" w:rsidRPr="00E86AA2">
        <w:t xml:space="preserve"> They addressed their request to the President of the Supreme Court and to the Prosecutor General.</w:t>
      </w:r>
      <w:r w:rsidR="007E2D39" w:rsidRPr="00E86AA2">
        <w:t xml:space="preserve"> Their requests were rejected by one of the deputies.</w:t>
      </w:r>
      <w:r w:rsidR="00DB3477" w:rsidRPr="00E86AA2">
        <w:t xml:space="preserve"> The authors cannot be </w:t>
      </w:r>
      <w:proofErr w:type="spellStart"/>
      <w:r w:rsidR="00DB3477" w:rsidRPr="00E86AA2">
        <w:t>blaimed</w:t>
      </w:r>
      <w:proofErr w:type="spellEnd"/>
      <w:r w:rsidR="00DB3477" w:rsidRPr="00E86AA2">
        <w:t xml:space="preserve"> for failure to exhaust domestic remedies because the mentioned officials delegated to their deputies the consideration of their requests. </w:t>
      </w:r>
    </w:p>
    <w:p w14:paraId="27976EAC" w14:textId="5DE46454" w:rsidR="004D29BE" w:rsidRPr="00E86AA2" w:rsidRDefault="008A16F2" w:rsidP="004D29BE">
      <w:pPr>
        <w:pStyle w:val="SingleTxtG"/>
        <w:rPr>
          <w:lang w:val="en-US"/>
        </w:rPr>
      </w:pPr>
      <w:r w:rsidRPr="00E86AA2">
        <w:t xml:space="preserve">5.2 </w:t>
      </w:r>
      <w:r w:rsidR="000C23DE" w:rsidRPr="00E86AA2">
        <w:tab/>
      </w:r>
      <w:r w:rsidR="004D29BE" w:rsidRPr="00E86AA2">
        <w:t xml:space="preserve">In reply to the </w:t>
      </w:r>
      <w:r w:rsidR="003A0B29" w:rsidRPr="00E86AA2">
        <w:t>disagreement of</w:t>
      </w:r>
      <w:r w:rsidR="004D29BE" w:rsidRPr="00E86AA2">
        <w:t xml:space="preserve"> the State party </w:t>
      </w:r>
      <w:r w:rsidR="003A0B29" w:rsidRPr="00E86AA2">
        <w:t>with the Committee’s decision to register the communication, t</w:t>
      </w:r>
      <w:r w:rsidR="00467D34" w:rsidRPr="00E86AA2">
        <w:t xml:space="preserve">he author of communication No. 2579/2015 </w:t>
      </w:r>
      <w:r w:rsidR="003A0B29" w:rsidRPr="00E86AA2">
        <w:t xml:space="preserve">submits </w:t>
      </w:r>
      <w:r w:rsidR="004D29BE" w:rsidRPr="00E86AA2">
        <w:rPr>
          <w:lang w:val="en-US"/>
        </w:rPr>
        <w:t xml:space="preserve">that, </w:t>
      </w:r>
      <w:r w:rsidR="0075129C" w:rsidRPr="00E86AA2">
        <w:rPr>
          <w:lang w:val="en-US"/>
        </w:rPr>
        <w:t>t</w:t>
      </w:r>
      <w:r w:rsidR="004D29BE" w:rsidRPr="00E86AA2">
        <w:rPr>
          <w:lang w:val="en-US"/>
        </w:rPr>
        <w:t>he role of the Committee ultimately includes interpretation of the provisions of the Covenant and development of jurisprudence. By refusing to recognize the standard practices, methods of work and precedents of the Committee, Belarus in effect refuses to recognize its competence to interpret the Covenant, which contradicts the Committee’s objective and goals.</w:t>
      </w:r>
      <w:r w:rsidR="000116D8" w:rsidRPr="00E86AA2">
        <w:rPr>
          <w:lang w:val="en-US"/>
        </w:rPr>
        <w:t xml:space="preserve"> The author submits that, having voluntarily accepted the jurisdiction of the Committee, the State party has no right to infringe on its competence and ignore it opinion.</w:t>
      </w:r>
      <w:r w:rsidR="000116D8" w:rsidRPr="00E86AA2">
        <w:rPr>
          <w:sz w:val="13"/>
          <w:szCs w:val="13"/>
          <w:lang w:val="en-US"/>
        </w:rPr>
        <w:t xml:space="preserve"> </w:t>
      </w:r>
      <w:r w:rsidR="000116D8" w:rsidRPr="00E86AA2">
        <w:rPr>
          <w:lang w:val="en-US"/>
        </w:rPr>
        <w:t>The State party is not only obliged to implement the decisions of the Committee, but it is also obliged to recognize its standards, practices, methods of work and precedents. The above argument is based on the most important principle</w:t>
      </w:r>
      <w:r w:rsidR="00C5196B" w:rsidRPr="00E86AA2">
        <w:rPr>
          <w:lang w:val="en-US"/>
        </w:rPr>
        <w:t>s</w:t>
      </w:r>
      <w:r w:rsidR="000116D8" w:rsidRPr="00E86AA2">
        <w:rPr>
          <w:lang w:val="en-US"/>
        </w:rPr>
        <w:t xml:space="preserve"> of international law — </w:t>
      </w:r>
      <w:r w:rsidR="000116D8" w:rsidRPr="00E86AA2">
        <w:rPr>
          <w:i/>
          <w:iCs/>
          <w:lang w:val="en-US"/>
        </w:rPr>
        <w:t xml:space="preserve">pacta sunt </w:t>
      </w:r>
      <w:proofErr w:type="spellStart"/>
      <w:r w:rsidR="000116D8" w:rsidRPr="00E86AA2">
        <w:rPr>
          <w:i/>
          <w:iCs/>
          <w:lang w:val="en-US"/>
        </w:rPr>
        <w:t>servanda</w:t>
      </w:r>
      <w:proofErr w:type="spellEnd"/>
      <w:r w:rsidR="000116D8" w:rsidRPr="00E86AA2">
        <w:rPr>
          <w:i/>
          <w:iCs/>
          <w:lang w:val="en-US"/>
        </w:rPr>
        <w:t xml:space="preserve"> </w:t>
      </w:r>
      <w:r w:rsidR="000116D8" w:rsidRPr="00E86AA2">
        <w:rPr>
          <w:lang w:val="en-US"/>
        </w:rPr>
        <w:t>— according to which every treaty in force is binding upon the parties to it and must be performed by them in good faith.</w:t>
      </w:r>
    </w:p>
    <w:p w14:paraId="5ECB0853" w14:textId="08619D94" w:rsidR="00FD7641" w:rsidRPr="00E86AA2" w:rsidRDefault="00FD7641" w:rsidP="004D29BE">
      <w:pPr>
        <w:pStyle w:val="SingleTxtG"/>
        <w:rPr>
          <w:lang w:val="en-US"/>
        </w:rPr>
      </w:pPr>
      <w:r w:rsidRPr="00E86AA2">
        <w:rPr>
          <w:lang w:val="en-US"/>
        </w:rPr>
        <w:t>5.3</w:t>
      </w:r>
      <w:r w:rsidRPr="00E86AA2">
        <w:rPr>
          <w:lang w:val="en-US"/>
        </w:rPr>
        <w:tab/>
      </w:r>
      <w:r w:rsidR="00B3526D" w:rsidRPr="00E86AA2">
        <w:rPr>
          <w:lang w:val="en-US"/>
        </w:rPr>
        <w:t xml:space="preserve">Regarding the State party's argument that there has been no violation of </w:t>
      </w:r>
      <w:r w:rsidR="00927517" w:rsidRPr="00E86AA2">
        <w:rPr>
          <w:lang w:val="en-US"/>
        </w:rPr>
        <w:t>a</w:t>
      </w:r>
      <w:r w:rsidR="00B3526D" w:rsidRPr="00E86AA2">
        <w:rPr>
          <w:lang w:val="en-US"/>
        </w:rPr>
        <w:t xml:space="preserve">rticles 19 and 21 of the Covenant, the authors of communications Nos. 2969/2017 and 3234/2018 argue that the State party failed to demonstrate the necessity of the limitation imposed on their rights and the specific legitimate aim pursued under </w:t>
      </w:r>
      <w:r w:rsidR="00927517" w:rsidRPr="00E86AA2">
        <w:rPr>
          <w:lang w:val="en-US"/>
        </w:rPr>
        <w:t>a</w:t>
      </w:r>
      <w:r w:rsidR="00B3526D" w:rsidRPr="00E86AA2">
        <w:rPr>
          <w:lang w:val="en-US"/>
        </w:rPr>
        <w:t>rticles 19 and 21 of the Covenant. Furthermore, the authors of communications Nos. 3057/2017, 3059/2017, and 3099/2018 state that the State party refers to the Public Events Act, which itself needs to be amended in accordance with the conclusions of the European Commission for Democracy through Law (</w:t>
      </w:r>
      <w:r w:rsidR="00FE4D10" w:rsidRPr="00E86AA2">
        <w:rPr>
          <w:lang w:val="en-US"/>
        </w:rPr>
        <w:t xml:space="preserve">the </w:t>
      </w:r>
      <w:r w:rsidR="00B3526D" w:rsidRPr="00E86AA2">
        <w:rPr>
          <w:lang w:val="en-US"/>
        </w:rPr>
        <w:t xml:space="preserve">Venice Commission) and the OSCE Office for Democratic Institutions and Human </w:t>
      </w:r>
      <w:r w:rsidR="00B3526D" w:rsidRPr="00E86AA2">
        <w:rPr>
          <w:lang w:val="en-US"/>
        </w:rPr>
        <w:lastRenderedPageBreak/>
        <w:t>Rights of 16-17 March 2012.</w:t>
      </w:r>
      <w:r w:rsidR="002876C0" w:rsidRPr="00E86AA2">
        <w:rPr>
          <w:vertAlign w:val="superscript"/>
        </w:rPr>
        <w:footnoteReference w:id="17"/>
      </w:r>
      <w:r w:rsidR="00B3526D" w:rsidRPr="00E86AA2">
        <w:rPr>
          <w:lang w:val="en-US"/>
        </w:rPr>
        <w:t xml:space="preserve"> Additionally, the State party has </w:t>
      </w:r>
      <w:r w:rsidR="00650612" w:rsidRPr="00E86AA2">
        <w:rPr>
          <w:lang w:val="en-US"/>
        </w:rPr>
        <w:t>failed to</w:t>
      </w:r>
      <w:r w:rsidR="00B3526D" w:rsidRPr="00E86AA2">
        <w:rPr>
          <w:lang w:val="en-US"/>
        </w:rPr>
        <w:t xml:space="preserve"> implement</w:t>
      </w:r>
      <w:r w:rsidR="00650612" w:rsidRPr="00E86AA2">
        <w:rPr>
          <w:lang w:val="en-US"/>
        </w:rPr>
        <w:t xml:space="preserve"> numerous</w:t>
      </w:r>
      <w:r w:rsidR="00B3526D" w:rsidRPr="00E86AA2">
        <w:rPr>
          <w:lang w:val="en-US"/>
        </w:rPr>
        <w:t xml:space="preserve"> recommendations made by the Committee, which called for alignment of the Public Events Act with the standards outlined in </w:t>
      </w:r>
      <w:r w:rsidR="00927517" w:rsidRPr="00E86AA2">
        <w:rPr>
          <w:lang w:val="en-US"/>
        </w:rPr>
        <w:t>a</w:t>
      </w:r>
      <w:r w:rsidR="00B3526D" w:rsidRPr="00E86AA2">
        <w:rPr>
          <w:lang w:val="en-US"/>
        </w:rPr>
        <w:t>rticles 19 and 21 of the Covenant.</w:t>
      </w:r>
      <w:r w:rsidR="00650612" w:rsidRPr="00E86AA2">
        <w:rPr>
          <w:vertAlign w:val="superscript"/>
        </w:rPr>
        <w:footnoteReference w:id="18"/>
      </w:r>
    </w:p>
    <w:p w14:paraId="78F16991" w14:textId="376414B3" w:rsidR="008A16F2" w:rsidRPr="00E86AA2" w:rsidRDefault="00257A55" w:rsidP="00257A55">
      <w:pPr>
        <w:pStyle w:val="SingleTxtG"/>
        <w:rPr>
          <w:b/>
          <w:bCs/>
        </w:rPr>
      </w:pPr>
      <w:r w:rsidRPr="00E86AA2">
        <w:rPr>
          <w:b/>
          <w:bCs/>
        </w:rPr>
        <w:t>I</w:t>
      </w:r>
      <w:r w:rsidR="008A16F2" w:rsidRPr="00E86AA2">
        <w:rPr>
          <w:b/>
          <w:bCs/>
        </w:rPr>
        <w:t>ssues and proceedings before the Committee</w:t>
      </w:r>
    </w:p>
    <w:p w14:paraId="18912025" w14:textId="43B11DD0" w:rsidR="00F94AC7" w:rsidRPr="00E86AA2" w:rsidRDefault="00F94AC7" w:rsidP="00027820">
      <w:pPr>
        <w:spacing w:before="240" w:after="120"/>
        <w:ind w:left="567" w:firstLine="567"/>
        <w:rPr>
          <w:i/>
        </w:rPr>
      </w:pPr>
      <w:r w:rsidRPr="00E86AA2">
        <w:rPr>
          <w:i/>
        </w:rPr>
        <w:t>Lack of cooperation from the State party</w:t>
      </w:r>
      <w:r w:rsidR="00893BB6" w:rsidRPr="00E86AA2">
        <w:rPr>
          <w:i/>
        </w:rPr>
        <w:t xml:space="preserve"> in communication No. </w:t>
      </w:r>
      <w:r w:rsidR="00893BB6" w:rsidRPr="00E86AA2">
        <w:rPr>
          <w:i/>
          <w:lang w:val="en-US"/>
        </w:rPr>
        <w:t>2579/2015</w:t>
      </w:r>
    </w:p>
    <w:p w14:paraId="128ADDDF" w14:textId="222148C9" w:rsidR="00F94AC7" w:rsidRPr="00E86AA2" w:rsidRDefault="00F94AC7" w:rsidP="00F94AC7">
      <w:pPr>
        <w:pStyle w:val="SingleTxtG"/>
      </w:pPr>
      <w:r w:rsidRPr="00E86AA2">
        <w:t>6.1</w:t>
      </w:r>
      <w:r w:rsidRPr="00E86AA2">
        <w:tab/>
        <w:t xml:space="preserve">The Committee notes the State party’s assertion that </w:t>
      </w:r>
      <w:r w:rsidR="00FF18A7" w:rsidRPr="00E86AA2">
        <w:t>the present communication</w:t>
      </w:r>
      <w:r w:rsidRPr="00E86AA2">
        <w:t xml:space="preserve"> was registered in violation of the provisions of the Optional Protocol</w:t>
      </w:r>
      <w:r w:rsidR="00FF18A7" w:rsidRPr="00E86AA2">
        <w:t xml:space="preserve"> and that the State party therefore </w:t>
      </w:r>
      <w:proofErr w:type="gramStart"/>
      <w:r w:rsidR="00FF18A7" w:rsidRPr="00E86AA2">
        <w:t xml:space="preserve">will  </w:t>
      </w:r>
      <w:r w:rsidR="00B9630F" w:rsidRPr="00E86AA2">
        <w:t>cease</w:t>
      </w:r>
      <w:proofErr w:type="gramEnd"/>
      <w:r w:rsidR="00B9630F" w:rsidRPr="00E86AA2">
        <w:t xml:space="preserve"> </w:t>
      </w:r>
      <w:r w:rsidR="00FF18A7" w:rsidRPr="00E86AA2">
        <w:t xml:space="preserve">further correspondence thereon.  </w:t>
      </w:r>
    </w:p>
    <w:p w14:paraId="746E70DA" w14:textId="71F21026" w:rsidR="00F94AC7" w:rsidRPr="00E86AA2" w:rsidRDefault="00F94AC7" w:rsidP="00F94AC7">
      <w:pPr>
        <w:ind w:left="1134" w:right="1134"/>
        <w:jc w:val="both"/>
      </w:pPr>
      <w:r w:rsidRPr="00E86AA2">
        <w:t>6.2</w:t>
      </w:r>
      <w:r w:rsidRPr="00E86AA2">
        <w:tab/>
        <w:t xml:space="preserve">The Committee </w:t>
      </w:r>
      <w:r w:rsidR="0021124C" w:rsidRPr="00E86AA2">
        <w:t xml:space="preserve">notes that by </w:t>
      </w:r>
      <w:r w:rsidRPr="00E86AA2">
        <w:t xml:space="preserve">adhering to the Optional Protocol, a State party to the Covenant recognizes the competence of the Committee to receive and consider communications from individuals claiming to be victims of violations of any of the rights set forth in the Covenant (preamble and art. 1). Implicit in a State’s adherence to the Optional Protocol is an undertaking to cooperate with the Committee in good faith </w:t>
      </w:r>
      <w:proofErr w:type="gramStart"/>
      <w:r w:rsidRPr="00E86AA2">
        <w:t>so as to</w:t>
      </w:r>
      <w:proofErr w:type="gramEnd"/>
      <w:r w:rsidRPr="00E86AA2">
        <w:t xml:space="preserve"> permit and enable it to consider such communications and after examination to forward its views to the State party and to the individual (art. 5 (1) and (4)). It is incompatible with these obligations for a </w:t>
      </w:r>
      <w:proofErr w:type="gramStart"/>
      <w:r w:rsidRPr="00E86AA2">
        <w:t>State</w:t>
      </w:r>
      <w:proofErr w:type="gramEnd"/>
      <w:r w:rsidRPr="00E86AA2">
        <w:t xml:space="preserve"> party to take any action that would prevent or frustrate the Committee in its consideration and examination of a communication and in the expression of its Views.</w:t>
      </w:r>
      <w:r w:rsidRPr="00E86AA2">
        <w:rPr>
          <w:rStyle w:val="FootnoteReference"/>
        </w:rPr>
        <w:footnoteReference w:id="19"/>
      </w:r>
      <w:r w:rsidRPr="00E86AA2">
        <w:t xml:space="preserve"> It is up to the Committee to determine whether a case should be registered. By failing to accept the competence of the Committee to determine whether a communication shall be registered and by declaring that it </w:t>
      </w:r>
      <w:r w:rsidR="00F46E3C" w:rsidRPr="00E86AA2">
        <w:t xml:space="preserve">will </w:t>
      </w:r>
      <w:r w:rsidR="00B9630F" w:rsidRPr="00E86AA2">
        <w:t xml:space="preserve">cease </w:t>
      </w:r>
      <w:r w:rsidR="00162691" w:rsidRPr="00E86AA2">
        <w:t xml:space="preserve">all correspondence concerning the communication, </w:t>
      </w:r>
      <w:r w:rsidRPr="00E86AA2">
        <w:t>the State party has violated its obligations under article 1 of the Optional Protocol.</w:t>
      </w:r>
    </w:p>
    <w:p w14:paraId="606BD144" w14:textId="77777777" w:rsidR="008A16F2" w:rsidRPr="00E86AA2" w:rsidRDefault="008A16F2" w:rsidP="008A16F2">
      <w:pPr>
        <w:pStyle w:val="H4G"/>
        <w:ind w:right="36"/>
        <w:rPr>
          <w:i w:val="0"/>
        </w:rPr>
      </w:pPr>
      <w:r w:rsidRPr="00E86AA2">
        <w:tab/>
      </w:r>
      <w:r w:rsidRPr="00E86AA2">
        <w:tab/>
        <w:t>Consideration of admissibility</w:t>
      </w:r>
    </w:p>
    <w:p w14:paraId="234805A1" w14:textId="3DB86840" w:rsidR="008A16F2" w:rsidRPr="00E86AA2" w:rsidRDefault="00027820" w:rsidP="008A16F2">
      <w:pPr>
        <w:pStyle w:val="SingleTxtG"/>
      </w:pPr>
      <w:r w:rsidRPr="00E86AA2">
        <w:t>7</w:t>
      </w:r>
      <w:r w:rsidR="008A16F2" w:rsidRPr="00E86AA2">
        <w:t>.1</w:t>
      </w:r>
      <w:r w:rsidR="008A16F2" w:rsidRPr="00E86AA2">
        <w:tab/>
        <w:t>Before considering any claim contained in a communication, the Committee must decide, in accordance with rule 97 of its rules of procedure, whether the communication is admissible under the Optional Protocol.</w:t>
      </w:r>
    </w:p>
    <w:p w14:paraId="1D0CC8DB" w14:textId="77922FEA" w:rsidR="008A16F2" w:rsidRPr="00E86AA2" w:rsidRDefault="00027820" w:rsidP="008A16F2">
      <w:pPr>
        <w:pStyle w:val="SingleTxtG"/>
      </w:pPr>
      <w:r w:rsidRPr="00E86AA2">
        <w:t>7</w:t>
      </w:r>
      <w:r w:rsidR="008A16F2" w:rsidRPr="00E86AA2">
        <w:t>.2</w:t>
      </w:r>
      <w:r w:rsidR="008A16F2" w:rsidRPr="00E86AA2">
        <w:tab/>
        <w:t>The Committee has ascertained, as required under article 5 (2) (a) of the Optional Protocol, that the same matter is not being examined under another procedure of international investigation or settlement.</w:t>
      </w:r>
    </w:p>
    <w:p w14:paraId="0E824B75" w14:textId="1BF4AFFA" w:rsidR="008A16F2" w:rsidRPr="00E86AA2" w:rsidRDefault="00027820" w:rsidP="005F4D22">
      <w:pPr>
        <w:pStyle w:val="SingleTxtG"/>
        <w:rPr>
          <w:lang w:val="en-US"/>
        </w:rPr>
      </w:pPr>
      <w:r w:rsidRPr="00E86AA2">
        <w:t>7</w:t>
      </w:r>
      <w:r w:rsidR="008A16F2" w:rsidRPr="00E86AA2">
        <w:t>.3</w:t>
      </w:r>
      <w:r w:rsidR="008A16F2" w:rsidRPr="00E86AA2">
        <w:tab/>
      </w:r>
      <w:r w:rsidR="008A16F2" w:rsidRPr="00E86AA2">
        <w:rPr>
          <w:lang w:val="en-US"/>
        </w:rPr>
        <w:t xml:space="preserve">The Committee notes the State party’s argument that the authors </w:t>
      </w:r>
      <w:r w:rsidR="00BF419C" w:rsidRPr="00E86AA2">
        <w:rPr>
          <w:lang w:val="en-US"/>
        </w:rPr>
        <w:t>of</w:t>
      </w:r>
      <w:r w:rsidR="00605380" w:rsidRPr="00E86AA2">
        <w:rPr>
          <w:lang w:val="en-US"/>
        </w:rPr>
        <w:t xml:space="preserve"> </w:t>
      </w:r>
      <w:r w:rsidR="00F94AC7" w:rsidRPr="00E86AA2">
        <w:rPr>
          <w:lang w:val="en-US"/>
        </w:rPr>
        <w:t xml:space="preserve">all </w:t>
      </w:r>
      <w:r w:rsidR="00605380" w:rsidRPr="00E86AA2">
        <w:rPr>
          <w:lang w:val="en-US"/>
        </w:rPr>
        <w:t>communications</w:t>
      </w:r>
      <w:r w:rsidR="008A16F2" w:rsidRPr="00E86AA2">
        <w:rPr>
          <w:lang w:val="en-US"/>
        </w:rPr>
        <w:t xml:space="preserve"> failed to seek a supervisory review of the impugned decisions in their cases by the Prosecutor</w:t>
      </w:r>
      <w:r w:rsidR="0070688F" w:rsidRPr="00E86AA2">
        <w:rPr>
          <w:lang w:val="en-US"/>
        </w:rPr>
        <w:t>’s and Prosecutor</w:t>
      </w:r>
      <w:r w:rsidR="00E7537B" w:rsidRPr="00E86AA2">
        <w:rPr>
          <w:lang w:val="en-US"/>
        </w:rPr>
        <w:t xml:space="preserve"> General</w:t>
      </w:r>
      <w:r w:rsidR="008A16F2" w:rsidRPr="00E86AA2">
        <w:rPr>
          <w:lang w:val="en-US"/>
        </w:rPr>
        <w:t xml:space="preserve">’s Office or by the </w:t>
      </w:r>
      <w:r w:rsidR="00487CD7" w:rsidRPr="00E86AA2">
        <w:rPr>
          <w:lang w:val="en-US"/>
        </w:rPr>
        <w:t>President</w:t>
      </w:r>
      <w:r w:rsidR="008A16F2" w:rsidRPr="00E86AA2">
        <w:rPr>
          <w:lang w:val="en-US"/>
        </w:rPr>
        <w:t xml:space="preserve"> or Deputy </w:t>
      </w:r>
      <w:r w:rsidR="00487CD7" w:rsidRPr="00E86AA2">
        <w:rPr>
          <w:lang w:val="en-US"/>
        </w:rPr>
        <w:t>President</w:t>
      </w:r>
      <w:r w:rsidR="008A16F2" w:rsidRPr="00E86AA2">
        <w:rPr>
          <w:lang w:val="en-US"/>
        </w:rPr>
        <w:t xml:space="preserve"> of</w:t>
      </w:r>
      <w:r w:rsidR="00F72F41" w:rsidRPr="00E86AA2">
        <w:rPr>
          <w:lang w:val="en-US"/>
        </w:rPr>
        <w:t xml:space="preserve"> </w:t>
      </w:r>
      <w:r w:rsidR="0070688F" w:rsidRPr="00E86AA2">
        <w:rPr>
          <w:lang w:val="en-US"/>
        </w:rPr>
        <w:t xml:space="preserve">a </w:t>
      </w:r>
      <w:r w:rsidR="00605380" w:rsidRPr="00E86AA2">
        <w:rPr>
          <w:lang w:val="en-US"/>
        </w:rPr>
        <w:t xml:space="preserve">higher court and of the </w:t>
      </w:r>
      <w:r w:rsidR="008A16F2" w:rsidRPr="00E86AA2">
        <w:rPr>
          <w:lang w:val="en-US"/>
        </w:rPr>
        <w:t>Supreme Court of Belarus. In this context, the Committee considers that filing requests for supervisory review with the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w:t>
      </w:r>
      <w:r w:rsidR="00EC0BE0" w:rsidRPr="00E86AA2">
        <w:rPr>
          <w:lang w:val="en-US"/>
        </w:rPr>
        <w:t xml:space="preserve">. </w:t>
      </w:r>
      <w:r w:rsidR="008A16F2" w:rsidRPr="00E86AA2">
        <w:rPr>
          <w:lang w:val="en-US"/>
        </w:rPr>
        <w:t xml:space="preserve">The Committee further recalls its jurisprudence, according to which a petition for supervisory review submitted to a prosecutor’s office, dependent on the discretionary power of the prosecutor, requesting a review of court decisions that have taken effect constitutes an extraordinary remedy, and thus does not constitute a remedy that must </w:t>
      </w:r>
      <w:r w:rsidR="008A16F2" w:rsidRPr="00E86AA2">
        <w:rPr>
          <w:lang w:val="en-US"/>
        </w:rPr>
        <w:lastRenderedPageBreak/>
        <w:t>be exhausted for the purposes of article 5 (2) (b) of the Optional Protocol.</w:t>
      </w:r>
      <w:r w:rsidR="008A16F2" w:rsidRPr="00E86AA2">
        <w:rPr>
          <w:vertAlign w:val="superscript"/>
          <w:lang w:val="en-US"/>
        </w:rPr>
        <w:footnoteReference w:id="20"/>
      </w:r>
      <w:r w:rsidR="008A16F2" w:rsidRPr="00E86AA2">
        <w:rPr>
          <w:lang w:val="en-US"/>
        </w:rPr>
        <w:t xml:space="preserve"> </w:t>
      </w:r>
      <w:r w:rsidR="00EC0BE0" w:rsidRPr="00E86AA2">
        <w:rPr>
          <w:lang w:val="en-US"/>
        </w:rPr>
        <w:t>The Committee also notes that the</w:t>
      </w:r>
      <w:r w:rsidR="005F4D22" w:rsidRPr="00E86AA2">
        <w:rPr>
          <w:lang w:val="en-US"/>
        </w:rPr>
        <w:t xml:space="preserve"> </w:t>
      </w:r>
      <w:r w:rsidR="00487CD7" w:rsidRPr="00E86AA2">
        <w:rPr>
          <w:lang w:val="en-US"/>
        </w:rPr>
        <w:t xml:space="preserve">requests for </w:t>
      </w:r>
      <w:r w:rsidR="005F4D22" w:rsidRPr="00E86AA2">
        <w:rPr>
          <w:lang w:val="en-US"/>
        </w:rPr>
        <w:t>supervisory</w:t>
      </w:r>
      <w:r w:rsidR="00EC0BE0" w:rsidRPr="00E86AA2">
        <w:rPr>
          <w:lang w:val="en-US"/>
        </w:rPr>
        <w:t xml:space="preserve"> </w:t>
      </w:r>
      <w:r w:rsidR="00487CD7" w:rsidRPr="00E86AA2">
        <w:rPr>
          <w:lang w:val="en-US"/>
        </w:rPr>
        <w:t xml:space="preserve">review </w:t>
      </w:r>
      <w:r w:rsidR="005F4D22" w:rsidRPr="00E86AA2">
        <w:rPr>
          <w:lang w:val="en-US"/>
        </w:rPr>
        <w:t xml:space="preserve">submitted by the </w:t>
      </w:r>
      <w:r w:rsidR="00487CD7" w:rsidRPr="00E86AA2">
        <w:rPr>
          <w:lang w:val="en-US"/>
        </w:rPr>
        <w:t xml:space="preserve">authors in communications Nos. 2968/2017, 3057/2017, 3059/2017, and </w:t>
      </w:r>
      <w:r w:rsidR="00487CD7" w:rsidRPr="00E86AA2">
        <w:t xml:space="preserve">3234/2018 </w:t>
      </w:r>
      <w:r w:rsidR="005F4D22" w:rsidRPr="00E86AA2">
        <w:rPr>
          <w:lang w:val="en-US"/>
        </w:rPr>
        <w:t>to</w:t>
      </w:r>
      <w:r w:rsidR="00F72F41" w:rsidRPr="00E86AA2">
        <w:rPr>
          <w:lang w:val="en-US"/>
        </w:rPr>
        <w:t xml:space="preserve"> </w:t>
      </w:r>
      <w:r w:rsidR="00985ABF" w:rsidRPr="00E86AA2">
        <w:rPr>
          <w:lang w:val="en-US"/>
        </w:rPr>
        <w:t xml:space="preserve">a </w:t>
      </w:r>
      <w:r w:rsidR="005F4D22" w:rsidRPr="00E86AA2">
        <w:rPr>
          <w:lang w:val="en-US"/>
        </w:rPr>
        <w:t xml:space="preserve">higher court, </w:t>
      </w:r>
      <w:r w:rsidR="00487CD7" w:rsidRPr="00E86AA2">
        <w:rPr>
          <w:lang w:val="en-US"/>
        </w:rPr>
        <w:t>the Supreme Court</w:t>
      </w:r>
      <w:r w:rsidR="001B3B4C" w:rsidRPr="00E86AA2">
        <w:rPr>
          <w:lang w:val="en-US"/>
        </w:rPr>
        <w:t xml:space="preserve"> </w:t>
      </w:r>
      <w:r w:rsidR="00487CD7" w:rsidRPr="00E86AA2">
        <w:rPr>
          <w:lang w:val="en-US"/>
        </w:rPr>
        <w:t xml:space="preserve">and </w:t>
      </w:r>
      <w:r w:rsidR="00EC0BE0" w:rsidRPr="00E86AA2">
        <w:rPr>
          <w:lang w:val="en-US"/>
        </w:rPr>
        <w:t>to the Prosecutor’s Office, were not effective and that the circumstances under which sanction</w:t>
      </w:r>
      <w:r w:rsidR="005F4D22" w:rsidRPr="00E86AA2">
        <w:rPr>
          <w:lang w:val="en-US"/>
        </w:rPr>
        <w:t>s</w:t>
      </w:r>
      <w:r w:rsidR="00EC0BE0" w:rsidRPr="00E86AA2">
        <w:rPr>
          <w:lang w:val="en-US"/>
        </w:rPr>
        <w:t xml:space="preserve"> were </w:t>
      </w:r>
      <w:r w:rsidR="005F4D22" w:rsidRPr="00E86AA2">
        <w:rPr>
          <w:lang w:val="en-US"/>
        </w:rPr>
        <w:t xml:space="preserve">imposed, are </w:t>
      </w:r>
      <w:r w:rsidR="00EC0BE0" w:rsidRPr="00E86AA2">
        <w:rPr>
          <w:lang w:val="en-US"/>
        </w:rPr>
        <w:t xml:space="preserve">similar to </w:t>
      </w:r>
      <w:r w:rsidR="00487CD7" w:rsidRPr="00E86AA2">
        <w:rPr>
          <w:lang w:val="en-US"/>
        </w:rPr>
        <w:t>communications Nos. 2579/2015 and 3099/2018</w:t>
      </w:r>
      <w:r w:rsidR="00EC0BE0" w:rsidRPr="00E86AA2">
        <w:rPr>
          <w:lang w:val="en-US"/>
        </w:rPr>
        <w:t xml:space="preserve">. </w:t>
      </w:r>
      <w:r w:rsidR="008A16F2" w:rsidRPr="00E86AA2">
        <w:rPr>
          <w:lang w:val="en-US"/>
        </w:rPr>
        <w:t xml:space="preserve">The Committee notes that in the present case, the authors have exhausted all </w:t>
      </w:r>
      <w:r w:rsidR="00EC0BE0" w:rsidRPr="00E86AA2">
        <w:rPr>
          <w:lang w:val="en-US"/>
        </w:rPr>
        <w:t xml:space="preserve">effective </w:t>
      </w:r>
      <w:r w:rsidR="008A16F2" w:rsidRPr="00E86AA2">
        <w:rPr>
          <w:lang w:val="en-US"/>
        </w:rPr>
        <w:t>domestic remedi</w:t>
      </w:r>
      <w:r w:rsidR="00EC0BE0" w:rsidRPr="00E86AA2">
        <w:rPr>
          <w:lang w:val="en-US"/>
        </w:rPr>
        <w:t>es</w:t>
      </w:r>
      <w:r w:rsidR="008A16F2" w:rsidRPr="00E86AA2">
        <w:rPr>
          <w:lang w:val="en-US"/>
        </w:rPr>
        <w:t xml:space="preserve">, and therefore, the Committee considers that it is not precluded by article 5 (2) (b) of the Optional Protocol from examining the present communication. </w:t>
      </w:r>
    </w:p>
    <w:p w14:paraId="37958F70" w14:textId="61C086AC" w:rsidR="008A16F2" w:rsidRPr="00E86AA2" w:rsidRDefault="00812387" w:rsidP="008A16F2">
      <w:pPr>
        <w:pStyle w:val="SingleTxtG"/>
        <w:rPr>
          <w:lang w:val="en-US"/>
        </w:rPr>
      </w:pPr>
      <w:r w:rsidRPr="00E86AA2">
        <w:rPr>
          <w:lang w:val="en-US"/>
        </w:rPr>
        <w:t>7</w:t>
      </w:r>
      <w:r w:rsidR="008A16F2" w:rsidRPr="00E86AA2">
        <w:rPr>
          <w:lang w:val="en-US"/>
        </w:rPr>
        <w:t xml:space="preserve">.4 </w:t>
      </w:r>
      <w:r w:rsidR="00EC0BE0" w:rsidRPr="00E86AA2">
        <w:rPr>
          <w:lang w:val="en-US"/>
        </w:rPr>
        <w:tab/>
      </w:r>
      <w:r w:rsidR="008A16F2" w:rsidRPr="00E86AA2">
        <w:rPr>
          <w:lang w:val="en-US"/>
        </w:rPr>
        <w:t>The Committee takes note of authors’ claims that the State party violated</w:t>
      </w:r>
      <w:r w:rsidR="00EC0BE0" w:rsidRPr="00E86AA2">
        <w:rPr>
          <w:lang w:val="en-US"/>
        </w:rPr>
        <w:t xml:space="preserve"> their rights under article</w:t>
      </w:r>
      <w:r w:rsidR="00CF5408" w:rsidRPr="00E86AA2">
        <w:rPr>
          <w:lang w:val="en-US"/>
        </w:rPr>
        <w:t>s</w:t>
      </w:r>
      <w:r w:rsidR="00EC0BE0" w:rsidRPr="00E86AA2">
        <w:rPr>
          <w:lang w:val="en-US"/>
        </w:rPr>
        <w:t xml:space="preserve"> 19</w:t>
      </w:r>
      <w:r w:rsidR="00CF5408" w:rsidRPr="00E86AA2">
        <w:rPr>
          <w:lang w:val="en-US"/>
        </w:rPr>
        <w:t xml:space="preserve"> and 21</w:t>
      </w:r>
      <w:r w:rsidR="008A16F2" w:rsidRPr="00E86AA2">
        <w:rPr>
          <w:lang w:val="en-US"/>
        </w:rPr>
        <w:t xml:space="preserve">, read in conjunction with article 2 (2) </w:t>
      </w:r>
      <w:r w:rsidR="008A16F2" w:rsidRPr="00E86AA2">
        <w:t>of</w:t>
      </w:r>
      <w:r w:rsidR="008A16F2" w:rsidRPr="00E86AA2">
        <w:rPr>
          <w:lang w:val="en-US"/>
        </w:rPr>
        <w:t xml:space="preserve"> the Covenant. The Committee reiterates that the provisions of article 2</w:t>
      </w:r>
      <w:r w:rsidR="00BD5D22" w:rsidRPr="00E86AA2">
        <w:rPr>
          <w:lang w:val="en-US"/>
        </w:rPr>
        <w:t xml:space="preserve"> of the Covenant</w:t>
      </w:r>
      <w:r w:rsidR="008A16F2" w:rsidRPr="00E86AA2">
        <w:rPr>
          <w:lang w:val="en-US"/>
        </w:rPr>
        <w:t xml:space="preserve"> cannot be invoked in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w:t>
      </w:r>
      <w:r w:rsidR="003C71D4" w:rsidRPr="00E86AA2">
        <w:rPr>
          <w:rStyle w:val="FootnoteReference"/>
        </w:rPr>
        <w:footnoteReference w:id="21"/>
      </w:r>
      <w:r w:rsidR="00F72F41" w:rsidRPr="00E86AA2">
        <w:rPr>
          <w:lang w:val="en-US"/>
        </w:rPr>
        <w:t xml:space="preserve"> </w:t>
      </w:r>
      <w:r w:rsidR="008A16F2" w:rsidRPr="00E86AA2">
        <w:rPr>
          <w:lang w:val="en-US"/>
        </w:rPr>
        <w:t xml:space="preserve">The Committee notes, however, that the </w:t>
      </w:r>
      <w:r w:rsidR="002A453B" w:rsidRPr="00E86AA2">
        <w:rPr>
          <w:lang w:val="en-US"/>
        </w:rPr>
        <w:t xml:space="preserve">first and fourth </w:t>
      </w:r>
      <w:r w:rsidR="008A16F2" w:rsidRPr="00E86AA2">
        <w:rPr>
          <w:lang w:val="en-US"/>
        </w:rPr>
        <w:t>authors have already alleged a violation of their rights under article 19 of the Covenant, resulting from the interpretation and application of the existing laws of the State party, and the Committee does not consider the examination of whether the State party has also violated its general obligations under article 2 (2), read in conjunction with article</w:t>
      </w:r>
      <w:r w:rsidR="00EC0BE0" w:rsidRPr="00E86AA2">
        <w:rPr>
          <w:lang w:val="en-US"/>
        </w:rPr>
        <w:t xml:space="preserve"> 19</w:t>
      </w:r>
      <w:r w:rsidR="008A16F2" w:rsidRPr="00E86AA2">
        <w:rPr>
          <w:lang w:val="en-US"/>
        </w:rPr>
        <w:t>, to be distinct from examination of the violation of th</w:t>
      </w:r>
      <w:r w:rsidR="00EC0BE0" w:rsidRPr="00E86AA2">
        <w:rPr>
          <w:lang w:val="en-US"/>
        </w:rPr>
        <w:t>e</w:t>
      </w:r>
      <w:r w:rsidR="002A453B" w:rsidRPr="00E86AA2">
        <w:rPr>
          <w:lang w:val="en-US"/>
        </w:rPr>
        <w:t>se</w:t>
      </w:r>
      <w:r w:rsidR="00EC0BE0" w:rsidRPr="00E86AA2">
        <w:rPr>
          <w:lang w:val="en-US"/>
        </w:rPr>
        <w:t xml:space="preserve"> authors’ rights under article</w:t>
      </w:r>
      <w:r w:rsidR="008A16F2" w:rsidRPr="00E86AA2">
        <w:rPr>
          <w:lang w:val="en-US"/>
        </w:rPr>
        <w:t xml:space="preserve"> 19 of the Covenant. The Committee therefore considers that the authors’ claims in that regard are incompatible with article 2 of the Covenant and thus inadmissible under article 3 of the Optional Protocol.</w:t>
      </w:r>
    </w:p>
    <w:p w14:paraId="7FAC7D8C" w14:textId="594DDCB3" w:rsidR="008A16F2" w:rsidRPr="00E86AA2" w:rsidRDefault="00812387" w:rsidP="008A16F2">
      <w:pPr>
        <w:pStyle w:val="SingleTxtG"/>
        <w:rPr>
          <w:lang w:val="en-US"/>
        </w:rPr>
      </w:pPr>
      <w:r w:rsidRPr="00E86AA2">
        <w:rPr>
          <w:lang w:val="en-US"/>
        </w:rPr>
        <w:t>7</w:t>
      </w:r>
      <w:r w:rsidR="008A16F2" w:rsidRPr="00E86AA2">
        <w:rPr>
          <w:lang w:val="en-US"/>
        </w:rPr>
        <w:t>.5</w:t>
      </w:r>
      <w:r w:rsidR="008A16F2" w:rsidRPr="00E86AA2">
        <w:rPr>
          <w:lang w:val="en-US"/>
        </w:rPr>
        <w:tab/>
        <w:t xml:space="preserve">The Committee further notes the authors’ claims </w:t>
      </w:r>
      <w:r w:rsidR="008A16F2" w:rsidRPr="00E86AA2">
        <w:t>under</w:t>
      </w:r>
      <w:r w:rsidR="008A16F2" w:rsidRPr="00E86AA2">
        <w:rPr>
          <w:lang w:val="en-US"/>
        </w:rPr>
        <w:t xml:space="preserve"> article</w:t>
      </w:r>
      <w:r w:rsidR="00CF5408" w:rsidRPr="00E86AA2">
        <w:rPr>
          <w:lang w:val="en-US"/>
        </w:rPr>
        <w:t>s</w:t>
      </w:r>
      <w:r w:rsidR="008A16F2" w:rsidRPr="00E86AA2">
        <w:rPr>
          <w:lang w:val="en-US"/>
        </w:rPr>
        <w:t xml:space="preserve"> 19</w:t>
      </w:r>
      <w:r w:rsidR="00CF5408" w:rsidRPr="00E86AA2">
        <w:rPr>
          <w:lang w:val="en-US"/>
        </w:rPr>
        <w:t xml:space="preserve"> and 21</w:t>
      </w:r>
      <w:r w:rsidR="008A16F2" w:rsidRPr="00E86AA2">
        <w:rPr>
          <w:lang w:val="en-US"/>
        </w:rPr>
        <w:t>, read in conjunction with article 2 (3</w:t>
      </w:r>
      <w:r w:rsidR="00BD5D22" w:rsidRPr="00E86AA2">
        <w:rPr>
          <w:lang w:val="en-US"/>
        </w:rPr>
        <w:t>) of the Covenant</w:t>
      </w:r>
      <w:r w:rsidR="008A16F2" w:rsidRPr="00E86AA2">
        <w:rPr>
          <w:lang w:val="en-US"/>
        </w:rPr>
        <w:t>. In the absence of any further pertinent information on file,</w:t>
      </w:r>
      <w:r w:rsidR="007C1AA2" w:rsidRPr="00E86AA2">
        <w:rPr>
          <w:lang w:val="en-US"/>
        </w:rPr>
        <w:t xml:space="preserve"> however,</w:t>
      </w:r>
      <w:r w:rsidR="008A16F2" w:rsidRPr="00E86AA2">
        <w:rPr>
          <w:lang w:val="en-US"/>
        </w:rPr>
        <w:t xml:space="preserve"> the Committee considers that the authors have failed to sufficiently substantiate</w:t>
      </w:r>
      <w:r w:rsidR="00F72F41" w:rsidRPr="00E86AA2">
        <w:rPr>
          <w:lang w:val="en-US"/>
        </w:rPr>
        <w:t xml:space="preserve"> </w:t>
      </w:r>
      <w:r w:rsidR="002A453B" w:rsidRPr="00E86AA2">
        <w:rPr>
          <w:lang w:val="en-US"/>
        </w:rPr>
        <w:t xml:space="preserve">such </w:t>
      </w:r>
      <w:r w:rsidR="008A16F2" w:rsidRPr="00E86AA2">
        <w:rPr>
          <w:lang w:val="en-US"/>
        </w:rPr>
        <w:t>claims for the purposes of admissibility. Accordingly, it declares this part of the</w:t>
      </w:r>
      <w:r w:rsidR="00E226EC" w:rsidRPr="00E86AA2">
        <w:rPr>
          <w:lang w:val="en-US"/>
        </w:rPr>
        <w:t>ir</w:t>
      </w:r>
      <w:r w:rsidR="008A16F2" w:rsidRPr="00E86AA2">
        <w:rPr>
          <w:lang w:val="en-US"/>
        </w:rPr>
        <w:t xml:space="preserve"> communication</w:t>
      </w:r>
      <w:r w:rsidR="00CF5408" w:rsidRPr="00E86AA2">
        <w:rPr>
          <w:lang w:val="en-US"/>
        </w:rPr>
        <w:t>s</w:t>
      </w:r>
      <w:r w:rsidR="008A16F2" w:rsidRPr="00E86AA2">
        <w:rPr>
          <w:lang w:val="en-US"/>
        </w:rPr>
        <w:t xml:space="preserve"> inadmissible under article 2 of the Optional Protocol.</w:t>
      </w:r>
    </w:p>
    <w:p w14:paraId="1759571A" w14:textId="2BBC0EA0" w:rsidR="008A16F2" w:rsidRPr="00E86AA2" w:rsidRDefault="00812387" w:rsidP="008A16F2">
      <w:pPr>
        <w:pStyle w:val="SingleTxtG"/>
      </w:pPr>
      <w:r w:rsidRPr="00E86AA2">
        <w:t>7</w:t>
      </w:r>
      <w:r w:rsidR="008A16F2" w:rsidRPr="00E86AA2">
        <w:t>.6</w:t>
      </w:r>
      <w:r w:rsidR="008A16F2" w:rsidRPr="00E86AA2">
        <w:tab/>
        <w:t>The Committee finally notes that</w:t>
      </w:r>
      <w:r w:rsidR="00DA7C5B" w:rsidRPr="00E86AA2">
        <w:t xml:space="preserve"> the facts, as submitted </w:t>
      </w:r>
      <w:r w:rsidR="00B70D4C" w:rsidRPr="00E86AA2">
        <w:t xml:space="preserve">by </w:t>
      </w:r>
      <w:r w:rsidR="00173423" w:rsidRPr="00E86AA2">
        <w:t xml:space="preserve">all </w:t>
      </w:r>
      <w:r w:rsidR="00B70D4C" w:rsidRPr="00E86AA2">
        <w:t xml:space="preserve">authors </w:t>
      </w:r>
      <w:r w:rsidR="00F76E6C" w:rsidRPr="00E86AA2">
        <w:t>i</w:t>
      </w:r>
      <w:r w:rsidR="00DA7C5B" w:rsidRPr="00E86AA2">
        <w:t>n the</w:t>
      </w:r>
      <w:r w:rsidR="00B70D4C" w:rsidRPr="00E86AA2">
        <w:t>ir</w:t>
      </w:r>
      <w:r w:rsidR="00DA7C5B" w:rsidRPr="00E86AA2">
        <w:t xml:space="preserve"> respective communications,</w:t>
      </w:r>
      <w:r w:rsidR="00F72F41" w:rsidRPr="00E86AA2">
        <w:t xml:space="preserve"> </w:t>
      </w:r>
      <w:r w:rsidR="008A16F2" w:rsidRPr="00E86AA2">
        <w:t>raise issues under article</w:t>
      </w:r>
      <w:r w:rsidR="00CF5408" w:rsidRPr="00E86AA2">
        <w:t>s</w:t>
      </w:r>
      <w:r w:rsidR="008A16F2" w:rsidRPr="00E86AA2">
        <w:t xml:space="preserve"> 19 </w:t>
      </w:r>
      <w:r w:rsidR="00CF5408" w:rsidRPr="00E86AA2">
        <w:t xml:space="preserve">and 21 </w:t>
      </w:r>
      <w:r w:rsidR="008A16F2" w:rsidRPr="00E86AA2">
        <w:t>of the Covenant</w:t>
      </w:r>
      <w:r w:rsidR="00B70D4C" w:rsidRPr="00E86AA2">
        <w:t>. The Committee</w:t>
      </w:r>
      <w:r w:rsidR="00810AAE" w:rsidRPr="00E86AA2">
        <w:t>, therefore,</w:t>
      </w:r>
      <w:r w:rsidR="008A16F2" w:rsidRPr="00E86AA2">
        <w:t xml:space="preserve"> consider the</w:t>
      </w:r>
      <w:r w:rsidR="00E42874" w:rsidRPr="00E86AA2">
        <w:t>se parts of the</w:t>
      </w:r>
      <w:r w:rsidR="008A16F2" w:rsidRPr="00E86AA2">
        <w:t xml:space="preserve"> </w:t>
      </w:r>
      <w:r w:rsidR="00F76E6C" w:rsidRPr="00E86AA2">
        <w:t>communications</w:t>
      </w:r>
      <w:r w:rsidR="00B70D4C" w:rsidRPr="00E86AA2">
        <w:t xml:space="preserve"> </w:t>
      </w:r>
      <w:r w:rsidR="008A16F2" w:rsidRPr="00E86AA2">
        <w:t>sufficiently substantiated for the purposes of admissibility,</w:t>
      </w:r>
      <w:r w:rsidR="00F76E6C" w:rsidRPr="00E86AA2">
        <w:t xml:space="preserve"> </w:t>
      </w:r>
      <w:r w:rsidR="008A16F2" w:rsidRPr="00E86AA2">
        <w:t>and proceeds with their consideration of the merits.</w:t>
      </w:r>
    </w:p>
    <w:p w14:paraId="596F4202" w14:textId="77777777" w:rsidR="008A16F2" w:rsidRPr="00E86AA2" w:rsidRDefault="008A16F2" w:rsidP="008A16F2">
      <w:pPr>
        <w:pStyle w:val="H4G"/>
        <w:ind w:right="36"/>
      </w:pPr>
      <w:r w:rsidRPr="00E86AA2">
        <w:tab/>
      </w:r>
      <w:r w:rsidRPr="00E86AA2">
        <w:tab/>
        <w:t>Considerations of the merits</w:t>
      </w:r>
    </w:p>
    <w:p w14:paraId="1C441E18" w14:textId="38ADE367" w:rsidR="008A16F2" w:rsidRPr="00E86AA2" w:rsidRDefault="00DB0808" w:rsidP="008A16F2">
      <w:pPr>
        <w:pStyle w:val="SingleTxtG"/>
      </w:pPr>
      <w:r w:rsidRPr="00E86AA2">
        <w:t>8</w:t>
      </w:r>
      <w:r w:rsidR="008A16F2" w:rsidRPr="00E86AA2">
        <w:t>.1</w:t>
      </w:r>
      <w:r w:rsidR="008A16F2" w:rsidRPr="00E86AA2">
        <w:tab/>
        <w:t>The Committee has considered the communications in the light of all the information made available to it by the parties, as provided under article 5 (1) of the Optional Protocol.</w:t>
      </w:r>
    </w:p>
    <w:p w14:paraId="5FDAF2A2" w14:textId="5181CBE8" w:rsidR="001A7318" w:rsidRPr="00E86AA2" w:rsidRDefault="001A7318" w:rsidP="001A7318">
      <w:pPr>
        <w:pStyle w:val="SingleTxtG"/>
      </w:pPr>
      <w:r w:rsidRPr="00E86AA2">
        <w:t>8.2</w:t>
      </w:r>
      <w:r w:rsidRPr="00E86AA2">
        <w:tab/>
        <w:t>The Committee notes the authors’ claim that the</w:t>
      </w:r>
      <w:r w:rsidR="00F8670B" w:rsidRPr="00E86AA2">
        <w:t xml:space="preserve">ir applications for organization of public events were rejected </w:t>
      </w:r>
      <w:proofErr w:type="gramStart"/>
      <w:r w:rsidR="00F8670B" w:rsidRPr="00E86AA2">
        <w:t>on the basis of</w:t>
      </w:r>
      <w:proofErr w:type="gramEnd"/>
      <w:r w:rsidR="00F8670B" w:rsidRPr="00E86AA2">
        <w:t xml:space="preserve"> d</w:t>
      </w:r>
      <w:r w:rsidRPr="00E86AA2">
        <w:t xml:space="preserve">ecisions No. 802 of the </w:t>
      </w:r>
      <w:proofErr w:type="spellStart"/>
      <w:r w:rsidRPr="00E86AA2">
        <w:t>Rechitsa</w:t>
      </w:r>
      <w:proofErr w:type="spellEnd"/>
      <w:r w:rsidRPr="00E86AA2">
        <w:t xml:space="preserve"> Executive Committee</w:t>
      </w:r>
      <w:r w:rsidRPr="00E86AA2" w:rsidDel="005928DF">
        <w:t xml:space="preserve"> </w:t>
      </w:r>
      <w:r w:rsidRPr="00E86AA2">
        <w:t>and No. 7</w:t>
      </w:r>
      <w:r w:rsidR="00621C54" w:rsidRPr="00E86AA2">
        <w:t>55</w:t>
      </w:r>
      <w:r w:rsidRPr="00E86AA2">
        <w:t xml:space="preserve"> of the Gomel Executive Committee</w:t>
      </w:r>
      <w:r w:rsidR="00F8670B" w:rsidRPr="00E86AA2">
        <w:t>. The authors claim that these decisions</w:t>
      </w:r>
      <w:r w:rsidRPr="00E86AA2">
        <w:t xml:space="preserve"> unduly restrict </w:t>
      </w:r>
      <w:r w:rsidR="00F8670B" w:rsidRPr="00E86AA2">
        <w:t>th</w:t>
      </w:r>
      <w:r w:rsidRPr="00E86AA2">
        <w:t>e</w:t>
      </w:r>
      <w:r w:rsidR="00F8670B" w:rsidRPr="00E86AA2">
        <w:t>ir</w:t>
      </w:r>
      <w:r w:rsidRPr="00E86AA2">
        <w:t xml:space="preserve"> right to freedom of expression and the right of peaceful assembly by imposing on the organizers of public events an obligation to conclude paid contracts with city service providers and by allocating, respectively, two and three remote locations for all mass events to be held in </w:t>
      </w:r>
      <w:proofErr w:type="spellStart"/>
      <w:r w:rsidRPr="00E86AA2">
        <w:t>Rechitsa</w:t>
      </w:r>
      <w:proofErr w:type="spellEnd"/>
      <w:r w:rsidRPr="00E86AA2">
        <w:t xml:space="preserve"> and in Gomel. </w:t>
      </w:r>
      <w:r w:rsidR="00E53737" w:rsidRPr="00E86AA2">
        <w:t xml:space="preserve">It also notes the authors’ argument that the authorities failed to explain why the restrictions imposed on their rights were necessary in the interests of national security or public safety, public order, the protection of public health, morals or the rights and freedoms of others, as required, respectively, by article 19 (3) and the second sentence of article 21 of the Covenant.   </w:t>
      </w:r>
    </w:p>
    <w:p w14:paraId="0E59EF79" w14:textId="4499F397" w:rsidR="00F84E5E" w:rsidRPr="00E86AA2" w:rsidRDefault="00F84E5E" w:rsidP="001A7318">
      <w:pPr>
        <w:pStyle w:val="SingleTxtG"/>
        <w:rPr>
          <w:lang w:val="en-US"/>
        </w:rPr>
      </w:pPr>
      <w:r w:rsidRPr="00E86AA2">
        <w:t>8.3</w:t>
      </w:r>
      <w:r w:rsidRPr="00E86AA2">
        <w:tab/>
      </w:r>
      <w:r w:rsidRPr="00E86AA2">
        <w:rPr>
          <w:lang w:val="en-US"/>
        </w:rPr>
        <w:t>Considering the authors’ claim</w:t>
      </w:r>
      <w:r w:rsidR="00154771" w:rsidRPr="00E86AA2">
        <w:rPr>
          <w:lang w:val="en-US"/>
        </w:rPr>
        <w:t>s</w:t>
      </w:r>
      <w:r w:rsidRPr="00E86AA2">
        <w:rPr>
          <w:lang w:val="en-US"/>
        </w:rPr>
        <w:t xml:space="preserve"> that their right</w:t>
      </w:r>
      <w:r w:rsidR="00795B95" w:rsidRPr="00E86AA2">
        <w:rPr>
          <w:lang w:val="en-US"/>
        </w:rPr>
        <w:t xml:space="preserve"> </w:t>
      </w:r>
      <w:r w:rsidR="002E4764" w:rsidRPr="00E86AA2">
        <w:rPr>
          <w:lang w:val="en-US"/>
        </w:rPr>
        <w:t>to freedom of expression and the right to peaceful assembly were</w:t>
      </w:r>
      <w:r w:rsidRPr="00E86AA2">
        <w:rPr>
          <w:lang w:val="en-US"/>
        </w:rPr>
        <w:t xml:space="preserve"> unreasonably restricted by the State party</w:t>
      </w:r>
      <w:r w:rsidR="00795B95" w:rsidRPr="00E86AA2">
        <w:rPr>
          <w:lang w:val="en-US"/>
        </w:rPr>
        <w:t xml:space="preserve">, </w:t>
      </w:r>
      <w:r w:rsidRPr="00E86AA2">
        <w:rPr>
          <w:lang w:val="en-US"/>
        </w:rPr>
        <w:t xml:space="preserve">the Committee notes </w:t>
      </w:r>
      <w:r w:rsidRPr="00E86AA2">
        <w:rPr>
          <w:lang w:val="en-US"/>
        </w:rPr>
        <w:lastRenderedPageBreak/>
        <w:t>that the issue before it is to determine whether the restrictions imposed were justified under article</w:t>
      </w:r>
      <w:r w:rsidR="002E4764" w:rsidRPr="00E86AA2">
        <w:rPr>
          <w:lang w:val="en-US"/>
        </w:rPr>
        <w:t xml:space="preserve">s 19 </w:t>
      </w:r>
      <w:r w:rsidR="00FF3D2F" w:rsidRPr="00E86AA2">
        <w:rPr>
          <w:lang w:val="en-US"/>
        </w:rPr>
        <w:t xml:space="preserve">(3) </w:t>
      </w:r>
      <w:r w:rsidR="002E4764" w:rsidRPr="00E86AA2">
        <w:rPr>
          <w:lang w:val="en-US"/>
        </w:rPr>
        <w:t>and</w:t>
      </w:r>
      <w:r w:rsidRPr="00E86AA2">
        <w:rPr>
          <w:lang w:val="en-US"/>
        </w:rPr>
        <w:t xml:space="preserve"> 21 of the Covenant.  </w:t>
      </w:r>
    </w:p>
    <w:p w14:paraId="4E5DB5D1" w14:textId="77777777" w:rsidR="00F84E5E" w:rsidRPr="00E86AA2" w:rsidRDefault="00F84E5E" w:rsidP="00F84E5E">
      <w:pPr>
        <w:pStyle w:val="SingleTxtG"/>
      </w:pPr>
      <w:r w:rsidRPr="00E86AA2">
        <w:rPr>
          <w:lang w:val="en-US"/>
        </w:rPr>
        <w:t>8.4</w:t>
      </w:r>
      <w:r w:rsidRPr="00E86AA2">
        <w:rPr>
          <w:lang w:val="en-US"/>
        </w:rPr>
        <w:tab/>
      </w:r>
      <w:r w:rsidRPr="00E86AA2">
        <w:t>In its general comment No. 37 (2020), the Committee stated that peaceful assemblies may in principle be conducted in all spaces to which the public has access or should have access, such as public squares and streets.</w:t>
      </w:r>
      <w:r w:rsidRPr="00E86AA2">
        <w:rPr>
          <w:vertAlign w:val="superscript"/>
        </w:rPr>
        <w:footnoteReference w:id="22"/>
      </w:r>
      <w:r w:rsidRPr="00E86AA2">
        <w:t xml:space="preserve"> Peaceful assemblies should not be relegated to remote areas where they cannot effectively capture the attention of those who are being addressed or of the </w:t>
      </w:r>
      <w:proofErr w:type="gramStart"/>
      <w:r w:rsidRPr="00E86AA2">
        <w:t>general public</w:t>
      </w:r>
      <w:proofErr w:type="gramEnd"/>
      <w:r w:rsidRPr="00E86AA2">
        <w:t xml:space="preserve">. </w:t>
      </w:r>
      <w:proofErr w:type="gramStart"/>
      <w:r w:rsidRPr="00E86AA2">
        <w:t>As a general rule</w:t>
      </w:r>
      <w:proofErr w:type="gramEnd"/>
      <w:r w:rsidRPr="00E86AA2">
        <w:t xml:space="preserve">, there can be no blanket ban on all assemblies in the capital city, in all public places except one specific location within a city or outside the city centre, or on all the streets in a city. </w:t>
      </w:r>
    </w:p>
    <w:p w14:paraId="4B47A111" w14:textId="50008811" w:rsidR="00F84E5E" w:rsidRPr="00E86AA2" w:rsidRDefault="00F84E5E" w:rsidP="001A7318">
      <w:pPr>
        <w:pStyle w:val="SingleTxtG"/>
      </w:pPr>
      <w:r w:rsidRPr="00E86AA2">
        <w:t>8.5</w:t>
      </w:r>
      <w:r w:rsidRPr="00E86AA2">
        <w:tab/>
        <w:t xml:space="preserve">The Committee further recalls that the right of peaceful assembly, as guaranteed under article 21 of the Covenant, is a fundamental human right, essential for public expression of an individual’s views and opinions and indispensable in a democratic society. </w:t>
      </w:r>
      <w:r w:rsidRPr="00E86AA2">
        <w:rPr>
          <w:lang w:val="en-US"/>
        </w:rPr>
        <w:t xml:space="preserve">Given that peaceful assemblies often have expressive functions, and that political speech enjoys </w:t>
      </w:r>
      <w:proofErr w:type="gramStart"/>
      <w:r w:rsidRPr="00E86AA2">
        <w:rPr>
          <w:lang w:val="en-US"/>
        </w:rPr>
        <w:t>particular protection</w:t>
      </w:r>
      <w:proofErr w:type="gramEnd"/>
      <w:r w:rsidRPr="00E86AA2">
        <w:rPr>
          <w:lang w:val="en-US"/>
        </w:rPr>
        <w:t xml:space="preserve"> as a form of expression, assemblies with a political message should enjoy a heightened level of accommodation and protection.</w:t>
      </w:r>
      <w:r w:rsidRPr="00E86AA2">
        <w:rPr>
          <w:vertAlign w:val="superscript"/>
          <w:lang w:val="en-US"/>
        </w:rPr>
        <w:footnoteReference w:id="23"/>
      </w:r>
      <w:r w:rsidRPr="00E86AA2">
        <w:rPr>
          <w:lang w:val="en-US"/>
        </w:rPr>
        <w:t xml:space="preserve"> </w:t>
      </w:r>
      <w:r w:rsidRPr="00E86AA2">
        <w:t>Article 21</w:t>
      </w:r>
      <w:r w:rsidRPr="00E86AA2">
        <w:rPr>
          <w:lang w:val="en-US"/>
        </w:rPr>
        <w:t xml:space="preserve"> of the Covenant</w:t>
      </w:r>
      <w:r w:rsidRPr="00E86AA2">
        <w:t xml:space="preserve"> protects peaceful assemblies wherever they take place: outdoors, indoors and online; in public and private spaces; or a combination thereof. Such assemblies may take many forms, including demonstrations, protests, meetings, </w:t>
      </w:r>
      <w:proofErr w:type="spellStart"/>
      <w:r w:rsidR="00DC1B21" w:rsidRPr="00E86AA2">
        <w:t>march</w:t>
      </w:r>
      <w:r w:rsidRPr="00E86AA2">
        <w:t>s</w:t>
      </w:r>
      <w:proofErr w:type="spellEnd"/>
      <w:r w:rsidRPr="00E86AA2">
        <w:t xml:space="preserve">, rallies, sit-ins, candlelit </w:t>
      </w:r>
      <w:proofErr w:type="gramStart"/>
      <w:r w:rsidRPr="00E86AA2">
        <w:t>vigils</w:t>
      </w:r>
      <w:proofErr w:type="gramEnd"/>
      <w:r w:rsidRPr="00E86AA2">
        <w:t xml:space="preserve"> and flash mobs. They are protected under article 21 whether they are stationary, such as pickets, or mobile, such as </w:t>
      </w:r>
      <w:r w:rsidR="002517DB" w:rsidRPr="00E86AA2">
        <w:t xml:space="preserve">processions </w:t>
      </w:r>
      <w:r w:rsidRPr="00E86AA2">
        <w:t>or marches.</w:t>
      </w:r>
      <w:r w:rsidRPr="00E86AA2">
        <w:rPr>
          <w:vertAlign w:val="superscript"/>
        </w:rPr>
        <w:footnoteReference w:id="24"/>
      </w:r>
      <w:r w:rsidRPr="00E86AA2">
        <w:t xml:space="preserve"> The organizers of an assembly generally have the right to choose a location within sight and sound of their target audience,</w:t>
      </w:r>
      <w:r w:rsidRPr="00E86AA2">
        <w:rPr>
          <w:vertAlign w:val="superscript"/>
        </w:rPr>
        <w:footnoteReference w:id="25"/>
      </w:r>
      <w:r w:rsidRPr="00E86AA2">
        <w:t xml:space="preserve"> and no restriction to this right is permissible, unless it (a) is imposed in conformity with the law; and (b) is necessary in a democratic society, in the interests of national security or public safety, public order (</w:t>
      </w:r>
      <w:proofErr w:type="spellStart"/>
      <w:r w:rsidRPr="00E86AA2">
        <w:rPr>
          <w:i/>
        </w:rPr>
        <w:t>ordre</w:t>
      </w:r>
      <w:proofErr w:type="spellEnd"/>
      <w:r w:rsidRPr="00E86AA2">
        <w:rPr>
          <w:i/>
        </w:rPr>
        <w:t xml:space="preserve"> public</w:t>
      </w:r>
      <w:r w:rsidRPr="00E86AA2">
        <w:t xml:space="preserve">), protection of public health or morals or protection of the rights and freedoms of others. When a </w:t>
      </w:r>
      <w:proofErr w:type="gramStart"/>
      <w:r w:rsidRPr="00E86AA2">
        <w:t>State</w:t>
      </w:r>
      <w:proofErr w:type="gramEnd"/>
      <w:r w:rsidRPr="00E86AA2">
        <w:t xml:space="preserv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Pr="00E86AA2">
        <w:rPr>
          <w:vertAlign w:val="superscript"/>
        </w:rPr>
        <w:footnoteReference w:id="26"/>
      </w:r>
      <w:r w:rsidRPr="00E86AA2">
        <w:t xml:space="preserve"> The State party is thus under an obligation to justify the limitation of the right protected by article 21 of the Covenant.</w:t>
      </w:r>
      <w:r w:rsidRPr="00E86AA2">
        <w:rPr>
          <w:vertAlign w:val="superscript"/>
        </w:rPr>
        <w:footnoteReference w:id="27"/>
      </w:r>
    </w:p>
    <w:p w14:paraId="3D49FB43" w14:textId="578E5B78" w:rsidR="00621C54" w:rsidRPr="00E86AA2" w:rsidRDefault="00F84E5E" w:rsidP="00621C54">
      <w:pPr>
        <w:pStyle w:val="SingleTxtG"/>
      </w:pPr>
      <w:r w:rsidRPr="00E86AA2">
        <w:t>8.6</w:t>
      </w:r>
      <w:r w:rsidRPr="00E86AA2">
        <w:tab/>
      </w:r>
      <w:r w:rsidR="00621C54" w:rsidRPr="00E86AA2">
        <w:t>The Committee recalls its general comment No. 34 (2011) on freedoms of opinion and expression, in which it stated, inter alia, that the freedom of expression is essential for any society and constitutes a foundation stone for every free and democratic society.</w:t>
      </w:r>
      <w:r w:rsidR="00621C54" w:rsidRPr="00E86AA2">
        <w:rPr>
          <w:vertAlign w:val="superscript"/>
        </w:rPr>
        <w:footnoteReference w:id="28"/>
      </w:r>
      <w:r w:rsidR="00621C54" w:rsidRPr="00E86AA2">
        <w:t xml:space="preserve"> It notes that article 19 (3) of the Covenant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00621C54" w:rsidRPr="00E86AA2">
        <w:rPr>
          <w:i/>
          <w:iCs/>
        </w:rPr>
        <w:t>ordre</w:t>
      </w:r>
      <w:proofErr w:type="spellEnd"/>
      <w:r w:rsidR="00621C54" w:rsidRPr="00E86AA2">
        <w:rPr>
          <w:i/>
          <w:iCs/>
        </w:rPr>
        <w:t xml:space="preserve"> public</w:t>
      </w:r>
      <w:r w:rsidR="00621C54" w:rsidRPr="00E86AA2">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sidR="00621C54" w:rsidRPr="00E86AA2">
        <w:rPr>
          <w:vertAlign w:val="superscript"/>
        </w:rPr>
        <w:footnoteReference w:id="29"/>
      </w:r>
      <w:r w:rsidR="00621C54" w:rsidRPr="00E86AA2">
        <w:t xml:space="preserve"> The Committee recalls that </w:t>
      </w:r>
      <w:r w:rsidR="00621C54" w:rsidRPr="00E86AA2">
        <w:rPr>
          <w:lang w:val="en-US"/>
        </w:rPr>
        <w:t xml:space="preserve">the onus is on the </w:t>
      </w:r>
      <w:r w:rsidR="00621C54" w:rsidRPr="00E86AA2">
        <w:t>State party to demonstrate that the restrictions on the author’s rights under article 19 of the Covenant were necessary and proportionate.</w:t>
      </w:r>
      <w:r w:rsidR="00621C54" w:rsidRPr="00E86AA2">
        <w:rPr>
          <w:vertAlign w:val="superscript"/>
        </w:rPr>
        <w:footnoteReference w:id="30"/>
      </w:r>
      <w:r w:rsidR="00621C54" w:rsidRPr="00E86AA2">
        <w:t xml:space="preserve"> </w:t>
      </w:r>
    </w:p>
    <w:p w14:paraId="46AC04C1" w14:textId="5C956B11" w:rsidR="00621C54" w:rsidRPr="00E86AA2" w:rsidRDefault="00621C54" w:rsidP="00621C54">
      <w:pPr>
        <w:pStyle w:val="SingleTxtG"/>
      </w:pPr>
      <w:r w:rsidRPr="00E86AA2">
        <w:t>8.</w:t>
      </w:r>
      <w:r w:rsidR="00F8670B" w:rsidRPr="00E86AA2">
        <w:t>7</w:t>
      </w:r>
      <w:r w:rsidRPr="00E86AA2">
        <w:tab/>
        <w:t xml:space="preserve">The Committee notes that the national authorities refused to authorize the organization of peaceful public events by the authors on the grounds that the planned locations of the events were different from those few locations in </w:t>
      </w:r>
      <w:proofErr w:type="spellStart"/>
      <w:r w:rsidRPr="00E86AA2">
        <w:t>Rechitsa</w:t>
      </w:r>
      <w:proofErr w:type="spellEnd"/>
      <w:r w:rsidRPr="00E86AA2">
        <w:t xml:space="preserve"> and Gomel under</w:t>
      </w:r>
      <w:r w:rsidR="00C81903" w:rsidRPr="00E86AA2">
        <w:t>, respectively,</w:t>
      </w:r>
      <w:r w:rsidRPr="00E86AA2">
        <w:t xml:space="preserve"> the executive </w:t>
      </w:r>
      <w:proofErr w:type="spellStart"/>
      <w:r w:rsidRPr="00E86AA2">
        <w:t>committees’decisions</w:t>
      </w:r>
      <w:proofErr w:type="spellEnd"/>
      <w:r w:rsidRPr="00E86AA2">
        <w:t xml:space="preserve"> Nos. 802 and 755 and because the authors had failed to conclude contracts with city service providers. It also observes that from the material on file</w:t>
      </w:r>
      <w:r w:rsidR="004C5677" w:rsidRPr="00E86AA2">
        <w:t>s</w:t>
      </w:r>
      <w:r w:rsidRPr="00E86AA2">
        <w:t xml:space="preserve">, </w:t>
      </w:r>
      <w:r w:rsidRPr="00E86AA2">
        <w:lastRenderedPageBreak/>
        <w:t xml:space="preserve">it transpires that the national authorities have failed to demonstrate how </w:t>
      </w:r>
      <w:r w:rsidR="009E74E3" w:rsidRPr="00E86AA2">
        <w:t>peaceful events</w:t>
      </w:r>
      <w:r w:rsidRPr="00E86AA2">
        <w:t xml:space="preserve"> held in the location</w:t>
      </w:r>
      <w:r w:rsidR="009E74E3" w:rsidRPr="00E86AA2">
        <w:t>s</w:t>
      </w:r>
      <w:r w:rsidRPr="00E86AA2">
        <w:t xml:space="preserve"> proposed by the author</w:t>
      </w:r>
      <w:r w:rsidR="009E74E3" w:rsidRPr="00E86AA2">
        <w:t>s</w:t>
      </w:r>
      <w:r w:rsidRPr="00E86AA2">
        <w:t xml:space="preserve"> would jeopardize national security, public safety, public order, the protection of public health or morals or the protection of the rights and freedoms of others. It notes </w:t>
      </w:r>
      <w:proofErr w:type="gramStart"/>
      <w:r w:rsidRPr="00E86AA2">
        <w:t>in particular that</w:t>
      </w:r>
      <w:proofErr w:type="gramEnd"/>
      <w:r w:rsidRPr="00E86AA2">
        <w:t xml:space="preserve"> neither the decision</w:t>
      </w:r>
      <w:r w:rsidR="009E74E3" w:rsidRPr="00E86AA2">
        <w:t>s</w:t>
      </w:r>
      <w:r w:rsidRPr="00E86AA2">
        <w:t xml:space="preserve"> of the Executive Committee</w:t>
      </w:r>
      <w:r w:rsidR="009E74E3" w:rsidRPr="00E86AA2">
        <w:t>s</w:t>
      </w:r>
      <w:r w:rsidRPr="00E86AA2">
        <w:t xml:space="preserve"> </w:t>
      </w:r>
      <w:r w:rsidR="009E74E3" w:rsidRPr="00E86AA2">
        <w:t xml:space="preserve">of </w:t>
      </w:r>
      <w:proofErr w:type="spellStart"/>
      <w:r w:rsidR="009E74E3" w:rsidRPr="00E86AA2">
        <w:t>Rechitsa</w:t>
      </w:r>
      <w:proofErr w:type="spellEnd"/>
      <w:r w:rsidR="009E74E3" w:rsidRPr="00E86AA2">
        <w:t xml:space="preserve"> and Gomel </w:t>
      </w:r>
      <w:r w:rsidRPr="00E86AA2">
        <w:t>to refuse the authors</w:t>
      </w:r>
      <w:r w:rsidR="009E74E3" w:rsidRPr="00E86AA2">
        <w:t>’</w:t>
      </w:r>
      <w:r w:rsidRPr="00E86AA2">
        <w:t xml:space="preserve"> request</w:t>
      </w:r>
      <w:r w:rsidR="009E74E3" w:rsidRPr="00E86AA2">
        <w:t>s</w:t>
      </w:r>
      <w:r w:rsidRPr="00E86AA2">
        <w:t xml:space="preserve"> to hold </w:t>
      </w:r>
      <w:r w:rsidR="009E74E3" w:rsidRPr="00E86AA2">
        <w:t xml:space="preserve">public events </w:t>
      </w:r>
      <w:r w:rsidRPr="00E86AA2">
        <w:t>nor the court decisions provide any explanation of why the restrictions imposed in decision</w:t>
      </w:r>
      <w:r w:rsidR="009E74E3" w:rsidRPr="00E86AA2">
        <w:t>s</w:t>
      </w:r>
      <w:r w:rsidRPr="00E86AA2">
        <w:t xml:space="preserve"> No</w:t>
      </w:r>
      <w:r w:rsidR="009E74E3" w:rsidRPr="00E86AA2">
        <w:t>s</w:t>
      </w:r>
      <w:r w:rsidRPr="00E86AA2">
        <w:t xml:space="preserve">. </w:t>
      </w:r>
      <w:r w:rsidR="009E74E3" w:rsidRPr="00E86AA2">
        <w:t>802 and 755</w:t>
      </w:r>
      <w:r w:rsidRPr="00E86AA2">
        <w:t xml:space="preserve"> and applied in the authors</w:t>
      </w:r>
      <w:r w:rsidR="009E74E3" w:rsidRPr="00E86AA2">
        <w:t>’</w:t>
      </w:r>
      <w:r w:rsidRPr="00E86AA2">
        <w:t xml:space="preserve"> case</w:t>
      </w:r>
      <w:r w:rsidR="009E74E3" w:rsidRPr="00E86AA2">
        <w:t>s</w:t>
      </w:r>
      <w:r w:rsidRPr="00E86AA2">
        <w:t xml:space="preserve"> were necessary and justified. </w:t>
      </w:r>
    </w:p>
    <w:p w14:paraId="7047E2C2" w14:textId="272B45EE" w:rsidR="000726E9" w:rsidRPr="00E86AA2" w:rsidRDefault="00621C54" w:rsidP="000726E9">
      <w:pPr>
        <w:pStyle w:val="SingleTxtG"/>
      </w:pPr>
      <w:r w:rsidRPr="00E86AA2">
        <w:t>8.</w:t>
      </w:r>
      <w:r w:rsidR="00F8670B" w:rsidRPr="00E86AA2">
        <w:t>8</w:t>
      </w:r>
      <w:r w:rsidRPr="00E86AA2">
        <w:tab/>
      </w:r>
      <w:r w:rsidR="000726E9" w:rsidRPr="00E86AA2">
        <w:t xml:space="preserve">The Committee further notes that the de facto prohibition imposed by decisions Nos. 802 and 755 of an assembly in any public location in the entire city, </w:t>
      </w:r>
      <w:proofErr w:type="gramStart"/>
      <w:r w:rsidR="000726E9" w:rsidRPr="00E86AA2">
        <w:t>with the exception of</w:t>
      </w:r>
      <w:proofErr w:type="gramEnd"/>
      <w:r w:rsidR="000726E9" w:rsidRPr="00E86AA2">
        <w:t xml:space="preserve"> two remote locations in </w:t>
      </w:r>
      <w:proofErr w:type="spellStart"/>
      <w:r w:rsidR="000726E9" w:rsidRPr="00E86AA2">
        <w:t>Rechitsa</w:t>
      </w:r>
      <w:proofErr w:type="spellEnd"/>
      <w:r w:rsidR="000726E9" w:rsidRPr="00E86AA2">
        <w:t xml:space="preserve"> and three remote locations in Gomel, unduly limits the right of assembly and the freedom of expression. It also notes that requesting the organizers of small (up to 10-15 participants) events to contract additional services imposes a disproportionate burden on the right of peaceful assembly and the right to freedom of expression in the same context. In these circumstances, the Committee finds the formal application of decisions Nos. 802 and 755 and the rejection by the State party’s authorities of the authors’ requests to hold peaceful public events to be unjustified and concludes that the authors’ rights under articles 19 and 21</w:t>
      </w:r>
      <w:r w:rsidR="0083047D" w:rsidRPr="00E86AA2">
        <w:t xml:space="preserve"> </w:t>
      </w:r>
      <w:r w:rsidR="000726E9" w:rsidRPr="00E86AA2">
        <w:t xml:space="preserve">of the Covenant have been violated. </w:t>
      </w:r>
    </w:p>
    <w:p w14:paraId="34F178E7" w14:textId="5C39B6E7" w:rsidR="00686DB0" w:rsidRPr="00E86AA2" w:rsidRDefault="00DB0808" w:rsidP="00686DB0">
      <w:pPr>
        <w:pStyle w:val="SingleTxtG"/>
      </w:pPr>
      <w:r w:rsidRPr="00E86AA2">
        <w:t>9</w:t>
      </w:r>
      <w:r w:rsidR="00686DB0" w:rsidRPr="00E86AA2">
        <w:t>.</w:t>
      </w:r>
      <w:r w:rsidR="00686DB0" w:rsidRPr="00E86AA2">
        <w:tab/>
        <w:t xml:space="preserve">The Committee, acting under article 5 (4) of the Optional Protocol, is of the view that the facts before it </w:t>
      </w:r>
      <w:proofErr w:type="gramStart"/>
      <w:r w:rsidR="00686DB0" w:rsidRPr="00E86AA2">
        <w:t>disclose</w:t>
      </w:r>
      <w:proofErr w:type="gramEnd"/>
      <w:r w:rsidR="00686DB0" w:rsidRPr="00E86AA2">
        <w:t xml:space="preserve"> a violation by the State party of article</w:t>
      </w:r>
      <w:r w:rsidR="00F7374A" w:rsidRPr="00E86AA2">
        <w:t>s</w:t>
      </w:r>
      <w:r w:rsidR="00686DB0" w:rsidRPr="00E86AA2">
        <w:t xml:space="preserve"> 19</w:t>
      </w:r>
      <w:r w:rsidR="002A6EDA" w:rsidRPr="00E86AA2">
        <w:t xml:space="preserve"> </w:t>
      </w:r>
      <w:r w:rsidR="00F7374A" w:rsidRPr="00E86AA2">
        <w:t>and 21</w:t>
      </w:r>
      <w:r w:rsidR="002A6EDA" w:rsidRPr="00E86AA2">
        <w:t xml:space="preserve"> </w:t>
      </w:r>
      <w:r w:rsidR="00686DB0" w:rsidRPr="00E86AA2">
        <w:t>of the Covenant</w:t>
      </w:r>
      <w:r w:rsidR="00893BB6" w:rsidRPr="00E86AA2">
        <w:t xml:space="preserve"> in all communications. The Committee finds that the State party has also violated its obligations under article 1 of the Optional Protocol in communication No. </w:t>
      </w:r>
      <w:r w:rsidR="00893BB6" w:rsidRPr="00E86AA2">
        <w:rPr>
          <w:lang w:val="en-US"/>
        </w:rPr>
        <w:t>2579/2015</w:t>
      </w:r>
    </w:p>
    <w:p w14:paraId="2EB7F755" w14:textId="7B6C7217" w:rsidR="00686DB0" w:rsidRPr="00E86AA2" w:rsidRDefault="00DB0808" w:rsidP="00686DB0">
      <w:pPr>
        <w:pStyle w:val="SingleTxtG"/>
      </w:pPr>
      <w:r w:rsidRPr="00E86AA2">
        <w:t>10</w:t>
      </w:r>
      <w:r w:rsidR="00686DB0" w:rsidRPr="00E86AA2">
        <w:t>.</w:t>
      </w:r>
      <w:r w:rsidR="00686DB0" w:rsidRPr="00E86AA2">
        <w:tab/>
        <w:t>Pursuant to article 2 (3) (a) of the Covenant, the State party is under an obligation to provide the author</w:t>
      </w:r>
      <w:r w:rsidR="00286777" w:rsidRPr="00E86AA2">
        <w:t>s</w:t>
      </w:r>
      <w:r w:rsidR="00686DB0" w:rsidRPr="00E86AA2">
        <w:t xml:space="preserve"> with an effective remedy. This requires it to make full reparation to individuals whose Covenant rights have been violated. Accordingly, the State party is obligated, inter alia, to take appropriate steps to take all steps necessary to prevent similar violations from occurring in the </w:t>
      </w:r>
      <w:proofErr w:type="spellStart"/>
      <w:r w:rsidR="00686DB0" w:rsidRPr="00E86AA2">
        <w:t>future</w:t>
      </w:r>
      <w:r w:rsidR="002A6EDA" w:rsidRPr="00E86AA2">
        <w:t>In</w:t>
      </w:r>
      <w:proofErr w:type="spellEnd"/>
      <w:r w:rsidR="002A6EDA" w:rsidRPr="00E86AA2">
        <w:t xml:space="preserve"> that connection, the Committee notes that </w:t>
      </w:r>
      <w:r w:rsidR="002A6EDA" w:rsidRPr="00E86AA2">
        <w:rPr>
          <w:lang w:val="en-US"/>
        </w:rPr>
        <w:t xml:space="preserve">it has dealt with similar cases in respect of </w:t>
      </w:r>
      <w:r w:rsidR="00922CB6" w:rsidRPr="00E86AA2">
        <w:rPr>
          <w:lang w:val="en-US"/>
        </w:rPr>
        <w:t>similar</w:t>
      </w:r>
      <w:r w:rsidR="002A6EDA" w:rsidRPr="00E86AA2">
        <w:rPr>
          <w:lang w:val="en-US"/>
        </w:rPr>
        <w:t xml:space="preserve"> laws and practices of the State party in a number of earlier communications,</w:t>
      </w:r>
      <w:r w:rsidR="002A6EDA" w:rsidRPr="00E86AA2">
        <w:rPr>
          <w:rStyle w:val="FootnoteReference"/>
          <w:lang w:val="en-US"/>
        </w:rPr>
        <w:footnoteReference w:id="31"/>
      </w:r>
      <w:r w:rsidR="002A6EDA" w:rsidRPr="00E86AA2">
        <w:rPr>
          <w:lang w:val="en-US"/>
        </w:rPr>
        <w:t xml:space="preserve"> and thus </w:t>
      </w:r>
      <w:r w:rsidR="002A6EDA" w:rsidRPr="00E86AA2">
        <w:t xml:space="preserve">the State party should revise its normative framework, in particular its </w:t>
      </w:r>
      <w:r w:rsidR="007618CA" w:rsidRPr="00E86AA2">
        <w:t>Public Events Act</w:t>
      </w:r>
      <w:r w:rsidR="002A6EDA" w:rsidRPr="00E86AA2">
        <w:t>, consistent with its obligation under article 2 (2), with a view to ensuring that the rights under article 19</w:t>
      </w:r>
      <w:r w:rsidR="0083047D" w:rsidRPr="00E86AA2">
        <w:t xml:space="preserve"> and 21</w:t>
      </w:r>
      <w:r w:rsidR="002A6EDA" w:rsidRPr="00E86AA2">
        <w:t xml:space="preserve"> of the Covenant may be fully enjoyed in the State party.</w:t>
      </w:r>
    </w:p>
    <w:p w14:paraId="6298414F" w14:textId="09C98033" w:rsidR="00686DB0" w:rsidRPr="00361509" w:rsidRDefault="00DB0808" w:rsidP="00686DB0">
      <w:pPr>
        <w:pStyle w:val="SingleTxtG"/>
      </w:pPr>
      <w:r w:rsidRPr="00E86AA2">
        <w:t>11</w:t>
      </w:r>
      <w:r w:rsidR="00686DB0" w:rsidRPr="00E86AA2">
        <w:t>.</w:t>
      </w:r>
      <w:r w:rsidR="00686DB0" w:rsidRPr="00E86AA2">
        <w:tab/>
      </w:r>
      <w:r w:rsidR="002066D3" w:rsidRPr="00E86AA2">
        <w:t xml:space="preserve">On </w:t>
      </w:r>
      <w:proofErr w:type="gramStart"/>
      <w:r w:rsidR="002066D3" w:rsidRPr="00E86AA2">
        <w:t xml:space="preserve">becoming </w:t>
      </w:r>
      <w:r w:rsidR="00686DB0" w:rsidRPr="00E86AA2">
        <w:t xml:space="preserve"> a</w:t>
      </w:r>
      <w:proofErr w:type="gramEnd"/>
      <w:r w:rsidR="00686DB0" w:rsidRPr="00E86AA2">
        <w:t xml:space="preserve"> party to the Optional Protocol, the State party has recognized the competence of the Committee to determine whether there has been a violation of the Covenant</w:t>
      </w:r>
      <w:r w:rsidR="002066D3" w:rsidRPr="00E86AA2">
        <w:t>. The present communication was submitted for consideration before the State party’s denunciation of the Optional Protocol became effective on 8 February 2023</w:t>
      </w:r>
      <w:r w:rsidR="00B613B2" w:rsidRPr="00E86AA2">
        <w:t>.</w:t>
      </w:r>
      <w:r w:rsidR="002066D3" w:rsidRPr="00E86AA2">
        <w:t xml:space="preserve"> </w:t>
      </w:r>
      <w:r w:rsidR="00B613B2" w:rsidRPr="00E86AA2">
        <w:t>I</w:t>
      </w:r>
      <w:r w:rsidR="002066D3" w:rsidRPr="00E86AA2">
        <w:t>n accordance with article 12 (2) of the Optional Protocol</w:t>
      </w:r>
      <w:r w:rsidR="00B613B2" w:rsidRPr="00E86AA2">
        <w:t xml:space="preserve">  and the Committee’s previous case law, the State party</w:t>
      </w:r>
      <w:r w:rsidR="002066D3" w:rsidRPr="00E86AA2">
        <w:t xml:space="preserve"> continues to be subject to the application of the Optional Protocol</w:t>
      </w:r>
      <w:r w:rsidR="00EF0988" w:rsidRPr="00E86AA2">
        <w:t xml:space="preserve"> as regards the present communication</w:t>
      </w:r>
      <w:r w:rsidR="002066D3" w:rsidRPr="00E86AA2">
        <w:t>.</w:t>
      </w:r>
      <w:r w:rsidR="002066D3" w:rsidRPr="00E86AA2">
        <w:rPr>
          <w:rStyle w:val="FootnoteReference"/>
        </w:rPr>
        <w:footnoteReference w:id="32"/>
      </w:r>
      <w:r w:rsidR="00686DB0" w:rsidRPr="00E86AA2">
        <w:t xml:space="preserve"> </w:t>
      </w:r>
      <w:r w:rsidR="00EF0988" w:rsidRPr="00E86AA2">
        <w:t>Since p</w:t>
      </w:r>
      <w:r w:rsidR="00686DB0" w:rsidRPr="00E86AA2">
        <w:t xml:space="preserve">ursuant to article 2 of the Covenant, the State party has undertaken to ensure to all individuals within its territory </w:t>
      </w:r>
      <w:r w:rsidR="007B2810" w:rsidRPr="00E86AA2">
        <w:t>and</w:t>
      </w:r>
      <w:r w:rsidR="00686DB0" w:rsidRPr="00E86AA2">
        <w:t xml:space="preserve">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00686DB0" w:rsidRPr="00E86AA2">
        <w:rPr>
          <w:rFonts w:ascii="Arial Unicode MS"/>
        </w:rPr>
        <w:t>’</w:t>
      </w:r>
      <w:r w:rsidR="00686DB0" w:rsidRPr="00E86AA2">
        <w:t>s Views. The State party is also requested to publish the present Views and to have them widely disseminated in the official languages of the State party.</w:t>
      </w:r>
    </w:p>
    <w:p w14:paraId="6DCCF849" w14:textId="157AE6C1" w:rsidR="008A16F2" w:rsidRPr="008A16F2" w:rsidRDefault="00686DB0" w:rsidP="00C82642">
      <w:pPr>
        <w:pStyle w:val="SingleTxtG"/>
        <w:spacing w:before="240" w:after="0"/>
        <w:jc w:val="center"/>
        <w:rPr>
          <w:u w:val="single"/>
        </w:rPr>
      </w:pPr>
      <w:r w:rsidRPr="00361509">
        <w:rPr>
          <w:u w:val="single"/>
        </w:rPr>
        <w:tab/>
      </w:r>
      <w:r w:rsidRPr="00361509">
        <w:rPr>
          <w:u w:val="single"/>
        </w:rPr>
        <w:tab/>
      </w:r>
      <w:r w:rsidRPr="00361509">
        <w:rPr>
          <w:u w:val="single"/>
        </w:rPr>
        <w:tab/>
      </w:r>
      <w:r w:rsidRPr="00361509">
        <w:rPr>
          <w:u w:val="single"/>
        </w:rPr>
        <w:tab/>
      </w:r>
    </w:p>
    <w:sectPr w:rsidR="008A16F2" w:rsidRPr="008A16F2" w:rsidSect="008A16F2">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7DB35" w14:textId="77777777" w:rsidR="00D65EBC" w:rsidRDefault="00D65EBC"/>
  </w:endnote>
  <w:endnote w:type="continuationSeparator" w:id="0">
    <w:p w14:paraId="75BDA426" w14:textId="77777777" w:rsidR="00D65EBC" w:rsidRDefault="00D65EBC"/>
  </w:endnote>
  <w:endnote w:type="continuationNotice" w:id="1">
    <w:p w14:paraId="03FBF1FB" w14:textId="77777777" w:rsidR="00D65EBC" w:rsidRDefault="00D65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79F6" w14:textId="77777777" w:rsidR="00245B81" w:rsidRPr="00F23848" w:rsidRDefault="00245B81" w:rsidP="00F23848">
    <w:pPr>
      <w:pStyle w:val="Footer"/>
      <w:tabs>
        <w:tab w:val="right" w:pos="9598"/>
      </w:tabs>
      <w:rPr>
        <w:rFonts w:eastAsia="SimSun"/>
        <w:b/>
        <w:noProof/>
        <w:sz w:val="18"/>
        <w:lang w:eastAsia="zh-CN"/>
      </w:rPr>
    </w:pPr>
    <w:r w:rsidRPr="00F23848">
      <w:rPr>
        <w:rFonts w:eastAsia="SimSun"/>
        <w:b/>
        <w:noProof/>
        <w:sz w:val="18"/>
        <w:lang w:eastAsia="zh-CN"/>
      </w:rPr>
      <w:fldChar w:fldCharType="begin"/>
    </w:r>
    <w:r w:rsidRPr="00F23848">
      <w:rPr>
        <w:rFonts w:eastAsia="SimSun"/>
        <w:b/>
        <w:noProof/>
        <w:sz w:val="18"/>
        <w:lang w:eastAsia="zh-CN"/>
      </w:rPr>
      <w:instrText xml:space="preserve"> PAGE   \* MERGEFORMAT </w:instrText>
    </w:r>
    <w:r w:rsidRPr="00F23848">
      <w:rPr>
        <w:rFonts w:eastAsia="SimSun"/>
        <w:b/>
        <w:noProof/>
        <w:sz w:val="18"/>
        <w:lang w:eastAsia="zh-CN"/>
      </w:rPr>
      <w:fldChar w:fldCharType="separate"/>
    </w:r>
    <w:r w:rsidR="007E31D6">
      <w:rPr>
        <w:rFonts w:eastAsia="SimSun"/>
        <w:b/>
        <w:noProof/>
        <w:sz w:val="18"/>
        <w:lang w:eastAsia="zh-CN"/>
      </w:rPr>
      <w:t>6</w:t>
    </w:r>
    <w:r w:rsidRPr="00F23848">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435" w14:textId="77777777" w:rsidR="00245B81" w:rsidRPr="00F23848" w:rsidRDefault="00245B81" w:rsidP="00F23848">
    <w:pPr>
      <w:pStyle w:val="Footer"/>
      <w:jc w:val="right"/>
      <w:rPr>
        <w:b/>
        <w:sz w:val="18"/>
        <w:szCs w:val="18"/>
      </w:rPr>
    </w:pPr>
    <w:r w:rsidRPr="00F23848">
      <w:rPr>
        <w:b/>
        <w:sz w:val="18"/>
        <w:szCs w:val="18"/>
      </w:rPr>
      <w:fldChar w:fldCharType="begin"/>
    </w:r>
    <w:r w:rsidRPr="00F23848">
      <w:rPr>
        <w:b/>
        <w:sz w:val="18"/>
        <w:szCs w:val="18"/>
      </w:rPr>
      <w:instrText xml:space="preserve"> PAGE   \* MERGEFORMAT </w:instrText>
    </w:r>
    <w:r w:rsidRPr="00F23848">
      <w:rPr>
        <w:b/>
        <w:sz w:val="18"/>
        <w:szCs w:val="18"/>
      </w:rPr>
      <w:fldChar w:fldCharType="separate"/>
    </w:r>
    <w:r w:rsidR="007E31D6">
      <w:rPr>
        <w:b/>
        <w:noProof/>
        <w:sz w:val="18"/>
        <w:szCs w:val="18"/>
      </w:rPr>
      <w:t>7</w:t>
    </w:r>
    <w:r w:rsidRPr="00F23848">
      <w:rPr>
        <w:b/>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FA1A" w14:textId="0EDC4385" w:rsidR="000A3676" w:rsidRDefault="000A3676" w:rsidP="000A3676">
    <w:pPr>
      <w:pStyle w:val="Footer"/>
    </w:pPr>
    <w:r w:rsidRPr="0027112F">
      <w:rPr>
        <w:noProof/>
        <w:lang w:val="en-US"/>
      </w:rPr>
      <w:drawing>
        <wp:anchor distT="0" distB="0" distL="114300" distR="114300" simplePos="0" relativeHeight="251659264" behindDoc="0" locked="1" layoutInCell="1" allowOverlap="1" wp14:anchorId="696538B0" wp14:editId="6B3C99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8FA6A" w14:textId="77777777" w:rsidR="00D65EBC" w:rsidRPr="000B175B" w:rsidRDefault="00D65EBC" w:rsidP="000B175B">
      <w:pPr>
        <w:tabs>
          <w:tab w:val="right" w:pos="2155"/>
        </w:tabs>
        <w:spacing w:after="80"/>
        <w:ind w:left="680"/>
        <w:rPr>
          <w:u w:val="single"/>
        </w:rPr>
      </w:pPr>
      <w:r>
        <w:rPr>
          <w:u w:val="single"/>
        </w:rPr>
        <w:tab/>
      </w:r>
    </w:p>
  </w:footnote>
  <w:footnote w:type="continuationSeparator" w:id="0">
    <w:p w14:paraId="4A685634" w14:textId="77777777" w:rsidR="00D65EBC" w:rsidRPr="00FC68B7" w:rsidRDefault="00D65EBC" w:rsidP="00FC68B7">
      <w:pPr>
        <w:tabs>
          <w:tab w:val="left" w:pos="2155"/>
        </w:tabs>
        <w:spacing w:after="80"/>
        <w:ind w:left="680"/>
        <w:rPr>
          <w:u w:val="single"/>
        </w:rPr>
      </w:pPr>
      <w:r>
        <w:rPr>
          <w:u w:val="single"/>
        </w:rPr>
        <w:tab/>
      </w:r>
    </w:p>
  </w:footnote>
  <w:footnote w:type="continuationNotice" w:id="1">
    <w:p w14:paraId="20D9E10E" w14:textId="77777777" w:rsidR="00D65EBC" w:rsidRDefault="00D65EBC"/>
  </w:footnote>
  <w:footnote w:id="2">
    <w:p w14:paraId="4C9C306C" w14:textId="6214C7C2" w:rsidR="00F07E86" w:rsidRPr="00F07E86" w:rsidRDefault="00F07E86">
      <w:pPr>
        <w:pStyle w:val="FootnoteText"/>
      </w:pPr>
      <w:r>
        <w:rPr>
          <w:rStyle w:val="FootnoteReference"/>
        </w:rPr>
        <w:tab/>
      </w:r>
      <w:r w:rsidRPr="008E1621">
        <w:rPr>
          <w:rStyle w:val="FootnoteReference"/>
          <w:sz w:val="20"/>
          <w:vertAlign w:val="baseline"/>
        </w:rPr>
        <w:t>*</w:t>
      </w:r>
      <w:r>
        <w:rPr>
          <w:rStyle w:val="FootnoteReference"/>
          <w:sz w:val="20"/>
          <w:vertAlign w:val="baseline"/>
        </w:rPr>
        <w:tab/>
      </w:r>
      <w:r w:rsidRPr="00B2629C">
        <w:t xml:space="preserve">Adopted by the Committee at its </w:t>
      </w:r>
      <w:r>
        <w:t>138</w:t>
      </w:r>
      <w:r>
        <w:rPr>
          <w:vertAlign w:val="superscript"/>
        </w:rPr>
        <w:t>th</w:t>
      </w:r>
      <w:r>
        <w:t xml:space="preserve"> </w:t>
      </w:r>
      <w:r w:rsidRPr="00B2629C">
        <w:t>session (</w:t>
      </w:r>
      <w:r>
        <w:t>26 June-26 July</w:t>
      </w:r>
      <w:r w:rsidRPr="004B436A">
        <w:t xml:space="preserve"> 202</w:t>
      </w:r>
      <w:r>
        <w:t>3</w:t>
      </w:r>
      <w:r w:rsidRPr="00B2629C">
        <w:t>)</w:t>
      </w:r>
    </w:p>
  </w:footnote>
  <w:footnote w:id="3">
    <w:p w14:paraId="1ABF633B" w14:textId="10933C1A" w:rsidR="00F07E86" w:rsidRPr="00F07E86" w:rsidRDefault="00F07E86">
      <w:pPr>
        <w:pStyle w:val="FootnoteText"/>
      </w:pPr>
      <w:r>
        <w:rPr>
          <w:rStyle w:val="FootnoteReference"/>
        </w:rPr>
        <w:tab/>
      </w:r>
      <w:r w:rsidRPr="008E1621">
        <w:rPr>
          <w:rStyle w:val="FootnoteReference"/>
          <w:sz w:val="20"/>
          <w:vertAlign w:val="baseline"/>
        </w:rPr>
        <w:t>**</w:t>
      </w:r>
      <w:r>
        <w:rPr>
          <w:rStyle w:val="FootnoteReference"/>
          <w:sz w:val="20"/>
          <w:vertAlign w:val="baseline"/>
        </w:rPr>
        <w:tab/>
      </w:r>
      <w:r w:rsidRPr="00B2629C">
        <w:t>The following members of the Committee participated in the ex</w:t>
      </w:r>
      <w:r>
        <w:t xml:space="preserve">amination of the communication: </w:t>
      </w:r>
      <w:r w:rsidRPr="00F53A27">
        <w:t xml:space="preserve">Tania Abdo Rocholl, Wafaa Ashraf Moharram Bassim, Rodrigo A. Carazo, Yvonne Donders, Mahjoub El Haiba, Laurence R. Helfer, Carlos Gómez Martínez, Bacre Waly Ndiaye, Marcia V.J. Kran, </w:t>
      </w:r>
      <w:proofErr w:type="spellStart"/>
      <w:r w:rsidRPr="00F53A27">
        <w:t>Hernán</w:t>
      </w:r>
      <w:proofErr w:type="spellEnd"/>
      <w:r w:rsidRPr="00F53A27">
        <w:t xml:space="preserve"> Quezada Cabrera, José Manuel Santos Pais, </w:t>
      </w:r>
      <w:proofErr w:type="spellStart"/>
      <w:r w:rsidRPr="00F53A27">
        <w:t>Changrok</w:t>
      </w:r>
      <w:proofErr w:type="spellEnd"/>
      <w:r w:rsidRPr="00F53A27">
        <w:t xml:space="preserve"> Soh, Tijana Surlan, </w:t>
      </w:r>
      <w:proofErr w:type="spellStart"/>
      <w:r w:rsidRPr="00F53A27">
        <w:t>Kobauyah</w:t>
      </w:r>
      <w:proofErr w:type="spellEnd"/>
      <w:r w:rsidRPr="00F53A27">
        <w:t xml:space="preserve"> </w:t>
      </w:r>
      <w:proofErr w:type="spellStart"/>
      <w:r w:rsidRPr="00F53A27">
        <w:t>Kpatcha</w:t>
      </w:r>
      <w:proofErr w:type="spellEnd"/>
      <w:r w:rsidRPr="00F53A27">
        <w:t xml:space="preserve"> </w:t>
      </w:r>
      <w:proofErr w:type="spellStart"/>
      <w:r w:rsidRPr="00F53A27">
        <w:t>Tchamdja</w:t>
      </w:r>
      <w:proofErr w:type="spellEnd"/>
      <w:r w:rsidRPr="00F53A27">
        <w:t>, Koji Teraya, Hélène Tigroudja and Imeru Tamerat Yigezu</w:t>
      </w:r>
      <w:r>
        <w:t>.</w:t>
      </w:r>
    </w:p>
  </w:footnote>
  <w:footnote w:id="4">
    <w:p w14:paraId="630E41F6" w14:textId="7B11F40E" w:rsidR="001277B3" w:rsidRPr="001277B3" w:rsidRDefault="001277B3" w:rsidP="008E1621">
      <w:pPr>
        <w:pStyle w:val="FootnoteText"/>
        <w:rPr>
          <w:lang w:val="en-US"/>
        </w:rPr>
      </w:pPr>
      <w:r w:rsidRPr="00AC7EDB">
        <w:tab/>
      </w:r>
      <w:r>
        <w:rPr>
          <w:rStyle w:val="FootnoteReference"/>
        </w:rPr>
        <w:footnoteRef/>
      </w:r>
      <w:r>
        <w:tab/>
      </w:r>
      <w:r w:rsidRPr="005A12FA">
        <w:t>A</w:t>
      </w:r>
      <w:r w:rsidRPr="005A12FA">
        <w:rPr>
          <w:lang w:eastAsia="en-GB"/>
        </w:rPr>
        <w:t xml:space="preserve">rticle 9 of the </w:t>
      </w:r>
      <w:r w:rsidR="005A12FA">
        <w:rPr>
          <w:lang w:eastAsia="en-GB"/>
        </w:rPr>
        <w:t>Public Events Act</w:t>
      </w:r>
      <w:r w:rsidRPr="005A12FA">
        <w:rPr>
          <w:lang w:eastAsia="en-GB"/>
        </w:rPr>
        <w:t xml:space="preserve"> </w:t>
      </w:r>
      <w:r w:rsidRPr="008E1621">
        <w:t>gives</w:t>
      </w:r>
      <w:r w:rsidRPr="005A12FA">
        <w:rPr>
          <w:lang w:eastAsia="en-GB"/>
        </w:rPr>
        <w:t xml:space="preserve"> discretion to the local executive authorities to determine permanent locations for the conduct of public events. </w:t>
      </w:r>
      <w:r w:rsidRPr="005A12FA">
        <w:t xml:space="preserve"> </w:t>
      </w:r>
    </w:p>
  </w:footnote>
  <w:footnote w:id="5">
    <w:p w14:paraId="474CCA5E" w14:textId="578630B7" w:rsidR="00205E5F" w:rsidRPr="00205E5F" w:rsidRDefault="00205E5F" w:rsidP="00205E5F">
      <w:pPr>
        <w:pStyle w:val="FootnoteText"/>
        <w:ind w:hanging="567"/>
        <w:rPr>
          <w:lang w:val="en-US"/>
        </w:rPr>
      </w:pPr>
      <w:r>
        <w:tab/>
      </w:r>
      <w:r>
        <w:rPr>
          <w:rStyle w:val="FootnoteReference"/>
        </w:rPr>
        <w:footnoteRef/>
      </w:r>
      <w:r>
        <w:t xml:space="preserve"> </w:t>
      </w:r>
      <w:r>
        <w:tab/>
      </w:r>
      <w:r w:rsidR="0016281D">
        <w:rPr>
          <w:color w:val="000000"/>
          <w:lang w:eastAsia="en-GB"/>
        </w:rPr>
        <w:t xml:space="preserve">Despite the lack of authorization, the author took part in the mass event on 19 February 2017. </w:t>
      </w:r>
      <w:r w:rsidRPr="00A21179">
        <w:rPr>
          <w:color w:val="000000"/>
          <w:lang w:eastAsia="en-GB"/>
        </w:rPr>
        <w:t xml:space="preserve">On 15 March 2017, the Central </w:t>
      </w:r>
      <w:r>
        <w:rPr>
          <w:color w:val="000000"/>
          <w:lang w:eastAsia="en-GB"/>
        </w:rPr>
        <w:t>D</w:t>
      </w:r>
      <w:r w:rsidRPr="00A21179">
        <w:rPr>
          <w:color w:val="000000"/>
          <w:lang w:eastAsia="en-GB"/>
        </w:rPr>
        <w:t xml:space="preserve">istrict </w:t>
      </w:r>
      <w:r>
        <w:rPr>
          <w:color w:val="000000"/>
          <w:lang w:eastAsia="en-GB"/>
        </w:rPr>
        <w:t>C</w:t>
      </w:r>
      <w:r w:rsidRPr="00A21179">
        <w:rPr>
          <w:color w:val="000000"/>
          <w:lang w:eastAsia="en-GB"/>
        </w:rPr>
        <w:t xml:space="preserve">ourt in Gomel </w:t>
      </w:r>
      <w:r>
        <w:rPr>
          <w:color w:val="000000"/>
          <w:lang w:eastAsia="en-GB"/>
        </w:rPr>
        <w:t xml:space="preserve">subjected the author to </w:t>
      </w:r>
      <w:r w:rsidR="00BE4745">
        <w:rPr>
          <w:color w:val="000000"/>
          <w:lang w:eastAsia="en-GB"/>
        </w:rPr>
        <w:t>three</w:t>
      </w:r>
      <w:r>
        <w:rPr>
          <w:color w:val="000000"/>
          <w:lang w:eastAsia="en-GB"/>
        </w:rPr>
        <w:t xml:space="preserve"> days </w:t>
      </w:r>
      <w:r w:rsidR="00BE4745">
        <w:rPr>
          <w:color w:val="000000"/>
          <w:lang w:eastAsia="en-GB"/>
        </w:rPr>
        <w:t xml:space="preserve">of </w:t>
      </w:r>
      <w:r>
        <w:rPr>
          <w:color w:val="000000"/>
          <w:lang w:eastAsia="en-GB"/>
        </w:rPr>
        <w:t xml:space="preserve">administrative detention and </w:t>
      </w:r>
      <w:r w:rsidRPr="00A21179">
        <w:rPr>
          <w:color w:val="000000"/>
          <w:lang w:eastAsia="en-GB"/>
        </w:rPr>
        <w:t xml:space="preserve">fined </w:t>
      </w:r>
      <w:r>
        <w:rPr>
          <w:color w:val="000000"/>
          <w:lang w:eastAsia="en-GB"/>
        </w:rPr>
        <w:t>him</w:t>
      </w:r>
      <w:r w:rsidRPr="00A21179">
        <w:rPr>
          <w:color w:val="000000"/>
          <w:lang w:eastAsia="en-GB"/>
        </w:rPr>
        <w:t xml:space="preserve"> </w:t>
      </w:r>
      <w:r w:rsidR="0004146B">
        <w:rPr>
          <w:color w:val="000000"/>
          <w:lang w:eastAsia="en-GB"/>
        </w:rPr>
        <w:t>in</w:t>
      </w:r>
      <w:r w:rsidRPr="00A21179">
        <w:rPr>
          <w:color w:val="000000"/>
          <w:lang w:eastAsia="en-GB"/>
        </w:rPr>
        <w:t xml:space="preserve"> </w:t>
      </w:r>
      <w:r>
        <w:rPr>
          <w:color w:val="000000"/>
          <w:lang w:eastAsia="en-GB"/>
        </w:rPr>
        <w:t xml:space="preserve">the amount equal to </w:t>
      </w:r>
      <w:r w:rsidRPr="00A21179">
        <w:rPr>
          <w:color w:val="000000"/>
          <w:lang w:eastAsia="en-GB"/>
        </w:rPr>
        <w:t>255 EUR. The author did not appeal this decision.</w:t>
      </w:r>
      <w:r>
        <w:t xml:space="preserve"> </w:t>
      </w:r>
    </w:p>
  </w:footnote>
  <w:footnote w:id="6">
    <w:p w14:paraId="1C1B01B6" w14:textId="473C63EC" w:rsidR="00C30E8F" w:rsidRDefault="00C30E8F" w:rsidP="004411CC">
      <w:pPr>
        <w:pStyle w:val="FootnoteText"/>
        <w:jc w:val="both"/>
      </w:pPr>
      <w:r>
        <w:tab/>
      </w:r>
      <w:r>
        <w:rPr>
          <w:rStyle w:val="FootnoteReference"/>
        </w:rPr>
        <w:footnoteRef/>
      </w:r>
      <w:r>
        <w:t xml:space="preserve"> </w:t>
      </w:r>
      <w:r>
        <w:tab/>
        <w:t xml:space="preserve">In relation to communication No. </w:t>
      </w:r>
      <w:r w:rsidR="00F02EA2">
        <w:t>2579/2015</w:t>
      </w:r>
      <w:r>
        <w:t xml:space="preserve">. </w:t>
      </w:r>
    </w:p>
  </w:footnote>
  <w:footnote w:id="7">
    <w:p w14:paraId="531D76F6" w14:textId="4A94AC4D" w:rsidR="00C30E8F" w:rsidRDefault="00C30E8F" w:rsidP="004411CC">
      <w:pPr>
        <w:pStyle w:val="FootnoteText"/>
        <w:jc w:val="both"/>
      </w:pPr>
      <w:r>
        <w:tab/>
      </w:r>
      <w:r>
        <w:rPr>
          <w:rStyle w:val="FootnoteReference"/>
        </w:rPr>
        <w:footnoteRef/>
      </w:r>
      <w:r>
        <w:t xml:space="preserve"> </w:t>
      </w:r>
      <w:r>
        <w:tab/>
        <w:t xml:space="preserve">In relation to communication No. </w:t>
      </w:r>
      <w:r w:rsidR="00F21D5E">
        <w:t>2968</w:t>
      </w:r>
      <w:r>
        <w:t>/2017.</w:t>
      </w:r>
    </w:p>
  </w:footnote>
  <w:footnote w:id="8">
    <w:p w14:paraId="2C699F06" w14:textId="43042B4F" w:rsidR="00C30E8F" w:rsidRDefault="00C30E8F" w:rsidP="004411CC">
      <w:pPr>
        <w:pStyle w:val="FootnoteText"/>
        <w:jc w:val="both"/>
      </w:pPr>
      <w:r>
        <w:tab/>
      </w:r>
      <w:r>
        <w:rPr>
          <w:rStyle w:val="FootnoteReference"/>
        </w:rPr>
        <w:footnoteRef/>
      </w:r>
      <w:r>
        <w:t xml:space="preserve"> </w:t>
      </w:r>
      <w:r>
        <w:tab/>
        <w:t>In relation to communication No. 3</w:t>
      </w:r>
      <w:r w:rsidR="00F21D5E">
        <w:t>05</w:t>
      </w:r>
      <w:r>
        <w:t>7/201</w:t>
      </w:r>
      <w:r w:rsidR="00F21D5E">
        <w:t>7</w:t>
      </w:r>
      <w:r>
        <w:t>.</w:t>
      </w:r>
    </w:p>
  </w:footnote>
  <w:footnote w:id="9">
    <w:p w14:paraId="61B63542" w14:textId="064F92C9" w:rsidR="00F21D5E" w:rsidRPr="00F21D5E" w:rsidRDefault="00F21D5E">
      <w:pPr>
        <w:pStyle w:val="FootnoteText"/>
        <w:rPr>
          <w:lang w:val="en-US"/>
        </w:rPr>
      </w:pPr>
      <w:r>
        <w:tab/>
      </w:r>
      <w:r>
        <w:rPr>
          <w:rStyle w:val="FootnoteReference"/>
        </w:rPr>
        <w:footnoteRef/>
      </w:r>
      <w:r>
        <w:tab/>
        <w:t xml:space="preserve">In relation to communication No. 3059/2017. </w:t>
      </w:r>
    </w:p>
  </w:footnote>
  <w:footnote w:id="10">
    <w:p w14:paraId="6B0672FB" w14:textId="3AA097F3" w:rsidR="00C30E8F" w:rsidRDefault="00C30E8F" w:rsidP="004411CC">
      <w:pPr>
        <w:pStyle w:val="FootnoteText"/>
        <w:jc w:val="both"/>
      </w:pPr>
      <w:r>
        <w:tab/>
      </w:r>
      <w:r>
        <w:rPr>
          <w:rStyle w:val="FootnoteReference"/>
        </w:rPr>
        <w:footnoteRef/>
      </w:r>
      <w:r>
        <w:t xml:space="preserve"> </w:t>
      </w:r>
      <w:r>
        <w:tab/>
        <w:t>In relation to communication No. 3</w:t>
      </w:r>
      <w:r w:rsidR="00F21D5E">
        <w:t>099</w:t>
      </w:r>
      <w:r>
        <w:t>/2018.</w:t>
      </w:r>
    </w:p>
  </w:footnote>
  <w:footnote w:id="11">
    <w:p w14:paraId="7B5CA87E" w14:textId="51F3AEED" w:rsidR="005C7BA5" w:rsidRPr="005C7BA5" w:rsidRDefault="005C7BA5">
      <w:pPr>
        <w:pStyle w:val="FootnoteText"/>
        <w:rPr>
          <w:lang w:val="en-US"/>
        </w:rPr>
      </w:pPr>
      <w:r>
        <w:tab/>
      </w:r>
      <w:r>
        <w:rPr>
          <w:rStyle w:val="FootnoteReference"/>
        </w:rPr>
        <w:footnoteRef/>
      </w:r>
      <w:r>
        <w:tab/>
        <w:t xml:space="preserve">In relation to communication No. 3234/2018. </w:t>
      </w:r>
    </w:p>
  </w:footnote>
  <w:footnote w:id="12">
    <w:p w14:paraId="71760429" w14:textId="7D2BB597" w:rsidR="00C30E8F" w:rsidRDefault="00C30E8F" w:rsidP="004411CC">
      <w:pPr>
        <w:pStyle w:val="FootnoteText"/>
        <w:jc w:val="both"/>
      </w:pPr>
      <w:r>
        <w:tab/>
      </w:r>
      <w:r>
        <w:rPr>
          <w:rStyle w:val="FootnoteReference"/>
        </w:rPr>
        <w:footnoteRef/>
      </w:r>
      <w:r>
        <w:t xml:space="preserve"> </w:t>
      </w:r>
      <w:r>
        <w:tab/>
        <w:t>In communication no. 2</w:t>
      </w:r>
      <w:r w:rsidR="00C966D5">
        <w:t>579</w:t>
      </w:r>
      <w:r>
        <w:t>/201</w:t>
      </w:r>
      <w:r w:rsidR="00C966D5">
        <w:t>5</w:t>
      </w:r>
      <w:r>
        <w:t>.</w:t>
      </w:r>
    </w:p>
  </w:footnote>
  <w:footnote w:id="13">
    <w:p w14:paraId="578A9832" w14:textId="348A8A85" w:rsidR="00C30E8F" w:rsidRDefault="00C30E8F" w:rsidP="004411CC">
      <w:pPr>
        <w:pStyle w:val="FootnoteText"/>
        <w:jc w:val="both"/>
      </w:pPr>
      <w:r>
        <w:tab/>
      </w:r>
      <w:r>
        <w:rPr>
          <w:rStyle w:val="FootnoteReference"/>
        </w:rPr>
        <w:footnoteRef/>
      </w:r>
      <w:r>
        <w:t xml:space="preserve"> </w:t>
      </w:r>
      <w:r>
        <w:tab/>
        <w:t xml:space="preserve">In communication no. </w:t>
      </w:r>
      <w:r w:rsidR="00C966D5">
        <w:t>2968</w:t>
      </w:r>
      <w:r>
        <w:t xml:space="preserve">/2017. </w:t>
      </w:r>
    </w:p>
  </w:footnote>
  <w:footnote w:id="14">
    <w:p w14:paraId="7AFDA761" w14:textId="7422FEFD" w:rsidR="00C30E8F" w:rsidRDefault="00C30E8F" w:rsidP="004411CC">
      <w:pPr>
        <w:pStyle w:val="FootnoteText"/>
        <w:jc w:val="both"/>
      </w:pPr>
      <w:r>
        <w:tab/>
      </w:r>
      <w:r>
        <w:rPr>
          <w:rStyle w:val="FootnoteReference"/>
        </w:rPr>
        <w:footnoteRef/>
      </w:r>
      <w:r>
        <w:t xml:space="preserve"> </w:t>
      </w:r>
      <w:r>
        <w:tab/>
        <w:t xml:space="preserve">In communication no. </w:t>
      </w:r>
      <w:r w:rsidR="00C966D5">
        <w:t>3057/2017</w:t>
      </w:r>
      <w:r>
        <w:t>.</w:t>
      </w:r>
    </w:p>
  </w:footnote>
  <w:footnote w:id="15">
    <w:p w14:paraId="7460A70E" w14:textId="6EAE082D" w:rsidR="00C966D5" w:rsidRPr="00C966D5" w:rsidRDefault="00C966D5">
      <w:pPr>
        <w:pStyle w:val="FootnoteText"/>
        <w:rPr>
          <w:lang w:val="en-US"/>
        </w:rPr>
      </w:pPr>
      <w:r>
        <w:tab/>
      </w:r>
      <w:r>
        <w:rPr>
          <w:rStyle w:val="FootnoteReference"/>
        </w:rPr>
        <w:footnoteRef/>
      </w:r>
      <w:r>
        <w:tab/>
      </w:r>
      <w:r>
        <w:tab/>
        <w:t xml:space="preserve">In communication 3099/2018. </w:t>
      </w:r>
    </w:p>
  </w:footnote>
  <w:footnote w:id="16">
    <w:p w14:paraId="700B1FAF" w14:textId="5747A90C" w:rsidR="00C30E8F" w:rsidRDefault="00C30E8F" w:rsidP="004411CC">
      <w:pPr>
        <w:pStyle w:val="FootnoteText"/>
        <w:jc w:val="both"/>
      </w:pPr>
      <w:r>
        <w:tab/>
      </w:r>
      <w:r>
        <w:rPr>
          <w:rStyle w:val="FootnoteReference"/>
        </w:rPr>
        <w:footnoteRef/>
      </w:r>
      <w:r>
        <w:t xml:space="preserve"> </w:t>
      </w:r>
      <w:r>
        <w:tab/>
        <w:t>In communication no. 3</w:t>
      </w:r>
      <w:r w:rsidR="00C966D5">
        <w:t>234</w:t>
      </w:r>
      <w:r>
        <w:t>/201</w:t>
      </w:r>
      <w:r w:rsidR="00C966D5">
        <w:t>8</w:t>
      </w:r>
      <w:r>
        <w:t>.</w:t>
      </w:r>
    </w:p>
  </w:footnote>
  <w:footnote w:id="17">
    <w:p w14:paraId="3A5BA555" w14:textId="77777777" w:rsidR="002876C0" w:rsidRDefault="002876C0" w:rsidP="002876C0">
      <w:pPr>
        <w:pStyle w:val="FootnoteText"/>
        <w:jc w:val="both"/>
      </w:pPr>
      <w:r>
        <w:tab/>
      </w:r>
      <w:r>
        <w:rPr>
          <w:rStyle w:val="FootnoteReference"/>
        </w:rPr>
        <w:footnoteRef/>
      </w:r>
      <w:r>
        <w:t xml:space="preserve"> </w:t>
      </w:r>
      <w:r>
        <w:tab/>
        <w:t>The authors refer to the European Commission’s for Democracy through Law (Venice Commission) and the OSCE Office’s for Democratic Institutions and Human Rights joint opinion “On the Law on Mass Events of the Republic of Belarus”, adopted by the Venice Commission at its 90th Plenary Session (Venice, 16-17 March 2012).</w:t>
      </w:r>
    </w:p>
  </w:footnote>
  <w:footnote w:id="18">
    <w:p w14:paraId="79632345" w14:textId="77777777" w:rsidR="00650612" w:rsidRDefault="00650612" w:rsidP="002876C0">
      <w:pPr>
        <w:pStyle w:val="FootnoteText"/>
        <w:jc w:val="both"/>
        <w:rPr>
          <w:lang w:val="en-US"/>
        </w:rPr>
      </w:pPr>
      <w:r>
        <w:tab/>
      </w:r>
      <w:r>
        <w:rPr>
          <w:rStyle w:val="FootnoteReference"/>
        </w:rPr>
        <w:footnoteRef/>
      </w:r>
      <w:r>
        <w:t xml:space="preserve"> </w:t>
      </w:r>
      <w:r>
        <w:tab/>
        <w:t xml:space="preserve">Reference is made to </w:t>
      </w:r>
      <w:proofErr w:type="spellStart"/>
      <w:r>
        <w:rPr>
          <w:i/>
          <w:iCs/>
        </w:rPr>
        <w:t>Kirsanov</w:t>
      </w:r>
      <w:proofErr w:type="spellEnd"/>
      <w:r>
        <w:rPr>
          <w:i/>
          <w:iCs/>
        </w:rPr>
        <w:t xml:space="preserve"> v. Belarus</w:t>
      </w:r>
      <w:r>
        <w:t xml:space="preserve"> (CCPR/C/110/D/1864/2009); </w:t>
      </w:r>
      <w:r>
        <w:rPr>
          <w:i/>
          <w:iCs/>
        </w:rPr>
        <w:t>Kuznetsov et al. v. Belarus</w:t>
      </w:r>
      <w:r>
        <w:t xml:space="preserve"> (CCPR/C/111/D/1976/2010); </w:t>
      </w:r>
      <w:proofErr w:type="spellStart"/>
      <w:r>
        <w:rPr>
          <w:i/>
          <w:iCs/>
        </w:rPr>
        <w:t>Evrezov</w:t>
      </w:r>
      <w:proofErr w:type="spellEnd"/>
      <w:r>
        <w:rPr>
          <w:i/>
          <w:iCs/>
        </w:rPr>
        <w:t xml:space="preserve"> v. Belarus</w:t>
      </w:r>
      <w:r>
        <w:t xml:space="preserve"> (CCPR/C/114/D/1988/2010); </w:t>
      </w:r>
      <w:proofErr w:type="spellStart"/>
      <w:r>
        <w:rPr>
          <w:i/>
          <w:iCs/>
        </w:rPr>
        <w:t>Sudalenko</w:t>
      </w:r>
      <w:proofErr w:type="spellEnd"/>
      <w:r>
        <w:rPr>
          <w:i/>
          <w:iCs/>
        </w:rPr>
        <w:t xml:space="preserve"> v. Belarus</w:t>
      </w:r>
      <w:r>
        <w:t xml:space="preserve"> (CCPR/C/113/D/1992/2010); </w:t>
      </w:r>
      <w:proofErr w:type="spellStart"/>
      <w:r>
        <w:rPr>
          <w:i/>
        </w:rPr>
        <w:t>Evrezov</w:t>
      </w:r>
      <w:proofErr w:type="spellEnd"/>
      <w:r>
        <w:rPr>
          <w:i/>
          <w:iCs/>
        </w:rPr>
        <w:t xml:space="preserve"> et al. v. Belarus</w:t>
      </w:r>
      <w:r>
        <w:t xml:space="preserve"> (CCPR/C/112/D/1999/2010); and </w:t>
      </w:r>
      <w:r>
        <w:rPr>
          <w:i/>
          <w:iCs/>
        </w:rPr>
        <w:t>Poliakov v. Belarus</w:t>
      </w:r>
      <w:r>
        <w:t xml:space="preserve"> (CCPR/C/111/D/2030/2011).</w:t>
      </w:r>
    </w:p>
  </w:footnote>
  <w:footnote w:id="19">
    <w:p w14:paraId="428FCB6D" w14:textId="77777777" w:rsidR="00F94AC7" w:rsidRPr="00C81F8B" w:rsidRDefault="00F94AC7" w:rsidP="00F94AC7">
      <w:pPr>
        <w:pStyle w:val="FootnoteText"/>
        <w:rPr>
          <w:szCs w:val="18"/>
          <w:lang w:val="es-ES"/>
        </w:rPr>
      </w:pPr>
      <w:r w:rsidRPr="00AB5D75">
        <w:rPr>
          <w:szCs w:val="18"/>
        </w:rPr>
        <w:tab/>
      </w:r>
      <w:r w:rsidRPr="00AB5D75">
        <w:rPr>
          <w:rStyle w:val="FootnoteReference"/>
          <w:szCs w:val="18"/>
        </w:rPr>
        <w:footnoteRef/>
      </w:r>
      <w:r w:rsidRPr="00AB5D75">
        <w:rPr>
          <w:szCs w:val="18"/>
        </w:rPr>
        <w:tab/>
        <w:t xml:space="preserve">See, </w:t>
      </w:r>
      <w:r>
        <w:rPr>
          <w:szCs w:val="18"/>
        </w:rPr>
        <w:t>for example</w:t>
      </w:r>
      <w:r w:rsidRPr="00AB5D75">
        <w:rPr>
          <w:szCs w:val="18"/>
        </w:rPr>
        <w:t>, communications Nos. 1867/2009, 1936/2010, 1975/2010, 1977/2010</w:t>
      </w:r>
      <w:r>
        <w:rPr>
          <w:szCs w:val="18"/>
        </w:rPr>
        <w:t>-</w:t>
      </w:r>
      <w:r w:rsidRPr="00AB5D75">
        <w:rPr>
          <w:szCs w:val="18"/>
        </w:rPr>
        <w:t xml:space="preserve"> 1981/2010 and 2010/2010, </w:t>
      </w:r>
      <w:proofErr w:type="spellStart"/>
      <w:r w:rsidRPr="00AB5D75">
        <w:rPr>
          <w:i/>
          <w:szCs w:val="18"/>
        </w:rPr>
        <w:t>Levinov</w:t>
      </w:r>
      <w:proofErr w:type="spellEnd"/>
      <w:r w:rsidRPr="00AB5D75">
        <w:rPr>
          <w:i/>
          <w:szCs w:val="18"/>
        </w:rPr>
        <w:t xml:space="preserve"> v. Belarus,</w:t>
      </w:r>
      <w:r w:rsidRPr="00AB5D75">
        <w:rPr>
          <w:szCs w:val="18"/>
        </w:rPr>
        <w:t xml:space="preserve"> Views adopted on</w:t>
      </w:r>
      <w:r w:rsidRPr="00AB5D75">
        <w:rPr>
          <w:b/>
          <w:szCs w:val="18"/>
        </w:rPr>
        <w:t xml:space="preserve"> </w:t>
      </w:r>
      <w:r w:rsidRPr="00AB5D75">
        <w:rPr>
          <w:szCs w:val="18"/>
        </w:rPr>
        <w:t>19</w:t>
      </w:r>
      <w:r>
        <w:rPr>
          <w:szCs w:val="18"/>
        </w:rPr>
        <w:t> </w:t>
      </w:r>
      <w:r w:rsidRPr="00AB5D75">
        <w:rPr>
          <w:szCs w:val="18"/>
        </w:rPr>
        <w:t xml:space="preserve">July 2012, para. 8.2 and No. 869/1999, </w:t>
      </w:r>
      <w:proofErr w:type="spellStart"/>
      <w:r w:rsidRPr="00AB5D75">
        <w:rPr>
          <w:i/>
          <w:szCs w:val="18"/>
        </w:rPr>
        <w:t>Piandiong</w:t>
      </w:r>
      <w:proofErr w:type="spellEnd"/>
      <w:r w:rsidRPr="00AB5D75">
        <w:rPr>
          <w:i/>
          <w:szCs w:val="18"/>
        </w:rPr>
        <w:t xml:space="preserve"> et al. v. the Philippines</w:t>
      </w:r>
      <w:r w:rsidRPr="00AB5D75">
        <w:rPr>
          <w:szCs w:val="18"/>
        </w:rPr>
        <w:t xml:space="preserve">, Views adopted on 19 October 2000, para. </w:t>
      </w:r>
      <w:r w:rsidRPr="00C81F8B">
        <w:rPr>
          <w:szCs w:val="18"/>
          <w:lang w:val="es-ES"/>
        </w:rPr>
        <w:t>5.1.</w:t>
      </w:r>
    </w:p>
  </w:footnote>
  <w:footnote w:id="20">
    <w:p w14:paraId="177C52B4" w14:textId="77777777" w:rsidR="00C30E8F" w:rsidRPr="00B82C14" w:rsidRDefault="00C30E8F" w:rsidP="008E1621">
      <w:pPr>
        <w:pStyle w:val="FootnoteText"/>
        <w:rPr>
          <w:lang w:val="pt-PT"/>
        </w:rPr>
      </w:pPr>
      <w:r w:rsidRPr="00C81F8B">
        <w:rPr>
          <w:lang w:val="es-ES"/>
        </w:rPr>
        <w:tab/>
      </w:r>
      <w:r>
        <w:rPr>
          <w:rStyle w:val="FootnoteReference"/>
        </w:rPr>
        <w:footnoteRef/>
      </w:r>
      <w:r w:rsidRPr="00C81F8B">
        <w:rPr>
          <w:lang w:val="es-ES"/>
        </w:rPr>
        <w:tab/>
      </w:r>
      <w:proofErr w:type="spellStart"/>
      <w:r w:rsidR="001D416F" w:rsidRPr="00C81F8B">
        <w:rPr>
          <w:i/>
          <w:iCs/>
          <w:lang w:val="es-ES"/>
        </w:rPr>
        <w:t>Grygory</w:t>
      </w:r>
      <w:proofErr w:type="spellEnd"/>
      <w:r w:rsidR="001D416F" w:rsidRPr="00C81F8B">
        <w:rPr>
          <w:i/>
          <w:iCs/>
          <w:lang w:val="es-ES"/>
        </w:rPr>
        <w:t xml:space="preserve"> </w:t>
      </w:r>
      <w:proofErr w:type="spellStart"/>
      <w:r w:rsidR="001D416F" w:rsidRPr="00C81F8B">
        <w:rPr>
          <w:i/>
          <w:iCs/>
          <w:lang w:val="es-ES"/>
        </w:rPr>
        <w:t>Gryk</w:t>
      </w:r>
      <w:proofErr w:type="spellEnd"/>
      <w:r w:rsidR="001D416F" w:rsidRPr="00C81F8B">
        <w:rPr>
          <w:i/>
          <w:iCs/>
          <w:lang w:val="es-ES"/>
        </w:rPr>
        <w:t xml:space="preserve"> v. Belarus</w:t>
      </w:r>
      <w:r w:rsidR="001D416F" w:rsidRPr="00C81F8B">
        <w:rPr>
          <w:lang w:val="es-ES"/>
        </w:rPr>
        <w:t xml:space="preserve"> (CCPR/C/</w:t>
      </w:r>
      <w:r w:rsidR="001D416F" w:rsidRPr="008E1621">
        <w:t>136</w:t>
      </w:r>
      <w:r w:rsidR="001D416F" w:rsidRPr="00C81F8B">
        <w:rPr>
          <w:lang w:val="es-ES"/>
        </w:rPr>
        <w:t xml:space="preserve">/D/2961/2017), para. 6.3; </w:t>
      </w:r>
      <w:proofErr w:type="spellStart"/>
      <w:r w:rsidR="001D416F" w:rsidRPr="00C81F8B">
        <w:rPr>
          <w:i/>
          <w:iCs/>
          <w:lang w:val="es-ES"/>
        </w:rPr>
        <w:t>Andrei</w:t>
      </w:r>
      <w:proofErr w:type="spellEnd"/>
      <w:r w:rsidR="001D416F" w:rsidRPr="00C81F8B">
        <w:rPr>
          <w:i/>
          <w:iCs/>
          <w:lang w:val="es-ES"/>
        </w:rPr>
        <w:t xml:space="preserve"> </w:t>
      </w:r>
      <w:proofErr w:type="spellStart"/>
      <w:r w:rsidR="001D416F" w:rsidRPr="00C81F8B">
        <w:rPr>
          <w:i/>
          <w:iCs/>
          <w:lang w:val="es-ES"/>
        </w:rPr>
        <w:t>Tolchin</w:t>
      </w:r>
      <w:proofErr w:type="spellEnd"/>
      <w:r w:rsidR="001D416F" w:rsidRPr="00C81F8B">
        <w:rPr>
          <w:i/>
          <w:iCs/>
          <w:lang w:val="es-ES"/>
        </w:rPr>
        <w:t xml:space="preserve"> v. Belarus</w:t>
      </w:r>
      <w:r w:rsidR="001D416F" w:rsidRPr="00C81F8B">
        <w:rPr>
          <w:lang w:val="es-ES"/>
        </w:rPr>
        <w:t xml:space="preserve"> (CCPR/C/135/D/3241/2018), para. 6.3; </w:t>
      </w:r>
      <w:proofErr w:type="spellStart"/>
      <w:r w:rsidR="001D416F" w:rsidRPr="00C81F8B">
        <w:rPr>
          <w:i/>
          <w:iCs/>
          <w:lang w:val="es-ES"/>
        </w:rPr>
        <w:t>Natalya</w:t>
      </w:r>
      <w:proofErr w:type="spellEnd"/>
      <w:r w:rsidR="001D416F" w:rsidRPr="00C81F8B">
        <w:rPr>
          <w:i/>
          <w:iCs/>
          <w:lang w:val="es-ES"/>
        </w:rPr>
        <w:t xml:space="preserve"> </w:t>
      </w:r>
      <w:proofErr w:type="spellStart"/>
      <w:r w:rsidR="001D416F" w:rsidRPr="00C81F8B">
        <w:rPr>
          <w:i/>
          <w:iCs/>
          <w:lang w:val="es-ES"/>
        </w:rPr>
        <w:t>Shchukina</w:t>
      </w:r>
      <w:proofErr w:type="spellEnd"/>
      <w:r w:rsidR="001D416F" w:rsidRPr="00C81F8B">
        <w:rPr>
          <w:i/>
          <w:iCs/>
          <w:lang w:val="es-ES"/>
        </w:rPr>
        <w:t xml:space="preserve"> v. Belarus</w:t>
      </w:r>
      <w:r w:rsidR="001D416F" w:rsidRPr="00C81F8B">
        <w:rPr>
          <w:lang w:val="es-ES"/>
        </w:rPr>
        <w:t xml:space="preserve"> (CCPR/C/134/D/3242/2018), para. </w:t>
      </w:r>
      <w:r w:rsidR="001D416F" w:rsidRPr="00B82C14">
        <w:rPr>
          <w:lang w:val="pt-PT"/>
        </w:rPr>
        <w:t>6.3.</w:t>
      </w:r>
    </w:p>
  </w:footnote>
  <w:footnote w:id="21">
    <w:p w14:paraId="177D755F" w14:textId="77777777" w:rsidR="00C30E8F" w:rsidRPr="00770C55" w:rsidRDefault="00C30E8F" w:rsidP="008E1621">
      <w:pPr>
        <w:pStyle w:val="FootnoteText"/>
      </w:pPr>
      <w:r w:rsidRPr="00B82C14">
        <w:rPr>
          <w:lang w:val="pt-PT"/>
        </w:rPr>
        <w:tab/>
      </w:r>
      <w:r w:rsidRPr="00654CF8">
        <w:rPr>
          <w:rStyle w:val="FootnoteReference"/>
        </w:rPr>
        <w:footnoteRef/>
      </w:r>
      <w:r w:rsidRPr="00B82C14">
        <w:rPr>
          <w:lang w:val="pt-PT"/>
        </w:rPr>
        <w:tab/>
      </w:r>
      <w:r w:rsidRPr="00B82C14">
        <w:rPr>
          <w:i/>
          <w:iCs/>
          <w:lang w:val="pt-PT"/>
        </w:rPr>
        <w:t>Poliakov v. Belarus</w:t>
      </w:r>
      <w:r w:rsidRPr="00B82C14">
        <w:rPr>
          <w:lang w:val="pt-PT"/>
        </w:rPr>
        <w:t xml:space="preserve"> (CCPR/C/111/D/2030/2011), para. 7.4.; </w:t>
      </w:r>
      <w:r w:rsidRPr="00B82C14">
        <w:rPr>
          <w:i/>
          <w:iCs/>
          <w:lang w:val="pt-PT"/>
        </w:rPr>
        <w:t>Zhukovsky v. Belarus</w:t>
      </w:r>
      <w:r w:rsidRPr="00B82C14">
        <w:rPr>
          <w:lang w:val="pt-PT"/>
        </w:rPr>
        <w:t xml:space="preserve"> (CCPR/C/127/D/2724/2016), para. </w:t>
      </w:r>
      <w:r w:rsidRPr="00770C55">
        <w:t>6.4.</w:t>
      </w:r>
    </w:p>
  </w:footnote>
  <w:footnote w:id="22">
    <w:p w14:paraId="4BA077CB" w14:textId="77777777" w:rsidR="00F84E5E" w:rsidRPr="004554CF" w:rsidRDefault="00F84E5E" w:rsidP="008E1621">
      <w:pPr>
        <w:pStyle w:val="FootnoteText"/>
      </w:pPr>
      <w:r>
        <w:tab/>
      </w:r>
      <w:r>
        <w:rPr>
          <w:rStyle w:val="FootnoteReference"/>
        </w:rPr>
        <w:footnoteRef/>
      </w:r>
      <w:r>
        <w:tab/>
        <w:t xml:space="preserve">General comment No. 37 (2020) on the right of peaceful assembly (article 21), para. </w:t>
      </w:r>
      <w:r w:rsidRPr="004554CF">
        <w:t>55.</w:t>
      </w:r>
    </w:p>
  </w:footnote>
  <w:footnote w:id="23">
    <w:p w14:paraId="204447F5" w14:textId="77777777" w:rsidR="00F84E5E" w:rsidRPr="002956FF" w:rsidRDefault="00F84E5E" w:rsidP="00F84E5E">
      <w:pPr>
        <w:pStyle w:val="FootnoteText"/>
        <w:rPr>
          <w:szCs w:val="18"/>
        </w:rPr>
      </w:pPr>
      <w:r>
        <w:rPr>
          <w:szCs w:val="18"/>
        </w:rPr>
        <w:tab/>
      </w:r>
      <w:r>
        <w:rPr>
          <w:rStyle w:val="FootnoteReference"/>
        </w:rPr>
        <w:footnoteRef/>
      </w:r>
      <w:r>
        <w:rPr>
          <w:szCs w:val="18"/>
        </w:rPr>
        <w:tab/>
        <w:t xml:space="preserve">Ibid, para. 32; see General </w:t>
      </w:r>
      <w:proofErr w:type="gramStart"/>
      <w:r>
        <w:rPr>
          <w:szCs w:val="18"/>
        </w:rPr>
        <w:t>comment</w:t>
      </w:r>
      <w:proofErr w:type="gramEnd"/>
      <w:r>
        <w:rPr>
          <w:szCs w:val="18"/>
        </w:rPr>
        <w:t xml:space="preserve"> No. 34 (2011) on the freedoms of opinion and expression, paras. </w:t>
      </w:r>
      <w:r w:rsidRPr="002956FF">
        <w:rPr>
          <w:szCs w:val="18"/>
        </w:rPr>
        <w:t xml:space="preserve">34, 37–38 and 42–43. </w:t>
      </w:r>
    </w:p>
  </w:footnote>
  <w:footnote w:id="24">
    <w:p w14:paraId="768946B6" w14:textId="77777777" w:rsidR="00F84E5E" w:rsidRPr="002956FF" w:rsidRDefault="00F84E5E" w:rsidP="00F84E5E">
      <w:pPr>
        <w:pStyle w:val="FootnoteText"/>
      </w:pPr>
      <w:r w:rsidRPr="002956FF">
        <w:tab/>
      </w:r>
      <w:r>
        <w:rPr>
          <w:rStyle w:val="FootnoteReference"/>
        </w:rPr>
        <w:footnoteRef/>
      </w:r>
      <w:r w:rsidRPr="002956FF">
        <w:t xml:space="preserve"> </w:t>
      </w:r>
      <w:r w:rsidRPr="002956FF">
        <w:tab/>
      </w:r>
      <w:r>
        <w:t>General comment No. 37 (2020) on the right of peaceful assembly (article 21</w:t>
      </w:r>
      <w:proofErr w:type="gramStart"/>
      <w:r>
        <w:t>),</w:t>
      </w:r>
      <w:r w:rsidRPr="002956FF">
        <w:t>,</w:t>
      </w:r>
      <w:proofErr w:type="gramEnd"/>
      <w:r w:rsidRPr="002956FF">
        <w:t xml:space="preserve"> para 6.</w:t>
      </w:r>
    </w:p>
  </w:footnote>
  <w:footnote w:id="25">
    <w:p w14:paraId="0B6AA39D" w14:textId="77777777" w:rsidR="00F84E5E" w:rsidRPr="004554CF" w:rsidRDefault="00F84E5E" w:rsidP="00F84E5E">
      <w:pPr>
        <w:pStyle w:val="FootnoteText"/>
        <w:rPr>
          <w:lang w:val="es-ES"/>
        </w:rPr>
      </w:pPr>
      <w:r w:rsidRPr="002956FF">
        <w:tab/>
      </w:r>
      <w:r>
        <w:rPr>
          <w:rStyle w:val="FootnoteReference"/>
        </w:rPr>
        <w:footnoteRef/>
      </w:r>
      <w:r w:rsidRPr="004554CF">
        <w:rPr>
          <w:lang w:val="es-ES"/>
        </w:rPr>
        <w:tab/>
        <w:t>Ibid., para. 22.</w:t>
      </w:r>
    </w:p>
  </w:footnote>
  <w:footnote w:id="26">
    <w:p w14:paraId="15137C4E" w14:textId="77777777" w:rsidR="00F84E5E" w:rsidRPr="004554CF" w:rsidRDefault="00F84E5E" w:rsidP="00F84E5E">
      <w:pPr>
        <w:pStyle w:val="FootnoteText"/>
        <w:rPr>
          <w:lang w:val="es-ES"/>
        </w:rPr>
      </w:pPr>
      <w:r w:rsidRPr="004554CF">
        <w:rPr>
          <w:lang w:val="es-ES"/>
        </w:rPr>
        <w:tab/>
      </w:r>
      <w:r>
        <w:rPr>
          <w:rStyle w:val="FootnoteReference"/>
        </w:rPr>
        <w:footnoteRef/>
      </w:r>
      <w:r w:rsidRPr="004554CF">
        <w:rPr>
          <w:lang w:val="es-ES"/>
        </w:rPr>
        <w:tab/>
        <w:t>Ibid., para 36.</w:t>
      </w:r>
    </w:p>
  </w:footnote>
  <w:footnote w:id="27">
    <w:p w14:paraId="27946DA4" w14:textId="77777777" w:rsidR="00F84E5E" w:rsidRPr="00B82C14" w:rsidRDefault="00F84E5E" w:rsidP="00F84E5E">
      <w:pPr>
        <w:pStyle w:val="FootnoteText"/>
      </w:pPr>
      <w:r w:rsidRPr="004554CF">
        <w:rPr>
          <w:lang w:val="es-ES"/>
        </w:rPr>
        <w:tab/>
      </w:r>
      <w:r>
        <w:rPr>
          <w:rStyle w:val="FootnoteReference"/>
        </w:rPr>
        <w:footnoteRef/>
      </w:r>
      <w:r w:rsidRPr="004554CF">
        <w:rPr>
          <w:lang w:val="es-ES"/>
        </w:rPr>
        <w:tab/>
      </w:r>
      <w:proofErr w:type="spellStart"/>
      <w:r w:rsidRPr="004554CF">
        <w:rPr>
          <w:lang w:val="es-ES"/>
        </w:rPr>
        <w:t>See</w:t>
      </w:r>
      <w:proofErr w:type="spellEnd"/>
      <w:r w:rsidRPr="004554CF">
        <w:rPr>
          <w:lang w:val="es-ES"/>
        </w:rPr>
        <w:t xml:space="preserve"> </w:t>
      </w:r>
      <w:proofErr w:type="spellStart"/>
      <w:r w:rsidRPr="004554CF">
        <w:rPr>
          <w:i/>
          <w:iCs/>
          <w:lang w:val="es-ES" w:eastAsia="en-GB"/>
        </w:rPr>
        <w:t>Poplavny</w:t>
      </w:r>
      <w:proofErr w:type="spellEnd"/>
      <w:r w:rsidRPr="004554CF">
        <w:rPr>
          <w:i/>
          <w:iCs/>
          <w:lang w:val="es-ES" w:eastAsia="en-GB"/>
        </w:rPr>
        <w:t xml:space="preserve"> v</w:t>
      </w:r>
      <w:r w:rsidRPr="004554CF">
        <w:rPr>
          <w:lang w:val="es-ES" w:eastAsia="en-GB"/>
        </w:rPr>
        <w:t xml:space="preserve">. </w:t>
      </w:r>
      <w:r w:rsidRPr="004554CF">
        <w:rPr>
          <w:i/>
          <w:iCs/>
          <w:lang w:val="es-ES" w:eastAsia="en-GB"/>
        </w:rPr>
        <w:t>Belarus</w:t>
      </w:r>
      <w:r w:rsidRPr="004554CF">
        <w:rPr>
          <w:lang w:val="es-ES" w:eastAsia="en-GB"/>
        </w:rPr>
        <w:t xml:space="preserve"> (CCPR/C/115/D/2019/2010), para. </w:t>
      </w:r>
      <w:r w:rsidRPr="00B82C14">
        <w:rPr>
          <w:lang w:eastAsia="en-GB"/>
        </w:rPr>
        <w:t>8.4.</w:t>
      </w:r>
      <w:r w:rsidRPr="00B82C14">
        <w:t xml:space="preserve"> </w:t>
      </w:r>
    </w:p>
  </w:footnote>
  <w:footnote w:id="28">
    <w:p w14:paraId="57F85C08" w14:textId="77777777" w:rsidR="00621C54" w:rsidRDefault="00621C54" w:rsidP="00621C54">
      <w:pPr>
        <w:pStyle w:val="FootnoteText"/>
        <w:rPr>
          <w:lang w:val="pt-PT"/>
        </w:rPr>
      </w:pPr>
      <w:r>
        <w:tab/>
      </w:r>
      <w:r>
        <w:rPr>
          <w:rStyle w:val="FootnoteReference"/>
        </w:rPr>
        <w:footnoteRef/>
      </w:r>
      <w:r>
        <w:tab/>
        <w:t xml:space="preserve">General comment No. 34 (2011) on the freedoms of opinion and expression, para. </w:t>
      </w:r>
      <w:r>
        <w:rPr>
          <w:lang w:val="pt-PT"/>
        </w:rPr>
        <w:t>2.</w:t>
      </w:r>
    </w:p>
  </w:footnote>
  <w:footnote w:id="29">
    <w:p w14:paraId="6DEF89E7" w14:textId="77777777" w:rsidR="00621C54" w:rsidRDefault="00621C54" w:rsidP="00621C54">
      <w:pPr>
        <w:pStyle w:val="FootnoteText"/>
        <w:rPr>
          <w:lang w:val="pt-PT"/>
        </w:rPr>
      </w:pPr>
      <w:r>
        <w:rPr>
          <w:lang w:val="pt-PT"/>
        </w:rPr>
        <w:tab/>
      </w:r>
      <w:r>
        <w:rPr>
          <w:rStyle w:val="FootnoteReference"/>
        </w:rPr>
        <w:footnoteRef/>
      </w:r>
      <w:r>
        <w:rPr>
          <w:lang w:val="pt-PT"/>
        </w:rPr>
        <w:tab/>
      </w:r>
      <w:r>
        <w:rPr>
          <w:i/>
          <w:lang w:val="pt-PT"/>
        </w:rPr>
        <w:t>Ibid</w:t>
      </w:r>
      <w:r>
        <w:rPr>
          <w:lang w:val="pt-PT"/>
        </w:rPr>
        <w:t>., para. 34.</w:t>
      </w:r>
    </w:p>
  </w:footnote>
  <w:footnote w:id="30">
    <w:p w14:paraId="198A4B72" w14:textId="77777777" w:rsidR="00621C54" w:rsidRPr="00B82C14" w:rsidRDefault="00621C54" w:rsidP="00621C54">
      <w:pPr>
        <w:pStyle w:val="FootnoteText"/>
      </w:pPr>
      <w:r>
        <w:rPr>
          <w:lang w:val="pt-PT"/>
        </w:rPr>
        <w:tab/>
      </w:r>
      <w:r>
        <w:rPr>
          <w:rStyle w:val="FootnoteReference"/>
        </w:rPr>
        <w:footnoteRef/>
      </w:r>
      <w:r>
        <w:rPr>
          <w:lang w:val="pt-PT"/>
        </w:rPr>
        <w:tab/>
        <w:t xml:space="preserve">See, e.g., </w:t>
      </w:r>
      <w:r>
        <w:rPr>
          <w:i/>
          <w:lang w:val="pt-PT"/>
        </w:rPr>
        <w:t>Androsenko v. Belarus</w:t>
      </w:r>
      <w:r>
        <w:rPr>
          <w:lang w:val="pt-PT"/>
        </w:rPr>
        <w:t xml:space="preserve"> (CCPR/C/116/D/2092/2011), para. </w:t>
      </w:r>
      <w:r w:rsidRPr="00B82C14">
        <w:t>7.3.</w:t>
      </w:r>
    </w:p>
  </w:footnote>
  <w:footnote w:id="31">
    <w:p w14:paraId="40B4CE79" w14:textId="1148E81A" w:rsidR="002A6EDA" w:rsidRPr="002A6EDA" w:rsidRDefault="002A6EDA" w:rsidP="008E1621">
      <w:pPr>
        <w:pStyle w:val="FootnoteText"/>
        <w:rPr>
          <w:lang w:val="en-US"/>
        </w:rPr>
      </w:pPr>
      <w:r>
        <w:tab/>
      </w:r>
      <w:r>
        <w:rPr>
          <w:rStyle w:val="FootnoteReference"/>
        </w:rPr>
        <w:footnoteRef/>
      </w:r>
      <w:r>
        <w:t xml:space="preserve"> </w:t>
      </w:r>
      <w:r>
        <w:tab/>
      </w:r>
      <w:r w:rsidR="00A650C0">
        <w:t>See, e.g.</w:t>
      </w:r>
      <w:r w:rsidR="008D1C7B">
        <w:t>,</w:t>
      </w:r>
      <w:r w:rsidR="00A650C0">
        <w:t xml:space="preserve"> </w:t>
      </w:r>
      <w:proofErr w:type="spellStart"/>
      <w:r w:rsidR="00E46F94">
        <w:rPr>
          <w:i/>
        </w:rPr>
        <w:t>Sudalenko</w:t>
      </w:r>
      <w:proofErr w:type="spellEnd"/>
      <w:r w:rsidRPr="0086026C">
        <w:rPr>
          <w:i/>
        </w:rPr>
        <w:t xml:space="preserve"> v</w:t>
      </w:r>
      <w:r w:rsidR="00A67AB7">
        <w:rPr>
          <w:i/>
        </w:rPr>
        <w:t>.</w:t>
      </w:r>
      <w:r w:rsidRPr="0086026C">
        <w:rPr>
          <w:i/>
        </w:rPr>
        <w:t xml:space="preserve"> </w:t>
      </w:r>
      <w:r w:rsidRPr="008E1621">
        <w:t>Belarus</w:t>
      </w:r>
      <w:r w:rsidRPr="0086026C">
        <w:t xml:space="preserve"> (CCPR/C/1</w:t>
      </w:r>
      <w:r w:rsidR="00E46F94">
        <w:t>15</w:t>
      </w:r>
      <w:r w:rsidRPr="0086026C">
        <w:t>/D/2</w:t>
      </w:r>
      <w:r w:rsidR="00E46F94">
        <w:t>016</w:t>
      </w:r>
      <w:r w:rsidRPr="0086026C">
        <w:t>/201</w:t>
      </w:r>
      <w:r w:rsidR="00E46F94">
        <w:t>0</w:t>
      </w:r>
      <w:r w:rsidRPr="0086026C">
        <w:t xml:space="preserve">); </w:t>
      </w:r>
      <w:proofErr w:type="spellStart"/>
      <w:r w:rsidR="00E46F94">
        <w:rPr>
          <w:i/>
        </w:rPr>
        <w:t>Poplavny</w:t>
      </w:r>
      <w:proofErr w:type="spellEnd"/>
      <w:r w:rsidRPr="002A6EDA">
        <w:rPr>
          <w:i/>
        </w:rPr>
        <w:t xml:space="preserve"> v.</w:t>
      </w:r>
      <w:r>
        <w:t xml:space="preserve"> </w:t>
      </w:r>
      <w:r w:rsidRPr="002A6EDA">
        <w:rPr>
          <w:i/>
        </w:rPr>
        <w:t>Belarus</w:t>
      </w:r>
      <w:r>
        <w:t xml:space="preserve"> (</w:t>
      </w:r>
      <w:r w:rsidRPr="0086026C">
        <w:t>CCPR/C/1</w:t>
      </w:r>
      <w:r w:rsidR="00E46F94">
        <w:t>1</w:t>
      </w:r>
      <w:r w:rsidRPr="0086026C">
        <w:t>5/D/2</w:t>
      </w:r>
      <w:r w:rsidR="00E46F94">
        <w:t>019</w:t>
      </w:r>
      <w:r w:rsidRPr="0086026C">
        <w:t>/201</w:t>
      </w:r>
      <w:r w:rsidR="00E46F94">
        <w:t>0</w:t>
      </w:r>
      <w:r w:rsidRPr="0086026C">
        <w:t>)</w:t>
      </w:r>
    </w:p>
  </w:footnote>
  <w:footnote w:id="32">
    <w:p w14:paraId="7361E0B4" w14:textId="627BD61C" w:rsidR="002066D3" w:rsidRPr="00C81F8B" w:rsidRDefault="002066D3" w:rsidP="008E1621">
      <w:pPr>
        <w:pStyle w:val="FootnoteText"/>
        <w:rPr>
          <w:lang w:val="es-ES"/>
        </w:rPr>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w:t>
      </w:r>
      <w:r w:rsidRPr="00C81F8B">
        <w:rPr>
          <w:lang w:val="es-ES"/>
        </w:rPr>
        <w:t xml:space="preserve">10; </w:t>
      </w:r>
      <w:proofErr w:type="spellStart"/>
      <w:r w:rsidR="00D820CF" w:rsidRPr="00C81F8B">
        <w:rPr>
          <w:i/>
          <w:lang w:val="es-ES"/>
        </w:rPr>
        <w:t>Lobban</w:t>
      </w:r>
      <w:proofErr w:type="spellEnd"/>
      <w:r w:rsidR="00D820CF" w:rsidRPr="00C81F8B">
        <w:rPr>
          <w:i/>
          <w:lang w:val="es-ES"/>
        </w:rPr>
        <w:t xml:space="preserve"> v. Jamaica </w:t>
      </w:r>
      <w:r w:rsidR="00D820CF" w:rsidRPr="00C81F8B">
        <w:rPr>
          <w:lang w:val="es-ES"/>
        </w:rPr>
        <w:t>(CCPR/C/80/D/797/1998), para. 11</w:t>
      </w:r>
      <w:r w:rsidR="00CC3490" w:rsidRPr="00C81F8B">
        <w:rPr>
          <w:lang w:val="es-ES"/>
        </w:rPr>
        <w:t xml:space="preserve">; </w:t>
      </w:r>
      <w:proofErr w:type="spellStart"/>
      <w:r w:rsidR="00CC3490" w:rsidRPr="00C81F8B">
        <w:rPr>
          <w:i/>
          <w:iCs/>
          <w:lang w:val="es-ES"/>
        </w:rPr>
        <w:t>Shchiryakova</w:t>
      </w:r>
      <w:proofErr w:type="spellEnd"/>
      <w:r w:rsidR="00CC3490" w:rsidRPr="00C81F8B">
        <w:rPr>
          <w:i/>
          <w:iCs/>
          <w:lang w:val="es-ES"/>
        </w:rPr>
        <w:t xml:space="preserve"> et al. v. Belarus</w:t>
      </w:r>
      <w:r w:rsidR="00CC3490" w:rsidRPr="00C81F8B">
        <w:rPr>
          <w:lang w:val="es-ES"/>
        </w:rPr>
        <w:t xml:space="preserve"> (CCPR /C/137/DR/2911/2016).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ED47" w14:textId="6A11B491" w:rsidR="00C30E8F" w:rsidRPr="008E1621" w:rsidRDefault="00C30E8F" w:rsidP="00323C90">
    <w:pPr>
      <w:pStyle w:val="Header"/>
      <w:rPr>
        <w:lang w:val="fr-FR"/>
      </w:rPr>
    </w:pPr>
    <w:r w:rsidRPr="008E1621">
      <w:rPr>
        <w:lang w:val="fr-FR"/>
      </w:rPr>
      <w:t>CCPR/C</w:t>
    </w:r>
    <w:r w:rsidR="00F07E86" w:rsidRPr="008E1621" w:rsidDel="00F07E86">
      <w:rPr>
        <w:lang w:val="fr-FR"/>
      </w:rPr>
      <w:t xml:space="preserve"> </w:t>
    </w:r>
    <w:r w:rsidR="00DE48AD" w:rsidRPr="008E1621">
      <w:rPr>
        <w:lang w:val="fr-FR"/>
      </w:rPr>
      <w:t>/</w:t>
    </w:r>
    <w:r w:rsidRPr="008E1621">
      <w:rPr>
        <w:lang w:val="fr-FR"/>
      </w:rPr>
      <w:t>13</w:t>
    </w:r>
    <w:r w:rsidR="00323C90" w:rsidRPr="008E1621">
      <w:rPr>
        <w:lang w:val="fr-FR"/>
      </w:rPr>
      <w:t>8</w:t>
    </w:r>
    <w:r w:rsidRPr="008E1621">
      <w:rPr>
        <w:lang w:val="fr-FR"/>
      </w:rPr>
      <w:t>/D/2</w:t>
    </w:r>
    <w:r w:rsidR="00323C90" w:rsidRPr="008E1621">
      <w:rPr>
        <w:lang w:val="fr-FR"/>
      </w:rPr>
      <w:t>579</w:t>
    </w:r>
    <w:r w:rsidRPr="008E1621">
      <w:rPr>
        <w:lang w:val="fr-FR"/>
      </w:rPr>
      <w:t>/201</w:t>
    </w:r>
    <w:r w:rsidR="00323C90" w:rsidRPr="008E1621">
      <w:rPr>
        <w:lang w:val="fr-FR"/>
      </w:rPr>
      <w:t>5</w:t>
    </w:r>
    <w:r w:rsidRPr="008E1621">
      <w:rPr>
        <w:lang w:val="fr-FR"/>
      </w:rPr>
      <w:t xml:space="preserve">, </w:t>
    </w:r>
    <w:r w:rsidR="00323C90" w:rsidRPr="008E1621">
      <w:rPr>
        <w:lang w:val="fr-FR"/>
      </w:rPr>
      <w:t>CCPR/C</w:t>
    </w:r>
    <w:r w:rsidR="00F07E86" w:rsidRPr="008E1621" w:rsidDel="00F07E86">
      <w:rPr>
        <w:lang w:val="fr-FR"/>
      </w:rPr>
      <w:t xml:space="preserve"> </w:t>
    </w:r>
    <w:r w:rsidR="00DE48AD" w:rsidRPr="008E1621">
      <w:rPr>
        <w:lang w:val="fr-FR"/>
      </w:rPr>
      <w:t>/</w:t>
    </w:r>
    <w:r w:rsidR="00323C90" w:rsidRPr="008E1621">
      <w:rPr>
        <w:lang w:val="fr-FR"/>
      </w:rPr>
      <w:t>138/D/2968/2017</w:t>
    </w:r>
  </w:p>
  <w:p w14:paraId="0E15A276" w14:textId="1DE3029A" w:rsidR="00323C90" w:rsidRPr="008E1621" w:rsidRDefault="00323C90" w:rsidP="00323C90">
    <w:pPr>
      <w:pStyle w:val="Header"/>
      <w:rPr>
        <w:lang w:val="fr-FR"/>
      </w:rPr>
    </w:pPr>
    <w:r w:rsidRPr="008E1621">
      <w:rPr>
        <w:lang w:val="fr-FR"/>
      </w:rPr>
      <w:t>CCPR/C</w:t>
    </w:r>
    <w:r w:rsidR="00F07E86" w:rsidRPr="008E1621" w:rsidDel="00F07E86">
      <w:rPr>
        <w:lang w:val="fr-FR"/>
      </w:rPr>
      <w:t xml:space="preserve"> </w:t>
    </w:r>
    <w:r w:rsidR="00DE48AD" w:rsidRPr="008E1621">
      <w:rPr>
        <w:lang w:val="fr-FR"/>
      </w:rPr>
      <w:t>/</w:t>
    </w:r>
    <w:r w:rsidRPr="008E1621">
      <w:rPr>
        <w:lang w:val="fr-FR"/>
      </w:rPr>
      <w:t>138/D/3057/2017, CCPR/C</w:t>
    </w:r>
    <w:r w:rsidR="00F07E86" w:rsidRPr="008E1621" w:rsidDel="00F07E86">
      <w:rPr>
        <w:lang w:val="fr-FR"/>
      </w:rPr>
      <w:t xml:space="preserve"> </w:t>
    </w:r>
    <w:r w:rsidR="00DE48AD" w:rsidRPr="008E1621">
      <w:rPr>
        <w:lang w:val="fr-FR"/>
      </w:rPr>
      <w:t>/</w:t>
    </w:r>
    <w:r w:rsidRPr="008E1621">
      <w:rPr>
        <w:lang w:val="fr-FR"/>
      </w:rPr>
      <w:t>138/D/3059/2017</w:t>
    </w:r>
  </w:p>
  <w:p w14:paraId="325ED569" w14:textId="7C58839D" w:rsidR="00323C90" w:rsidRPr="0086026C" w:rsidRDefault="00323C90" w:rsidP="00323C90">
    <w:pPr>
      <w:pStyle w:val="Header"/>
    </w:pPr>
    <w:r>
      <w:t>CCPR/C</w:t>
    </w:r>
    <w:r w:rsidR="00F07E86" w:rsidDel="00F07E86">
      <w:t xml:space="preserve"> </w:t>
    </w:r>
    <w:r w:rsidR="00DE48AD">
      <w:t>/</w:t>
    </w:r>
    <w:r>
      <w:t>138/D/</w:t>
    </w:r>
    <w:r w:rsidR="00750A7A">
      <w:t>3099</w:t>
    </w:r>
    <w:r>
      <w:t>/201</w:t>
    </w:r>
    <w:r w:rsidR="00750A7A">
      <w:t>8</w:t>
    </w:r>
    <w:r w:rsidR="0035366F">
      <w:t>, CCPR/C</w:t>
    </w:r>
    <w:r w:rsidR="00F07E86" w:rsidDel="00F07E86">
      <w:t xml:space="preserve"> </w:t>
    </w:r>
    <w:r w:rsidR="00DE48AD">
      <w:t>/</w:t>
    </w:r>
    <w:r w:rsidR="0035366F">
      <w:t>138/D/3234/2018</w:t>
    </w:r>
    <w:r w:rsidR="00F07E86" w:rsidRPr="00F07E86">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3FA5" w14:textId="2DFD6CCB" w:rsidR="0077111C" w:rsidRPr="008E1621" w:rsidRDefault="0077111C" w:rsidP="0077111C">
    <w:pPr>
      <w:pStyle w:val="Header"/>
      <w:jc w:val="right"/>
      <w:rPr>
        <w:lang w:val="fr-FR"/>
      </w:rPr>
    </w:pPr>
    <w:r w:rsidRPr="008E1621">
      <w:rPr>
        <w:lang w:val="fr-FR"/>
      </w:rPr>
      <w:t>CCPR/C/</w:t>
    </w:r>
    <w:r w:rsidR="00F07E86" w:rsidRPr="008E1621" w:rsidDel="00F07E86">
      <w:rPr>
        <w:lang w:val="fr-FR"/>
      </w:rPr>
      <w:t xml:space="preserve"> </w:t>
    </w:r>
    <w:r w:rsidRPr="008E1621">
      <w:rPr>
        <w:lang w:val="fr-FR"/>
      </w:rPr>
      <w:t>138/D/2579/2015, CCPR/C/</w:t>
    </w:r>
    <w:r w:rsidR="00F07E86" w:rsidRPr="008E1621" w:rsidDel="00F07E86">
      <w:rPr>
        <w:lang w:val="fr-FR"/>
      </w:rPr>
      <w:t xml:space="preserve"> </w:t>
    </w:r>
    <w:r w:rsidRPr="008E1621">
      <w:rPr>
        <w:lang w:val="fr-FR"/>
      </w:rPr>
      <w:t>138/D/2968/2017</w:t>
    </w:r>
  </w:p>
  <w:p w14:paraId="2D0B60AE" w14:textId="633190B0" w:rsidR="0077111C" w:rsidRPr="008E1621" w:rsidRDefault="0077111C" w:rsidP="0077111C">
    <w:pPr>
      <w:pStyle w:val="Header"/>
      <w:jc w:val="right"/>
      <w:rPr>
        <w:lang w:val="fr-FR"/>
      </w:rPr>
    </w:pPr>
    <w:r w:rsidRPr="008E1621">
      <w:rPr>
        <w:lang w:val="fr-FR"/>
      </w:rPr>
      <w:t>CCPR/C/</w:t>
    </w:r>
    <w:r w:rsidR="00F07E86" w:rsidRPr="008E1621" w:rsidDel="00F07E86">
      <w:rPr>
        <w:lang w:val="fr-FR"/>
      </w:rPr>
      <w:t xml:space="preserve"> </w:t>
    </w:r>
    <w:r w:rsidRPr="008E1621">
      <w:rPr>
        <w:lang w:val="fr-FR"/>
      </w:rPr>
      <w:t>138/D/3057/2017, CCPR/C/</w:t>
    </w:r>
    <w:r w:rsidR="00F07E86" w:rsidRPr="008E1621" w:rsidDel="00F07E86">
      <w:rPr>
        <w:lang w:val="fr-FR"/>
      </w:rPr>
      <w:t xml:space="preserve"> </w:t>
    </w:r>
    <w:r w:rsidR="00DE48AD" w:rsidRPr="008E1621">
      <w:rPr>
        <w:lang w:val="fr-FR"/>
      </w:rPr>
      <w:t>/</w:t>
    </w:r>
    <w:r w:rsidRPr="008E1621">
      <w:rPr>
        <w:lang w:val="fr-FR"/>
      </w:rPr>
      <w:t>138/D/3059/2017</w:t>
    </w:r>
  </w:p>
  <w:p w14:paraId="26EB53B4" w14:textId="709BA3C9" w:rsidR="00C30E8F" w:rsidRPr="0077111C" w:rsidRDefault="0077111C" w:rsidP="0077111C">
    <w:pPr>
      <w:pStyle w:val="Header"/>
      <w:jc w:val="right"/>
    </w:pPr>
    <w:r>
      <w:t>CCPR/C/</w:t>
    </w:r>
    <w:r w:rsidR="00F07E86" w:rsidDel="00F07E86">
      <w:t xml:space="preserve"> </w:t>
    </w:r>
    <w:r>
      <w:t>138/D/3099/2018, CCPR/C/</w:t>
    </w:r>
    <w:r w:rsidR="00F07E86" w:rsidDel="00F07E86">
      <w:t xml:space="preserve"> </w:t>
    </w:r>
    <w:r w:rsidR="00DE48AD">
      <w:t>/</w:t>
    </w:r>
    <w:r>
      <w:t>138/D/3234/2018</w:t>
    </w:r>
    <w:r w:rsidR="00F07E86" w:rsidRPr="00F07E86">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0"/>
  </w:num>
  <w:num w:numId="2" w16cid:durableId="1385567621">
    <w:abstractNumId w:val="2"/>
  </w:num>
  <w:num w:numId="3" w16cid:durableId="1864780686">
    <w:abstractNumId w:val="1"/>
  </w:num>
  <w:num w:numId="4" w16cid:durableId="173165780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116D8"/>
    <w:rsid w:val="0001615D"/>
    <w:rsid w:val="000272B3"/>
    <w:rsid w:val="00027820"/>
    <w:rsid w:val="0004146B"/>
    <w:rsid w:val="0004278B"/>
    <w:rsid w:val="00050F6B"/>
    <w:rsid w:val="00053AA2"/>
    <w:rsid w:val="00054580"/>
    <w:rsid w:val="00057E97"/>
    <w:rsid w:val="0006038A"/>
    <w:rsid w:val="00060C3A"/>
    <w:rsid w:val="000631F7"/>
    <w:rsid w:val="000659A3"/>
    <w:rsid w:val="000726E9"/>
    <w:rsid w:val="00072C8C"/>
    <w:rsid w:val="000733B5"/>
    <w:rsid w:val="000809E7"/>
    <w:rsid w:val="00081815"/>
    <w:rsid w:val="00084FEE"/>
    <w:rsid w:val="00091433"/>
    <w:rsid w:val="00092201"/>
    <w:rsid w:val="000931C0"/>
    <w:rsid w:val="00093D76"/>
    <w:rsid w:val="000A3676"/>
    <w:rsid w:val="000B175B"/>
    <w:rsid w:val="000B1E65"/>
    <w:rsid w:val="000B3A0F"/>
    <w:rsid w:val="000B3F92"/>
    <w:rsid w:val="000B4EF7"/>
    <w:rsid w:val="000C23DE"/>
    <w:rsid w:val="000C2C03"/>
    <w:rsid w:val="000C2D2E"/>
    <w:rsid w:val="000D3E08"/>
    <w:rsid w:val="000D6E3E"/>
    <w:rsid w:val="000E0415"/>
    <w:rsid w:val="000E0FBA"/>
    <w:rsid w:val="000E219C"/>
    <w:rsid w:val="000F010C"/>
    <w:rsid w:val="000F54F2"/>
    <w:rsid w:val="001035CB"/>
    <w:rsid w:val="001043E5"/>
    <w:rsid w:val="00105CDA"/>
    <w:rsid w:val="001103AA"/>
    <w:rsid w:val="001105B7"/>
    <w:rsid w:val="00117928"/>
    <w:rsid w:val="001220E9"/>
    <w:rsid w:val="001277B3"/>
    <w:rsid w:val="00130335"/>
    <w:rsid w:val="00134111"/>
    <w:rsid w:val="001507E7"/>
    <w:rsid w:val="00151169"/>
    <w:rsid w:val="00153DFD"/>
    <w:rsid w:val="00154771"/>
    <w:rsid w:val="00162691"/>
    <w:rsid w:val="0016281D"/>
    <w:rsid w:val="00162FF5"/>
    <w:rsid w:val="00165F3A"/>
    <w:rsid w:val="00173423"/>
    <w:rsid w:val="00183968"/>
    <w:rsid w:val="00196948"/>
    <w:rsid w:val="001A177C"/>
    <w:rsid w:val="001A6686"/>
    <w:rsid w:val="001A7318"/>
    <w:rsid w:val="001B3B4C"/>
    <w:rsid w:val="001B4B04"/>
    <w:rsid w:val="001C3D4A"/>
    <w:rsid w:val="001C4618"/>
    <w:rsid w:val="001C6663"/>
    <w:rsid w:val="001C7895"/>
    <w:rsid w:val="001D069F"/>
    <w:rsid w:val="001D0C8C"/>
    <w:rsid w:val="001D26DF"/>
    <w:rsid w:val="001D2B6D"/>
    <w:rsid w:val="001D3A03"/>
    <w:rsid w:val="001D416F"/>
    <w:rsid w:val="001D4D05"/>
    <w:rsid w:val="001D5ADF"/>
    <w:rsid w:val="001F0F1C"/>
    <w:rsid w:val="001F4574"/>
    <w:rsid w:val="001F5DB1"/>
    <w:rsid w:val="001F740E"/>
    <w:rsid w:val="001F7565"/>
    <w:rsid w:val="0020066E"/>
    <w:rsid w:val="00202DA8"/>
    <w:rsid w:val="00205E5F"/>
    <w:rsid w:val="002066D3"/>
    <w:rsid w:val="0021124C"/>
    <w:rsid w:val="00211E0B"/>
    <w:rsid w:val="00217AAD"/>
    <w:rsid w:val="00225924"/>
    <w:rsid w:val="0023210C"/>
    <w:rsid w:val="002446E5"/>
    <w:rsid w:val="00245B81"/>
    <w:rsid w:val="002517DB"/>
    <w:rsid w:val="00255F75"/>
    <w:rsid w:val="00257A55"/>
    <w:rsid w:val="002663E6"/>
    <w:rsid w:val="00267F5F"/>
    <w:rsid w:val="00273ABE"/>
    <w:rsid w:val="00274448"/>
    <w:rsid w:val="0027543B"/>
    <w:rsid w:val="00286777"/>
    <w:rsid w:val="00286A9C"/>
    <w:rsid w:val="00286B4D"/>
    <w:rsid w:val="002876C0"/>
    <w:rsid w:val="002908ED"/>
    <w:rsid w:val="00292059"/>
    <w:rsid w:val="0029434E"/>
    <w:rsid w:val="002A453B"/>
    <w:rsid w:val="002A6EDA"/>
    <w:rsid w:val="002A76FA"/>
    <w:rsid w:val="002B4821"/>
    <w:rsid w:val="002B7A34"/>
    <w:rsid w:val="002D5CA4"/>
    <w:rsid w:val="002E3B6A"/>
    <w:rsid w:val="002E4764"/>
    <w:rsid w:val="002E7836"/>
    <w:rsid w:val="002F175C"/>
    <w:rsid w:val="002F3610"/>
    <w:rsid w:val="00303187"/>
    <w:rsid w:val="0031003E"/>
    <w:rsid w:val="00314839"/>
    <w:rsid w:val="003229D8"/>
    <w:rsid w:val="00323C90"/>
    <w:rsid w:val="003245AB"/>
    <w:rsid w:val="003270BD"/>
    <w:rsid w:val="003306B1"/>
    <w:rsid w:val="003365FE"/>
    <w:rsid w:val="00352709"/>
    <w:rsid w:val="0035366F"/>
    <w:rsid w:val="003555A1"/>
    <w:rsid w:val="003567E4"/>
    <w:rsid w:val="003653FD"/>
    <w:rsid w:val="00367567"/>
    <w:rsid w:val="00371178"/>
    <w:rsid w:val="00381C2D"/>
    <w:rsid w:val="0038336C"/>
    <w:rsid w:val="00397AFA"/>
    <w:rsid w:val="003A0B29"/>
    <w:rsid w:val="003A29AC"/>
    <w:rsid w:val="003A30F6"/>
    <w:rsid w:val="003A6810"/>
    <w:rsid w:val="003B33A0"/>
    <w:rsid w:val="003B4269"/>
    <w:rsid w:val="003C2CC4"/>
    <w:rsid w:val="003C4C1D"/>
    <w:rsid w:val="003C71D4"/>
    <w:rsid w:val="003C74C9"/>
    <w:rsid w:val="003D0B7E"/>
    <w:rsid w:val="003D4B23"/>
    <w:rsid w:val="003D6FCC"/>
    <w:rsid w:val="003E4CBC"/>
    <w:rsid w:val="003F179D"/>
    <w:rsid w:val="003F2113"/>
    <w:rsid w:val="00401648"/>
    <w:rsid w:val="00405C51"/>
    <w:rsid w:val="004076CD"/>
    <w:rsid w:val="00407EF0"/>
    <w:rsid w:val="00410C89"/>
    <w:rsid w:val="00411CA3"/>
    <w:rsid w:val="0042405B"/>
    <w:rsid w:val="00426B9B"/>
    <w:rsid w:val="004325CB"/>
    <w:rsid w:val="00436B33"/>
    <w:rsid w:val="00440341"/>
    <w:rsid w:val="004411CC"/>
    <w:rsid w:val="00442A83"/>
    <w:rsid w:val="00444DE1"/>
    <w:rsid w:val="0045063D"/>
    <w:rsid w:val="00451DF0"/>
    <w:rsid w:val="0045495B"/>
    <w:rsid w:val="004626BD"/>
    <w:rsid w:val="00467D34"/>
    <w:rsid w:val="00487488"/>
    <w:rsid w:val="00487CD7"/>
    <w:rsid w:val="00492C83"/>
    <w:rsid w:val="00492D51"/>
    <w:rsid w:val="00494412"/>
    <w:rsid w:val="00496AF0"/>
    <w:rsid w:val="00497805"/>
    <w:rsid w:val="004C4552"/>
    <w:rsid w:val="004C5677"/>
    <w:rsid w:val="004D2793"/>
    <w:rsid w:val="004D29BE"/>
    <w:rsid w:val="004D49B5"/>
    <w:rsid w:val="004E038E"/>
    <w:rsid w:val="004E2A8C"/>
    <w:rsid w:val="004E486D"/>
    <w:rsid w:val="004F5B88"/>
    <w:rsid w:val="00502356"/>
    <w:rsid w:val="00503C65"/>
    <w:rsid w:val="00505A05"/>
    <w:rsid w:val="00514965"/>
    <w:rsid w:val="005173C1"/>
    <w:rsid w:val="00520547"/>
    <w:rsid w:val="005211FC"/>
    <w:rsid w:val="0052136D"/>
    <w:rsid w:val="00522DF1"/>
    <w:rsid w:val="0052775E"/>
    <w:rsid w:val="00531002"/>
    <w:rsid w:val="00532256"/>
    <w:rsid w:val="00536539"/>
    <w:rsid w:val="005420F2"/>
    <w:rsid w:val="00550B8F"/>
    <w:rsid w:val="005628B6"/>
    <w:rsid w:val="005660F7"/>
    <w:rsid w:val="00566F21"/>
    <w:rsid w:val="00573B80"/>
    <w:rsid w:val="005848B3"/>
    <w:rsid w:val="00592A0B"/>
    <w:rsid w:val="005A0255"/>
    <w:rsid w:val="005A0884"/>
    <w:rsid w:val="005A12D1"/>
    <w:rsid w:val="005A12FA"/>
    <w:rsid w:val="005A3E5F"/>
    <w:rsid w:val="005B3DB3"/>
    <w:rsid w:val="005B540B"/>
    <w:rsid w:val="005C0B2C"/>
    <w:rsid w:val="005C1A98"/>
    <w:rsid w:val="005C7BA5"/>
    <w:rsid w:val="005D60D7"/>
    <w:rsid w:val="005E0636"/>
    <w:rsid w:val="005E06C2"/>
    <w:rsid w:val="005E16E3"/>
    <w:rsid w:val="005E29D3"/>
    <w:rsid w:val="005E311C"/>
    <w:rsid w:val="005F4D22"/>
    <w:rsid w:val="005F7717"/>
    <w:rsid w:val="005F7B75"/>
    <w:rsid w:val="006001EE"/>
    <w:rsid w:val="00605042"/>
    <w:rsid w:val="00605380"/>
    <w:rsid w:val="00611036"/>
    <w:rsid w:val="00611FC4"/>
    <w:rsid w:val="006176FB"/>
    <w:rsid w:val="00621C54"/>
    <w:rsid w:val="006229D9"/>
    <w:rsid w:val="0063059B"/>
    <w:rsid w:val="00640B26"/>
    <w:rsid w:val="00650612"/>
    <w:rsid w:val="00651DC2"/>
    <w:rsid w:val="00652D0A"/>
    <w:rsid w:val="0065657F"/>
    <w:rsid w:val="00662BB6"/>
    <w:rsid w:val="006636A1"/>
    <w:rsid w:val="00670247"/>
    <w:rsid w:val="00676E7D"/>
    <w:rsid w:val="00684C21"/>
    <w:rsid w:val="00686C63"/>
    <w:rsid w:val="00686DB0"/>
    <w:rsid w:val="006A4F2C"/>
    <w:rsid w:val="006B260C"/>
    <w:rsid w:val="006C61CF"/>
    <w:rsid w:val="006D37AF"/>
    <w:rsid w:val="006D51D0"/>
    <w:rsid w:val="006E3C6C"/>
    <w:rsid w:val="006E564B"/>
    <w:rsid w:val="006E7191"/>
    <w:rsid w:val="006F037F"/>
    <w:rsid w:val="006F25D2"/>
    <w:rsid w:val="00701666"/>
    <w:rsid w:val="00703577"/>
    <w:rsid w:val="00705720"/>
    <w:rsid w:val="0070688F"/>
    <w:rsid w:val="00710476"/>
    <w:rsid w:val="00715870"/>
    <w:rsid w:val="007233F4"/>
    <w:rsid w:val="0072632A"/>
    <w:rsid w:val="007327D5"/>
    <w:rsid w:val="007332CF"/>
    <w:rsid w:val="00736B1F"/>
    <w:rsid w:val="007411A3"/>
    <w:rsid w:val="00743937"/>
    <w:rsid w:val="00750A7A"/>
    <w:rsid w:val="0075129C"/>
    <w:rsid w:val="007514FA"/>
    <w:rsid w:val="0075370B"/>
    <w:rsid w:val="00760F0F"/>
    <w:rsid w:val="007618CA"/>
    <w:rsid w:val="007629C8"/>
    <w:rsid w:val="00770C55"/>
    <w:rsid w:val="0077111C"/>
    <w:rsid w:val="00773836"/>
    <w:rsid w:val="00786C35"/>
    <w:rsid w:val="00795B95"/>
    <w:rsid w:val="00795DA6"/>
    <w:rsid w:val="007A4C34"/>
    <w:rsid w:val="007A6D37"/>
    <w:rsid w:val="007B233C"/>
    <w:rsid w:val="007B2810"/>
    <w:rsid w:val="007B6BA5"/>
    <w:rsid w:val="007C1AA2"/>
    <w:rsid w:val="007C3390"/>
    <w:rsid w:val="007C4F4B"/>
    <w:rsid w:val="007C784F"/>
    <w:rsid w:val="007C7C89"/>
    <w:rsid w:val="007D3B85"/>
    <w:rsid w:val="007E0B2D"/>
    <w:rsid w:val="007E2CC1"/>
    <w:rsid w:val="007E2D39"/>
    <w:rsid w:val="007E31D6"/>
    <w:rsid w:val="007F45DB"/>
    <w:rsid w:val="007F60AC"/>
    <w:rsid w:val="007F6611"/>
    <w:rsid w:val="007F7B16"/>
    <w:rsid w:val="00801843"/>
    <w:rsid w:val="008072EB"/>
    <w:rsid w:val="008105B8"/>
    <w:rsid w:val="00810AAE"/>
    <w:rsid w:val="00812387"/>
    <w:rsid w:val="008242D7"/>
    <w:rsid w:val="008257B1"/>
    <w:rsid w:val="0083047D"/>
    <w:rsid w:val="00843767"/>
    <w:rsid w:val="00854E35"/>
    <w:rsid w:val="0086026C"/>
    <w:rsid w:val="0086779C"/>
    <w:rsid w:val="008679D9"/>
    <w:rsid w:val="00872904"/>
    <w:rsid w:val="0088055D"/>
    <w:rsid w:val="0088157F"/>
    <w:rsid w:val="00887B77"/>
    <w:rsid w:val="00893528"/>
    <w:rsid w:val="00893BB6"/>
    <w:rsid w:val="008979B1"/>
    <w:rsid w:val="008A0542"/>
    <w:rsid w:val="008A080E"/>
    <w:rsid w:val="008A16F2"/>
    <w:rsid w:val="008A1DB2"/>
    <w:rsid w:val="008A2132"/>
    <w:rsid w:val="008A4307"/>
    <w:rsid w:val="008A6B25"/>
    <w:rsid w:val="008A6C4F"/>
    <w:rsid w:val="008B076A"/>
    <w:rsid w:val="008B2335"/>
    <w:rsid w:val="008B4363"/>
    <w:rsid w:val="008C035C"/>
    <w:rsid w:val="008C232A"/>
    <w:rsid w:val="008C34DF"/>
    <w:rsid w:val="008C65C8"/>
    <w:rsid w:val="008D1C7B"/>
    <w:rsid w:val="008D2D6A"/>
    <w:rsid w:val="008E0678"/>
    <w:rsid w:val="008E1621"/>
    <w:rsid w:val="008E57CF"/>
    <w:rsid w:val="008E5A15"/>
    <w:rsid w:val="008F4B56"/>
    <w:rsid w:val="00910F40"/>
    <w:rsid w:val="00912C08"/>
    <w:rsid w:val="009203D7"/>
    <w:rsid w:val="009223CA"/>
    <w:rsid w:val="00922CB6"/>
    <w:rsid w:val="00927517"/>
    <w:rsid w:val="00932307"/>
    <w:rsid w:val="00932B01"/>
    <w:rsid w:val="00940F93"/>
    <w:rsid w:val="0094467D"/>
    <w:rsid w:val="00944F4D"/>
    <w:rsid w:val="0094577D"/>
    <w:rsid w:val="0095347F"/>
    <w:rsid w:val="00957211"/>
    <w:rsid w:val="0095750A"/>
    <w:rsid w:val="00960756"/>
    <w:rsid w:val="00961503"/>
    <w:rsid w:val="009760F3"/>
    <w:rsid w:val="0097647A"/>
    <w:rsid w:val="00977B49"/>
    <w:rsid w:val="009822C9"/>
    <w:rsid w:val="00984BE1"/>
    <w:rsid w:val="00985ABF"/>
    <w:rsid w:val="009878FB"/>
    <w:rsid w:val="009909F5"/>
    <w:rsid w:val="00994BE3"/>
    <w:rsid w:val="00994D7A"/>
    <w:rsid w:val="009A0E8D"/>
    <w:rsid w:val="009A4749"/>
    <w:rsid w:val="009B158E"/>
    <w:rsid w:val="009B26E7"/>
    <w:rsid w:val="009B2950"/>
    <w:rsid w:val="009B2C02"/>
    <w:rsid w:val="009B5782"/>
    <w:rsid w:val="009C0CF3"/>
    <w:rsid w:val="009C3417"/>
    <w:rsid w:val="009C44D9"/>
    <w:rsid w:val="009C5056"/>
    <w:rsid w:val="009C6053"/>
    <w:rsid w:val="009C7FFD"/>
    <w:rsid w:val="009D0EB8"/>
    <w:rsid w:val="009D4247"/>
    <w:rsid w:val="009E3275"/>
    <w:rsid w:val="009E7095"/>
    <w:rsid w:val="009E74E3"/>
    <w:rsid w:val="00A00A3F"/>
    <w:rsid w:val="00A01489"/>
    <w:rsid w:val="00A03FE8"/>
    <w:rsid w:val="00A20669"/>
    <w:rsid w:val="00A21179"/>
    <w:rsid w:val="00A22409"/>
    <w:rsid w:val="00A23DCE"/>
    <w:rsid w:val="00A24116"/>
    <w:rsid w:val="00A24626"/>
    <w:rsid w:val="00A2538A"/>
    <w:rsid w:val="00A25459"/>
    <w:rsid w:val="00A25B9F"/>
    <w:rsid w:val="00A338F1"/>
    <w:rsid w:val="00A37498"/>
    <w:rsid w:val="00A40078"/>
    <w:rsid w:val="00A41123"/>
    <w:rsid w:val="00A44615"/>
    <w:rsid w:val="00A516C2"/>
    <w:rsid w:val="00A542D7"/>
    <w:rsid w:val="00A618A0"/>
    <w:rsid w:val="00A61B2F"/>
    <w:rsid w:val="00A625BD"/>
    <w:rsid w:val="00A64F29"/>
    <w:rsid w:val="00A650C0"/>
    <w:rsid w:val="00A663CF"/>
    <w:rsid w:val="00A67AB7"/>
    <w:rsid w:val="00A72F22"/>
    <w:rsid w:val="00A7360F"/>
    <w:rsid w:val="00A748A6"/>
    <w:rsid w:val="00A769F4"/>
    <w:rsid w:val="00A776B4"/>
    <w:rsid w:val="00A81F89"/>
    <w:rsid w:val="00A94361"/>
    <w:rsid w:val="00A965B8"/>
    <w:rsid w:val="00AA293C"/>
    <w:rsid w:val="00AA6186"/>
    <w:rsid w:val="00AB07FF"/>
    <w:rsid w:val="00AB6D0C"/>
    <w:rsid w:val="00AC06F0"/>
    <w:rsid w:val="00AC1AA4"/>
    <w:rsid w:val="00AC21AC"/>
    <w:rsid w:val="00AC23C7"/>
    <w:rsid w:val="00AC7EDB"/>
    <w:rsid w:val="00AD479D"/>
    <w:rsid w:val="00AD68B4"/>
    <w:rsid w:val="00AF5C6B"/>
    <w:rsid w:val="00B0078E"/>
    <w:rsid w:val="00B008C1"/>
    <w:rsid w:val="00B0098A"/>
    <w:rsid w:val="00B10803"/>
    <w:rsid w:val="00B11489"/>
    <w:rsid w:val="00B13E9B"/>
    <w:rsid w:val="00B143EE"/>
    <w:rsid w:val="00B178DE"/>
    <w:rsid w:val="00B24120"/>
    <w:rsid w:val="00B25476"/>
    <w:rsid w:val="00B30179"/>
    <w:rsid w:val="00B339A7"/>
    <w:rsid w:val="00B3526D"/>
    <w:rsid w:val="00B44570"/>
    <w:rsid w:val="00B44FBD"/>
    <w:rsid w:val="00B5404A"/>
    <w:rsid w:val="00B56E4A"/>
    <w:rsid w:val="00B56E9C"/>
    <w:rsid w:val="00B613B2"/>
    <w:rsid w:val="00B62C63"/>
    <w:rsid w:val="00B64B1F"/>
    <w:rsid w:val="00B6553F"/>
    <w:rsid w:val="00B659B8"/>
    <w:rsid w:val="00B66E5E"/>
    <w:rsid w:val="00B70D4C"/>
    <w:rsid w:val="00B77D05"/>
    <w:rsid w:val="00B81206"/>
    <w:rsid w:val="00B81216"/>
    <w:rsid w:val="00B81E12"/>
    <w:rsid w:val="00B82C14"/>
    <w:rsid w:val="00B9067B"/>
    <w:rsid w:val="00B9630F"/>
    <w:rsid w:val="00BB182A"/>
    <w:rsid w:val="00BB196E"/>
    <w:rsid w:val="00BB302D"/>
    <w:rsid w:val="00BC2C23"/>
    <w:rsid w:val="00BC69F9"/>
    <w:rsid w:val="00BC6B73"/>
    <w:rsid w:val="00BC74E9"/>
    <w:rsid w:val="00BD5D22"/>
    <w:rsid w:val="00BD7EE1"/>
    <w:rsid w:val="00BE4745"/>
    <w:rsid w:val="00BE5F08"/>
    <w:rsid w:val="00BF419C"/>
    <w:rsid w:val="00BF68A8"/>
    <w:rsid w:val="00BF6EA0"/>
    <w:rsid w:val="00C0480E"/>
    <w:rsid w:val="00C11A03"/>
    <w:rsid w:val="00C12F75"/>
    <w:rsid w:val="00C145C4"/>
    <w:rsid w:val="00C23A00"/>
    <w:rsid w:val="00C30E8F"/>
    <w:rsid w:val="00C36A3A"/>
    <w:rsid w:val="00C40480"/>
    <w:rsid w:val="00C41642"/>
    <w:rsid w:val="00C42ADE"/>
    <w:rsid w:val="00C463DD"/>
    <w:rsid w:val="00C4724C"/>
    <w:rsid w:val="00C5196B"/>
    <w:rsid w:val="00C523F9"/>
    <w:rsid w:val="00C52DD5"/>
    <w:rsid w:val="00C549D9"/>
    <w:rsid w:val="00C55370"/>
    <w:rsid w:val="00C62479"/>
    <w:rsid w:val="00C629A0"/>
    <w:rsid w:val="00C62CFF"/>
    <w:rsid w:val="00C62D12"/>
    <w:rsid w:val="00C63505"/>
    <w:rsid w:val="00C745C3"/>
    <w:rsid w:val="00C8129B"/>
    <w:rsid w:val="00C81903"/>
    <w:rsid w:val="00C81F8B"/>
    <w:rsid w:val="00C82642"/>
    <w:rsid w:val="00C848EB"/>
    <w:rsid w:val="00C85969"/>
    <w:rsid w:val="00C9167D"/>
    <w:rsid w:val="00C91EDA"/>
    <w:rsid w:val="00C966D5"/>
    <w:rsid w:val="00CA52F0"/>
    <w:rsid w:val="00CB5374"/>
    <w:rsid w:val="00CB6E6E"/>
    <w:rsid w:val="00CC3490"/>
    <w:rsid w:val="00CC37FE"/>
    <w:rsid w:val="00CD2DCC"/>
    <w:rsid w:val="00CD4987"/>
    <w:rsid w:val="00CD4FC0"/>
    <w:rsid w:val="00CD6D75"/>
    <w:rsid w:val="00CD71F2"/>
    <w:rsid w:val="00CE1F72"/>
    <w:rsid w:val="00CE4A8F"/>
    <w:rsid w:val="00CE766A"/>
    <w:rsid w:val="00CF5408"/>
    <w:rsid w:val="00D201A1"/>
    <w:rsid w:val="00D2031B"/>
    <w:rsid w:val="00D25FE2"/>
    <w:rsid w:val="00D30E2C"/>
    <w:rsid w:val="00D327DD"/>
    <w:rsid w:val="00D33821"/>
    <w:rsid w:val="00D41767"/>
    <w:rsid w:val="00D43252"/>
    <w:rsid w:val="00D47EEA"/>
    <w:rsid w:val="00D530B2"/>
    <w:rsid w:val="00D54C0E"/>
    <w:rsid w:val="00D60A63"/>
    <w:rsid w:val="00D6226A"/>
    <w:rsid w:val="00D633BF"/>
    <w:rsid w:val="00D65EBC"/>
    <w:rsid w:val="00D6709A"/>
    <w:rsid w:val="00D72783"/>
    <w:rsid w:val="00D7554B"/>
    <w:rsid w:val="00D820CF"/>
    <w:rsid w:val="00D95303"/>
    <w:rsid w:val="00D95D6E"/>
    <w:rsid w:val="00D978C6"/>
    <w:rsid w:val="00DA3111"/>
    <w:rsid w:val="00DA3C1C"/>
    <w:rsid w:val="00DA7C5B"/>
    <w:rsid w:val="00DA7C97"/>
    <w:rsid w:val="00DB0808"/>
    <w:rsid w:val="00DB0C79"/>
    <w:rsid w:val="00DB3477"/>
    <w:rsid w:val="00DB3D72"/>
    <w:rsid w:val="00DB40F8"/>
    <w:rsid w:val="00DC046E"/>
    <w:rsid w:val="00DC1B21"/>
    <w:rsid w:val="00DC6C7F"/>
    <w:rsid w:val="00DC737C"/>
    <w:rsid w:val="00DC77CA"/>
    <w:rsid w:val="00DD2288"/>
    <w:rsid w:val="00DD3667"/>
    <w:rsid w:val="00DE1399"/>
    <w:rsid w:val="00DE2345"/>
    <w:rsid w:val="00DE41C2"/>
    <w:rsid w:val="00DE48AD"/>
    <w:rsid w:val="00DE6EBD"/>
    <w:rsid w:val="00DE7132"/>
    <w:rsid w:val="00DE7F67"/>
    <w:rsid w:val="00DF3F89"/>
    <w:rsid w:val="00DF6190"/>
    <w:rsid w:val="00DF73E8"/>
    <w:rsid w:val="00E12ADA"/>
    <w:rsid w:val="00E12B1F"/>
    <w:rsid w:val="00E226EC"/>
    <w:rsid w:val="00E27346"/>
    <w:rsid w:val="00E32445"/>
    <w:rsid w:val="00E42874"/>
    <w:rsid w:val="00E43E0E"/>
    <w:rsid w:val="00E46F94"/>
    <w:rsid w:val="00E52816"/>
    <w:rsid w:val="00E5320B"/>
    <w:rsid w:val="00E53737"/>
    <w:rsid w:val="00E57D50"/>
    <w:rsid w:val="00E630AB"/>
    <w:rsid w:val="00E70C9C"/>
    <w:rsid w:val="00E713C3"/>
    <w:rsid w:val="00E71BC8"/>
    <w:rsid w:val="00E7260F"/>
    <w:rsid w:val="00E7506C"/>
    <w:rsid w:val="00E7537B"/>
    <w:rsid w:val="00E779FC"/>
    <w:rsid w:val="00E86AA2"/>
    <w:rsid w:val="00E86B1C"/>
    <w:rsid w:val="00E9414E"/>
    <w:rsid w:val="00E95583"/>
    <w:rsid w:val="00E95FD0"/>
    <w:rsid w:val="00E96630"/>
    <w:rsid w:val="00EA0661"/>
    <w:rsid w:val="00EA285A"/>
    <w:rsid w:val="00EB2581"/>
    <w:rsid w:val="00EB76AD"/>
    <w:rsid w:val="00EC0BE0"/>
    <w:rsid w:val="00EC2E5C"/>
    <w:rsid w:val="00EC5563"/>
    <w:rsid w:val="00ED7A2A"/>
    <w:rsid w:val="00EE2899"/>
    <w:rsid w:val="00EE7176"/>
    <w:rsid w:val="00EF0988"/>
    <w:rsid w:val="00EF1D7F"/>
    <w:rsid w:val="00F02EA2"/>
    <w:rsid w:val="00F07E86"/>
    <w:rsid w:val="00F112B2"/>
    <w:rsid w:val="00F1452B"/>
    <w:rsid w:val="00F20C3D"/>
    <w:rsid w:val="00F20F94"/>
    <w:rsid w:val="00F21D5E"/>
    <w:rsid w:val="00F236F4"/>
    <w:rsid w:val="00F23848"/>
    <w:rsid w:val="00F31965"/>
    <w:rsid w:val="00F32380"/>
    <w:rsid w:val="00F43E9E"/>
    <w:rsid w:val="00F44BFF"/>
    <w:rsid w:val="00F46E3C"/>
    <w:rsid w:val="00F52788"/>
    <w:rsid w:val="00F53D05"/>
    <w:rsid w:val="00F53E57"/>
    <w:rsid w:val="00F6340A"/>
    <w:rsid w:val="00F63C6C"/>
    <w:rsid w:val="00F72F41"/>
    <w:rsid w:val="00F7374A"/>
    <w:rsid w:val="00F76E6C"/>
    <w:rsid w:val="00F84E5E"/>
    <w:rsid w:val="00F8670B"/>
    <w:rsid w:val="00F9057C"/>
    <w:rsid w:val="00F906D7"/>
    <w:rsid w:val="00F93781"/>
    <w:rsid w:val="00F94AC7"/>
    <w:rsid w:val="00F94F82"/>
    <w:rsid w:val="00FA13A2"/>
    <w:rsid w:val="00FA789E"/>
    <w:rsid w:val="00FB2663"/>
    <w:rsid w:val="00FB3078"/>
    <w:rsid w:val="00FB4849"/>
    <w:rsid w:val="00FB5C1C"/>
    <w:rsid w:val="00FB613B"/>
    <w:rsid w:val="00FC33EC"/>
    <w:rsid w:val="00FC68B7"/>
    <w:rsid w:val="00FD42F8"/>
    <w:rsid w:val="00FD7641"/>
    <w:rsid w:val="00FE106A"/>
    <w:rsid w:val="00FE212B"/>
    <w:rsid w:val="00FE23B1"/>
    <w:rsid w:val="00FE4D10"/>
    <w:rsid w:val="00FE59FE"/>
    <w:rsid w:val="00FF18A7"/>
    <w:rsid w:val="00FF3D2F"/>
    <w:rsid w:val="00FF544D"/>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Style 11 Char"/>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8A16F2"/>
    <w:rPr>
      <w:sz w:val="16"/>
      <w:lang w:val="en-GB" w:eastAsia="en-US"/>
    </w:rPr>
  </w:style>
  <w:style w:type="character" w:customStyle="1" w:styleId="SingleTxtGChar">
    <w:name w:val="_ Single Txt_G Char"/>
    <w:link w:val="SingleTxtG"/>
    <w:uiPriority w:val="99"/>
    <w:locked/>
    <w:rsid w:val="008A16F2"/>
    <w:rPr>
      <w:lang w:val="en-GB" w:eastAsia="en-US"/>
    </w:rPr>
  </w:style>
  <w:style w:type="character" w:styleId="CommentReference">
    <w:name w:val="annotation reference"/>
    <w:basedOn w:val="DefaultParagraphFont"/>
    <w:uiPriority w:val="99"/>
    <w:unhideWhenUsed/>
    <w:rsid w:val="008A16F2"/>
    <w:rPr>
      <w:sz w:val="16"/>
      <w:szCs w:val="16"/>
    </w:rPr>
  </w:style>
  <w:style w:type="paragraph" w:styleId="CommentText">
    <w:name w:val="annotation text"/>
    <w:basedOn w:val="Normal"/>
    <w:link w:val="CommentTextChar"/>
    <w:uiPriority w:val="99"/>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uiPriority w:val="99"/>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paragraph" w:styleId="NormalWeb">
    <w:name w:val="Normal (Web)"/>
    <w:basedOn w:val="Normal"/>
    <w:uiPriority w:val="99"/>
    <w:semiHidden/>
    <w:unhideWhenUsed/>
    <w:rsid w:val="005A12FA"/>
    <w:pPr>
      <w:suppressAutoHyphens w:val="0"/>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4066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816927-3f28-4ab7-b21d-0f111ed1177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77868784E35C247B66C82C4A1181574" ma:contentTypeVersion="4" ma:contentTypeDescription="Create a new document." ma:contentTypeScope="" ma:versionID="c0cc1ed01a56f079b04c95ba70d8c2f7">
  <xsd:schema xmlns:xsd="http://www.w3.org/2001/XMLSchema" xmlns:xs="http://www.w3.org/2001/XMLSchema" xmlns:p="http://schemas.microsoft.com/office/2006/metadata/properties" xmlns:ns3="3d816927-3f28-4ab7-b21d-0f111ed11771" xmlns:ns4="945a2cc3-dde4-4090-840c-a98b2312892b" targetNamespace="http://schemas.microsoft.com/office/2006/metadata/properties" ma:root="true" ma:fieldsID="ebc449d379e7d30a72ef15e6003a0449" ns3:_="" ns4:_="">
    <xsd:import namespace="3d816927-3f28-4ab7-b21d-0f111ed11771"/>
    <xsd:import namespace="945a2cc3-dde4-4090-840c-a98b2312892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816927-3f28-4ab7-b21d-0f111ed11771"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5a2cc3-dde4-4090-840c-a98b2312892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customXml/itemProps2.xml><?xml version="1.0" encoding="utf-8"?>
<ds:datastoreItem xmlns:ds="http://schemas.openxmlformats.org/officeDocument/2006/customXml" ds:itemID="{91B3D1CD-89DA-4C6B-8BB0-E9E38F832472}">
  <ds:schemaRefs>
    <ds:schemaRef ds:uri="http://schemas.microsoft.com/sharepoint/v3/contenttype/forms"/>
  </ds:schemaRefs>
</ds:datastoreItem>
</file>

<file path=customXml/itemProps3.xml><?xml version="1.0" encoding="utf-8"?>
<ds:datastoreItem xmlns:ds="http://schemas.openxmlformats.org/officeDocument/2006/customXml" ds:itemID="{984B3301-95A7-46EC-A8F1-9BA11B2FD372}">
  <ds:schemaRefs>
    <ds:schemaRef ds:uri="http://schemas.microsoft.com/office/2006/metadata/properties"/>
    <ds:schemaRef ds:uri="http://schemas.microsoft.com/office/infopath/2007/PartnerControls"/>
    <ds:schemaRef ds:uri="3d816927-3f28-4ab7-b21d-0f111ed11771"/>
  </ds:schemaRefs>
</ds:datastoreItem>
</file>

<file path=customXml/itemProps4.xml><?xml version="1.0" encoding="utf-8"?>
<ds:datastoreItem xmlns:ds="http://schemas.openxmlformats.org/officeDocument/2006/customXml" ds:itemID="{A29B98AF-12D4-4A01-8414-5EB32AA77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816927-3f28-4ab7-b21d-0f111ed11771"/>
    <ds:schemaRef ds:uri="945a2cc3-dde4-4090-840c-a98b23128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5634</Words>
  <Characters>32117</Characters>
  <Application>Microsoft Office Word</Application>
  <DocSecurity>0</DocSecurity>
  <Lines>267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CCPR/C/WG/138/DR/2579/2015</vt:lpstr>
      <vt:lpstr>CCPR/C/137/DR/2911/2016</vt:lpstr>
      <vt:lpstr>CCPR/C/WG/137/DR/2911/2016</vt:lpstr>
    </vt:vector>
  </TitlesOfParts>
  <Company/>
  <LinksUpToDate>false</LinksUpToDate>
  <CharactersWithSpaces>37676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ModifiedBy>Mohamed Abdelazim</cp:lastModifiedBy>
  <cp:revision>2</cp:revision>
  <cp:lastPrinted>2023-11-22T15:12:00Z</cp:lastPrinted>
  <dcterms:created xsi:type="dcterms:W3CDTF">2023-11-22T15:13:00Z</dcterms:created>
  <dcterms:modified xsi:type="dcterms:W3CDTF">2023-11-23T08:17:00Z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0x010100777868784E35C247B66C82C4A1181574</vt:lpwstr>
  </property>
</Properties>
</file>