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0514BF" w14:textId="77777777" w:rsidR="009400A5" w:rsidRPr="00D316E0" w:rsidRDefault="009400A5" w:rsidP="009400A5">
      <w:pPr>
        <w:spacing w:line="240" w:lineRule="auto"/>
        <w:jc w:val="both"/>
        <w:rPr>
          <w:rFonts w:eastAsia="Times New Roman" w:cs="Times New Roman"/>
          <w:color w:val="17365D"/>
          <w:spacing w:val="5"/>
          <w:kern w:val="28"/>
          <w:sz w:val="50"/>
          <w:szCs w:val="50"/>
        </w:rPr>
      </w:pPr>
      <w:r w:rsidRPr="00D316E0">
        <w:rPr>
          <w:rFonts w:eastAsia="Times New Roman" w:cs="Times New Roman"/>
          <w:color w:val="17365D"/>
          <w:spacing w:val="5"/>
          <w:kern w:val="28"/>
          <w:sz w:val="50"/>
          <w:szCs w:val="50"/>
        </w:rPr>
        <w:t xml:space="preserve">European Union Agency for Fundamental Rights, selection of rights of the child passages from published reports related to </w:t>
      </w:r>
      <w:r>
        <w:rPr>
          <w:rFonts w:eastAsia="Times New Roman" w:cs="Times New Roman"/>
          <w:color w:val="17365D"/>
          <w:spacing w:val="5"/>
          <w:kern w:val="28"/>
          <w:sz w:val="50"/>
          <w:szCs w:val="50"/>
        </w:rPr>
        <w:t>Belgium</w:t>
      </w:r>
    </w:p>
    <w:p w14:paraId="2FF9D009" w14:textId="77777777" w:rsidR="009400A5" w:rsidRPr="00DA2D41" w:rsidRDefault="009400A5" w:rsidP="009400A5">
      <w:pPr>
        <w:pBdr>
          <w:bottom w:val="single" w:sz="8" w:space="4" w:color="4F81BD"/>
        </w:pBdr>
        <w:spacing w:line="240" w:lineRule="auto"/>
        <w:contextualSpacing/>
        <w:jc w:val="both"/>
        <w:rPr>
          <w:rFonts w:eastAsia="Times New Roman" w:cs="Times New Roman"/>
          <w:color w:val="17365D"/>
          <w:spacing w:val="5"/>
          <w:kern w:val="28"/>
          <w:sz w:val="50"/>
          <w:szCs w:val="50"/>
          <w:lang w:val="it-IT"/>
        </w:rPr>
      </w:pPr>
      <w:r w:rsidRPr="00DA2D41">
        <w:rPr>
          <w:rFonts w:eastAsia="Times New Roman" w:cs="Times New Roman"/>
          <w:color w:val="17365D"/>
          <w:spacing w:val="5"/>
          <w:kern w:val="28"/>
          <w:sz w:val="50"/>
          <w:szCs w:val="50"/>
          <w:lang w:val="it-IT"/>
        </w:rPr>
        <w:t>fra.europa.eu</w:t>
      </w:r>
    </w:p>
    <w:p w14:paraId="1DAEAB6F" w14:textId="77777777" w:rsidR="009400A5" w:rsidRDefault="009400A5" w:rsidP="009400A5">
      <w:pPr>
        <w:spacing w:line="240" w:lineRule="auto"/>
        <w:jc w:val="both"/>
        <w:rPr>
          <w:lang w:val="it-IT"/>
        </w:rPr>
      </w:pPr>
    </w:p>
    <w:p w14:paraId="50F383B6" w14:textId="77777777" w:rsidR="009400A5" w:rsidRPr="00DA2D41" w:rsidRDefault="009400A5" w:rsidP="009400A5">
      <w:pPr>
        <w:spacing w:line="240" w:lineRule="auto"/>
        <w:jc w:val="both"/>
        <w:rPr>
          <w:i/>
          <w:lang w:val="it-IT"/>
        </w:rPr>
      </w:pPr>
      <w:r>
        <w:rPr>
          <w:lang w:val="it-IT"/>
        </w:rPr>
        <w:t>21 December</w:t>
      </w:r>
      <w:r>
        <w:rPr>
          <w:i/>
          <w:vertAlign w:val="superscript"/>
          <w:lang w:val="it-IT"/>
        </w:rPr>
        <w:t xml:space="preserve"> </w:t>
      </w:r>
      <w:r w:rsidRPr="009400A5">
        <w:rPr>
          <w:lang w:val="it-IT"/>
        </w:rPr>
        <w:t>2018,</w:t>
      </w:r>
      <w:r w:rsidRPr="00236538">
        <w:rPr>
          <w:i/>
          <w:lang w:val="it-IT"/>
        </w:rPr>
        <w:t xml:space="preserve"> Vienna</w:t>
      </w:r>
    </w:p>
    <w:p w14:paraId="2910B469" w14:textId="77777777" w:rsidR="009400A5" w:rsidRPr="00DA2D41" w:rsidRDefault="009400A5" w:rsidP="009400A5">
      <w:pPr>
        <w:spacing w:line="240" w:lineRule="auto"/>
        <w:jc w:val="both"/>
        <w:rPr>
          <w:i/>
          <w:lang w:val="it-IT"/>
        </w:rPr>
      </w:pPr>
    </w:p>
    <w:sdt>
      <w:sdtPr>
        <w:rPr>
          <w:rFonts w:asciiTheme="minorHAnsi" w:eastAsiaTheme="minorHAnsi" w:hAnsiTheme="minorHAnsi" w:cstheme="minorBidi"/>
          <w:color w:val="auto"/>
          <w:sz w:val="22"/>
          <w:szCs w:val="22"/>
          <w:lang w:val="en-GB"/>
        </w:rPr>
        <w:id w:val="-1941521781"/>
        <w:docPartObj>
          <w:docPartGallery w:val="Table of Contents"/>
          <w:docPartUnique/>
        </w:docPartObj>
      </w:sdtPr>
      <w:sdtEndPr>
        <w:rPr>
          <w:b/>
          <w:bCs/>
          <w:noProof/>
        </w:rPr>
      </w:sdtEndPr>
      <w:sdtContent>
        <w:p w14:paraId="00E5EB14" w14:textId="77777777" w:rsidR="009400A5" w:rsidRPr="00DA2D41" w:rsidRDefault="009400A5" w:rsidP="009400A5">
          <w:pPr>
            <w:pStyle w:val="TOCHeading"/>
            <w:spacing w:before="0" w:after="160" w:line="240" w:lineRule="auto"/>
            <w:jc w:val="both"/>
            <w:rPr>
              <w:lang w:val="it-IT"/>
            </w:rPr>
          </w:pPr>
          <w:r w:rsidRPr="00DA2D41">
            <w:rPr>
              <w:lang w:val="it-IT"/>
            </w:rPr>
            <w:t>Contents</w:t>
          </w:r>
        </w:p>
        <w:p w14:paraId="2E8393F0" w14:textId="77777777" w:rsidR="00ED21A7" w:rsidRDefault="009400A5">
          <w:pPr>
            <w:pStyle w:val="TOC1"/>
            <w:tabs>
              <w:tab w:val="left" w:pos="440"/>
              <w:tab w:val="right" w:leader="dot" w:pos="9016"/>
            </w:tabs>
            <w:rPr>
              <w:rFonts w:eastAsiaTheme="minorEastAsia"/>
              <w:noProof/>
              <w:lang w:eastAsia="en-GB"/>
            </w:rPr>
          </w:pPr>
          <w:r w:rsidRPr="00D316E0">
            <w:fldChar w:fldCharType="begin"/>
          </w:r>
          <w:r w:rsidRPr="00D316E0">
            <w:instrText xml:space="preserve"> TOC \o "1-3" \h \z \u </w:instrText>
          </w:r>
          <w:r w:rsidRPr="00D316E0">
            <w:fldChar w:fldCharType="separate"/>
          </w:r>
          <w:hyperlink w:anchor="_Toc533176871" w:history="1">
            <w:r w:rsidR="00ED21A7" w:rsidRPr="00D84D65">
              <w:rPr>
                <w:rStyle w:val="Hyperlink"/>
                <w:rFonts w:eastAsiaTheme="majorEastAsia" w:cstheme="majorBidi"/>
                <w:b/>
                <w:noProof/>
              </w:rPr>
              <w:t>1.</w:t>
            </w:r>
            <w:r w:rsidR="00ED21A7">
              <w:rPr>
                <w:rFonts w:eastAsiaTheme="minorEastAsia"/>
                <w:noProof/>
                <w:lang w:eastAsia="en-GB"/>
              </w:rPr>
              <w:tab/>
            </w:r>
            <w:r w:rsidR="00ED21A7" w:rsidRPr="00D84D65">
              <w:rPr>
                <w:rStyle w:val="Hyperlink"/>
                <w:rFonts w:eastAsiaTheme="majorEastAsia" w:cstheme="majorBidi"/>
                <w:b/>
                <w:noProof/>
              </w:rPr>
              <w:t>Annual reports</w:t>
            </w:r>
            <w:r w:rsidR="00ED21A7">
              <w:rPr>
                <w:noProof/>
                <w:webHidden/>
              </w:rPr>
              <w:tab/>
            </w:r>
            <w:r w:rsidR="00ED21A7">
              <w:rPr>
                <w:noProof/>
                <w:webHidden/>
              </w:rPr>
              <w:fldChar w:fldCharType="begin"/>
            </w:r>
            <w:r w:rsidR="00ED21A7">
              <w:rPr>
                <w:noProof/>
                <w:webHidden/>
              </w:rPr>
              <w:instrText xml:space="preserve"> PAGEREF _Toc533176871 \h </w:instrText>
            </w:r>
            <w:r w:rsidR="00ED21A7">
              <w:rPr>
                <w:noProof/>
                <w:webHidden/>
              </w:rPr>
            </w:r>
            <w:r w:rsidR="00ED21A7">
              <w:rPr>
                <w:noProof/>
                <w:webHidden/>
              </w:rPr>
              <w:fldChar w:fldCharType="separate"/>
            </w:r>
            <w:r w:rsidR="00ED21A7">
              <w:rPr>
                <w:noProof/>
                <w:webHidden/>
              </w:rPr>
              <w:t>2</w:t>
            </w:r>
            <w:r w:rsidR="00ED21A7">
              <w:rPr>
                <w:noProof/>
                <w:webHidden/>
              </w:rPr>
              <w:fldChar w:fldCharType="end"/>
            </w:r>
          </w:hyperlink>
        </w:p>
        <w:p w14:paraId="08CF3B41" w14:textId="77777777" w:rsidR="00ED21A7" w:rsidRDefault="00ED21A7">
          <w:pPr>
            <w:pStyle w:val="TOC2"/>
            <w:tabs>
              <w:tab w:val="left" w:pos="880"/>
              <w:tab w:val="right" w:leader="dot" w:pos="9016"/>
            </w:tabs>
            <w:rPr>
              <w:rFonts w:eastAsiaTheme="minorEastAsia"/>
              <w:noProof/>
              <w:lang w:eastAsia="en-GB"/>
            </w:rPr>
          </w:pPr>
          <w:hyperlink w:anchor="_Toc533176872" w:history="1">
            <w:r w:rsidRPr="00D84D65">
              <w:rPr>
                <w:rStyle w:val="Hyperlink"/>
                <w:rFonts w:eastAsiaTheme="majorEastAsia" w:cstheme="majorBidi"/>
                <w:noProof/>
              </w:rPr>
              <w:t>1.1</w:t>
            </w:r>
            <w:r>
              <w:rPr>
                <w:rFonts w:eastAsiaTheme="minorEastAsia"/>
                <w:noProof/>
                <w:lang w:eastAsia="en-GB"/>
              </w:rPr>
              <w:tab/>
            </w:r>
            <w:r w:rsidRPr="00D84D65">
              <w:rPr>
                <w:rStyle w:val="Hyperlink"/>
                <w:rFonts w:eastAsiaTheme="majorEastAsia" w:cstheme="majorBidi"/>
                <w:noProof/>
              </w:rPr>
              <w:t>Fundamental Rights Report 2018 Report</w:t>
            </w:r>
            <w:r>
              <w:rPr>
                <w:noProof/>
                <w:webHidden/>
              </w:rPr>
              <w:tab/>
            </w:r>
            <w:r>
              <w:rPr>
                <w:noProof/>
                <w:webHidden/>
              </w:rPr>
              <w:fldChar w:fldCharType="begin"/>
            </w:r>
            <w:r>
              <w:rPr>
                <w:noProof/>
                <w:webHidden/>
              </w:rPr>
              <w:instrText xml:space="preserve"> PAGEREF _Toc533176872 \h </w:instrText>
            </w:r>
            <w:r>
              <w:rPr>
                <w:noProof/>
                <w:webHidden/>
              </w:rPr>
            </w:r>
            <w:r>
              <w:rPr>
                <w:noProof/>
                <w:webHidden/>
              </w:rPr>
              <w:fldChar w:fldCharType="separate"/>
            </w:r>
            <w:r>
              <w:rPr>
                <w:noProof/>
                <w:webHidden/>
              </w:rPr>
              <w:t>2</w:t>
            </w:r>
            <w:r>
              <w:rPr>
                <w:noProof/>
                <w:webHidden/>
              </w:rPr>
              <w:fldChar w:fldCharType="end"/>
            </w:r>
          </w:hyperlink>
        </w:p>
        <w:p w14:paraId="1120D0A8" w14:textId="77777777" w:rsidR="00ED21A7" w:rsidRDefault="00ED21A7">
          <w:pPr>
            <w:pStyle w:val="TOC2"/>
            <w:tabs>
              <w:tab w:val="left" w:pos="880"/>
              <w:tab w:val="right" w:leader="dot" w:pos="9016"/>
            </w:tabs>
            <w:rPr>
              <w:rFonts w:eastAsiaTheme="minorEastAsia"/>
              <w:noProof/>
              <w:lang w:eastAsia="en-GB"/>
            </w:rPr>
          </w:pPr>
          <w:hyperlink w:anchor="_Toc533176873" w:history="1">
            <w:r w:rsidRPr="00D84D65">
              <w:rPr>
                <w:rStyle w:val="Hyperlink"/>
                <w:rFonts w:eastAsiaTheme="majorEastAsia" w:cstheme="majorBidi"/>
                <w:noProof/>
              </w:rPr>
              <w:t>1.2</w:t>
            </w:r>
            <w:r>
              <w:rPr>
                <w:rFonts w:eastAsiaTheme="minorEastAsia"/>
                <w:noProof/>
                <w:lang w:eastAsia="en-GB"/>
              </w:rPr>
              <w:tab/>
            </w:r>
            <w:r w:rsidRPr="00D84D65">
              <w:rPr>
                <w:rStyle w:val="Hyperlink"/>
                <w:rFonts w:eastAsiaTheme="majorEastAsia" w:cstheme="majorBidi"/>
                <w:noProof/>
              </w:rPr>
              <w:t>Fundamental Rights Report 2017 Report</w:t>
            </w:r>
            <w:r>
              <w:rPr>
                <w:noProof/>
                <w:webHidden/>
              </w:rPr>
              <w:tab/>
            </w:r>
            <w:r>
              <w:rPr>
                <w:noProof/>
                <w:webHidden/>
              </w:rPr>
              <w:fldChar w:fldCharType="begin"/>
            </w:r>
            <w:r>
              <w:rPr>
                <w:noProof/>
                <w:webHidden/>
              </w:rPr>
              <w:instrText xml:space="preserve"> PAGEREF _Toc533176873 \h </w:instrText>
            </w:r>
            <w:r>
              <w:rPr>
                <w:noProof/>
                <w:webHidden/>
              </w:rPr>
            </w:r>
            <w:r>
              <w:rPr>
                <w:noProof/>
                <w:webHidden/>
              </w:rPr>
              <w:fldChar w:fldCharType="separate"/>
            </w:r>
            <w:r>
              <w:rPr>
                <w:noProof/>
                <w:webHidden/>
              </w:rPr>
              <w:t>2</w:t>
            </w:r>
            <w:r>
              <w:rPr>
                <w:noProof/>
                <w:webHidden/>
              </w:rPr>
              <w:fldChar w:fldCharType="end"/>
            </w:r>
          </w:hyperlink>
        </w:p>
        <w:p w14:paraId="32F17EAB" w14:textId="77777777" w:rsidR="00ED21A7" w:rsidRDefault="00ED21A7">
          <w:pPr>
            <w:pStyle w:val="TOC2"/>
            <w:tabs>
              <w:tab w:val="left" w:pos="880"/>
              <w:tab w:val="right" w:leader="dot" w:pos="9016"/>
            </w:tabs>
            <w:rPr>
              <w:rFonts w:eastAsiaTheme="minorEastAsia"/>
              <w:noProof/>
              <w:lang w:eastAsia="en-GB"/>
            </w:rPr>
          </w:pPr>
          <w:hyperlink w:anchor="_Toc533176874" w:history="1">
            <w:r w:rsidRPr="00D84D65">
              <w:rPr>
                <w:rStyle w:val="Hyperlink"/>
                <w:rFonts w:eastAsiaTheme="majorEastAsia" w:cstheme="majorBidi"/>
                <w:noProof/>
              </w:rPr>
              <w:t>1.3</w:t>
            </w:r>
            <w:r>
              <w:rPr>
                <w:rFonts w:eastAsiaTheme="minorEastAsia"/>
                <w:noProof/>
                <w:lang w:eastAsia="en-GB"/>
              </w:rPr>
              <w:tab/>
            </w:r>
            <w:r w:rsidRPr="00D84D65">
              <w:rPr>
                <w:rStyle w:val="Hyperlink"/>
                <w:rFonts w:eastAsiaTheme="majorEastAsia" w:cstheme="majorBidi"/>
                <w:noProof/>
              </w:rPr>
              <w:t>Fundamental Rights Report 2016 Report</w:t>
            </w:r>
            <w:r>
              <w:rPr>
                <w:noProof/>
                <w:webHidden/>
              </w:rPr>
              <w:tab/>
            </w:r>
            <w:r>
              <w:rPr>
                <w:noProof/>
                <w:webHidden/>
              </w:rPr>
              <w:fldChar w:fldCharType="begin"/>
            </w:r>
            <w:r>
              <w:rPr>
                <w:noProof/>
                <w:webHidden/>
              </w:rPr>
              <w:instrText xml:space="preserve"> PAGEREF _Toc533176874 \h </w:instrText>
            </w:r>
            <w:r>
              <w:rPr>
                <w:noProof/>
                <w:webHidden/>
              </w:rPr>
            </w:r>
            <w:r>
              <w:rPr>
                <w:noProof/>
                <w:webHidden/>
              </w:rPr>
              <w:fldChar w:fldCharType="separate"/>
            </w:r>
            <w:r>
              <w:rPr>
                <w:noProof/>
                <w:webHidden/>
              </w:rPr>
              <w:t>3</w:t>
            </w:r>
            <w:r>
              <w:rPr>
                <w:noProof/>
                <w:webHidden/>
              </w:rPr>
              <w:fldChar w:fldCharType="end"/>
            </w:r>
          </w:hyperlink>
        </w:p>
        <w:p w14:paraId="75954474" w14:textId="77777777" w:rsidR="00ED21A7" w:rsidRDefault="00ED21A7">
          <w:pPr>
            <w:pStyle w:val="TOC1"/>
            <w:tabs>
              <w:tab w:val="left" w:pos="440"/>
              <w:tab w:val="right" w:leader="dot" w:pos="9016"/>
            </w:tabs>
            <w:rPr>
              <w:rFonts w:eastAsiaTheme="minorEastAsia"/>
              <w:noProof/>
              <w:lang w:eastAsia="en-GB"/>
            </w:rPr>
          </w:pPr>
          <w:hyperlink w:anchor="_Toc533176875" w:history="1">
            <w:r w:rsidRPr="00D84D65">
              <w:rPr>
                <w:rStyle w:val="Hyperlink"/>
                <w:rFonts w:eastAsiaTheme="majorEastAsia" w:cstheme="majorBidi"/>
                <w:b/>
                <w:noProof/>
              </w:rPr>
              <w:t>2.</w:t>
            </w:r>
            <w:r>
              <w:rPr>
                <w:rFonts w:eastAsiaTheme="minorEastAsia"/>
                <w:noProof/>
                <w:lang w:eastAsia="en-GB"/>
              </w:rPr>
              <w:tab/>
            </w:r>
            <w:r w:rsidRPr="00D84D65">
              <w:rPr>
                <w:rStyle w:val="Hyperlink"/>
                <w:rFonts w:eastAsiaTheme="majorEastAsia" w:cstheme="majorBidi"/>
                <w:b/>
                <w:noProof/>
              </w:rPr>
              <w:t>Thematic reports</w:t>
            </w:r>
            <w:r>
              <w:rPr>
                <w:noProof/>
                <w:webHidden/>
              </w:rPr>
              <w:tab/>
            </w:r>
            <w:r>
              <w:rPr>
                <w:noProof/>
                <w:webHidden/>
              </w:rPr>
              <w:fldChar w:fldCharType="begin"/>
            </w:r>
            <w:r>
              <w:rPr>
                <w:noProof/>
                <w:webHidden/>
              </w:rPr>
              <w:instrText xml:space="preserve"> PAGEREF _Toc533176875 \h </w:instrText>
            </w:r>
            <w:r>
              <w:rPr>
                <w:noProof/>
                <w:webHidden/>
              </w:rPr>
            </w:r>
            <w:r>
              <w:rPr>
                <w:noProof/>
                <w:webHidden/>
              </w:rPr>
              <w:fldChar w:fldCharType="separate"/>
            </w:r>
            <w:r>
              <w:rPr>
                <w:noProof/>
                <w:webHidden/>
              </w:rPr>
              <w:t>4</w:t>
            </w:r>
            <w:r>
              <w:rPr>
                <w:noProof/>
                <w:webHidden/>
              </w:rPr>
              <w:fldChar w:fldCharType="end"/>
            </w:r>
          </w:hyperlink>
        </w:p>
        <w:p w14:paraId="7A700A47" w14:textId="77777777" w:rsidR="00ED21A7" w:rsidRDefault="00ED21A7">
          <w:pPr>
            <w:pStyle w:val="TOC2"/>
            <w:tabs>
              <w:tab w:val="left" w:pos="880"/>
              <w:tab w:val="right" w:leader="dot" w:pos="9016"/>
            </w:tabs>
            <w:rPr>
              <w:rFonts w:eastAsiaTheme="minorEastAsia"/>
              <w:noProof/>
              <w:lang w:eastAsia="en-GB"/>
            </w:rPr>
          </w:pPr>
          <w:hyperlink w:anchor="_Toc533176876" w:history="1">
            <w:r w:rsidRPr="00D84D65">
              <w:rPr>
                <w:rStyle w:val="Hyperlink"/>
                <w:noProof/>
              </w:rPr>
              <w:t>2.1</w:t>
            </w:r>
            <w:r>
              <w:rPr>
                <w:rFonts w:eastAsiaTheme="minorEastAsia"/>
                <w:noProof/>
                <w:lang w:eastAsia="en-GB"/>
              </w:rPr>
              <w:tab/>
            </w:r>
            <w:r w:rsidRPr="00D84D65">
              <w:rPr>
                <w:rStyle w:val="Hyperlink"/>
                <w:noProof/>
              </w:rPr>
              <w:t>Combating child poverty: an issue of fundamental rights (2018)</w:t>
            </w:r>
            <w:r>
              <w:rPr>
                <w:noProof/>
                <w:webHidden/>
              </w:rPr>
              <w:tab/>
            </w:r>
            <w:r>
              <w:rPr>
                <w:noProof/>
                <w:webHidden/>
              </w:rPr>
              <w:fldChar w:fldCharType="begin"/>
            </w:r>
            <w:r>
              <w:rPr>
                <w:noProof/>
                <w:webHidden/>
              </w:rPr>
              <w:instrText xml:space="preserve"> PAGEREF _Toc533176876 \h </w:instrText>
            </w:r>
            <w:r>
              <w:rPr>
                <w:noProof/>
                <w:webHidden/>
              </w:rPr>
            </w:r>
            <w:r>
              <w:rPr>
                <w:noProof/>
                <w:webHidden/>
              </w:rPr>
              <w:fldChar w:fldCharType="separate"/>
            </w:r>
            <w:r>
              <w:rPr>
                <w:noProof/>
                <w:webHidden/>
              </w:rPr>
              <w:t>4</w:t>
            </w:r>
            <w:r>
              <w:rPr>
                <w:noProof/>
                <w:webHidden/>
              </w:rPr>
              <w:fldChar w:fldCharType="end"/>
            </w:r>
          </w:hyperlink>
        </w:p>
        <w:p w14:paraId="3747349D" w14:textId="77777777" w:rsidR="00ED21A7" w:rsidRDefault="00ED21A7">
          <w:pPr>
            <w:pStyle w:val="TOC2"/>
            <w:tabs>
              <w:tab w:val="right" w:leader="dot" w:pos="9016"/>
            </w:tabs>
            <w:rPr>
              <w:rFonts w:eastAsiaTheme="minorEastAsia"/>
              <w:noProof/>
              <w:lang w:eastAsia="en-GB"/>
            </w:rPr>
          </w:pPr>
          <w:hyperlink w:anchor="_Toc533176877" w:history="1">
            <w:r w:rsidRPr="00D84D65">
              <w:rPr>
                <w:rStyle w:val="Hyperlink"/>
                <w:rFonts w:eastAsiaTheme="majorEastAsia" w:cstheme="majorBidi"/>
                <w:noProof/>
              </w:rPr>
              <w:t>2.2 European legal and policy framework on immigration detention of children (2017)</w:t>
            </w:r>
            <w:r>
              <w:rPr>
                <w:noProof/>
                <w:webHidden/>
              </w:rPr>
              <w:tab/>
            </w:r>
            <w:r>
              <w:rPr>
                <w:noProof/>
                <w:webHidden/>
              </w:rPr>
              <w:fldChar w:fldCharType="begin"/>
            </w:r>
            <w:r>
              <w:rPr>
                <w:noProof/>
                <w:webHidden/>
              </w:rPr>
              <w:instrText xml:space="preserve"> PAGEREF _Toc533176877 \h </w:instrText>
            </w:r>
            <w:r>
              <w:rPr>
                <w:noProof/>
                <w:webHidden/>
              </w:rPr>
            </w:r>
            <w:r>
              <w:rPr>
                <w:noProof/>
                <w:webHidden/>
              </w:rPr>
              <w:fldChar w:fldCharType="separate"/>
            </w:r>
            <w:r>
              <w:rPr>
                <w:noProof/>
                <w:webHidden/>
              </w:rPr>
              <w:t>4</w:t>
            </w:r>
            <w:r>
              <w:rPr>
                <w:noProof/>
                <w:webHidden/>
              </w:rPr>
              <w:fldChar w:fldCharType="end"/>
            </w:r>
          </w:hyperlink>
        </w:p>
        <w:p w14:paraId="41BA3763" w14:textId="77777777" w:rsidR="00ED21A7" w:rsidRDefault="00ED21A7">
          <w:pPr>
            <w:pStyle w:val="TOC2"/>
            <w:tabs>
              <w:tab w:val="right" w:leader="dot" w:pos="9016"/>
            </w:tabs>
            <w:rPr>
              <w:rFonts w:eastAsiaTheme="minorEastAsia"/>
              <w:noProof/>
              <w:lang w:eastAsia="en-GB"/>
            </w:rPr>
          </w:pPr>
          <w:hyperlink w:anchor="_Toc533176878" w:history="1">
            <w:r w:rsidRPr="00D84D65">
              <w:rPr>
                <w:rStyle w:val="Hyperlink"/>
                <w:rFonts w:eastAsiaTheme="majorEastAsia" w:cstheme="majorBidi"/>
                <w:noProof/>
              </w:rPr>
              <w:t>2.3 Mapping of minimum age requirements</w:t>
            </w:r>
            <w:r>
              <w:rPr>
                <w:noProof/>
                <w:webHidden/>
              </w:rPr>
              <w:tab/>
            </w:r>
            <w:r>
              <w:rPr>
                <w:noProof/>
                <w:webHidden/>
              </w:rPr>
              <w:fldChar w:fldCharType="begin"/>
            </w:r>
            <w:r>
              <w:rPr>
                <w:noProof/>
                <w:webHidden/>
              </w:rPr>
              <w:instrText xml:space="preserve"> PAGEREF _Toc533176878 \h </w:instrText>
            </w:r>
            <w:r>
              <w:rPr>
                <w:noProof/>
                <w:webHidden/>
              </w:rPr>
            </w:r>
            <w:r>
              <w:rPr>
                <w:noProof/>
                <w:webHidden/>
              </w:rPr>
              <w:fldChar w:fldCharType="separate"/>
            </w:r>
            <w:r>
              <w:rPr>
                <w:noProof/>
                <w:webHidden/>
              </w:rPr>
              <w:t>5</w:t>
            </w:r>
            <w:r>
              <w:rPr>
                <w:noProof/>
                <w:webHidden/>
              </w:rPr>
              <w:fldChar w:fldCharType="end"/>
            </w:r>
          </w:hyperlink>
        </w:p>
        <w:p w14:paraId="3DA9E538" w14:textId="77777777" w:rsidR="009400A5" w:rsidRPr="00D316E0" w:rsidRDefault="009400A5" w:rsidP="009400A5">
          <w:pPr>
            <w:spacing w:line="240" w:lineRule="auto"/>
            <w:jc w:val="both"/>
          </w:pPr>
          <w:r w:rsidRPr="00D316E0">
            <w:rPr>
              <w:b/>
              <w:bCs/>
              <w:noProof/>
            </w:rPr>
            <w:fldChar w:fldCharType="end"/>
          </w:r>
        </w:p>
      </w:sdtContent>
    </w:sdt>
    <w:p w14:paraId="39CB5C9A" w14:textId="77777777" w:rsidR="009400A5" w:rsidRPr="00D316E0" w:rsidRDefault="009400A5" w:rsidP="009400A5">
      <w:pPr>
        <w:spacing w:line="240" w:lineRule="auto"/>
        <w:jc w:val="both"/>
        <w:rPr>
          <w:i/>
        </w:rPr>
      </w:pPr>
    </w:p>
    <w:p w14:paraId="49AC4FD2" w14:textId="77777777" w:rsidR="009400A5" w:rsidRPr="00D316E0" w:rsidRDefault="009400A5" w:rsidP="009400A5">
      <w:pPr>
        <w:spacing w:line="240" w:lineRule="auto"/>
        <w:jc w:val="both"/>
        <w:rPr>
          <w:i/>
        </w:rPr>
      </w:pPr>
    </w:p>
    <w:p w14:paraId="727EF6E4" w14:textId="77777777" w:rsidR="006C3678" w:rsidRDefault="006C3678">
      <w:pPr>
        <w:rPr>
          <w:i/>
        </w:rPr>
      </w:pPr>
      <w:r>
        <w:rPr>
          <w:i/>
        </w:rPr>
        <w:br w:type="page"/>
      </w:r>
    </w:p>
    <w:p w14:paraId="0BD26D3C" w14:textId="77777777" w:rsidR="009400A5" w:rsidRPr="00D316E0" w:rsidRDefault="009400A5" w:rsidP="009400A5">
      <w:pPr>
        <w:spacing w:line="240" w:lineRule="auto"/>
        <w:jc w:val="both"/>
        <w:rPr>
          <w:i/>
        </w:rPr>
      </w:pPr>
    </w:p>
    <w:p w14:paraId="22B5598F" w14:textId="77777777" w:rsidR="009400A5" w:rsidRPr="00D316E0" w:rsidRDefault="009400A5" w:rsidP="009400A5">
      <w:pPr>
        <w:spacing w:line="240" w:lineRule="auto"/>
        <w:jc w:val="both"/>
      </w:pPr>
    </w:p>
    <w:p w14:paraId="223996B9" w14:textId="77777777" w:rsidR="009400A5" w:rsidRDefault="009400A5" w:rsidP="009400A5">
      <w:pPr>
        <w:pStyle w:val="ListParagraph"/>
        <w:keepNext/>
        <w:keepLines/>
        <w:numPr>
          <w:ilvl w:val="0"/>
          <w:numId w:val="1"/>
        </w:numPr>
        <w:spacing w:after="160"/>
        <w:jc w:val="both"/>
        <w:outlineLvl w:val="0"/>
        <w:rPr>
          <w:rFonts w:eastAsiaTheme="majorEastAsia" w:cstheme="majorBidi"/>
          <w:b/>
          <w:color w:val="2E74B5" w:themeColor="accent1" w:themeShade="BF"/>
          <w:sz w:val="32"/>
          <w:szCs w:val="32"/>
          <w:lang w:val="en-GB"/>
        </w:rPr>
      </w:pPr>
      <w:bookmarkStart w:id="0" w:name="_Toc447537933"/>
      <w:bookmarkStart w:id="1" w:name="_Toc533176871"/>
      <w:r w:rsidRPr="00D316E0">
        <w:rPr>
          <w:rFonts w:eastAsiaTheme="majorEastAsia" w:cstheme="majorBidi"/>
          <w:b/>
          <w:color w:val="2E74B5" w:themeColor="accent1" w:themeShade="BF"/>
          <w:sz w:val="32"/>
          <w:szCs w:val="32"/>
          <w:lang w:val="en-GB"/>
        </w:rPr>
        <w:t>Annual reports</w:t>
      </w:r>
      <w:bookmarkEnd w:id="0"/>
      <w:bookmarkEnd w:id="1"/>
    </w:p>
    <w:p w14:paraId="1657ED88" w14:textId="77777777" w:rsidR="00C65E84" w:rsidRPr="00D316E0" w:rsidRDefault="00C65E84" w:rsidP="00C65E84">
      <w:pPr>
        <w:pStyle w:val="ListParagraph"/>
        <w:keepNext/>
        <w:keepLines/>
        <w:spacing w:after="160"/>
        <w:jc w:val="both"/>
        <w:outlineLvl w:val="0"/>
        <w:rPr>
          <w:rFonts w:eastAsiaTheme="majorEastAsia" w:cstheme="majorBidi"/>
          <w:b/>
          <w:color w:val="2E74B5" w:themeColor="accent1" w:themeShade="BF"/>
          <w:sz w:val="32"/>
          <w:szCs w:val="32"/>
          <w:lang w:val="en-GB"/>
        </w:rPr>
      </w:pPr>
    </w:p>
    <w:p w14:paraId="46404855" w14:textId="77777777" w:rsidR="00C65E84" w:rsidRDefault="00C65E84" w:rsidP="00C65E84">
      <w:pPr>
        <w:pStyle w:val="ListParagraph"/>
        <w:keepNext/>
        <w:keepLines/>
        <w:numPr>
          <w:ilvl w:val="1"/>
          <w:numId w:val="3"/>
        </w:numPr>
        <w:outlineLvl w:val="1"/>
        <w:rPr>
          <w:rFonts w:eastAsiaTheme="majorEastAsia" w:cstheme="majorBidi"/>
          <w:color w:val="2E74B5" w:themeColor="accent1" w:themeShade="BF"/>
          <w:sz w:val="26"/>
          <w:szCs w:val="26"/>
        </w:rPr>
      </w:pPr>
      <w:bookmarkStart w:id="2" w:name="_Toc533176872"/>
      <w:r w:rsidRPr="00434961">
        <w:rPr>
          <w:rFonts w:eastAsiaTheme="majorEastAsia" w:cstheme="majorBidi"/>
          <w:color w:val="2E74B5" w:themeColor="accent1" w:themeShade="BF"/>
          <w:sz w:val="28"/>
          <w:szCs w:val="26"/>
        </w:rPr>
        <w:t>Fundamental</w:t>
      </w:r>
      <w:r w:rsidRPr="00434961">
        <w:rPr>
          <w:rFonts w:eastAsiaTheme="majorEastAsia" w:cstheme="majorBidi"/>
          <w:color w:val="2E74B5" w:themeColor="accent1" w:themeShade="BF"/>
          <w:sz w:val="26"/>
          <w:szCs w:val="26"/>
        </w:rPr>
        <w:t xml:space="preserve"> Rights Report 201</w:t>
      </w:r>
      <w:r>
        <w:rPr>
          <w:rFonts w:eastAsiaTheme="majorEastAsia" w:cstheme="majorBidi"/>
          <w:color w:val="2E74B5" w:themeColor="accent1" w:themeShade="BF"/>
          <w:sz w:val="26"/>
          <w:szCs w:val="26"/>
        </w:rPr>
        <w:t>8</w:t>
      </w:r>
      <w:r w:rsidRPr="00434961">
        <w:rPr>
          <w:rFonts w:eastAsiaTheme="majorEastAsia" w:cstheme="majorBidi"/>
          <w:color w:val="2E74B5" w:themeColor="accent1" w:themeShade="BF"/>
          <w:sz w:val="26"/>
          <w:szCs w:val="26"/>
        </w:rPr>
        <w:t xml:space="preserve"> Report</w:t>
      </w:r>
      <w:bookmarkEnd w:id="2"/>
    </w:p>
    <w:p w14:paraId="2B23BB1F" w14:textId="77777777" w:rsidR="00C65E84" w:rsidRPr="00C65E84" w:rsidRDefault="00C65E84" w:rsidP="00C65E84">
      <w:r>
        <w:t xml:space="preserve">For more detailed information: </w:t>
      </w:r>
      <w:hyperlink r:id="rId7" w:anchor="child-rights" w:history="1">
        <w:r w:rsidRPr="00F16132">
          <w:rPr>
            <w:rStyle w:val="Hyperlink"/>
          </w:rPr>
          <w:t>https://fra.europa.eu/en/publications-and-resources/publications/annual-reports/fundamental-rights-2018#child-rights</w:t>
        </w:r>
      </w:hyperlink>
      <w:r>
        <w:t xml:space="preserve"> </w:t>
      </w:r>
    </w:p>
    <w:p w14:paraId="14CE70BA" w14:textId="77777777" w:rsidR="009400A5" w:rsidRDefault="00C65E84" w:rsidP="009400A5">
      <w:pPr>
        <w:spacing w:line="240" w:lineRule="auto"/>
        <w:jc w:val="both"/>
      </w:pPr>
      <w:r>
        <w:t>“In the Walloon region in Belgium, a new decree aims to extend the obligation to provide emergency housing; it introduces modifications to help bring unoccupied dwellings into use, and creates a mechanism to force the sale of social housing to its inhabitants” (p. 180)</w:t>
      </w:r>
    </w:p>
    <w:p w14:paraId="4EC74897" w14:textId="77777777" w:rsidR="00C65E84" w:rsidRDefault="00C65E84" w:rsidP="009400A5">
      <w:pPr>
        <w:spacing w:line="240" w:lineRule="auto"/>
        <w:jc w:val="both"/>
      </w:pPr>
      <w:r>
        <w:t>“In B</w:t>
      </w:r>
      <w:r w:rsidR="00390A4F">
        <w:t>elgium, a coalition</w:t>
      </w:r>
      <w:r>
        <w:t xml:space="preserve"> of more than 100 NGOs has taken a stand against the construction of a new closed centre for the detention of families with children.</w:t>
      </w:r>
      <w:r w:rsidR="00390A4F">
        <w:t>” (p.184)</w:t>
      </w:r>
    </w:p>
    <w:p w14:paraId="4E38AB76" w14:textId="77777777" w:rsidR="00390A4F" w:rsidRDefault="00390A4F" w:rsidP="009400A5">
      <w:pPr>
        <w:spacing w:line="240" w:lineRule="auto"/>
        <w:jc w:val="both"/>
      </w:pPr>
      <w:r>
        <w:t>“In Belgium, the Wallonia–Brussels Federation opened a  centre for help and care of persons affected by radicalisation and violent extremism. It offers systematic individualised care to children and adults susceptible to radicalisation and provides support to families. Concretely, it provides a  telephone contact line and psycho-social assistance, initiates tailor-made disengagement paths, and coordinates a research centre.”(p.188)</w:t>
      </w:r>
    </w:p>
    <w:p w14:paraId="6F16A934" w14:textId="77777777" w:rsidR="00390A4F" w:rsidRPr="00D316E0" w:rsidRDefault="00390A4F" w:rsidP="00390A4F">
      <w:pPr>
        <w:spacing w:line="240" w:lineRule="auto"/>
        <w:jc w:val="both"/>
        <w:rPr>
          <w:b/>
        </w:rPr>
      </w:pPr>
      <w:r>
        <w:t>“In Belgium, an educational tool accompanies Lettres à Nour, a play that tells the story of the correspondence between a father and his daughter who went to fight for IS. The tool is divided into nine chapters, each of which deals with a topic such as Islam, geopolitical considerations or manipulation methods. The tool is meant to serve as a resource for teachers of students in years 5 and 6 to generate in-depth reflection on the phenomenon of radicalisation in the classroom.” (p. 188)</w:t>
      </w:r>
    </w:p>
    <w:p w14:paraId="536619D7" w14:textId="77777777" w:rsidR="009400A5" w:rsidRDefault="009400A5" w:rsidP="009400A5">
      <w:pPr>
        <w:pStyle w:val="ListParagraph"/>
        <w:keepNext/>
        <w:keepLines/>
        <w:numPr>
          <w:ilvl w:val="1"/>
          <w:numId w:val="3"/>
        </w:numPr>
        <w:outlineLvl w:val="1"/>
        <w:rPr>
          <w:rFonts w:eastAsiaTheme="majorEastAsia" w:cstheme="majorBidi"/>
          <w:color w:val="2E74B5" w:themeColor="accent1" w:themeShade="BF"/>
          <w:sz w:val="26"/>
          <w:szCs w:val="26"/>
        </w:rPr>
      </w:pPr>
      <w:bookmarkStart w:id="3" w:name="_Toc533176873"/>
      <w:r w:rsidRPr="00434961">
        <w:rPr>
          <w:rFonts w:eastAsiaTheme="majorEastAsia" w:cstheme="majorBidi"/>
          <w:color w:val="2E74B5" w:themeColor="accent1" w:themeShade="BF"/>
          <w:sz w:val="28"/>
          <w:szCs w:val="26"/>
        </w:rPr>
        <w:t>Fundamental</w:t>
      </w:r>
      <w:r w:rsidRPr="00434961">
        <w:rPr>
          <w:rFonts w:eastAsiaTheme="majorEastAsia" w:cstheme="majorBidi"/>
          <w:color w:val="2E74B5" w:themeColor="accent1" w:themeShade="BF"/>
          <w:sz w:val="26"/>
          <w:szCs w:val="26"/>
        </w:rPr>
        <w:t xml:space="preserve"> Rights Report 2017 Report</w:t>
      </w:r>
      <w:bookmarkEnd w:id="3"/>
    </w:p>
    <w:p w14:paraId="0EFA20F4" w14:textId="77777777" w:rsidR="009400A5" w:rsidRDefault="009400A5" w:rsidP="009400A5">
      <w:r w:rsidRPr="00D316E0">
        <w:t>For more detailed information:</w:t>
      </w:r>
      <w:r>
        <w:t xml:space="preserve"> </w:t>
      </w:r>
      <w:hyperlink r:id="rId8" w:anchor="child-rights" w:history="1">
        <w:r w:rsidRPr="00331907">
          <w:rPr>
            <w:rStyle w:val="Hyperlink"/>
          </w:rPr>
          <w:t>http://fra.europa.eu/en/publications-and-resources/publications/annual-reports/fundamental-rights-2017#child-rights</w:t>
        </w:r>
      </w:hyperlink>
      <w:r>
        <w:t xml:space="preserve"> </w:t>
      </w:r>
    </w:p>
    <w:p w14:paraId="2CCEEDEF" w14:textId="77777777" w:rsidR="009400A5" w:rsidRDefault="009400A5" w:rsidP="00390A4F">
      <w:pPr>
        <w:jc w:val="both"/>
      </w:pPr>
      <w:r w:rsidRPr="009400A5">
        <w:rPr>
          <w:u w:val="single"/>
        </w:rPr>
        <w:t>Children at risk of poverty or social exclusion</w:t>
      </w:r>
      <w:r w:rsidR="00C65E84">
        <w:rPr>
          <w:u w:val="single"/>
        </w:rPr>
        <w:t>:</w:t>
      </w:r>
      <w:r w:rsidR="00C65E84">
        <w:t xml:space="preserve"> </w:t>
      </w:r>
      <w:r w:rsidRPr="00C65E84">
        <w:t>“</w:t>
      </w:r>
      <w:r>
        <w:t xml:space="preserve">In about one third of the countries, only minor changes can be observed between the situations in 2005 and 2015, increasing or decreasing by at most one percentage point. This is the case in </w:t>
      </w:r>
      <w:r w:rsidRPr="009400A5">
        <w:rPr>
          <w:b/>
        </w:rPr>
        <w:t>Belgium</w:t>
      </w:r>
      <w:r>
        <w:t xml:space="preserve">, Denmark, 11 Finland, Germany, Ireland, Luxembourg, Portugal, Slovenia, Sweden and the United Kingdom. The lack of progress since 2005 is especially worrying in countries that had high rates that year  – such as </w:t>
      </w:r>
      <w:r w:rsidRPr="009400A5">
        <w:rPr>
          <w:b/>
        </w:rPr>
        <w:t>Belgium</w:t>
      </w:r>
      <w:r>
        <w:t xml:space="preserve"> and Luxembourg at around 23 %, and Ireland, Portugal and the United Kingdom at around 30 %.”(p. 176)</w:t>
      </w:r>
    </w:p>
    <w:p w14:paraId="198AB3A2" w14:textId="77777777" w:rsidR="002061B1" w:rsidRPr="002061B1" w:rsidRDefault="002061B1" w:rsidP="00390A4F">
      <w:pPr>
        <w:jc w:val="both"/>
      </w:pPr>
      <w:r w:rsidRPr="002061B1">
        <w:rPr>
          <w:noProof/>
          <w:lang w:eastAsia="en-GB"/>
        </w:rPr>
        <w:lastRenderedPageBreak/>
        <w:drawing>
          <wp:inline distT="0" distB="0" distL="0" distR="0">
            <wp:extent cx="4674413" cy="3478671"/>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58777" cy="3541455"/>
                    </a:xfrm>
                    <a:prstGeom prst="rect">
                      <a:avLst/>
                    </a:prstGeom>
                    <a:noFill/>
                    <a:ln>
                      <a:noFill/>
                    </a:ln>
                  </pic:spPr>
                </pic:pic>
              </a:graphicData>
            </a:graphic>
          </wp:inline>
        </w:drawing>
      </w:r>
      <w:r w:rsidRPr="002061B1">
        <w:t xml:space="preserve"> (p. 176)</w:t>
      </w:r>
    </w:p>
    <w:p w14:paraId="7919FE1A" w14:textId="77777777" w:rsidR="009400A5" w:rsidRDefault="00C65E84" w:rsidP="009400A5">
      <w:pPr>
        <w:jc w:val="both"/>
      </w:pPr>
      <w:r>
        <w:t xml:space="preserve"> </w:t>
      </w:r>
      <w:r w:rsidR="009400A5">
        <w:t xml:space="preserve">“In the 12 countries that provide foster care, practices are either diverse or uniform. Having diverse practices means that they may vary at regional, local or municipal level, because they are not harmonised nationally. This is the case in Austria, </w:t>
      </w:r>
      <w:r w:rsidR="009400A5" w:rsidRPr="00C65E84">
        <w:rPr>
          <w:b/>
        </w:rPr>
        <w:t>Belgium</w:t>
      </w:r>
      <w:r w:rsidR="009400A5">
        <w:t xml:space="preserve">, </w:t>
      </w:r>
      <w:r w:rsidR="009400A5" w:rsidRPr="00C65E84">
        <w:t>Denmark</w:t>
      </w:r>
      <w:r w:rsidR="009400A5">
        <w:t>, Estonia, France, Germany and Poland.” (p. 185)</w:t>
      </w:r>
    </w:p>
    <w:p w14:paraId="75362ABF" w14:textId="77777777" w:rsidR="009400A5" w:rsidRPr="00434961" w:rsidRDefault="009400A5" w:rsidP="009400A5">
      <w:pPr>
        <w:pStyle w:val="ListParagraph"/>
        <w:keepNext/>
        <w:keepLines/>
        <w:numPr>
          <w:ilvl w:val="1"/>
          <w:numId w:val="3"/>
        </w:numPr>
        <w:outlineLvl w:val="1"/>
        <w:rPr>
          <w:rFonts w:eastAsiaTheme="majorEastAsia" w:cstheme="majorBidi"/>
          <w:color w:val="2E74B5" w:themeColor="accent1" w:themeShade="BF"/>
          <w:sz w:val="26"/>
          <w:szCs w:val="26"/>
        </w:rPr>
      </w:pPr>
      <w:bookmarkStart w:id="4" w:name="_Toc533176874"/>
      <w:r w:rsidRPr="00434961">
        <w:rPr>
          <w:rFonts w:eastAsiaTheme="majorEastAsia" w:cstheme="majorBidi"/>
          <w:color w:val="2E74B5" w:themeColor="accent1" w:themeShade="BF"/>
          <w:sz w:val="28"/>
          <w:szCs w:val="26"/>
        </w:rPr>
        <w:t>Fundamental</w:t>
      </w:r>
      <w:r w:rsidRPr="00434961">
        <w:rPr>
          <w:rFonts w:eastAsiaTheme="majorEastAsia" w:cstheme="majorBidi"/>
          <w:color w:val="2E74B5" w:themeColor="accent1" w:themeShade="BF"/>
          <w:sz w:val="26"/>
          <w:szCs w:val="26"/>
        </w:rPr>
        <w:t xml:space="preserve"> Rights Report 201</w:t>
      </w:r>
      <w:r>
        <w:rPr>
          <w:rFonts w:eastAsiaTheme="majorEastAsia" w:cstheme="majorBidi"/>
          <w:color w:val="2E74B5" w:themeColor="accent1" w:themeShade="BF"/>
          <w:sz w:val="26"/>
          <w:szCs w:val="26"/>
        </w:rPr>
        <w:t>6</w:t>
      </w:r>
      <w:r w:rsidRPr="00434961">
        <w:rPr>
          <w:rFonts w:eastAsiaTheme="majorEastAsia" w:cstheme="majorBidi"/>
          <w:color w:val="2E74B5" w:themeColor="accent1" w:themeShade="BF"/>
          <w:sz w:val="26"/>
          <w:szCs w:val="26"/>
        </w:rPr>
        <w:t xml:space="preserve"> Report</w:t>
      </w:r>
      <w:bookmarkEnd w:id="4"/>
    </w:p>
    <w:p w14:paraId="1FEBAE54" w14:textId="77777777" w:rsidR="00ED21A7" w:rsidRDefault="00ED21A7" w:rsidP="00390A4F">
      <w:pPr>
        <w:spacing w:line="240" w:lineRule="auto"/>
      </w:pPr>
    </w:p>
    <w:p w14:paraId="3A12D29B" w14:textId="77777777" w:rsidR="00390A4F" w:rsidRDefault="009400A5" w:rsidP="00390A4F">
      <w:pPr>
        <w:spacing w:line="240" w:lineRule="auto"/>
        <w:rPr>
          <w:rStyle w:val="Hyperlink"/>
        </w:rPr>
      </w:pPr>
      <w:r w:rsidRPr="00D316E0">
        <w:t xml:space="preserve">For more detailed information: </w:t>
      </w:r>
      <w:hyperlink r:id="rId10" w:history="1">
        <w:r w:rsidRPr="00D316E0">
          <w:rPr>
            <w:rStyle w:val="Hyperlink"/>
          </w:rPr>
          <w:t>http://fra.europa.eu/en/publications-and-resources/publications/annual-reports/fundamental-rights-2016</w:t>
        </w:r>
      </w:hyperlink>
    </w:p>
    <w:p w14:paraId="7ADD4D2B" w14:textId="2CC2A652" w:rsidR="00C65E84" w:rsidRDefault="00ED21A7" w:rsidP="009400A5">
      <w:pPr>
        <w:spacing w:line="240" w:lineRule="auto"/>
        <w:jc w:val="both"/>
      </w:pPr>
      <w:bookmarkStart w:id="5" w:name="_GoBack"/>
      <w:bookmarkEnd w:id="5"/>
      <w:r w:rsidRPr="00D316E0">
        <w:rPr>
          <w:rFonts w:cs="DaxlinePro-Regular"/>
          <w:color w:val="000000"/>
          <w:sz w:val="24"/>
          <w:szCs w:val="24"/>
        </w:rPr>
        <w:t xml:space="preserve"> </w:t>
      </w:r>
      <w:r w:rsidR="009400A5" w:rsidRPr="00D316E0">
        <w:rPr>
          <w:rFonts w:cs="DaxlinePro-Regular"/>
          <w:color w:val="000000"/>
          <w:sz w:val="24"/>
          <w:szCs w:val="24"/>
        </w:rPr>
        <w:t>“</w:t>
      </w:r>
      <w:r w:rsidR="00C65E84">
        <w:t xml:space="preserve">The EU has established common safeguards in relation to specific forms of violence, such as sexual violence against children. But the implementation of the Directive on combating sexual abuse and sexual exploitation of children and child pornography (2011/93/EU)57 continued to encounter difficulties. In 2014, the Commission opened formal infringement procedures against 11 Member States for non-communication of national measures implementing the directive. By the end of 2015, it did close the cases involving Cyprus, Hungary, the Netherlands and the United Kingdom due to correct implementation or submission of information.5 However, in the cases of </w:t>
      </w:r>
      <w:r w:rsidR="00C65E84" w:rsidRPr="00C65E84">
        <w:rPr>
          <w:b/>
        </w:rPr>
        <w:t>Belgium</w:t>
      </w:r>
      <w:r w:rsidR="00C65E84">
        <w:t>, Greece, Italy, Malta, Portugal, Romania and Spain, the Commission launched the second stage of infringement procedures with reasoned opinions, asking them to notify the Commission of all measures taken to ensure full implementation, including bringing national legislation in line with EU law.” (p. 142)</w:t>
      </w:r>
    </w:p>
    <w:p w14:paraId="16E65D0A" w14:textId="77777777" w:rsidR="009400A5" w:rsidRPr="006C3678" w:rsidRDefault="00C65E84" w:rsidP="009400A5">
      <w:pPr>
        <w:spacing w:line="240" w:lineRule="auto"/>
        <w:jc w:val="both"/>
        <w:rPr>
          <w:rFonts w:cs="DaxlinePro-Regular"/>
          <w:color w:val="000000"/>
          <w:sz w:val="24"/>
          <w:szCs w:val="24"/>
        </w:rPr>
      </w:pPr>
      <w:r>
        <w:t xml:space="preserve">“The European Committee of Social Rights (ESCR) focused on corporal punishment as a form of violence against children and has now adopted all decisions on the merits of the collective complaints made in 2013 against several Member States. The ESCR found a violation of Article 17 of the European Social Charter in Ireland, Slovenia, </w:t>
      </w:r>
      <w:r w:rsidRPr="00C65E84">
        <w:rPr>
          <w:b/>
        </w:rPr>
        <w:t>Belgium</w:t>
      </w:r>
      <w:r>
        <w:t>, the Czech Republic and France – but not in Italy – for not explicitly prohibiting all forms of corporal punishments.” (p. 143)</w:t>
      </w:r>
    </w:p>
    <w:p w14:paraId="1E8C0A33" w14:textId="77777777" w:rsidR="009400A5" w:rsidRDefault="009400A5" w:rsidP="009400A5">
      <w:pPr>
        <w:pStyle w:val="ListParagraph"/>
        <w:keepNext/>
        <w:keepLines/>
        <w:numPr>
          <w:ilvl w:val="0"/>
          <w:numId w:val="1"/>
        </w:numPr>
        <w:spacing w:after="160"/>
        <w:outlineLvl w:val="0"/>
        <w:rPr>
          <w:rFonts w:eastAsiaTheme="majorEastAsia" w:cstheme="majorBidi"/>
          <w:b/>
          <w:color w:val="2E74B5" w:themeColor="accent1" w:themeShade="BF"/>
          <w:sz w:val="32"/>
          <w:szCs w:val="32"/>
          <w:lang w:val="en-GB"/>
        </w:rPr>
      </w:pPr>
      <w:bookmarkStart w:id="6" w:name="_Toc447537936"/>
      <w:bookmarkStart w:id="7" w:name="_Toc533176875"/>
      <w:r w:rsidRPr="00D316E0">
        <w:rPr>
          <w:rFonts w:eastAsiaTheme="majorEastAsia" w:cstheme="majorBidi"/>
          <w:b/>
          <w:color w:val="2E74B5" w:themeColor="accent1" w:themeShade="BF"/>
          <w:sz w:val="32"/>
          <w:szCs w:val="32"/>
          <w:lang w:val="en-GB"/>
        </w:rPr>
        <w:t>Thematic reports</w:t>
      </w:r>
      <w:bookmarkEnd w:id="6"/>
      <w:bookmarkEnd w:id="7"/>
    </w:p>
    <w:p w14:paraId="7D6FF787" w14:textId="77777777" w:rsidR="005F142B" w:rsidRDefault="005F142B" w:rsidP="006C3678">
      <w:pPr>
        <w:pStyle w:val="Heading2"/>
        <w:numPr>
          <w:ilvl w:val="1"/>
          <w:numId w:val="5"/>
        </w:numPr>
      </w:pPr>
      <w:bookmarkStart w:id="8" w:name="_Toc533176876"/>
      <w:r w:rsidRPr="005F142B">
        <w:t>Combating child poverty: an issue of fundamental rights</w:t>
      </w:r>
      <w:r w:rsidR="007B4C76">
        <w:t xml:space="preserve"> (2018)</w:t>
      </w:r>
      <w:bookmarkEnd w:id="8"/>
    </w:p>
    <w:p w14:paraId="4B77EE4D" w14:textId="77777777" w:rsidR="006C3678" w:rsidRPr="006C3678" w:rsidRDefault="006C3678" w:rsidP="006C3678">
      <w:pPr>
        <w:rPr>
          <w:lang w:val="en-US"/>
        </w:rPr>
      </w:pPr>
    </w:p>
    <w:p w14:paraId="52FDEE57" w14:textId="77777777" w:rsidR="005F142B" w:rsidRPr="005F142B" w:rsidRDefault="005F142B" w:rsidP="006C3678">
      <w:r>
        <w:t xml:space="preserve">For more detailed information: </w:t>
      </w:r>
      <w:hyperlink r:id="rId11" w:history="1">
        <w:r w:rsidRPr="00F16132">
          <w:rPr>
            <w:rStyle w:val="Hyperlink"/>
          </w:rPr>
          <w:t>https://fra.europa.eu/en/publication/2018/child-poverty</w:t>
        </w:r>
      </w:hyperlink>
      <w:r>
        <w:t xml:space="preserve"> </w:t>
      </w:r>
    </w:p>
    <w:p w14:paraId="72AD6ECC" w14:textId="77777777" w:rsidR="005F142B" w:rsidRDefault="005F142B" w:rsidP="005F142B">
      <w:r>
        <w:t>“It also shows that, while flexible arrangements and part-time work are common in some Member States (Austria, Belgium, Germany, the Netherlands, the United Kingdom and Sweden), these arrangements are still associated with lower pay, fewer promotion opportunities and reduced pension entitlements, resulting in a higher risk of poverty and fewer unemployment entitlements. In addition, women are more likely than men to opt for flexible arrangements to take care of children.” (p. 31)</w:t>
      </w:r>
    </w:p>
    <w:p w14:paraId="0280773B" w14:textId="77777777" w:rsidR="005F142B" w:rsidRDefault="00E6562A" w:rsidP="005F142B">
      <w:r w:rsidRPr="00E6562A">
        <w:rPr>
          <w:noProof/>
          <w:lang w:eastAsia="en-GB"/>
        </w:rPr>
        <w:drawing>
          <wp:inline distT="0" distB="0" distL="0" distR="0">
            <wp:extent cx="5496154" cy="40233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61440" cy="414435"/>
                    </a:xfrm>
                    <a:prstGeom prst="rect">
                      <a:avLst/>
                    </a:prstGeom>
                    <a:noFill/>
                    <a:ln>
                      <a:noFill/>
                    </a:ln>
                  </pic:spPr>
                </pic:pic>
              </a:graphicData>
            </a:graphic>
          </wp:inline>
        </w:drawing>
      </w:r>
    </w:p>
    <w:p w14:paraId="156AD44C" w14:textId="77777777" w:rsidR="00E6562A" w:rsidRPr="00346E66" w:rsidRDefault="00E6562A" w:rsidP="005F142B">
      <w:r w:rsidRPr="00E6562A">
        <w:rPr>
          <w:noProof/>
          <w:lang w:eastAsia="en-GB"/>
        </w:rPr>
        <w:drawing>
          <wp:inline distT="0" distB="0" distL="0" distR="0">
            <wp:extent cx="5435194" cy="55464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01214" cy="571586"/>
                    </a:xfrm>
                    <a:prstGeom prst="rect">
                      <a:avLst/>
                    </a:prstGeom>
                    <a:noFill/>
                    <a:ln>
                      <a:noFill/>
                    </a:ln>
                  </pic:spPr>
                </pic:pic>
              </a:graphicData>
            </a:graphic>
          </wp:inline>
        </w:drawing>
      </w:r>
      <w:r>
        <w:t xml:space="preserve"> (p.43)</w:t>
      </w:r>
    </w:p>
    <w:p w14:paraId="3E5F347D" w14:textId="77777777" w:rsidR="005F142B" w:rsidRDefault="006C3678" w:rsidP="009400A5">
      <w:pPr>
        <w:keepNext/>
        <w:keepLines/>
        <w:spacing w:line="240" w:lineRule="auto"/>
        <w:outlineLvl w:val="1"/>
        <w:rPr>
          <w:rFonts w:eastAsiaTheme="majorEastAsia" w:cstheme="majorBidi"/>
          <w:color w:val="2E74B5" w:themeColor="accent1" w:themeShade="BF"/>
          <w:sz w:val="26"/>
          <w:szCs w:val="26"/>
        </w:rPr>
      </w:pPr>
      <w:bookmarkStart w:id="9" w:name="_Toc447537937"/>
      <w:bookmarkStart w:id="10" w:name="_Toc533176877"/>
      <w:r>
        <w:rPr>
          <w:rFonts w:eastAsiaTheme="majorEastAsia" w:cstheme="majorBidi"/>
          <w:color w:val="2E74B5" w:themeColor="accent1" w:themeShade="BF"/>
          <w:sz w:val="26"/>
          <w:szCs w:val="26"/>
        </w:rPr>
        <w:t>2.2</w:t>
      </w:r>
      <w:r w:rsidR="0097112F">
        <w:rPr>
          <w:rFonts w:eastAsiaTheme="majorEastAsia" w:cstheme="majorBidi"/>
          <w:color w:val="2E74B5" w:themeColor="accent1" w:themeShade="BF"/>
          <w:sz w:val="26"/>
          <w:szCs w:val="26"/>
        </w:rPr>
        <w:t xml:space="preserve"> </w:t>
      </w:r>
      <w:r w:rsidR="0097112F" w:rsidRPr="0097112F">
        <w:rPr>
          <w:rFonts w:eastAsiaTheme="majorEastAsia" w:cstheme="majorBidi"/>
          <w:color w:val="2E74B5" w:themeColor="accent1" w:themeShade="BF"/>
          <w:sz w:val="26"/>
          <w:szCs w:val="26"/>
        </w:rPr>
        <w:t>European legal and policy framework on immigration detention of children</w:t>
      </w:r>
      <w:r w:rsidR="0097112F">
        <w:rPr>
          <w:rFonts w:eastAsiaTheme="majorEastAsia" w:cstheme="majorBidi"/>
          <w:color w:val="2E74B5" w:themeColor="accent1" w:themeShade="BF"/>
          <w:sz w:val="26"/>
          <w:szCs w:val="26"/>
        </w:rPr>
        <w:t xml:space="preserve"> (2017)</w:t>
      </w:r>
      <w:bookmarkEnd w:id="10"/>
    </w:p>
    <w:p w14:paraId="656D77D3" w14:textId="77777777" w:rsidR="0097112F" w:rsidRDefault="0097112F" w:rsidP="0097112F">
      <w:r>
        <w:t xml:space="preserve">For more detailed information: </w:t>
      </w:r>
      <w:hyperlink r:id="rId14" w:history="1">
        <w:r w:rsidRPr="00F16132">
          <w:rPr>
            <w:rStyle w:val="Hyperlink"/>
          </w:rPr>
          <w:t>https://fra.europa.eu/en/publication/2017/child-migrant-detention</w:t>
        </w:r>
      </w:hyperlink>
      <w:r>
        <w:t xml:space="preserve"> </w:t>
      </w:r>
    </w:p>
    <w:p w14:paraId="339AC061" w14:textId="77777777" w:rsidR="0097112F" w:rsidRDefault="0097112F" w:rsidP="0097112F">
      <w:pPr>
        <w:jc w:val="both"/>
      </w:pPr>
      <w:r>
        <w:t>“The number of detention days varied across Member States, from a few hours to several months. Only four EU Member States (</w:t>
      </w:r>
      <w:r w:rsidRPr="0097112F">
        <w:rPr>
          <w:b/>
        </w:rPr>
        <w:t>Belgium</w:t>
      </w:r>
      <w:r>
        <w:t>, Luxembourg, Slovenia and Sweden) had held those children for 15 days or less. The reasons for the prolonged detention included doubts about the age of the child (</w:t>
      </w:r>
      <w:r w:rsidRPr="0097112F">
        <w:rPr>
          <w:b/>
        </w:rPr>
        <w:t>Belgium</w:t>
      </w:r>
      <w:r>
        <w:t>), irregular border crossing (Bulgaria, Croatia, Latvia and Poland), detention pending removal (Hungary) or waiting for appointment of guardian (Slovenia).” (p. 13)</w:t>
      </w:r>
    </w:p>
    <w:p w14:paraId="52D32433" w14:textId="77777777" w:rsidR="0097112F" w:rsidRDefault="0097112F" w:rsidP="0097112F">
      <w:pPr>
        <w:jc w:val="both"/>
      </w:pPr>
      <w:r>
        <w:t xml:space="preserve">“Some Member States ban the detention of unaccompanied children for immigration-related purposes, but allow it when age is disputed. For example, in </w:t>
      </w:r>
      <w:r w:rsidRPr="0097112F">
        <w:rPr>
          <w:b/>
        </w:rPr>
        <w:t>Belgium</w:t>
      </w:r>
      <w:r>
        <w:t>, a person who claims to be a child can be detained at the border for three working days during an age assessment (extendable for another three working days in exceptional cases), but immigration detention of unaccompanied children is forbidden.” (pp. 21 – 22)</w:t>
      </w:r>
    </w:p>
    <w:p w14:paraId="0920A600" w14:textId="77777777" w:rsidR="0097112F" w:rsidRDefault="0097112F" w:rsidP="0097112F">
      <w:pPr>
        <w:jc w:val="both"/>
      </w:pPr>
      <w:r>
        <w:t xml:space="preserve">“Other Member States do not permit detention in principle, but do not forbid it completely. In </w:t>
      </w:r>
      <w:r w:rsidRPr="0097112F">
        <w:rPr>
          <w:b/>
        </w:rPr>
        <w:t>Belgium</w:t>
      </w:r>
      <w:r>
        <w:t>, for example, the principle is to maintain the family unit and avoid the detention of children. Children accompanied by their parents should not be held in detention but be transferred together in return houses – form of designated residence – or, if they were living irregularly in the territory, they can stay in their own residence or be transferred to an open reception centre.92 Article 74/9 (1) of the Immigration Act states that families with children (irregularly staying in the territory or applying for asylum at the border) are in principle not detained. However, the same legal provision makes exceptions possible “if the detention facilities are adapted to the needs of families with minor children.” Furthermore, if families with children try to enter Belgian territory irregularly, the law also provides the possibility of detention “in adapted detention places” and “for as short as possible duration” (Article 74/9 (2)).94 In April 2016 the Belgian Council of State stated that detention centres must be adapted to suit the needs of children, annulling provisions of a 2014 Royal Decree that did not clearly ban the detention of families with children in regular facilities and thus did not conform to the Belgian Immigration Act.” (pp. 34 – 35)</w:t>
      </w:r>
    </w:p>
    <w:p w14:paraId="448D0FF0" w14:textId="77777777" w:rsidR="0097112F" w:rsidRDefault="0097112F" w:rsidP="0097112F">
      <w:pPr>
        <w:jc w:val="both"/>
      </w:pPr>
      <w:r>
        <w:t>“</w:t>
      </w:r>
      <w:r w:rsidRPr="0097112F">
        <w:rPr>
          <w:b/>
        </w:rPr>
        <w:t>Belgium</w:t>
      </w:r>
      <w:r w:rsidRPr="0097112F">
        <w:t xml:space="preserve"> has set up an option to accommodate families with children in open facilities with caseworker support, such as from a  social worker, after several rulings from the ECtHR against the country. If a  family receives a  repatriation order because its application to stay in the territory has been rejected or is no longer valid, the family is transferred to a return house with support from a  case worker or stays in its own residence, providing the dwelling meets the basic requirements of safety and human dignity. This alternative, introduced in practice in 2014, allows families with children to stay in their own houses when preparing to return to their country of origin. Whether they stay in their own dwellings or are placed in return houses, families must comply with certain conditions. The conditions imposed vary on the type of arrangement and may include the reimbursement of costs incurred for damage caused to the Belgian State or the need to pay a deposit, being able to support the family needs, permitting the case worker to access the house at the requested time, and reporting or other obligations</w:t>
      </w:r>
      <w:r>
        <w:t>” (p. 51)</w:t>
      </w:r>
    </w:p>
    <w:p w14:paraId="72A93E08" w14:textId="77777777" w:rsidR="0097112F" w:rsidRDefault="0097112F" w:rsidP="00493838">
      <w:pPr>
        <w:jc w:val="both"/>
      </w:pPr>
      <w:r>
        <w:t xml:space="preserve">“In </w:t>
      </w:r>
      <w:r w:rsidRPr="0097112F">
        <w:rPr>
          <w:b/>
        </w:rPr>
        <w:t>Belgium</w:t>
      </w:r>
      <w:r>
        <w:t>, all persons placed in detention, including children, should meet with a social worker upon arrival, who provides information on the detention facility and the person’s rights and obligations, including the right to appeal.” (p. 66)</w:t>
      </w:r>
    </w:p>
    <w:p w14:paraId="61BD9C8F" w14:textId="77777777" w:rsidR="0097112F" w:rsidRDefault="0097112F" w:rsidP="00493838">
      <w:pPr>
        <w:jc w:val="both"/>
      </w:pPr>
      <w:r>
        <w:t xml:space="preserve">“Teenagers also stay at return houses in </w:t>
      </w:r>
      <w:r w:rsidRPr="0097112F">
        <w:rPr>
          <w:b/>
        </w:rPr>
        <w:t>Belgium</w:t>
      </w:r>
      <w:r>
        <w:t xml:space="preserve"> for months without attending school, reports say.” (p. 81)</w:t>
      </w:r>
    </w:p>
    <w:p w14:paraId="422C0A44" w14:textId="77777777" w:rsidR="00493838" w:rsidRDefault="0097112F" w:rsidP="00493838">
      <w:pPr>
        <w:jc w:val="both"/>
      </w:pPr>
      <w:r>
        <w:t>“</w:t>
      </w:r>
      <w:r w:rsidRPr="0097112F">
        <w:t xml:space="preserve">Only a few Member States have social workers in the detention facilities (usually those that host families), for example </w:t>
      </w:r>
      <w:r w:rsidRPr="0097112F">
        <w:rPr>
          <w:b/>
        </w:rPr>
        <w:t>Belgium</w:t>
      </w:r>
      <w:r w:rsidRPr="0097112F">
        <w:t>, the Czech Republic, Denmark</w:t>
      </w:r>
      <w:r>
        <w:t>, Hungary and the Netherlands.</w:t>
      </w:r>
      <w:r w:rsidRPr="0097112F">
        <w:t xml:space="preserve"> In the </w:t>
      </w:r>
      <w:r w:rsidRPr="00493838">
        <w:rPr>
          <w:b/>
        </w:rPr>
        <w:t>Belgian</w:t>
      </w:r>
      <w:r w:rsidRPr="0097112F">
        <w:t xml:space="preserve"> detention centre La Caricole, each family has a  reference person who is a  social worker</w:t>
      </w:r>
      <w:r>
        <w:t>.” (p. 91)</w:t>
      </w:r>
    </w:p>
    <w:p w14:paraId="2E92B742" w14:textId="77777777" w:rsidR="009F4A13" w:rsidRDefault="00493838" w:rsidP="009F4A13">
      <w:pPr>
        <w:jc w:val="both"/>
      </w:pPr>
      <w:r>
        <w:t xml:space="preserve">“Most Member States provide internal or external mechanisms, or both. Internal complaint mechanisms take various forms. (…) </w:t>
      </w:r>
      <w:r w:rsidRPr="00493838">
        <w:rPr>
          <w:b/>
        </w:rPr>
        <w:t>Belgium</w:t>
      </w:r>
      <w:r>
        <w:t>’s permanent Complaint Commission dealing with individual complaints has declared only 60.6 % of lodged complaints admissible, and only nine of them well founded, Myria reports.” (pp. 93 – 94)</w:t>
      </w:r>
    </w:p>
    <w:p w14:paraId="4D8D2FAD" w14:textId="77777777" w:rsidR="009F4A13" w:rsidRDefault="006C3678" w:rsidP="009F4A13">
      <w:pPr>
        <w:keepNext/>
        <w:keepLines/>
        <w:spacing w:line="240" w:lineRule="auto"/>
        <w:outlineLvl w:val="1"/>
        <w:rPr>
          <w:rFonts w:eastAsiaTheme="majorEastAsia" w:cstheme="majorBidi"/>
          <w:color w:val="2E74B5" w:themeColor="accent1" w:themeShade="BF"/>
          <w:sz w:val="26"/>
          <w:szCs w:val="26"/>
        </w:rPr>
      </w:pPr>
      <w:bookmarkStart w:id="11" w:name="_Toc533176878"/>
      <w:r>
        <w:rPr>
          <w:rFonts w:eastAsiaTheme="majorEastAsia" w:cstheme="majorBidi"/>
          <w:color w:val="2E74B5" w:themeColor="accent1" w:themeShade="BF"/>
          <w:sz w:val="26"/>
          <w:szCs w:val="26"/>
        </w:rPr>
        <w:t xml:space="preserve">2.3 </w:t>
      </w:r>
      <w:r w:rsidR="009F4A13">
        <w:rPr>
          <w:rFonts w:eastAsiaTheme="majorEastAsia" w:cstheme="majorBidi"/>
          <w:color w:val="2E74B5" w:themeColor="accent1" w:themeShade="BF"/>
          <w:sz w:val="26"/>
          <w:szCs w:val="26"/>
        </w:rPr>
        <w:t>Mapping of minimum age requirements</w:t>
      </w:r>
      <w:bookmarkEnd w:id="11"/>
    </w:p>
    <w:p w14:paraId="3C6ACB60" w14:textId="77777777" w:rsidR="009F4A13" w:rsidRDefault="009F4A13" w:rsidP="006C3678">
      <w:pPr>
        <w:jc w:val="both"/>
        <w:rPr>
          <w:rFonts w:eastAsiaTheme="majorEastAsia" w:cstheme="majorBidi"/>
          <w:color w:val="2E74B5" w:themeColor="accent1" w:themeShade="BF"/>
          <w:sz w:val="26"/>
          <w:szCs w:val="26"/>
        </w:rPr>
      </w:pPr>
      <w:r>
        <w:rPr>
          <w:shd w:val="clear" w:color="auto" w:fill="FBFBFB"/>
        </w:rPr>
        <w:t>In 2017, FRA is mapped national laws across EU governing age requirements linked to the child rights of protection and participation. The Convention on the rights of the Child requires States to take children's views into consideration on matters which concern them in accordance with their age and maturity. However, FRA research has shown that the way children are recognised as rights holders differs across the EU. Age requirements can also be arbitrary and inconsistent, potentially limiting child rights</w:t>
      </w:r>
    </w:p>
    <w:p w14:paraId="6808FF4F" w14:textId="77777777" w:rsidR="009F4A13" w:rsidRDefault="009F4A13" w:rsidP="006C3678">
      <w:pPr>
        <w:jc w:val="both"/>
        <w:rPr>
          <w:shd w:val="clear" w:color="auto" w:fill="FBFBFB"/>
        </w:rPr>
      </w:pPr>
      <w:r>
        <w:rPr>
          <w:shd w:val="clear" w:color="auto" w:fill="FBFBFB"/>
        </w:rPr>
        <w:t xml:space="preserve">The areas covered in this mapping exercise are: the legal definition of a child; political participation; social rights and welfare; education; health and medical treatment; employment; child care and child protection; access to justice (including juvenile justice); children in the digital world; asylum and migration. </w:t>
      </w:r>
    </w:p>
    <w:p w14:paraId="3C3766F2" w14:textId="77777777" w:rsidR="0097112F" w:rsidRPr="006C3678" w:rsidRDefault="009F4A13" w:rsidP="006C3678">
      <w:pPr>
        <w:rPr>
          <w:shd w:val="clear" w:color="auto" w:fill="FBFBFB"/>
        </w:rPr>
      </w:pPr>
      <w:r>
        <w:rPr>
          <w:shd w:val="clear" w:color="auto" w:fill="FBFBFB"/>
        </w:rPr>
        <w:t xml:space="preserve">For more detailed information: </w:t>
      </w:r>
      <w:hyperlink r:id="rId15" w:history="1">
        <w:r w:rsidRPr="00F16132">
          <w:rPr>
            <w:rStyle w:val="Hyperlink"/>
            <w:rFonts w:ascii="Verdana" w:hAnsi="Verdana"/>
            <w:sz w:val="19"/>
            <w:szCs w:val="19"/>
            <w:shd w:val="clear" w:color="auto" w:fill="FBFBFB"/>
          </w:rPr>
          <w:t>https://fra.europa.eu/en/publications-and-resources/data-and-maps/minag?mdq1=theme&amp;mdq2=3509</w:t>
        </w:r>
      </w:hyperlink>
      <w:r>
        <w:rPr>
          <w:shd w:val="clear" w:color="auto" w:fill="FBFBFB"/>
        </w:rPr>
        <w:t xml:space="preserve"> </w:t>
      </w:r>
    </w:p>
    <w:p w14:paraId="3475254F" w14:textId="77777777" w:rsidR="009F4A13" w:rsidRPr="009F4A13" w:rsidRDefault="009F4A13" w:rsidP="006C3678">
      <w:pPr>
        <w:rPr>
          <w:shd w:val="clear" w:color="auto" w:fill="FBFBFB"/>
        </w:rPr>
      </w:pPr>
      <w:r>
        <w:rPr>
          <w:shd w:val="clear" w:color="auto" w:fill="FBFBFB"/>
        </w:rPr>
        <w:t xml:space="preserve">As a matter of example, please find some extracts of this mapping concerning the age requirements in Belgium in the area of asylum and migration: </w:t>
      </w:r>
    </w:p>
    <w:p w14:paraId="0D2527E9" w14:textId="77777777" w:rsidR="0097112F" w:rsidRDefault="009F4A13" w:rsidP="00ED21A7">
      <w:r w:rsidRPr="009F4A13">
        <w:rPr>
          <w:noProof/>
          <w:lang w:eastAsia="en-GB"/>
        </w:rPr>
        <w:drawing>
          <wp:inline distT="0" distB="0" distL="0" distR="0">
            <wp:extent cx="5730875" cy="6074159"/>
            <wp:effectExtent l="0" t="0" r="3175" b="3175"/>
            <wp:docPr id="2" name="Picture 2" descr="C:\Users\beckele\Downloads\MDX-MAP-MINAG_en_76078-Tk9ORQ==-Tk9ORQ==-Z3JvdXAwNg==-TUlOQUdfQVMwMQ==-TUlOQUdfQVMwMQ==-MjAxNw==-740.entit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eckele\Downloads\MDX-MAP-MINAG_en_76078-Tk9ORQ==-Tk9ORQ==-Z3JvdXAwNg==-TUlOQUdfQVMwMQ==-TUlOQUdfQVMwMQ==-MjAxNw==-740.entitled.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47587" cy="6091872"/>
                    </a:xfrm>
                    <a:prstGeom prst="rect">
                      <a:avLst/>
                    </a:prstGeom>
                    <a:noFill/>
                    <a:ln>
                      <a:noFill/>
                    </a:ln>
                  </pic:spPr>
                </pic:pic>
              </a:graphicData>
            </a:graphic>
          </wp:inline>
        </w:drawing>
      </w:r>
    </w:p>
    <w:p w14:paraId="6578D1CF" w14:textId="77777777" w:rsidR="0097112F" w:rsidRDefault="0097112F" w:rsidP="009400A5">
      <w:pPr>
        <w:keepNext/>
        <w:keepLines/>
        <w:spacing w:line="240" w:lineRule="auto"/>
        <w:outlineLvl w:val="1"/>
        <w:rPr>
          <w:rFonts w:eastAsiaTheme="majorEastAsia" w:cstheme="majorBidi"/>
          <w:color w:val="2E74B5" w:themeColor="accent1" w:themeShade="BF"/>
          <w:sz w:val="26"/>
          <w:szCs w:val="26"/>
        </w:rPr>
      </w:pPr>
    </w:p>
    <w:p w14:paraId="6715ECEE" w14:textId="77777777" w:rsidR="00702EE9" w:rsidRDefault="00702EE9" w:rsidP="00ED21A7">
      <w:r>
        <w:rPr>
          <w:noProof/>
          <w:lang w:eastAsia="en-GB"/>
        </w:rPr>
        <w:drawing>
          <wp:inline distT="0" distB="0" distL="0" distR="0">
            <wp:extent cx="5731510" cy="644398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nnamed(1).png"/>
                    <pic:cNvPicPr/>
                  </pic:nvPicPr>
                  <pic:blipFill>
                    <a:blip r:embed="rId17">
                      <a:extLst>
                        <a:ext uri="{28A0092B-C50C-407E-A947-70E740481C1C}">
                          <a14:useLocalDpi xmlns:a14="http://schemas.microsoft.com/office/drawing/2010/main" val="0"/>
                        </a:ext>
                      </a:extLst>
                    </a:blip>
                    <a:stretch>
                      <a:fillRect/>
                    </a:stretch>
                  </pic:blipFill>
                  <pic:spPr>
                    <a:xfrm>
                      <a:off x="0" y="0"/>
                      <a:ext cx="5731510" cy="6443980"/>
                    </a:xfrm>
                    <a:prstGeom prst="rect">
                      <a:avLst/>
                    </a:prstGeom>
                  </pic:spPr>
                </pic:pic>
              </a:graphicData>
            </a:graphic>
          </wp:inline>
        </w:drawing>
      </w:r>
    </w:p>
    <w:p w14:paraId="4F2F5488" w14:textId="77777777" w:rsidR="0097112F" w:rsidRDefault="0097112F" w:rsidP="009400A5">
      <w:pPr>
        <w:keepNext/>
        <w:keepLines/>
        <w:spacing w:line="240" w:lineRule="auto"/>
        <w:outlineLvl w:val="1"/>
        <w:rPr>
          <w:rFonts w:eastAsiaTheme="majorEastAsia" w:cstheme="majorBidi"/>
          <w:color w:val="2E74B5" w:themeColor="accent1" w:themeShade="BF"/>
          <w:sz w:val="26"/>
          <w:szCs w:val="26"/>
        </w:rPr>
      </w:pPr>
    </w:p>
    <w:p w14:paraId="65CAB8B9" w14:textId="77777777" w:rsidR="0097112F" w:rsidRDefault="0097112F" w:rsidP="009400A5">
      <w:pPr>
        <w:keepNext/>
        <w:keepLines/>
        <w:spacing w:line="240" w:lineRule="auto"/>
        <w:outlineLvl w:val="1"/>
        <w:rPr>
          <w:rFonts w:eastAsiaTheme="majorEastAsia" w:cstheme="majorBidi"/>
          <w:color w:val="2E74B5" w:themeColor="accent1" w:themeShade="BF"/>
          <w:sz w:val="26"/>
          <w:szCs w:val="26"/>
        </w:rPr>
      </w:pPr>
    </w:p>
    <w:p w14:paraId="2D1D90D0" w14:textId="77777777" w:rsidR="0097112F" w:rsidRDefault="0097112F" w:rsidP="009400A5">
      <w:pPr>
        <w:keepNext/>
        <w:keepLines/>
        <w:spacing w:line="240" w:lineRule="auto"/>
        <w:outlineLvl w:val="1"/>
        <w:rPr>
          <w:rFonts w:eastAsiaTheme="majorEastAsia" w:cstheme="majorBidi"/>
          <w:color w:val="2E74B5" w:themeColor="accent1" w:themeShade="BF"/>
          <w:sz w:val="26"/>
          <w:szCs w:val="26"/>
        </w:rPr>
      </w:pPr>
    </w:p>
    <w:bookmarkEnd w:id="9"/>
    <w:p w14:paraId="62493BD9" w14:textId="77777777" w:rsidR="009400A5" w:rsidRDefault="009400A5" w:rsidP="009400A5">
      <w:pPr>
        <w:spacing w:line="240" w:lineRule="auto"/>
        <w:jc w:val="both"/>
        <w:rPr>
          <w:noProof/>
          <w:lang w:eastAsia="en-GB"/>
        </w:rPr>
      </w:pPr>
    </w:p>
    <w:p w14:paraId="2E89EE31" w14:textId="77777777" w:rsidR="00B14C39" w:rsidRDefault="00B14C39"/>
    <w:sectPr w:rsidR="00B14C39" w:rsidSect="00645959">
      <w:footerReference w:type="default" r:id="rId18"/>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D39B19" w14:textId="77777777" w:rsidR="00AB5219" w:rsidRDefault="00AB5219">
      <w:pPr>
        <w:spacing w:after="0" w:line="240" w:lineRule="auto"/>
      </w:pPr>
      <w:r>
        <w:separator/>
      </w:r>
    </w:p>
  </w:endnote>
  <w:endnote w:type="continuationSeparator" w:id="0">
    <w:p w14:paraId="7CF1D7BC" w14:textId="77777777" w:rsidR="00AB5219" w:rsidRDefault="00AB52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DaxlinePro-Regular">
    <w:altName w:val="Arial"/>
    <w:panose1 w:val="00000000000000000000"/>
    <w:charset w:val="00"/>
    <w:family w:val="swiss"/>
    <w:notTrueType/>
    <w:pitch w:val="variable"/>
    <w:sig w:usb0="A00002FF" w:usb1="4000A4FB"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49127134"/>
      <w:docPartObj>
        <w:docPartGallery w:val="Page Numbers (Bottom of Page)"/>
        <w:docPartUnique/>
      </w:docPartObj>
    </w:sdtPr>
    <w:sdtEndPr>
      <w:rPr>
        <w:noProof/>
      </w:rPr>
    </w:sdtEndPr>
    <w:sdtContent>
      <w:p w14:paraId="432C321B" w14:textId="77777777" w:rsidR="000F0B79" w:rsidRDefault="006C3678">
        <w:pPr>
          <w:pStyle w:val="Footer"/>
          <w:jc w:val="right"/>
        </w:pPr>
        <w:r>
          <w:fldChar w:fldCharType="begin"/>
        </w:r>
        <w:r>
          <w:instrText xml:space="preserve"> PAGE   \* MERGEFORMAT </w:instrText>
        </w:r>
        <w:r>
          <w:fldChar w:fldCharType="separate"/>
        </w:r>
        <w:r w:rsidR="002B4374">
          <w:rPr>
            <w:noProof/>
          </w:rPr>
          <w:t>2</w:t>
        </w:r>
        <w:r>
          <w:rPr>
            <w:noProof/>
          </w:rPr>
          <w:fldChar w:fldCharType="end"/>
        </w:r>
      </w:p>
    </w:sdtContent>
  </w:sdt>
  <w:p w14:paraId="118B1BF0" w14:textId="77777777" w:rsidR="000F0B79" w:rsidRDefault="002B437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BB8FC5" w14:textId="77777777" w:rsidR="00AB5219" w:rsidRDefault="00AB5219">
      <w:pPr>
        <w:spacing w:after="0" w:line="240" w:lineRule="auto"/>
      </w:pPr>
      <w:r>
        <w:separator/>
      </w:r>
    </w:p>
  </w:footnote>
  <w:footnote w:type="continuationSeparator" w:id="0">
    <w:p w14:paraId="56873A47" w14:textId="77777777" w:rsidR="00AB5219" w:rsidRDefault="00AB52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130F7E"/>
    <w:multiLevelType w:val="multilevel"/>
    <w:tmpl w:val="E0C223EA"/>
    <w:lvl w:ilvl="0">
      <w:start w:val="1"/>
      <w:numFmt w:val="decimal"/>
      <w:lvlText w:val="%1."/>
      <w:lvlJc w:val="left"/>
      <w:pPr>
        <w:ind w:left="720" w:hanging="360"/>
      </w:pPr>
    </w:lvl>
    <w:lvl w:ilvl="1">
      <w:start w:val="6"/>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38C52EF0"/>
    <w:multiLevelType w:val="multilevel"/>
    <w:tmpl w:val="2D880824"/>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BC95BE3"/>
    <w:multiLevelType w:val="multilevel"/>
    <w:tmpl w:val="CB6A39EE"/>
    <w:lvl w:ilvl="0">
      <w:start w:val="2"/>
      <w:numFmt w:val="decimal"/>
      <w:lvlText w:val="%1"/>
      <w:lvlJc w:val="left"/>
      <w:pPr>
        <w:ind w:left="360" w:hanging="360"/>
      </w:pPr>
      <w:rPr>
        <w:rFonts w:asciiTheme="majorHAnsi" w:eastAsiaTheme="majorEastAsia" w:hAnsiTheme="majorHAnsi" w:cstheme="majorBidi" w:hint="default"/>
        <w:color w:val="2E74B5" w:themeColor="accent1" w:themeShade="BF"/>
        <w:sz w:val="26"/>
      </w:rPr>
    </w:lvl>
    <w:lvl w:ilvl="1">
      <w:start w:val="1"/>
      <w:numFmt w:val="decimal"/>
      <w:lvlText w:val="%1.%2"/>
      <w:lvlJc w:val="left"/>
      <w:pPr>
        <w:ind w:left="360" w:hanging="360"/>
      </w:pPr>
      <w:rPr>
        <w:rFonts w:asciiTheme="majorHAnsi" w:eastAsiaTheme="majorEastAsia" w:hAnsiTheme="majorHAnsi" w:cstheme="majorBidi" w:hint="default"/>
        <w:color w:val="2E74B5" w:themeColor="accent1" w:themeShade="BF"/>
        <w:sz w:val="26"/>
      </w:rPr>
    </w:lvl>
    <w:lvl w:ilvl="2">
      <w:start w:val="1"/>
      <w:numFmt w:val="decimal"/>
      <w:lvlText w:val="%1.%2.%3"/>
      <w:lvlJc w:val="left"/>
      <w:pPr>
        <w:ind w:left="720" w:hanging="720"/>
      </w:pPr>
      <w:rPr>
        <w:rFonts w:asciiTheme="majorHAnsi" w:eastAsiaTheme="majorEastAsia" w:hAnsiTheme="majorHAnsi" w:cstheme="majorBidi" w:hint="default"/>
        <w:color w:val="2E74B5" w:themeColor="accent1" w:themeShade="BF"/>
        <w:sz w:val="26"/>
      </w:rPr>
    </w:lvl>
    <w:lvl w:ilvl="3">
      <w:start w:val="1"/>
      <w:numFmt w:val="decimal"/>
      <w:lvlText w:val="%1.%2.%3.%4"/>
      <w:lvlJc w:val="left"/>
      <w:pPr>
        <w:ind w:left="720" w:hanging="720"/>
      </w:pPr>
      <w:rPr>
        <w:rFonts w:asciiTheme="majorHAnsi" w:eastAsiaTheme="majorEastAsia" w:hAnsiTheme="majorHAnsi" w:cstheme="majorBidi" w:hint="default"/>
        <w:color w:val="2E74B5" w:themeColor="accent1" w:themeShade="BF"/>
        <w:sz w:val="26"/>
      </w:rPr>
    </w:lvl>
    <w:lvl w:ilvl="4">
      <w:start w:val="1"/>
      <w:numFmt w:val="decimal"/>
      <w:lvlText w:val="%1.%2.%3.%4.%5"/>
      <w:lvlJc w:val="left"/>
      <w:pPr>
        <w:ind w:left="1080" w:hanging="1080"/>
      </w:pPr>
      <w:rPr>
        <w:rFonts w:asciiTheme="majorHAnsi" w:eastAsiaTheme="majorEastAsia" w:hAnsiTheme="majorHAnsi" w:cstheme="majorBidi" w:hint="default"/>
        <w:color w:val="2E74B5" w:themeColor="accent1" w:themeShade="BF"/>
        <w:sz w:val="26"/>
      </w:rPr>
    </w:lvl>
    <w:lvl w:ilvl="5">
      <w:start w:val="1"/>
      <w:numFmt w:val="decimal"/>
      <w:lvlText w:val="%1.%2.%3.%4.%5.%6"/>
      <w:lvlJc w:val="left"/>
      <w:pPr>
        <w:ind w:left="1080" w:hanging="1080"/>
      </w:pPr>
      <w:rPr>
        <w:rFonts w:asciiTheme="majorHAnsi" w:eastAsiaTheme="majorEastAsia" w:hAnsiTheme="majorHAnsi" w:cstheme="majorBidi" w:hint="default"/>
        <w:color w:val="2E74B5" w:themeColor="accent1" w:themeShade="BF"/>
        <w:sz w:val="26"/>
      </w:rPr>
    </w:lvl>
    <w:lvl w:ilvl="6">
      <w:start w:val="1"/>
      <w:numFmt w:val="decimal"/>
      <w:lvlText w:val="%1.%2.%3.%4.%5.%6.%7"/>
      <w:lvlJc w:val="left"/>
      <w:pPr>
        <w:ind w:left="1440" w:hanging="1440"/>
      </w:pPr>
      <w:rPr>
        <w:rFonts w:asciiTheme="majorHAnsi" w:eastAsiaTheme="majorEastAsia" w:hAnsiTheme="majorHAnsi" w:cstheme="majorBidi" w:hint="default"/>
        <w:color w:val="2E74B5" w:themeColor="accent1" w:themeShade="BF"/>
        <w:sz w:val="26"/>
      </w:rPr>
    </w:lvl>
    <w:lvl w:ilvl="7">
      <w:start w:val="1"/>
      <w:numFmt w:val="decimal"/>
      <w:lvlText w:val="%1.%2.%3.%4.%5.%6.%7.%8"/>
      <w:lvlJc w:val="left"/>
      <w:pPr>
        <w:ind w:left="1440" w:hanging="1440"/>
      </w:pPr>
      <w:rPr>
        <w:rFonts w:asciiTheme="majorHAnsi" w:eastAsiaTheme="majorEastAsia" w:hAnsiTheme="majorHAnsi" w:cstheme="majorBidi" w:hint="default"/>
        <w:color w:val="2E74B5" w:themeColor="accent1" w:themeShade="BF"/>
        <w:sz w:val="26"/>
      </w:rPr>
    </w:lvl>
    <w:lvl w:ilvl="8">
      <w:start w:val="1"/>
      <w:numFmt w:val="decimal"/>
      <w:lvlText w:val="%1.%2.%3.%4.%5.%6.%7.%8.%9"/>
      <w:lvlJc w:val="left"/>
      <w:pPr>
        <w:ind w:left="1440" w:hanging="1440"/>
      </w:pPr>
      <w:rPr>
        <w:rFonts w:asciiTheme="majorHAnsi" w:eastAsiaTheme="majorEastAsia" w:hAnsiTheme="majorHAnsi" w:cstheme="majorBidi" w:hint="default"/>
        <w:color w:val="2E74B5" w:themeColor="accent1" w:themeShade="BF"/>
        <w:sz w:val="26"/>
      </w:rPr>
    </w:lvl>
  </w:abstractNum>
  <w:abstractNum w:abstractNumId="3" w15:restartNumberingAfterBreak="0">
    <w:nsid w:val="5AB105CC"/>
    <w:multiLevelType w:val="multilevel"/>
    <w:tmpl w:val="02A4CDDE"/>
    <w:lvl w:ilvl="0">
      <w:start w:val="2"/>
      <w:numFmt w:val="decimal"/>
      <w:lvlText w:val="%1"/>
      <w:lvlJc w:val="left"/>
      <w:pPr>
        <w:ind w:left="360" w:hanging="360"/>
      </w:pPr>
      <w:rPr>
        <w:rFonts w:asciiTheme="majorHAnsi" w:eastAsiaTheme="majorEastAsia" w:hAnsiTheme="majorHAnsi" w:cstheme="majorBidi" w:hint="default"/>
        <w:color w:val="2E74B5" w:themeColor="accent1" w:themeShade="BF"/>
        <w:sz w:val="26"/>
      </w:rPr>
    </w:lvl>
    <w:lvl w:ilvl="1">
      <w:start w:val="1"/>
      <w:numFmt w:val="decimal"/>
      <w:lvlText w:val="%1.%2"/>
      <w:lvlJc w:val="left"/>
      <w:pPr>
        <w:ind w:left="720" w:hanging="360"/>
      </w:pPr>
      <w:rPr>
        <w:rFonts w:asciiTheme="majorHAnsi" w:eastAsiaTheme="majorEastAsia" w:hAnsiTheme="majorHAnsi" w:cstheme="majorBidi" w:hint="default"/>
        <w:color w:val="2E74B5" w:themeColor="accent1" w:themeShade="BF"/>
        <w:sz w:val="26"/>
      </w:rPr>
    </w:lvl>
    <w:lvl w:ilvl="2">
      <w:start w:val="1"/>
      <w:numFmt w:val="decimal"/>
      <w:lvlText w:val="%1.%2.%3"/>
      <w:lvlJc w:val="left"/>
      <w:pPr>
        <w:ind w:left="1440" w:hanging="720"/>
      </w:pPr>
      <w:rPr>
        <w:rFonts w:asciiTheme="majorHAnsi" w:eastAsiaTheme="majorEastAsia" w:hAnsiTheme="majorHAnsi" w:cstheme="majorBidi" w:hint="default"/>
        <w:color w:val="2E74B5" w:themeColor="accent1" w:themeShade="BF"/>
        <w:sz w:val="26"/>
      </w:rPr>
    </w:lvl>
    <w:lvl w:ilvl="3">
      <w:start w:val="1"/>
      <w:numFmt w:val="decimal"/>
      <w:lvlText w:val="%1.%2.%3.%4"/>
      <w:lvlJc w:val="left"/>
      <w:pPr>
        <w:ind w:left="1800" w:hanging="720"/>
      </w:pPr>
      <w:rPr>
        <w:rFonts w:asciiTheme="majorHAnsi" w:eastAsiaTheme="majorEastAsia" w:hAnsiTheme="majorHAnsi" w:cstheme="majorBidi" w:hint="default"/>
        <w:color w:val="2E74B5" w:themeColor="accent1" w:themeShade="BF"/>
        <w:sz w:val="26"/>
      </w:rPr>
    </w:lvl>
    <w:lvl w:ilvl="4">
      <w:start w:val="1"/>
      <w:numFmt w:val="decimal"/>
      <w:lvlText w:val="%1.%2.%3.%4.%5"/>
      <w:lvlJc w:val="left"/>
      <w:pPr>
        <w:ind w:left="2520" w:hanging="1080"/>
      </w:pPr>
      <w:rPr>
        <w:rFonts w:asciiTheme="majorHAnsi" w:eastAsiaTheme="majorEastAsia" w:hAnsiTheme="majorHAnsi" w:cstheme="majorBidi" w:hint="default"/>
        <w:color w:val="2E74B5" w:themeColor="accent1" w:themeShade="BF"/>
        <w:sz w:val="26"/>
      </w:rPr>
    </w:lvl>
    <w:lvl w:ilvl="5">
      <w:start w:val="1"/>
      <w:numFmt w:val="decimal"/>
      <w:lvlText w:val="%1.%2.%3.%4.%5.%6"/>
      <w:lvlJc w:val="left"/>
      <w:pPr>
        <w:ind w:left="2880" w:hanging="1080"/>
      </w:pPr>
      <w:rPr>
        <w:rFonts w:asciiTheme="majorHAnsi" w:eastAsiaTheme="majorEastAsia" w:hAnsiTheme="majorHAnsi" w:cstheme="majorBidi" w:hint="default"/>
        <w:color w:val="2E74B5" w:themeColor="accent1" w:themeShade="BF"/>
        <w:sz w:val="26"/>
      </w:rPr>
    </w:lvl>
    <w:lvl w:ilvl="6">
      <w:start w:val="1"/>
      <w:numFmt w:val="decimal"/>
      <w:lvlText w:val="%1.%2.%3.%4.%5.%6.%7"/>
      <w:lvlJc w:val="left"/>
      <w:pPr>
        <w:ind w:left="3600" w:hanging="1440"/>
      </w:pPr>
      <w:rPr>
        <w:rFonts w:asciiTheme="majorHAnsi" w:eastAsiaTheme="majorEastAsia" w:hAnsiTheme="majorHAnsi" w:cstheme="majorBidi" w:hint="default"/>
        <w:color w:val="2E74B5" w:themeColor="accent1" w:themeShade="BF"/>
        <w:sz w:val="26"/>
      </w:rPr>
    </w:lvl>
    <w:lvl w:ilvl="7">
      <w:start w:val="1"/>
      <w:numFmt w:val="decimal"/>
      <w:lvlText w:val="%1.%2.%3.%4.%5.%6.%7.%8"/>
      <w:lvlJc w:val="left"/>
      <w:pPr>
        <w:ind w:left="3960" w:hanging="1440"/>
      </w:pPr>
      <w:rPr>
        <w:rFonts w:asciiTheme="majorHAnsi" w:eastAsiaTheme="majorEastAsia" w:hAnsiTheme="majorHAnsi" w:cstheme="majorBidi" w:hint="default"/>
        <w:color w:val="2E74B5" w:themeColor="accent1" w:themeShade="BF"/>
        <w:sz w:val="26"/>
      </w:rPr>
    </w:lvl>
    <w:lvl w:ilvl="8">
      <w:start w:val="1"/>
      <w:numFmt w:val="decimal"/>
      <w:lvlText w:val="%1.%2.%3.%4.%5.%6.%7.%8.%9"/>
      <w:lvlJc w:val="left"/>
      <w:pPr>
        <w:ind w:left="4320" w:hanging="1440"/>
      </w:pPr>
      <w:rPr>
        <w:rFonts w:asciiTheme="majorHAnsi" w:eastAsiaTheme="majorEastAsia" w:hAnsiTheme="majorHAnsi" w:cstheme="majorBidi" w:hint="default"/>
        <w:color w:val="2E74B5" w:themeColor="accent1" w:themeShade="BF"/>
        <w:sz w:val="26"/>
      </w:rPr>
    </w:lvl>
  </w:abstractNum>
  <w:abstractNum w:abstractNumId="4" w15:restartNumberingAfterBreak="0">
    <w:nsid w:val="72D76714"/>
    <w:multiLevelType w:val="hybridMultilevel"/>
    <w:tmpl w:val="FEC0BF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00A5"/>
    <w:rsid w:val="00044011"/>
    <w:rsid w:val="00165514"/>
    <w:rsid w:val="002061B1"/>
    <w:rsid w:val="002B4374"/>
    <w:rsid w:val="00390A4F"/>
    <w:rsid w:val="003A62EA"/>
    <w:rsid w:val="00493838"/>
    <w:rsid w:val="005F142B"/>
    <w:rsid w:val="006C3678"/>
    <w:rsid w:val="00702EE9"/>
    <w:rsid w:val="007B4C76"/>
    <w:rsid w:val="009400A5"/>
    <w:rsid w:val="0097112F"/>
    <w:rsid w:val="009F4A13"/>
    <w:rsid w:val="00AB5219"/>
    <w:rsid w:val="00B14C39"/>
    <w:rsid w:val="00C65E84"/>
    <w:rsid w:val="00E6562A"/>
    <w:rsid w:val="00ED21A7"/>
    <w:rsid w:val="00EF13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139B5"/>
  <w15:chartTrackingRefBased/>
  <w15:docId w15:val="{AD749176-BFC5-453D-9B89-0C84CB458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00A5"/>
  </w:style>
  <w:style w:type="paragraph" w:styleId="Heading1">
    <w:name w:val="heading 1"/>
    <w:basedOn w:val="Normal"/>
    <w:next w:val="Normal"/>
    <w:link w:val="Heading1Char"/>
    <w:uiPriority w:val="9"/>
    <w:qFormat/>
    <w:rsid w:val="009400A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400A5"/>
    <w:pPr>
      <w:keepNext/>
      <w:keepLines/>
      <w:spacing w:before="40" w:after="0" w:line="240" w:lineRule="auto"/>
      <w:outlineLvl w:val="1"/>
    </w:pPr>
    <w:rPr>
      <w:rFonts w:asciiTheme="majorHAnsi" w:eastAsiaTheme="majorEastAsia" w:hAnsiTheme="majorHAnsi" w:cstheme="majorBidi"/>
      <w:color w:val="2E74B5" w:themeColor="accent1" w:themeShade="BF"/>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400A5"/>
    <w:rPr>
      <w:rFonts w:asciiTheme="majorHAnsi" w:eastAsiaTheme="majorEastAsia" w:hAnsiTheme="majorHAnsi" w:cstheme="majorBidi"/>
      <w:color w:val="2E74B5" w:themeColor="accent1" w:themeShade="BF"/>
      <w:sz w:val="26"/>
      <w:szCs w:val="26"/>
      <w:lang w:val="en-US"/>
    </w:rPr>
  </w:style>
  <w:style w:type="paragraph" w:styleId="ListParagraph">
    <w:name w:val="List Paragraph"/>
    <w:basedOn w:val="Normal"/>
    <w:uiPriority w:val="34"/>
    <w:qFormat/>
    <w:rsid w:val="009400A5"/>
    <w:pPr>
      <w:spacing w:after="0" w:line="240" w:lineRule="auto"/>
      <w:ind w:left="720"/>
      <w:contextualSpacing/>
    </w:pPr>
    <w:rPr>
      <w:lang w:val="en-US"/>
    </w:rPr>
  </w:style>
  <w:style w:type="character" w:styleId="Hyperlink">
    <w:name w:val="Hyperlink"/>
    <w:basedOn w:val="DefaultParagraphFont"/>
    <w:uiPriority w:val="99"/>
    <w:unhideWhenUsed/>
    <w:rsid w:val="009400A5"/>
    <w:rPr>
      <w:color w:val="0563C1" w:themeColor="hyperlink"/>
      <w:u w:val="single"/>
    </w:rPr>
  </w:style>
  <w:style w:type="paragraph" w:styleId="Footer">
    <w:name w:val="footer"/>
    <w:basedOn w:val="Normal"/>
    <w:link w:val="FooterChar"/>
    <w:uiPriority w:val="99"/>
    <w:unhideWhenUsed/>
    <w:rsid w:val="009400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00A5"/>
  </w:style>
  <w:style w:type="character" w:customStyle="1" w:styleId="Heading1Char">
    <w:name w:val="Heading 1 Char"/>
    <w:basedOn w:val="DefaultParagraphFont"/>
    <w:link w:val="Heading1"/>
    <w:uiPriority w:val="9"/>
    <w:rsid w:val="009400A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400A5"/>
    <w:pPr>
      <w:outlineLvl w:val="9"/>
    </w:pPr>
    <w:rPr>
      <w:lang w:val="en-US"/>
    </w:rPr>
  </w:style>
  <w:style w:type="paragraph" w:styleId="TOC1">
    <w:name w:val="toc 1"/>
    <w:basedOn w:val="Normal"/>
    <w:next w:val="Normal"/>
    <w:autoRedefine/>
    <w:uiPriority w:val="39"/>
    <w:unhideWhenUsed/>
    <w:rsid w:val="009400A5"/>
    <w:pPr>
      <w:spacing w:after="100"/>
    </w:pPr>
  </w:style>
  <w:style w:type="paragraph" w:styleId="TOC2">
    <w:name w:val="toc 2"/>
    <w:basedOn w:val="Normal"/>
    <w:next w:val="Normal"/>
    <w:autoRedefine/>
    <w:uiPriority w:val="39"/>
    <w:unhideWhenUsed/>
    <w:rsid w:val="009400A5"/>
    <w:pPr>
      <w:spacing w:after="100"/>
      <w:ind w:left="220"/>
    </w:pPr>
  </w:style>
  <w:style w:type="character" w:customStyle="1" w:styleId="A7">
    <w:name w:val="A7"/>
    <w:uiPriority w:val="99"/>
    <w:rsid w:val="009400A5"/>
    <w:rPr>
      <w:rFonts w:cs="DaxlinePro-Regular"/>
      <w:color w:val="000000"/>
      <w:sz w:val="10"/>
      <w:szCs w:val="10"/>
    </w:rPr>
  </w:style>
  <w:style w:type="paragraph" w:customStyle="1" w:styleId="Pa12">
    <w:name w:val="Pa12"/>
    <w:basedOn w:val="Normal"/>
    <w:next w:val="Normal"/>
    <w:uiPriority w:val="99"/>
    <w:rsid w:val="009400A5"/>
    <w:pPr>
      <w:autoSpaceDE w:val="0"/>
      <w:autoSpaceDN w:val="0"/>
      <w:adjustRightInd w:val="0"/>
      <w:spacing w:after="0" w:line="185" w:lineRule="atLeast"/>
    </w:pPr>
    <w:rPr>
      <w:rFonts w:ascii="DaxlinePro-Regular" w:eastAsia="DaxlinePro-Regular"/>
      <w:sz w:val="24"/>
      <w:szCs w:val="24"/>
      <w:lang w:val="en-IE"/>
    </w:rPr>
  </w:style>
  <w:style w:type="paragraph" w:customStyle="1" w:styleId="Pa10">
    <w:name w:val="Pa10"/>
    <w:basedOn w:val="Normal"/>
    <w:next w:val="Normal"/>
    <w:uiPriority w:val="99"/>
    <w:rsid w:val="009400A5"/>
    <w:pPr>
      <w:autoSpaceDE w:val="0"/>
      <w:autoSpaceDN w:val="0"/>
      <w:adjustRightInd w:val="0"/>
      <w:spacing w:after="0" w:line="185" w:lineRule="atLeast"/>
    </w:pPr>
    <w:rPr>
      <w:rFonts w:ascii="DaxlinePro-Regular" w:eastAsia="DaxlinePro-Regular"/>
      <w:sz w:val="24"/>
      <w:szCs w:val="24"/>
      <w:lang w:val="en-IE"/>
    </w:rPr>
  </w:style>
  <w:style w:type="character" w:styleId="Strong">
    <w:name w:val="Strong"/>
    <w:basedOn w:val="DefaultParagraphFont"/>
    <w:uiPriority w:val="22"/>
    <w:qFormat/>
    <w:rsid w:val="009400A5"/>
    <w:rPr>
      <w:b/>
      <w:bCs/>
    </w:rPr>
  </w:style>
  <w:style w:type="character" w:customStyle="1" w:styleId="apple-converted-space">
    <w:name w:val="apple-converted-space"/>
    <w:basedOn w:val="DefaultParagraphFont"/>
    <w:rsid w:val="009400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0408644">
      <w:bodyDiv w:val="1"/>
      <w:marLeft w:val="0"/>
      <w:marRight w:val="0"/>
      <w:marTop w:val="0"/>
      <w:marBottom w:val="0"/>
      <w:divBdr>
        <w:top w:val="none" w:sz="0" w:space="0" w:color="auto"/>
        <w:left w:val="none" w:sz="0" w:space="0" w:color="auto"/>
        <w:bottom w:val="none" w:sz="0" w:space="0" w:color="auto"/>
        <w:right w:val="none" w:sz="0" w:space="0" w:color="auto"/>
      </w:divBdr>
    </w:div>
    <w:div w:id="907613852">
      <w:bodyDiv w:val="1"/>
      <w:marLeft w:val="0"/>
      <w:marRight w:val="0"/>
      <w:marTop w:val="0"/>
      <w:marBottom w:val="0"/>
      <w:divBdr>
        <w:top w:val="none" w:sz="0" w:space="0" w:color="auto"/>
        <w:left w:val="none" w:sz="0" w:space="0" w:color="auto"/>
        <w:bottom w:val="none" w:sz="0" w:space="0" w:color="auto"/>
        <w:right w:val="none" w:sz="0" w:space="0" w:color="auto"/>
      </w:divBdr>
    </w:div>
    <w:div w:id="2044550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fra.europa.eu/en/publications-and-resources/publications/annual-reports/fundamental-rights-2017" TargetMode="External"/><Relationship Id="rId13" Type="http://schemas.openxmlformats.org/officeDocument/2006/relationships/image" Target="media/image3.emf"/><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customXml" Target="../customXml/item1.xml"/><Relationship Id="rId7" Type="http://schemas.openxmlformats.org/officeDocument/2006/relationships/hyperlink" Target="https://fra.europa.eu/en/publications-and-resources/publications/annual-reports/fundamental-rights-2018" TargetMode="External"/><Relationship Id="rId12" Type="http://schemas.openxmlformats.org/officeDocument/2006/relationships/image" Target="media/image2.emf"/><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ra.europa.eu/en/publication/2018/child-poverty" TargetMode="External"/><Relationship Id="rId5" Type="http://schemas.openxmlformats.org/officeDocument/2006/relationships/footnotes" Target="footnotes.xml"/><Relationship Id="rId15" Type="http://schemas.openxmlformats.org/officeDocument/2006/relationships/hyperlink" Target="https://fra.europa.eu/en/publications-and-resources/data-and-maps/minag?mdq1=theme&amp;mdq2=3509" TargetMode="External"/><Relationship Id="rId23" Type="http://schemas.openxmlformats.org/officeDocument/2006/relationships/customXml" Target="../customXml/item3.xml"/><Relationship Id="rId10" Type="http://schemas.openxmlformats.org/officeDocument/2006/relationships/hyperlink" Target="http://fra.europa.eu/en/publications-and-resources/publications/annual-reports/fundamental-rights-2016"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emf"/><Relationship Id="rId14" Type="http://schemas.openxmlformats.org/officeDocument/2006/relationships/hyperlink" Target="https://fra.europa.eu/en/publication/2017/child-migrant-detention" TargetMode="External"/><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7DC820E-3580-45DF-91E8-AECAF86BA343}"/>
</file>

<file path=customXml/itemProps2.xml><?xml version="1.0" encoding="utf-8"?>
<ds:datastoreItem xmlns:ds="http://schemas.openxmlformats.org/officeDocument/2006/customXml" ds:itemID="{B4176D51-D010-47BC-88FD-6C362C67F6CC}"/>
</file>

<file path=customXml/itemProps3.xml><?xml version="1.0" encoding="utf-8"?>
<ds:datastoreItem xmlns:ds="http://schemas.openxmlformats.org/officeDocument/2006/customXml" ds:itemID="{EB29A244-EE26-4966-923A-58139639EF0A}"/>
</file>

<file path=docProps/app.xml><?xml version="1.0" encoding="utf-8"?>
<Properties xmlns="http://schemas.openxmlformats.org/officeDocument/2006/extended-properties" xmlns:vt="http://schemas.openxmlformats.org/officeDocument/2006/docPropsVTypes">
  <Template>Normal</Template>
  <TotalTime>0</TotalTime>
  <Pages>7</Pages>
  <Words>1847</Words>
  <Characters>10534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EU Agency for Fundamental Rights</Company>
  <LinksUpToDate>false</LinksUpToDate>
  <CharactersWithSpaces>12357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BECKER Lena Ellen (FRA)</dc:creator>
  <cp:keywords/>
  <dc:description/>
  <cp:lastModifiedBy>GUTIERREZ ARQUES Monica (FRA)</cp:lastModifiedBy>
  <cp:revision>2</cp:revision>
  <dcterms:created xsi:type="dcterms:W3CDTF">2018-12-21T16:33:00Z</dcterms:created>
  <dcterms:modified xsi:type="dcterms:W3CDTF">2018-12-21T16:33:00Z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