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1.png" ContentType="image/png"/>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footnotes.xml.rels" ContentType="application/vnd.openxmlformats-package.relationships+xml"/>
  <Override PartName="/_rels/.rels" ContentType="application/vnd.openxmlformats-package.relationships+xml"/>
  <Override PartName="/word/media/image2.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pPr>
      <w:r>
        <w:rPr/>
        <w:drawing>
          <wp:anchor behindDoc="0" distT="0" distB="0" distL="0" distR="0" simplePos="0" locked="0" layoutInCell="0" allowOverlap="1" relativeHeight="3">
            <wp:simplePos x="0" y="0"/>
            <wp:positionH relativeFrom="column">
              <wp:posOffset>2345055</wp:posOffset>
            </wp:positionH>
            <wp:positionV relativeFrom="paragraph">
              <wp:posOffset>163195</wp:posOffset>
            </wp:positionV>
            <wp:extent cx="3542030" cy="123761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42030" cy="1237615"/>
                    </a:xfrm>
                    <a:prstGeom prst="rect">
                      <a:avLst/>
                    </a:prstGeom>
                  </pic:spPr>
                </pic:pic>
              </a:graphicData>
            </a:graphic>
          </wp:anchor>
        </w:drawing>
      </w:r>
    </w:p>
    <w:p>
      <w:pPr>
        <w:pStyle w:val="Normal"/>
        <w:bidi w:val="0"/>
        <w:jc w:val="left"/>
        <w:rPr/>
      </w:pPr>
      <w:r>
        <w:rPr/>
        <w:drawing>
          <wp:anchor behindDoc="0" distT="0" distB="0" distL="0" distR="0" simplePos="0" locked="0" layoutInCell="0" allowOverlap="1" relativeHeight="2">
            <wp:simplePos x="0" y="0"/>
            <wp:positionH relativeFrom="column">
              <wp:posOffset>687705</wp:posOffset>
            </wp:positionH>
            <wp:positionV relativeFrom="paragraph">
              <wp:posOffset>58420</wp:posOffset>
            </wp:positionV>
            <wp:extent cx="1173480" cy="117348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73480" cy="1173480"/>
                    </a:xfrm>
                    <a:prstGeom prst="rect">
                      <a:avLst/>
                    </a:prstGeom>
                  </pic:spPr>
                </pic:pic>
              </a:graphicData>
            </a:graphic>
          </wp:anchor>
        </w:drawing>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rFonts w:ascii="Helvetica" w:hAnsi="Helvetica"/>
          <w:b w:val="false"/>
          <w:i w:val="false"/>
          <w:i w:val="false"/>
          <w:color w:val="000000"/>
          <w:sz w:val="38"/>
        </w:rPr>
      </w:pPr>
      <w:r>
        <w:rPr>
          <w:rFonts w:ascii="Helvetica" w:hAnsi="Helvetica"/>
        </w:rPr>
        <w:t xml:space="preserve"> </w:t>
      </w:r>
      <w:r>
        <w:rPr>
          <w:rFonts w:ascii="Helvetica" w:hAnsi="Helvetica"/>
          <w:b w:val="false"/>
          <w:i w:val="false"/>
          <w:color w:val="000000"/>
          <w:sz w:val="40"/>
        </w:rPr>
        <w:t>Citizens Commission on Human Rights New Zealand</w:t>
      </w:r>
    </w:p>
    <w:p>
      <w:pPr>
        <w:pStyle w:val="Normal"/>
        <w:bidi w:val="0"/>
        <w:jc w:val="left"/>
        <w:rPr/>
      </w:pPr>
      <w:r>
        <w:rPr>
          <w:rFonts w:ascii="Helvetica" w:hAnsi="Helvetica"/>
          <w:b w:val="false"/>
          <w:i w:val="false"/>
          <w:color w:val="000000"/>
          <w:sz w:val="22"/>
        </w:rPr>
        <w:tab/>
        <w:tab/>
        <w:tab/>
        <w:t xml:space="preserve">Established by </w:t>
      </w:r>
      <w:r>
        <w:rPr>
          <w:rFonts w:ascii="Helvetica" w:hAnsi="Helvetica"/>
          <w:b w:val="false"/>
          <w:i w:val="false"/>
          <w:color w:val="000000"/>
          <w:sz w:val="24"/>
        </w:rPr>
        <w:t xml:space="preserve">the </w:t>
      </w:r>
      <w:r>
        <w:rPr>
          <w:rFonts w:ascii="Helvetica" w:hAnsi="Helvetica"/>
          <w:b w:val="false"/>
          <w:i w:val="false"/>
          <w:color w:val="000000"/>
          <w:sz w:val="23"/>
        </w:rPr>
        <w:t xml:space="preserve">Church </w:t>
      </w:r>
      <w:r>
        <w:rPr>
          <w:rFonts w:ascii="Helvetica" w:hAnsi="Helvetica"/>
          <w:b w:val="false"/>
          <w:i w:val="false"/>
          <w:color w:val="000000"/>
          <w:sz w:val="24"/>
        </w:rPr>
        <w:t xml:space="preserve">of </w:t>
      </w:r>
      <w:r>
        <w:rPr>
          <w:rFonts w:ascii="Helvetica" w:hAnsi="Helvetica"/>
          <w:b w:val="false"/>
          <w:i w:val="false"/>
          <w:color w:val="000000"/>
          <w:sz w:val="23"/>
        </w:rPr>
        <w:t xml:space="preserve">Scientology </w:t>
      </w:r>
      <w:r>
        <w:rPr>
          <w:rFonts w:ascii="Helvetica" w:hAnsi="Helvetica"/>
          <w:b w:val="false"/>
          <w:i w:val="false"/>
          <w:color w:val="000000"/>
          <w:sz w:val="25"/>
        </w:rPr>
        <w:t xml:space="preserve">in </w:t>
      </w:r>
      <w:r>
        <w:rPr>
          <w:rFonts w:ascii="Helvetica" w:hAnsi="Helvetica"/>
          <w:b w:val="false"/>
          <w:i w:val="false"/>
          <w:color w:val="000000"/>
          <w:sz w:val="21"/>
        </w:rPr>
        <w:t>1969</w:t>
      </w:r>
    </w:p>
    <w:p>
      <w:pPr>
        <w:pStyle w:val="Normal"/>
        <w:bidi w:val="0"/>
        <w:jc w:val="left"/>
        <w:rPr/>
      </w:pPr>
      <w:r>
        <w:rPr/>
      </w:r>
    </w:p>
    <w:p>
      <w:pPr>
        <w:pStyle w:val="Normal"/>
        <w:bidi w:val="0"/>
        <w:jc w:val="left"/>
        <w:rPr/>
      </w:pPr>
      <w:r>
        <w:rPr/>
      </w:r>
    </w:p>
    <w:p>
      <w:pPr>
        <w:pStyle w:val="Normal"/>
        <w:bidi w:val="0"/>
        <w:jc w:val="left"/>
        <w:rPr/>
      </w:pPr>
      <w:r>
        <w:rPr/>
        <w:t>United Nations Committee Against Torture</w:t>
      </w:r>
    </w:p>
    <w:p>
      <w:pPr>
        <w:pStyle w:val="Normal"/>
        <w:bidi w:val="0"/>
        <w:jc w:val="left"/>
        <w:rPr/>
      </w:pPr>
      <w:r>
        <w:rPr/>
        <w:t>OHCHR-CAT ohchr-cat@un.org</w:t>
      </w:r>
    </w:p>
    <w:p>
      <w:pPr>
        <w:pStyle w:val="Normal"/>
        <w:bidi w:val="0"/>
        <w:jc w:val="left"/>
        <w:rPr/>
      </w:pPr>
      <w:r>
        <w:rPr/>
      </w:r>
    </w:p>
    <w:p>
      <w:pPr>
        <w:pStyle w:val="Normal"/>
        <w:bidi w:val="0"/>
        <w:jc w:val="left"/>
        <w:rPr/>
      </w:pPr>
      <w:r>
        <w:rPr/>
        <w:t>8 February 2026</w:t>
      </w:r>
    </w:p>
    <w:p>
      <w:pPr>
        <w:pStyle w:val="Normal"/>
        <w:bidi w:val="0"/>
        <w:jc w:val="left"/>
        <w:rPr/>
      </w:pPr>
      <w:r>
        <w:rPr/>
      </w:r>
    </w:p>
    <w:p>
      <w:pPr>
        <w:pStyle w:val="Normal"/>
        <w:bidi w:val="0"/>
        <w:jc w:val="left"/>
        <w:rPr/>
      </w:pPr>
      <w:r>
        <w:rPr/>
      </w:r>
    </w:p>
    <w:p>
      <w:pPr>
        <w:pStyle w:val="Normal"/>
        <w:bidi w:val="0"/>
        <w:jc w:val="left"/>
        <w:rPr/>
      </w:pPr>
      <w:r>
        <w:rPr/>
        <w:t>Regarding complaint No 852/2017 and complaint No 934/2019 under article 22 of the Convention Against Torture</w:t>
      </w:r>
    </w:p>
    <w:p>
      <w:pPr>
        <w:pStyle w:val="Normal"/>
        <w:bidi w:val="0"/>
        <w:jc w:val="left"/>
        <w:rPr/>
      </w:pPr>
      <w:r>
        <w:rPr/>
      </w:r>
    </w:p>
    <w:p>
      <w:pPr>
        <w:pStyle w:val="Normal"/>
        <w:bidi w:val="0"/>
        <w:jc w:val="left"/>
        <w:rPr/>
      </w:pPr>
      <w:r>
        <w:rPr/>
      </w:r>
    </w:p>
    <w:p>
      <w:pPr>
        <w:pStyle w:val="Normal"/>
        <w:bidi w:val="0"/>
        <w:jc w:val="left"/>
        <w:rPr/>
      </w:pPr>
      <w:r>
        <w:rPr/>
        <w:t xml:space="preserve">This report follows our follow-up correspondence of 15 May 2015 and is a more complete analysis of the government’s process based on documents in the public domain. </w:t>
      </w:r>
    </w:p>
    <w:p>
      <w:pPr>
        <w:pStyle w:val="Normal"/>
        <w:bidi w:val="0"/>
        <w:jc w:val="left"/>
        <w:rPr/>
      </w:pPr>
      <w:r>
        <w:rPr/>
      </w:r>
    </w:p>
    <w:p>
      <w:pPr>
        <w:pStyle w:val="Normal"/>
        <w:bidi w:val="0"/>
        <w:jc w:val="left"/>
        <w:rPr/>
      </w:pPr>
      <w:r>
        <w:rPr/>
      </w:r>
    </w:p>
    <w:p>
      <w:pPr>
        <w:pStyle w:val="Normal"/>
        <w:bidi w:val="0"/>
        <w:jc w:val="left"/>
        <w:rPr/>
      </w:pPr>
      <w:r>
        <w:rPr/>
        <w:t xml:space="preserve">The New Zealand government has now provided redress to all of the Lake Alice survivors for the torture that was inflicted upon them while children at the Lake Alice psychiatric hospital in the 1970s. </w:t>
      </w:r>
    </w:p>
    <w:p>
      <w:pPr>
        <w:pStyle w:val="Normal"/>
        <w:bidi w:val="0"/>
        <w:jc w:val="left"/>
        <w:rPr/>
      </w:pPr>
      <w:r>
        <w:rPr/>
      </w:r>
    </w:p>
    <w:p>
      <w:pPr>
        <w:pStyle w:val="Normal"/>
        <w:bidi w:val="0"/>
        <w:jc w:val="left"/>
        <w:rPr/>
      </w:pPr>
      <w:r>
        <w:rPr/>
        <w:t xml:space="preserve">However the government limited the torture to only those who were given unmodified electroshocks and/or the painful drug paraldehyde as punishment. This meant those who were subjected to other torturous treatment were excluded, for example those who placed in seclusion (often naked) for days, those who were physically punished, sexually assaulted by staff, threatened and sometimes placed with adult patients as punishment, and made to watch others being tortured. </w:t>
      </w:r>
    </w:p>
    <w:p>
      <w:pPr>
        <w:pStyle w:val="Normal"/>
        <w:bidi w:val="0"/>
        <w:jc w:val="left"/>
        <w:rPr/>
      </w:pPr>
      <w:r>
        <w:rPr/>
      </w:r>
    </w:p>
    <w:p>
      <w:pPr>
        <w:pStyle w:val="Normal"/>
        <w:bidi w:val="0"/>
        <w:jc w:val="left"/>
        <w:rPr/>
      </w:pPr>
      <w:r>
        <w:rPr/>
      </w:r>
    </w:p>
    <w:p>
      <w:pPr>
        <w:pStyle w:val="Normal"/>
        <w:bidi w:val="0"/>
        <w:jc w:val="left"/>
        <w:rPr/>
      </w:pPr>
      <w:r>
        <w:rPr/>
        <w:t xml:space="preserve">In 2001 the government was providing a settlement to Lake Alice survivors and in 2002 retired High Court judge Sir Rodney Gallen recorded how he interviewed and assessed the apportionment of ex gratia payments to survivors. In his report he said:  </w:t>
      </w:r>
    </w:p>
    <w:p>
      <w:pPr>
        <w:pStyle w:val="Normal"/>
        <w:bidi w:val="0"/>
        <w:jc w:val="left"/>
        <w:rPr/>
      </w:pPr>
      <w:r>
        <w:rPr/>
      </w:r>
    </w:p>
    <w:p>
      <w:pPr>
        <w:pStyle w:val="Normal"/>
        <w:bidi w:val="0"/>
        <w:jc w:val="left"/>
        <w:rPr>
          <w:i/>
          <w:i/>
          <w:iCs/>
        </w:rPr>
      </w:pPr>
      <w:r>
        <w:rPr>
          <w:i/>
          <w:iCs/>
        </w:rPr>
        <w:tab/>
        <w:t xml:space="preserve">The best summary which I can make of the large number of statements I have made and the </w:t>
        <w:tab/>
        <w:t xml:space="preserve">interviews I have conducted is that the children concerned lived in a state of extreme fear </w:t>
        <w:tab/>
        <w:t xml:space="preserve">and hopelessness. Statement after statement indicates that the child concerned lived in a </w:t>
        <w:tab/>
        <w:t xml:space="preserve">state of terror during the period they spent at Lake Alice. </w:t>
      </w:r>
    </w:p>
    <w:p>
      <w:pPr>
        <w:pStyle w:val="Normal"/>
        <w:bidi w:val="0"/>
        <w:jc w:val="left"/>
        <w:rPr>
          <w:i/>
          <w:i/>
          <w:iCs/>
        </w:rPr>
      </w:pPr>
      <w:r>
        <w:rPr>
          <w:i/>
          <w:iCs/>
        </w:rPr>
      </w:r>
    </w:p>
    <w:p>
      <w:pPr>
        <w:pStyle w:val="Normal"/>
        <w:bidi w:val="0"/>
        <w:jc w:val="left"/>
        <w:rPr>
          <w:i w:val="false"/>
          <w:i w:val="false"/>
          <w:iCs w:val="false"/>
        </w:rPr>
      </w:pPr>
      <w:r>
        <w:rPr>
          <w:i w:val="false"/>
          <w:iCs w:val="false"/>
        </w:rPr>
        <w:t>Sir Rodney was tasked with allocated the government’s out-of-court settlement award of ex-gratia payments to 95 claimants. He considered everyone of them was entitled to a sum of money—the average at the time was $60,000. He went on to say:</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ab/>
      </w:r>
    </w:p>
    <w:p>
      <w:pPr>
        <w:pStyle w:val="Normal"/>
        <w:bidi w:val="0"/>
        <w:jc w:val="left"/>
        <w:rPr>
          <w:i w:val="false"/>
          <w:i w:val="false"/>
          <w:iCs w:val="false"/>
        </w:rPr>
      </w:pPr>
      <w:r>
        <w:rPr>
          <w:i w:val="false"/>
          <w:iCs w:val="false"/>
        </w:rPr>
        <w:tab/>
        <w:tab/>
        <w:tab/>
        <w:tab/>
        <w:tab/>
        <w:tab/>
        <w:t>2</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ab/>
      </w:r>
      <w:r>
        <w:rPr>
          <w:i/>
          <w:iCs/>
        </w:rPr>
        <w:t xml:space="preserve">Every claimant, whether they suffered from more extreme forms of treatment or not, </w:t>
        <w:tab/>
        <w:t xml:space="preserve">emphasised that they lived during their whole time at Lake Alice in what can only be </w:t>
        <w:tab/>
        <w:t xml:space="preserve">described as terror. </w:t>
      </w:r>
    </w:p>
    <w:p>
      <w:pPr>
        <w:pStyle w:val="Normal"/>
        <w:bidi w:val="0"/>
        <w:jc w:val="left"/>
        <w:rPr>
          <w:i w:val="false"/>
          <w:i w:val="false"/>
          <w:iCs w:val="false"/>
        </w:rPr>
      </w:pPr>
      <w:r>
        <w:rPr>
          <w:i w:val="false"/>
          <w:iCs w:val="false"/>
        </w:rPr>
      </w:r>
    </w:p>
    <w:p>
      <w:pPr>
        <w:pStyle w:val="Normal"/>
        <w:bidi w:val="0"/>
        <w:jc w:val="left"/>
        <w:rPr>
          <w:i/>
          <w:i/>
          <w:iCs/>
        </w:rPr>
      </w:pPr>
      <w:r>
        <w:rPr>
          <w:i/>
          <w:iCs/>
        </w:rPr>
        <w:tab/>
        <w:t xml:space="preserve">Even those children who were completely conformist, lived in a state of abject fear that their </w:t>
        <w:tab/>
        <w:t xml:space="preserve">behaviour might be seen as not coming up to standard, and that they might suffer ECT on </w:t>
        <w:tab/>
        <w:t xml:space="preserve">the next ECT day. This was reinforced by what was believed by the children to be the </w:t>
        <w:tab/>
        <w:t xml:space="preserve">random way in which ECT was actually imposed, apart from those whose who knew their </w:t>
        <w:tab/>
        <w:t xml:space="preserve">grades were unacceptable to staff. Claimant after claimant indicated that on one day in the </w:t>
        <w:tab/>
        <w:t xml:space="preserve">week children were gathered together in the day room and sat there waiting for those to be </w:t>
        <w:tab/>
        <w:t xml:space="preserve">selected to whom ECT would be applied. Both boys and girls spoke of young children lying </w:t>
        <w:tab/>
        <w:t xml:space="preserve">in a foetal position on the floor in attempts to avoid being taken up for ECT, and of children </w:t>
        <w:tab/>
        <w:t xml:space="preserve">who in tears and through sheer fear had lost control of their bodily functions before any </w:t>
        <w:tab/>
        <w:t xml:space="preserve">application had taken place. Whether they received ECT or not, they all lived in fear of </w:t>
        <w:tab/>
        <w:t xml:space="preserve">receiving it. </w:t>
      </w:r>
    </w:p>
    <w:p>
      <w:pPr>
        <w:pStyle w:val="Normal"/>
        <w:bidi w:val="0"/>
        <w:jc w:val="left"/>
        <w:rPr>
          <w:i/>
          <w:i/>
          <w:iCs/>
        </w:rPr>
      </w:pPr>
      <w:r>
        <w:rPr>
          <w:i/>
          <w:iCs/>
        </w:rPr>
      </w:r>
    </w:p>
    <w:p>
      <w:pPr>
        <w:pStyle w:val="Normal"/>
        <w:bidi w:val="0"/>
        <w:jc w:val="left"/>
        <w:rPr>
          <w:i/>
          <w:i/>
          <w:iCs/>
        </w:rPr>
      </w:pPr>
      <w:r>
        <w:rPr>
          <w:i/>
          <w:iCs/>
        </w:rPr>
        <w:tab/>
        <w:t xml:space="preserve">Those who had already received unmodified ECT knew what was involved. Those who had </w:t>
        <w:tab/>
        <w:t xml:space="preserve">not or who never received it, and there were some, were nevertheless in the day room during </w:t>
        <w:tab/>
        <w:t xml:space="preserve">these periods and were able to hear the screams of children undergoing the ECT in the same </w:t>
        <w:tab/>
        <w:t xml:space="preserve">building and within earshot. They also were able to see the state of those children when they </w:t>
        <w:tab/>
        <w:t xml:space="preserve">returned after ECT. In addition, children were threatened during the course of the week by </w:t>
        <w:tab/>
        <w:t xml:space="preserve">staff, and a considerable number of claimants spoke of one staff member at least who was </w:t>
        <w:tab/>
        <w:t xml:space="preserve">accustomed during the week to place his knuckles on their skull in the place where the ECT </w:t>
        <w:tab/>
        <w:t xml:space="preserve">terminals would be placed, and they had no doubt whether anything was said or not that this </w:t>
        <w:tab/>
        <w:t>was a threat of the application of ECT.</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ab/>
      </w:r>
      <w:r>
        <w:rPr>
          <w:i/>
          <w:iCs/>
        </w:rPr>
        <w:t xml:space="preserve">There were also consistent accounts of children being taken by staff to the vicinity of the </w:t>
        <w:tab/>
        <w:t xml:space="preserve">maximum security wing of the institution and being told that if they misbehaved that is </w:t>
        <w:tab/>
        <w:t xml:space="preserve">where they would be placed. Since some children actually spent some time in the maximum </w:t>
        <w:tab/>
        <w:t>security wing, this would not have been seen as an idle threat.</w:t>
      </w:r>
    </w:p>
    <w:p>
      <w:pPr>
        <w:pStyle w:val="Normal"/>
        <w:bidi w:val="0"/>
        <w:jc w:val="left"/>
        <w:rPr>
          <w:i/>
          <w:i/>
          <w:iCs/>
        </w:rPr>
      </w:pPr>
      <w:r>
        <w:rPr>
          <w:i/>
          <w:iCs/>
        </w:rPr>
      </w:r>
    </w:p>
    <w:p>
      <w:pPr>
        <w:pStyle w:val="Normal"/>
        <w:bidi w:val="0"/>
        <w:jc w:val="left"/>
        <w:rPr>
          <w:i/>
          <w:i/>
          <w:iCs/>
        </w:rPr>
      </w:pPr>
      <w:r>
        <w:rPr>
          <w:i/>
          <w:iCs/>
        </w:rPr>
        <w:tab/>
        <w:t xml:space="preserve">There was the constant proximity of adult patients whose demented behaviour was a </w:t>
        <w:tab/>
        <w:t xml:space="preserve">terrifying threat to young children. All of this adds up to an atmosphere which, as much as </w:t>
        <w:tab/>
        <w:t xml:space="preserve">anything else which happened to these children led to the trauma from which they then, and </w:t>
        <w:tab/>
        <w:t>in many cases still suffer.</w:t>
      </w:r>
    </w:p>
    <w:p>
      <w:pPr>
        <w:pStyle w:val="Normal"/>
        <w:bidi w:val="0"/>
        <w:jc w:val="left"/>
        <w:rPr>
          <w:i/>
          <w:i/>
          <w:iCs/>
        </w:rPr>
      </w:pPr>
      <w:r>
        <w:rPr>
          <w:i/>
          <w:iCs/>
        </w:rPr>
      </w:r>
    </w:p>
    <w:p>
      <w:pPr>
        <w:pStyle w:val="Normal"/>
        <w:bidi w:val="0"/>
        <w:jc w:val="left"/>
        <w:rPr>
          <w:i/>
          <w:i/>
          <w:iCs/>
        </w:rPr>
      </w:pPr>
      <w:r>
        <w:rPr>
          <w:i/>
          <w:iCs/>
        </w:rPr>
        <w:tab/>
        <w:t xml:space="preserve">Finally, there was the overall hopelessness of the situation in which the children found </w:t>
        <w:tab/>
        <w:t xml:space="preserve">themselves. There was literally no way out for them. Those who complained to the staff </w:t>
        <w:tab/>
        <w:t xml:space="preserve">were seen as troublemakers and it was the belief of the children concerned that such </w:t>
        <w:tab/>
        <w:t xml:space="preserve">behaviour led to increased punishment. More than one made complaints to the Police, to </w:t>
        <w:tab/>
        <w:t xml:space="preserve">probation officers and to child welfare officers. In no case were they believed. Some </w:t>
        <w:tab/>
        <w:t xml:space="preserve">complained to their parents. Some parents complained to the institution, but were told they </w:t>
        <w:tab/>
        <w:t xml:space="preserve">did not understand the nature of the treatment. Children who ran away were invariably </w:t>
        <w:tab/>
        <w:t>returned and punished for running away.</w:t>
      </w:r>
      <w:r>
        <w:rPr>
          <w:rStyle w:val="FootnoteAnchor"/>
          <w:i/>
          <w:iCs/>
        </w:rPr>
        <w:footnoteReference w:id="2"/>
      </w:r>
    </w:p>
    <w:p>
      <w:pPr>
        <w:pStyle w:val="Normal"/>
        <w:bidi w:val="0"/>
        <w:jc w:val="left"/>
        <w:rPr>
          <w:i/>
          <w:i/>
          <w:iCs/>
        </w:rPr>
      </w:pPr>
      <w:r>
        <w:rPr>
          <w:i/>
          <w:iCs/>
        </w:rPr>
      </w:r>
    </w:p>
    <w:p>
      <w:pPr>
        <w:pStyle w:val="Normal"/>
        <w:bidi w:val="0"/>
        <w:jc w:val="left"/>
        <w:rPr>
          <w:i/>
          <w:i/>
          <w:iCs/>
        </w:rPr>
      </w:pPr>
      <w:r>
        <w:rPr>
          <w:i/>
          <w:iCs/>
        </w:rPr>
      </w:r>
    </w:p>
    <w:p>
      <w:pPr>
        <w:pStyle w:val="Normal"/>
        <w:bidi w:val="0"/>
        <w:jc w:val="left"/>
        <w:rPr>
          <w:i/>
          <w:i/>
          <w:iCs/>
        </w:rPr>
      </w:pPr>
      <w:r>
        <w:rPr>
          <w:i/>
          <w:iCs/>
        </w:rPr>
      </w:r>
    </w:p>
    <w:p>
      <w:pPr>
        <w:pStyle w:val="Normal"/>
        <w:bidi w:val="0"/>
        <w:jc w:val="left"/>
        <w:rPr>
          <w:i/>
          <w:i/>
          <w:iCs/>
        </w:rPr>
      </w:pPr>
      <w:r>
        <w:rPr>
          <w:i/>
          <w:iCs/>
        </w:rPr>
      </w:r>
    </w:p>
    <w:p>
      <w:pPr>
        <w:pStyle w:val="Normal"/>
        <w:bidi w:val="0"/>
        <w:jc w:val="left"/>
        <w:rPr>
          <w:i/>
          <w:i/>
          <w:iCs/>
        </w:rPr>
      </w:pPr>
      <w:r>
        <w:rPr>
          <w:i/>
          <w:iCs/>
        </w:rPr>
      </w:r>
    </w:p>
    <w:p>
      <w:pPr>
        <w:pStyle w:val="Normal"/>
        <w:bidi w:val="0"/>
        <w:jc w:val="left"/>
        <w:rPr>
          <w:i/>
          <w:i/>
          <w:iCs/>
        </w:rPr>
      </w:pPr>
      <w:r>
        <w:rPr>
          <w:i/>
          <w:iCs/>
        </w:rPr>
        <w:tab/>
        <w:tab/>
        <w:tab/>
        <w:tab/>
        <w:tab/>
        <w:tab/>
      </w:r>
      <w:r>
        <w:rPr>
          <w:i w:val="false"/>
          <w:iCs w:val="false"/>
        </w:rPr>
        <w:t>3</w:t>
      </w:r>
    </w:p>
    <w:p>
      <w:pPr>
        <w:pStyle w:val="Normal"/>
        <w:bidi w:val="0"/>
        <w:jc w:val="left"/>
        <w:rPr>
          <w:i/>
          <w:i/>
          <w:iCs/>
        </w:rPr>
      </w:pPr>
      <w:r>
        <w:rPr>
          <w:i/>
          <w:iCs/>
        </w:rPr>
      </w:r>
    </w:p>
    <w:p>
      <w:pPr>
        <w:pStyle w:val="Normal"/>
        <w:bidi w:val="0"/>
        <w:jc w:val="left"/>
        <w:rPr>
          <w:b/>
          <w:bCs/>
          <w:i w:val="false"/>
          <w:i w:val="false"/>
          <w:iCs w:val="false"/>
          <w:smallCaps/>
        </w:rPr>
      </w:pPr>
      <w:r>
        <w:rPr>
          <w:b/>
          <w:bCs/>
          <w:i w:val="false"/>
          <w:iCs w:val="false"/>
          <w:smallCaps/>
        </w:rPr>
        <w:t>The Lake Alice redress process</w:t>
      </w:r>
    </w:p>
    <w:p>
      <w:pPr>
        <w:pStyle w:val="Normal"/>
        <w:bidi w:val="0"/>
        <w:jc w:val="left"/>
        <w:rPr>
          <w:i/>
          <w:i/>
          <w:iCs/>
        </w:rPr>
      </w:pPr>
      <w:r>
        <w:rPr>
          <w:i/>
          <w:iCs/>
        </w:rPr>
      </w:r>
    </w:p>
    <w:p>
      <w:pPr>
        <w:pStyle w:val="Normal"/>
        <w:bidi w:val="0"/>
        <w:jc w:val="left"/>
        <w:rPr>
          <w:i w:val="false"/>
          <w:i w:val="false"/>
          <w:iCs w:val="false"/>
        </w:rPr>
      </w:pPr>
      <w:r>
        <w:rPr>
          <w:i w:val="false"/>
          <w:iCs w:val="false"/>
        </w:rPr>
        <w:t xml:space="preserve">In 2024, following the Royal Commission of Inquiry into Abuse in Care’s final report, New Zealanders, the New Zealand Parliament and the current government had much more information about the extent of ill treatment in Lake Alice, and, moreover, numerous other state-run psychiatric institutions as well as Social Welfare care homes. </w:t>
      </w:r>
    </w:p>
    <w:p>
      <w:pPr>
        <w:pStyle w:val="Normal"/>
        <w:bidi w:val="0"/>
        <w:jc w:val="left"/>
        <w:rPr>
          <w:i w:val="false"/>
          <w:i w:val="false"/>
          <w:iCs w:val="false"/>
        </w:rPr>
      </w:pPr>
      <w:r>
        <w:rPr>
          <w:i w:val="false"/>
          <w:iCs w:val="false"/>
        </w:rPr>
        <w:tab/>
        <w:tab/>
        <w:tab/>
        <w:tab/>
        <w:tab/>
        <w:tab/>
      </w:r>
    </w:p>
    <w:p>
      <w:pPr>
        <w:pStyle w:val="Normal"/>
        <w:bidi w:val="0"/>
        <w:jc w:val="left"/>
        <w:rPr>
          <w:i w:val="false"/>
          <w:i w:val="false"/>
          <w:iCs w:val="false"/>
        </w:rPr>
      </w:pPr>
      <w:r>
        <w:rPr>
          <w:i w:val="false"/>
          <w:iCs w:val="false"/>
        </w:rPr>
        <w:t xml:space="preserve">A briefing paper dated 29 February 2024, by Issac Carlson (Director Crown Response Unit, Crown Response to the Abuse in Care Inquiry) to Minister Erica Stanford (Minister Responsible for the Crown Response to the Abuse in Care Inquiry) proposed a formal apology to all Lake Alice survivors and how the government should acknowledge that torture occurred at Lake Alice. Along with this was the Crown Response Unit’s proposal to provide redress to the survivors for the torture.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In the summary of the Royal Commission’s findings on Lake Alice the briefing paper stated:</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iCs/>
        </w:rPr>
        <w:tab/>
        <w:t xml:space="preserve">6. The use of electric shocks and paraldehyde to punish met the definition of torture as </w:t>
        <w:tab/>
        <w:t>outlined by the Solicitor General.</w:t>
      </w:r>
      <w:r>
        <w:rPr>
          <w:rStyle w:val="FootnoteAnchor"/>
          <w:i/>
          <w:iCs/>
        </w:rPr>
        <w:footnoteReference w:id="3"/>
      </w:r>
    </w:p>
    <w:p>
      <w:pPr>
        <w:pStyle w:val="Normal"/>
        <w:bidi w:val="0"/>
        <w:jc w:val="left"/>
        <w:rPr>
          <w:i/>
          <w:i/>
          <w:iCs/>
        </w:rPr>
      </w:pPr>
      <w:r>
        <w:rPr>
          <w:i/>
          <w:iCs/>
        </w:rPr>
      </w:r>
    </w:p>
    <w:p>
      <w:pPr>
        <w:pStyle w:val="Normal"/>
        <w:bidi w:val="0"/>
        <w:jc w:val="left"/>
        <w:rPr>
          <w:i w:val="false"/>
          <w:i w:val="false"/>
          <w:iCs w:val="false"/>
        </w:rPr>
      </w:pPr>
      <w:r>
        <w:rPr>
          <w:i w:val="false"/>
          <w:iCs w:val="false"/>
        </w:rPr>
        <w:t>The briefing paper does not include other ill-treatment as meeting the definition of torture.</w:t>
      </w:r>
    </w:p>
    <w:p>
      <w:pPr>
        <w:pStyle w:val="Normal"/>
        <w:bidi w:val="0"/>
        <w:jc w:val="left"/>
        <w:rPr>
          <w:i/>
          <w:i/>
          <w:iCs/>
        </w:rPr>
      </w:pPr>
      <w:r>
        <w:rPr>
          <w:i/>
          <w:iCs/>
        </w:rPr>
      </w:r>
    </w:p>
    <w:p>
      <w:pPr>
        <w:pStyle w:val="Normal"/>
        <w:bidi w:val="0"/>
        <w:jc w:val="left"/>
        <w:rPr>
          <w:i w:val="false"/>
          <w:i w:val="false"/>
          <w:iCs w:val="false"/>
        </w:rPr>
      </w:pPr>
      <w:r>
        <w:rPr>
          <w:i w:val="false"/>
          <w:iCs w:val="false"/>
        </w:rPr>
        <w:t xml:space="preserve">This however was an alteration of the statement made by the Solicitor General at the Royal Commission hearing, which is reported on in their report on Lake Alice: </w:t>
      </w:r>
    </w:p>
    <w:p>
      <w:pPr>
        <w:pStyle w:val="Normal"/>
        <w:bidi w:val="0"/>
        <w:jc w:val="left"/>
        <w:rPr>
          <w:i w:val="false"/>
          <w:i w:val="false"/>
          <w:iCs w:val="false"/>
        </w:rPr>
      </w:pPr>
      <w:r>
        <w:rPr>
          <w:i w:val="false"/>
          <w:iCs w:val="false"/>
        </w:rPr>
      </w:r>
    </w:p>
    <w:p>
      <w:pPr>
        <w:pStyle w:val="Normal"/>
        <w:bidi w:val="0"/>
        <w:jc w:val="left"/>
        <w:rPr>
          <w:i/>
          <w:i/>
          <w:iCs/>
        </w:rPr>
      </w:pPr>
      <w:r>
        <w:rPr>
          <w:i/>
          <w:iCs/>
        </w:rPr>
        <w:tab/>
        <w:t xml:space="preserve">190.    At our public hearing in 2021, the Solicitor-General accepted the allegations made by </w:t>
        <w:tab/>
        <w:t xml:space="preserve">Lake Alice survivors had “all of the features of torture”. She said torture has three elements. </w:t>
        <w:tab/>
        <w:t xml:space="preserve">First, the infliction of severe pain and suffering, “no doubt that has been met”. Secondly, by </w:t>
        <w:tab/>
        <w:t xml:space="preserve">a person acting on behalf of the State, “also no question that has been met”. Thirdly, for the </w:t>
        <w:tab/>
        <w:t xml:space="preserve">purpose of punishment. She was reluctant to express a view on that question, but said if a </w:t>
        <w:tab/>
        <w:t xml:space="preserve">fact-finder, such as this inquiry, found that purpose to be the case, all three elements of </w:t>
        <w:tab/>
        <w:t xml:space="preserve">torture would be met. She accepted that, as alleged, the conduct at Lake Alice “meets the </w:t>
        <w:tab/>
        <w:t>three criteria for torture”.</w:t>
      </w:r>
      <w:r>
        <w:rPr>
          <w:rStyle w:val="FootnoteAnchor"/>
          <w:i/>
          <w:iCs/>
        </w:rPr>
        <w:footnoteReference w:id="4"/>
      </w:r>
      <w:r>
        <w:rPr>
          <w:i/>
          <w:iCs/>
        </w:rPr>
        <w:t xml:space="preserve"> </w:t>
      </w:r>
    </w:p>
    <w:p>
      <w:pPr>
        <w:pStyle w:val="Normal"/>
        <w:bidi w:val="0"/>
        <w:jc w:val="left"/>
        <w:rPr>
          <w:i/>
          <w:i/>
          <w:iCs/>
        </w:rPr>
      </w:pPr>
      <w:r>
        <w:rPr>
          <w:i/>
          <w:iCs/>
        </w:rPr>
      </w:r>
    </w:p>
    <w:p>
      <w:pPr>
        <w:pStyle w:val="Normal"/>
        <w:bidi w:val="0"/>
        <w:jc w:val="left"/>
        <w:rPr>
          <w:i w:val="false"/>
          <w:i w:val="false"/>
          <w:iCs w:val="false"/>
        </w:rPr>
      </w:pPr>
      <w:r>
        <w:rPr>
          <w:i w:val="false"/>
          <w:iCs w:val="false"/>
        </w:rPr>
        <w:t>The Royal Commission never limited the torture at Lake Alice to just being the use of unmodified ECT and paraldehyde injections:</w:t>
      </w:r>
    </w:p>
    <w:p>
      <w:pPr>
        <w:pStyle w:val="Normal"/>
        <w:bidi w:val="0"/>
        <w:jc w:val="left"/>
        <w:rPr>
          <w:i w:val="false"/>
          <w:i w:val="false"/>
          <w:iCs w:val="false"/>
        </w:rPr>
      </w:pPr>
      <w:r>
        <w:rPr>
          <w:i w:val="false"/>
          <w:iCs w:val="false"/>
        </w:rPr>
      </w:r>
    </w:p>
    <w:p>
      <w:pPr>
        <w:pStyle w:val="Normal"/>
        <w:bidi w:val="0"/>
        <w:jc w:val="left"/>
        <w:rPr>
          <w:i/>
          <w:i/>
          <w:iCs/>
        </w:rPr>
      </w:pPr>
      <w:r>
        <w:rPr>
          <w:i/>
          <w:iCs/>
        </w:rPr>
        <w:t xml:space="preserve"> </w:t>
      </w:r>
      <w:r>
        <w:rPr>
          <w:i/>
          <w:iCs/>
        </w:rPr>
        <w:tab/>
      </w:r>
    </w:p>
    <w:p>
      <w:pPr>
        <w:pStyle w:val="Normal"/>
        <w:bidi w:val="0"/>
        <w:jc w:val="left"/>
        <w:rPr>
          <w:i/>
          <w:i/>
          <w:iCs/>
        </w:rPr>
      </w:pPr>
      <w:r>
        <w:rPr>
          <w:i/>
          <w:iCs/>
        </w:rPr>
      </w:r>
    </w:p>
    <w:p>
      <w:pPr>
        <w:pStyle w:val="Normal"/>
        <w:bidi w:val="0"/>
        <w:jc w:val="left"/>
        <w:rPr>
          <w:i/>
          <w:i/>
          <w:iCs/>
        </w:rPr>
      </w:pPr>
      <w:r>
        <w:rPr>
          <w:i/>
          <w:iCs/>
        </w:rPr>
        <w:tab/>
      </w:r>
    </w:p>
    <w:p>
      <w:pPr>
        <w:pStyle w:val="Normal"/>
        <w:bidi w:val="0"/>
        <w:jc w:val="left"/>
        <w:rPr>
          <w:i/>
          <w:i/>
          <w:iCs/>
        </w:rPr>
      </w:pPr>
      <w:r>
        <w:rPr>
          <w:i/>
          <w:iCs/>
        </w:rPr>
        <w:tab/>
        <w:tab/>
        <w:tab/>
        <w:tab/>
        <w:tab/>
        <w:tab/>
      </w:r>
      <w:r>
        <w:rPr>
          <w:i w:val="false"/>
          <w:iCs w:val="false"/>
        </w:rPr>
        <w:t>4</w:t>
      </w:r>
    </w:p>
    <w:p>
      <w:pPr>
        <w:pStyle w:val="Normal"/>
        <w:bidi w:val="0"/>
        <w:jc w:val="left"/>
        <w:rPr>
          <w:i/>
          <w:i/>
          <w:iCs/>
        </w:rPr>
      </w:pPr>
      <w:r>
        <w:rPr>
          <w:i/>
          <w:iCs/>
        </w:rPr>
      </w:r>
    </w:p>
    <w:p>
      <w:pPr>
        <w:pStyle w:val="Normal"/>
        <w:bidi w:val="0"/>
        <w:jc w:val="left"/>
        <w:rPr>
          <w:i/>
          <w:i/>
          <w:iCs/>
        </w:rPr>
      </w:pPr>
      <w:r>
        <w:rPr>
          <w:i/>
          <w:iCs/>
        </w:rPr>
        <w:tab/>
        <w:t xml:space="preserve">989.    This inquiry did ask.  We heard that they were sent to the unit for treatment but </w:t>
        <w:tab/>
        <w:t xml:space="preserve">instead many were subjected to torture and tūkino [ill-treatment] including serious sexual, </w:t>
        <w:tab/>
        <w:t xml:space="preserve">physical, emotional and psychological abuse. Survivors’ cultures were ignored. Disabled </w:t>
        <w:tab/>
        <w:t xml:space="preserve">survivors were not recognised or cared for. They were not believed when they tried to tell </w:t>
      </w:r>
    </w:p>
    <w:p>
      <w:pPr>
        <w:pStyle w:val="Normal"/>
        <w:bidi w:val="0"/>
        <w:jc w:val="left"/>
        <w:rPr>
          <w:i/>
          <w:i/>
          <w:iCs/>
        </w:rPr>
      </w:pPr>
      <w:r>
        <w:rPr>
          <w:i/>
          <w:iCs/>
        </w:rPr>
        <w:tab/>
        <w:t xml:space="preserve">what was happening to them. Instead they were neglected, threatened, degraded and </w:t>
        <w:tab/>
        <w:t>humiliated.</w:t>
      </w:r>
      <w:r>
        <w:rPr>
          <w:rStyle w:val="FootnoteAnchor"/>
          <w:i/>
          <w:iCs/>
        </w:rPr>
        <w:footnoteReference w:id="5"/>
      </w:r>
    </w:p>
    <w:p>
      <w:pPr>
        <w:pStyle w:val="Normal"/>
        <w:bidi w:val="0"/>
        <w:jc w:val="left"/>
        <w:rPr>
          <w:i/>
          <w:i/>
          <w:iCs/>
        </w:rPr>
      </w:pPr>
      <w:r>
        <w:rPr>
          <w:i/>
          <w:iCs/>
        </w:rPr>
      </w:r>
    </w:p>
    <w:p>
      <w:pPr>
        <w:pStyle w:val="Normal"/>
        <w:bidi w:val="0"/>
        <w:jc w:val="left"/>
        <w:rPr>
          <w:i w:val="false"/>
          <w:i w:val="false"/>
          <w:iCs w:val="false"/>
        </w:rPr>
      </w:pPr>
      <w:r>
        <w:rPr>
          <w:i w:val="false"/>
          <w:iCs w:val="false"/>
        </w:rPr>
        <w:t xml:space="preserve">We believe the Crown Response Unit deliberately altered what the Royal Commission presented in its findings about Lake Alice. One of the reasons for this might be because allegations of torturous </w:t>
        <w:tab/>
      </w:r>
    </w:p>
    <w:p>
      <w:pPr>
        <w:pStyle w:val="Normal"/>
        <w:bidi w:val="0"/>
        <w:jc w:val="left"/>
        <w:rPr>
          <w:i w:val="false"/>
          <w:i w:val="false"/>
          <w:iCs w:val="false"/>
        </w:rPr>
      </w:pPr>
      <w:r>
        <w:rPr>
          <w:i w:val="false"/>
          <w:iCs w:val="false"/>
        </w:rPr>
        <w:t>ill-treatment are not limited to Lake Alice but occurred in other care settings also, including psychiatric hospitals, Social Welfare and faith-based care homes. The use of ECT, psychiatric drugs, seclusion, serious sexual assaults, beatings, physical and emotional abuse were features of widespread ill-treatment across several care settings and facilities.</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In the next briefing to Minister Stanford from the Crown Response Unit, dated 9 May 2024, it reiterated the limiting of torture to only unmodified ECT and paraldehyde as punishment. </w:t>
      </w:r>
    </w:p>
    <w:p>
      <w:pPr>
        <w:pStyle w:val="Normal"/>
        <w:bidi w:val="0"/>
        <w:jc w:val="left"/>
        <w:rPr>
          <w:i w:val="false"/>
          <w:i w:val="false"/>
          <w:iCs w:val="false"/>
        </w:rPr>
      </w:pPr>
      <w:r>
        <w:rPr>
          <w:i w:val="false"/>
          <w:iCs w:val="false"/>
        </w:rPr>
      </w:r>
    </w:p>
    <w:p>
      <w:pPr>
        <w:pStyle w:val="Normal"/>
        <w:bidi w:val="0"/>
        <w:jc w:val="left"/>
        <w:rPr>
          <w:i/>
          <w:i/>
          <w:iCs/>
        </w:rPr>
      </w:pPr>
      <w:r>
        <w:rPr>
          <w:i/>
          <w:iCs/>
        </w:rPr>
        <w:tab/>
        <w:t xml:space="preserve">5. As noted in the overview briefing provided on 29 February [briefing CRACI 24/009 </w:t>
        <w:tab/>
        <w:t xml:space="preserve">refers], the Abuse in Care Royal Commission of Inquiry (the Royal Commission) found that </w:t>
        <w:tab/>
        <w:t xml:space="preserve">some of the experiences at the Lake Alice Unit, specifically the way electroconvulsive </w:t>
        <w:tab/>
        <w:t xml:space="preserve">therapy (ECT) and paraldehyde injections were used to punish children and young people, </w:t>
        <w:tab/>
        <w:t xml:space="preserve">meet the threshold for torture under the Convention against Torture and Other Cruel, </w:t>
        <w:tab/>
        <w:t>Inhuman or Degrading Treatment or Punishment (the Convention).</w:t>
      </w:r>
      <w:r>
        <w:rPr>
          <w:rStyle w:val="FootnoteAnchor"/>
          <w:i/>
          <w:iCs/>
        </w:rPr>
        <w:footnoteReference w:id="6"/>
      </w:r>
    </w:p>
    <w:p>
      <w:pPr>
        <w:pStyle w:val="Normal"/>
        <w:bidi w:val="0"/>
        <w:jc w:val="left"/>
        <w:rPr>
          <w:rFonts w:ascii="Calibri" w:hAnsi="Calibri"/>
          <w:b w:val="false"/>
          <w:i w:val="false"/>
          <w:i w:val="false"/>
          <w:color w:val="000000"/>
          <w:sz w:val="24"/>
        </w:rPr>
      </w:pPr>
      <w:r>
        <w:rPr>
          <w:rFonts w:ascii="Calibri" w:hAnsi="Calibri"/>
          <w:b w:val="false"/>
          <w:i w:val="false"/>
          <w:color w:val="000000"/>
          <w:sz w:val="24"/>
        </w:rPr>
      </w:r>
    </w:p>
    <w:p>
      <w:pPr>
        <w:pStyle w:val="Normal"/>
        <w:bidi w:val="0"/>
        <w:jc w:val="left"/>
        <w:rPr>
          <w:rFonts w:ascii="Calibri" w:hAnsi="Calibri"/>
          <w:b w:val="false"/>
          <w:i w:val="false"/>
          <w:i w:val="false"/>
          <w:color w:val="000000"/>
          <w:sz w:val="24"/>
        </w:rPr>
      </w:pPr>
      <w:r>
        <w:rPr>
          <w:i w:val="false"/>
          <w:iCs w:val="false"/>
        </w:rPr>
        <w:t xml:space="preserve">The briefing acknowledged how it has been five years since the CAT issued its report on Paul Zentveld and two years since its report on Malcolm Richards, and how some of the survivors faced serious health issues. They advised there should be no further delays because of these factors. </w:t>
      </w:r>
    </w:p>
    <w:p>
      <w:pPr>
        <w:pStyle w:val="Normal"/>
        <w:bidi w:val="0"/>
        <w:jc w:val="left"/>
        <w:rPr>
          <w:rFonts w:ascii="Calibri" w:hAnsi="Calibri"/>
          <w:b w:val="false"/>
          <w:i w:val="false"/>
          <w:i w:val="false"/>
          <w:color w:val="000000"/>
          <w:sz w:val="24"/>
        </w:rPr>
      </w:pPr>
      <w:r>
        <w:rPr>
          <w:rFonts w:ascii="Calibri" w:hAnsi="Calibri"/>
          <w:b w:val="false"/>
          <w:i w:val="false"/>
          <w:color w:val="000000"/>
          <w:sz w:val="24"/>
        </w:rPr>
      </w:r>
    </w:p>
    <w:p>
      <w:pPr>
        <w:pStyle w:val="Normal"/>
        <w:bidi w:val="0"/>
        <w:jc w:val="left"/>
        <w:rPr>
          <w:rFonts w:ascii="Calibri" w:hAnsi="Calibri"/>
          <w:b w:val="false"/>
          <w:i w:val="false"/>
          <w:i w:val="false"/>
          <w:color w:val="000000"/>
          <w:sz w:val="24"/>
        </w:rPr>
      </w:pPr>
      <w:r>
        <w:rPr>
          <w:i w:val="false"/>
          <w:iCs w:val="false"/>
        </w:rPr>
        <w:t>They also advised that the redress should be in consultation with survivors themselves as it would help ‘deliver redress that meets survivor needs and thereby minimises any risk of survivors seeking judicial review or pursuing further action through the CAT.’</w:t>
      </w:r>
      <w:r>
        <w:rPr>
          <w:rStyle w:val="FootnoteAnchor"/>
          <w:i w:val="false"/>
          <w:iCs w:val="false"/>
        </w:rPr>
        <w:footnoteReference w:id="7"/>
      </w:r>
    </w:p>
    <w:p>
      <w:pPr>
        <w:pStyle w:val="Normal"/>
        <w:bidi w:val="0"/>
        <w:jc w:val="left"/>
        <w:rPr>
          <w:rFonts w:ascii="Calibri" w:hAnsi="Calibri"/>
          <w:b w:val="false"/>
          <w:i w:val="false"/>
          <w:i w:val="false"/>
          <w:color w:val="000000"/>
          <w:sz w:val="24"/>
        </w:rPr>
      </w:pPr>
      <w:r>
        <w:rPr>
          <w:rFonts w:ascii="Calibri" w:hAnsi="Calibri"/>
          <w:b w:val="false"/>
          <w:i w:val="false"/>
          <w:color w:val="000000"/>
          <w:sz w:val="24"/>
        </w:rPr>
      </w:r>
    </w:p>
    <w:p>
      <w:pPr>
        <w:pStyle w:val="Normal"/>
        <w:bidi w:val="0"/>
        <w:jc w:val="left"/>
        <w:rPr>
          <w:rFonts w:ascii="Calibri" w:hAnsi="Calibri"/>
          <w:b w:val="false"/>
          <w:i w:val="false"/>
          <w:i w:val="false"/>
          <w:color w:val="000000"/>
          <w:sz w:val="24"/>
        </w:rPr>
      </w:pPr>
      <w:r>
        <w:rPr>
          <w:rFonts w:ascii="Calibri" w:hAnsi="Calibri"/>
          <w:b w:val="false"/>
          <w:i w:val="false"/>
          <w:color w:val="000000"/>
          <w:sz w:val="24"/>
        </w:rPr>
      </w:r>
    </w:p>
    <w:p>
      <w:pPr>
        <w:pStyle w:val="Normal"/>
        <w:bidi w:val="0"/>
        <w:jc w:val="left"/>
        <w:rPr>
          <w:rFonts w:ascii="Calibri" w:hAnsi="Calibri"/>
          <w:b w:val="false"/>
          <w:i w:val="false"/>
          <w:i w:val="false"/>
          <w:color w:val="000000"/>
          <w:sz w:val="24"/>
        </w:rPr>
      </w:pPr>
      <w:r>
        <w:rPr>
          <w:i w:val="false"/>
          <w:iCs w:val="false"/>
        </w:rPr>
        <w:t>In her briefing to Cabinet Social Outcomes Committee on 26 June 2024</w:t>
      </w:r>
      <w:r>
        <w:rPr>
          <w:rStyle w:val="FootnoteAnchor"/>
          <w:i w:val="false"/>
          <w:iCs w:val="false"/>
        </w:rPr>
        <w:footnoteReference w:id="8"/>
      </w:r>
      <w:r>
        <w:rPr>
          <w:i w:val="false"/>
          <w:iCs w:val="false"/>
        </w:rPr>
        <w:t xml:space="preserve">, Minister Stanford </w:t>
      </w:r>
    </w:p>
    <w:p>
      <w:pPr>
        <w:pStyle w:val="Normal"/>
        <w:bidi w:val="0"/>
        <w:jc w:val="left"/>
        <w:rPr>
          <w:rFonts w:ascii="Calibri" w:hAnsi="Calibri"/>
          <w:b w:val="false"/>
          <w:i w:val="false"/>
          <w:i w:val="false"/>
          <w:color w:val="000000"/>
          <w:sz w:val="24"/>
        </w:rPr>
      </w:pPr>
      <w:r>
        <w:rPr>
          <w:i w:val="false"/>
          <w:iCs w:val="false"/>
        </w:rPr>
        <w:t>recommended that an apology is made to the Lake Alice survivors and to say that some of the children had been tortured. She reported that the ECT and paraldehyde for punishment were the specific forms of torture:</w:t>
      </w:r>
    </w:p>
    <w:p>
      <w:pPr>
        <w:pStyle w:val="Normal"/>
        <w:bidi w:val="0"/>
        <w:jc w:val="left"/>
        <w:rPr>
          <w:rFonts w:ascii="Calibri" w:hAnsi="Calibri"/>
          <w:b w:val="false"/>
          <w:i w:val="false"/>
          <w:i w:val="false"/>
          <w:color w:val="000000"/>
          <w:sz w:val="24"/>
        </w:rPr>
      </w:pPr>
      <w:r>
        <w:rPr>
          <w:rFonts w:ascii="Calibri" w:hAnsi="Calibri"/>
          <w:b w:val="false"/>
          <w:i w:val="false"/>
          <w:color w:val="000000"/>
          <w:sz w:val="24"/>
        </w:rPr>
      </w:r>
    </w:p>
    <w:p>
      <w:pPr>
        <w:pStyle w:val="Normal"/>
        <w:bidi w:val="0"/>
        <w:jc w:val="left"/>
        <w:rPr>
          <w:rFonts w:ascii="Calibri" w:hAnsi="Calibri"/>
          <w:b w:val="false"/>
          <w:i w:val="false"/>
          <w:i w:val="false"/>
          <w:color w:val="000000"/>
          <w:sz w:val="24"/>
        </w:rPr>
      </w:pPr>
      <w:r>
        <w:rPr>
          <w:rFonts w:ascii="Calibri" w:hAnsi="Calibri"/>
          <w:b w:val="false"/>
          <w:i w:val="false"/>
          <w:color w:val="000000"/>
          <w:sz w:val="24"/>
        </w:rPr>
      </w:r>
    </w:p>
    <w:p>
      <w:pPr>
        <w:pStyle w:val="Normal"/>
        <w:bidi w:val="0"/>
        <w:jc w:val="left"/>
        <w:rPr>
          <w:i/>
          <w:i/>
          <w:iCs/>
        </w:rPr>
      </w:pPr>
      <w:r>
        <w:rPr>
          <w:i/>
          <w:iCs/>
        </w:rPr>
      </w:r>
    </w:p>
    <w:p>
      <w:pPr>
        <w:pStyle w:val="Normal"/>
        <w:bidi w:val="0"/>
        <w:jc w:val="left"/>
        <w:rPr>
          <w:i/>
          <w:i/>
          <w:iCs/>
        </w:rPr>
      </w:pPr>
      <w:r>
        <w:rPr>
          <w:i/>
          <w:iCs/>
        </w:rPr>
        <w:tab/>
        <w:tab/>
        <w:tab/>
        <w:tab/>
        <w:tab/>
        <w:tab/>
      </w:r>
      <w:r>
        <w:rPr>
          <w:i w:val="false"/>
          <w:iCs w:val="false"/>
        </w:rPr>
        <w:t>5</w:t>
      </w:r>
    </w:p>
    <w:p>
      <w:pPr>
        <w:pStyle w:val="Normal"/>
        <w:bidi w:val="0"/>
        <w:jc w:val="left"/>
        <w:rPr>
          <w:i/>
          <w:i/>
          <w:iCs/>
        </w:rPr>
      </w:pPr>
      <w:r>
        <w:rPr>
          <w:i/>
          <w:iCs/>
        </w:rPr>
      </w:r>
    </w:p>
    <w:p>
      <w:pPr>
        <w:pStyle w:val="Normal"/>
        <w:bidi w:val="0"/>
        <w:jc w:val="left"/>
        <w:rPr>
          <w:i/>
          <w:i/>
          <w:iCs/>
        </w:rPr>
      </w:pPr>
      <w:r>
        <w:rPr>
          <w:i/>
          <w:iCs/>
        </w:rPr>
        <w:tab/>
        <w:t>7  While the Royal Commission does not have the authority to make a definitive</w:t>
      </w:r>
    </w:p>
    <w:p>
      <w:pPr>
        <w:pStyle w:val="Normal"/>
        <w:bidi w:val="0"/>
        <w:jc w:val="left"/>
        <w:rPr>
          <w:i/>
          <w:i/>
          <w:iCs/>
        </w:rPr>
      </w:pPr>
      <w:r>
        <w:rPr>
          <w:i/>
          <w:iCs/>
        </w:rPr>
        <w:tab/>
        <w:t>finding of torture, it concluded that some of the experiences at the Lake Alice</w:t>
      </w:r>
    </w:p>
    <w:p>
      <w:pPr>
        <w:pStyle w:val="Normal"/>
        <w:bidi w:val="0"/>
        <w:jc w:val="left"/>
        <w:rPr>
          <w:i/>
          <w:i/>
          <w:iCs/>
        </w:rPr>
      </w:pPr>
      <w:r>
        <w:rPr>
          <w:i/>
          <w:iCs/>
        </w:rPr>
        <w:tab/>
        <w:t>Unit, specifically the way electroconvulsive therapy (ECT) and paraldehyde</w:t>
      </w:r>
    </w:p>
    <w:p>
      <w:pPr>
        <w:pStyle w:val="Normal"/>
        <w:bidi w:val="0"/>
        <w:jc w:val="left"/>
        <w:rPr>
          <w:i/>
          <w:i/>
          <w:iCs/>
        </w:rPr>
      </w:pPr>
      <w:r>
        <w:rPr>
          <w:i/>
          <w:iCs/>
        </w:rPr>
        <w:tab/>
        <w:t>injections were used to punish children and young people, meet the definition of</w:t>
      </w:r>
    </w:p>
    <w:p>
      <w:pPr>
        <w:pStyle w:val="Normal"/>
        <w:bidi w:val="0"/>
        <w:jc w:val="left"/>
        <w:rPr>
          <w:i/>
          <w:i/>
          <w:iCs/>
        </w:rPr>
      </w:pPr>
      <w:r>
        <w:rPr>
          <w:i/>
          <w:iCs/>
        </w:rPr>
        <w:tab/>
        <w:t xml:space="preserve">torture under the Convention against Torture and Other Cruel, Inhuman or </w:t>
      </w:r>
    </w:p>
    <w:p>
      <w:pPr>
        <w:pStyle w:val="Normal"/>
        <w:bidi w:val="0"/>
        <w:jc w:val="left"/>
        <w:rPr>
          <w:i/>
          <w:i/>
          <w:iCs/>
        </w:rPr>
      </w:pPr>
      <w:r>
        <w:rPr>
          <w:i/>
          <w:iCs/>
        </w:rPr>
        <w:tab/>
        <w:t>Degrading Treatment or Punishment (the Convention). New Zealand is a</w:t>
      </w:r>
    </w:p>
    <w:p>
      <w:pPr>
        <w:pStyle w:val="Normal"/>
        <w:bidi w:val="0"/>
        <w:jc w:val="left"/>
        <w:rPr>
          <w:i/>
          <w:i/>
          <w:iCs/>
        </w:rPr>
      </w:pPr>
      <w:r>
        <w:rPr>
          <w:i/>
          <w:iCs/>
        </w:rPr>
        <w:tab/>
        <w:t>signatory to the Convention, which was implemented in domestic law through the</w:t>
      </w:r>
    </w:p>
    <w:p>
      <w:pPr>
        <w:pStyle w:val="Normal"/>
        <w:bidi w:val="0"/>
        <w:jc w:val="left"/>
        <w:rPr>
          <w:i/>
          <w:i/>
          <w:iCs/>
        </w:rPr>
      </w:pPr>
      <w:r>
        <w:rPr>
          <w:i/>
          <w:iCs/>
        </w:rPr>
        <w:tab/>
        <w:t>Crimes of Torture Act 1989.</w:t>
      </w:r>
      <w:r>
        <w:rPr>
          <w:rStyle w:val="FootnoteAnchor"/>
          <w:i/>
          <w:iCs/>
        </w:rPr>
        <w:footnoteReference w:id="9"/>
      </w:r>
      <w:r>
        <w:rPr>
          <w:i/>
          <w:iCs/>
        </w:rPr>
        <w:t xml:space="preserve"> </w:t>
      </w:r>
    </w:p>
    <w:p>
      <w:pPr>
        <w:pStyle w:val="Normal"/>
        <w:bidi w:val="0"/>
        <w:jc w:val="left"/>
        <w:rPr>
          <w:rFonts w:ascii="Calibri" w:hAnsi="Calibri"/>
          <w:b w:val="false"/>
          <w:i w:val="false"/>
          <w:i w:val="false"/>
          <w:color w:val="000000"/>
          <w:sz w:val="24"/>
        </w:rPr>
      </w:pPr>
      <w:r>
        <w:rPr>
          <w:rFonts w:ascii="Calibri" w:hAnsi="Calibri"/>
          <w:b w:val="false"/>
          <w:i w:val="false"/>
          <w:color w:val="000000"/>
          <w:sz w:val="24"/>
        </w:rPr>
      </w:r>
    </w:p>
    <w:p>
      <w:pPr>
        <w:pStyle w:val="Normal"/>
        <w:bidi w:val="0"/>
        <w:jc w:val="left"/>
        <w:rPr>
          <w:rFonts w:ascii="Calibri" w:hAnsi="Calibri"/>
          <w:b w:val="false"/>
          <w:i w:val="false"/>
          <w:i w:val="false"/>
          <w:color w:val="000000"/>
          <w:sz w:val="24"/>
        </w:rPr>
      </w:pPr>
      <w:r>
        <w:rPr>
          <w:rFonts w:ascii="Calibri" w:hAnsi="Calibri"/>
          <w:b w:val="false"/>
          <w:i w:val="false"/>
          <w:color w:val="000000"/>
          <w:sz w:val="24"/>
        </w:rPr>
      </w:r>
    </w:p>
    <w:p>
      <w:pPr>
        <w:pStyle w:val="Normal"/>
        <w:bidi w:val="0"/>
        <w:jc w:val="left"/>
        <w:rPr>
          <w:rFonts w:ascii="Calibri" w:hAnsi="Calibri"/>
          <w:b w:val="false"/>
          <w:i w:val="false"/>
          <w:i w:val="false"/>
          <w:color w:val="000000"/>
          <w:sz w:val="24"/>
        </w:rPr>
      </w:pPr>
      <w:r>
        <w:rPr>
          <w:i w:val="false"/>
          <w:iCs w:val="false"/>
        </w:rPr>
        <w:t>The Minister also claimed there was the “limited nature of information set out in medical records...”</w:t>
      </w:r>
    </w:p>
    <w:p>
      <w:pPr>
        <w:pStyle w:val="Normal"/>
        <w:bidi w:val="0"/>
        <w:jc w:val="left"/>
        <w:rPr>
          <w:rFonts w:ascii="Calibri" w:hAnsi="Calibri"/>
          <w:b w:val="false"/>
          <w:i w:val="false"/>
          <w:i w:val="false"/>
          <w:color w:val="000000"/>
          <w:sz w:val="24"/>
        </w:rPr>
      </w:pPr>
      <w:r>
        <w:rPr>
          <w:rFonts w:ascii="Calibri" w:hAnsi="Calibri"/>
          <w:b w:val="false"/>
          <w:i w:val="false"/>
          <w:color w:val="000000"/>
          <w:sz w:val="24"/>
        </w:rPr>
      </w:r>
    </w:p>
    <w:p>
      <w:pPr>
        <w:pStyle w:val="Normal"/>
        <w:bidi w:val="0"/>
        <w:jc w:val="left"/>
        <w:rPr>
          <w:i/>
          <w:i/>
          <w:iCs/>
        </w:rPr>
      </w:pPr>
      <w:r>
        <w:rPr>
          <w:i/>
          <w:iCs/>
        </w:rPr>
        <w:tab/>
        <w:t>11 Due to the limited nature of information set out in medical records, it is not</w:t>
      </w:r>
    </w:p>
    <w:p>
      <w:pPr>
        <w:pStyle w:val="Normal"/>
        <w:bidi w:val="0"/>
        <w:jc w:val="left"/>
        <w:rPr>
          <w:i/>
          <w:i/>
          <w:iCs/>
        </w:rPr>
      </w:pPr>
      <w:r>
        <w:rPr>
          <w:i/>
          <w:iCs/>
        </w:rPr>
        <w:tab/>
        <w:t>definitively known which children and young people at the Lake Alice Unit</w:t>
      </w:r>
    </w:p>
    <w:p>
      <w:pPr>
        <w:pStyle w:val="Normal"/>
        <w:bidi w:val="0"/>
        <w:jc w:val="left"/>
        <w:rPr>
          <w:i/>
          <w:i/>
          <w:iCs/>
        </w:rPr>
      </w:pPr>
      <w:r>
        <w:rPr>
          <w:i/>
          <w:iCs/>
        </w:rPr>
        <w:tab/>
        <w:t>received ECT and/or paraldehyde injections as punishment. The Royal</w:t>
      </w:r>
    </w:p>
    <w:p>
      <w:pPr>
        <w:pStyle w:val="Normal"/>
        <w:bidi w:val="0"/>
        <w:jc w:val="left"/>
        <w:rPr>
          <w:i/>
          <w:i/>
          <w:iCs/>
        </w:rPr>
      </w:pPr>
      <w:r>
        <w:rPr>
          <w:i/>
          <w:iCs/>
        </w:rPr>
        <w:tab/>
        <w:t>Commission has identified 362 children and young people who spent time at the</w:t>
      </w:r>
    </w:p>
    <w:p>
      <w:pPr>
        <w:pStyle w:val="Normal"/>
        <w:bidi w:val="0"/>
        <w:jc w:val="left"/>
        <w:rPr>
          <w:i/>
          <w:i/>
          <w:iCs/>
        </w:rPr>
      </w:pPr>
      <w:r>
        <w:rPr>
          <w:i/>
          <w:iCs/>
        </w:rPr>
        <w:tab/>
        <w:t>Lake Alice Unit. This total includes children and young people who only spent</w:t>
      </w:r>
    </w:p>
    <w:p>
      <w:pPr>
        <w:pStyle w:val="Normal"/>
        <w:bidi w:val="0"/>
        <w:jc w:val="left"/>
        <w:rPr>
          <w:i/>
          <w:i/>
          <w:iCs/>
        </w:rPr>
      </w:pPr>
      <w:r>
        <w:rPr>
          <w:i/>
          <w:iCs/>
        </w:rPr>
        <w:tab/>
        <w:t>short periods in the Unit, as well as others who spent much longer periods there</w:t>
      </w:r>
    </w:p>
    <w:p>
      <w:pPr>
        <w:pStyle w:val="Normal"/>
        <w:bidi w:val="0"/>
        <w:jc w:val="left"/>
        <w:rPr>
          <w:i/>
          <w:i/>
          <w:iCs/>
        </w:rPr>
      </w:pPr>
      <w:r>
        <w:rPr>
          <w:i/>
          <w:iCs/>
        </w:rPr>
        <w:tab/>
        <w:t>(in some cases, years). Through survivor testimony, the Royal Commission has</w:t>
      </w:r>
    </w:p>
    <w:p>
      <w:pPr>
        <w:pStyle w:val="Normal"/>
        <w:bidi w:val="0"/>
        <w:jc w:val="left"/>
        <w:rPr>
          <w:i/>
          <w:i/>
          <w:iCs/>
        </w:rPr>
      </w:pPr>
      <w:r>
        <w:rPr>
          <w:i/>
          <w:iCs/>
        </w:rPr>
        <w:tab/>
        <w:t>identified at least 15 people who experienced such punishment as a child or</w:t>
      </w:r>
    </w:p>
    <w:p>
      <w:pPr>
        <w:pStyle w:val="Normal"/>
        <w:bidi w:val="0"/>
        <w:jc w:val="left"/>
        <w:rPr>
          <w:i/>
          <w:i/>
          <w:iCs/>
        </w:rPr>
      </w:pPr>
      <w:r>
        <w:rPr>
          <w:i/>
          <w:iCs/>
        </w:rPr>
        <w:tab/>
        <w:t>young person.</w:t>
      </w:r>
    </w:p>
    <w:p>
      <w:pPr>
        <w:pStyle w:val="Normal"/>
        <w:bidi w:val="0"/>
        <w:jc w:val="left"/>
        <w:rPr>
          <w:i/>
          <w:i/>
          <w:iCs/>
        </w:rPr>
      </w:pPr>
      <w:r>
        <w:rPr>
          <w:i/>
          <w:iCs/>
        </w:rPr>
      </w:r>
    </w:p>
    <w:p>
      <w:pPr>
        <w:pStyle w:val="Normal"/>
        <w:bidi w:val="0"/>
        <w:jc w:val="left"/>
        <w:rPr>
          <w:i/>
          <w:i/>
          <w:iCs/>
        </w:rPr>
      </w:pPr>
      <w:r>
        <w:rPr>
          <w:i/>
          <w:iCs/>
        </w:rPr>
      </w:r>
    </w:p>
    <w:p>
      <w:pPr>
        <w:pStyle w:val="Normal"/>
        <w:bidi w:val="0"/>
        <w:jc w:val="left"/>
        <w:rPr>
          <w:i w:val="false"/>
          <w:i w:val="false"/>
          <w:iCs w:val="false"/>
        </w:rPr>
      </w:pPr>
      <w:r>
        <w:rPr>
          <w:i w:val="false"/>
          <w:iCs w:val="false"/>
        </w:rPr>
        <w:t xml:space="preserve">This however was incorrect because in many cases there were good medical notes showing the use of drugs, seclusion and shocks as punishment. There was also the matter of survivors’ statements that corroborated each claim with little variation. This was commented on by Sir Rodney Gallen in his report of 2002 and also by the NZ Police who completed a full investigation of crimes committed at Lake Alice in 2022 (which the Minister also mentions in the Cabinet paper): </w:t>
      </w:r>
    </w:p>
    <w:p>
      <w:pPr>
        <w:pStyle w:val="Normal"/>
        <w:bidi w:val="0"/>
        <w:jc w:val="left"/>
        <w:rPr>
          <w:i w:val="false"/>
          <w:i w:val="false"/>
          <w:iCs w:val="false"/>
        </w:rPr>
      </w:pPr>
      <w:r>
        <w:rPr>
          <w:i w:val="false"/>
          <w:iCs w:val="false"/>
        </w:rPr>
      </w:r>
    </w:p>
    <w:p>
      <w:pPr>
        <w:pStyle w:val="Normal"/>
        <w:bidi w:val="0"/>
        <w:jc w:val="left"/>
        <w:rPr>
          <w:i/>
          <w:i/>
          <w:iCs/>
        </w:rPr>
      </w:pPr>
      <w:r>
        <w:rPr>
          <w:i/>
          <w:iCs/>
        </w:rPr>
        <w:tab/>
        <w:t xml:space="preserve">In this case there are in excess of 98 accounts, all of which refer to similar circumstances. </w:t>
        <w:tab/>
        <w:t xml:space="preserve">Many of these corroborate material contained in other statements in circumstances where </w:t>
        <w:tab/>
        <w:t xml:space="preserve">there could have been no opportunity for the persons making the statements to confer. </w:t>
      </w:r>
    </w:p>
    <w:p>
      <w:pPr>
        <w:pStyle w:val="Normal"/>
        <w:bidi w:val="0"/>
        <w:jc w:val="left"/>
        <w:rPr>
          <w:i/>
          <w:i/>
          <w:iCs/>
        </w:rPr>
      </w:pPr>
      <w:r>
        <w:rPr>
          <w:i/>
          <w:iCs/>
        </w:rPr>
        <w:tab/>
        <w:t>...</w:t>
      </w:r>
    </w:p>
    <w:p>
      <w:pPr>
        <w:pStyle w:val="Normal"/>
        <w:bidi w:val="0"/>
        <w:jc w:val="left"/>
        <w:rPr>
          <w:i/>
          <w:i/>
          <w:iCs/>
        </w:rPr>
      </w:pPr>
      <w:r>
        <w:rPr>
          <w:i/>
          <w:iCs/>
        </w:rPr>
        <w:tab/>
        <w:t xml:space="preserve">While in some cases modified ECT was administered on children at Lake Alice, the </w:t>
        <w:tab/>
        <w:t xml:space="preserve">administration of unmodified ECT was not only common, but routine. That is established </w:t>
        <w:tab/>
        <w:t xml:space="preserve">not only by the statements of the complainants, but by the medical records which have been </w:t>
        <w:tab/>
        <w:t xml:space="preserve">made available. The accounts given to me, and the records hospital records confirm, it was </w:t>
        <w:tab/>
        <w:t>not uncommonly given more than once on the same day.</w:t>
      </w:r>
    </w:p>
    <w:p>
      <w:pPr>
        <w:pStyle w:val="Normal"/>
        <w:bidi w:val="0"/>
        <w:jc w:val="left"/>
        <w:rPr>
          <w:i/>
          <w:i/>
          <w:iCs/>
        </w:rPr>
      </w:pPr>
      <w:r>
        <w:rPr>
          <w:i/>
          <w:iCs/>
        </w:rPr>
        <w:tab/>
        <w:t>...</w:t>
      </w:r>
    </w:p>
    <w:p>
      <w:pPr>
        <w:pStyle w:val="Normal"/>
        <w:bidi w:val="0"/>
        <w:jc w:val="left"/>
        <w:rPr>
          <w:i/>
          <w:i/>
          <w:iCs/>
        </w:rPr>
      </w:pPr>
      <w:r>
        <w:rPr>
          <w:i/>
          <w:iCs/>
        </w:rPr>
        <w:tab/>
        <w:t xml:space="preserve">Solitary confinement was used from time to time as a punishment, and a number of the </w:t>
        <w:tab/>
        <w:t xml:space="preserve">statements indicate that the children concerned were kept entirely naked while retained in </w:t>
        <w:tab/>
        <w:t xml:space="preserve">solitary confinement. </w:t>
      </w:r>
    </w:p>
    <w:p>
      <w:pPr>
        <w:pStyle w:val="Normal"/>
        <w:bidi w:val="0"/>
        <w:jc w:val="left"/>
        <w:rPr>
          <w:i w:val="false"/>
          <w:i w:val="false"/>
          <w:iCs w:val="false"/>
        </w:rPr>
      </w:pPr>
      <w:r>
        <w:rPr>
          <w:i w:val="false"/>
          <w:iCs w:val="false"/>
        </w:rPr>
        <w:tab/>
        <w:t>...</w:t>
      </w:r>
    </w:p>
    <w:p>
      <w:pPr>
        <w:pStyle w:val="Normal"/>
        <w:bidi w:val="0"/>
        <w:jc w:val="left"/>
        <w:rPr>
          <w:i w:val="false"/>
          <w:i w:val="false"/>
          <w:iCs w:val="false"/>
        </w:rPr>
      </w:pPr>
      <w:r>
        <w:rPr>
          <w:i w:val="false"/>
          <w:iCs w:val="false"/>
        </w:rPr>
        <w:tab/>
      </w:r>
      <w:r>
        <w:rPr>
          <w:i/>
          <w:iCs/>
        </w:rPr>
        <w:t xml:space="preserve">The medical notes themselves indicate that paraldehyde was used as punishment, and again I </w:t>
        <w:tab/>
        <w:t xml:space="preserve">should emphasis that we are not here talking about adult or physically difficult patients, but </w:t>
        <w:tab/>
        <w:t>children.</w:t>
      </w:r>
    </w:p>
    <w:p>
      <w:pPr>
        <w:pStyle w:val="Normal"/>
        <w:bidi w:val="0"/>
        <w:jc w:val="left"/>
        <w:rPr>
          <w:i/>
          <w:i/>
          <w:iCs/>
        </w:rPr>
      </w:pPr>
      <w:r>
        <w:rPr>
          <w:i/>
          <w:iCs/>
        </w:rPr>
        <w:tab/>
        <w:t>...</w:t>
      </w:r>
    </w:p>
    <w:p>
      <w:pPr>
        <w:pStyle w:val="Normal"/>
        <w:bidi w:val="0"/>
        <w:jc w:val="left"/>
        <w:rPr>
          <w:i/>
          <w:i/>
          <w:iCs/>
        </w:rPr>
      </w:pPr>
      <w:r>
        <w:rPr>
          <w:i/>
          <w:iCs/>
        </w:rPr>
        <w:tab/>
        <w:t xml:space="preserve">A number of claimants, both male and female, allege that they were subjected to sexual </w:t>
        <w:tab/>
        <w:t xml:space="preserve">abuse from staff members or from other inmates, while at Lake Alice. The detail associated </w:t>
      </w:r>
    </w:p>
    <w:p>
      <w:pPr>
        <w:pStyle w:val="Normal"/>
        <w:bidi w:val="0"/>
        <w:jc w:val="left"/>
        <w:rPr>
          <w:i/>
          <w:i/>
          <w:iCs/>
        </w:rPr>
      </w:pPr>
      <w:r>
        <w:rPr>
          <w:i/>
          <w:iCs/>
        </w:rPr>
        <w:tab/>
        <w:tab/>
        <w:tab/>
        <w:tab/>
        <w:tab/>
        <w:tab/>
      </w:r>
      <w:r>
        <w:rPr>
          <w:i w:val="false"/>
          <w:iCs w:val="false"/>
        </w:rPr>
        <w:t>6</w:t>
      </w:r>
    </w:p>
    <w:p>
      <w:pPr>
        <w:pStyle w:val="Normal"/>
        <w:bidi w:val="0"/>
        <w:jc w:val="left"/>
        <w:rPr>
          <w:i/>
          <w:i/>
          <w:iCs/>
        </w:rPr>
      </w:pPr>
      <w:r>
        <w:rPr>
          <w:i/>
          <w:iCs/>
        </w:rPr>
      </w:r>
    </w:p>
    <w:p>
      <w:pPr>
        <w:pStyle w:val="Normal"/>
        <w:bidi w:val="0"/>
        <w:jc w:val="left"/>
        <w:rPr>
          <w:i/>
          <w:i/>
          <w:iCs/>
        </w:rPr>
      </w:pPr>
      <w:r>
        <w:rPr>
          <w:i/>
          <w:iCs/>
        </w:rPr>
        <w:tab/>
        <w:t xml:space="preserve">with the accounts, together with certain other corroborative material, establishes that </w:t>
        <w:tab/>
        <w:t>behaviour of this kind did occur.</w:t>
      </w:r>
      <w:r>
        <w:rPr>
          <w:rStyle w:val="FootnoteAnchor"/>
          <w:i/>
          <w:iCs/>
        </w:rPr>
        <w:footnoteReference w:id="10"/>
      </w:r>
    </w:p>
    <w:p>
      <w:pPr>
        <w:pStyle w:val="Normal"/>
        <w:bidi w:val="0"/>
        <w:jc w:val="left"/>
        <w:rPr>
          <w:i w:val="false"/>
          <w:i w:val="false"/>
          <w:iCs w:val="false"/>
        </w:rPr>
      </w:pPr>
      <w:r>
        <w:rPr>
          <w:i w:val="false"/>
          <w:iCs w:val="false"/>
        </w:rPr>
        <w:tab/>
        <w:tab/>
        <w:tab/>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As a consequence of the CAT report on Paul Zentveld in February 2020 a full criminal investigation was commenced by the NZ Police.  In a two-year period the had interviewed 63 former patients and recorded electric shocks, sometimes without anaesthetic, were forced on 51 patients on 140 separate occasions as punishment. And it also found 68 patients were administered paraldehyde on 350 separate occasions as punishment. The Police said: "The strength of the evidence lay in the sheer </w:t>
      </w:r>
    </w:p>
    <w:p>
      <w:pPr>
        <w:pStyle w:val="Normal"/>
        <w:bidi w:val="0"/>
        <w:jc w:val="left"/>
        <w:rPr>
          <w:i w:val="false"/>
          <w:i w:val="false"/>
          <w:iCs w:val="false"/>
        </w:rPr>
      </w:pPr>
      <w:r>
        <w:rPr>
          <w:i w:val="false"/>
          <w:iCs w:val="false"/>
        </w:rPr>
        <w:t>number of patients describing similar types of events where, in many cases, they had not spoken to other patients since being with them at Lake Alice."</w:t>
      </w:r>
      <w:r>
        <w:rPr>
          <w:rStyle w:val="FootnoteAnchor"/>
          <w:i w:val="false"/>
          <w:iCs w:val="false"/>
        </w:rPr>
        <w:footnoteReference w:id="11"/>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If this was not enough, the Crown Response Unit also had the Royal Commission’s report on Lake Alice,</w:t>
      </w:r>
      <w:r>
        <w:rPr>
          <w:i/>
          <w:iCs/>
        </w:rPr>
        <w:t xml:space="preserve"> Beautiful Children</w:t>
      </w:r>
      <w:r>
        <w:rPr>
          <w:i w:val="false"/>
          <w:iCs w:val="false"/>
        </w:rPr>
        <w:t>, to refer to for evidence of the torturous treatment and Lake Alice in all of its forms.</w:t>
      </w:r>
      <w:r>
        <w:rPr>
          <w:rStyle w:val="FootnoteAnchor"/>
          <w:i w:val="false"/>
          <w:iCs w:val="false"/>
        </w:rPr>
        <w:footnoteReference w:id="12"/>
      </w:r>
      <w:r>
        <w:rPr>
          <w:i w:val="false"/>
          <w:iCs w:val="false"/>
        </w:rPr>
        <w:t xml:space="preserve">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r>
    </w:p>
    <w:p>
      <w:pPr>
        <w:pStyle w:val="Normal"/>
        <w:bidi w:val="0"/>
        <w:jc w:val="left"/>
        <w:rPr>
          <w:rFonts w:ascii="Calibri" w:hAnsi="Calibri"/>
          <w:b w:val="false"/>
          <w:i w:val="false"/>
          <w:i w:val="false"/>
          <w:color w:val="000000"/>
          <w:sz w:val="24"/>
        </w:rPr>
      </w:pPr>
      <w:r>
        <w:rPr>
          <w:i w:val="false"/>
          <w:iCs w:val="false"/>
        </w:rPr>
        <w:t>On 24 July 2024 the government acknowledged the torture at Lake Alice, expressed their sorrow to survivors and said that there would be a formal apology later in the year.</w:t>
      </w:r>
      <w:r>
        <w:rPr>
          <w:rStyle w:val="FootnoteAnchor"/>
          <w:i w:val="false"/>
          <w:iCs w:val="false"/>
        </w:rPr>
        <w:footnoteReference w:id="13"/>
      </w:r>
      <w:r>
        <w:rPr>
          <w:i w:val="false"/>
          <w:iCs w:val="false"/>
        </w:rPr>
        <w:t xml:space="preserve"> Several survivors met with Minister Stanford after the apology along with advocates where there was a discussion about redress. Malcolm Richards (survivor) pointed out that how redress should be individualised to each survivor and not generalised. </w:t>
      </w:r>
    </w:p>
    <w:p>
      <w:pPr>
        <w:pStyle w:val="Normal"/>
        <w:bidi w:val="0"/>
        <w:jc w:val="left"/>
        <w:rPr>
          <w:rFonts w:ascii="Calibri" w:hAnsi="Calibri"/>
          <w:b w:val="false"/>
          <w:i w:val="false"/>
          <w:i w:val="false"/>
          <w:color w:val="000000"/>
          <w:sz w:val="24"/>
        </w:rPr>
      </w:pPr>
      <w:r>
        <w:rPr>
          <w:rFonts w:ascii="Calibri" w:hAnsi="Calibri"/>
          <w:b w:val="false"/>
          <w:i w:val="false"/>
          <w:color w:val="000000"/>
          <w:sz w:val="24"/>
        </w:rPr>
      </w:r>
    </w:p>
    <w:p>
      <w:pPr>
        <w:pStyle w:val="Normal"/>
        <w:bidi w:val="0"/>
        <w:jc w:val="left"/>
        <w:rPr>
          <w:rFonts w:ascii="Calibri" w:hAnsi="Calibri"/>
          <w:b w:val="false"/>
          <w:i w:val="false"/>
          <w:i w:val="false"/>
          <w:color w:val="000000"/>
          <w:sz w:val="24"/>
        </w:rPr>
      </w:pPr>
      <w:r>
        <w:rPr>
          <w:i w:val="false"/>
          <w:iCs w:val="false"/>
        </w:rPr>
        <w:t>The next briefing by the Crown Response Unit dated 13 September 2024 to Minister Stanford changed tack and steered toward the idea that Lake Alice survivors should not be re-traumatised in recounting what happened to them in the unit in the 1970s and that a single consistent payment might be considered. The briefing paper then contradicted itself:</w:t>
      </w:r>
    </w:p>
    <w:p>
      <w:pPr>
        <w:pStyle w:val="Normal"/>
        <w:bidi w:val="0"/>
        <w:jc w:val="left"/>
        <w:rPr>
          <w:rFonts w:ascii="Calibri" w:hAnsi="Calibri"/>
          <w:b w:val="false"/>
          <w:i w:val="false"/>
          <w:i w:val="false"/>
          <w:color w:val="000000"/>
          <w:sz w:val="24"/>
        </w:rPr>
      </w:pPr>
      <w:r>
        <w:rPr>
          <w:rFonts w:ascii="Calibri" w:hAnsi="Calibri"/>
          <w:b w:val="false"/>
          <w:i w:val="false"/>
          <w:color w:val="000000"/>
          <w:sz w:val="24"/>
        </w:rPr>
      </w:r>
    </w:p>
    <w:p>
      <w:pPr>
        <w:pStyle w:val="Normal"/>
        <w:bidi w:val="0"/>
        <w:jc w:val="left"/>
        <w:rPr>
          <w:i/>
          <w:i/>
          <w:iCs/>
        </w:rPr>
      </w:pPr>
      <w:r>
        <w:rPr>
          <w:i/>
          <w:iCs/>
        </w:rPr>
        <w:tab/>
        <w:t xml:space="preserve">7. Since these discussions with the Ministerial Group, you [Minister Stanford] have met with </w:t>
        <w:tab/>
        <w:t xml:space="preserve">a number of Lake Alice Unit survivors. In their engagements with you they have highlighted </w:t>
        <w:tab/>
        <w:t xml:space="preserve">that they consider it important to recognise the different experiences of torture in the Unit, </w:t>
        <w:tab/>
        <w:t xml:space="preserve">including through the payment to be made as part of a redress package. The survivors </w:t>
        <w:tab/>
        <w:t xml:space="preserve">consider the need for such recognition to outweigh the risk of re-traumatisation associated </w:t>
        <w:tab/>
        <w:t>with sharing the level of detail needed to enable decisions on different levels of payment.</w:t>
      </w:r>
      <w:r>
        <w:rPr>
          <w:rStyle w:val="FootnoteAnchor"/>
          <w:i/>
          <w:iCs/>
        </w:rPr>
        <w:footnoteReference w:id="14"/>
      </w:r>
    </w:p>
    <w:p>
      <w:pPr>
        <w:pStyle w:val="Normal"/>
        <w:bidi w:val="0"/>
        <w:jc w:val="left"/>
        <w:rPr>
          <w:i/>
          <w:i/>
          <w:iCs/>
        </w:rPr>
      </w:pPr>
      <w:r>
        <w:rPr>
          <w:i/>
          <w:iCs/>
        </w:rPr>
      </w:r>
    </w:p>
    <w:p>
      <w:pPr>
        <w:pStyle w:val="Normal"/>
        <w:bidi w:val="0"/>
        <w:jc w:val="left"/>
        <w:rPr>
          <w:i w:val="false"/>
          <w:i w:val="false"/>
          <w:iCs w:val="false"/>
        </w:rPr>
      </w:pPr>
      <w:r>
        <w:rPr>
          <w:i w:val="false"/>
          <w:iCs w:val="false"/>
        </w:rPr>
        <w:t>This then led to a compromise and a stepped payment method was suggested as it would ‘reflect a combination of factors that are more easily able to be shared or determined and which would allow for different broad levels of experience to be recognised.’</w:t>
      </w:r>
      <w:r>
        <w:rPr>
          <w:rStyle w:val="FootnoteAnchor"/>
          <w:i w:val="false"/>
          <w:iCs w:val="false"/>
        </w:rPr>
        <w:footnoteReference w:id="15"/>
      </w:r>
      <w:r>
        <w:rPr>
          <w:i w:val="false"/>
          <w:iCs w:val="false"/>
        </w:rPr>
        <w:t xml:space="preserve">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The briefing paper suggested stepped payment approaches and amounts all the while maintaining that unmodified ECT and paraldehyde were the only torturous punishments used at the Lake Alice children’s unit.</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ab/>
        <w:tab/>
        <w:tab/>
        <w:tab/>
        <w:tab/>
        <w:tab/>
        <w:t>7</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The next briefing paper from the Crown Response Unit came five days later, dated 18 September 2024. It supported a proposal from Crown Law who were providing an option of an independently arbitrated redress process for Lake Alice torture survivors alongside of an expedited pathway.</w:t>
      </w:r>
      <w:r>
        <w:rPr>
          <w:rStyle w:val="FootnoteAnchor"/>
          <w:i w:val="false"/>
          <w:iCs w:val="false"/>
        </w:rPr>
        <w:footnoteReference w:id="16"/>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The discussion around the two pathways included how the Cabinet would decide on the minimum and maximum payments and what level and form of evidence would be needed for assessment of the two pathways. They noted that:</w:t>
      </w:r>
    </w:p>
    <w:p>
      <w:pPr>
        <w:pStyle w:val="Normal"/>
        <w:bidi w:val="0"/>
        <w:jc w:val="left"/>
        <w:rPr>
          <w:i w:val="false"/>
          <w:i w:val="false"/>
          <w:iCs w:val="false"/>
        </w:rPr>
      </w:pPr>
      <w:r>
        <w:rPr>
          <w:i w:val="false"/>
          <w:iCs w:val="false"/>
        </w:rPr>
      </w:r>
    </w:p>
    <w:p>
      <w:pPr>
        <w:pStyle w:val="Normal"/>
        <w:bidi w:val="0"/>
        <w:jc w:val="left"/>
        <w:rPr>
          <w:i/>
          <w:i/>
          <w:iCs/>
        </w:rPr>
      </w:pPr>
      <w:r>
        <w:rPr>
          <w:i/>
          <w:iCs/>
        </w:rPr>
        <w:tab/>
        <w:t xml:space="preserve">One of the challenges in this context is that we understand from the Ministry of Health that </w:t>
        <w:tab/>
        <w:t>health records are not a reliable source of information on the administration of unmodified</w:t>
        <w:tab/>
        <w:t xml:space="preserve">ECT and paraldehyde and that there is little in the way of eye-witness evidence available to </w:t>
        <w:tab/>
        <w:t>corroborate survivor evidence.</w:t>
      </w:r>
      <w:r>
        <w:rPr>
          <w:rStyle w:val="FootnoteAnchor"/>
          <w:i/>
          <w:iCs/>
        </w:rPr>
        <w:footnoteReference w:id="17"/>
      </w:r>
      <w:r>
        <w:rPr>
          <w:i/>
          <w:iCs/>
        </w:rPr>
        <w:t xml:space="preserve"> </w:t>
      </w:r>
    </w:p>
    <w:p>
      <w:pPr>
        <w:pStyle w:val="Normal"/>
        <w:bidi w:val="0"/>
        <w:jc w:val="left"/>
        <w:rPr>
          <w:i/>
          <w:i/>
          <w:iCs/>
        </w:rPr>
      </w:pPr>
      <w:r>
        <w:rPr>
          <w:i/>
          <w:iCs/>
        </w:rPr>
      </w:r>
    </w:p>
    <w:p>
      <w:pPr>
        <w:pStyle w:val="Normal"/>
        <w:bidi w:val="0"/>
        <w:jc w:val="left"/>
        <w:rPr>
          <w:i w:val="false"/>
          <w:i w:val="false"/>
          <w:iCs w:val="false"/>
        </w:rPr>
      </w:pPr>
      <w:r>
        <w:rPr>
          <w:i w:val="false"/>
          <w:iCs w:val="false"/>
        </w:rPr>
        <w:t xml:space="preserve">Which, as stated above, is disingenuous given the evidence that had been gathered by this time.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The government then decided upon the two pathway redress scheme as shown in Cabinet papers in December 2024.</w:t>
      </w:r>
      <w:r>
        <w:rPr>
          <w:rStyle w:val="FootnoteAnchor"/>
          <w:i w:val="false"/>
          <w:iCs w:val="false"/>
        </w:rPr>
        <w:footnoteReference w:id="18"/>
      </w:r>
      <w:r>
        <w:rPr>
          <w:i w:val="false"/>
          <w:iCs w:val="false"/>
        </w:rPr>
        <w:t xml:space="preserve">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These documents discussed the preferred redress scheme and why Lake Alice survivors needed to be provided redress for torture and how they had received a previous legal settlement that had not recognised the torture.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The suggested redress scheme was the two pathway approach: an expedited payment based on the person declaring they had been given unmodified ECT and/or paraldehyde as punishment.</w:t>
      </w:r>
      <w:r>
        <w:rPr>
          <w:rStyle w:val="FootnoteAnchor"/>
          <w:i w:val="false"/>
          <w:iCs w:val="false"/>
        </w:rPr>
        <w:footnoteReference w:id="19"/>
      </w:r>
      <w:r>
        <w:rPr>
          <w:i w:val="false"/>
          <w:iCs w:val="false"/>
        </w:rPr>
        <w:t xml:space="preserve">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The expedited payment of $150,000 and average individualised payment [blank] was the option decided upon with an overall cost of $22.32 - $22.68 million (including $3.12 m for legal and operating costs).</w:t>
      </w:r>
      <w:r>
        <w:rPr>
          <w:rStyle w:val="FootnoteAnchor"/>
          <w:i w:val="false"/>
          <w:iCs w:val="false"/>
        </w:rPr>
        <w:footnoteReference w:id="20"/>
      </w:r>
      <w:r>
        <w:rPr>
          <w:i w:val="false"/>
          <w:iCs w:val="false"/>
        </w:rPr>
        <w:t xml:space="preserve">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In Appendix three of this document it stated once again how there were no definitive records of which young people were tortured at the Lake Alice Unit, apart from the UNCAT decision regarding Paul Zentveld and Malcolm Richards.</w:t>
      </w:r>
      <w:r>
        <w:rPr>
          <w:rStyle w:val="FootnoteAnchor"/>
          <w:i w:val="false"/>
          <w:iCs w:val="false"/>
        </w:rPr>
        <w:footnoteReference w:id="21"/>
      </w:r>
      <w:r>
        <w:rPr>
          <w:i w:val="false"/>
          <w:iCs w:val="false"/>
        </w:rPr>
        <w:t xml:space="preserve">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This was untrue because the CAT did not adjudicate on the matter of torture, only on New Zealand’s failure to investigate the allegations of torture. The result of that—as previously mentioned—was the New Zealand Police findings in 2023 and the final report on Lake Alice by the Abuse in Care Inquiry, </w:t>
      </w:r>
      <w:r>
        <w:rPr>
          <w:i/>
          <w:iCs/>
        </w:rPr>
        <w:t xml:space="preserve">Beautiful Children </w:t>
      </w:r>
      <w:r>
        <w:rPr>
          <w:i w:val="false"/>
          <w:iCs w:val="false"/>
        </w:rPr>
        <w:t>report. The Police findings were discussed in the following paragraph saying they found:</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ab/>
      </w:r>
      <w:r>
        <w:rPr>
          <w:i/>
          <w:iCs/>
        </w:rPr>
        <w:t xml:space="preserve">... the number of survivors who experience ECT as punishment is 105, including 20 who had </w:t>
        <w:tab/>
        <w:t xml:space="preserve">experienced ECT applied to their genitals. This investigation suggested the number who had </w:t>
        <w:tab/>
        <w:t xml:space="preserve">paraldehyde injections as punishment is 80, and also noted the likely overlap between these </w:t>
        <w:tab/>
        <w:t>groups.</w:t>
      </w:r>
    </w:p>
    <w:p>
      <w:pPr>
        <w:pStyle w:val="Normal"/>
        <w:bidi w:val="0"/>
        <w:jc w:val="left"/>
        <w:rPr>
          <w:i/>
          <w:i/>
          <w:iCs/>
        </w:rPr>
      </w:pPr>
      <w:r>
        <w:rPr>
          <w:i/>
          <w:iCs/>
        </w:rPr>
        <w:tab/>
        <w:tab/>
        <w:tab/>
        <w:tab/>
        <w:tab/>
        <w:tab/>
      </w:r>
      <w:r>
        <w:rPr>
          <w:i w:val="false"/>
          <w:iCs w:val="false"/>
        </w:rPr>
        <w:t>8</w:t>
      </w:r>
    </w:p>
    <w:p>
      <w:pPr>
        <w:pStyle w:val="Normal"/>
        <w:bidi w:val="0"/>
        <w:jc w:val="left"/>
        <w:rPr>
          <w:i/>
          <w:i/>
          <w:iCs/>
        </w:rPr>
      </w:pPr>
      <w:r>
        <w:rPr>
          <w:i/>
          <w:iCs/>
        </w:rPr>
      </w:r>
    </w:p>
    <w:p>
      <w:pPr>
        <w:pStyle w:val="Normal"/>
        <w:bidi w:val="0"/>
        <w:jc w:val="left"/>
        <w:rPr>
          <w:i w:val="false"/>
          <w:i w:val="false"/>
          <w:iCs w:val="false"/>
        </w:rPr>
      </w:pPr>
      <w:r>
        <w:rPr>
          <w:i w:val="false"/>
          <w:iCs w:val="false"/>
        </w:rPr>
        <w:t xml:space="preserve">This demonstrates that the government was trying to say they lack hard evidence of torture, yet it was right under their nose that the torture/punishment was carried out on a lot of children at Lake Alice.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ab/>
        <w:tab/>
        <w:tab/>
        <w:tab/>
        <w:tab/>
        <w:tab/>
      </w:r>
    </w:p>
    <w:p>
      <w:pPr>
        <w:pStyle w:val="Normal"/>
        <w:bidi w:val="0"/>
        <w:jc w:val="left"/>
        <w:rPr>
          <w:b/>
          <w:bCs/>
          <w:i w:val="false"/>
          <w:i w:val="false"/>
          <w:iCs w:val="false"/>
        </w:rPr>
      </w:pPr>
      <w:r>
        <w:rPr>
          <w:b/>
          <w:bCs/>
          <w:i w:val="false"/>
          <w:iCs w:val="false"/>
        </w:rPr>
        <w:t>Government announcement on Lake Alice redress</w:t>
      </w:r>
    </w:p>
    <w:p>
      <w:pPr>
        <w:pStyle w:val="Normal"/>
        <w:bidi w:val="0"/>
        <w:jc w:val="left"/>
        <w:rPr>
          <w:b/>
          <w:bCs/>
          <w:i w:val="false"/>
          <w:i w:val="false"/>
          <w:iCs w:val="false"/>
        </w:rPr>
      </w:pPr>
      <w:r>
        <w:rPr>
          <w:b/>
          <w:bCs/>
          <w:i w:val="false"/>
          <w:iCs w:val="false"/>
        </w:rPr>
      </w:r>
    </w:p>
    <w:p>
      <w:pPr>
        <w:pStyle w:val="Normal"/>
        <w:bidi w:val="0"/>
        <w:jc w:val="left"/>
        <w:rPr>
          <w:i w:val="false"/>
          <w:i w:val="false"/>
          <w:iCs w:val="false"/>
        </w:rPr>
      </w:pPr>
      <w:r>
        <w:rPr>
          <w:i w:val="false"/>
          <w:iCs w:val="false"/>
        </w:rPr>
        <w:t>On 18 December 2024 Minister Stanford announced the new Lake Alice redress scheme.</w:t>
      </w:r>
    </w:p>
    <w:p>
      <w:pPr>
        <w:pStyle w:val="Normal"/>
        <w:bidi w:val="0"/>
        <w:jc w:val="left"/>
        <w:rPr>
          <w:i w:val="false"/>
          <w:i w:val="false"/>
          <w:iCs w:val="false"/>
        </w:rPr>
      </w:pPr>
      <w:r>
        <w:rPr>
          <w:i w:val="false"/>
          <w:iCs w:val="false"/>
        </w:rPr>
        <w:t>The scheme consisted of two pathways for the redress:</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An expedited pathway offering: a fixed payment of $150,000; or an individualised pathway offering a payment assessed by an independent arbiter, former High Court judge Hon Paul Davison.</w:t>
      </w:r>
    </w:p>
    <w:p>
      <w:pPr>
        <w:pStyle w:val="Normal"/>
        <w:bidi w:val="0"/>
        <w:jc w:val="left"/>
        <w:rPr>
          <w:i w:val="false"/>
          <w:i w:val="false"/>
          <w:iCs w:val="false"/>
        </w:rPr>
      </w:pPr>
      <w:r>
        <w:rPr>
          <w:i w:val="false"/>
          <w:iCs w:val="false"/>
        </w:rPr>
        <w:tab/>
        <w:tab/>
        <w:tab/>
        <w:tab/>
        <w:tab/>
        <w:tab/>
      </w:r>
    </w:p>
    <w:p>
      <w:pPr>
        <w:pStyle w:val="Normal"/>
        <w:bidi w:val="0"/>
        <w:jc w:val="left"/>
        <w:rPr>
          <w:i w:val="false"/>
          <w:i w:val="false"/>
          <w:iCs w:val="false"/>
        </w:rPr>
      </w:pPr>
      <w:r>
        <w:rPr>
          <w:i w:val="false"/>
          <w:iCs w:val="false"/>
        </w:rPr>
        <w:t>Both pathways included a new written apology acknowledging torture from the Prime Minister and the Minister for Mental Health and access to support and rehabilitative services.</w:t>
      </w:r>
      <w:r>
        <w:rPr>
          <w:rStyle w:val="FootnoteAnchor"/>
          <w:i w:val="false"/>
          <w:iCs w:val="false"/>
        </w:rPr>
        <w:footnoteReference w:id="22"/>
      </w:r>
    </w:p>
    <w:p>
      <w:pPr>
        <w:pStyle w:val="Normal"/>
        <w:bidi w:val="0"/>
        <w:jc w:val="left"/>
        <w:rPr>
          <w:i w:val="false"/>
          <w:i w:val="false"/>
          <w:iCs w:val="false"/>
        </w:rPr>
      </w:pPr>
      <w:r>
        <w:rPr>
          <w:i w:val="false"/>
          <w:iCs w:val="false"/>
        </w:rPr>
        <w:t xml:space="preserve"> </w:t>
      </w:r>
    </w:p>
    <w:p>
      <w:pPr>
        <w:pStyle w:val="Normal"/>
        <w:bidi w:val="0"/>
        <w:jc w:val="left"/>
        <w:rPr>
          <w:i w:val="false"/>
          <w:i w:val="false"/>
          <w:iCs w:val="false"/>
        </w:rPr>
      </w:pPr>
      <w:r>
        <w:rPr>
          <w:i w:val="false"/>
          <w:iCs w:val="false"/>
        </w:rPr>
        <w:t xml:space="preserve">$22.68 million was the designated amount for the redress, and this was termed the fiscal envelope. $3.12 million of this was for legal and operational costs.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The government imposed deadlines for the choices of pathway, saying registered survivors can nominate their chosen pathway in the week of 20 January 2025 and payments will commence for the expedited or fixed payments of $150,000 in March. Survivors had until 30 April to choose the individualised payment and assessment by the arbiter. Applications for fixed payments closed by 30 September 2025. </w:t>
      </w:r>
      <w:r>
        <w:rPr>
          <w:rStyle w:val="FootnoteAnchor"/>
          <w:i w:val="false"/>
          <w:iCs w:val="false"/>
        </w:rPr>
        <w:footnoteReference w:id="23"/>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The independent arbiter was appointed with a Cabinet Minute dated 3 February 2025. He was expected to apportion the redress for those taking the personalised route within the $19.56 million </w:t>
      </w:r>
    </w:p>
    <w:p>
      <w:pPr>
        <w:pStyle w:val="Normal"/>
        <w:bidi w:val="0"/>
        <w:jc w:val="left"/>
        <w:rPr>
          <w:i w:val="false"/>
          <w:i w:val="false"/>
          <w:iCs w:val="false"/>
        </w:rPr>
      </w:pPr>
      <w:r>
        <w:rPr>
          <w:i w:val="false"/>
          <w:iCs w:val="false"/>
        </w:rPr>
        <w:t>fiscal envelope minus that already apportioned to those obtaining the $150,000 payout.</w:t>
      </w:r>
      <w:r>
        <w:rPr>
          <w:rStyle w:val="FootnoteAnchor"/>
          <w:i w:val="false"/>
          <w:iCs w:val="false"/>
        </w:rPr>
        <w:footnoteReference w:id="24"/>
      </w:r>
      <w:r>
        <w:rPr>
          <w:i w:val="false"/>
          <w:iCs w:val="false"/>
        </w:rPr>
        <w:t xml:space="preserve"> That number would be available by May.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Among survivors and even their counsel there was a lot of uncertainty about which pathway to take. </w:t>
      </w:r>
    </w:p>
    <w:p>
      <w:pPr>
        <w:pStyle w:val="Normal"/>
        <w:bidi w:val="0"/>
        <w:jc w:val="left"/>
        <w:rPr>
          <w:i w:val="false"/>
          <w:i w:val="false"/>
          <w:iCs w:val="false"/>
        </w:rPr>
      </w:pPr>
      <w:r>
        <w:rPr>
          <w:i w:val="false"/>
          <w:iCs w:val="false"/>
        </w:rPr>
        <w:t xml:space="preserve">They could do the maths and work out that there would likely be more than 100 people applying for redress, so those electing the personalised payout may not get a lot more than the $150,000 being offered upfront with the rapid payment.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In a minute written by the arbiter on 17 March 2025 for the counsel representing survivors he stated:</w:t>
      </w:r>
    </w:p>
    <w:p>
      <w:pPr>
        <w:pStyle w:val="Normal"/>
        <w:bidi w:val="0"/>
        <w:jc w:val="left"/>
        <w:rPr>
          <w:i/>
          <w:i/>
          <w:iCs/>
        </w:rPr>
      </w:pPr>
      <w:r>
        <w:rPr>
          <w:i/>
          <w:iCs/>
        </w:rPr>
      </w:r>
    </w:p>
    <w:p>
      <w:pPr>
        <w:pStyle w:val="Normal"/>
        <w:bidi w:val="0"/>
        <w:jc w:val="left"/>
        <w:rPr>
          <w:i/>
          <w:i/>
          <w:iCs/>
        </w:rPr>
      </w:pPr>
      <w:r>
        <w:rPr>
          <w:i/>
          <w:iCs/>
        </w:rPr>
        <w:tab/>
        <w:t>It is not my function as Independent Arbiter to address and determine</w:t>
      </w:r>
    </w:p>
    <w:p>
      <w:pPr>
        <w:pStyle w:val="Normal"/>
        <w:bidi w:val="0"/>
        <w:jc w:val="left"/>
        <w:rPr>
          <w:i/>
          <w:i/>
          <w:iCs/>
        </w:rPr>
      </w:pPr>
      <w:r>
        <w:rPr>
          <w:i/>
          <w:iCs/>
        </w:rPr>
        <w:tab/>
        <w:t>survivor's claims to have suffered harm and financial loss on basis of the heads of</w:t>
      </w:r>
    </w:p>
    <w:p>
      <w:pPr>
        <w:pStyle w:val="Normal"/>
        <w:bidi w:val="0"/>
        <w:jc w:val="left"/>
        <w:rPr>
          <w:i/>
          <w:i/>
          <w:iCs/>
        </w:rPr>
      </w:pPr>
      <w:r>
        <w:rPr>
          <w:i/>
          <w:iCs/>
        </w:rPr>
        <w:tab/>
        <w:t>damage described in the van Boven Principles as if determining a civil claim. And it is</w:t>
      </w:r>
    </w:p>
    <w:p>
      <w:pPr>
        <w:pStyle w:val="Normal"/>
        <w:bidi w:val="0"/>
        <w:jc w:val="left"/>
        <w:rPr>
          <w:i/>
          <w:i/>
          <w:iCs/>
        </w:rPr>
      </w:pPr>
      <w:r>
        <w:rPr>
          <w:i/>
          <w:iCs/>
        </w:rPr>
        <w:tab/>
        <w:t>clearly not my function to determine an amount of redress or compensation for</w:t>
      </w:r>
    </w:p>
    <w:p>
      <w:pPr>
        <w:pStyle w:val="Normal"/>
        <w:bidi w:val="0"/>
        <w:jc w:val="left"/>
        <w:rPr>
          <w:i/>
          <w:i/>
          <w:iCs/>
        </w:rPr>
      </w:pPr>
      <w:r>
        <w:rPr>
          <w:i/>
          <w:iCs/>
        </w:rPr>
        <w:tab/>
        <w:t>claimants electing the individualised pathway that in aggregate would exceed the</w:t>
      </w:r>
    </w:p>
    <w:p>
      <w:pPr>
        <w:pStyle w:val="Normal"/>
        <w:bidi w:val="0"/>
        <w:jc w:val="left"/>
        <w:rPr>
          <w:i/>
          <w:i/>
          <w:iCs/>
        </w:rPr>
      </w:pPr>
      <w:r>
        <w:rPr>
          <w:i/>
          <w:iCs/>
        </w:rPr>
        <w:tab/>
        <w:t>amount in the envelope of available funds, or to report to the Minister the amount in</w:t>
      </w:r>
    </w:p>
    <w:p>
      <w:pPr>
        <w:pStyle w:val="Normal"/>
        <w:bidi w:val="0"/>
        <w:jc w:val="left"/>
        <w:rPr>
          <w:i/>
          <w:i/>
          <w:iCs/>
        </w:rPr>
      </w:pPr>
      <w:r>
        <w:rPr>
          <w:i/>
          <w:iCs/>
        </w:rPr>
        <w:tab/>
        <w:t>excess of the allocation I determine as appropriate, the claimant would have been</w:t>
      </w:r>
    </w:p>
    <w:p>
      <w:pPr>
        <w:pStyle w:val="Normal"/>
        <w:bidi w:val="0"/>
        <w:jc w:val="left"/>
        <w:rPr>
          <w:i/>
          <w:i/>
          <w:iCs/>
        </w:rPr>
      </w:pPr>
      <w:r>
        <w:rPr>
          <w:i/>
          <w:iCs/>
        </w:rPr>
        <w:tab/>
        <w:tab/>
        <w:tab/>
        <w:tab/>
        <w:tab/>
        <w:tab/>
      </w:r>
      <w:r>
        <w:rPr>
          <w:i w:val="false"/>
          <w:iCs w:val="false"/>
        </w:rPr>
        <w:t>9</w:t>
      </w:r>
    </w:p>
    <w:p>
      <w:pPr>
        <w:pStyle w:val="Normal"/>
        <w:bidi w:val="0"/>
        <w:jc w:val="left"/>
        <w:rPr>
          <w:i/>
          <w:i/>
          <w:iCs/>
        </w:rPr>
      </w:pPr>
      <w:r>
        <w:rPr>
          <w:i/>
          <w:iCs/>
        </w:rPr>
      </w:r>
    </w:p>
    <w:p>
      <w:pPr>
        <w:pStyle w:val="Normal"/>
        <w:bidi w:val="0"/>
        <w:jc w:val="left"/>
        <w:rPr>
          <w:i/>
          <w:i/>
          <w:iCs/>
        </w:rPr>
      </w:pPr>
      <w:r>
        <w:rPr>
          <w:i/>
          <w:iCs/>
        </w:rPr>
        <w:tab/>
        <w:t>awarded had their claim been determined pursuant to Principle 12 of the Convention</w:t>
      </w:r>
    </w:p>
    <w:p>
      <w:pPr>
        <w:pStyle w:val="Normal"/>
        <w:bidi w:val="0"/>
        <w:jc w:val="left"/>
        <w:rPr>
          <w:i/>
          <w:i/>
          <w:iCs/>
        </w:rPr>
      </w:pPr>
      <w:r>
        <w:rPr>
          <w:i/>
          <w:iCs/>
        </w:rPr>
        <w:tab/>
        <w:t>Against Torture.</w:t>
      </w:r>
      <w:r>
        <w:rPr>
          <w:rStyle w:val="FootnoteAnchor"/>
          <w:i/>
          <w:iCs/>
        </w:rPr>
        <w:footnoteReference w:id="25"/>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Added to this there was uncertainty about how long the arbiter process would take. For many they did not have faith in the government after almost 50 years of cover-ups and considered taking the funds sooner would be better than waiting for the uncertain route of the arbiter assessment. Some were uncomfortable with seeing the arbiter and recounting the abuse at Lake Alice and several were not in good health. Others were tired of fighting and considered the rapid payment an end to the process. It was almost four years since the hearing at the Royal Commission and the redress process had been drawn out for too long.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Lawyers assigned to represent survivors asked that $150,000 to be paid up front to all survivors and then the personalised process could follow as this would solve the issues of time and trust in the process and other reasons listed above. This was denied.</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By May a large number of survivors had chosen the rapid fixed payment, some having received their money already. 37 opted for the personalised payment.  Two survivors chose to take legal action with a judicial review of the redress process because it did not comply with the Convention Against Torture and recommendations on how redress should only be individualised to the survivor/victim and not limited to only the unmodified ECT and paraldehyde as punishment. One of these survivors was Malcolm Richards who had won his case at the UNCAT in 2021.</w:t>
      </w:r>
      <w:r>
        <w:rPr>
          <w:rStyle w:val="FootnoteAnchor"/>
          <w:i w:val="false"/>
          <w:iCs w:val="false"/>
        </w:rPr>
        <w:footnoteReference w:id="26"/>
      </w:r>
      <w:r>
        <w:rPr>
          <w:i w:val="false"/>
          <w:iCs w:val="false"/>
        </w:rPr>
        <w:t xml:space="preserve">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Paul Zentveld, who was the first survivor to take his case to the UNCAT in 2017, which he won in late 2019,</w:t>
      </w:r>
      <w:r>
        <w:rPr>
          <w:rStyle w:val="FootnoteAnchor"/>
          <w:i w:val="false"/>
          <w:iCs w:val="false"/>
        </w:rPr>
        <w:footnoteReference w:id="27"/>
      </w:r>
      <w:r>
        <w:rPr>
          <w:i w:val="false"/>
          <w:iCs w:val="false"/>
        </w:rPr>
        <w:t xml:space="preserve"> elected to take the rapid payment of $150,000 believing that even if he chose the personalised pathway that he would not get a lot more and that he could benefit from the funds sooner rather than later. Paul had finished working as a fishing skipper and wanted to relocate to the </w:t>
      </w:r>
    </w:p>
    <w:p>
      <w:pPr>
        <w:pStyle w:val="Normal"/>
        <w:bidi w:val="0"/>
        <w:jc w:val="left"/>
        <w:rPr>
          <w:i w:val="false"/>
          <w:i w:val="false"/>
          <w:iCs w:val="false"/>
        </w:rPr>
      </w:pPr>
      <w:r>
        <w:rPr>
          <w:i w:val="false"/>
          <w:iCs w:val="false"/>
        </w:rPr>
        <w:t xml:space="preserve">South Island of New Zealand to the city of Christchurch to be closer to his daughter and grandchildren.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Paul felt the process was one of duress and was disgusted with it. He saw that there was no real accountability and that the perpetrators of the crime were now managing the redress. Paul had engaged with the Crown Response Unit over a period of two years and knew that the time and money expended seemed to indicate that the government were stretching the process out as if they were waiting for survivors to die (indeed many had by this time and there was to be no redress for families of deceased victims). Paul felt tired and not in great health. He suffered a heart attack in September 2025, which he has recovered from and is now campaigning in support of survivors of abuse in care.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As the arbiter proceeded with his work interviewing survivors it was clear that there was little more funds to distribute than for those who elected to receive the rapid payment of $150,000. It was then that more funds were requested from Cabinet.</w:t>
      </w:r>
      <w:r>
        <w:rPr>
          <w:rStyle w:val="FootnoteAnchor"/>
          <w:i w:val="false"/>
          <w:iCs w:val="false"/>
        </w:rPr>
        <w:footnoteReference w:id="28"/>
      </w:r>
      <w:r>
        <w:rPr>
          <w:i w:val="false"/>
          <w:iCs w:val="false"/>
        </w:rPr>
        <w:t xml:space="preserve"> The reason given was that there was an original figure of 120 eligible claimants for torture redress and this number was surpassed with a further 27 confirmed claimants who had never previously applied for any redress for abuse at the Lake Alice Unit. Minister Stanford requested a further $7 million which was agreed to on 9 June 2025.</w:t>
      </w:r>
      <w:r>
        <w:rPr>
          <w:rStyle w:val="FootnoteAnchor"/>
          <w:i w:val="false"/>
          <w:iCs w:val="false"/>
        </w:rPr>
        <w:footnoteReference w:id="29"/>
      </w:r>
      <w:r>
        <w:rPr>
          <w:i w:val="false"/>
          <w:iCs w:val="false"/>
        </w:rPr>
        <w:t xml:space="preserve"> </w:t>
      </w:r>
    </w:p>
    <w:p>
      <w:pPr>
        <w:pStyle w:val="Normal"/>
        <w:bidi w:val="0"/>
        <w:jc w:val="left"/>
        <w:rPr>
          <w:i w:val="false"/>
          <w:i w:val="false"/>
          <w:iCs w:val="false"/>
        </w:rPr>
      </w:pPr>
      <w:r>
        <w:rPr>
          <w:i w:val="false"/>
          <w:iCs w:val="false"/>
        </w:rPr>
        <w:tab/>
        <w:tab/>
        <w:tab/>
        <w:tab/>
        <w:tab/>
        <w:tab/>
        <w:t>10</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This request came almost two months after the option to take the personalised payment pathway closed off, which meant this increase in funding was never made public to all of the survivors at a time when they could have decided on either of the two pathways. The public announcement of this additional sum came later in July 2025.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When it was reported on there was information on how 237 people had registered for the redress but 91 were not eligible and that one person withdrew from the process. By late July there had been 87 payments of $150,000 and there were 39 who had opted for individualised payments.</w:t>
      </w:r>
      <w:r>
        <w:rPr>
          <w:rStyle w:val="FootnoteAnchor"/>
          <w:i w:val="false"/>
          <w:iCs w:val="false"/>
        </w:rPr>
        <w:footnoteReference w:id="30"/>
      </w:r>
      <w:r>
        <w:rPr>
          <w:i w:val="false"/>
          <w:iCs w:val="false"/>
        </w:rPr>
        <w:t xml:space="preserve">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In late November 2025, all of the survivors had been paid out and the government announced the release of the report by the independent arbiter, former High Court judge Paul Davison, KC, that discussed the process of redress for the survivors who had chosen the personalised pathway. </w:t>
      </w:r>
    </w:p>
    <w:p>
      <w:pPr>
        <w:pStyle w:val="Normal"/>
        <w:bidi w:val="0"/>
        <w:jc w:val="left"/>
        <w:rPr>
          <w:i w:val="false"/>
          <w:i w:val="false"/>
          <w:iCs w:val="false"/>
        </w:rPr>
      </w:pPr>
      <w:r>
        <w:rPr>
          <w:i w:val="false"/>
          <w:iCs w:val="false"/>
        </w:rPr>
        <w:t xml:space="preserve">The </w:t>
      </w:r>
      <w:r>
        <w:rPr>
          <w:i/>
          <w:iCs/>
        </w:rPr>
        <w:t xml:space="preserve">Lake Alice Torture Redress, Report by Independent Arbiter </w:t>
      </w:r>
      <w:r>
        <w:rPr>
          <w:i w:val="false"/>
          <w:iCs w:val="false"/>
        </w:rPr>
        <w:t>recorded that the former judge assessed the relative severity of the torture the survivors were subjected to while in Lake Alice.</w:t>
      </w:r>
      <w:r>
        <w:rPr>
          <w:rStyle w:val="FootnoteAnchor"/>
          <w:i w:val="false"/>
          <w:iCs w:val="false"/>
        </w:rPr>
        <w:footnoteReference w:id="31"/>
      </w:r>
      <w:r>
        <w:rPr>
          <w:i w:val="false"/>
          <w:iCs w:val="false"/>
        </w:rPr>
        <w:t xml:space="preserve"> And like the earlier report by former High Court judge, Sir Rodney Gallen, Paul Davidson wrote: </w:t>
      </w:r>
    </w:p>
    <w:p>
      <w:pPr>
        <w:pStyle w:val="Normal"/>
        <w:bidi w:val="0"/>
        <w:jc w:val="left"/>
        <w:rPr>
          <w:i w:val="false"/>
          <w:i w:val="false"/>
          <w:iCs w:val="false"/>
        </w:rPr>
      </w:pPr>
      <w:r>
        <w:rPr>
          <w:i w:val="false"/>
          <w:iCs w:val="false"/>
        </w:rPr>
        <w:tab/>
        <w:tab/>
        <w:tab/>
        <w:tab/>
        <w:tab/>
        <w:tab/>
      </w:r>
    </w:p>
    <w:p>
      <w:pPr>
        <w:pStyle w:val="Normal"/>
        <w:bidi w:val="0"/>
        <w:jc w:val="left"/>
        <w:rPr>
          <w:i w:val="false"/>
          <w:i w:val="false"/>
          <w:iCs w:val="false"/>
        </w:rPr>
      </w:pPr>
      <w:r>
        <w:rPr>
          <w:i w:val="false"/>
          <w:iCs w:val="false"/>
        </w:rPr>
        <w:tab/>
      </w:r>
      <w:r>
        <w:rPr>
          <w:i/>
          <w:iCs/>
        </w:rPr>
        <w:t xml:space="preserve">While in some cases these Lake Alice Hospital files were incomplete, in most cases a </w:t>
        <w:tab/>
        <w:t xml:space="preserve">substantial amount of documentation had been obtained by the survivors’ counsel and was </w:t>
        <w:tab/>
        <w:t>made available to me.</w:t>
      </w:r>
      <w:r>
        <w:rPr>
          <w:rStyle w:val="FootnoteAnchor"/>
          <w:i/>
          <w:iCs/>
        </w:rPr>
        <w:footnoteReference w:id="32"/>
      </w:r>
      <w:r>
        <w:rPr>
          <w:i/>
          <w:iCs/>
        </w:rPr>
        <w:t xml:space="preserve"> </w:t>
      </w:r>
    </w:p>
    <w:p>
      <w:pPr>
        <w:pStyle w:val="Normal"/>
        <w:bidi w:val="0"/>
        <w:jc w:val="left"/>
        <w:rPr>
          <w:i/>
          <w:i/>
          <w:iCs/>
        </w:rPr>
      </w:pPr>
      <w:r>
        <w:rPr>
          <w:i/>
          <w:iCs/>
        </w:rPr>
      </w:r>
    </w:p>
    <w:p>
      <w:pPr>
        <w:pStyle w:val="Normal"/>
        <w:bidi w:val="0"/>
        <w:jc w:val="left"/>
        <w:rPr>
          <w:i w:val="false"/>
          <w:i w:val="false"/>
          <w:iCs w:val="false"/>
        </w:rPr>
      </w:pPr>
      <w:r>
        <w:rPr>
          <w:i w:val="false"/>
          <w:iCs w:val="false"/>
        </w:rPr>
        <w:t xml:space="preserve">And: </w:t>
        <w:tab/>
      </w:r>
    </w:p>
    <w:p>
      <w:pPr>
        <w:pStyle w:val="Normal"/>
        <w:bidi w:val="0"/>
        <w:jc w:val="left"/>
        <w:rPr>
          <w:i/>
          <w:i/>
          <w:iCs/>
        </w:rPr>
      </w:pPr>
      <w:r>
        <w:rPr>
          <w:i/>
          <w:iCs/>
        </w:rPr>
        <w:tab/>
        <w:t>Accordingly, while the nursing notes and other patient records do not in many cases</w:t>
      </w:r>
    </w:p>
    <w:p>
      <w:pPr>
        <w:pStyle w:val="Normal"/>
        <w:bidi w:val="0"/>
        <w:jc w:val="left"/>
        <w:rPr>
          <w:i/>
          <w:i/>
          <w:iCs/>
        </w:rPr>
      </w:pPr>
      <w:r>
        <w:rPr>
          <w:i/>
          <w:iCs/>
        </w:rPr>
        <w:tab/>
        <w:t xml:space="preserve">refer to the administration of unmodified ECT, I am nevertheless satisfied that the </w:t>
      </w:r>
    </w:p>
    <w:p>
      <w:pPr>
        <w:pStyle w:val="Normal"/>
        <w:bidi w:val="0"/>
        <w:jc w:val="left"/>
        <w:rPr>
          <w:i/>
          <w:i/>
          <w:iCs/>
        </w:rPr>
      </w:pPr>
      <w:r>
        <w:rPr>
          <w:i/>
          <w:iCs/>
        </w:rPr>
        <w:tab/>
        <w:t>survivors’ accounts of what they were subjected to and how they were treated by the</w:t>
      </w:r>
    </w:p>
    <w:p>
      <w:pPr>
        <w:pStyle w:val="Normal"/>
        <w:bidi w:val="0"/>
        <w:jc w:val="left"/>
        <w:rPr>
          <w:i/>
          <w:i/>
          <w:iCs/>
        </w:rPr>
      </w:pPr>
      <w:r>
        <w:rPr>
          <w:i/>
          <w:iCs/>
        </w:rPr>
        <w:tab/>
        <w:t>medical and nursing staff at Lake Alice are credible and substantially accurate, and</w:t>
      </w:r>
    </w:p>
    <w:p>
      <w:pPr>
        <w:pStyle w:val="Normal"/>
        <w:bidi w:val="0"/>
        <w:jc w:val="left"/>
        <w:rPr>
          <w:i/>
          <w:i/>
          <w:iCs/>
        </w:rPr>
      </w:pPr>
      <w:r>
        <w:rPr>
          <w:i/>
          <w:iCs/>
        </w:rPr>
        <w:tab/>
        <w:t>notwithstanding the inherent difficulties the survivors have recalling childhood events,</w:t>
      </w:r>
    </w:p>
    <w:p>
      <w:pPr>
        <w:pStyle w:val="Normal"/>
        <w:bidi w:val="0"/>
        <w:jc w:val="left"/>
        <w:rPr>
          <w:i/>
          <w:i/>
          <w:iCs/>
        </w:rPr>
      </w:pPr>
      <w:r>
        <w:rPr>
          <w:i/>
          <w:iCs/>
        </w:rPr>
        <w:tab/>
        <w:t>I consider that their accounts provide a sufficiently accurate and reliable foundation for</w:t>
      </w:r>
    </w:p>
    <w:p>
      <w:pPr>
        <w:pStyle w:val="Normal"/>
        <w:bidi w:val="0"/>
        <w:jc w:val="left"/>
        <w:rPr>
          <w:i/>
          <w:i/>
          <w:iCs/>
        </w:rPr>
      </w:pPr>
      <w:r>
        <w:rPr>
          <w:i/>
          <w:iCs/>
        </w:rPr>
        <w:tab/>
        <w:t>my assessment of the appropriate level of financial redress to be allocated between them</w:t>
      </w:r>
    </w:p>
    <w:p>
      <w:pPr>
        <w:pStyle w:val="Normal"/>
        <w:bidi w:val="0"/>
        <w:jc w:val="left"/>
        <w:rPr>
          <w:i/>
          <w:i/>
          <w:iCs/>
        </w:rPr>
      </w:pPr>
      <w:r>
        <w:rPr>
          <w:i/>
          <w:iCs/>
        </w:rPr>
        <w:tab/>
        <w:t>for the purposes of the torture redress scheme.</w:t>
      </w:r>
      <w:r>
        <w:rPr>
          <w:rStyle w:val="FootnoteAnchor"/>
          <w:i/>
          <w:iCs/>
        </w:rPr>
        <w:footnoteReference w:id="33"/>
      </w:r>
    </w:p>
    <w:p>
      <w:pPr>
        <w:pStyle w:val="Normal"/>
        <w:bidi w:val="0"/>
        <w:jc w:val="left"/>
        <w:rPr>
          <w:i/>
          <w:i/>
          <w:iCs/>
        </w:rPr>
      </w:pPr>
      <w:r>
        <w:rPr>
          <w:i/>
          <w:iCs/>
        </w:rPr>
        <w:tab/>
      </w:r>
    </w:p>
    <w:p>
      <w:pPr>
        <w:pStyle w:val="Normal"/>
        <w:bidi w:val="0"/>
        <w:jc w:val="left"/>
        <w:rPr>
          <w:i/>
          <w:i/>
          <w:iCs/>
        </w:rPr>
      </w:pPr>
      <w:r>
        <w:rPr>
          <w:i/>
          <w:iCs/>
        </w:rPr>
      </w:r>
    </w:p>
    <w:p>
      <w:pPr>
        <w:pStyle w:val="Normal"/>
        <w:bidi w:val="0"/>
        <w:jc w:val="left"/>
        <w:rPr>
          <w:i w:val="false"/>
          <w:i w:val="false"/>
          <w:iCs w:val="false"/>
        </w:rPr>
      </w:pPr>
      <w:r>
        <w:rPr>
          <w:i w:val="false"/>
          <w:iCs w:val="false"/>
        </w:rPr>
        <w:t xml:space="preserve">Unlike what was reported by the Crown Response Unit, and subsequently to the Cabinet, there was a lot of documentation in the files and corroboration between survivor stories showing the torturous abuse, as reported 23 years before by Sir Rodney Gallen. </w:t>
      </w:r>
    </w:p>
    <w:p>
      <w:pPr>
        <w:pStyle w:val="Normal"/>
        <w:bidi w:val="0"/>
        <w:jc w:val="left"/>
        <w:rPr>
          <w:i/>
          <w:i/>
          <w:iCs/>
        </w:rPr>
      </w:pPr>
      <w:r>
        <w:rPr>
          <w:i/>
          <w:iCs/>
        </w:rPr>
      </w:r>
    </w:p>
    <w:p>
      <w:pPr>
        <w:pStyle w:val="Normal"/>
        <w:bidi w:val="0"/>
        <w:jc w:val="left"/>
        <w:rPr>
          <w:i w:val="false"/>
          <w:i w:val="false"/>
          <w:iCs w:val="false"/>
        </w:rPr>
      </w:pPr>
      <w:r>
        <w:rPr>
          <w:i w:val="false"/>
          <w:iCs w:val="false"/>
        </w:rPr>
        <w:t>In Paul Davison’s 17-page report he described his process and tiers of payments based on severity of the abuse. He took into account other contextual matters including other ill-treatment and abuse, including sexual. He made special mention of solitary confinement and how it was used as punishment:</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ab/>
      </w:r>
      <w:r>
        <w:rPr>
          <w:i/>
          <w:iCs/>
        </w:rPr>
        <w:t xml:space="preserve">Another form of punishment employed by nursing staff was placement of the patients in </w:t>
        <w:tab/>
        <w:t xml:space="preserve">solitary confinement.  They were locked away in small rooms with only a mattress on the </w:t>
        <w:tab/>
        <w:t xml:space="preserve">floor and a bucket to use as a toilet. In some cases, patients were kept in these rooms for </w:t>
        <w:tab/>
        <w:t xml:space="preserve">days on end as punishment. Often these seclusion room placements would occur in </w:t>
      </w:r>
    </w:p>
    <w:p>
      <w:pPr>
        <w:pStyle w:val="Normal"/>
        <w:bidi w:val="0"/>
        <w:jc w:val="left"/>
        <w:rPr>
          <w:i w:val="false"/>
          <w:i w:val="false"/>
          <w:iCs w:val="false"/>
        </w:rPr>
      </w:pPr>
      <w:r>
        <w:rPr>
          <w:i/>
          <w:iCs/>
        </w:rPr>
        <w:tab/>
        <w:tab/>
        <w:tab/>
        <w:tab/>
        <w:tab/>
        <w:tab/>
      </w:r>
      <w:r>
        <w:rPr>
          <w:i w:val="false"/>
          <w:iCs w:val="false"/>
        </w:rPr>
        <w:t>11</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iCs/>
        </w:rPr>
        <w:tab/>
        <w:t xml:space="preserve">conjunction with paraldehyde injections as punishments. In one instance (confirmed by an </w:t>
        <w:tab/>
        <w:t xml:space="preserve">entry in the nursing notes) a patient was held in a seclusion room for 19 days, which was </w:t>
        <w:tab/>
        <w:t xml:space="preserve">described as the hashest punishment that survivor was subjected to. In another case a </w:t>
        <w:tab/>
        <w:t xml:space="preserve">survivor was detained on multiple occasions totalling 57 days over the course of 8 month </w:t>
        <w:tab/>
        <w:t>spent in Lake Alice.</w:t>
      </w:r>
      <w:r>
        <w:rPr>
          <w:rStyle w:val="FootnoteAnchor"/>
          <w:i/>
          <w:iCs/>
        </w:rPr>
        <w:footnoteReference w:id="34"/>
      </w:r>
      <w:r>
        <w:rPr>
          <w:i/>
          <w:iCs/>
        </w:rPr>
        <w:t xml:space="preserve"> </w:t>
      </w:r>
    </w:p>
    <w:p>
      <w:pPr>
        <w:pStyle w:val="Normal"/>
        <w:bidi w:val="0"/>
        <w:jc w:val="left"/>
        <w:rPr>
          <w:i/>
          <w:i/>
          <w:iCs/>
        </w:rPr>
      </w:pPr>
      <w:r>
        <w:rPr>
          <w:i/>
          <w:iCs/>
        </w:rPr>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Although he did not state it, but the use of solitary confinement in the Lake Alice Children’s Unit as punishment fits the definition of torture.</w:t>
      </w:r>
      <w:r>
        <w:rPr>
          <w:rStyle w:val="FootnoteAnchor"/>
          <w:i w:val="false"/>
          <w:iCs w:val="false"/>
        </w:rPr>
        <w:footnoteReference w:id="35"/>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The majority of the 37 survivors who chose the personalised pathway received payments between $175,000 and $250,000, but the total band of payments spanned $160,000 to $600,000, as Paul Davison worked within a "fiscal envelope" of $8.39 million.</w:t>
      </w:r>
      <w:r>
        <w:rPr>
          <w:rStyle w:val="FootnoteAnchor"/>
          <w:i w:val="false"/>
          <w:iCs w:val="false"/>
        </w:rPr>
        <w:footnoteReference w:id="36"/>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Paul Zentveld, who had chosen the rapid payment of $150,000 was stunned by this. It was well documented that his three years incarceration in Lake Alice resulted in him receiving over 100 </w:t>
      </w:r>
    </w:p>
    <w:p>
      <w:pPr>
        <w:pStyle w:val="Normal"/>
        <w:bidi w:val="0"/>
        <w:jc w:val="left"/>
        <w:rPr>
          <w:i w:val="false"/>
          <w:i w:val="false"/>
          <w:iCs w:val="false"/>
        </w:rPr>
      </w:pPr>
      <w:r>
        <w:rPr>
          <w:i w:val="false"/>
          <w:iCs w:val="false"/>
        </w:rPr>
        <w:t>electroshocks as well as well documented punishment with paraldehyde and seclusion. Some other survivors were also equally stunned and considered they were hoodwinked by this process.</w:t>
      </w:r>
      <w:r>
        <w:rPr>
          <w:rStyle w:val="FootnoteAnchor"/>
          <w:i w:val="false"/>
          <w:iCs w:val="false"/>
        </w:rPr>
        <w:footnoteReference w:id="37"/>
      </w:r>
      <w:r>
        <w:rPr>
          <w:i w:val="false"/>
          <w:iCs w:val="false"/>
        </w:rPr>
        <w:t xml:space="preserve"> </w:t>
      </w:r>
    </w:p>
    <w:p>
      <w:pPr>
        <w:pStyle w:val="Normal"/>
        <w:bidi w:val="0"/>
        <w:jc w:val="left"/>
        <w:rPr>
          <w:i w:val="false"/>
          <w:i w:val="false"/>
          <w:iCs w:val="false"/>
        </w:rPr>
      </w:pPr>
      <w:r>
        <w:rPr>
          <w:i w:val="false"/>
          <w:iCs w:val="false"/>
        </w:rPr>
      </w:r>
    </w:p>
    <w:p>
      <w:pPr>
        <w:pStyle w:val="Normal"/>
        <w:bidi w:val="0"/>
        <w:jc w:val="left"/>
        <w:rPr>
          <w:b/>
          <w:bCs/>
          <w:i w:val="false"/>
          <w:i w:val="false"/>
          <w:iCs w:val="false"/>
        </w:rPr>
      </w:pPr>
      <w:r>
        <w:rPr>
          <w:b/>
          <w:bCs/>
          <w:i w:val="false"/>
          <w:iCs w:val="false"/>
        </w:rPr>
        <w:t>Conclusion</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Our argument was, and still is, that all of the Lake Alice survivors should have had the opportunity for the personalised assessment, including the 91 who were not considered eligible.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We submit that the torture and ill treatment at Lake Alice took many forms and that all of them needed to be assessed for the purpose of redress.</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The fact that the retired High Court judge was able to do it in 2000-2001 and another former judge  was able to do this (partially) in 2025, meant that it was possible to assess all of the Lake Alice survivors.</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The New Zealand State chose not to and in their own way tried to minimise what the torture was and what it was prepared to provide with redress. By doing this, they were reducing their financial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ab/>
        <w:tab/>
        <w:tab/>
        <w:tab/>
        <w:tab/>
        <w:tab/>
        <w:t>12</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 xml:space="preserve">obligations to the survivors of Lake Alice and their moral obligation act fairly toward all of the survivors.  </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This is not fulfilling the State’s obligation under Article 14 of the Convention Against Torture.</w:t>
      </w:r>
    </w:p>
    <w:p>
      <w:pPr>
        <w:pStyle w:val="Normal"/>
        <w:bidi w:val="0"/>
        <w:jc w:val="left"/>
        <w:rPr>
          <w:i w:val="false"/>
          <w:i w:val="false"/>
          <w:iCs w:val="false"/>
        </w:rPr>
      </w:pPr>
      <w:r>
        <w:rPr>
          <w:i w:val="false"/>
          <w:iCs w:val="false"/>
        </w:rPr>
      </w:r>
    </w:p>
    <w:p>
      <w:pPr>
        <w:pStyle w:val="Normal"/>
        <w:bidi w:val="0"/>
        <w:jc w:val="left"/>
        <w:rPr>
          <w:i w:val="false"/>
          <w:i w:val="false"/>
          <w:iCs w:val="false"/>
        </w:rPr>
      </w:pPr>
      <w:r>
        <w:rPr>
          <w:i w:val="false"/>
          <w:iCs w:val="false"/>
        </w:rPr>
        <w:tab/>
      </w:r>
      <w:r>
        <w:rPr>
          <w:i/>
          <w:iCs/>
        </w:rPr>
        <w:t>1. Each State Party shall ensure in its legal system that the victim of an act of torture obtains</w:t>
      </w:r>
    </w:p>
    <w:p>
      <w:pPr>
        <w:pStyle w:val="Normal"/>
        <w:bidi w:val="0"/>
        <w:jc w:val="left"/>
        <w:rPr>
          <w:i/>
          <w:i/>
          <w:iCs/>
        </w:rPr>
      </w:pPr>
      <w:r>
        <w:rPr>
          <w:i/>
          <w:iCs/>
        </w:rPr>
        <w:tab/>
        <w:t xml:space="preserve">redress and has an enforceable right to fair and adequate compensation, including the means </w:t>
        <w:tab/>
        <w:t xml:space="preserve">for as full rehabilitation as possible. In the event of the death of the victim as a result of an </w:t>
        <w:tab/>
        <w:t>act of torture, his dependants shall be entitled to compensation.</w:t>
      </w:r>
    </w:p>
    <w:p>
      <w:pPr>
        <w:pStyle w:val="Normal"/>
        <w:bidi w:val="0"/>
        <w:jc w:val="left"/>
        <w:rPr>
          <w:i/>
          <w:i/>
          <w:iCs/>
        </w:rPr>
      </w:pPr>
      <w:r>
        <w:rPr>
          <w:i/>
          <w:iCs/>
        </w:rPr>
        <w:tab/>
        <w:t>2. Nothing in this article shall affect any right of the victim or other persons to compensation</w:t>
      </w:r>
    </w:p>
    <w:p>
      <w:pPr>
        <w:pStyle w:val="Normal"/>
        <w:bidi w:val="0"/>
        <w:jc w:val="left"/>
        <w:rPr>
          <w:i/>
          <w:i/>
          <w:iCs/>
        </w:rPr>
      </w:pPr>
      <w:r>
        <w:rPr>
          <w:i/>
          <w:iCs/>
        </w:rPr>
        <w:tab/>
        <w:t>which may exist under national law.</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t>Yours sincerely</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t>Mike Ferriss</w:t>
      </w:r>
    </w:p>
    <w:p>
      <w:pPr>
        <w:pStyle w:val="Normal"/>
        <w:bidi w:val="0"/>
        <w:jc w:val="left"/>
        <w:rPr/>
      </w:pPr>
      <w:r>
        <w:rPr/>
        <w:t>Director</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t xml:space="preserve"> </w:t>
      </w:r>
      <w:r>
        <w:rPr>
          <w:b/>
          <w:bCs/>
        </w:rPr>
        <w:t xml:space="preserve">PO Box 163086 Lynfield Post Shop     Lynfield            Auckland 1443       New Zealand </w:t>
      </w:r>
    </w:p>
    <w:p>
      <w:pPr>
        <w:pStyle w:val="Normal"/>
        <w:bidi w:val="0"/>
        <w:jc w:val="left"/>
        <w:rPr>
          <w:b/>
          <w:bCs/>
        </w:rPr>
      </w:pPr>
      <w:r>
        <w:rPr>
          <w:b/>
          <w:bCs/>
        </w:rPr>
        <w:t xml:space="preserve">                      </w:t>
      </w:r>
      <w:r>
        <w:rPr>
          <w:b/>
          <w:bCs/>
        </w:rPr>
        <w:t>ph 021855437                  info@cchr.org.nz</w:t>
        <w:tab/>
        <w:t xml:space="preserve">      www.cchr.org.nz</w:t>
      </w:r>
    </w:p>
    <w:sectPr>
      <w:footnotePr>
        <w:numFmt w:val="decimal"/>
      </w:footnotePr>
      <w:type w:val="nextPage"/>
      <w:pgSz w:w="11906" w:h="16838"/>
      <w:pgMar w:left="1134" w:right="1134" w:gutter="0" w:header="0" w:top="1134" w:footer="0" w:bottom="1134"/>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Helvetica">
    <w:altName w:val="Arial"/>
    <w:charset w:val="00"/>
    <w:family w:val="roman"/>
    <w:pitch w:val="variable"/>
  </w:font>
  <w:font w:name="Calibri">
    <w:charset w:val="00"/>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
        <w:bidi w:val="0"/>
        <w:jc w:val="left"/>
        <w:rPr/>
      </w:pPr>
      <w:r>
        <w:rPr>
          <w:rStyle w:val="FootnoteCharacters"/>
        </w:rPr>
        <w:footnoteRef/>
      </w:r>
      <w:r>
        <w:rPr/>
        <w:tab/>
        <w:t>Gallen 2001/2002 (attached)</w:t>
      </w:r>
    </w:p>
  </w:footnote>
  <w:footnote w:id="3">
    <w:p>
      <w:pPr>
        <w:pStyle w:val="Footnote"/>
        <w:suppressLineNumbers/>
        <w:bidi w:val="0"/>
        <w:ind w:left="340" w:hanging="340"/>
        <w:jc w:val="left"/>
        <w:rPr/>
      </w:pPr>
      <w:r>
        <w:rPr>
          <w:rStyle w:val="FootnoteCharacters"/>
        </w:rPr>
        <w:footnoteRef/>
      </w:r>
      <w:hyperlink r:id="rId1">
        <w:r>
          <w:rPr>
            <w:rStyle w:val="InternetLink"/>
          </w:rPr>
          <w:tab/>
          <w:t>https://www.abuseinquiryresponse.govt.nz/assets/Uploads/Cabinet-papers/Lake-Alice/2024-02-29-Actions-to-acknowledge-some-survivors-of-the-Lake-Alice-Psychiatric-Hospital-Child-and-Adolescent-Unit-Final-redacted.pdf</w:t>
        </w:r>
      </w:hyperlink>
      <w:r>
        <w:rPr/>
        <w:t xml:space="preserve">  page 12</w:t>
      </w:r>
    </w:p>
    <w:p>
      <w:pPr>
        <w:pStyle w:val="Footnote"/>
        <w:suppressLineNumbers/>
        <w:bidi w:val="0"/>
        <w:ind w:left="340" w:hanging="340"/>
        <w:jc w:val="left"/>
        <w:rPr/>
      </w:pPr>
      <w:r>
        <w:rPr/>
      </w:r>
    </w:p>
  </w:footnote>
  <w:footnote w:id="4">
    <w:p>
      <w:pPr>
        <w:pStyle w:val="Footnote"/>
        <w:suppressLineNumbers/>
        <w:bidi w:val="0"/>
        <w:ind w:left="340" w:hanging="340"/>
        <w:jc w:val="left"/>
        <w:rPr/>
      </w:pPr>
      <w:r>
        <w:rPr>
          <w:rStyle w:val="FootnoteCharacters"/>
        </w:rPr>
        <w:footnoteRef/>
      </w:r>
      <w:r>
        <w:rPr>
          <w:rStyle w:val="InternetLink"/>
        </w:rPr>
        <w:tab/>
        <w:t>https://www.abuseincare.org.nz/reports/inquiry-into-the-lake-alice-child-and-adolescent-unit/2-1-what-happened-at-lake-alice/2-1-4-aversion-therapy-by-electric-shock-a-form-of-torture</w:t>
      </w:r>
    </w:p>
    <w:p>
      <w:pPr>
        <w:pStyle w:val="Footnote"/>
        <w:bidi w:val="0"/>
        <w:ind w:left="340" w:hanging="0"/>
        <w:jc w:val="left"/>
        <w:rPr/>
      </w:pPr>
      <w:r>
        <w:rPr/>
        <w:t xml:space="preserve">The Solicitor General’s full explanation was: </w:t>
      </w:r>
      <w:r>
        <w:rPr>
          <w:i/>
          <w:iCs/>
        </w:rPr>
        <w:t>But torture has three elements. Infliction of pain and suffering, mental, physical; no doubt that has been met. By an arm of the State or a person acting on a part of the State; also no question that has been met. The key question is the purpose for which that pain and suffering was inflicted. The allegations are that it was done for a punishment and where those allegations are made out by a fact-finder might be the Inquiry, it might be the court, then that is three elements met, torture. If a fact-finder found to the contrary, that the imposition or the infliction of that conduct or infliction of that pain and suffering was for a pursuit of a therapeutic purpose,</w:t>
      </w:r>
    </w:p>
    <w:p>
      <w:pPr>
        <w:pStyle w:val="Footnote"/>
        <w:bidi w:val="0"/>
        <w:jc w:val="left"/>
        <w:rPr>
          <w:i/>
          <w:i/>
          <w:iCs/>
        </w:rPr>
      </w:pPr>
      <w:r>
        <w:rPr>
          <w:i/>
          <w:iCs/>
        </w:rPr>
        <w:t xml:space="preserve">       </w:t>
      </w:r>
      <w:r>
        <w:rPr>
          <w:i/>
          <w:iCs/>
        </w:rPr>
        <w:t>then it wouldn't meet that second limb. As alleged, that conduct meets the three criteria for torture.</w:t>
      </w:r>
    </w:p>
  </w:footnote>
  <w:footnote w:id="5">
    <w:p>
      <w:pPr>
        <w:pStyle w:val="Footnote"/>
        <w:suppressLineNumbers/>
        <w:bidi w:val="0"/>
        <w:ind w:left="340" w:hanging="340"/>
        <w:jc w:val="left"/>
        <w:rPr/>
      </w:pPr>
      <w:r>
        <w:rPr>
          <w:rStyle w:val="FootnoteCharacters"/>
        </w:rPr>
        <w:footnoteRef/>
      </w:r>
      <w:hyperlink r:id="rId2">
        <w:r>
          <w:rPr>
            <w:rStyle w:val="InternetLink"/>
          </w:rPr>
          <w:tab/>
          <w:t>https://www.abuseincare.org.nz/reports/inquiry-into-the-lake-alice-child-and-adolescent-unit/conclusion/3-conclusion</w:t>
        </w:r>
      </w:hyperlink>
    </w:p>
  </w:footnote>
  <w:footnote w:id="6">
    <w:p>
      <w:pPr>
        <w:pStyle w:val="Footnote"/>
        <w:suppressLineNumbers/>
        <w:bidi w:val="0"/>
        <w:ind w:left="340" w:hanging="340"/>
        <w:jc w:val="left"/>
        <w:rPr/>
      </w:pPr>
      <w:r>
        <w:rPr>
          <w:rStyle w:val="FootnoteCharacters"/>
        </w:rPr>
        <w:footnoteRef/>
      </w:r>
      <w:hyperlink r:id="rId3">
        <w:r>
          <w:rPr>
            <w:rStyle w:val="InternetLink"/>
          </w:rPr>
          <w:tab/>
          <w:t>https://www.abuseinquiryresponse.govt.nz/assets/Uploads/Cabinet-papers/Lake-Alice/2024-05-09-Briefing-Potential-redress-options-for-Lake-Alice-Unit-survivos-who-experienced-torture-Final-redacted.pdf</w:t>
        </w:r>
      </w:hyperlink>
      <w:r>
        <w:rPr/>
        <w:t xml:space="preserve"> page 3</w:t>
      </w:r>
    </w:p>
    <w:p>
      <w:pPr>
        <w:pStyle w:val="Footnote"/>
        <w:suppressLineNumbers/>
        <w:bidi w:val="0"/>
        <w:ind w:left="340" w:hanging="340"/>
        <w:jc w:val="left"/>
        <w:rPr/>
      </w:pPr>
      <w:r>
        <w:rPr/>
      </w:r>
    </w:p>
  </w:footnote>
  <w:footnote w:id="7">
    <w:p>
      <w:pPr>
        <w:pStyle w:val="Footnote"/>
        <w:bidi w:val="0"/>
        <w:jc w:val="left"/>
        <w:rPr/>
      </w:pPr>
      <w:r>
        <w:rPr>
          <w:rStyle w:val="FootnoteCharacters"/>
        </w:rPr>
        <w:footnoteRef/>
      </w:r>
      <w:hyperlink r:id="rId4">
        <w:r>
          <w:rPr>
            <w:rStyle w:val="InternetLink"/>
          </w:rPr>
          <w:tab/>
          <w:t>https://www.abuseinquiryresponse.govt.nz/assets/Uploads/Cabinet-papers/Lake-Alice/2024-05-09-Briefing-Potential-redress-options-for-Lake-Alice-Unit-survivos-who-experienced-torture-Final-redacted.pdf</w:t>
        </w:r>
      </w:hyperlink>
      <w:r>
        <w:rPr/>
        <w:t xml:space="preserve"> page 12 para 59, 60</w:t>
      </w:r>
    </w:p>
  </w:footnote>
  <w:footnote w:id="8">
    <w:p>
      <w:pPr>
        <w:pStyle w:val="Footnote"/>
        <w:suppressLineNumbers/>
        <w:bidi w:val="0"/>
        <w:ind w:left="340" w:hanging="340"/>
        <w:jc w:val="left"/>
        <w:rPr/>
      </w:pPr>
      <w:r>
        <w:rPr>
          <w:rStyle w:val="FootnoteCharacters"/>
        </w:rPr>
        <w:footnoteRef/>
      </w:r>
      <w:hyperlink r:id="rId5">
        <w:r>
          <w:rPr>
            <w:rStyle w:val="InternetLink"/>
          </w:rPr>
          <w:tab/>
          <w:t>https://www.abuseinquiryresponse.govt.nz/assets/Uploads/Cabinet-papers/2024-09-24-Acknowledgement-of-torture-at-the-Lake-Alice-Unit.pdf</w:t>
        </w:r>
      </w:hyperlink>
    </w:p>
  </w:footnote>
  <w:footnote w:id="9">
    <w:p>
      <w:pPr>
        <w:pStyle w:val="Footnote"/>
        <w:bidi w:val="0"/>
        <w:jc w:val="left"/>
        <w:rPr/>
      </w:pPr>
      <w:r>
        <w:rPr>
          <w:rStyle w:val="FootnoteCharacters"/>
        </w:rPr>
        <w:footnoteRef/>
      </w:r>
      <w:r>
        <w:rPr/>
        <w:tab/>
        <w:t>Ibid page 3</w:t>
      </w:r>
    </w:p>
  </w:footnote>
  <w:footnote w:id="10">
    <w:p>
      <w:pPr>
        <w:pStyle w:val="Footnote"/>
        <w:bidi w:val="0"/>
        <w:jc w:val="left"/>
        <w:rPr/>
      </w:pPr>
      <w:r>
        <w:rPr>
          <w:rStyle w:val="FootnoteCharacters"/>
        </w:rPr>
        <w:footnoteRef/>
      </w:r>
      <w:r>
        <w:rPr/>
        <w:tab/>
        <w:t>Gallen 2001/2002</w:t>
      </w:r>
    </w:p>
  </w:footnote>
  <w:footnote w:id="11">
    <w:p>
      <w:pPr>
        <w:pStyle w:val="Footnote"/>
        <w:suppressLineNumbers/>
        <w:bidi w:val="0"/>
        <w:ind w:left="340" w:hanging="340"/>
        <w:jc w:val="left"/>
        <w:rPr/>
      </w:pPr>
      <w:r>
        <w:rPr>
          <w:rStyle w:val="FootnoteCharacters"/>
        </w:rPr>
        <w:footnoteRef/>
      </w:r>
      <w:hyperlink r:id="rId6">
        <w:r>
          <w:rPr>
            <w:rStyle w:val="InternetLink"/>
          </w:rPr>
          <w:tab/>
          <w:t>https://www.rnz.co.nz/news/national/497097/why-a-key-figure-at-lake-alice-was-not-charged</w:t>
        </w:r>
      </w:hyperlink>
    </w:p>
  </w:footnote>
  <w:footnote w:id="12">
    <w:p>
      <w:pPr>
        <w:pStyle w:val="Footnote"/>
        <w:suppressLineNumbers/>
        <w:bidi w:val="0"/>
        <w:ind w:left="340" w:hanging="340"/>
        <w:jc w:val="left"/>
        <w:rPr/>
      </w:pPr>
      <w:r>
        <w:rPr>
          <w:rStyle w:val="FootnoteCharacters"/>
        </w:rPr>
        <w:footnoteRef/>
      </w:r>
      <w:hyperlink r:id="rId7">
        <w:r>
          <w:rPr>
            <w:rStyle w:val="InternetLink"/>
          </w:rPr>
          <w:tab/>
          <w:t>https://www.abuseincare.org.nz/reports/inquiry-into-the-lake-alice-child-and-adolescent-unit</w:t>
        </w:r>
      </w:hyperlink>
    </w:p>
  </w:footnote>
  <w:footnote w:id="13">
    <w:p>
      <w:pPr>
        <w:pStyle w:val="Footnote"/>
        <w:suppressLineNumbers/>
        <w:bidi w:val="0"/>
        <w:ind w:left="340" w:hanging="340"/>
        <w:jc w:val="left"/>
        <w:rPr/>
      </w:pPr>
      <w:r>
        <w:rPr>
          <w:rStyle w:val="FootnoteCharacters"/>
        </w:rPr>
        <w:footnoteRef/>
      </w:r>
      <w:r>
        <w:rPr>
          <w:rStyle w:val="InternetLink"/>
        </w:rPr>
        <w:tab/>
        <w:t>https://www.beehive.govt.nz/release/government-acknowledges-torture-lake-alice</w:t>
      </w:r>
    </w:p>
    <w:p>
      <w:pPr>
        <w:pStyle w:val="Footnote"/>
        <w:suppressLineNumbers/>
        <w:bidi w:val="0"/>
        <w:ind w:left="340" w:hanging="340"/>
        <w:jc w:val="left"/>
        <w:rPr/>
      </w:pPr>
      <w:r>
        <w:rPr/>
      </w:r>
    </w:p>
  </w:footnote>
  <w:footnote w:id="14">
    <w:p>
      <w:pPr>
        <w:pStyle w:val="Footnote"/>
        <w:suppressLineNumbers/>
        <w:bidi w:val="0"/>
        <w:ind w:left="340" w:hanging="340"/>
        <w:jc w:val="left"/>
        <w:rPr/>
      </w:pPr>
      <w:r>
        <w:rPr>
          <w:rStyle w:val="FootnoteCharacters"/>
        </w:rPr>
        <w:footnoteRef/>
      </w:r>
      <w:hyperlink r:id="rId8">
        <w:r>
          <w:rPr>
            <w:rStyle w:val="InternetLink"/>
          </w:rPr>
          <w:tab/>
          <w:t>https://www.abuseinquiryresponse.govt.nz/assets/Uploads/Cabinet-papers/Lake-Alice/2024-09-13-Briefing-The-option-of-a-stepped-redress-payment-for-torture-at-the-Lake-Alice-Unit-Final-redacted.pdf</w:t>
        </w:r>
      </w:hyperlink>
      <w:r>
        <w:rPr/>
        <w:t xml:space="preserve"> page 3</w:t>
      </w:r>
    </w:p>
  </w:footnote>
  <w:footnote w:id="15">
    <w:p>
      <w:pPr>
        <w:pStyle w:val="Footnote"/>
        <w:bidi w:val="0"/>
        <w:jc w:val="left"/>
        <w:rPr/>
      </w:pPr>
      <w:r>
        <w:rPr>
          <w:rStyle w:val="FootnoteCharacters"/>
        </w:rPr>
        <w:footnoteRef/>
      </w:r>
      <w:r>
        <w:rPr/>
        <w:tab/>
        <w:t>Ibid page 4 para 9</w:t>
      </w:r>
    </w:p>
  </w:footnote>
  <w:footnote w:id="16">
    <w:p>
      <w:pPr>
        <w:pStyle w:val="Footnote"/>
        <w:suppressLineNumbers/>
        <w:bidi w:val="0"/>
        <w:ind w:left="340" w:hanging="340"/>
        <w:jc w:val="left"/>
        <w:rPr/>
      </w:pPr>
      <w:r>
        <w:rPr>
          <w:rStyle w:val="FootnoteCharacters"/>
        </w:rPr>
        <w:footnoteRef/>
      </w:r>
      <w:hyperlink r:id="rId9">
        <w:r>
          <w:rPr>
            <w:rStyle w:val="InternetLink"/>
          </w:rPr>
          <w:tab/>
          <w:t>https://www.abuseinquiryresponse.govt.nz/assets/Uploads/Cabinet-papers/Lake-Alice/2024-09-18-Briefing-Independent-versus-expedited-pathways-to-redress-for-Lake-Alice-torture-survivors-Final-redacted.pdf</w:t>
        </w:r>
      </w:hyperlink>
    </w:p>
  </w:footnote>
  <w:footnote w:id="17">
    <w:p>
      <w:pPr>
        <w:pStyle w:val="Footnote"/>
        <w:bidi w:val="0"/>
        <w:jc w:val="left"/>
        <w:rPr/>
      </w:pPr>
      <w:r>
        <w:rPr>
          <w:rStyle w:val="FootnoteCharacters"/>
        </w:rPr>
        <w:footnoteRef/>
      </w:r>
      <w:r>
        <w:rPr/>
        <w:tab/>
        <w:t>Ibid page 4, para 9.b.</w:t>
      </w:r>
    </w:p>
  </w:footnote>
  <w:footnote w:id="18">
    <w:p>
      <w:pPr>
        <w:pStyle w:val="Footnote"/>
        <w:suppressLineNumbers/>
        <w:bidi w:val="0"/>
        <w:ind w:left="340" w:hanging="340"/>
        <w:jc w:val="left"/>
        <w:rPr/>
      </w:pPr>
      <w:r>
        <w:rPr>
          <w:rStyle w:val="FootnoteCharacters"/>
        </w:rPr>
        <w:footnoteRef/>
      </w:r>
      <w:hyperlink r:id="rId10">
        <w:r>
          <w:rPr>
            <w:rStyle w:val="InternetLink"/>
          </w:rPr>
          <w:tab/>
          <w:t>https://www.abuseinquiryresponse.govt.nz/assets/Uploads/Cabinet-papers/Redress-for-Survivors-of-Torture-at-the-Lake-Alice-Combined_Redacted.pdf</w:t>
        </w:r>
      </w:hyperlink>
    </w:p>
  </w:footnote>
  <w:footnote w:id="19">
    <w:p>
      <w:pPr>
        <w:pStyle w:val="Footnote"/>
        <w:bidi w:val="0"/>
        <w:jc w:val="left"/>
        <w:rPr/>
      </w:pPr>
      <w:r>
        <w:rPr>
          <w:rStyle w:val="FootnoteCharacters"/>
        </w:rPr>
        <w:footnoteRef/>
      </w:r>
      <w:r>
        <w:rPr/>
        <w:tab/>
        <w:t>Ibid pages 8,9 (pdf)</w:t>
      </w:r>
    </w:p>
  </w:footnote>
  <w:footnote w:id="20">
    <w:p>
      <w:pPr>
        <w:pStyle w:val="Footnote"/>
        <w:bidi w:val="0"/>
        <w:jc w:val="left"/>
        <w:rPr/>
      </w:pPr>
      <w:r>
        <w:rPr>
          <w:rStyle w:val="FootnoteCharacters"/>
        </w:rPr>
        <w:footnoteRef/>
      </w:r>
      <w:r>
        <w:rPr/>
        <w:tab/>
        <w:t>Ibid page 17 (pdf)</w:t>
      </w:r>
    </w:p>
  </w:footnote>
  <w:footnote w:id="21">
    <w:p>
      <w:pPr>
        <w:pStyle w:val="Footnote"/>
        <w:bidi w:val="0"/>
        <w:jc w:val="left"/>
        <w:rPr/>
      </w:pPr>
      <w:r>
        <w:rPr>
          <w:rStyle w:val="FootnoteCharacters"/>
        </w:rPr>
        <w:footnoteRef/>
      </w:r>
      <w:r>
        <w:rPr/>
        <w:tab/>
        <w:t>Ibid page 21 para 2</w:t>
      </w:r>
    </w:p>
  </w:footnote>
  <w:footnote w:id="22">
    <w:p>
      <w:pPr>
        <w:pStyle w:val="Footnote"/>
        <w:suppressLineNumbers/>
        <w:bidi w:val="0"/>
        <w:ind w:left="340" w:hanging="340"/>
        <w:jc w:val="left"/>
        <w:rPr/>
      </w:pPr>
      <w:r>
        <w:rPr>
          <w:rStyle w:val="FootnoteCharacters"/>
        </w:rPr>
        <w:footnoteRef/>
      </w:r>
      <w:hyperlink r:id="rId11">
        <w:r>
          <w:rPr>
            <w:rStyle w:val="InternetLink"/>
          </w:rPr>
          <w:tab/>
          <w:t>https://www.abuseinquiryresponse.govt.nz/for-survivors/torture-redress</w:t>
        </w:r>
      </w:hyperlink>
    </w:p>
  </w:footnote>
  <w:footnote w:id="23">
    <w:p>
      <w:pPr>
        <w:pStyle w:val="Footnote"/>
        <w:bidi w:val="0"/>
        <w:jc w:val="left"/>
        <w:rPr/>
      </w:pPr>
      <w:r>
        <w:rPr>
          <w:rStyle w:val="FootnoteCharacters"/>
        </w:rPr>
        <w:footnoteRef/>
      </w:r>
      <w:r>
        <w:rPr/>
        <w:tab/>
        <w:t>Ibid</w:t>
      </w:r>
    </w:p>
  </w:footnote>
  <w:footnote w:id="24">
    <w:p>
      <w:pPr>
        <w:pStyle w:val="Footnote"/>
        <w:suppressLineNumbers/>
        <w:bidi w:val="0"/>
        <w:ind w:left="340" w:hanging="340"/>
        <w:jc w:val="left"/>
        <w:rPr/>
      </w:pPr>
      <w:r>
        <w:rPr>
          <w:rStyle w:val="FootnoteCharacters"/>
        </w:rPr>
        <w:footnoteRef/>
      </w:r>
      <w:r>
        <w:rPr>
          <w:rStyle w:val="InternetLink"/>
        </w:rPr>
        <w:tab/>
        <w:t>https://www.abuseinquiryresponse.govt.nz/assets/Uploads/Cabinet-papers/Appointment-of-independent-arbiter.pdf</w:t>
      </w:r>
    </w:p>
    <w:p>
      <w:pPr>
        <w:pStyle w:val="Footnote"/>
        <w:suppressLineNumbers/>
        <w:bidi w:val="0"/>
        <w:ind w:left="340" w:hanging="340"/>
        <w:jc w:val="left"/>
        <w:rPr/>
      </w:pPr>
      <w:r>
        <w:rPr/>
        <w:t xml:space="preserve">       </w:t>
      </w:r>
      <w:r>
        <w:rPr/>
        <w:t>page 2, para 2</w:t>
      </w:r>
    </w:p>
    <w:p>
      <w:pPr>
        <w:pStyle w:val="Footnote"/>
        <w:suppressLineNumbers/>
        <w:bidi w:val="0"/>
        <w:ind w:left="340" w:hanging="340"/>
        <w:jc w:val="left"/>
        <w:rPr/>
      </w:pPr>
      <w:r>
        <w:rPr/>
      </w:r>
    </w:p>
  </w:footnote>
  <w:footnote w:id="25">
    <w:p>
      <w:pPr>
        <w:pStyle w:val="Footnote"/>
        <w:rPr/>
      </w:pPr>
      <w:r>
        <w:rPr>
          <w:rStyle w:val="FootnoteCharacters"/>
        </w:rPr>
        <w:footnoteRef/>
      </w:r>
      <w:r>
        <w:rPr/>
        <w:tab/>
        <w:t>LAKE ALICE UNIT - Torture Redress, Independent Arbiter's Minute # 2, Hon. Paul Davison KC, 17 March 2025</w:t>
      </w:r>
    </w:p>
  </w:footnote>
  <w:footnote w:id="26">
    <w:p>
      <w:pPr>
        <w:pStyle w:val="Footnote"/>
        <w:suppressLineNumbers/>
        <w:bidi w:val="0"/>
        <w:ind w:left="340" w:hanging="340"/>
        <w:jc w:val="left"/>
        <w:rPr/>
      </w:pPr>
      <w:r>
        <w:rPr>
          <w:rStyle w:val="FootnoteCharacters"/>
        </w:rPr>
        <w:footnoteRef/>
      </w:r>
      <w:hyperlink r:id="rId12">
        <w:r>
          <w:rPr>
            <w:rStyle w:val="InternetLink"/>
          </w:rPr>
          <w:tab/>
          <w:t>https://juris.ohchr.org/casedetails/3756/en-US</w:t>
        </w:r>
      </w:hyperlink>
    </w:p>
  </w:footnote>
  <w:footnote w:id="27">
    <w:p>
      <w:pPr>
        <w:pStyle w:val="Footnote"/>
        <w:suppressLineNumbers/>
        <w:bidi w:val="0"/>
        <w:ind w:left="340" w:hanging="340"/>
        <w:jc w:val="left"/>
        <w:rPr/>
      </w:pPr>
      <w:r>
        <w:rPr>
          <w:rStyle w:val="FootnoteCharacters"/>
        </w:rPr>
        <w:footnoteRef/>
      </w:r>
      <w:hyperlink r:id="rId13">
        <w:r>
          <w:rPr>
            <w:rStyle w:val="InternetLink"/>
          </w:rPr>
          <w:tab/>
          <w:t>https://juris.ohchr.org/casedetails/2697/en-US</w:t>
        </w:r>
      </w:hyperlink>
    </w:p>
  </w:footnote>
  <w:footnote w:id="28">
    <w:p>
      <w:pPr>
        <w:pStyle w:val="Footnote"/>
        <w:suppressLineNumbers/>
        <w:bidi w:val="0"/>
        <w:ind w:left="340" w:hanging="340"/>
        <w:jc w:val="left"/>
        <w:rPr/>
      </w:pPr>
      <w:r>
        <w:rPr>
          <w:rStyle w:val="FootnoteCharacters"/>
        </w:rPr>
        <w:footnoteRef/>
      </w:r>
      <w:hyperlink r:id="rId14">
        <w:r>
          <w:rPr>
            <w:rStyle w:val="InternetLink"/>
          </w:rPr>
          <w:tab/>
          <w:t>https://www.abuseinquiryresponse.govt.nz/assets/Uploads/Cabinet-papers/2025-07-11-Additional-funding-for-redress-for-survivors-of-torture-at-the-Lake-Alice-Child-and-Adolescent-Unit.pdf</w:t>
        </w:r>
      </w:hyperlink>
    </w:p>
  </w:footnote>
  <w:footnote w:id="29">
    <w:p>
      <w:pPr>
        <w:pStyle w:val="Footnote"/>
        <w:bidi w:val="0"/>
        <w:jc w:val="left"/>
        <w:rPr/>
      </w:pPr>
      <w:r>
        <w:rPr>
          <w:rStyle w:val="FootnoteCharacters"/>
        </w:rPr>
        <w:footnoteRef/>
      </w:r>
      <w:r>
        <w:rPr/>
        <w:tab/>
        <w:t>Ibid page 8 (pdf)</w:t>
      </w:r>
    </w:p>
  </w:footnote>
  <w:footnote w:id="30">
    <w:p>
      <w:pPr>
        <w:pStyle w:val="Footnote"/>
        <w:suppressLineNumbers/>
        <w:bidi w:val="0"/>
        <w:ind w:left="340" w:hanging="340"/>
        <w:jc w:val="left"/>
        <w:rPr/>
      </w:pPr>
      <w:r>
        <w:rPr>
          <w:rStyle w:val="FootnoteCharacters"/>
        </w:rPr>
        <w:footnoteRef/>
      </w:r>
      <w:r>
        <w:rPr>
          <w:rStyle w:val="InternetLink"/>
        </w:rPr>
        <w:tab/>
        <w:t>https://www.thepost.co.nz/nz-news/360762562/lake-alice-redress-upped-survivors</w:t>
      </w:r>
    </w:p>
    <w:p>
      <w:pPr>
        <w:pStyle w:val="Footnote"/>
        <w:suppressLineNumbers/>
        <w:bidi w:val="0"/>
        <w:ind w:left="340" w:hanging="340"/>
        <w:jc w:val="left"/>
        <w:rPr/>
      </w:pPr>
      <w:r>
        <w:rPr/>
      </w:r>
    </w:p>
  </w:footnote>
  <w:footnote w:id="31">
    <w:p>
      <w:pPr>
        <w:pStyle w:val="Footnote"/>
        <w:suppressLineNumbers/>
        <w:bidi w:val="0"/>
        <w:ind w:left="340" w:hanging="340"/>
        <w:jc w:val="left"/>
        <w:rPr/>
      </w:pPr>
      <w:r>
        <w:rPr>
          <w:rStyle w:val="FootnoteCharacters"/>
        </w:rPr>
        <w:footnoteRef/>
      </w:r>
      <w:hyperlink r:id="rId15">
        <w:r>
          <w:rPr>
            <w:rStyle w:val="InternetLink"/>
          </w:rPr>
          <w:tab/>
          <w:t>https://www.abuseinquiryresponse.govt.nz/assets/Uploads/Lake-Alice/Lake-Alice-Torture-Redress-Report-to-Ministers_Redacted.pdf</w:t>
        </w:r>
      </w:hyperlink>
    </w:p>
  </w:footnote>
  <w:footnote w:id="32">
    <w:p>
      <w:pPr>
        <w:pStyle w:val="Footnote"/>
        <w:bidi w:val="0"/>
        <w:jc w:val="left"/>
        <w:rPr/>
      </w:pPr>
      <w:r>
        <w:rPr>
          <w:rStyle w:val="FootnoteCharacters"/>
        </w:rPr>
        <w:footnoteRef/>
      </w:r>
      <w:r>
        <w:rPr/>
        <w:tab/>
        <w:t>Ibid page 2, para 7</w:t>
      </w:r>
    </w:p>
  </w:footnote>
  <w:footnote w:id="33">
    <w:p>
      <w:pPr>
        <w:pStyle w:val="Footnote"/>
        <w:bidi w:val="0"/>
        <w:jc w:val="left"/>
        <w:rPr/>
      </w:pPr>
      <w:r>
        <w:rPr>
          <w:rStyle w:val="FootnoteCharacters"/>
        </w:rPr>
        <w:footnoteRef/>
      </w:r>
      <w:r>
        <w:rPr/>
        <w:tab/>
        <w:t>Ibid page 5, para 13</w:t>
      </w:r>
    </w:p>
  </w:footnote>
  <w:footnote w:id="34">
    <w:p>
      <w:pPr>
        <w:pStyle w:val="Footnote"/>
        <w:bidi w:val="0"/>
        <w:jc w:val="left"/>
        <w:rPr/>
      </w:pPr>
      <w:r>
        <w:rPr>
          <w:rStyle w:val="FootnoteCharacters"/>
        </w:rPr>
        <w:footnoteRef/>
      </w:r>
      <w:r>
        <w:rPr/>
        <w:tab/>
        <w:t>Ibid page 13, para 36</w:t>
      </w:r>
    </w:p>
  </w:footnote>
  <w:footnote w:id="35">
    <w:p>
      <w:pPr>
        <w:pStyle w:val="Footnote"/>
        <w:suppressLineNumbers/>
        <w:bidi w:val="0"/>
        <w:ind w:left="340" w:hanging="340"/>
        <w:jc w:val="left"/>
        <w:rPr/>
      </w:pPr>
      <w:r>
        <w:rPr>
          <w:rStyle w:val="FootnoteCharacters"/>
        </w:rPr>
        <w:footnoteRef/>
      </w:r>
      <w:r>
        <w:rPr/>
        <w:tab/>
        <w:t>For the purposes of the UN Convention against Torture, the term “torture” means any act by which severe</w:t>
      </w:r>
    </w:p>
    <w:p>
      <w:pPr>
        <w:pStyle w:val="Footnote"/>
        <w:suppressLineNumbers/>
        <w:bidi w:val="0"/>
        <w:ind w:left="340" w:hanging="340"/>
        <w:jc w:val="left"/>
        <w:rPr/>
      </w:pPr>
      <w:r>
        <w:rPr/>
        <w:t xml:space="preserve">       </w:t>
      </w:r>
      <w:r>
        <w:rPr/>
        <w:t>pain or suffering, whether physical or mental, is intentionally inflicted on a person for such purposes as</w:t>
      </w:r>
    </w:p>
    <w:p>
      <w:pPr>
        <w:pStyle w:val="Footnote"/>
        <w:suppressLineNumbers/>
        <w:bidi w:val="0"/>
        <w:ind w:left="340" w:hanging="340"/>
        <w:jc w:val="left"/>
        <w:rPr/>
      </w:pPr>
      <w:r>
        <w:rPr/>
        <w:t xml:space="preserve">       </w:t>
      </w:r>
      <w:r>
        <w:rPr/>
        <w:t>obtaining from him or her or a third person information or a confession, punishing him or her for an act he</w:t>
      </w:r>
    </w:p>
    <w:p>
      <w:pPr>
        <w:pStyle w:val="Footnote"/>
        <w:suppressLineNumbers/>
        <w:bidi w:val="0"/>
        <w:ind w:left="340" w:hanging="340"/>
        <w:jc w:val="left"/>
        <w:rPr/>
      </w:pPr>
      <w:r>
        <w:rPr/>
        <w:t xml:space="preserve">       </w:t>
      </w:r>
      <w:r>
        <w:rPr/>
        <w:t>or she or a third person has committed or is suspected of having committed, or intimidating or coercing him</w:t>
      </w:r>
    </w:p>
    <w:p>
      <w:pPr>
        <w:pStyle w:val="Footnote"/>
        <w:suppressLineNumbers/>
        <w:bidi w:val="0"/>
        <w:ind w:left="340" w:hanging="340"/>
        <w:jc w:val="left"/>
        <w:rPr/>
      </w:pPr>
      <w:r>
        <w:rPr/>
        <w:t xml:space="preserve">       </w:t>
      </w:r>
      <w:r>
        <w:rPr/>
        <w:t>or her or a third person, or for any reason based on discrimination of any kind, when such pain or suffering</w:t>
      </w:r>
    </w:p>
    <w:p>
      <w:pPr>
        <w:pStyle w:val="Footnote"/>
        <w:suppressLineNumbers/>
        <w:bidi w:val="0"/>
        <w:ind w:left="340" w:hanging="340"/>
        <w:jc w:val="left"/>
        <w:rPr/>
      </w:pPr>
      <w:r>
        <w:rPr/>
        <w:t xml:space="preserve">       </w:t>
      </w:r>
      <w:r>
        <w:rPr/>
        <w:t>is inflicted by or at the instigation of, or with the consent or acquiescence of a public official or other person</w:t>
      </w:r>
    </w:p>
    <w:p>
      <w:pPr>
        <w:pStyle w:val="Footnote"/>
        <w:suppressLineNumbers/>
        <w:bidi w:val="0"/>
        <w:ind w:left="340" w:hanging="340"/>
        <w:jc w:val="left"/>
        <w:rPr/>
      </w:pPr>
      <w:r>
        <w:rPr/>
        <w:t xml:space="preserve">       </w:t>
      </w:r>
      <w:r>
        <w:rPr/>
        <w:t>acting in an official capacity. It does not include pain or suffering arising only from, inherent in or incidental</w:t>
      </w:r>
    </w:p>
    <w:p>
      <w:pPr>
        <w:pStyle w:val="Footnote"/>
        <w:suppressLineNumbers/>
        <w:bidi w:val="0"/>
        <w:ind w:left="340" w:hanging="340"/>
        <w:jc w:val="left"/>
        <w:rPr/>
      </w:pPr>
      <w:r>
        <w:rPr/>
        <w:t xml:space="preserve">       </w:t>
      </w:r>
      <w:r>
        <w:rPr/>
        <w:t>to lawful sanctions. (See UN Convention against Torture and Other Cruel, Inhuman or Degrading Treatment</w:t>
      </w:r>
    </w:p>
    <w:p>
      <w:pPr>
        <w:pStyle w:val="Footnote"/>
        <w:suppressLineNumbers/>
        <w:bidi w:val="0"/>
        <w:ind w:left="340" w:hanging="340"/>
        <w:jc w:val="left"/>
        <w:rPr/>
      </w:pPr>
      <w:r>
        <w:rPr/>
        <w:t xml:space="preserve">       </w:t>
      </w:r>
      <w:r>
        <w:rPr/>
        <w:t>or Punishment. Article 1.)</w:t>
      </w:r>
    </w:p>
  </w:footnote>
  <w:footnote w:id="36">
    <w:p>
      <w:pPr>
        <w:pStyle w:val="Footnote"/>
        <w:suppressLineNumbers/>
        <w:bidi w:val="0"/>
        <w:ind w:left="340" w:hanging="340"/>
        <w:jc w:val="left"/>
        <w:rPr/>
      </w:pPr>
      <w:r>
        <w:rPr>
          <w:rStyle w:val="FootnoteCharacters"/>
        </w:rPr>
        <w:footnoteRef/>
      </w:r>
      <w:r>
        <w:rPr>
          <w:rStyle w:val="InternetLink"/>
        </w:rPr>
        <w:tab/>
        <w:t xml:space="preserve">https://www.beehive.govt.nz/release/lake-alice-torture-redress-report-released#:~:text=Hon%20Erica%20Stanford,Alice%20survivors%20had%20a%20choice.%E2%80%9D       </w:t>
      </w:r>
    </w:p>
  </w:footnote>
  <w:footnote w:id="37">
    <w:p>
      <w:pPr>
        <w:pStyle w:val="Footnote"/>
        <w:suppressLineNumbers/>
        <w:bidi w:val="0"/>
        <w:ind w:left="340" w:hanging="340"/>
        <w:jc w:val="left"/>
        <w:rPr/>
      </w:pPr>
      <w:r>
        <w:rPr>
          <w:rStyle w:val="FootnoteCharacters"/>
        </w:rPr>
        <w:footnoteRef/>
      </w:r>
      <w:r>
        <w:rPr>
          <w:rStyle w:val="InternetLink"/>
        </w:rPr>
        <w:tab/>
        <w:t>https://www.thepost.co.nz/nz-news/360900887/hoodwinked-lake-alice-survivors-feel-deceived-over-redress</w:t>
      </w:r>
    </w:p>
    <w:p>
      <w:pPr>
        <w:pStyle w:val="Footnote"/>
        <w:suppressLineNumbers/>
        <w:bidi w:val="0"/>
        <w:ind w:left="340" w:hanging="340"/>
        <w:jc w:val="left"/>
        <w:rPr/>
      </w:pPr>
      <w:r>
        <w:rPr/>
      </w:r>
    </w:p>
    <w:p>
      <w:pPr>
        <w:pStyle w:val="Footnote"/>
        <w:suppressLineNumbers/>
        <w:bidi w:val="0"/>
        <w:ind w:left="340" w:hanging="340"/>
        <w:jc w:val="left"/>
        <w:rPr/>
      </w:pPr>
      <w:r>
        <w:rPr/>
      </w:r>
    </w:p>
    <w:p>
      <w:pPr>
        <w:pStyle w:val="Normal"/>
        <w:bidi w:val="0"/>
        <w:spacing w:lineRule="auto" w:line="240"/>
        <w:jc w:val="left"/>
        <w:rPr>
          <w:b/>
          <w:bCs/>
          <w:i w:val="false"/>
          <w:i w:val="false"/>
          <w:caps w:val="false"/>
          <w:smallCaps w:val="false"/>
          <w:color w:val="000000"/>
          <w:spacing w:val="0"/>
          <w:sz w:val="24"/>
          <w:szCs w:val="24"/>
        </w:rPr>
      </w:pPr>
      <w:r>
        <w:rPr>
          <w:b/>
          <w:bCs/>
          <w:i w:val="false"/>
          <w:caps w:val="false"/>
          <w:smallCaps w:val="false"/>
          <w:color w:val="000000"/>
          <w:spacing w:val="0"/>
          <w:sz w:val="24"/>
          <w:szCs w:val="24"/>
        </w:rPr>
      </w:r>
    </w:p>
    <w:p>
      <w:pPr>
        <w:pStyle w:val="Footnote"/>
        <w:suppressLineNumbers/>
        <w:bidi w:val="0"/>
        <w:ind w:left="340" w:hanging="340"/>
        <w:jc w:val="left"/>
        <w:rPr/>
      </w:pPr>
      <w:r>
        <w:rPr/>
      </w:r>
    </w:p>
  </w:footnote>
</w:footnotes>
</file>

<file path=word/settings.xml><?xml version="1.0" encoding="utf-8"?>
<w:settings xmlns:w="http://schemas.openxmlformats.org/wordprocessingml/2006/main">
  <w:zoom w:percent="90"/>
  <w:defaultTabStop w:val="709"/>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NZ"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en-NZ" w:eastAsia="zh-CN" w:bidi="hi-IN"/>
    </w:rPr>
  </w:style>
  <w:style w:type="character" w:styleId="FootnoteCharacters">
    <w:name w:val="Footnote Characters"/>
    <w:qFormat/>
    <w:rPr>
      <w:vertAlign w:val="superscript"/>
    </w:rPr>
  </w:style>
  <w:style w:type="character" w:styleId="FootnoteAnchor">
    <w:name w:val="Footnote Reference"/>
    <w:rPr>
      <w:vertAlign w:val="superscript"/>
    </w:rPr>
  </w:style>
  <w:style w:type="character" w:styleId="InternetLink">
    <w:name w:val="Hyperlink"/>
    <w:rPr>
      <w:color w:val="000080"/>
      <w:u w:val="single"/>
    </w:rPr>
  </w:style>
  <w:style w:type="character" w:styleId="EndnoteCharacters">
    <w:name w:val="Endnote Characters"/>
    <w:qFormat/>
    <w:rPr>
      <w:vertAlign w:val="superscript"/>
    </w:rPr>
  </w:style>
  <w:style w:type="character" w:styleId="EndnoteAnchor">
    <w:name w:val="Endnote Reference"/>
    <w:rPr>
      <w:vertAlign w:val="superscript"/>
    </w:rPr>
  </w:style>
  <w:style w:type="character" w:styleId="VisitedInternetLink">
    <w:name w:val="FollowedHyperlink"/>
    <w:rPr>
      <w:color w:val="800000"/>
      <w:u w:val="single"/>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
    <w:name w:val="Footnote Text"/>
    <w:basedOn w:val="Normal"/>
    <w:pPr>
      <w:suppressLineNumbers/>
      <w:ind w:left="340" w:hanging="340"/>
    </w:pPr>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image" Target="media/image2.png"/><Relationship Id="rId7" Type="http://schemas.openxmlformats.org/officeDocument/2006/relationships/customXml" Target="../customXml/item1.xml"/><Relationship Id="rId2" Type="http://schemas.openxmlformats.org/officeDocument/2006/relationships/image" Target="media/image1.png"/><Relationship Id="rId1" Type="http://schemas.openxmlformats.org/officeDocument/2006/relationships/styles" Target="styles.xml"/><Relationship Id="rId6" Type="http://schemas.openxmlformats.org/officeDocument/2006/relationships/settings" Target="settings.xml"/><Relationship Id="rId5"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customXml" Target="../customXml/item3.xml"/></Relationships>
</file>

<file path=word/_rels/footnotes.xml.rels><?xml version="1.0" encoding="UTF-8"?>
<Relationships xmlns="http://schemas.openxmlformats.org/package/2006/relationships"><Relationship Id="rId1" Type="http://schemas.openxmlformats.org/officeDocument/2006/relationships/hyperlink" Target="https://www.abuseinquiryresponse.govt.nz/assets/Uploads/Cabinet-papers/Lake-Alice/2024-02-29-Actions-to-acknowledge-some-survivors-of-the-Lake-Alice-Psychiatric-Hospital-Child-and-Adolescent-Unit-Final-redacted.pdf" TargetMode="External"/><Relationship Id="rId2" Type="http://schemas.openxmlformats.org/officeDocument/2006/relationships/hyperlink" Target="https://www.abuseincare.org.nz/reports/inquiry-into-the-lake-alice-child-and-adolescent-unit/conclusion/3-conclusion" TargetMode="External"/><Relationship Id="rId3" Type="http://schemas.openxmlformats.org/officeDocument/2006/relationships/hyperlink" Target="https://www.abuseinquiryresponse.govt.nz/assets/Uploads/Cabinet-papers/Lake-Alice/2024-05-09-Briefing-Potential-redress-options-for-Lake-Alice-Unit-survivos-who-experienced-torture-Final-redacted.pdf" TargetMode="External"/><Relationship Id="rId4" Type="http://schemas.openxmlformats.org/officeDocument/2006/relationships/hyperlink" Target="https://www.abuseinquiryresponse.govt.nz/assets/Uploads/Cabinet-papers/Lake-Alice/2024-05-09-Briefing-Potential-redress-options-for-Lake-Alice-Unit-survivos-who-experienced-torture-Final-redacted.pdf" TargetMode="External"/><Relationship Id="rId5" Type="http://schemas.openxmlformats.org/officeDocument/2006/relationships/hyperlink" Target="https://www.abuseinquiryresponse.govt.nz/assets/Uploads/Cabinet-papers/2024-09-24-Acknowledgement-of-torture-at-the-Lake-Alice-Unit.pdf" TargetMode="External"/><Relationship Id="rId6" Type="http://schemas.openxmlformats.org/officeDocument/2006/relationships/hyperlink" Target="https://www.rnz.co.nz/news/national/497097/why-a-key-figure-at-lake-alice-was-not-charged" TargetMode="External"/><Relationship Id="rId7" Type="http://schemas.openxmlformats.org/officeDocument/2006/relationships/hyperlink" Target="https://www.abuseincare.org.nz/reports/inquiry-into-the-lake-alice-child-and-adolescent-unit" TargetMode="External"/><Relationship Id="rId8" Type="http://schemas.openxmlformats.org/officeDocument/2006/relationships/hyperlink" Target="https://www.abuseinquiryresponse.govt.nz/assets/Uploads/Cabinet-papers/Lake-Alice/2024-09-13-Briefing-The-option-of-a-stepped-redress-payment-for-torture-at-the-Lake-Alice-Unit-Final-redacted.pdf" TargetMode="External"/><Relationship Id="rId9" Type="http://schemas.openxmlformats.org/officeDocument/2006/relationships/hyperlink" Target="https://www.abuseinquiryresponse.govt.nz/assets/Uploads/Cabinet-papers/Lake-Alice/2024-09-18-Briefing-Independent-versus-expedited-pathways-to-redress-for-Lake-Alice-torture-survivors-Final-redacted.pdf" TargetMode="External"/><Relationship Id="rId10" Type="http://schemas.openxmlformats.org/officeDocument/2006/relationships/hyperlink" Target="https://www.abuseinquiryresponse.govt.nz/assets/Uploads/Cabinet-papers/Redress-for-Survivors-of-Torture-at-the-Lake-Alice-Combined_Redacted.pdf" TargetMode="External"/><Relationship Id="rId11" Type="http://schemas.openxmlformats.org/officeDocument/2006/relationships/hyperlink" Target="https://www.abuseinquiryresponse.govt.nz/for-survivors/torture-redress" TargetMode="External"/><Relationship Id="rId12" Type="http://schemas.openxmlformats.org/officeDocument/2006/relationships/hyperlink" Target="https://juris.ohchr.org/casedetails/3756/en-US" TargetMode="External"/><Relationship Id="rId13" Type="http://schemas.openxmlformats.org/officeDocument/2006/relationships/hyperlink" Target="https://juris.ohchr.org/casedetails/2697/en-US" TargetMode="External"/><Relationship Id="rId14" Type="http://schemas.openxmlformats.org/officeDocument/2006/relationships/hyperlink" Target="https://www.abuseinquiryresponse.govt.nz/assets/Uploads/Cabinet-papers/2025-07-11-Additional-funding-for-redress-for-survivors-of-torture-at-the-Lake-Alice-Child-and-Adolescent-Unit.pdf" TargetMode="External"/><Relationship Id="rId15" Type="http://schemas.openxmlformats.org/officeDocument/2006/relationships/hyperlink" Target="https://www.abuseinquiryresponse.govt.nz/assets/Uploads/Lake-Alice/Lake-Alice-Torture-Redress-Report-to-Ministers_Redacted.pdf" TargetMode="External"/>
</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2026-02-25T11:22:45+00:00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2026-02-25T11:22:45+00:00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2026-02-25T11:22:45+00:00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85374F3B-080B-48AF-88C2-7ABB81598CEE}"/>
</file>

<file path=customXml/itemProps2.xml><?xml version="1.0" encoding="utf-8"?>
<ds:datastoreItem xmlns:ds="http://schemas.openxmlformats.org/officeDocument/2006/customXml" ds:itemID="{E6D48126-8C9D-4224-BE6A-DF95CEEE60E0}"/>
</file>

<file path=customXml/itemProps3.xml><?xml version="1.0" encoding="utf-8"?>
<ds:datastoreItem xmlns:ds="http://schemas.openxmlformats.org/officeDocument/2006/customXml" ds:itemID="{47268688-E101-4AAD-9494-9373ADD75557}"/>
</file>

<file path=docProps/app.xml><?xml version="1.0" encoding="utf-8"?>
<Properties xmlns="http://schemas.openxmlformats.org/officeDocument/2006/extended-properties" xmlns:vt="http://schemas.openxmlformats.org/officeDocument/2006/docPropsVTypes">
  <Template/>
  <TotalTime>18849</TotalTime>
  <Application>LibreOffice/7.5.3.2$Windows_X86_64 LibreOffice_project/9f56dff12ba03b9acd7730a5a481eea045e468f3</Application>
  <AppVersion>15.0000</AppVersion>
  <Pages>12</Pages>
  <Words>5309</Words>
  <Characters>29324</Characters>
  <CharactersWithSpaces>34906</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130</cp:revision>
  <dcterms:created xsi:type="dcterms:W3CDTF">2026-01-26T11:12:37Z</dcterms:created>
  <dcterms:modified xsi:type="dcterms:W3CDTF">2026-02-10T10:53:39Z</dcterms:modified>
  <dc:language>en-NZ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