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4B799" w14:textId="41F3550A" w:rsidR="00640152" w:rsidRDefault="00640152" w:rsidP="00640152">
      <w:pPr>
        <w:pBdr>
          <w:bottom w:val="single" w:sz="4" w:space="1" w:color="auto"/>
        </w:pBdr>
        <w:jc w:val="center"/>
        <w:rPr>
          <w:rFonts w:asciiTheme="majorBidi" w:hAnsiTheme="majorBidi" w:cstheme="majorBidi"/>
          <w:b/>
          <w:bCs/>
          <w:color w:val="538135" w:themeColor="accent6" w:themeShade="BF"/>
          <w:sz w:val="32"/>
          <w:szCs w:val="32"/>
        </w:rPr>
      </w:pPr>
      <w:proofErr w:type="spellStart"/>
      <w:r w:rsidRPr="00640152">
        <w:rPr>
          <w:rFonts w:asciiTheme="majorBidi" w:hAnsiTheme="majorBidi" w:cstheme="majorBidi"/>
          <w:b/>
          <w:bCs/>
          <w:color w:val="538135" w:themeColor="accent6" w:themeShade="BF"/>
          <w:sz w:val="32"/>
          <w:szCs w:val="32"/>
        </w:rPr>
        <w:t>Elizka</w:t>
      </w:r>
      <w:proofErr w:type="spellEnd"/>
      <w:r w:rsidRPr="00640152">
        <w:rPr>
          <w:rFonts w:asciiTheme="majorBidi" w:hAnsiTheme="majorBidi" w:cstheme="majorBidi"/>
          <w:b/>
          <w:bCs/>
          <w:color w:val="538135" w:themeColor="accent6" w:themeShade="BF"/>
          <w:sz w:val="32"/>
          <w:szCs w:val="32"/>
        </w:rPr>
        <w:t xml:space="preserve"> Relief Foundation’ </w:t>
      </w:r>
      <w:r w:rsidRPr="00640152">
        <w:rPr>
          <w:rFonts w:asciiTheme="majorBidi" w:hAnsiTheme="majorBidi" w:cstheme="majorBidi"/>
          <w:b/>
          <w:bCs/>
          <w:color w:val="538135" w:themeColor="accent6" w:themeShade="BF"/>
          <w:sz w:val="32"/>
          <w:szCs w:val="32"/>
        </w:rPr>
        <w:t>Report Submitted to the United Nations Committee Against Torture Regarding Israel</w:t>
      </w:r>
    </w:p>
    <w:p w14:paraId="07B38DD7" w14:textId="24078B7F" w:rsidR="00640152" w:rsidRPr="00640152" w:rsidRDefault="00640152" w:rsidP="00640152">
      <w:pPr>
        <w:pBdr>
          <w:bottom w:val="single" w:sz="4" w:space="1" w:color="auto"/>
        </w:pBdr>
        <w:jc w:val="center"/>
        <w:rPr>
          <w:rFonts w:asciiTheme="majorBidi" w:hAnsiTheme="majorBidi" w:cstheme="majorBidi"/>
          <w:b/>
          <w:bCs/>
          <w:color w:val="70AD47" w:themeColor="accent6"/>
          <w:sz w:val="28"/>
          <w:szCs w:val="28"/>
        </w:rPr>
      </w:pPr>
      <w:r w:rsidRPr="00640152">
        <w:rPr>
          <w:rFonts w:asciiTheme="majorBidi" w:hAnsiTheme="majorBidi" w:cstheme="majorBidi"/>
          <w:b/>
          <w:bCs/>
          <w:color w:val="70AD47" w:themeColor="accent6"/>
          <w:sz w:val="28"/>
          <w:szCs w:val="28"/>
        </w:rPr>
        <w:t>October 2025</w:t>
      </w:r>
    </w:p>
    <w:p w14:paraId="05A7CA3A" w14:textId="3F01BC94" w:rsidR="00640152" w:rsidRPr="00640152" w:rsidRDefault="00640152" w:rsidP="00640152">
      <w:pPr>
        <w:rPr>
          <w:rFonts w:asciiTheme="majorBidi" w:hAnsiTheme="majorBidi" w:cstheme="majorBidi"/>
          <w:sz w:val="24"/>
          <w:szCs w:val="24"/>
        </w:rPr>
      </w:pP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xml:space="preserve"> Relief Foundation presents this report to the United Nations Committee Against Torture as part of its follow-up on Israel's compliance with the provisions of the Convention Against Torture and Other Cruel, Inhuman or Degrading Treatment or Punishment. This report is written prior to Israel's review before the Committee Against Torture to highlight the safeguards against torture in Israel, the lack of adherence to the principle of non-refoulement under the convention, interrogation rules during investigations with detainees in Israeli prisons, complaints regarding allegations of torture, and the extraction of confessions under torture.</w:t>
      </w:r>
    </w:p>
    <w:p w14:paraId="1105CB92" w14:textId="7A8DDBDC" w:rsidR="00640152" w:rsidRPr="00640152" w:rsidRDefault="00640152" w:rsidP="00640152">
      <w:pPr>
        <w:rPr>
          <w:rFonts w:asciiTheme="majorBidi" w:hAnsiTheme="majorBidi" w:cstheme="majorBidi"/>
          <w:sz w:val="24"/>
          <w:szCs w:val="24"/>
        </w:rPr>
      </w:pP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xml:space="preserve"> confirms that in the months following October 7, 2023, testimonies </w:t>
      </w:r>
      <w:r>
        <w:rPr>
          <w:rFonts w:asciiTheme="majorBidi" w:hAnsiTheme="majorBidi" w:cstheme="majorBidi"/>
          <w:sz w:val="24"/>
          <w:szCs w:val="24"/>
        </w:rPr>
        <w:t xml:space="preserve">have been collected </w:t>
      </w:r>
      <w:r w:rsidRPr="00640152">
        <w:rPr>
          <w:rFonts w:asciiTheme="majorBidi" w:hAnsiTheme="majorBidi" w:cstheme="majorBidi"/>
          <w:sz w:val="24"/>
          <w:szCs w:val="24"/>
        </w:rPr>
        <w:t>regarding acts of torture and other forms of ill-treatment committed by Israeli security forces and investigators against civilians suspected of links to Palestinian factions. These practices occurred in an environment characterized by impunity and lack of accountability, undermining the implementation of the convention's provisions. The report concludes with a set of recommendations.</w:t>
      </w:r>
    </w:p>
    <w:p w14:paraId="265F5D5D" w14:textId="77777777" w:rsidR="00640152" w:rsidRPr="00640152" w:rsidRDefault="00640152" w:rsidP="00640152">
      <w:pPr>
        <w:shd w:val="clear" w:color="auto" w:fill="E2EFD9" w:themeFill="accent6" w:themeFillTint="33"/>
        <w:rPr>
          <w:rFonts w:asciiTheme="majorBidi" w:hAnsiTheme="majorBidi" w:cstheme="majorBidi"/>
          <w:b/>
          <w:bCs/>
          <w:sz w:val="28"/>
          <w:szCs w:val="28"/>
        </w:rPr>
      </w:pPr>
      <w:r w:rsidRPr="00640152">
        <w:rPr>
          <w:rFonts w:asciiTheme="majorBidi" w:hAnsiTheme="majorBidi" w:cstheme="majorBidi"/>
          <w:b/>
          <w:bCs/>
          <w:sz w:val="28"/>
          <w:szCs w:val="28"/>
        </w:rPr>
        <w:t>First: Safeguards Against Torture</w:t>
      </w:r>
    </w:p>
    <w:p w14:paraId="338D91A2"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t>There remains a significant shortfall in the legislative, administrative, and judicial procedures that should prevent acts of torture in Israel. Currently, there is no law in Israel that explicitly and absolutely prohibits torture.</w:t>
      </w:r>
      <w:r w:rsidRPr="00640152">
        <w:rPr>
          <w:rStyle w:val="FootnoteReference"/>
          <w:rFonts w:asciiTheme="majorBidi" w:hAnsiTheme="majorBidi" w:cstheme="majorBidi"/>
          <w:sz w:val="24"/>
          <w:szCs w:val="24"/>
        </w:rPr>
        <w:footnoteReference w:id="1"/>
      </w:r>
      <w:r w:rsidRPr="00640152">
        <w:rPr>
          <w:rFonts w:asciiTheme="majorBidi" w:hAnsiTheme="majorBidi" w:cstheme="majorBidi"/>
          <w:sz w:val="24"/>
          <w:szCs w:val="24"/>
        </w:rPr>
        <w:t xml:space="preserve"> On the contrary, </w:t>
      </w: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xml:space="preserve"> has noted that since October 2023, Israeli authorities have introduced amendments that raise serious concerns regarding certain laws that would create a legal environment conducive to torture and ill-treatment by security forces, instead of serving as preventive safeguards against such practices. Among the most notable changes is the amendment to the Arrest Law of 1990 on October 24, 2023, which altered Article 35 of the law to allow Israeli authorities to prevent a detained person from meeting with their lawyer for a maximum of 21 days. The amendment extended this period to 90 days, and in January 2024, a second amendment to the same article further increased the duration to 180 days. Additionally, the amendment to the Israeli Criminal Procedure Law of 1996 on November 7, 2023, mandated a compulsory detention period of 45 days instead of the previous 15 days, with judges lacking the authority to shorten this duration. The second extension was also set at 45 days instead of 15, but with the allowance for judges to reduce the time. Concerning Article 59, which previously mandated the release of a detainee if no charges were filed against them after 75 days of detention, this provision has become ineffective.</w:t>
      </w:r>
      <w:r w:rsidRPr="00640152">
        <w:rPr>
          <w:rStyle w:val="FootnoteReference"/>
          <w:rFonts w:asciiTheme="majorBidi" w:hAnsiTheme="majorBidi" w:cstheme="majorBidi"/>
          <w:sz w:val="24"/>
          <w:szCs w:val="24"/>
        </w:rPr>
        <w:footnoteReference w:id="2"/>
      </w:r>
      <w:r w:rsidRPr="00640152">
        <w:rPr>
          <w:rFonts w:asciiTheme="majorBidi" w:hAnsiTheme="majorBidi" w:cstheme="majorBidi"/>
          <w:sz w:val="24"/>
          <w:szCs w:val="24"/>
        </w:rPr>
        <w:t xml:space="preserve"> Moreover, the amendments to the law concerning unlawful </w:t>
      </w:r>
      <w:r w:rsidRPr="00640152">
        <w:rPr>
          <w:rFonts w:asciiTheme="majorBidi" w:hAnsiTheme="majorBidi" w:cstheme="majorBidi"/>
          <w:sz w:val="24"/>
          <w:szCs w:val="24"/>
        </w:rPr>
        <w:lastRenderedPageBreak/>
        <w:t>combatants in December 2023 granted expanded powers to the internal security service (Shabak) and the military, allowing for the detention of individuals for up to 45 days without a court order and delaying their ability to communicate with lawyers for periods exceeding 75 days.</w:t>
      </w:r>
      <w:r w:rsidRPr="00640152">
        <w:rPr>
          <w:rStyle w:val="FootnoteReference"/>
          <w:rFonts w:asciiTheme="majorBidi" w:hAnsiTheme="majorBidi" w:cstheme="majorBidi"/>
          <w:sz w:val="24"/>
          <w:szCs w:val="24"/>
        </w:rPr>
        <w:footnoteReference w:id="3"/>
      </w:r>
    </w:p>
    <w:p w14:paraId="5918BF87" w14:textId="77777777" w:rsidR="00640152" w:rsidRPr="00640152" w:rsidRDefault="00640152" w:rsidP="00640152">
      <w:pPr>
        <w:rPr>
          <w:rFonts w:asciiTheme="majorBidi" w:hAnsiTheme="majorBidi" w:cstheme="majorBidi"/>
          <w:sz w:val="24"/>
          <w:szCs w:val="24"/>
        </w:rPr>
      </w:pP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xml:space="preserve"> asserts that this expansion of detention periods without independent judicial review does not provide any real guarantees against torture or other forms of cruel, degrading, and inhuman treatment. Furthermore, these amendments violate the second paragraph of Article 2 of the convention, which prohibits the invocation of emergency situations or armed conflicts as a justification for any acts of torture. These amendments were enacted in the context of the Israeli war on the Gaza Strip since October 2023 and thereafter, utilizing exceptional security conditions as a pretext to enact measures that violate the fundamental rights of detainees, including the prevention of torture.</w:t>
      </w:r>
    </w:p>
    <w:p w14:paraId="2578896B" w14:textId="77777777" w:rsidR="00640152" w:rsidRPr="00640152" w:rsidRDefault="00640152" w:rsidP="00640152">
      <w:pPr>
        <w:shd w:val="clear" w:color="auto" w:fill="E2EFD9" w:themeFill="accent6" w:themeFillTint="33"/>
        <w:rPr>
          <w:rFonts w:asciiTheme="majorBidi" w:hAnsiTheme="majorBidi" w:cstheme="majorBidi"/>
          <w:b/>
          <w:bCs/>
          <w:sz w:val="28"/>
          <w:szCs w:val="28"/>
        </w:rPr>
      </w:pPr>
      <w:r w:rsidRPr="00640152">
        <w:rPr>
          <w:rFonts w:asciiTheme="majorBidi" w:hAnsiTheme="majorBidi" w:cstheme="majorBidi"/>
          <w:b/>
          <w:bCs/>
          <w:sz w:val="28"/>
          <w:szCs w:val="28"/>
        </w:rPr>
        <w:t>Second: Forced Displacement and Eviction of Civilians</w:t>
      </w:r>
    </w:p>
    <w:p w14:paraId="1C3C8C83"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t>The practices of Israeli authorities demonstrate a systematic continuation of violations against the absolute prohibition of the principle of non-refoulement, including forced displacement. Israel is forcibly deporting individuals and groups without conducting a genuine assessment of whether these individuals are at risk in the third countries to which they seek refuge. In the West Bank, Jerusalem, and Gaza Strip, Israel has used eviction orders to exacerbate the suffering of Palestinian civilians, despite being aware that these actions place populations in dangerous conditions and violate their right to protection from cruel treatment. Since the beginning of 2025, the Israeli occupying authority has issued 35 orders for forced displacement in the Gaza Strip, affecting approximately one million people.</w:t>
      </w:r>
      <w:r w:rsidRPr="00640152">
        <w:rPr>
          <w:rStyle w:val="FootnoteReference"/>
          <w:rFonts w:asciiTheme="majorBidi" w:hAnsiTheme="majorBidi" w:cstheme="majorBidi"/>
          <w:sz w:val="24"/>
          <w:szCs w:val="24"/>
        </w:rPr>
        <w:footnoteReference w:id="4"/>
      </w:r>
      <w:r w:rsidRPr="00640152">
        <w:rPr>
          <w:rFonts w:asciiTheme="majorBidi" w:hAnsiTheme="majorBidi" w:cstheme="majorBidi"/>
          <w:sz w:val="24"/>
          <w:szCs w:val="24"/>
        </w:rPr>
        <w:t xml:space="preserve"> Collective forced displacement has been used as a systematic military tool, forcing hundreds of thousands of Palestinian civilians to flee from northern and central Gaza to the south, then crowding tens of thousands of them into densely populated areas under catastrophic humanitarian conditions characterized by a lack of shelter, food, water, and healthcare. These practices constitute a clear violation of Article 3 of the convention, exposing Palestinian civilians to conditions involving cruel, inhuman, and degrading treatment, placing them at serious risk of deprivation of basic necessities for life, in addition to the ongoing threat of military targeting. Therefore, the forced transfer and crowding of civilians into unsafe areas represent a breach of international obligations that categorically prohibit, without exception, the transfer or relocation of individuals to places where they face the risk of torture or ill-treatment.</w:t>
      </w:r>
      <w:r w:rsidRPr="00640152">
        <w:rPr>
          <w:rStyle w:val="FootnoteReference"/>
          <w:rFonts w:asciiTheme="majorBidi" w:hAnsiTheme="majorBidi" w:cstheme="majorBidi"/>
          <w:sz w:val="24"/>
          <w:szCs w:val="24"/>
        </w:rPr>
        <w:footnoteReference w:id="5"/>
      </w:r>
    </w:p>
    <w:p w14:paraId="59E751BC"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lastRenderedPageBreak/>
        <w:t xml:space="preserve">On another note, the West Bank has witnessed an unprecedented wave of forced displacement since January 2025, following the launch of a large-scale Israeli military operation known as "Iron Wall," which began in the Jenin camp and extended to the camps of </w:t>
      </w:r>
      <w:proofErr w:type="spellStart"/>
      <w:r w:rsidRPr="00640152">
        <w:rPr>
          <w:rFonts w:asciiTheme="majorBidi" w:hAnsiTheme="majorBidi" w:cstheme="majorBidi"/>
          <w:sz w:val="24"/>
          <w:szCs w:val="24"/>
        </w:rPr>
        <w:t>Tulkarm</w:t>
      </w:r>
      <w:proofErr w:type="spellEnd"/>
      <w:r w:rsidRPr="00640152">
        <w:rPr>
          <w:rFonts w:asciiTheme="majorBidi" w:hAnsiTheme="majorBidi" w:cstheme="majorBidi"/>
          <w:sz w:val="24"/>
          <w:szCs w:val="24"/>
        </w:rPr>
        <w:t>, Nour Shams, and Al-</w:t>
      </w:r>
      <w:proofErr w:type="spellStart"/>
      <w:r w:rsidRPr="00640152">
        <w:rPr>
          <w:rFonts w:asciiTheme="majorBidi" w:hAnsiTheme="majorBidi" w:cstheme="majorBidi"/>
          <w:sz w:val="24"/>
          <w:szCs w:val="24"/>
        </w:rPr>
        <w:t>Far'a</w:t>
      </w:r>
      <w:proofErr w:type="spellEnd"/>
      <w:r w:rsidRPr="00640152">
        <w:rPr>
          <w:rFonts w:asciiTheme="majorBidi" w:hAnsiTheme="majorBidi" w:cstheme="majorBidi"/>
          <w:sz w:val="24"/>
          <w:szCs w:val="24"/>
        </w:rPr>
        <w:t xml:space="preserve">. This operation resulted in the displacement of nearly 40,000 Palestinians within just three weeks, marking the longest displacement operation in the West Bank since the Second Intifada. These operations involved excessive use of force through airstrikes, armored bulldozers, and explosions, rendering the camps uninhabitable and leading to repeated waves of displacement. This situation has exposed tens of thousands of Palestinians to the risk of returning or being displaced to places where they may face inhumane conditions or various forms of ill-treatment and physical and psychological suffering, especially given the Israeli authorities' prevention of UN relief agencies, such as UNRWA, from providing urgent humanitarian assistance. In January 2022, Israeli authorities forcibly evicted the </w:t>
      </w:r>
      <w:bookmarkStart w:id="0" w:name="OLE_LINK2"/>
      <w:proofErr w:type="spellStart"/>
      <w:r w:rsidRPr="00640152">
        <w:rPr>
          <w:rFonts w:asciiTheme="majorBidi" w:hAnsiTheme="majorBidi" w:cstheme="majorBidi"/>
          <w:sz w:val="24"/>
          <w:szCs w:val="24"/>
        </w:rPr>
        <w:t>Salhiya</w:t>
      </w:r>
      <w:proofErr w:type="spellEnd"/>
      <w:r w:rsidRPr="00640152">
        <w:rPr>
          <w:rFonts w:asciiTheme="majorBidi" w:hAnsiTheme="majorBidi" w:cstheme="majorBidi"/>
          <w:sz w:val="24"/>
          <w:szCs w:val="24"/>
        </w:rPr>
        <w:t xml:space="preserve"> family in the Sheikh Jarrah </w:t>
      </w:r>
      <w:bookmarkEnd w:id="0"/>
      <w:r w:rsidRPr="00640152">
        <w:rPr>
          <w:rFonts w:asciiTheme="majorBidi" w:hAnsiTheme="majorBidi" w:cstheme="majorBidi"/>
          <w:sz w:val="24"/>
          <w:szCs w:val="24"/>
        </w:rPr>
        <w:t>neighborhood of East Jerusalem after raiding their home and arresting several family members, then demolishing the house with bulldozers, leading to their forced displacement despite having lived in the home since the 1950s after being expelled from the Ein Karem neighborhood in 1948.</w:t>
      </w:r>
      <w:r w:rsidRPr="00640152">
        <w:rPr>
          <w:rStyle w:val="FootnoteReference"/>
          <w:rFonts w:asciiTheme="majorBidi" w:hAnsiTheme="majorBidi" w:cstheme="majorBidi"/>
          <w:sz w:val="24"/>
          <w:szCs w:val="24"/>
        </w:rPr>
        <w:footnoteReference w:id="6"/>
      </w:r>
    </w:p>
    <w:p w14:paraId="1A377277" w14:textId="77777777" w:rsidR="00640152" w:rsidRPr="00640152" w:rsidRDefault="00640152" w:rsidP="00640152">
      <w:pPr>
        <w:shd w:val="clear" w:color="auto" w:fill="E2EFD9" w:themeFill="accent6" w:themeFillTint="33"/>
        <w:rPr>
          <w:rFonts w:asciiTheme="majorBidi" w:hAnsiTheme="majorBidi" w:cstheme="majorBidi"/>
          <w:b/>
          <w:bCs/>
          <w:sz w:val="28"/>
          <w:szCs w:val="28"/>
        </w:rPr>
      </w:pPr>
      <w:r w:rsidRPr="00640152">
        <w:rPr>
          <w:rFonts w:asciiTheme="majorBidi" w:hAnsiTheme="majorBidi" w:cstheme="majorBidi"/>
          <w:b/>
          <w:bCs/>
          <w:sz w:val="28"/>
          <w:szCs w:val="28"/>
        </w:rPr>
        <w:t>Third: Interrogation Rules and Detention Arrangements</w:t>
      </w:r>
    </w:p>
    <w:p w14:paraId="5C2EF88D"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t>As of the writing of this report, Israeli authorities have not adhered to establishing clear rules for interrogation and special measures for the detention and treatment of detainees to prevent torture or other forms of cruel, inhuman, or degrading treatment. Actual practices reveal systematic conduct, manifested in secret detention without contact with the outside world, prolonged solitary confinement, and the use of physical and psychological pressure during interrogation. Methods leading to torture or cruel treatment have been employed, including physical and psychological pressure such as sleep deprivation, beatings, sexual threats, and denial of medical treatment during interrogation.</w:t>
      </w:r>
      <w:r w:rsidRPr="00640152">
        <w:rPr>
          <w:rStyle w:val="FootnoteReference"/>
          <w:rFonts w:asciiTheme="majorBidi" w:hAnsiTheme="majorBidi" w:cstheme="majorBidi"/>
          <w:sz w:val="24"/>
          <w:szCs w:val="24"/>
        </w:rPr>
        <w:footnoteReference w:id="7"/>
      </w:r>
    </w:p>
    <w:p w14:paraId="11021157"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t xml:space="preserve">In this context, a recent case revealed the extent of violations within Israeli detention centers. In 2024, an Israeli soldier was convicted after being found guilty of repeatedly inflicting brutal assaults on Palestinian detainees at the </w:t>
      </w:r>
      <w:proofErr w:type="spellStart"/>
      <w:r w:rsidRPr="00640152">
        <w:rPr>
          <w:rFonts w:asciiTheme="majorBidi" w:hAnsiTheme="majorBidi" w:cstheme="majorBidi"/>
          <w:sz w:val="24"/>
          <w:szCs w:val="24"/>
        </w:rPr>
        <w:t>Sde</w:t>
      </w:r>
      <w:proofErr w:type="spellEnd"/>
      <w:r w:rsidRPr="00640152">
        <w:rPr>
          <w:rFonts w:asciiTheme="majorBidi" w:hAnsiTheme="majorBidi" w:cstheme="majorBidi"/>
          <w:sz w:val="24"/>
          <w:szCs w:val="24"/>
        </w:rPr>
        <w:t xml:space="preserve"> </w:t>
      </w:r>
      <w:proofErr w:type="spellStart"/>
      <w:r w:rsidRPr="00640152">
        <w:rPr>
          <w:rFonts w:asciiTheme="majorBidi" w:hAnsiTheme="majorBidi" w:cstheme="majorBidi"/>
          <w:sz w:val="24"/>
          <w:szCs w:val="24"/>
        </w:rPr>
        <w:t>Teiman</w:t>
      </w:r>
      <w:proofErr w:type="spellEnd"/>
      <w:r w:rsidRPr="00640152">
        <w:rPr>
          <w:rFonts w:asciiTheme="majorBidi" w:hAnsiTheme="majorBidi" w:cstheme="majorBidi"/>
          <w:sz w:val="24"/>
          <w:szCs w:val="24"/>
        </w:rPr>
        <w:t xml:space="preserve"> center between January and June 2024. Video evidence showed him beating restrained and blindfolded detainees with his fists and weapon, forcing them to make animal sounds and repeat humiliating phrases despite their cries of pain. This conviction is rare after two years of war in Gaza; however, several reports confirmed it was not a deterrent and occurred amidst the unexplained deaths of dozens of detainees, alongside </w:t>
      </w:r>
      <w:r w:rsidRPr="00640152">
        <w:rPr>
          <w:rFonts w:asciiTheme="majorBidi" w:hAnsiTheme="majorBidi" w:cstheme="majorBidi"/>
          <w:sz w:val="24"/>
          <w:szCs w:val="24"/>
        </w:rPr>
        <w:lastRenderedPageBreak/>
        <w:t>testimonies indicating a widespread pattern of torture and ill-treatment, reflecting the absence of any effective system for reviewing interrogation and detention rules.</w:t>
      </w:r>
      <w:r w:rsidRPr="00640152">
        <w:rPr>
          <w:rStyle w:val="FootnoteReference"/>
          <w:rFonts w:asciiTheme="majorBidi" w:hAnsiTheme="majorBidi" w:cstheme="majorBidi"/>
          <w:sz w:val="24"/>
          <w:szCs w:val="24"/>
        </w:rPr>
        <w:footnoteReference w:id="8"/>
      </w:r>
    </w:p>
    <w:p w14:paraId="17600176" w14:textId="77777777" w:rsidR="00640152" w:rsidRPr="00640152" w:rsidRDefault="00640152" w:rsidP="00640152">
      <w:pPr>
        <w:shd w:val="clear" w:color="auto" w:fill="E2EFD9" w:themeFill="accent6" w:themeFillTint="33"/>
        <w:rPr>
          <w:rFonts w:asciiTheme="majorBidi" w:hAnsiTheme="majorBidi" w:cstheme="majorBidi"/>
          <w:b/>
          <w:bCs/>
          <w:sz w:val="28"/>
          <w:szCs w:val="28"/>
        </w:rPr>
      </w:pPr>
      <w:r w:rsidRPr="00640152">
        <w:rPr>
          <w:rFonts w:asciiTheme="majorBidi" w:hAnsiTheme="majorBidi" w:cstheme="majorBidi"/>
          <w:b/>
          <w:bCs/>
          <w:sz w:val="28"/>
          <w:szCs w:val="28"/>
        </w:rPr>
        <w:t>Fourth: Complaints Regarding Allegations of Torture</w:t>
      </w:r>
    </w:p>
    <w:p w14:paraId="5924D0F3"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t>The complaint mechanisms for allegations of torture in Israel lack the independence, effectiveness, and transparency necessary for genuine accountability. These mechanisms are managed within government authorities themselves, creating a fundamental conflict of interest that hinders true accountability. Moreover, these mechanisms are characterized by a formalistic nature, where complaints are received and investigated bureaucratically without clear results or actual redress for victims. For instance, the outcomes of the investigations by the unit responsible for probing the Israeli Security Agency (ISA) interrogators, known as "</w:t>
      </w:r>
      <w:proofErr w:type="spellStart"/>
      <w:r w:rsidRPr="00640152">
        <w:rPr>
          <w:rFonts w:asciiTheme="majorBidi" w:hAnsiTheme="majorBidi" w:cstheme="majorBidi"/>
          <w:sz w:val="24"/>
          <w:szCs w:val="24"/>
        </w:rPr>
        <w:t>Mavtan</w:t>
      </w:r>
      <w:proofErr w:type="spellEnd"/>
      <w:r w:rsidRPr="00640152">
        <w:rPr>
          <w:rFonts w:asciiTheme="majorBidi" w:hAnsiTheme="majorBidi" w:cstheme="majorBidi"/>
          <w:sz w:val="24"/>
          <w:szCs w:val="24"/>
        </w:rPr>
        <w:t>," reveal significant shortcomings. Since its establishment, it has reviewed over 1,450 complaints, yet none have led to criminal charges, reflecting a systematic failure to provide effective remedies and rendering the right to lodge a complaint a mere procedural formality without practical impact.</w:t>
      </w:r>
      <w:r w:rsidRPr="00640152">
        <w:rPr>
          <w:rStyle w:val="FootnoteReference"/>
          <w:rFonts w:asciiTheme="majorBidi" w:hAnsiTheme="majorBidi" w:cstheme="majorBidi"/>
          <w:sz w:val="24"/>
          <w:szCs w:val="24"/>
        </w:rPr>
        <w:footnoteReference w:id="9"/>
      </w:r>
    </w:p>
    <w:p w14:paraId="7470E63F" w14:textId="77777777" w:rsidR="00640152" w:rsidRPr="00640152" w:rsidRDefault="00640152" w:rsidP="00640152">
      <w:pPr>
        <w:rPr>
          <w:rFonts w:asciiTheme="majorBidi" w:hAnsiTheme="majorBidi" w:cstheme="majorBidi"/>
          <w:sz w:val="24"/>
          <w:szCs w:val="24"/>
        </w:rPr>
      </w:pPr>
      <w:r w:rsidRPr="00640152">
        <w:rPr>
          <w:rFonts w:asciiTheme="majorBidi" w:hAnsiTheme="majorBidi" w:cstheme="majorBidi"/>
          <w:sz w:val="24"/>
          <w:szCs w:val="24"/>
        </w:rPr>
        <w:t>Additionally, the practices of Israeli authorities themselves represent a barrier for individuals wishing to file complaints related to torture. Complainants often face direct threats or retaliatory actions against them or their families. For example, the atmosphere of intimidation drives many victims to refrain from filing complaints or reporting the torture they endured for fear of their lives and the safety of their families. This clearly contradicts Article 13 of the convention, which obliges the state not only to enable individuals to file complaints but also to ensure their protection from any retaliatory acts related to those complaints.</w:t>
      </w:r>
      <w:r w:rsidRPr="00640152">
        <w:rPr>
          <w:rStyle w:val="FootnoteReference"/>
          <w:rFonts w:asciiTheme="majorBidi" w:hAnsiTheme="majorBidi" w:cstheme="majorBidi"/>
          <w:sz w:val="24"/>
          <w:szCs w:val="24"/>
        </w:rPr>
        <w:footnoteReference w:id="10"/>
      </w:r>
    </w:p>
    <w:p w14:paraId="2A3DF546" w14:textId="77777777" w:rsidR="00640152" w:rsidRPr="00BE3CFF" w:rsidRDefault="00640152" w:rsidP="00BE3CFF">
      <w:pPr>
        <w:shd w:val="clear" w:color="auto" w:fill="E2EFD9" w:themeFill="accent6" w:themeFillTint="33"/>
        <w:rPr>
          <w:rFonts w:asciiTheme="majorBidi" w:hAnsiTheme="majorBidi" w:cstheme="majorBidi"/>
          <w:b/>
          <w:bCs/>
          <w:sz w:val="28"/>
          <w:szCs w:val="28"/>
        </w:rPr>
      </w:pPr>
      <w:r w:rsidRPr="00BE3CFF">
        <w:rPr>
          <w:rFonts w:asciiTheme="majorBidi" w:hAnsiTheme="majorBidi" w:cstheme="majorBidi"/>
          <w:b/>
          <w:bCs/>
          <w:sz w:val="28"/>
          <w:szCs w:val="28"/>
        </w:rPr>
        <w:t>Fifth: Extraction of Confessions Under Torture</w:t>
      </w:r>
    </w:p>
    <w:p w14:paraId="25F757F9" w14:textId="77777777" w:rsidR="00640152" w:rsidRPr="00640152" w:rsidRDefault="00640152" w:rsidP="00BE3CFF">
      <w:pPr>
        <w:rPr>
          <w:rFonts w:asciiTheme="majorBidi" w:hAnsiTheme="majorBidi" w:cstheme="majorBidi"/>
          <w:sz w:val="24"/>
          <w:szCs w:val="24"/>
        </w:rPr>
      </w:pPr>
      <w:r w:rsidRPr="00640152">
        <w:rPr>
          <w:rFonts w:asciiTheme="majorBidi" w:hAnsiTheme="majorBidi" w:cstheme="majorBidi"/>
          <w:sz w:val="24"/>
          <w:szCs w:val="24"/>
        </w:rPr>
        <w:t xml:space="preserve">Israel has used torture and ill-treatment as tools to extract confessions from detainees. </w:t>
      </w: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xml:space="preserve"> has documented several cases where Israeli security forces employed torture and degrading treatment to obtain confessions, in violation of Article 15 of the convention. For instance, "R. Z.," a 30-year-old resident of the Al-Zeitoun neighborhood in Gaza, reported that during his interrogation, he was asked about the whereabouts of a Palestinian faction leader. They pressured him to confess to return home, and after he responded that he did not know his location, they applied an electric </w:t>
      </w:r>
      <w:r w:rsidRPr="00640152">
        <w:rPr>
          <w:rFonts w:asciiTheme="majorBidi" w:hAnsiTheme="majorBidi" w:cstheme="majorBidi"/>
          <w:sz w:val="24"/>
          <w:szCs w:val="24"/>
        </w:rPr>
        <w:lastRenderedPageBreak/>
        <w:t xml:space="preserve">device to his neck, delivering a shock that pushed him forward while he was detained at </w:t>
      </w:r>
      <w:bookmarkStart w:id="1" w:name="OLE_LINK3"/>
      <w:proofErr w:type="spellStart"/>
      <w:r w:rsidRPr="00640152">
        <w:rPr>
          <w:rFonts w:asciiTheme="majorBidi" w:hAnsiTheme="majorBidi" w:cstheme="majorBidi"/>
          <w:sz w:val="24"/>
          <w:szCs w:val="24"/>
        </w:rPr>
        <w:t>Ketziot</w:t>
      </w:r>
      <w:proofErr w:type="spellEnd"/>
      <w:r w:rsidRPr="00640152">
        <w:rPr>
          <w:rFonts w:asciiTheme="majorBidi" w:hAnsiTheme="majorBidi" w:cstheme="majorBidi"/>
          <w:sz w:val="24"/>
          <w:szCs w:val="24"/>
        </w:rPr>
        <w:t xml:space="preserve"> in the Negev</w:t>
      </w:r>
      <w:bookmarkEnd w:id="1"/>
      <w:r w:rsidRPr="00640152">
        <w:rPr>
          <w:rFonts w:asciiTheme="majorBidi" w:hAnsiTheme="majorBidi" w:cstheme="majorBidi"/>
          <w:sz w:val="24"/>
          <w:szCs w:val="24"/>
        </w:rPr>
        <w:t>.</w:t>
      </w:r>
      <w:r w:rsidRPr="00640152">
        <w:rPr>
          <w:rStyle w:val="FootnoteReference"/>
          <w:rFonts w:asciiTheme="majorBidi" w:hAnsiTheme="majorBidi" w:cstheme="majorBidi"/>
          <w:sz w:val="24"/>
          <w:szCs w:val="24"/>
        </w:rPr>
        <w:footnoteReference w:id="11"/>
      </w:r>
    </w:p>
    <w:p w14:paraId="1CF6A142" w14:textId="77777777" w:rsidR="00640152" w:rsidRPr="00640152" w:rsidRDefault="00640152" w:rsidP="00B4775B">
      <w:pPr>
        <w:rPr>
          <w:rFonts w:asciiTheme="majorBidi" w:hAnsiTheme="majorBidi" w:cstheme="majorBidi"/>
          <w:sz w:val="24"/>
          <w:szCs w:val="24"/>
        </w:rPr>
      </w:pPr>
      <w:r w:rsidRPr="00640152">
        <w:rPr>
          <w:rFonts w:asciiTheme="majorBidi" w:hAnsiTheme="majorBidi" w:cstheme="majorBidi"/>
          <w:sz w:val="24"/>
          <w:szCs w:val="24"/>
        </w:rPr>
        <w:t xml:space="preserve">Another testimony reviewed by </w:t>
      </w: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xml:space="preserve"> came from "M. N.," an 18-year-old from Jenin province, who was imprisoned at Megiddo prison in northern Israel. According to his testimony, when asked if he belonged to Palestinian factions and he answered that he was merely a prisoner, the guard ordered the soldiers to attack him along with a group of other prisoners. They were subjected to various forms of torture, including kicking and beating with batons all over their bodies, with these assaults lasting for several minutes. Torture practices to extract confessions are not limited to male prisoners. According to a testimony documented by </w:t>
      </w:r>
      <w:proofErr w:type="spellStart"/>
      <w:r w:rsidRPr="00640152">
        <w:rPr>
          <w:rFonts w:asciiTheme="majorBidi" w:hAnsiTheme="majorBidi" w:cstheme="majorBidi"/>
          <w:sz w:val="24"/>
          <w:szCs w:val="24"/>
        </w:rPr>
        <w:t>Elizka</w:t>
      </w:r>
      <w:proofErr w:type="spellEnd"/>
      <w:r w:rsidRPr="00640152">
        <w:rPr>
          <w:rFonts w:asciiTheme="majorBidi" w:hAnsiTheme="majorBidi" w:cstheme="majorBidi"/>
          <w:sz w:val="24"/>
          <w:szCs w:val="24"/>
        </w:rPr>
        <w:t>, "N. H.," a girl from East Jerusalem who was detained in the women's section of Damon prison, reported that after October 7, 2023, the prison administration halted treatment and medications for female detainees. They extorted the inmates who needed treatment for information about their plans to protest the punitive policies in the prison.</w:t>
      </w:r>
    </w:p>
    <w:p w14:paraId="3C95247D" w14:textId="77777777" w:rsidR="00640152" w:rsidRPr="00B4775B" w:rsidRDefault="00640152" w:rsidP="00B4775B">
      <w:pPr>
        <w:shd w:val="clear" w:color="auto" w:fill="E2EFD9" w:themeFill="accent6" w:themeFillTint="33"/>
        <w:rPr>
          <w:rFonts w:asciiTheme="majorBidi" w:hAnsiTheme="majorBidi" w:cstheme="majorBidi"/>
          <w:b/>
          <w:bCs/>
          <w:sz w:val="28"/>
          <w:szCs w:val="28"/>
        </w:rPr>
      </w:pPr>
      <w:r w:rsidRPr="00B4775B">
        <w:rPr>
          <w:rFonts w:asciiTheme="majorBidi" w:hAnsiTheme="majorBidi" w:cstheme="majorBidi"/>
          <w:b/>
          <w:bCs/>
          <w:sz w:val="28"/>
          <w:szCs w:val="28"/>
        </w:rPr>
        <w:t>Recommendations</w:t>
      </w:r>
    </w:p>
    <w:p w14:paraId="40A59C23" w14:textId="77777777" w:rsidR="00640152" w:rsidRPr="00640152" w:rsidRDefault="00640152" w:rsidP="00640152">
      <w:pPr>
        <w:numPr>
          <w:ilvl w:val="0"/>
          <w:numId w:val="9"/>
        </w:numPr>
        <w:spacing w:before="0" w:beforeAutospacing="0" w:after="160" w:afterAutospacing="0" w:line="276" w:lineRule="auto"/>
        <w:rPr>
          <w:rFonts w:asciiTheme="majorBidi" w:hAnsiTheme="majorBidi" w:cstheme="majorBidi"/>
          <w:sz w:val="24"/>
          <w:szCs w:val="24"/>
        </w:rPr>
      </w:pPr>
      <w:r w:rsidRPr="00640152">
        <w:rPr>
          <w:rFonts w:asciiTheme="majorBidi" w:hAnsiTheme="majorBidi" w:cstheme="majorBidi"/>
          <w:sz w:val="24"/>
          <w:szCs w:val="24"/>
        </w:rPr>
        <w:t>Encourage Israel to adopt a comprehensive law that explicitly and absolutely prohibits torture, ensuring that any subsequent legislative or administrative amendments cannot diminish individual protections or legitimize acts of torture or cruel treatment.</w:t>
      </w:r>
    </w:p>
    <w:p w14:paraId="2C63C48E" w14:textId="77777777" w:rsidR="00640152" w:rsidRPr="00640152" w:rsidRDefault="00640152" w:rsidP="00640152">
      <w:pPr>
        <w:numPr>
          <w:ilvl w:val="0"/>
          <w:numId w:val="9"/>
        </w:numPr>
        <w:spacing w:before="0" w:beforeAutospacing="0" w:after="160" w:afterAutospacing="0" w:line="276" w:lineRule="auto"/>
        <w:rPr>
          <w:rFonts w:asciiTheme="majorBidi" w:hAnsiTheme="majorBidi" w:cstheme="majorBidi"/>
          <w:sz w:val="24"/>
          <w:szCs w:val="24"/>
        </w:rPr>
      </w:pPr>
      <w:r w:rsidRPr="00640152">
        <w:rPr>
          <w:rFonts w:asciiTheme="majorBidi" w:hAnsiTheme="majorBidi" w:cstheme="majorBidi"/>
          <w:sz w:val="24"/>
          <w:szCs w:val="24"/>
        </w:rPr>
        <w:t>Consider the repeal of any legal amendments enacted since October 7, 2023, that violate the principles and provisions of the Convention Against Torture.</w:t>
      </w:r>
    </w:p>
    <w:p w14:paraId="0A784D43" w14:textId="77777777" w:rsidR="00640152" w:rsidRPr="00640152" w:rsidRDefault="00640152" w:rsidP="00640152">
      <w:pPr>
        <w:numPr>
          <w:ilvl w:val="0"/>
          <w:numId w:val="9"/>
        </w:numPr>
        <w:spacing w:before="0" w:beforeAutospacing="0" w:after="160" w:afterAutospacing="0" w:line="276" w:lineRule="auto"/>
        <w:rPr>
          <w:rFonts w:asciiTheme="majorBidi" w:hAnsiTheme="majorBidi" w:cstheme="majorBidi"/>
          <w:sz w:val="24"/>
          <w:szCs w:val="24"/>
        </w:rPr>
      </w:pPr>
      <w:r w:rsidRPr="00640152">
        <w:rPr>
          <w:rFonts w:asciiTheme="majorBidi" w:hAnsiTheme="majorBidi" w:cstheme="majorBidi"/>
          <w:sz w:val="24"/>
          <w:szCs w:val="24"/>
        </w:rPr>
        <w:t>Urge the committee to encourage the Israeli government to abandon any plans that would lead to the forced displacement of Palestinians, ensuring that no individual is transferred to a location where they face the risk of torture or cruel, inhuman, or degrading treatment.</w:t>
      </w:r>
    </w:p>
    <w:p w14:paraId="4438B65E" w14:textId="77777777" w:rsidR="00640152" w:rsidRPr="00640152" w:rsidRDefault="00640152" w:rsidP="00640152">
      <w:pPr>
        <w:numPr>
          <w:ilvl w:val="0"/>
          <w:numId w:val="9"/>
        </w:numPr>
        <w:spacing w:before="0" w:beforeAutospacing="0" w:after="160" w:afterAutospacing="0" w:line="276" w:lineRule="auto"/>
        <w:rPr>
          <w:rFonts w:asciiTheme="majorBidi" w:hAnsiTheme="majorBidi" w:cstheme="majorBidi"/>
          <w:sz w:val="24"/>
          <w:szCs w:val="24"/>
        </w:rPr>
      </w:pPr>
      <w:r w:rsidRPr="00640152">
        <w:rPr>
          <w:rFonts w:asciiTheme="majorBidi" w:hAnsiTheme="majorBidi" w:cstheme="majorBidi"/>
          <w:sz w:val="24"/>
          <w:szCs w:val="24"/>
        </w:rPr>
        <w:t>Call on Israel to establish clear and written rules and procedures for interrogations that comply with international human rights standards, including a prohibition on any interrogation methods that constitute torture or cruel or degrading treatment, with mandatory training for all personnel in detention centers on these standards and monitoring compliance.</w:t>
      </w:r>
    </w:p>
    <w:p w14:paraId="4EB9025F" w14:textId="77777777" w:rsidR="00640152" w:rsidRPr="00640152" w:rsidRDefault="00640152" w:rsidP="00640152">
      <w:pPr>
        <w:numPr>
          <w:ilvl w:val="0"/>
          <w:numId w:val="9"/>
        </w:numPr>
        <w:spacing w:before="0" w:beforeAutospacing="0" w:after="160" w:afterAutospacing="0" w:line="276" w:lineRule="auto"/>
        <w:rPr>
          <w:rFonts w:asciiTheme="majorBidi" w:hAnsiTheme="majorBidi" w:cstheme="majorBidi"/>
          <w:sz w:val="24"/>
          <w:szCs w:val="24"/>
        </w:rPr>
      </w:pPr>
      <w:r w:rsidRPr="00640152">
        <w:rPr>
          <w:rFonts w:asciiTheme="majorBidi" w:hAnsiTheme="majorBidi" w:cstheme="majorBidi"/>
          <w:sz w:val="24"/>
          <w:szCs w:val="24"/>
        </w:rPr>
        <w:t>Urge the Israeli government to reform the laws and regulations governing the operations of the Israeli Security Agency (Shabak).</w:t>
      </w:r>
    </w:p>
    <w:p w14:paraId="2A9CE8A1" w14:textId="77777777" w:rsidR="00640152" w:rsidRPr="00640152" w:rsidRDefault="00640152" w:rsidP="00640152">
      <w:pPr>
        <w:numPr>
          <w:ilvl w:val="0"/>
          <w:numId w:val="9"/>
        </w:numPr>
        <w:spacing w:before="0" w:beforeAutospacing="0" w:after="160" w:afterAutospacing="0" w:line="276" w:lineRule="auto"/>
        <w:rPr>
          <w:rFonts w:asciiTheme="majorBidi" w:hAnsiTheme="majorBidi" w:cstheme="majorBidi"/>
          <w:sz w:val="24"/>
          <w:szCs w:val="24"/>
        </w:rPr>
      </w:pPr>
      <w:r w:rsidRPr="00640152">
        <w:rPr>
          <w:rFonts w:asciiTheme="majorBidi" w:hAnsiTheme="majorBidi" w:cstheme="majorBidi"/>
          <w:sz w:val="24"/>
          <w:szCs w:val="24"/>
        </w:rPr>
        <w:lastRenderedPageBreak/>
        <w:t>Call on Israel to establish a fully independent mechanism for receiving torture complaints, separate from the agencies responsible for perpetrating violations, to ensure the independence and effectiveness of investigations.</w:t>
      </w:r>
    </w:p>
    <w:p w14:paraId="60953477" w14:textId="77777777" w:rsidR="00640152" w:rsidRPr="00640152" w:rsidRDefault="00640152" w:rsidP="00640152">
      <w:pPr>
        <w:rPr>
          <w:rFonts w:asciiTheme="majorBidi" w:hAnsiTheme="majorBidi" w:cstheme="majorBidi"/>
          <w:sz w:val="24"/>
          <w:szCs w:val="24"/>
        </w:rPr>
      </w:pPr>
    </w:p>
    <w:p w14:paraId="34A04FCD" w14:textId="64964A05" w:rsidR="008E42F9" w:rsidRPr="00640152" w:rsidRDefault="008E42F9" w:rsidP="008E42F9">
      <w:pPr>
        <w:rPr>
          <w:rFonts w:ascii="Aptos" w:hAnsi="Aptos" w:cstheme="majorBidi"/>
          <w:b/>
          <w:bCs/>
          <w:sz w:val="32"/>
          <w:szCs w:val="32"/>
        </w:rPr>
      </w:pPr>
    </w:p>
    <w:sectPr w:rsidR="008E42F9" w:rsidRPr="0064015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D1ED3" w14:textId="77777777" w:rsidR="00874468" w:rsidRDefault="00874468" w:rsidP="00B37491">
      <w:pPr>
        <w:spacing w:before="0" w:after="0"/>
      </w:pPr>
      <w:r>
        <w:separator/>
      </w:r>
    </w:p>
  </w:endnote>
  <w:endnote w:type="continuationSeparator" w:id="0">
    <w:p w14:paraId="136AC1BA" w14:textId="77777777" w:rsidR="00874468" w:rsidRDefault="00874468" w:rsidP="00B374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14CAE" w14:textId="77777777" w:rsidR="00874468" w:rsidRDefault="00874468" w:rsidP="00B37491">
      <w:pPr>
        <w:spacing w:before="0" w:after="0"/>
      </w:pPr>
      <w:r>
        <w:separator/>
      </w:r>
    </w:p>
  </w:footnote>
  <w:footnote w:type="continuationSeparator" w:id="0">
    <w:p w14:paraId="279B536D" w14:textId="77777777" w:rsidR="00874468" w:rsidRDefault="00874468" w:rsidP="00B37491">
      <w:pPr>
        <w:spacing w:before="0" w:after="0"/>
      </w:pPr>
      <w:r>
        <w:continuationSeparator/>
      </w:r>
    </w:p>
  </w:footnote>
  <w:footnote w:id="1">
    <w:p w14:paraId="570A9A1D" w14:textId="3E4A9F21"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Torture in Israel, </w:t>
      </w:r>
      <w:r w:rsidRPr="00B4775B">
        <w:rPr>
          <w:rFonts w:asciiTheme="majorBidi" w:hAnsiTheme="majorBidi" w:cstheme="majorBidi"/>
          <w:sz w:val="16"/>
          <w:szCs w:val="16"/>
        </w:rPr>
        <w:t>S</w:t>
      </w:r>
      <w:r w:rsidRPr="00B4775B">
        <w:rPr>
          <w:rFonts w:asciiTheme="majorBidi" w:hAnsiTheme="majorBidi" w:cstheme="majorBidi"/>
          <w:sz w:val="16"/>
          <w:szCs w:val="16"/>
        </w:rPr>
        <w:t xml:space="preserve">ituation </w:t>
      </w:r>
      <w:r w:rsidRPr="00B4775B">
        <w:rPr>
          <w:rFonts w:asciiTheme="majorBidi" w:hAnsiTheme="majorBidi" w:cstheme="majorBidi"/>
          <w:sz w:val="16"/>
          <w:szCs w:val="16"/>
        </w:rPr>
        <w:t>R</w:t>
      </w:r>
      <w:r w:rsidRPr="00B4775B">
        <w:rPr>
          <w:rFonts w:asciiTheme="majorBidi" w:hAnsiTheme="majorBidi" w:cstheme="majorBidi"/>
          <w:sz w:val="16"/>
          <w:szCs w:val="16"/>
        </w:rPr>
        <w:t xml:space="preserve">eport, 2023, </w:t>
      </w:r>
      <w:hyperlink r:id="rId1" w:history="1">
        <w:r w:rsidRPr="00B4775B">
          <w:rPr>
            <w:rStyle w:val="Hyperlink"/>
            <w:rFonts w:asciiTheme="majorBidi" w:hAnsiTheme="majorBidi" w:cstheme="majorBidi"/>
            <w:sz w:val="16"/>
            <w:szCs w:val="16"/>
          </w:rPr>
          <w:t>https://stoptorture.org.il/en/torture-in-israel-today/</w:t>
        </w:r>
      </w:hyperlink>
    </w:p>
  </w:footnote>
  <w:footnote w:id="2">
    <w:p w14:paraId="4CC71F0E"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w:t>
      </w:r>
      <w:r w:rsidRPr="00B4775B">
        <w:rPr>
          <w:rFonts w:asciiTheme="majorBidi" w:hAnsiTheme="majorBidi" w:cstheme="majorBidi"/>
          <w:sz w:val="16"/>
          <w:szCs w:val="16"/>
          <w:lang w:bidi="ar-EG"/>
        </w:rPr>
        <w:t>See the following link:</w:t>
      </w:r>
      <w:r w:rsidRPr="00B4775B">
        <w:rPr>
          <w:rFonts w:asciiTheme="majorBidi" w:hAnsiTheme="majorBidi" w:cstheme="majorBidi"/>
          <w:sz w:val="16"/>
          <w:szCs w:val="16"/>
        </w:rPr>
        <w:t xml:space="preserve"> </w:t>
      </w:r>
      <w:hyperlink r:id="rId2" w:history="1">
        <w:r w:rsidRPr="00B4775B">
          <w:rPr>
            <w:rStyle w:val="Hyperlink"/>
            <w:rFonts w:asciiTheme="majorBidi" w:hAnsiTheme="majorBidi" w:cstheme="majorBidi"/>
            <w:sz w:val="16"/>
            <w:szCs w:val="16"/>
          </w:rPr>
          <w:t>https://mezan.org/uploads/files/2024/4/1712323548Torture%20report-AlMezan.pdf</w:t>
        </w:r>
      </w:hyperlink>
    </w:p>
  </w:footnote>
  <w:footnote w:id="3">
    <w:p w14:paraId="0DFF31BB"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Gaza Amendments to Israel’s “Unlawful Combatants Law” are Inconsistent with International Law, optineurins, 8 April 2025, </w:t>
      </w:r>
      <w:hyperlink r:id="rId3" w:history="1">
        <w:r w:rsidRPr="00B4775B">
          <w:rPr>
            <w:rStyle w:val="Hyperlink"/>
            <w:rFonts w:asciiTheme="majorBidi" w:hAnsiTheme="majorBidi" w:cstheme="majorBidi"/>
            <w:sz w:val="16"/>
            <w:szCs w:val="16"/>
          </w:rPr>
          <w:t>https://opiniojuris.org/2025/04/08/gaza-amendments-to-israels-unlawful-combatants-law-are-inconsistent-with-international-law/</w:t>
        </w:r>
      </w:hyperlink>
    </w:p>
  </w:footnote>
  <w:footnote w:id="4">
    <w:p w14:paraId="12239E04"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35 evacuation orders since January: Israel uses displacement, starvation as tools, plans to push Palestinians from Gaza as condition for halting genocide</w:t>
      </w:r>
      <w:r w:rsidRPr="00B4775B">
        <w:rPr>
          <w:rFonts w:asciiTheme="majorBidi" w:hAnsiTheme="majorBidi" w:cstheme="majorBidi"/>
          <w:sz w:val="16"/>
          <w:szCs w:val="16"/>
          <w:lang w:bidi="ar-EG"/>
        </w:rPr>
        <w:t xml:space="preserve">, </w:t>
      </w:r>
      <w:hyperlink r:id="rId4" w:history="1">
        <w:r w:rsidRPr="00B4775B">
          <w:rPr>
            <w:rStyle w:val="Hyperlink"/>
            <w:rFonts w:asciiTheme="majorBidi" w:hAnsiTheme="majorBidi" w:cstheme="majorBidi"/>
            <w:sz w:val="16"/>
            <w:szCs w:val="16"/>
            <w:lang w:bidi="ar-EG"/>
          </w:rPr>
          <w:t>https://tinyurl.com/mfvywpbj</w:t>
        </w:r>
      </w:hyperlink>
    </w:p>
  </w:footnote>
  <w:footnote w:id="5">
    <w:p w14:paraId="7B71B313"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Gaza: Increasing Israeli “evacuation orders” lead to forcible transfer of Palestinians, 11 April 2025, </w:t>
      </w:r>
      <w:hyperlink r:id="rId5" w:history="1">
        <w:r w:rsidRPr="00B4775B">
          <w:rPr>
            <w:rStyle w:val="Hyperlink"/>
            <w:rFonts w:asciiTheme="majorBidi" w:hAnsiTheme="majorBidi" w:cstheme="majorBidi"/>
            <w:sz w:val="16"/>
            <w:szCs w:val="16"/>
          </w:rPr>
          <w:t>https://www.ohchr.org/en/press-briefing-notes/2025/04/gaza-increasing-israeli-evacuation-orders-lead-forcible-transfer</w:t>
        </w:r>
      </w:hyperlink>
    </w:p>
  </w:footnote>
  <w:footnote w:id="6">
    <w:p w14:paraId="53EFE5E0"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Sheikh Jarrah: Israeli police evict Palestinians from East Jerusalem home, BBC, 19 January 2022, </w:t>
      </w:r>
      <w:hyperlink r:id="rId6" w:history="1">
        <w:r w:rsidRPr="00B4775B">
          <w:rPr>
            <w:rStyle w:val="Hyperlink"/>
            <w:rFonts w:asciiTheme="majorBidi" w:hAnsiTheme="majorBidi" w:cstheme="majorBidi"/>
            <w:sz w:val="16"/>
            <w:szCs w:val="16"/>
          </w:rPr>
          <w:t>https://www.bbc.com/news/world-middle-east-60052131</w:t>
        </w:r>
      </w:hyperlink>
    </w:p>
  </w:footnote>
  <w:footnote w:id="7">
    <w:p w14:paraId="35529386" w14:textId="1BD23646"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Israel Accelerates Mass Arrest and Torture Campaigns, </w:t>
      </w:r>
      <w:r w:rsidRPr="00B4775B">
        <w:rPr>
          <w:rFonts w:asciiTheme="majorBidi" w:hAnsiTheme="majorBidi" w:cstheme="majorBidi"/>
          <w:sz w:val="16"/>
          <w:szCs w:val="16"/>
        </w:rPr>
        <w:t xml:space="preserve">The </w:t>
      </w:r>
      <w:r w:rsidRPr="00B4775B">
        <w:rPr>
          <w:rFonts w:asciiTheme="majorBidi" w:hAnsiTheme="majorBidi" w:cstheme="majorBidi"/>
          <w:sz w:val="16"/>
          <w:szCs w:val="16"/>
        </w:rPr>
        <w:t xml:space="preserve">Cairo review, 18 November, 2024, </w:t>
      </w:r>
      <w:hyperlink r:id="rId7" w:history="1">
        <w:r w:rsidRPr="00B4775B">
          <w:rPr>
            <w:rStyle w:val="Hyperlink"/>
            <w:rFonts w:asciiTheme="majorBidi" w:hAnsiTheme="majorBidi" w:cstheme="majorBidi"/>
            <w:sz w:val="16"/>
            <w:szCs w:val="16"/>
          </w:rPr>
          <w:t>https://www.thecairoreview.com/essays/israel-accelerates-mass-arrest-and-torture-campaigns/</w:t>
        </w:r>
      </w:hyperlink>
    </w:p>
  </w:footnote>
  <w:footnote w:id="8">
    <w:p w14:paraId="3BF24AA8" w14:textId="134CD3BD"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Israeli soldier sentenced to seven months for assaults on Gaza detainees, </w:t>
      </w:r>
      <w:r w:rsidR="00B4775B" w:rsidRPr="00B4775B">
        <w:rPr>
          <w:rFonts w:asciiTheme="majorBidi" w:hAnsiTheme="majorBidi" w:cstheme="majorBidi"/>
          <w:sz w:val="16"/>
          <w:szCs w:val="16"/>
        </w:rPr>
        <w:t>T</w:t>
      </w:r>
      <w:r w:rsidRPr="00B4775B">
        <w:rPr>
          <w:rFonts w:asciiTheme="majorBidi" w:hAnsiTheme="majorBidi" w:cstheme="majorBidi"/>
          <w:sz w:val="16"/>
          <w:szCs w:val="16"/>
        </w:rPr>
        <w:t xml:space="preserve">he </w:t>
      </w:r>
      <w:r w:rsidR="00B4775B" w:rsidRPr="00B4775B">
        <w:rPr>
          <w:rFonts w:asciiTheme="majorBidi" w:hAnsiTheme="majorBidi" w:cstheme="majorBidi"/>
          <w:sz w:val="16"/>
          <w:szCs w:val="16"/>
        </w:rPr>
        <w:t>G</w:t>
      </w:r>
      <w:r w:rsidRPr="00B4775B">
        <w:rPr>
          <w:rFonts w:asciiTheme="majorBidi" w:hAnsiTheme="majorBidi" w:cstheme="majorBidi"/>
          <w:sz w:val="16"/>
          <w:szCs w:val="16"/>
        </w:rPr>
        <w:t xml:space="preserve">uardian, 7 February 2025, </w:t>
      </w:r>
      <w:hyperlink r:id="rId8" w:history="1">
        <w:r w:rsidRPr="00B4775B">
          <w:rPr>
            <w:rStyle w:val="Hyperlink"/>
            <w:rFonts w:asciiTheme="majorBidi" w:hAnsiTheme="majorBidi" w:cstheme="majorBidi"/>
            <w:sz w:val="16"/>
            <w:szCs w:val="16"/>
          </w:rPr>
          <w:t>https://www.theguardian.com/world/2025/feb/07/israeli-soldier-sentenced-assaults-gaza-detainees-first-conviction</w:t>
        </w:r>
      </w:hyperlink>
    </w:p>
  </w:footnote>
  <w:footnote w:id="9">
    <w:p w14:paraId="5926D3BD"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Torture’s Bureaucracy and the “Legitimacy Effect, Cambridge, 28 February 2025, </w:t>
      </w:r>
      <w:hyperlink r:id="rId9" w:history="1">
        <w:r w:rsidRPr="00B4775B">
          <w:rPr>
            <w:rStyle w:val="Hyperlink"/>
            <w:rFonts w:asciiTheme="majorBidi" w:hAnsiTheme="majorBidi" w:cstheme="majorBidi"/>
            <w:sz w:val="16"/>
            <w:szCs w:val="16"/>
          </w:rPr>
          <w:t>https://www.cambridge.org/core/journals/perspectives-on-politics/article/tortures-bureaucracy-and-the-legitimacy-effect/D5106DA6CB3F051971E5DA023BECBF6F</w:t>
        </w:r>
      </w:hyperlink>
    </w:p>
  </w:footnote>
  <w:footnote w:id="10">
    <w:p w14:paraId="4195E927" w14:textId="57A3C575"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Welcome to hell, The Israeli Prison System as a Network of Torture Camps, </w:t>
      </w:r>
      <w:proofErr w:type="spellStart"/>
      <w:r w:rsidR="00B4775B" w:rsidRPr="00B4775B">
        <w:rPr>
          <w:rFonts w:asciiTheme="majorBidi" w:hAnsiTheme="majorBidi" w:cstheme="majorBidi"/>
          <w:sz w:val="16"/>
          <w:szCs w:val="16"/>
        </w:rPr>
        <w:t>B’t</w:t>
      </w:r>
      <w:proofErr w:type="spellEnd"/>
      <w:r w:rsidR="00B4775B" w:rsidRPr="00B4775B">
        <w:rPr>
          <w:rFonts w:asciiTheme="majorBidi" w:hAnsiTheme="majorBidi" w:cstheme="majorBidi"/>
          <w:sz w:val="16"/>
          <w:szCs w:val="16"/>
        </w:rPr>
        <w:t xml:space="preserve"> </w:t>
      </w:r>
      <w:proofErr w:type="spellStart"/>
      <w:r w:rsidR="00B4775B" w:rsidRPr="00B4775B">
        <w:rPr>
          <w:rFonts w:asciiTheme="majorBidi" w:hAnsiTheme="majorBidi" w:cstheme="majorBidi"/>
          <w:sz w:val="16"/>
          <w:szCs w:val="16"/>
        </w:rPr>
        <w:t>Selem</w:t>
      </w:r>
      <w:proofErr w:type="spellEnd"/>
      <w:r w:rsidRPr="00B4775B">
        <w:rPr>
          <w:rFonts w:asciiTheme="majorBidi" w:hAnsiTheme="majorBidi" w:cstheme="majorBidi"/>
          <w:sz w:val="16"/>
          <w:szCs w:val="16"/>
        </w:rPr>
        <w:t xml:space="preserve">,  August 2024, </w:t>
      </w:r>
      <w:hyperlink r:id="rId10" w:history="1">
        <w:r w:rsidRPr="00B4775B">
          <w:rPr>
            <w:rStyle w:val="Hyperlink"/>
            <w:rFonts w:asciiTheme="majorBidi" w:hAnsiTheme="majorBidi" w:cstheme="majorBidi"/>
            <w:sz w:val="16"/>
            <w:szCs w:val="16"/>
          </w:rPr>
          <w:t>https://www.btselem.org/sites/default/files/publications/202408_welcome_to_hell_eng.pdf</w:t>
        </w:r>
      </w:hyperlink>
      <w:r w:rsidRPr="00B4775B">
        <w:rPr>
          <w:rFonts w:asciiTheme="majorBidi" w:hAnsiTheme="majorBidi" w:cstheme="majorBidi"/>
          <w:sz w:val="16"/>
          <w:szCs w:val="16"/>
        </w:rPr>
        <w:t>?</w:t>
      </w:r>
    </w:p>
  </w:footnote>
  <w:footnote w:id="11">
    <w:p w14:paraId="2F1E61CC" w14:textId="77777777" w:rsidR="00640152" w:rsidRPr="00B4775B" w:rsidRDefault="00640152" w:rsidP="00B4775B">
      <w:pPr>
        <w:pStyle w:val="FootnoteText"/>
        <w:jc w:val="left"/>
        <w:rPr>
          <w:rFonts w:asciiTheme="majorBidi" w:hAnsiTheme="majorBidi" w:cstheme="majorBidi"/>
          <w:sz w:val="16"/>
          <w:szCs w:val="16"/>
        </w:rPr>
      </w:pPr>
      <w:r w:rsidRPr="00B4775B">
        <w:rPr>
          <w:rStyle w:val="FootnoteReference"/>
          <w:rFonts w:asciiTheme="majorBidi" w:hAnsiTheme="majorBidi" w:cstheme="majorBidi"/>
          <w:sz w:val="16"/>
          <w:szCs w:val="16"/>
        </w:rPr>
        <w:footnoteRef/>
      </w:r>
      <w:r w:rsidRPr="00B4775B">
        <w:rPr>
          <w:rFonts w:asciiTheme="majorBidi" w:hAnsiTheme="majorBidi" w:cstheme="majorBidi"/>
          <w:sz w:val="16"/>
          <w:szCs w:val="16"/>
        </w:rPr>
        <w:t xml:space="preserve"> The Israeli Prison System as a Network of Torture Camps, </w:t>
      </w:r>
      <w:hyperlink r:id="rId11" w:history="1">
        <w:r w:rsidRPr="00B4775B">
          <w:rPr>
            <w:rStyle w:val="Hyperlink"/>
            <w:rFonts w:asciiTheme="majorBidi" w:hAnsiTheme="majorBidi" w:cstheme="majorBidi"/>
            <w:sz w:val="16"/>
            <w:szCs w:val="16"/>
          </w:rPr>
          <w:t>https://www.btselem.org/sites/default/files/publications/202408_welcome_to_hell_eng.pdf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0514" w14:textId="5274AD41" w:rsidR="00B37491" w:rsidRDefault="00B37491">
    <w:pPr>
      <w:pStyle w:val="Header"/>
    </w:pPr>
    <w:r w:rsidRPr="00B37491">
      <w:rPr>
        <w:noProof/>
      </w:rPr>
      <w:drawing>
        <wp:anchor distT="0" distB="0" distL="114300" distR="114300" simplePos="0" relativeHeight="251660288" behindDoc="0" locked="0" layoutInCell="1" hidden="0" allowOverlap="1" wp14:anchorId="4F65D91C" wp14:editId="1D43C14E">
          <wp:simplePos x="0" y="0"/>
          <wp:positionH relativeFrom="column">
            <wp:posOffset>84455</wp:posOffset>
          </wp:positionH>
          <wp:positionV relativeFrom="paragraph">
            <wp:posOffset>-329565</wp:posOffset>
          </wp:positionV>
          <wp:extent cx="922020" cy="786809"/>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5475" cy="789757"/>
                  </a:xfrm>
                  <a:prstGeom prst="rect">
                    <a:avLst/>
                  </a:prstGeom>
                  <a:ln/>
                </pic:spPr>
              </pic:pic>
            </a:graphicData>
          </a:graphic>
          <wp14:sizeRelV relativeFrom="margin">
            <wp14:pctHeight>0</wp14:pctHeight>
          </wp14:sizeRelV>
        </wp:anchor>
      </w:drawing>
    </w:r>
    <w:r w:rsidRPr="00B37491">
      <w:rPr>
        <w:noProof/>
      </w:rPr>
      <w:drawing>
        <wp:anchor distT="0" distB="0" distL="114300" distR="114300" simplePos="0" relativeHeight="251659264" behindDoc="0" locked="0" layoutInCell="1" hidden="0" allowOverlap="1" wp14:anchorId="2E443965" wp14:editId="115C4EB2">
          <wp:simplePos x="0" y="0"/>
          <wp:positionH relativeFrom="margin">
            <wp:posOffset>1934845</wp:posOffset>
          </wp:positionH>
          <wp:positionV relativeFrom="page">
            <wp:posOffset>276225</wp:posOffset>
          </wp:positionV>
          <wp:extent cx="3489960" cy="665428"/>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511776" cy="669588"/>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680B"/>
    <w:multiLevelType w:val="hybridMultilevel"/>
    <w:tmpl w:val="87DEF82A"/>
    <w:lvl w:ilvl="0" w:tplc="41C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53F2"/>
    <w:multiLevelType w:val="hybridMultilevel"/>
    <w:tmpl w:val="BEE01358"/>
    <w:lvl w:ilvl="0" w:tplc="0409001B">
      <w:start w:val="1"/>
      <w:numFmt w:val="lowerRoman"/>
      <w:lvlText w:val="%1."/>
      <w:lvlJc w:val="right"/>
      <w:pPr>
        <w:ind w:left="1080" w:hanging="360"/>
      </w:pPr>
      <w:rPr>
        <w:rFonts w:hint="default"/>
      </w:rPr>
    </w:lvl>
    <w:lvl w:ilvl="1" w:tplc="05E8DCF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E42309"/>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670653"/>
    <w:multiLevelType w:val="multilevel"/>
    <w:tmpl w:val="A1A4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9D629B"/>
    <w:multiLevelType w:val="hybridMultilevel"/>
    <w:tmpl w:val="521421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DF0ED9"/>
    <w:multiLevelType w:val="hybridMultilevel"/>
    <w:tmpl w:val="FB9C20B6"/>
    <w:lvl w:ilvl="0" w:tplc="A8369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216546"/>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1C0CD7"/>
    <w:multiLevelType w:val="hybridMultilevel"/>
    <w:tmpl w:val="4C2A50E2"/>
    <w:lvl w:ilvl="0" w:tplc="05E8DCF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B562A8"/>
    <w:multiLevelType w:val="hybridMultilevel"/>
    <w:tmpl w:val="10387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7901591">
    <w:abstractNumId w:val="8"/>
  </w:num>
  <w:num w:numId="2" w16cid:durableId="260920321">
    <w:abstractNumId w:val="5"/>
  </w:num>
  <w:num w:numId="3" w16cid:durableId="858008891">
    <w:abstractNumId w:val="6"/>
  </w:num>
  <w:num w:numId="4" w16cid:durableId="195122623">
    <w:abstractNumId w:val="2"/>
  </w:num>
  <w:num w:numId="5" w16cid:durableId="244074612">
    <w:abstractNumId w:val="1"/>
  </w:num>
  <w:num w:numId="6" w16cid:durableId="298875660">
    <w:abstractNumId w:val="7"/>
  </w:num>
  <w:num w:numId="7" w16cid:durableId="1136147762">
    <w:abstractNumId w:val="4"/>
  </w:num>
  <w:num w:numId="8" w16cid:durableId="583539177">
    <w:abstractNumId w:val="0"/>
  </w:num>
  <w:num w:numId="9" w16cid:durableId="35504063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07E"/>
    <w:rsid w:val="00097F4D"/>
    <w:rsid w:val="000E553E"/>
    <w:rsid w:val="001F1CFA"/>
    <w:rsid w:val="00271EA4"/>
    <w:rsid w:val="002A407E"/>
    <w:rsid w:val="003859E5"/>
    <w:rsid w:val="003971B3"/>
    <w:rsid w:val="003E7D24"/>
    <w:rsid w:val="00492C8F"/>
    <w:rsid w:val="00531A37"/>
    <w:rsid w:val="005D7BAB"/>
    <w:rsid w:val="0063190A"/>
    <w:rsid w:val="00640152"/>
    <w:rsid w:val="0065685B"/>
    <w:rsid w:val="0066265C"/>
    <w:rsid w:val="006C4FA0"/>
    <w:rsid w:val="00730AE5"/>
    <w:rsid w:val="007374B8"/>
    <w:rsid w:val="00785169"/>
    <w:rsid w:val="007E4368"/>
    <w:rsid w:val="008325BA"/>
    <w:rsid w:val="00874468"/>
    <w:rsid w:val="008B3134"/>
    <w:rsid w:val="008B424C"/>
    <w:rsid w:val="008C052F"/>
    <w:rsid w:val="008C714A"/>
    <w:rsid w:val="008E42F9"/>
    <w:rsid w:val="00902E29"/>
    <w:rsid w:val="00906018"/>
    <w:rsid w:val="00AA6589"/>
    <w:rsid w:val="00AF153E"/>
    <w:rsid w:val="00B37491"/>
    <w:rsid w:val="00B4775B"/>
    <w:rsid w:val="00BD52E3"/>
    <w:rsid w:val="00BD58D9"/>
    <w:rsid w:val="00BE3CFF"/>
    <w:rsid w:val="00BF45C8"/>
    <w:rsid w:val="00C55876"/>
    <w:rsid w:val="00DD0080"/>
    <w:rsid w:val="00DE3A11"/>
    <w:rsid w:val="00E00D9E"/>
    <w:rsid w:val="00E16620"/>
    <w:rsid w:val="00E2031A"/>
    <w:rsid w:val="00E7166E"/>
    <w:rsid w:val="00EA59A2"/>
    <w:rsid w:val="00EF76E2"/>
    <w:rsid w:val="00FC7C45"/>
    <w:rsid w:val="00FE4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0D692"/>
  <w15:chartTrackingRefBased/>
  <w15:docId w15:val="{6DC49F36-21BC-495F-B9DA-B20D7824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491"/>
    <w:pPr>
      <w:tabs>
        <w:tab w:val="center" w:pos="4680"/>
        <w:tab w:val="right" w:pos="9360"/>
      </w:tabs>
      <w:spacing w:before="0" w:after="0"/>
    </w:pPr>
  </w:style>
  <w:style w:type="character" w:customStyle="1" w:styleId="HeaderChar">
    <w:name w:val="Header Char"/>
    <w:basedOn w:val="DefaultParagraphFont"/>
    <w:link w:val="Header"/>
    <w:uiPriority w:val="99"/>
    <w:rsid w:val="00B37491"/>
  </w:style>
  <w:style w:type="paragraph" w:styleId="Footer">
    <w:name w:val="footer"/>
    <w:basedOn w:val="Normal"/>
    <w:link w:val="FooterChar"/>
    <w:uiPriority w:val="99"/>
    <w:unhideWhenUsed/>
    <w:rsid w:val="00B37491"/>
    <w:pPr>
      <w:tabs>
        <w:tab w:val="center" w:pos="4680"/>
        <w:tab w:val="right" w:pos="9360"/>
      </w:tabs>
      <w:spacing w:before="0" w:after="0"/>
    </w:pPr>
  </w:style>
  <w:style w:type="character" w:customStyle="1" w:styleId="FooterChar">
    <w:name w:val="Footer Char"/>
    <w:basedOn w:val="DefaultParagraphFont"/>
    <w:link w:val="Footer"/>
    <w:uiPriority w:val="99"/>
    <w:rsid w:val="00B37491"/>
  </w:style>
  <w:style w:type="paragraph" w:styleId="ListParagraph">
    <w:name w:val="List Paragraph"/>
    <w:basedOn w:val="Normal"/>
    <w:uiPriority w:val="34"/>
    <w:qFormat/>
    <w:rsid w:val="00B37491"/>
    <w:pPr>
      <w:ind w:left="720"/>
      <w:contextualSpacing/>
    </w:pPr>
  </w:style>
  <w:style w:type="paragraph" w:styleId="FootnoteText">
    <w:name w:val="footnote text"/>
    <w:basedOn w:val="Normal"/>
    <w:link w:val="FootnoteTextChar"/>
    <w:uiPriority w:val="99"/>
    <w:semiHidden/>
    <w:unhideWhenUsed/>
    <w:rsid w:val="00FE4B39"/>
    <w:pPr>
      <w:spacing w:before="0" w:after="0"/>
    </w:pPr>
    <w:rPr>
      <w:sz w:val="20"/>
      <w:szCs w:val="20"/>
    </w:rPr>
  </w:style>
  <w:style w:type="character" w:customStyle="1" w:styleId="FootnoteTextChar">
    <w:name w:val="Footnote Text Char"/>
    <w:basedOn w:val="DefaultParagraphFont"/>
    <w:link w:val="FootnoteText"/>
    <w:uiPriority w:val="99"/>
    <w:semiHidden/>
    <w:rsid w:val="00FE4B39"/>
    <w:rPr>
      <w:sz w:val="20"/>
      <w:szCs w:val="20"/>
    </w:rPr>
  </w:style>
  <w:style w:type="character" w:styleId="FootnoteReference">
    <w:name w:val="footnote reference"/>
    <w:basedOn w:val="DefaultParagraphFont"/>
    <w:uiPriority w:val="99"/>
    <w:semiHidden/>
    <w:unhideWhenUsed/>
    <w:rsid w:val="00FE4B39"/>
    <w:rPr>
      <w:vertAlign w:val="superscript"/>
    </w:rPr>
  </w:style>
  <w:style w:type="character" w:styleId="Hyperlink">
    <w:name w:val="Hyperlink"/>
    <w:basedOn w:val="DefaultParagraphFont"/>
    <w:uiPriority w:val="99"/>
    <w:unhideWhenUsed/>
    <w:rsid w:val="00DD0080"/>
    <w:rPr>
      <w:color w:val="0563C1" w:themeColor="hyperlink"/>
      <w:u w:val="single"/>
    </w:rPr>
  </w:style>
  <w:style w:type="character" w:styleId="UnresolvedMention">
    <w:name w:val="Unresolved Mention"/>
    <w:basedOn w:val="DefaultParagraphFont"/>
    <w:uiPriority w:val="99"/>
    <w:semiHidden/>
    <w:unhideWhenUsed/>
    <w:rsid w:val="00DD0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116499">
      <w:bodyDiv w:val="1"/>
      <w:marLeft w:val="0"/>
      <w:marRight w:val="0"/>
      <w:marTop w:val="0"/>
      <w:marBottom w:val="0"/>
      <w:divBdr>
        <w:top w:val="none" w:sz="0" w:space="0" w:color="auto"/>
        <w:left w:val="none" w:sz="0" w:space="0" w:color="auto"/>
        <w:bottom w:val="none" w:sz="0" w:space="0" w:color="auto"/>
        <w:right w:val="none" w:sz="0" w:space="0" w:color="auto"/>
      </w:divBdr>
    </w:div>
    <w:div w:id="193983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world/2025/feb/07/israeli-soldier-sentenced-assaults-gaza-detainees-first-conviction" TargetMode="External"/><Relationship Id="rId3" Type="http://schemas.openxmlformats.org/officeDocument/2006/relationships/hyperlink" Target="https://opiniojuris.org/2025/04/08/gaza-amendments-to-israels-unlawful-combatants-law-are-inconsistent-with-international-law/" TargetMode="External"/><Relationship Id="rId7" Type="http://schemas.openxmlformats.org/officeDocument/2006/relationships/hyperlink" Target="https://www.thecairoreview.com/essays/israel-accelerates-mass-arrest-and-torture-campaigns/" TargetMode="External"/><Relationship Id="rId2" Type="http://schemas.openxmlformats.org/officeDocument/2006/relationships/hyperlink" Target="https://mezan.org/uploads/files/2024/4/1712323548Torture%20report-AlMezan.pdf" TargetMode="External"/><Relationship Id="rId1" Type="http://schemas.openxmlformats.org/officeDocument/2006/relationships/hyperlink" Target="https://stoptorture.org.il/en/torture-in-israel-today/" TargetMode="External"/><Relationship Id="rId6" Type="http://schemas.openxmlformats.org/officeDocument/2006/relationships/hyperlink" Target="https://www.bbc.com/news/world-middle-east-60052131" TargetMode="External"/><Relationship Id="rId11" Type="http://schemas.openxmlformats.org/officeDocument/2006/relationships/hyperlink" Target="https://www.btselem.org/sites/default/files/publications/202408_welcome_to_hell_eng.pdf" TargetMode="External"/><Relationship Id="rId5" Type="http://schemas.openxmlformats.org/officeDocument/2006/relationships/hyperlink" Target="https://www.ohchr.org/en/press-briefing-notes/2025/04/gaza-increasing-israeli-evacuation-orders-lead-forcible-transfer" TargetMode="External"/><Relationship Id="rId10" Type="http://schemas.openxmlformats.org/officeDocument/2006/relationships/hyperlink" Target="https://www.btselem.org/sites/default/files/publications/202408_welcome_to_hell_eng.pdf" TargetMode="External"/><Relationship Id="rId4" Type="http://schemas.openxmlformats.org/officeDocument/2006/relationships/hyperlink" Target="https://tinyurl.com/mfvywpbj" TargetMode="External"/><Relationship Id="rId9" Type="http://schemas.openxmlformats.org/officeDocument/2006/relationships/hyperlink" Target="https://www.cambridge.org/core/journals/perspectives-on-politics/article/tortures-bureaucracy-and-the-legitimacy-effect/D5106DA6CB3F051971E5DA023BECBF6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34C4-42F3-4989-B555-B7341680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Mira Farash</cp:lastModifiedBy>
  <cp:revision>2</cp:revision>
  <dcterms:created xsi:type="dcterms:W3CDTF">2025-10-11T10:38:00Z</dcterms:created>
  <dcterms:modified xsi:type="dcterms:W3CDTF">2025-10-11T10:38:00Z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536004a9-04bb-49b6-8fe6-55fc2e04fbac</vt:lpwstr>
  </property>
</Properties>
</file>