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9FC34" w14:textId="77777777" w:rsidR="0037529C" w:rsidRDefault="0037529C">
      <w:pPr>
        <w:widowControl w:val="0"/>
        <w:pBdr>
          <w:top w:val="nil"/>
          <w:left w:val="nil"/>
          <w:bottom w:val="nil"/>
          <w:right w:val="nil"/>
          <w:between w:val="nil"/>
        </w:pBdr>
      </w:pPr>
    </w:p>
    <w:p w14:paraId="71E9FC35" w14:textId="77777777" w:rsidR="0037529C" w:rsidRDefault="00000000">
      <w:pPr>
        <w:jc w:val="center"/>
        <w:rPr>
          <w:rFonts w:ascii="Montserrat" w:eastAsia="Montserrat" w:hAnsi="Montserrat" w:cs="Montserrat"/>
          <w:b/>
          <w:bCs/>
          <w:sz w:val="24"/>
          <w:szCs w:val="24"/>
        </w:rPr>
      </w:pPr>
      <w:r>
        <w:rPr>
          <w:rFonts w:ascii="Montserrat" w:eastAsia="Montserrat" w:hAnsi="Montserrat" w:cs="Montserrat"/>
          <w:b/>
          <w:bCs/>
          <w:sz w:val="24"/>
          <w:szCs w:val="24"/>
        </w:rPr>
        <w:t xml:space="preserve">         </w:t>
      </w:r>
    </w:p>
    <w:p w14:paraId="71E9FC36" w14:textId="77777777" w:rsidR="0037529C" w:rsidRDefault="00000000">
      <w:pPr>
        <w:jc w:val="center"/>
        <w:rPr>
          <w:rFonts w:ascii="Montserrat" w:eastAsia="Montserrat" w:hAnsi="Montserrat" w:cs="Montserrat"/>
          <w:b/>
          <w:bCs/>
          <w:sz w:val="24"/>
          <w:szCs w:val="24"/>
        </w:rPr>
      </w:pPr>
      <w:r>
        <w:rPr>
          <w:rFonts w:ascii="Montserrat" w:eastAsia="Montserrat" w:hAnsi="Montserrat" w:cs="Montserrat"/>
          <w:b/>
          <w:bCs/>
          <w:sz w:val="24"/>
          <w:szCs w:val="24"/>
        </w:rPr>
        <w:t xml:space="preserve"> DEFENSA VERBAL </w:t>
      </w:r>
    </w:p>
    <w:p w14:paraId="71E9FC37" w14:textId="77777777" w:rsidR="0037529C" w:rsidRDefault="00000000">
      <w:pPr>
        <w:jc w:val="center"/>
        <w:rPr>
          <w:rFonts w:ascii="Montserrat" w:eastAsia="Montserrat" w:hAnsi="Montserrat" w:cs="Montserrat"/>
          <w:b/>
          <w:bCs/>
          <w:sz w:val="24"/>
          <w:szCs w:val="24"/>
        </w:rPr>
      </w:pPr>
      <w:r>
        <w:rPr>
          <w:rFonts w:ascii="Montserrat" w:eastAsia="Montserrat" w:hAnsi="Montserrat" w:cs="Montserrat"/>
          <w:b/>
          <w:bCs/>
          <w:sz w:val="24"/>
          <w:szCs w:val="24"/>
        </w:rPr>
        <w:t xml:space="preserve">X INFORME CONVENCIÓN SOBRE LA ELIMINACIÓN DE TODAS LAS FORMAS DE DISCRIMINACIÓN CONTRA LA MUJER (CEDAW) </w:t>
      </w:r>
    </w:p>
    <w:p w14:paraId="71E9FC38" w14:textId="77777777" w:rsidR="0037529C" w:rsidRDefault="00000000">
      <w:pPr>
        <w:jc w:val="center"/>
        <w:rPr>
          <w:rFonts w:ascii="Montserrat" w:eastAsia="Montserrat" w:hAnsi="Montserrat" w:cs="Montserrat"/>
          <w:b/>
          <w:bCs/>
          <w:sz w:val="24"/>
          <w:szCs w:val="24"/>
        </w:rPr>
      </w:pPr>
      <w:r>
        <w:rPr>
          <w:rFonts w:ascii="Montserrat" w:eastAsia="Montserrat" w:hAnsi="Montserrat" w:cs="Montserrat"/>
          <w:b/>
          <w:bCs/>
          <w:sz w:val="24"/>
          <w:szCs w:val="24"/>
        </w:rPr>
        <w:t>12 DE FEBRERO DE 2026</w:t>
      </w:r>
    </w:p>
    <w:p w14:paraId="71E9FC39" w14:textId="77777777" w:rsidR="0037529C" w:rsidRDefault="0037529C">
      <w:pPr>
        <w:jc w:val="center"/>
        <w:rPr>
          <w:rFonts w:ascii="Montserrat" w:eastAsia="Montserrat" w:hAnsi="Montserrat" w:cs="Montserrat"/>
          <w:b/>
          <w:bCs/>
          <w:sz w:val="24"/>
          <w:szCs w:val="24"/>
        </w:rPr>
      </w:pPr>
    </w:p>
    <w:p w14:paraId="71E9FC3A" w14:textId="77777777" w:rsidR="0037529C" w:rsidRDefault="00000000">
      <w:pPr>
        <w:spacing w:line="360" w:lineRule="auto"/>
        <w:jc w:val="center"/>
        <w:rPr>
          <w:rFonts w:ascii="Montserrat" w:eastAsia="Montserrat" w:hAnsi="Montserrat" w:cs="Montserrat"/>
          <w:b/>
          <w:bCs/>
          <w:sz w:val="24"/>
          <w:szCs w:val="24"/>
        </w:rPr>
      </w:pPr>
      <w:r>
        <w:rPr>
          <w:rFonts w:ascii="Museo Sans 300" w:eastAsia="Museo Sans 300" w:hAnsi="Museo Sans 300" w:cs="Museo Sans 300"/>
          <w:b/>
          <w:bCs/>
          <w:sz w:val="24"/>
          <w:szCs w:val="24"/>
        </w:rPr>
        <w:t>INTERVENCIÓN NACIONAL</w:t>
      </w:r>
    </w:p>
    <w:p w14:paraId="71E9FC3B" w14:textId="77777777" w:rsidR="0037529C" w:rsidRDefault="00000000">
      <w:pPr>
        <w:spacing w:line="360" w:lineRule="auto"/>
        <w:jc w:val="center"/>
        <w:rPr>
          <w:sz w:val="24"/>
          <w:szCs w:val="24"/>
        </w:rPr>
      </w:pPr>
      <w:r>
        <w:rPr>
          <w:rFonts w:ascii="Montserrat" w:eastAsia="Montserrat" w:hAnsi="Montserrat" w:cs="Montserrat"/>
          <w:sz w:val="24"/>
          <w:szCs w:val="24"/>
        </w:rPr>
        <w:t>(30 minutos)</w:t>
      </w:r>
    </w:p>
    <w:p w14:paraId="71E9FC3C" w14:textId="77777777" w:rsidR="0037529C" w:rsidRDefault="0037529C">
      <w:pPr>
        <w:spacing w:line="360" w:lineRule="auto"/>
        <w:jc w:val="both"/>
        <w:rPr>
          <w:sz w:val="24"/>
          <w:szCs w:val="24"/>
        </w:rPr>
      </w:pPr>
    </w:p>
    <w:p w14:paraId="71E9FC3D"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3E" w14:textId="77777777" w:rsidR="0037529C" w:rsidRDefault="0037529C">
      <w:pPr>
        <w:spacing w:line="360" w:lineRule="auto"/>
        <w:jc w:val="both"/>
        <w:rPr>
          <w:sz w:val="24"/>
          <w:szCs w:val="24"/>
        </w:rPr>
      </w:pPr>
    </w:p>
    <w:p w14:paraId="71E9FC3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El Estado de El Salvador comparece ante este Comité con profundo respeto por el Sistema Internacional de Derechos Humanos, al que consideramos un pilar fundamental para el fortalecimiento de nuestra democracia y el Estado de derecho. </w:t>
      </w:r>
    </w:p>
    <w:p w14:paraId="71E9FC40" w14:textId="77777777" w:rsidR="0037529C" w:rsidRDefault="0037529C">
      <w:pPr>
        <w:spacing w:line="360" w:lineRule="auto"/>
        <w:jc w:val="both"/>
        <w:rPr>
          <w:sz w:val="24"/>
          <w:szCs w:val="24"/>
        </w:rPr>
      </w:pPr>
    </w:p>
    <w:p w14:paraId="71E9FC4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La delegación que me </w:t>
      </w:r>
      <w:proofErr w:type="gramStart"/>
      <w:r>
        <w:rPr>
          <w:color w:val="000000"/>
          <w:sz w:val="24"/>
          <w:szCs w:val="24"/>
        </w:rPr>
        <w:t>acompaña,</w:t>
      </w:r>
      <w:proofErr w:type="gramEnd"/>
      <w:r>
        <w:rPr>
          <w:color w:val="000000"/>
          <w:sz w:val="24"/>
          <w:szCs w:val="24"/>
        </w:rPr>
        <w:t xml:space="preserve"> es una representación de alto nivel técnico y político, que refleja el compromiso de nuestro Estado con sus obligaciones internacionales. Su integración es la siguiente: </w:t>
      </w:r>
    </w:p>
    <w:p w14:paraId="71E9FC4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43"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El señor Magistrado de la Sala de lo Penal de la Corte Suprema de Justicia, Alejandro Antonio Quinteros.</w:t>
      </w:r>
    </w:p>
    <w:p w14:paraId="71E9FC44"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El señor Procurador General de la República, René Escobar.</w:t>
      </w:r>
    </w:p>
    <w:p w14:paraId="71E9FC45"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La </w:t>
      </w:r>
      <w:proofErr w:type="gramStart"/>
      <w:r>
        <w:rPr>
          <w:color w:val="000000"/>
          <w:sz w:val="24"/>
          <w:szCs w:val="24"/>
        </w:rPr>
        <w:t>Presidenta</w:t>
      </w:r>
      <w:proofErr w:type="gramEnd"/>
      <w:r>
        <w:rPr>
          <w:color w:val="000000"/>
          <w:sz w:val="24"/>
          <w:szCs w:val="24"/>
        </w:rPr>
        <w:t xml:space="preserve"> del Instituto Salvadoreño para el Desarrollo de la Mujer (ISDEMU), Yanci Salmerón. </w:t>
      </w:r>
    </w:p>
    <w:p w14:paraId="71E9FC46"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El señor </w:t>
      </w:r>
      <w:proofErr w:type="gramStart"/>
      <w:r>
        <w:rPr>
          <w:color w:val="000000"/>
          <w:sz w:val="24"/>
          <w:szCs w:val="24"/>
        </w:rPr>
        <w:t>Viceministro</w:t>
      </w:r>
      <w:proofErr w:type="gramEnd"/>
      <w:r>
        <w:rPr>
          <w:color w:val="000000"/>
          <w:sz w:val="24"/>
          <w:szCs w:val="24"/>
        </w:rPr>
        <w:t xml:space="preserve"> de Salud, Carlos Alvarenga.</w:t>
      </w:r>
    </w:p>
    <w:p w14:paraId="71E9FC47"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La </w:t>
      </w:r>
      <w:proofErr w:type="gramStart"/>
      <w:r>
        <w:rPr>
          <w:color w:val="000000"/>
          <w:sz w:val="24"/>
          <w:szCs w:val="24"/>
        </w:rPr>
        <w:t>Directora Ejecutiva</w:t>
      </w:r>
      <w:proofErr w:type="gramEnd"/>
      <w:r>
        <w:rPr>
          <w:color w:val="000000"/>
          <w:sz w:val="24"/>
          <w:szCs w:val="24"/>
        </w:rPr>
        <w:t xml:space="preserve"> del Consejo Nacional de la Primera Infancia, Niñez y Adolescencia (CONAPINA), Linda Amaya.</w:t>
      </w:r>
    </w:p>
    <w:p w14:paraId="71E9FC48"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El </w:t>
      </w:r>
      <w:proofErr w:type="gramStart"/>
      <w:r>
        <w:rPr>
          <w:color w:val="000000"/>
          <w:sz w:val="24"/>
          <w:szCs w:val="24"/>
        </w:rPr>
        <w:t>Subdirector</w:t>
      </w:r>
      <w:proofErr w:type="gramEnd"/>
      <w:r>
        <w:rPr>
          <w:color w:val="000000"/>
          <w:sz w:val="24"/>
          <w:szCs w:val="24"/>
        </w:rPr>
        <w:t xml:space="preserve"> Jurídico de la Dirección General de Centros Penales, Carlos Javier Hernández.</w:t>
      </w:r>
    </w:p>
    <w:p w14:paraId="71E9FC49" w14:textId="77777777" w:rsidR="0037529C" w:rsidRDefault="00000000">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Quien les habla, Adriana Mira, </w:t>
      </w:r>
      <w:proofErr w:type="gramStart"/>
      <w:r>
        <w:rPr>
          <w:color w:val="000000"/>
          <w:sz w:val="24"/>
          <w:szCs w:val="24"/>
        </w:rPr>
        <w:t>Viceministra</w:t>
      </w:r>
      <w:proofErr w:type="gramEnd"/>
      <w:r>
        <w:rPr>
          <w:color w:val="000000"/>
          <w:sz w:val="24"/>
          <w:szCs w:val="24"/>
        </w:rPr>
        <w:t xml:space="preserve"> de Relaciones Exteriores, acompañada de la </w:t>
      </w:r>
      <w:proofErr w:type="gramStart"/>
      <w:r>
        <w:rPr>
          <w:color w:val="000000"/>
          <w:sz w:val="24"/>
          <w:szCs w:val="24"/>
        </w:rPr>
        <w:t>Directora</w:t>
      </w:r>
      <w:proofErr w:type="gramEnd"/>
      <w:r>
        <w:rPr>
          <w:color w:val="000000"/>
          <w:sz w:val="24"/>
          <w:szCs w:val="24"/>
        </w:rPr>
        <w:t xml:space="preserve"> de Derechos Humanos de la Cancillería y de un importante equipo técnico que fortalece esta delegación.  </w:t>
      </w:r>
    </w:p>
    <w:p w14:paraId="71E9FC4A" w14:textId="77777777" w:rsidR="0037529C" w:rsidRDefault="0037529C">
      <w:pPr>
        <w:pBdr>
          <w:top w:val="nil"/>
          <w:left w:val="nil"/>
          <w:bottom w:val="nil"/>
          <w:right w:val="nil"/>
          <w:between w:val="nil"/>
        </w:pBdr>
        <w:spacing w:line="360" w:lineRule="auto"/>
        <w:ind w:left="720"/>
        <w:jc w:val="both"/>
        <w:rPr>
          <w:color w:val="000000"/>
          <w:sz w:val="24"/>
          <w:szCs w:val="24"/>
        </w:rPr>
      </w:pPr>
    </w:p>
    <w:p w14:paraId="71E9FC4B"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lastRenderedPageBreak/>
        <w:t>Para El Salvador, la CEDAW es mucho más que un tratado; es una hoja de ruta que orienta la acción pública para eliminar toda forma de discriminación contra las mujeres y las niñas, por lo que venimos ante ustedes para este intercambio y diálogo constructivo, con el orgullo de mostrar las transformaciones institucionales y los avances que hemos logrado en los últimos años.</w:t>
      </w:r>
    </w:p>
    <w:p w14:paraId="71E9FC4C" w14:textId="77777777" w:rsidR="0037529C" w:rsidRDefault="0037529C">
      <w:pPr>
        <w:spacing w:line="360" w:lineRule="auto"/>
        <w:jc w:val="both"/>
        <w:rPr>
          <w:sz w:val="24"/>
          <w:szCs w:val="24"/>
        </w:rPr>
      </w:pPr>
    </w:p>
    <w:p w14:paraId="71E9FC4D" w14:textId="77777777" w:rsidR="0037529C" w:rsidRDefault="00000000">
      <w:pPr>
        <w:spacing w:line="360" w:lineRule="auto"/>
        <w:jc w:val="both"/>
        <w:rPr>
          <w:color w:val="4A86E8"/>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4E" w14:textId="77777777" w:rsidR="0037529C" w:rsidRDefault="0037529C">
      <w:pPr>
        <w:spacing w:line="360" w:lineRule="auto"/>
        <w:rPr>
          <w:sz w:val="24"/>
          <w:szCs w:val="24"/>
        </w:rPr>
      </w:pPr>
    </w:p>
    <w:p w14:paraId="71E9FC4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Desde 2019, con el inicio de la primera gestión del </w:t>
      </w:r>
      <w:proofErr w:type="gramStart"/>
      <w:r>
        <w:rPr>
          <w:color w:val="000000"/>
          <w:sz w:val="24"/>
          <w:szCs w:val="24"/>
        </w:rPr>
        <w:t>Presidente</w:t>
      </w:r>
      <w:proofErr w:type="gramEnd"/>
      <w:r>
        <w:rPr>
          <w:color w:val="000000"/>
          <w:sz w:val="24"/>
          <w:szCs w:val="24"/>
        </w:rPr>
        <w:t xml:space="preserve"> Nayib Bukele, el Estado salvadoreño ha impulsado una nueva visión de país, desarrollando todo un proceso de transformación de sus políticas públicas, que ha llevado a la incorporación de la agenda de derechos de las mujeres y las niñas como eje transversal en diferentes ámbitos.</w:t>
      </w:r>
    </w:p>
    <w:p w14:paraId="71E9FC5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5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Reconocemos que para que las políticas públicas sean efectivas, deben apoyarse en una comprensión rigurosa de la realidad, por lo que el Séptimo Censo Poblacional y Vivienda, realizado en el 2024, representa un hito clave que actualiza y profundiza la base de información con la que el Estado salvadoreño orienta sus decisiones. Hoy se cuenta con evidencia que permite afirmar que en El Salvador:  </w:t>
      </w:r>
    </w:p>
    <w:p w14:paraId="71E9FC5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53" w14:textId="77777777" w:rsidR="0037529C" w:rsidRDefault="00000000">
      <w:pPr>
        <w:numPr>
          <w:ilvl w:val="0"/>
          <w:numId w:val="2"/>
        </w:numPr>
        <w:pBdr>
          <w:top w:val="nil"/>
          <w:left w:val="nil"/>
          <w:bottom w:val="nil"/>
          <w:right w:val="nil"/>
          <w:between w:val="nil"/>
        </w:pBdr>
        <w:spacing w:line="360" w:lineRule="auto"/>
        <w:jc w:val="both"/>
        <w:rPr>
          <w:color w:val="000000"/>
          <w:sz w:val="24"/>
          <w:szCs w:val="24"/>
        </w:rPr>
      </w:pPr>
      <w:r>
        <w:rPr>
          <w:color w:val="000000"/>
          <w:sz w:val="24"/>
          <w:szCs w:val="24"/>
        </w:rPr>
        <w:t xml:space="preserve">Las mujeres representan el 52.8 % de la población total y que, </w:t>
      </w:r>
    </w:p>
    <w:p w14:paraId="71E9FC54" w14:textId="77777777" w:rsidR="0037529C" w:rsidRDefault="00000000">
      <w:pPr>
        <w:numPr>
          <w:ilvl w:val="0"/>
          <w:numId w:val="2"/>
        </w:numPr>
        <w:pBdr>
          <w:top w:val="nil"/>
          <w:left w:val="nil"/>
          <w:bottom w:val="nil"/>
          <w:right w:val="nil"/>
          <w:between w:val="nil"/>
        </w:pBdr>
        <w:spacing w:line="360" w:lineRule="auto"/>
        <w:jc w:val="both"/>
        <w:rPr>
          <w:color w:val="000000"/>
          <w:sz w:val="24"/>
          <w:szCs w:val="24"/>
        </w:rPr>
      </w:pPr>
      <w:r>
        <w:rPr>
          <w:color w:val="000000"/>
          <w:sz w:val="24"/>
          <w:szCs w:val="24"/>
        </w:rPr>
        <w:t xml:space="preserve">Alrededor del 45% de los hogares salvadoreños están encabezados por mujeres. </w:t>
      </w:r>
    </w:p>
    <w:p w14:paraId="71E9FC55" w14:textId="77777777" w:rsidR="0037529C" w:rsidRDefault="0037529C">
      <w:pPr>
        <w:spacing w:line="360" w:lineRule="auto"/>
        <w:jc w:val="both"/>
        <w:rPr>
          <w:sz w:val="24"/>
          <w:szCs w:val="24"/>
        </w:rPr>
      </w:pPr>
    </w:p>
    <w:p w14:paraId="71E9FC56"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Estos resultados no solo describen la realidad de El Salvador, sino que orientan y respaldan las decisiones de política pública que se han venido impulsando, centradas en los derechos, necesidades y aportes de las mujeres en todos los ámbitos del desarrollo, incluyendo políticas de corresponsabilidad de los cuidados, de protección económica y patrimonial de las familias, especialmente donde las jefas de hogar asumen de forma predominante la organización de la vida cotidiana, lo que se ve reflejado en la reducción del índice de desigualdad de género a nivel nacional en un 17.8%. Este indicador incorpora dimensiones vinculadas a la participación política, laboral, educación y salud.</w:t>
      </w:r>
    </w:p>
    <w:p w14:paraId="71E9FC57"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58"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Con datos actualizados, El Salvador reafirma ante este Comité su capacidad para monitorear el cumplimiento de sus compromisos internacionales y para ajustar su respuesta pública hasta lograr que cada mujer salvadoreña sea protagonista de una sociedad más robusta, equitativa y plenamente democrática.</w:t>
      </w:r>
    </w:p>
    <w:p w14:paraId="71E9FC59" w14:textId="77777777" w:rsidR="0037529C" w:rsidRDefault="0037529C">
      <w:pPr>
        <w:spacing w:line="360" w:lineRule="auto"/>
        <w:jc w:val="both"/>
        <w:rPr>
          <w:sz w:val="24"/>
          <w:szCs w:val="24"/>
        </w:rPr>
      </w:pPr>
    </w:p>
    <w:p w14:paraId="71E9FC5A"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5B"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5C"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Construir un “Nuevo El Salvador” significa robustecer nuestro Estado de Derecho y elevar la gestión pública a los altos estándares de la CEDAW. Lo hacemos con el compromiso firme de que la agenda de derechos de las mujeres y las niñas sea el eje transversal e innegociable de cada decisión de Estado.</w:t>
      </w:r>
    </w:p>
    <w:p w14:paraId="71E9FC5D"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5E"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Bajo esta premisa, El Salvador ha asumido un rol de garante mediante acciones contundentes de prevención, protección y justicia. Para ello, hemos tomado medidas jurídicas sin precedentes:</w:t>
      </w:r>
    </w:p>
    <w:p w14:paraId="71E9FC5F"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0" w14:textId="77777777" w:rsidR="0037529C" w:rsidRDefault="00000000">
      <w:pPr>
        <w:numPr>
          <w:ilvl w:val="0"/>
          <w:numId w:val="3"/>
        </w:numPr>
        <w:pBdr>
          <w:top w:val="nil"/>
          <w:left w:val="nil"/>
          <w:bottom w:val="nil"/>
          <w:right w:val="nil"/>
          <w:between w:val="nil"/>
        </w:pBdr>
        <w:spacing w:line="360" w:lineRule="auto"/>
        <w:jc w:val="both"/>
        <w:rPr>
          <w:color w:val="000000"/>
          <w:sz w:val="24"/>
          <w:szCs w:val="24"/>
        </w:rPr>
      </w:pPr>
      <w:r>
        <w:rPr>
          <w:color w:val="000000"/>
          <w:sz w:val="24"/>
          <w:szCs w:val="24"/>
        </w:rPr>
        <w:t>Primero: Desde 2023, el delito de feminicidio en El Salvador es imprescriptible; ningún agresor podrá escudarse en el paso del tiempo para evadir su responsabilidad.</w:t>
      </w:r>
    </w:p>
    <w:p w14:paraId="71E9FC61" w14:textId="77777777" w:rsidR="0037529C" w:rsidRDefault="00000000">
      <w:pPr>
        <w:numPr>
          <w:ilvl w:val="0"/>
          <w:numId w:val="3"/>
        </w:numPr>
        <w:pBdr>
          <w:top w:val="nil"/>
          <w:left w:val="nil"/>
          <w:bottom w:val="nil"/>
          <w:right w:val="nil"/>
          <w:between w:val="nil"/>
        </w:pBdr>
        <w:spacing w:line="360" w:lineRule="auto"/>
        <w:jc w:val="both"/>
        <w:rPr>
          <w:color w:val="000000"/>
          <w:sz w:val="24"/>
          <w:szCs w:val="24"/>
        </w:rPr>
      </w:pPr>
      <w:r>
        <w:rPr>
          <w:color w:val="000000"/>
          <w:sz w:val="24"/>
          <w:szCs w:val="24"/>
        </w:rPr>
        <w:t xml:space="preserve">Segundo: La </w:t>
      </w:r>
      <w:proofErr w:type="gramStart"/>
      <w:r>
        <w:rPr>
          <w:color w:val="000000"/>
          <w:sz w:val="24"/>
          <w:szCs w:val="24"/>
        </w:rPr>
        <w:t>Fiscalía General</w:t>
      </w:r>
      <w:proofErr w:type="gramEnd"/>
      <w:r>
        <w:rPr>
          <w:color w:val="000000"/>
          <w:sz w:val="24"/>
          <w:szCs w:val="24"/>
        </w:rPr>
        <w:t xml:space="preserve"> de la República ha unificado criterios técnicos a través de sus Unidades Especializadas, asegurando que cada intervención esté centrada, ante todo, en la dignidad de la víctima.</w:t>
      </w:r>
    </w:p>
    <w:p w14:paraId="71E9FC6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Sin embargo, para entender el verdadero impacto de estas leyes, es necesario recordar de dónde venimos. Durante décadas, comunidades enteras como La Campanera en Soyapango fueron el rostro de la exclusión y el terror. Allí, las mujeres vivían bajo un "estado de sitio" impuesto por criminales y las "fronteras invisibles" eran muros reales que convertían la denuncia en una sentencia de muerte.</w:t>
      </w:r>
    </w:p>
    <w:p w14:paraId="71E9FC6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Hoy, gracias al Plan Control Territorial, estas comunidades han sido liberadas. Este Plan no es solo una estrategia de seguridad, es una medida de restitución de </w:t>
      </w:r>
      <w:r>
        <w:rPr>
          <w:color w:val="000000"/>
          <w:sz w:val="24"/>
          <w:szCs w:val="24"/>
        </w:rPr>
        <w:lastRenderedPageBreak/>
        <w:t>derechos que ha recuperado los espacios comunitarios y la libertad de tránsito. Al desarticular el control criminal, hemos logrado una reducción histórica en la violencia contra las mujeres, permitiendo que la justicia sea, por fin, real y efectiva en el territorio.</w:t>
      </w:r>
    </w:p>
    <w:p w14:paraId="71E9FC6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Esta transformación territorial ha devuelto lo más valioso: la confianza. Ninguna política de seguridad es real si no nace de la credibilidad ciudadana. Hoy, las mujeres salvadoreñas saben que hay una respuesta humana y efectiva detrás de cada llamado. Al fortalecer nuestras capacidades de persecución penal y respetar el debido proceso, estamos demostrando que la impunidad ha dejado de ser la norma.</w:t>
      </w:r>
    </w:p>
    <w:p w14:paraId="71E9FC68"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Estamos transitando de una atención fragmentada y esfuerzos aislados, hacia un verdadero ecosistema de justicia. Un sistema interconectado, diseñado con sensibilidad y apoyado por la cooperación internacional, que funciona como un engranaje para garantizar que la justicia no sea opcional, sino un derecho garantizado.</w:t>
      </w:r>
    </w:p>
    <w:p w14:paraId="71E9FC6A" w14:textId="77777777" w:rsidR="0037529C" w:rsidRDefault="0037529C">
      <w:pPr>
        <w:spacing w:line="360" w:lineRule="auto"/>
        <w:jc w:val="both"/>
        <w:rPr>
          <w:sz w:val="24"/>
          <w:szCs w:val="24"/>
        </w:rPr>
      </w:pPr>
    </w:p>
    <w:p w14:paraId="71E9FC6B"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Nuestra meta es clara: consolidar un modelo de gobernanza donde la seguridad pública y la seguridad humana converjan para que cada mujer camine por calles seguras y crezca bajo un cielo de igualdad.</w:t>
      </w:r>
    </w:p>
    <w:p w14:paraId="71E9FC6C"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Este ecosistema se materializa en acciones concretas de nuestras instituciones. Hemos fortalecido una oferta de servicios gratuitos, confidenciales y especializados. La Corte Suprema de Justicia, a través de la Dirección de Atención Integral a las Mujeres, implementa protocolos con equipos multidisciplinarios dedicados a las poblaciones más vulnerables.</w:t>
      </w:r>
    </w:p>
    <w:p w14:paraId="71E9FC6E"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6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Por su parte, la Procuraduría General de la República ha consolidado su Procuraduría Especializada. Solo en 2025, esta instancia brindó más de 65,000 servicios legales y psicosociales, asegurando representación gratuita especializada y con enfoque de género en procesos familiares y de cuidado. Además, hemos puesto en marcha el Registro de Pensión Alimenticia, un sistema </w:t>
      </w:r>
      <w:r>
        <w:rPr>
          <w:color w:val="000000"/>
          <w:sz w:val="24"/>
          <w:szCs w:val="24"/>
        </w:rPr>
        <w:lastRenderedPageBreak/>
        <w:t>automatizado que garantiza el sustento de la niñez y asegura que la carga económica no recaiga exclusivamente en las madres.</w:t>
      </w:r>
    </w:p>
    <w:p w14:paraId="71E9FC7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7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En materia de persecución penal, la </w:t>
      </w:r>
      <w:proofErr w:type="gramStart"/>
      <w:r>
        <w:rPr>
          <w:color w:val="000000"/>
          <w:sz w:val="24"/>
          <w:szCs w:val="24"/>
        </w:rPr>
        <w:t>Fiscalía General</w:t>
      </w:r>
      <w:proofErr w:type="gramEnd"/>
      <w:r>
        <w:rPr>
          <w:color w:val="000000"/>
          <w:sz w:val="24"/>
          <w:szCs w:val="24"/>
        </w:rPr>
        <w:t xml:space="preserve"> de la República impulsa procesos transformadores. A través de la Fiscalía Adjunta para la Mujer y sus unidades especializadas, se han unificado criterios de actuación para ofrecer una respuesta técnica, homogénea y, sobre todo, centrada en las víctimas.</w:t>
      </w:r>
    </w:p>
    <w:p w14:paraId="71E9FC7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7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Pero la justicia también debe ser reparadora. Por ello, se ha implementado el Programa de Atención Especializada a Familiares de Víctimas de Feminicidio. Este programa brinda apoyo psicosocial y busca redes de apoyo a largo plazo. Entendemos que el Estado debe acompañar a las familias que son el sostén emocional de nuestra sociedad.</w:t>
      </w:r>
    </w:p>
    <w:p w14:paraId="71E9FC7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7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Estos avances institucionales se reflejan en una realidad incuestionable: la mayor participación de las mujeres en la conducción del Estado. Hoy, las mujeres ocupan cargos estratégicos como la Vicepresidencia de la Asamblea Legislativa, la Procuraduría para la Defensa de los Derechos Humanos, Comisionadas de Acceso a la Información Pública y un hito histórico en el Tribunal Supremo Electoral, donde por primera vez una mujer ejerce la presidencia y cuatro de las cinco magistraturas son lideradas por mujeres.</w:t>
      </w:r>
    </w:p>
    <w:p w14:paraId="71E9FC7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7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Este liderazgo es el motor de carteras clave como Economía, Educación, Vivienda y Turismo. Destaca especialmente nuestro Ministerio de Relaciones Exteriores, liderado por una Canciller y dos viceministras, con una participación femenina del 49%, lo que se traduce en una política exterior que reconoce la movilidad humana como una realidad estructural. </w:t>
      </w:r>
    </w:p>
    <w:p w14:paraId="71E9FC78"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7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El Salvador garantiza hoy que las mujeres en contextos de migración y retorno ejerzan sus derechos sin discriminación. Hemos fortalecido los mecanismos de protección para las mujeres migrantes, reconociendo los riesgos diferenciados que enfrentan, como la violencia y la ruptura de redes de cuidado. Nuestra respuesta articula la acción internacional con la protección social nacional, asegurando que la migración sea atendida desde la dignidad y el enfoque de género.</w:t>
      </w:r>
    </w:p>
    <w:p w14:paraId="71E9FC7A"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7B" w14:textId="77777777" w:rsidR="0037529C" w:rsidRDefault="00000000">
      <w:pPr>
        <w:spacing w:line="360" w:lineRule="auto"/>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7C" w14:textId="77777777" w:rsidR="0037529C" w:rsidRDefault="0037529C">
      <w:pPr>
        <w:spacing w:line="360" w:lineRule="auto"/>
        <w:rPr>
          <w:sz w:val="24"/>
          <w:szCs w:val="24"/>
        </w:rPr>
      </w:pPr>
    </w:p>
    <w:p w14:paraId="71E9FC7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Este ecosistema de justicia y la creciente presencia de mujeres en la conducción de nuestra nación son los pilares que sostienen nuestra institucionalidad. Sin embargo, somos conscientes de que la protección jurídica debe ir acompañada de la protección social.</w:t>
      </w:r>
    </w:p>
    <w:p w14:paraId="71E9FC7E" w14:textId="77777777" w:rsidR="0037529C" w:rsidRDefault="0037529C">
      <w:pPr>
        <w:pBdr>
          <w:top w:val="nil"/>
          <w:left w:val="nil"/>
          <w:bottom w:val="nil"/>
          <w:right w:val="nil"/>
          <w:between w:val="nil"/>
        </w:pBdr>
        <w:spacing w:line="360" w:lineRule="auto"/>
        <w:ind w:left="360"/>
        <w:rPr>
          <w:color w:val="000000"/>
          <w:sz w:val="24"/>
          <w:szCs w:val="24"/>
        </w:rPr>
      </w:pPr>
    </w:p>
    <w:p w14:paraId="71E9FC7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La justicia es el punto de partida, pero la plenitud de derechos se alcanza cuando garantizamos también la salud, la educación y la autonomía económica. Es precisamente sobre estos ejes de desarrollo humano donde nuestra gestión está profundizando su impacto, asegurando que el bienestar sea una realidad palpable en cada etapa de la vida de las salvadoreñas</w:t>
      </w:r>
    </w:p>
    <w:p w14:paraId="71E9FC80" w14:textId="77777777" w:rsidR="0037529C" w:rsidRDefault="0037529C">
      <w:pPr>
        <w:spacing w:line="360" w:lineRule="auto"/>
        <w:rPr>
          <w:sz w:val="24"/>
          <w:szCs w:val="24"/>
        </w:rPr>
      </w:pPr>
    </w:p>
    <w:p w14:paraId="71E9FC81"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82" w14:textId="77777777" w:rsidR="0037529C" w:rsidRDefault="0037529C">
      <w:pPr>
        <w:spacing w:line="360" w:lineRule="auto"/>
        <w:jc w:val="both"/>
        <w:rPr>
          <w:sz w:val="24"/>
          <w:szCs w:val="24"/>
        </w:rPr>
      </w:pPr>
    </w:p>
    <w:p w14:paraId="71E9FC8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Esta visión de seguridad y derechos no se limita al espacio físico; se extiende con firmeza al entorno digital. El Salvador atraviesa una transformación tecnológica sin precedentes, donde la innovación es, ante todo, una herramienta de inclusión. Para garantizar que esta era digital proteja la dignidad de las mujeres, hemos consolidado un marco jurídico de vanguardia:</w:t>
      </w:r>
    </w:p>
    <w:p w14:paraId="71E9FC8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85" w14:textId="77777777" w:rsidR="0037529C" w:rsidRDefault="00000000">
      <w:pPr>
        <w:numPr>
          <w:ilvl w:val="1"/>
          <w:numId w:val="4"/>
        </w:numPr>
        <w:pBdr>
          <w:top w:val="nil"/>
          <w:left w:val="nil"/>
          <w:bottom w:val="nil"/>
          <w:right w:val="nil"/>
          <w:between w:val="nil"/>
        </w:pBdr>
        <w:spacing w:line="360" w:lineRule="auto"/>
        <w:jc w:val="both"/>
        <w:rPr>
          <w:color w:val="000000"/>
          <w:sz w:val="24"/>
          <w:szCs w:val="24"/>
        </w:rPr>
      </w:pPr>
      <w:r>
        <w:rPr>
          <w:color w:val="000000"/>
          <w:sz w:val="24"/>
          <w:szCs w:val="24"/>
        </w:rPr>
        <w:t>La Ley para la Protección de Datos Personales (2024): El primer marco integral del país para garantizar un tratamiento seguro y transparente de la información.</w:t>
      </w:r>
    </w:p>
    <w:p w14:paraId="71E9FC86" w14:textId="77777777" w:rsidR="0037529C" w:rsidRDefault="00000000">
      <w:pPr>
        <w:numPr>
          <w:ilvl w:val="1"/>
          <w:numId w:val="4"/>
        </w:numPr>
        <w:pBdr>
          <w:top w:val="nil"/>
          <w:left w:val="nil"/>
          <w:bottom w:val="nil"/>
          <w:right w:val="nil"/>
          <w:between w:val="nil"/>
        </w:pBdr>
        <w:spacing w:line="360" w:lineRule="auto"/>
        <w:jc w:val="both"/>
        <w:rPr>
          <w:color w:val="000000"/>
          <w:sz w:val="24"/>
          <w:szCs w:val="24"/>
        </w:rPr>
      </w:pPr>
      <w:r>
        <w:rPr>
          <w:color w:val="000000"/>
          <w:sz w:val="24"/>
          <w:szCs w:val="24"/>
        </w:rPr>
        <w:t>La modernización de la Ley Especial Contra los Delitos Informáticos: Reforzando nuestra capacidad para investigar y sancionar el fraude y la violencia sexual en línea.</w:t>
      </w:r>
    </w:p>
    <w:p w14:paraId="71E9FC87" w14:textId="77777777" w:rsidR="0037529C" w:rsidRDefault="00000000">
      <w:pPr>
        <w:numPr>
          <w:ilvl w:val="1"/>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La Ley de Fomento de la Inteligencia Artificial (2025): sienta las bases para el desarrollo, investigación y aplicación de la IA o tecnologías similares en sectores públicos y privados, respetando los principios de equidad, transparencia, responsabilidad, consentimiento informado, inclusión y no discriminación. Somos pioneros en la región al integrar principios de no </w:t>
      </w:r>
      <w:r>
        <w:rPr>
          <w:color w:val="000000"/>
          <w:sz w:val="24"/>
          <w:szCs w:val="24"/>
        </w:rPr>
        <w:lastRenderedPageBreak/>
        <w:t>discriminación y equidad en el desarrollo de algoritmos, evitando activamente que las nuevas tecnologías repliquen sesgos de género.</w:t>
      </w:r>
    </w:p>
    <w:p w14:paraId="71E9FC88"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8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Nuestra visión de modernización pone la tecnología al servicio de la integridad de la mujer. Ejemplo de ello es la Plataforma S.O.S. Trabajadoras, una herramienta digital de vanguardia que permite a las mujeres denunciar acoso laboral o sexual de manera totalmente anónima, las 24 horas del día. Esta plataforma no es solo un canal de escucha, sino una herramienta de acción directa conectada en tiempo real con la inspección del Ministerio de Trabajo, garantizando una respuesta estatal inmediata ante cualquier vulneración en los centros de trabajo. Con estos avances, se consolida un enfoque que busca equilibrar innovación, desarrollo tecnológico y protección de derechos.</w:t>
      </w:r>
    </w:p>
    <w:p w14:paraId="71E9FC8A" w14:textId="77777777" w:rsidR="0037529C" w:rsidRDefault="0037529C">
      <w:pPr>
        <w:rPr>
          <w:rFonts w:ascii="Museo Sans 300" w:eastAsia="Museo Sans 300" w:hAnsi="Museo Sans 300" w:cs="Museo Sans 300"/>
          <w:sz w:val="24"/>
          <w:szCs w:val="24"/>
        </w:rPr>
      </w:pPr>
    </w:p>
    <w:p w14:paraId="71E9FC8B"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8C" w14:textId="77777777" w:rsidR="0037529C" w:rsidRDefault="0037529C">
      <w:pPr>
        <w:spacing w:line="360" w:lineRule="auto"/>
        <w:jc w:val="both"/>
        <w:rPr>
          <w:sz w:val="24"/>
          <w:szCs w:val="24"/>
        </w:rPr>
      </w:pPr>
    </w:p>
    <w:p w14:paraId="71E9FC8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La innovación tecnológica encuentra su propósito más humano en nuestro sistema de salud. Hemos revertido décadas de abandono rural, logrando que el 100% de nuestros establecimientos de salud cuenten hoy con conectividad total.</w:t>
      </w:r>
    </w:p>
    <w:p w14:paraId="71E9FC8E"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8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Esta infraestructura sostiene el Nuevo Sistema de Atención Médica "</w:t>
      </w:r>
      <w:proofErr w:type="spellStart"/>
      <w:r>
        <w:rPr>
          <w:color w:val="000000"/>
          <w:sz w:val="24"/>
          <w:szCs w:val="24"/>
        </w:rPr>
        <w:t>DoctorSV</w:t>
      </w:r>
      <w:proofErr w:type="spellEnd"/>
      <w:r>
        <w:rPr>
          <w:color w:val="000000"/>
          <w:sz w:val="24"/>
          <w:szCs w:val="24"/>
        </w:rPr>
        <w:t xml:space="preserve">", donde, con el uso de inteligencia artificial, hemos alcanzado una </w:t>
      </w:r>
      <w:proofErr w:type="gramStart"/>
      <w:r>
        <w:rPr>
          <w:color w:val="000000"/>
          <w:sz w:val="24"/>
          <w:szCs w:val="24"/>
        </w:rPr>
        <w:t>asertividad diagnóstica</w:t>
      </w:r>
      <w:proofErr w:type="gramEnd"/>
      <w:r>
        <w:rPr>
          <w:color w:val="000000"/>
          <w:sz w:val="24"/>
          <w:szCs w:val="24"/>
        </w:rPr>
        <w:t xml:space="preserve"> del 93%, brindando atención 24/7 con acceso a más de 1,450 profesionales de la salud. Asimismo, la institucionalización de los Telecentros 131 y 132 ha permitido un seguimiento riguroso del embarazo, parto y puerperio, reduciendo drásticamente los riesgos obstétricos.</w:t>
      </w:r>
    </w:p>
    <w:p w14:paraId="71E9FC9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En el marco de la Ley Nacer con Cariño, la capacitación especializada nos ha permitido reducir la mortalidad materna en más de un 50%. Este compromiso con la vida se extiende a la Ley Amor Convertido en Alimento, bajo la cual hemos instalado más de 500 salas de lactancia, logrando que casi el 99% de los recién nacidos inicien la lactancia en su primera hora de vida.</w:t>
      </w:r>
    </w:p>
    <w:p w14:paraId="71E9FC9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Como pilar fundamental de este derecho a la salud y la alimentación, el Centro Integral de Atención Materno Infantil y de Nutrición brinda atención especializada </w:t>
      </w:r>
      <w:r>
        <w:rPr>
          <w:color w:val="000000"/>
          <w:sz w:val="24"/>
          <w:szCs w:val="24"/>
        </w:rPr>
        <w:lastRenderedPageBreak/>
        <w:t>a la primera infancia con riesgo nutricional. Este espacio fortalece la vigilancia de las mujeres embarazadas en situación de vulnerabilidad, asegurando que las condiciones socioeconómicas nunca más comprometan su bienestar ni el de sus hijos.</w:t>
      </w:r>
    </w:p>
    <w:p w14:paraId="71E9FC9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Paralelamente, abordamos la salud mental con la línea "Te Escucho". En 2023, casi el 60% de las atenciones fueron brindadas a mujeres, consolidando un espacio de confianza y confidencialidad absoluta. Esta atención integral se complementa con nuestra Estrategia Nacional de Prevención del Embarazo Adolescente, que ha logrado una reducción histórica de la tasa de fecundidad del 45.8% al 30% en solo tres años, como resultado de servicios amigables basados en la autonomía y la confidencialidad, protegiendo así los proyectos de vida de nuestras jóvenes.</w:t>
      </w:r>
    </w:p>
    <w:p w14:paraId="71E9FC9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En materia de educación, la reforma “Mi Nueva Escuela” está transformando el sistema educativo en un verdadero motor de movilidad social e igualdad. A través del programa “</w:t>
      </w:r>
      <w:proofErr w:type="spellStart"/>
      <w:r>
        <w:rPr>
          <w:color w:val="000000"/>
          <w:sz w:val="24"/>
          <w:szCs w:val="24"/>
        </w:rPr>
        <w:t>DosEscuelasxDía</w:t>
      </w:r>
      <w:proofErr w:type="spellEnd"/>
      <w:r>
        <w:rPr>
          <w:color w:val="000000"/>
          <w:sz w:val="24"/>
          <w:szCs w:val="24"/>
        </w:rPr>
        <w:t>”, hemos intervenido más de 422 centros escolares y a través de nuestra Dirección de Integración, hemos fortalecido una estrategia de becas sin precedentes que beneficia a más de 50,000 estudiantes universitarios y técnicos.</w:t>
      </w:r>
    </w:p>
    <w:p w14:paraId="71E9FC98"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Nuestro enfoque es preventivo y transformador: hemos implementado 250 Planes de Igualdad y Clubes Integradores diseñados para erradicar el acoso, reducir el embarazo adolescente y evitar la deserción escolar. Asimismo, a través del programa "Certifícate", abrimos las puertas de la economía del conocimiento a más de un millón de estudiantes con acceso gratuito a formación en tecnología, inglés y habilidades digitales.</w:t>
      </w:r>
    </w:p>
    <w:p w14:paraId="71E9FC9A"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B"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Estos esfuerzos ya rinden frutos tangibles: hoy, las mujeres ocupan un rol protagónico en la gestión del conocimiento, representando el 42.4% del Registro de Investigadores salvadoreños.</w:t>
      </w:r>
    </w:p>
    <w:p w14:paraId="71E9FC9C"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9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Como han podido observar, la transformación de El Salvador es integral y multidimensional. Sin embargo, el corazón de esta coordinación interinstitucional </w:t>
      </w:r>
      <w:r>
        <w:rPr>
          <w:color w:val="000000"/>
          <w:sz w:val="24"/>
          <w:szCs w:val="24"/>
        </w:rPr>
        <w:lastRenderedPageBreak/>
        <w:t xml:space="preserve">reside en nuestro mecanismo nacional de adelanto para las mujeres. Para profundizar en cómo garantizamos la rectoría de la igualdad de género y la ejecución de estas políticas, cedo la palabra a la </w:t>
      </w:r>
      <w:proofErr w:type="gramStart"/>
      <w:r>
        <w:rPr>
          <w:color w:val="000000"/>
          <w:sz w:val="24"/>
          <w:szCs w:val="24"/>
        </w:rPr>
        <w:t>Presidenta</w:t>
      </w:r>
      <w:proofErr w:type="gramEnd"/>
      <w:r>
        <w:rPr>
          <w:color w:val="000000"/>
          <w:sz w:val="24"/>
          <w:szCs w:val="24"/>
        </w:rPr>
        <w:t xml:space="preserve"> del Instituto Salvadoreño para el Desarrollo de la Mujer (ISDEMU), Yanci Salmerón.</w:t>
      </w:r>
    </w:p>
    <w:p w14:paraId="71E9FC9E" w14:textId="77777777" w:rsidR="0037529C" w:rsidRDefault="0037529C">
      <w:pPr>
        <w:spacing w:line="360" w:lineRule="auto"/>
        <w:jc w:val="both"/>
        <w:rPr>
          <w:rFonts w:ascii="Montserrat" w:eastAsia="Montserrat" w:hAnsi="Montserrat" w:cs="Montserrat"/>
          <w:sz w:val="28"/>
          <w:szCs w:val="28"/>
        </w:rPr>
      </w:pPr>
    </w:p>
    <w:p w14:paraId="71E9FC9F"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w:t>
      </w:r>
    </w:p>
    <w:p w14:paraId="71E9FCA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A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El Estado salvadoreño ha consolidado su arquitectura institucional a través del Instituto Salvadoreño para el Desarrollo de la Mujer (ISDEMU). La institución que </w:t>
      </w:r>
      <w:proofErr w:type="gramStart"/>
      <w:r>
        <w:rPr>
          <w:color w:val="000000"/>
          <w:sz w:val="24"/>
          <w:szCs w:val="24"/>
        </w:rPr>
        <w:t>dirijo,</w:t>
      </w:r>
      <w:proofErr w:type="gramEnd"/>
      <w:r>
        <w:rPr>
          <w:color w:val="000000"/>
          <w:sz w:val="24"/>
          <w:szCs w:val="24"/>
        </w:rPr>
        <w:t xml:space="preserve"> no solo vela por la incorporación sistemática del principio de igualdad y no discriminación en las instituciones públicas, sino que impulsa medidas de prevención, atención y protección que garantizan el derecho de las mujeres a una vida libre de violencia, propiciando su participación en los ámbitos público y privado.</w:t>
      </w:r>
    </w:p>
    <w:p w14:paraId="71E9FCA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A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Para orientar esta labor de manera articulada, hemos actualizado el Plan Nacional de Igualdad y la Política Nacional para una Vida Libre de Violencia (2021-2025); además, fue aprobada la Política Nacional de Corresponsabilidad de los Cuidados 2022-2030. Estos instrumentos son nuestra hoja de ruta, que orienta la acción del Estado, de manera articulada e intersectorial, hacia la superación de las brechas que limitan el ejercicio pleno de los derechos de las mujeres, en consonancia con las obligaciones asumidas por El Salvador de conformidad con la Convención</w:t>
      </w:r>
    </w:p>
    <w:p w14:paraId="71E9FCA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A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Este compromiso se traduce en un Estado preparado y sensible, corresponsable con las necesidades de las mujeres. Hemos brindado más de 1,300 asesorías técnicas, instalado 192 mecanismos institucionales y formado a más de 37,000 servidores públicos en derechos y debida diligencia. Asimismo, fortalecemos la coherencia de la política pública a nivel municipal trabajando directamente con los gobiernos locales.</w:t>
      </w:r>
    </w:p>
    <w:p w14:paraId="71E9FCA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A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En el territorio, el impacto es tangible: A través de nuestros 8 Centros de Atención, hemos brindado más de 122,500 atenciones integrales (legales, psicológicas y médicas). Complementamos esta labor con más de 32,000 servicios de atención </w:t>
      </w:r>
      <w:r>
        <w:rPr>
          <w:color w:val="000000"/>
          <w:sz w:val="24"/>
          <w:szCs w:val="24"/>
        </w:rPr>
        <w:lastRenderedPageBreak/>
        <w:t>remota 24/7, eliminando barreras geográficas. Ante riesgos mayores, nuestros servicios de protección han salvaguardado la integridad de más de 500 mujeres y sus hijos.</w:t>
      </w:r>
    </w:p>
    <w:p w14:paraId="71E9FCA8"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A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A la fecha, más de 1.3 millones de mujeres han ingresado al circuito integral de las autonomías: 1.2 millones han recibido servicios de salud integral, 900,000 mujeres cuentan con apoyos para su autonomía económica y 100,000 niñas y niños se han beneficiado con servicios de primera infancia.</w:t>
      </w:r>
    </w:p>
    <w:p w14:paraId="71E9FCAA" w14:textId="77777777" w:rsidR="0037529C" w:rsidRDefault="0037529C">
      <w:pPr>
        <w:spacing w:line="360" w:lineRule="auto"/>
        <w:jc w:val="both"/>
        <w:rPr>
          <w:sz w:val="24"/>
          <w:szCs w:val="24"/>
        </w:rPr>
      </w:pPr>
    </w:p>
    <w:p w14:paraId="71E9FCAB"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AC" w14:textId="77777777" w:rsidR="0037529C" w:rsidRDefault="0037529C">
      <w:pPr>
        <w:spacing w:line="360" w:lineRule="auto"/>
        <w:jc w:val="both"/>
        <w:rPr>
          <w:rFonts w:ascii="Museo Sans 300" w:eastAsia="Museo Sans 300" w:hAnsi="Museo Sans 300" w:cs="Museo Sans 300"/>
          <w:sz w:val="24"/>
          <w:szCs w:val="24"/>
        </w:rPr>
      </w:pPr>
    </w:p>
    <w:p w14:paraId="71E9FCA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Como Estado, reconocemos que la organización social de los cuidados ha impactado históricamente las oportunidades, el bienestar y el ejercicio de derechos de las mujeres. Durante generaciones, estas tareas han recaído de forma desproporcionada sobre ellas, limitando su tiempo, autonomía económica y participación en la vida laboral, educativa, política y comunitaria.</w:t>
      </w:r>
    </w:p>
    <w:p w14:paraId="71E9FCAE"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A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Con la Política Nacional de Corresponsabilidad de los Cuidados buscamos garantizar el derecho a recibir y brindar cuidados en condiciones de calidad, igualdad y no discriminación, y avanzar de forma progresiva hacia un Sistema Integral de Cuidados, ampliando la oferta de servicios articulados en el territorio para acompañar a la primera infancia, niñez y adolescencia, personas adultas mayores, personas con discapacidad y personas cuidadoras. </w:t>
      </w:r>
    </w:p>
    <w:p w14:paraId="71E9FCB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B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En coherencia con la Ley Crecer Juntos para la Protección Integral de la Primera Infancia, Niñez y Adolescencia, implementamos los “Centros de Atención a la Primera Infancia (CAPI”) como vía institucional para garantizar cuidado cariñoso, estimulación oportuna y educación de calidad para niñas y niños en sus primeros años. De forma complementaria, se ha diseñado el “Estándar de Competencias Laborales para Auxiliares de Cuidados de Primera Infancia”, que acredita las capacidades de personas cuidadoras y contribuye a la profesionalización y dignificación del trabajo de cuidados.</w:t>
      </w:r>
    </w:p>
    <w:p w14:paraId="71E9FCB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B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lastRenderedPageBreak/>
        <w:t>En ese marco para la Profesionalización y Trabajo Decente de los Cuidados, se ha diseñado una estrategia de formación, capacitación y sensibilización. De manera crucial, se implementa un Currículo Nacional de Formación para prestadores de servicios de cuidados domiciliarios dirigido a personas adultas mayores, basado en los enfoques de Derechos Humanos y la Atención Centrada en la Persona. Para institucionalizar esta labor, se ha diseñado el “Estándar de Competencia Laboral de Auxiliar de Cuidado de Persona Adulta Mayor”.</w:t>
      </w:r>
    </w:p>
    <w:p w14:paraId="71E9FCB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B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Asimismo, se ha realizado el primer “Estudio Nacional de los Cuidados”, que profundiza de forma territorial la caracterización de la persona que brinda y recibe cuidados, sumado a estudios de georreferenciación, costeo para la oferta y demanda de servicios de cuidados.</w:t>
      </w:r>
    </w:p>
    <w:p w14:paraId="71E9FCB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B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Este es el modelo salvadoreño: una estrategia de ciclo de vida que protege desde la gestación hasta la adultez, asegurando que ninguna mujer deba elegir entre su seguridad, su desarrollo económico y el cuidado de su familia.</w:t>
      </w:r>
    </w:p>
    <w:p w14:paraId="71E9FCB8" w14:textId="77777777" w:rsidR="0037529C" w:rsidRDefault="0037529C">
      <w:pPr>
        <w:spacing w:line="360" w:lineRule="auto"/>
        <w:jc w:val="both"/>
        <w:rPr>
          <w:sz w:val="24"/>
          <w:szCs w:val="24"/>
        </w:rPr>
      </w:pPr>
    </w:p>
    <w:p w14:paraId="71E9FCB9"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 xml:space="preserve">, </w:t>
      </w:r>
    </w:p>
    <w:p w14:paraId="71E9FCBA" w14:textId="77777777" w:rsidR="0037529C" w:rsidRDefault="0037529C">
      <w:pPr>
        <w:spacing w:line="360" w:lineRule="auto"/>
        <w:jc w:val="both"/>
        <w:rPr>
          <w:rFonts w:ascii="Montserrat" w:eastAsia="Montserrat" w:hAnsi="Montserrat" w:cs="Montserrat"/>
          <w:sz w:val="28"/>
          <w:szCs w:val="28"/>
        </w:rPr>
      </w:pPr>
    </w:p>
    <w:p w14:paraId="71E9FCBB"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El Salvador ha venido reforzando las condiciones para la autonomía económica de las mujeres, como un componente clave para ampliar sus opciones de vida y mejorar de manera sostenible el bienestar de sus hogares. Bajo la visión del </w:t>
      </w:r>
      <w:proofErr w:type="gramStart"/>
      <w:r>
        <w:rPr>
          <w:color w:val="000000"/>
          <w:sz w:val="24"/>
          <w:szCs w:val="24"/>
        </w:rPr>
        <w:t>Presidente</w:t>
      </w:r>
      <w:proofErr w:type="gramEnd"/>
      <w:r>
        <w:rPr>
          <w:color w:val="000000"/>
          <w:sz w:val="24"/>
          <w:szCs w:val="24"/>
        </w:rPr>
        <w:t xml:space="preserve"> Nayib Bukele, el Plan Económico Nacional impulsa una transformación productiva en los sectores de alimentación, tecnología y logística, generando oportunidades de empleo y emprendimiento en las que la participación de las mujeres pueda crecer de forma sostenida.</w:t>
      </w:r>
    </w:p>
    <w:p w14:paraId="71E9FCBC"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B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El empoderamiento económico también se traduce en acceso real a recursos. A través del Fondo para el Emprendimiento y Capital de Trabajo (FECAMYPE), se inyectaron $1.5 millones de dólares directamente en unidades productivas femeninas, representando el 49% de los créditos otorgados, con énfasis en sostenibilidad y tecnología.</w:t>
      </w:r>
    </w:p>
    <w:p w14:paraId="71E9FCBE"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B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lastRenderedPageBreak/>
        <w:t>La Línea de Garantía para la Empresarialidad Femenina (PROGAMYPE) elimina barreras bancarias tradicionales para micro y pequeñas empresas lideradas por mujeres, mientras que MERCAMUJER ha facilitado más de 1,100 espacios de comercialización con más de 34,000 participaciones de emprendedoras.</w:t>
      </w:r>
    </w:p>
    <w:p w14:paraId="71E9FCC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Nuestra política de movilidad laboral ha gestionado 17,000 oportunidades de empleo regular y seguro para personas salvadoreñas en el exterior. Bajo el Protocolo de Atención a Mujeres Retornadas (PRAMUR), aseguramos que la migración no sea un estigma, sino una oportunidad de reinvención. Programas como “Transformando Vidas” y “El Salvador+” brindan a las mujeres retornadas una ruta integral que incluye salud, vivienda y capital semilla. Asimismo, en los territorios más </w:t>
      </w:r>
      <w:proofErr w:type="spellStart"/>
      <w:r>
        <w:rPr>
          <w:color w:val="000000"/>
          <w:sz w:val="24"/>
          <w:szCs w:val="24"/>
        </w:rPr>
        <w:t>vulnerabilizados</w:t>
      </w:r>
      <w:proofErr w:type="spellEnd"/>
      <w:r>
        <w:rPr>
          <w:color w:val="000000"/>
          <w:sz w:val="24"/>
          <w:szCs w:val="24"/>
        </w:rPr>
        <w:t>, los programas Rural Adelante y el Bono Agrícola garantizan la seguridad alimentaria y el liderazgo de mujeres rurales e indígenas.</w:t>
      </w:r>
    </w:p>
    <w:p w14:paraId="71E9FCC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 Adicionalmente, se ejecuta el proyecto “Empoderamiento Económico de las Mujeres </w:t>
      </w:r>
      <w:proofErr w:type="gramStart"/>
      <w:r>
        <w:rPr>
          <w:color w:val="000000"/>
          <w:sz w:val="24"/>
          <w:szCs w:val="24"/>
        </w:rPr>
        <w:t>en  municipios</w:t>
      </w:r>
      <w:proofErr w:type="gramEnd"/>
      <w:r>
        <w:rPr>
          <w:color w:val="000000"/>
          <w:sz w:val="24"/>
          <w:szCs w:val="24"/>
        </w:rPr>
        <w:t xml:space="preserve"> priorizados de El Salvador”, que busca incrementar la autonomía económica de mujeres jefas de hogar y mujeres en condición de vulnerabilidad, brindándoles educación financiera, asesoría técnica, vinculación a mercados y acceso a capital semilla no reembolsable. </w:t>
      </w:r>
    </w:p>
    <w:p w14:paraId="71E9FCC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Para el Estado salvadoreño, garantizar el acceso a una vivienda adecuada es una prioridad y un componente central de la autonomía económica. Se han desarrollado programas específicos para mujeres jefas de hogar y mujeres en situación de violencia o movilidad. </w:t>
      </w:r>
    </w:p>
    <w:p w14:paraId="71E9FCC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El programa “Casa Mujer” ha priorizado la titularidad legal de más de 23,693 mujeres, para garantizar que tengan un patrimonio propio que les permita romper con el círculo de violencia y dependencia.</w:t>
      </w:r>
      <w:r>
        <w:rPr>
          <w:color w:val="000000"/>
        </w:rPr>
        <w:t xml:space="preserve"> </w:t>
      </w:r>
      <w:r>
        <w:rPr>
          <w:color w:val="000000"/>
          <w:sz w:val="24"/>
          <w:szCs w:val="24"/>
        </w:rPr>
        <w:t xml:space="preserve">Para maximizar el impacto de estas políticas, el Fondo Social para la Vivienda ha flexibilizado los criterios de Casa Mujer, ampliando los rangos de edad y niveles de ingresos permitidos. Esto ha abierto las puertas del patrimonio propio a mujeres más jóvenes y con menores ingresos que antes estaban excluidas del sistema crediticio. </w:t>
      </w:r>
    </w:p>
    <w:p w14:paraId="71E9FCC8"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lastRenderedPageBreak/>
        <w:t>Entre 2022 y 2024, el sistema de vivienda nacional invirtió $617.1 millones de dólares para 37,100 familias, de las cuales el 55% son lideradas por mujeres.</w:t>
      </w:r>
    </w:p>
    <w:p w14:paraId="71E9FCCA"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B"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La nueva realidad de seguridad permitió recuperar 9,000 viviendas usurpadas. Con una inversión de $115 millones de dólares, estas viviendas se ofrecen a sobrevivientes de violencia y jefas de hogar con condiciones preferenciales de </w:t>
      </w:r>
      <w:proofErr w:type="gramStart"/>
      <w:r>
        <w:rPr>
          <w:color w:val="000000"/>
          <w:sz w:val="24"/>
          <w:szCs w:val="24"/>
        </w:rPr>
        <w:t>cero prima</w:t>
      </w:r>
      <w:proofErr w:type="gramEnd"/>
      <w:r>
        <w:rPr>
          <w:color w:val="000000"/>
          <w:sz w:val="24"/>
          <w:szCs w:val="24"/>
        </w:rPr>
        <w:t xml:space="preserve"> y 2% de interés, la cual representa apenas una cuarta parte de la tasa promedio de la banca comercial. </w:t>
      </w:r>
    </w:p>
    <w:p w14:paraId="71E9FCCC"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En el ámbito del empleo, El Salvador ha fortalecido su acción laboral, alineando sus políticas con los convenios de la OIT, destacando la ratificación del Convenio 190 sobre la eliminación de la violencia y el acoso en el mundo del trabajo. En esta línea, además, en 2023, se reformó el Código de Trabajo, para incorporar el artículo 113-A, que garantiza la reinstalación inmediata de las mujeres despedidas durante el embarazo o en el período postnatal.</w:t>
      </w:r>
    </w:p>
    <w:p w14:paraId="71E9FCCE"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C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Para avanzar hacia la igualdad sustantiva en el empleo, se han puesto en marcha planes específicos de verificación de brechas salariales y de condiciones de trabajo, mediante inspecciones y </w:t>
      </w:r>
      <w:proofErr w:type="spellStart"/>
      <w:r>
        <w:rPr>
          <w:color w:val="000000"/>
          <w:sz w:val="24"/>
          <w:szCs w:val="24"/>
        </w:rPr>
        <w:t>reinspecciones</w:t>
      </w:r>
      <w:proofErr w:type="spellEnd"/>
      <w:r>
        <w:rPr>
          <w:color w:val="000000"/>
          <w:sz w:val="24"/>
          <w:szCs w:val="24"/>
        </w:rPr>
        <w:t xml:space="preserve"> en empresas de distintos rubros. Al año 2024 como parte del “Plan de Verificación de Brechas Salariales” se han realizado más de 600 inspecciones en las cuales se han dado cobertura a más de 3,700 mujeres.</w:t>
      </w:r>
    </w:p>
    <w:p w14:paraId="71E9FCD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D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Para garantizar la eficacia de las políticas públicas, se cuenta con el Sistema de Información del Mercado Laboral (SIMEL), una herramienta estratégica que permite analizar y utilizar datos actualizados sobre el mercado laboral. Esto asegura la formulación de programas adaptados a las necesidades del país y optimiza la toma de decisiones en el ámbito laboral.</w:t>
      </w:r>
    </w:p>
    <w:p w14:paraId="71E9FCD2"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D3"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 El sector turístico se consolida como el motor más dinámico de inclusión: el 85% de los empleos y el 75% de las empresas registradas están en manos de mujeres. Esta fuerza productiva se ve potenciada por la iniciativa “El Salvador Family Friendly”, liderada por la </w:t>
      </w:r>
      <w:proofErr w:type="gramStart"/>
      <w:r>
        <w:rPr>
          <w:color w:val="000000"/>
          <w:sz w:val="24"/>
          <w:szCs w:val="24"/>
        </w:rPr>
        <w:t>Primera Dama</w:t>
      </w:r>
      <w:proofErr w:type="gramEnd"/>
      <w:r>
        <w:rPr>
          <w:color w:val="000000"/>
          <w:sz w:val="24"/>
          <w:szCs w:val="24"/>
        </w:rPr>
        <w:t xml:space="preserve">, Gabriela de Bukele, que certifica espacios </w:t>
      </w:r>
      <w:r>
        <w:rPr>
          <w:color w:val="000000"/>
          <w:sz w:val="24"/>
          <w:szCs w:val="24"/>
        </w:rPr>
        <w:lastRenderedPageBreak/>
        <w:t>seguros, inclusivos y de calidad, permitiendo que la recreación y el desarrollo económico converjan en armonía con la vida familiar.</w:t>
      </w:r>
    </w:p>
    <w:p w14:paraId="71E9FCD4"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D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Estas acciones demuestran que en El Salvador la autonomía económica no es una política aislada, sino un eje transversal para que el talento femenino sea valorado, protegido y justamente remunerado.</w:t>
      </w:r>
    </w:p>
    <w:p w14:paraId="71E9FCD6" w14:textId="77777777" w:rsidR="0037529C" w:rsidRDefault="0037529C">
      <w:pPr>
        <w:spacing w:line="360" w:lineRule="auto"/>
        <w:jc w:val="both"/>
        <w:rPr>
          <w:rFonts w:ascii="Montserrat" w:eastAsia="Montserrat" w:hAnsi="Montserrat" w:cs="Montserrat"/>
          <w:sz w:val="28"/>
          <w:szCs w:val="28"/>
        </w:rPr>
      </w:pPr>
    </w:p>
    <w:p w14:paraId="71E9FCD7"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w:t>
      </w:r>
    </w:p>
    <w:p w14:paraId="71E9FCD8" w14:textId="77777777" w:rsidR="0037529C" w:rsidRDefault="0037529C">
      <w:pPr>
        <w:spacing w:line="360" w:lineRule="auto"/>
        <w:jc w:val="both"/>
        <w:rPr>
          <w:rFonts w:ascii="Montserrat" w:eastAsia="Montserrat" w:hAnsi="Montserrat" w:cs="Montserrat"/>
          <w:sz w:val="28"/>
          <w:szCs w:val="28"/>
        </w:rPr>
      </w:pPr>
    </w:p>
    <w:p w14:paraId="71E9FCD9"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En coherencia con el compromiso de no dejar a nadie atrás, El Salvador reconoce que las mujeres y niñas en situación de vulnerabilidad enfrentan barreras específicas y múltiples formas de discriminación, por lo que ha impulsado una serie de medidas orientadas a su inclusión, protección de sus derechos y fortalecimiento de su autonomía. </w:t>
      </w:r>
    </w:p>
    <w:p w14:paraId="71E9FCDA"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DB"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Bajo el Plan “Eliminando Barreras”, dotamos al sistema educativo de tecnologías de apoyo y materiales accesibles para que niñas con discapacidad visual, auditiva o intelectual alcancen su máximo potencial.</w:t>
      </w:r>
    </w:p>
    <w:p w14:paraId="71E9FCDC"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DD"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En el marco de la Política Nacional de los Pueblos Indígenas, se impulsan medidas para fortalecer su participación en la toma de decisiones y la garantía de sus derechos colectivos. Se destaca la aprobación de ordenanzas municipales sobre pueblos indígenas, que incluyen capítulos dedicados específicamente a los derechos de las mujeres indígenas. Además, destacamos que la mayoría del profesorado de lengua náhuat son mujeres, quienes lideran el rescate de la gastronomía y saberes ancestrales.</w:t>
      </w:r>
    </w:p>
    <w:p w14:paraId="71E9FCDE"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DF"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Programas como “Integrando Abuelos” y “ADN de la Pobreza”, posicionan a la mujer adulta mayor como protagonista de la reconstrucción del tejido social y la transmisión de cultura intergeneracional.</w:t>
      </w:r>
    </w:p>
    <w:p w14:paraId="71E9FCE0"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E1"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 Asimismo, a través del programa “Mujeres Constructoras de Paz: Liderazgo y Mediación para la Cohesión Social en El Salvador” se fortalece el liderazgo </w:t>
      </w:r>
      <w:r>
        <w:rPr>
          <w:color w:val="000000"/>
          <w:sz w:val="24"/>
          <w:szCs w:val="24"/>
        </w:rPr>
        <w:lastRenderedPageBreak/>
        <w:t>comunitario de las mujeres mediante su formación y acreditación como mediadoras comunitarias y defensoras de los derechos humanos en los territorios. La iniciativa se fundamenta en la Agenda de Mujeres, Paz y Seguridad y la Resolución 1325 del Consejo de Seguridad de Naciones Unidas, permitiéndoles prevenir conflictos, identificar violencia, facilitar derivaciones oportunas y fortalecer la cohesión social, la cultura de paz y el tejido comunitario territorial.</w:t>
      </w:r>
    </w:p>
    <w:p w14:paraId="71E9FCE2" w14:textId="77777777" w:rsidR="0037529C" w:rsidRDefault="0037529C">
      <w:pPr>
        <w:pBdr>
          <w:top w:val="nil"/>
          <w:left w:val="nil"/>
          <w:bottom w:val="nil"/>
          <w:right w:val="nil"/>
          <w:between w:val="nil"/>
        </w:pBdr>
        <w:spacing w:line="360" w:lineRule="auto"/>
        <w:jc w:val="both"/>
        <w:rPr>
          <w:rFonts w:ascii="Montserrat" w:eastAsia="Montserrat" w:hAnsi="Montserrat" w:cs="Montserrat"/>
          <w:sz w:val="28"/>
          <w:szCs w:val="28"/>
          <w:highlight w:val="white"/>
        </w:rPr>
      </w:pPr>
    </w:p>
    <w:p w14:paraId="71E9FCE3" w14:textId="77777777" w:rsidR="0037529C" w:rsidRDefault="00000000">
      <w:pPr>
        <w:spacing w:line="360" w:lineRule="auto"/>
        <w:jc w:val="both"/>
        <w:rPr>
          <w:sz w:val="24"/>
          <w:szCs w:val="24"/>
        </w:rPr>
      </w:pPr>
      <w:r>
        <w:rPr>
          <w:sz w:val="24"/>
          <w:szCs w:val="24"/>
        </w:rPr>
        <w:t xml:space="preserve">Señora </w:t>
      </w:r>
      <w:proofErr w:type="gramStart"/>
      <w:r>
        <w:rPr>
          <w:sz w:val="24"/>
          <w:szCs w:val="24"/>
        </w:rPr>
        <w:t>Presidenta</w:t>
      </w:r>
      <w:proofErr w:type="gramEnd"/>
      <w:r>
        <w:rPr>
          <w:sz w:val="24"/>
          <w:szCs w:val="24"/>
        </w:rPr>
        <w:t>,</w:t>
      </w:r>
    </w:p>
    <w:p w14:paraId="71E9FCE4" w14:textId="77777777" w:rsidR="0037529C" w:rsidRDefault="0037529C">
      <w:pPr>
        <w:pBdr>
          <w:top w:val="nil"/>
          <w:left w:val="nil"/>
          <w:bottom w:val="nil"/>
          <w:right w:val="nil"/>
          <w:between w:val="nil"/>
        </w:pBdr>
        <w:spacing w:line="360" w:lineRule="auto"/>
        <w:jc w:val="both"/>
        <w:rPr>
          <w:rFonts w:ascii="Montserrat" w:eastAsia="Montserrat" w:hAnsi="Montserrat" w:cs="Montserrat"/>
          <w:sz w:val="28"/>
          <w:szCs w:val="28"/>
          <w:highlight w:val="white"/>
        </w:rPr>
      </w:pPr>
    </w:p>
    <w:p w14:paraId="71E9FCE5"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 xml:space="preserve">El Salvador ha presentado hoy ante este Comité la transición de una nación que enfrentaba grandes desafíos de seguridad hacia una Nación de Derechos. Cada dato aquí expuesto es el resultado de una política pública que entiende que el desarrollo sostenible es imposible sin la igualdad de género. </w:t>
      </w:r>
    </w:p>
    <w:p w14:paraId="71E9FCE6" w14:textId="77777777" w:rsidR="0037529C" w:rsidRDefault="0037529C">
      <w:pPr>
        <w:pBdr>
          <w:top w:val="nil"/>
          <w:left w:val="nil"/>
          <w:bottom w:val="nil"/>
          <w:right w:val="nil"/>
          <w:between w:val="nil"/>
        </w:pBdr>
        <w:spacing w:line="360" w:lineRule="auto"/>
        <w:ind w:left="360"/>
        <w:jc w:val="both"/>
        <w:rPr>
          <w:color w:val="000000"/>
          <w:sz w:val="24"/>
          <w:szCs w:val="24"/>
        </w:rPr>
      </w:pPr>
    </w:p>
    <w:p w14:paraId="71E9FCE7" w14:textId="77777777" w:rsidR="0037529C" w:rsidRDefault="00000000">
      <w:pPr>
        <w:numPr>
          <w:ilvl w:val="0"/>
          <w:numId w:val="4"/>
        </w:numPr>
        <w:pBdr>
          <w:top w:val="nil"/>
          <w:left w:val="nil"/>
          <w:bottom w:val="nil"/>
          <w:right w:val="nil"/>
          <w:between w:val="nil"/>
        </w:pBdr>
        <w:spacing w:line="360" w:lineRule="auto"/>
        <w:jc w:val="both"/>
        <w:rPr>
          <w:color w:val="000000"/>
          <w:sz w:val="24"/>
          <w:szCs w:val="24"/>
        </w:rPr>
      </w:pPr>
      <w:r>
        <w:rPr>
          <w:color w:val="000000"/>
          <w:sz w:val="24"/>
          <w:szCs w:val="24"/>
        </w:rPr>
        <w:t>El Salvador reafirma su compromiso con el cumplimiento de la Convención CEDAW y se mantiene abierto a continuar este diálogo constructivo, con la certeza de que estamos construyendo un país donde ser mujer es, finalmente, sinónimo de libertad y plena garantía de derechos humanos.</w:t>
      </w:r>
    </w:p>
    <w:p w14:paraId="71E9FCE8" w14:textId="77777777" w:rsidR="0037529C" w:rsidRDefault="0037529C">
      <w:pPr>
        <w:spacing w:line="360" w:lineRule="auto"/>
        <w:jc w:val="both"/>
        <w:rPr>
          <w:rFonts w:ascii="Museo Sans 300" w:eastAsia="Museo Sans 300" w:hAnsi="Museo Sans 300" w:cs="Museo Sans 300"/>
          <w:sz w:val="24"/>
          <w:szCs w:val="24"/>
        </w:rPr>
      </w:pPr>
    </w:p>
    <w:p w14:paraId="71E9FCE9" w14:textId="77777777" w:rsidR="0037529C" w:rsidRDefault="00000000">
      <w:pPr>
        <w:spacing w:line="360" w:lineRule="auto"/>
        <w:jc w:val="both"/>
        <w:rPr>
          <w:sz w:val="24"/>
          <w:szCs w:val="24"/>
        </w:rPr>
      </w:pPr>
      <w:r>
        <w:rPr>
          <w:sz w:val="24"/>
          <w:szCs w:val="24"/>
        </w:rPr>
        <w:t>Muchas gracias.</w:t>
      </w:r>
    </w:p>
    <w:p w14:paraId="71E9FCEA" w14:textId="77777777" w:rsidR="0037529C" w:rsidRDefault="0037529C">
      <w:pPr>
        <w:spacing w:line="360" w:lineRule="auto"/>
        <w:jc w:val="both"/>
        <w:rPr>
          <w:rFonts w:ascii="Montserrat" w:eastAsia="Montserrat" w:hAnsi="Montserrat" w:cs="Montserrat"/>
          <w:sz w:val="28"/>
          <w:szCs w:val="28"/>
        </w:rPr>
      </w:pPr>
    </w:p>
    <w:p w14:paraId="71E9FCEB" w14:textId="77777777" w:rsidR="0037529C" w:rsidRDefault="0037529C">
      <w:pPr>
        <w:pBdr>
          <w:top w:val="nil"/>
          <w:left w:val="nil"/>
          <w:bottom w:val="nil"/>
          <w:right w:val="nil"/>
          <w:between w:val="nil"/>
        </w:pBdr>
        <w:spacing w:line="360" w:lineRule="auto"/>
        <w:jc w:val="both"/>
        <w:rPr>
          <w:rFonts w:ascii="Montserrat" w:eastAsia="Montserrat" w:hAnsi="Montserrat" w:cs="Montserrat"/>
          <w:sz w:val="28"/>
          <w:szCs w:val="28"/>
          <w:highlight w:val="white"/>
        </w:rPr>
      </w:pPr>
    </w:p>
    <w:p w14:paraId="71E9FCEC" w14:textId="77777777" w:rsidR="0037529C" w:rsidRDefault="0037529C">
      <w:pPr>
        <w:pBdr>
          <w:top w:val="nil"/>
          <w:left w:val="nil"/>
          <w:bottom w:val="nil"/>
          <w:right w:val="nil"/>
          <w:between w:val="nil"/>
        </w:pBdr>
        <w:spacing w:line="360" w:lineRule="auto"/>
        <w:jc w:val="both"/>
        <w:rPr>
          <w:rFonts w:ascii="Montserrat" w:eastAsia="Montserrat" w:hAnsi="Montserrat" w:cs="Montserrat"/>
          <w:sz w:val="28"/>
          <w:szCs w:val="28"/>
          <w:highlight w:val="white"/>
        </w:rPr>
      </w:pPr>
    </w:p>
    <w:sectPr w:rsidR="0037529C">
      <w:headerReference w:type="default" r:id="rId11"/>
      <w:footerReference w:type="default" r:id="rId12"/>
      <w:head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56FDC" w14:textId="77777777" w:rsidR="00454E70" w:rsidRDefault="00454E70">
      <w:pPr>
        <w:spacing w:line="240" w:lineRule="auto"/>
      </w:pPr>
      <w:r>
        <w:separator/>
      </w:r>
    </w:p>
  </w:endnote>
  <w:endnote w:type="continuationSeparator" w:id="0">
    <w:p w14:paraId="4F31D81A" w14:textId="77777777" w:rsidR="00454E70" w:rsidRDefault="00454E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9C0E7C1F-271E-4477-A585-DDCC99788F9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08E48B8-AC4A-4005-9A32-A97C546A55C0}"/>
  </w:font>
  <w:font w:name="SimSun">
    <w:altName w:val="宋体"/>
    <w:panose1 w:val="02010600030101010101"/>
    <w:charset w:val="86"/>
    <w:family w:val="auto"/>
    <w:pitch w:val="variable"/>
    <w:sig w:usb0="00000203" w:usb1="288F0000" w:usb2="00000016" w:usb3="00000000" w:csb0="00040001" w:csb1="00000000"/>
  </w:font>
  <w:font w:name="Montserrat">
    <w:charset w:val="00"/>
    <w:family w:val="auto"/>
    <w:pitch w:val="variable"/>
    <w:sig w:usb0="2000020F" w:usb1="00000003" w:usb2="00000000" w:usb3="00000000" w:csb0="00000197" w:csb1="00000000"/>
    <w:embedRegular r:id="rId3" w:fontKey="{35EF187E-FD23-4B3A-85EC-005716EF2DB9}"/>
    <w:embedBold r:id="rId4" w:fontKey="{30E226FE-3892-4CEB-861B-68F69DD58615}"/>
  </w:font>
  <w:font w:name="Museo Sans 300">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5" w:fontKey="{D274F0E8-900D-41BD-8FBB-6A2A0AFF84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FCEE" w14:textId="1D14899B" w:rsidR="0037529C"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76A16">
      <w:rPr>
        <w:noProof/>
        <w:color w:val="000000"/>
      </w:rPr>
      <w:t>2</w:t>
    </w:r>
    <w:r>
      <w:rPr>
        <w:color w:val="000000"/>
      </w:rPr>
      <w:fldChar w:fldCharType="end"/>
    </w:r>
  </w:p>
  <w:p w14:paraId="71E9FCEF" w14:textId="77777777" w:rsidR="0037529C" w:rsidRDefault="0037529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47147" w14:textId="77777777" w:rsidR="00454E70" w:rsidRDefault="00454E70">
      <w:pPr>
        <w:spacing w:line="240" w:lineRule="auto"/>
      </w:pPr>
      <w:r>
        <w:separator/>
      </w:r>
    </w:p>
  </w:footnote>
  <w:footnote w:type="continuationSeparator" w:id="0">
    <w:p w14:paraId="36895DDF" w14:textId="77777777" w:rsidR="00454E70" w:rsidRDefault="00454E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FCED" w14:textId="77777777" w:rsidR="0037529C" w:rsidRDefault="00000000">
    <w:r>
      <w:pict w14:anchorId="71E9FC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margin-left:-100.5pt;margin-top:768.75pt;width:609.15pt;height:787.65pt;z-index:-251658752;mso-position-horizontal:absolute;mso-position-horizontal-relative:margin;mso-position-vertical:absolute;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FCF0" w14:textId="77777777" w:rsidR="0037529C" w:rsidRDefault="00000000">
    <w:r>
      <w:rPr>
        <w:noProof/>
      </w:rPr>
      <w:drawing>
        <wp:anchor distT="114300" distB="114300" distL="114300" distR="114300" simplePos="0" relativeHeight="251656704" behindDoc="0" locked="0" layoutInCell="1" hidden="0" allowOverlap="1" wp14:anchorId="71E9FCF3" wp14:editId="71E9FCF4">
          <wp:simplePos x="0" y="0"/>
          <wp:positionH relativeFrom="page">
            <wp:posOffset>3303750</wp:posOffset>
          </wp:positionH>
          <wp:positionV relativeFrom="page">
            <wp:posOffset>114300</wp:posOffset>
          </wp:positionV>
          <wp:extent cx="1130137" cy="870206"/>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6000" b="-6000"/>
                  <a:stretch>
                    <a:fillRect/>
                  </a:stretch>
                </pic:blipFill>
                <pic:spPr>
                  <a:xfrm>
                    <a:off x="0" y="0"/>
                    <a:ext cx="1130137" cy="870206"/>
                  </a:xfrm>
                  <a:prstGeom prst="rect">
                    <a:avLst/>
                  </a:prstGeom>
                  <a:ln/>
                </pic:spPr>
              </pic:pic>
            </a:graphicData>
          </a:graphic>
        </wp:anchor>
      </w:drawing>
    </w:r>
    <w:r>
      <w:pict w14:anchorId="71E9FC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100.5pt;margin-top:768.75pt;width:609.15pt;height:787.65pt;z-index:-251657728;mso-position-horizontal:absolute;mso-position-horizontal-relative:margin;mso-position-vertical:absolute;mso-position-vertical-relative:margin">
          <v:imagedata r:id="rId2" o:title="image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3D9D"/>
    <w:multiLevelType w:val="multilevel"/>
    <w:tmpl w:val="CF408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3B427E"/>
    <w:multiLevelType w:val="multilevel"/>
    <w:tmpl w:val="53A40F5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87C380D"/>
    <w:multiLevelType w:val="multilevel"/>
    <w:tmpl w:val="FF7A77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8E1342E"/>
    <w:multiLevelType w:val="multilevel"/>
    <w:tmpl w:val="24F2D5FA"/>
    <w:lvl w:ilvl="0">
      <w:start w:val="1"/>
      <w:numFmt w:val="decimal"/>
      <w:lvlText w:val="%1."/>
      <w:lvlJc w:val="left"/>
      <w:pPr>
        <w:ind w:left="360" w:hanging="360"/>
      </w:pPr>
      <w:rPr>
        <w:b w:val="0"/>
        <w:bCs w:val="0"/>
        <w:color w:val="000000"/>
      </w:rPr>
    </w:lvl>
    <w:lvl w:ilvl="1">
      <w:start w:val="1"/>
      <w:numFmt w:val="bullet"/>
      <w:lvlText w:val="o"/>
      <w:lvlJc w:val="left"/>
      <w:pPr>
        <w:ind w:left="1080" w:hanging="360"/>
      </w:pPr>
      <w:rPr>
        <w:rFonts w:ascii="Courier New" w:eastAsia="Courier New" w:hAnsi="Courier New" w:cs="Courier New"/>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72774349">
    <w:abstractNumId w:val="2"/>
  </w:num>
  <w:num w:numId="2" w16cid:durableId="374472804">
    <w:abstractNumId w:val="0"/>
  </w:num>
  <w:num w:numId="3" w16cid:durableId="445543042">
    <w:abstractNumId w:val="1"/>
  </w:num>
  <w:num w:numId="4" w16cid:durableId="9027640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29C"/>
    <w:rsid w:val="0037529C"/>
    <w:rsid w:val="00454E70"/>
    <w:rsid w:val="00B76A16"/>
    <w:rsid w:val="00B8010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9FC34"/>
  <w15:docId w15:val="{BF62631F-BF4E-454F-8413-5C4841678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SV"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7D7611"/>
    <w:pPr>
      <w:ind w:left="720"/>
      <w:contextualSpacing/>
    </w:pPr>
  </w:style>
  <w:style w:type="paragraph" w:styleId="Header">
    <w:name w:val="header"/>
    <w:basedOn w:val="Normal"/>
    <w:link w:val="HeaderChar"/>
    <w:uiPriority w:val="99"/>
    <w:unhideWhenUsed/>
    <w:rsid w:val="0041053B"/>
    <w:pPr>
      <w:tabs>
        <w:tab w:val="center" w:pos="4680"/>
        <w:tab w:val="right" w:pos="9360"/>
      </w:tabs>
      <w:spacing w:line="240" w:lineRule="auto"/>
    </w:pPr>
  </w:style>
  <w:style w:type="character" w:customStyle="1" w:styleId="HeaderChar">
    <w:name w:val="Header Char"/>
    <w:basedOn w:val="DefaultParagraphFont"/>
    <w:link w:val="Header"/>
    <w:uiPriority w:val="99"/>
    <w:rsid w:val="0041053B"/>
  </w:style>
  <w:style w:type="paragraph" w:styleId="Footer">
    <w:name w:val="footer"/>
    <w:basedOn w:val="Normal"/>
    <w:link w:val="FooterChar"/>
    <w:uiPriority w:val="99"/>
    <w:unhideWhenUsed/>
    <w:rsid w:val="0041053B"/>
    <w:pPr>
      <w:tabs>
        <w:tab w:val="center" w:pos="4680"/>
        <w:tab w:val="right" w:pos="9360"/>
      </w:tabs>
      <w:spacing w:line="240" w:lineRule="auto"/>
    </w:pPr>
  </w:style>
  <w:style w:type="character" w:customStyle="1" w:styleId="FooterChar">
    <w:name w:val="Footer Char"/>
    <w:basedOn w:val="DefaultParagraphFont"/>
    <w:link w:val="Footer"/>
    <w:uiPriority w:val="99"/>
    <w:rsid w:val="0041053B"/>
  </w:style>
  <w:style w:type="paragraph" w:styleId="TOCHeading">
    <w:name w:val="TOC Heading"/>
    <w:next w:val="Normal"/>
    <w:uiPriority w:val="39"/>
    <w:unhideWhenUsed/>
    <w:qFormat/>
    <w:rsid w:val="00B83D46"/>
    <w:pPr>
      <w:spacing w:before="240" w:line="259" w:lineRule="auto"/>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B83D46"/>
    <w:pPr>
      <w:spacing w:after="100"/>
    </w:pPr>
  </w:style>
  <w:style w:type="character" w:styleId="Hyperlink">
    <w:name w:val="Hyperlink"/>
    <w:basedOn w:val="DefaultParagraphFont"/>
    <w:uiPriority w:val="99"/>
    <w:unhideWhenUsed/>
    <w:rsid w:val="00B83D46"/>
    <w:rPr>
      <w:color w:val="0000FF" w:themeColor="hyperlink"/>
      <w:u w:val="single"/>
    </w:rPr>
  </w:style>
  <w:style w:type="character" w:styleId="UnresolvedMention">
    <w:name w:val="Unresolved Mention"/>
    <w:basedOn w:val="DefaultParagraphFont"/>
    <w:uiPriority w:val="99"/>
    <w:semiHidden/>
    <w:unhideWhenUsed/>
    <w:rsid w:val="00792EC3"/>
    <w:rPr>
      <w:color w:val="605E5C"/>
      <w:shd w:val="clear" w:color="auto" w:fill="E1DFDD"/>
    </w:rPr>
  </w:style>
  <w:style w:type="table" w:styleId="TableGrid">
    <w:name w:val="Table Grid"/>
    <w:basedOn w:val="TableNormal"/>
    <w:uiPriority w:val="39"/>
    <w:rsid w:val="006A294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nfc1K5lixqyqc61BFL6qbPzqng==">CgMxLjA4AHIhMTBuaVdpLWROR2c3eWxPN0lzRG5xVlp6cGZiUWg5SEI3</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2026-02-12T11:08:56+00:00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8DBF65-7C19-4119-B6E9-E11884086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B489C0-F697-4F9A-AB88-72A1F161A6E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B0BD5B69-7EAC-4E8C-BD6C-FB3A049DFF3E}">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4123</Words>
  <Characters>23504</Characters>
  <Application>Microsoft Office Word</Application>
  <DocSecurity>0</DocSecurity>
  <Lines>195</Lines>
  <Paragraphs>55</Paragraphs>
  <ScaleCrop>false</ScaleCrop>
  <Company/>
  <LinksUpToDate>false</LinksUpToDate>
  <CharactersWithSpaces>27572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Evelyn Martínez Ramos</dc:creator>
  <cp:lastModifiedBy>Jamila Devi Seerathun</cp:lastModifiedBy>
  <cp:revision>2</cp:revision>
  <dcterms:created xsi:type="dcterms:W3CDTF">2026-02-07T19:58:00Z</dcterms:created>
  <dcterms:modified xsi:type="dcterms:W3CDTF">2026-02-12T11:09:00Z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