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9EC" w:rsidRDefault="00C779EC" w:rsidP="00C779EC">
      <w:pPr>
        <w:pStyle w:val="alaEI"/>
        <w:spacing w:line="276" w:lineRule="auto"/>
        <w:jc w:val="both"/>
        <w:rPr>
          <w:b/>
          <w:lang w:val="en-GB"/>
        </w:rPr>
      </w:pPr>
      <w:bookmarkStart w:id="0" w:name="_GoBack"/>
      <w:bookmarkEnd w:id="0"/>
    </w:p>
    <w:p w:rsidR="00C779EC" w:rsidRPr="00C779EC" w:rsidRDefault="00C779EC" w:rsidP="00C779EC">
      <w:pPr>
        <w:pStyle w:val="alaEI"/>
        <w:spacing w:line="276" w:lineRule="auto"/>
        <w:jc w:val="both"/>
        <w:rPr>
          <w:b/>
          <w:sz w:val="28"/>
          <w:lang w:val="en-GB"/>
        </w:rPr>
      </w:pPr>
      <w:proofErr w:type="spellStart"/>
      <w:r w:rsidRPr="00C779EC">
        <w:rPr>
          <w:b/>
          <w:sz w:val="28"/>
          <w:lang w:val="en-GB"/>
        </w:rPr>
        <w:t>Ihmisoikeusliitto</w:t>
      </w:r>
      <w:proofErr w:type="spellEnd"/>
      <w:r w:rsidRPr="00C779EC">
        <w:rPr>
          <w:b/>
          <w:sz w:val="28"/>
          <w:lang w:val="en-GB"/>
        </w:rPr>
        <w:t xml:space="preserve"> – Finnish League for Human Rights </w:t>
      </w:r>
    </w:p>
    <w:p w:rsidR="00C779EC" w:rsidRDefault="00C779EC" w:rsidP="00C779EC">
      <w:pPr>
        <w:pStyle w:val="alaEI"/>
        <w:spacing w:line="276" w:lineRule="auto"/>
        <w:jc w:val="both"/>
        <w:rPr>
          <w:lang w:val="en-GB"/>
        </w:rPr>
      </w:pPr>
      <w:r>
        <w:rPr>
          <w:lang w:val="en-GB"/>
        </w:rPr>
        <w:t>Submission to the Committee on the Elimination of Racial Discrimination</w:t>
      </w:r>
    </w:p>
    <w:p w:rsidR="00C779EC" w:rsidRDefault="00C779EC" w:rsidP="00C779EC">
      <w:pPr>
        <w:pStyle w:val="alaEI"/>
        <w:spacing w:line="276" w:lineRule="auto"/>
        <w:jc w:val="both"/>
        <w:rPr>
          <w:lang w:val="en-GB"/>
        </w:rPr>
      </w:pPr>
      <w:r>
        <w:rPr>
          <w:lang w:val="en-GB"/>
        </w:rPr>
        <w:t>Implementation of the Convention on the Elimination of All Forms of Racial Discrimination in Finland</w:t>
      </w:r>
    </w:p>
    <w:p w:rsidR="00C779EC" w:rsidRDefault="00C779EC" w:rsidP="00C779EC">
      <w:pPr>
        <w:pStyle w:val="alaEI"/>
        <w:spacing w:line="276" w:lineRule="auto"/>
        <w:jc w:val="both"/>
        <w:rPr>
          <w:lang w:val="en-GB"/>
        </w:rPr>
      </w:pPr>
    </w:p>
    <w:p w:rsidR="00C779EC" w:rsidRPr="005214A6" w:rsidRDefault="00C779EC" w:rsidP="00C779EC">
      <w:pPr>
        <w:pStyle w:val="alaEI"/>
        <w:spacing w:line="276" w:lineRule="auto"/>
        <w:jc w:val="both"/>
        <w:rPr>
          <w:lang w:val="en-GB"/>
        </w:rPr>
      </w:pPr>
      <w:r>
        <w:rPr>
          <w:lang w:val="en-GB"/>
        </w:rPr>
        <w:t>31.3.2017</w:t>
      </w:r>
    </w:p>
    <w:p w:rsidR="00C779EC" w:rsidRDefault="00C779EC" w:rsidP="00C779EC">
      <w:pPr>
        <w:pStyle w:val="alaEI"/>
        <w:spacing w:line="276" w:lineRule="auto"/>
        <w:jc w:val="both"/>
        <w:rPr>
          <w:rFonts w:ascii="Liberation Serif" w:hAnsi="Liberation Serif"/>
          <w:color w:val="000000"/>
          <w:szCs w:val="24"/>
          <w:lang w:val="en-GB"/>
        </w:rPr>
      </w:pPr>
    </w:p>
    <w:p w:rsidR="00C779EC"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 Finnish League for Human Rights (hereafter FLHR) is a Finnish human rights organis</w:t>
      </w:r>
      <w:r w:rsidRPr="00263C4D">
        <w:rPr>
          <w:rFonts w:ascii="Liberation Serif" w:hAnsi="Liberation Serif"/>
          <w:color w:val="000000"/>
          <w:szCs w:val="24"/>
          <w:lang w:val="en-GB"/>
        </w:rPr>
        <w:t>a</w:t>
      </w:r>
      <w:r w:rsidRPr="00263C4D">
        <w:rPr>
          <w:rFonts w:ascii="Liberation Serif" w:hAnsi="Liberation Serif"/>
          <w:color w:val="000000"/>
          <w:szCs w:val="24"/>
          <w:lang w:val="en-GB"/>
        </w:rPr>
        <w:t xml:space="preserve">tion and a member of International Federation for Human Rights (FIDH). FLHR focuses on human rights situation in Finland. FLHR thanks for the opportunity to provide its views to the Committee on the Elimination of Racial Discrimination concerning the implementation of the Convention on the Elimination of All Forms of Racial Discrimination (CERD) in Finland. In this submission, the FLHR </w:t>
      </w:r>
      <w:proofErr w:type="gramStart"/>
      <w:r w:rsidRPr="00263C4D">
        <w:rPr>
          <w:rFonts w:ascii="Liberation Serif" w:hAnsi="Liberation Serif"/>
          <w:color w:val="000000"/>
          <w:szCs w:val="24"/>
          <w:lang w:val="en-GB"/>
        </w:rPr>
        <w:t>comments upon the themes listed by the Committee in its doc</w:t>
      </w:r>
      <w:r w:rsidRPr="00263C4D">
        <w:rPr>
          <w:rFonts w:ascii="Liberation Serif" w:hAnsi="Liberation Serif"/>
          <w:color w:val="000000"/>
          <w:szCs w:val="24"/>
          <w:lang w:val="en-GB"/>
        </w:rPr>
        <w:t>u</w:t>
      </w:r>
      <w:r w:rsidRPr="00263C4D">
        <w:rPr>
          <w:rFonts w:ascii="Liberation Serif" w:hAnsi="Liberation Serif"/>
          <w:color w:val="000000"/>
          <w:szCs w:val="24"/>
          <w:lang w:val="en-GB"/>
        </w:rPr>
        <w:t>ment dated 27 February 2017 and raises</w:t>
      </w:r>
      <w:proofErr w:type="gramEnd"/>
      <w:r w:rsidRPr="00263C4D">
        <w:rPr>
          <w:rFonts w:ascii="Liberation Serif" w:hAnsi="Liberation Serif"/>
          <w:color w:val="000000"/>
          <w:szCs w:val="24"/>
          <w:lang w:val="en-GB"/>
        </w:rPr>
        <w:t xml:space="preserve"> other issues for discussion when considering Fi</w:t>
      </w:r>
      <w:r w:rsidRPr="00263C4D">
        <w:rPr>
          <w:rFonts w:ascii="Liberation Serif" w:hAnsi="Liberation Serif"/>
          <w:color w:val="000000"/>
          <w:szCs w:val="24"/>
          <w:lang w:val="en-GB"/>
        </w:rPr>
        <w:t>n</w:t>
      </w:r>
      <w:r w:rsidRPr="00263C4D">
        <w:rPr>
          <w:rFonts w:ascii="Liberation Serif" w:hAnsi="Liberation Serif"/>
          <w:color w:val="000000"/>
          <w:szCs w:val="24"/>
          <w:lang w:val="en-GB"/>
        </w:rPr>
        <w:t xml:space="preserve">land’s report. </w:t>
      </w:r>
    </w:p>
    <w:p w:rsidR="00C779EC" w:rsidRPr="00263C4D" w:rsidRDefault="00C779EC" w:rsidP="00C779EC">
      <w:pPr>
        <w:pStyle w:val="alaEI"/>
        <w:spacing w:after="120" w:line="276" w:lineRule="auto"/>
        <w:jc w:val="both"/>
        <w:rPr>
          <w:rFonts w:ascii="Liberation Serif" w:hAnsi="Liberation Serif"/>
          <w:color w:val="000000"/>
          <w:szCs w:val="24"/>
          <w:lang w:val="en-GB"/>
        </w:rPr>
      </w:pPr>
    </w:p>
    <w:p w:rsidR="00C779EC" w:rsidRPr="00263C4D" w:rsidRDefault="00C779EC" w:rsidP="00C779EC">
      <w:pPr>
        <w:pStyle w:val="H23G"/>
        <w:spacing w:before="0" w:line="276" w:lineRule="auto"/>
        <w:jc w:val="both"/>
        <w:rPr>
          <w:rFonts w:eastAsia="SimSun"/>
          <w:sz w:val="24"/>
          <w:szCs w:val="24"/>
        </w:rPr>
      </w:pPr>
      <w:r w:rsidRPr="00263C4D">
        <w:rPr>
          <w:rFonts w:eastAsia="SimSun"/>
          <w:sz w:val="24"/>
          <w:szCs w:val="24"/>
        </w:rPr>
        <w:t xml:space="preserve">1. Legal, institutional and public policy framework for combating racial </w:t>
      </w:r>
      <w:proofErr w:type="gramStart"/>
      <w:r w:rsidRPr="00263C4D">
        <w:rPr>
          <w:rFonts w:eastAsia="SimSun"/>
          <w:sz w:val="24"/>
          <w:szCs w:val="24"/>
        </w:rPr>
        <w:t>discrimination</w:t>
      </w:r>
      <w:proofErr w:type="gramEnd"/>
      <w:r w:rsidRPr="00263C4D">
        <w:rPr>
          <w:rFonts w:eastAsia="SimSun"/>
          <w:sz w:val="24"/>
          <w:szCs w:val="24"/>
        </w:rPr>
        <w:t xml:space="preserve"> (arts. 2-7)</w:t>
      </w:r>
    </w:p>
    <w:p w:rsidR="00C779EC" w:rsidRPr="00263C4D" w:rsidRDefault="00C779EC" w:rsidP="00C779EC">
      <w:pPr>
        <w:pStyle w:val="SingleTxtG"/>
        <w:spacing w:line="276" w:lineRule="auto"/>
        <w:rPr>
          <w:i/>
          <w:sz w:val="24"/>
          <w:szCs w:val="24"/>
        </w:rPr>
      </w:pPr>
      <w:r w:rsidRPr="00263C4D">
        <w:rPr>
          <w:i/>
          <w:sz w:val="24"/>
          <w:szCs w:val="24"/>
        </w:rPr>
        <w:t>4. The nature, effectiveness and impact of specific activities to raise public awareness on racist hate speech (CERD/C/FIN/CO/20-22, para. 10; CERD/C/FIN/23, paras. 97, 99 and 104).</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During the previous review, the government of Finland received many recommendations co</w:t>
      </w:r>
      <w:r w:rsidRPr="00263C4D">
        <w:rPr>
          <w:rFonts w:ascii="Liberation Serif" w:hAnsi="Liberation Serif"/>
          <w:color w:val="000000"/>
          <w:szCs w:val="24"/>
          <w:lang w:val="en-GB"/>
        </w:rPr>
        <w:t>n</w:t>
      </w:r>
      <w:r w:rsidRPr="00263C4D">
        <w:rPr>
          <w:rFonts w:ascii="Liberation Serif" w:hAnsi="Liberation Serif"/>
          <w:color w:val="000000"/>
          <w:szCs w:val="24"/>
          <w:lang w:val="en-GB"/>
        </w:rPr>
        <w:t>cerning racism and xenophobia. The government has launched several projects to prevent hate crimes and tackle racism. While such projects may be innovative, short-term projects are not an adequate response to a concerning situation. Racism and islamophobia need to be reco</w:t>
      </w:r>
      <w:r w:rsidRPr="00263C4D">
        <w:rPr>
          <w:rFonts w:ascii="Liberation Serif" w:hAnsi="Liberation Serif"/>
          <w:color w:val="000000"/>
          <w:szCs w:val="24"/>
          <w:lang w:val="en-GB"/>
        </w:rPr>
        <w:t>g</w:t>
      </w:r>
      <w:r w:rsidRPr="00263C4D">
        <w:rPr>
          <w:rFonts w:ascii="Liberation Serif" w:hAnsi="Liberation Serif"/>
          <w:color w:val="000000"/>
          <w:szCs w:val="24"/>
          <w:lang w:val="en-GB"/>
        </w:rPr>
        <w:t>nised and tackled with a long-term commitment and systematic response at different levels of the governance, including at municipal level. The political commitment to do so should be explicitly shown at the highest political level.</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 FLHR, the Non-Discrimination Ombudsman and the National Board for Ethnic Relations organised an event in November 2015 where all parliamentary groups renewed their commi</w:t>
      </w:r>
      <w:r w:rsidRPr="00263C4D">
        <w:rPr>
          <w:rFonts w:ascii="Liberation Serif" w:hAnsi="Liberation Serif"/>
          <w:color w:val="000000"/>
          <w:szCs w:val="24"/>
          <w:lang w:val="en-GB"/>
        </w:rPr>
        <w:t>t</w:t>
      </w:r>
      <w:r w:rsidRPr="00263C4D">
        <w:rPr>
          <w:rFonts w:ascii="Liberation Serif" w:hAnsi="Liberation Serif"/>
          <w:color w:val="000000"/>
          <w:szCs w:val="24"/>
          <w:lang w:val="en-GB"/>
        </w:rPr>
        <w:t xml:space="preserve">ment to the Charter of European Parties for a Non-Racist Society, which most of them had signed also in 2003 and 2008. Yet, members of the parliamentary </w:t>
      </w:r>
      <w:proofErr w:type="gramStart"/>
      <w:r w:rsidRPr="00263C4D">
        <w:rPr>
          <w:rFonts w:ascii="Liberation Serif" w:hAnsi="Liberation Serif"/>
          <w:color w:val="000000"/>
          <w:szCs w:val="24"/>
          <w:lang w:val="en-GB"/>
        </w:rPr>
        <w:t>parties  continue</w:t>
      </w:r>
      <w:proofErr w:type="gramEnd"/>
      <w:r w:rsidRPr="00263C4D">
        <w:rPr>
          <w:rFonts w:ascii="Liberation Serif" w:hAnsi="Liberation Serif"/>
          <w:color w:val="000000"/>
          <w:szCs w:val="24"/>
          <w:lang w:val="en-GB"/>
        </w:rPr>
        <w:t xml:space="preserve"> to make </w:t>
      </w:r>
      <w:r w:rsidRPr="00263C4D">
        <w:rPr>
          <w:rFonts w:ascii="Liberation Serif" w:hAnsi="Liberation Serif"/>
          <w:color w:val="000000"/>
          <w:szCs w:val="24"/>
          <w:lang w:val="en-GB"/>
        </w:rPr>
        <w:lastRenderedPageBreak/>
        <w:t xml:space="preserve">openly discriminatory comments e.g. in social media or in public appearances, or downplay the existence of racism. The government must follow the Recommendations of the European Commission </w:t>
      </w:r>
      <w:proofErr w:type="gramStart"/>
      <w:r w:rsidRPr="00263C4D">
        <w:rPr>
          <w:rFonts w:ascii="Liberation Serif" w:hAnsi="Liberation Serif"/>
          <w:color w:val="000000"/>
          <w:szCs w:val="24"/>
          <w:lang w:val="en-GB"/>
        </w:rPr>
        <w:t>Against</w:t>
      </w:r>
      <w:proofErr w:type="gramEnd"/>
      <w:r w:rsidRPr="00263C4D">
        <w:rPr>
          <w:rFonts w:ascii="Liberation Serif" w:hAnsi="Liberation Serif"/>
          <w:color w:val="000000"/>
          <w:szCs w:val="24"/>
          <w:lang w:val="en-GB"/>
        </w:rPr>
        <w:t xml:space="preserve"> Racism and Intolerance (ECRI) and do more to tackle racism within political parties and to condemn racist and xenophobic speech by public figures.</w:t>
      </w:r>
    </w:p>
    <w:p w:rsidR="00C779EC" w:rsidRPr="00263C4D" w:rsidRDefault="00C779EC" w:rsidP="00C779EC">
      <w:pPr>
        <w:pStyle w:val="SingleTxtG"/>
        <w:spacing w:line="276" w:lineRule="auto"/>
        <w:rPr>
          <w:i/>
          <w:sz w:val="24"/>
          <w:szCs w:val="24"/>
        </w:rPr>
      </w:pPr>
      <w:r w:rsidRPr="00263C4D">
        <w:rPr>
          <w:i/>
          <w:sz w:val="24"/>
          <w:szCs w:val="24"/>
        </w:rPr>
        <w:t xml:space="preserve">5. The effectiveness of Criminal Code amendment 511/2011 in detecting and combating racist hate speech (number of charges brought forward and number of alleged perpetrators prosecuted etc.) </w:t>
      </w:r>
      <w:proofErr w:type="gramStart"/>
      <w:r w:rsidRPr="00263C4D">
        <w:rPr>
          <w:i/>
          <w:sz w:val="24"/>
          <w:szCs w:val="24"/>
        </w:rPr>
        <w:t>(CERD/C/FIN/CO/20-22, para. 10; CERD/C/FIN/23, para. 97).</w:t>
      </w:r>
      <w:proofErr w:type="gramEnd"/>
      <w:r w:rsidRPr="00263C4D">
        <w:rPr>
          <w:i/>
          <w:sz w:val="24"/>
          <w:szCs w:val="24"/>
        </w:rPr>
        <w:t xml:space="preserve"> </w:t>
      </w:r>
    </w:p>
    <w:p w:rsidR="00C779EC" w:rsidRPr="00263C4D" w:rsidRDefault="00C779EC" w:rsidP="00C779EC">
      <w:pPr>
        <w:pStyle w:val="SingleTxtG"/>
        <w:spacing w:line="276" w:lineRule="auto"/>
        <w:rPr>
          <w:i/>
          <w:sz w:val="24"/>
          <w:szCs w:val="24"/>
        </w:rPr>
      </w:pPr>
      <w:r w:rsidRPr="00263C4D">
        <w:rPr>
          <w:i/>
          <w:sz w:val="24"/>
          <w:szCs w:val="24"/>
        </w:rPr>
        <w:t>6. The effectiveness of the training provided to police officers and members of the judicial administration concerning hate crimes, intolerance and racism (CERD/C/FIN/23, paras. 230-234).</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According to most recent reports, hate crimes have increased. In 2015 the amount of suspec</w:t>
      </w:r>
      <w:r w:rsidRPr="00263C4D">
        <w:rPr>
          <w:rFonts w:ascii="Liberation Serif" w:hAnsi="Liberation Serif"/>
          <w:color w:val="000000"/>
          <w:szCs w:val="24"/>
          <w:lang w:val="en-GB"/>
        </w:rPr>
        <w:t>t</w:t>
      </w:r>
      <w:r w:rsidRPr="00263C4D">
        <w:rPr>
          <w:rFonts w:ascii="Liberation Serif" w:hAnsi="Liberation Serif"/>
          <w:color w:val="000000"/>
          <w:szCs w:val="24"/>
          <w:lang w:val="en-GB"/>
        </w:rPr>
        <w:t>ed hate crimes that were reported to the police rose by 52% to 1 250 cases. According to P</w:t>
      </w:r>
      <w:r w:rsidRPr="00263C4D">
        <w:rPr>
          <w:rFonts w:ascii="Liberation Serif" w:hAnsi="Liberation Serif"/>
          <w:color w:val="000000"/>
          <w:szCs w:val="24"/>
          <w:lang w:val="en-GB"/>
        </w:rPr>
        <w:t>o</w:t>
      </w:r>
      <w:r w:rsidRPr="00263C4D">
        <w:rPr>
          <w:rFonts w:ascii="Liberation Serif" w:hAnsi="Liberation Serif"/>
          <w:color w:val="000000"/>
          <w:szCs w:val="24"/>
          <w:lang w:val="en-GB"/>
        </w:rPr>
        <w:t xml:space="preserve">lice University Academy the number year before (2014) was 822. Racially motivated crimes rose by 46% while other </w:t>
      </w:r>
      <w:proofErr w:type="gramStart"/>
      <w:r w:rsidRPr="00263C4D">
        <w:rPr>
          <w:rFonts w:ascii="Liberation Serif" w:hAnsi="Liberation Serif"/>
          <w:color w:val="000000"/>
          <w:szCs w:val="24"/>
          <w:lang w:val="en-GB"/>
        </w:rPr>
        <w:t>hate</w:t>
      </w:r>
      <w:proofErr w:type="gramEnd"/>
      <w:r w:rsidRPr="00263C4D">
        <w:rPr>
          <w:rFonts w:ascii="Liberation Serif" w:hAnsi="Liberation Serif"/>
          <w:color w:val="000000"/>
          <w:szCs w:val="24"/>
          <w:lang w:val="en-GB"/>
        </w:rPr>
        <w:t xml:space="preserve"> crimes by 79.9% versus 2014.</w:t>
      </w:r>
      <w:r w:rsidRPr="00263C4D">
        <w:rPr>
          <w:rStyle w:val="FootnoteReference"/>
          <w:rFonts w:ascii="Liberation Serif" w:hAnsi="Liberation Serif"/>
          <w:color w:val="000000"/>
          <w:szCs w:val="24"/>
          <w:lang w:val="en-GB"/>
        </w:rPr>
        <w:footnoteReference w:id="1"/>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While the increase may positively reflect increased recognition of hate motive in criminal procedures, previous studies show that victims of hate crimes sometimes refrain from refe</w:t>
      </w:r>
      <w:r w:rsidRPr="00263C4D">
        <w:rPr>
          <w:rFonts w:ascii="Liberation Serif" w:hAnsi="Liberation Serif"/>
          <w:color w:val="000000"/>
          <w:szCs w:val="24"/>
          <w:lang w:val="en-GB"/>
        </w:rPr>
        <w:t>r</w:t>
      </w:r>
      <w:r w:rsidRPr="00263C4D">
        <w:rPr>
          <w:rFonts w:ascii="Liberation Serif" w:hAnsi="Liberation Serif"/>
          <w:color w:val="000000"/>
          <w:szCs w:val="24"/>
          <w:lang w:val="en-GB"/>
        </w:rPr>
        <w:t>ring to the crimes committed against them as hate crimes because of negative previous exp</w:t>
      </w:r>
      <w:r w:rsidRPr="00263C4D">
        <w:rPr>
          <w:rFonts w:ascii="Liberation Serif" w:hAnsi="Liberation Serif"/>
          <w:color w:val="000000"/>
          <w:szCs w:val="24"/>
          <w:lang w:val="en-GB"/>
        </w:rPr>
        <w:t>e</w:t>
      </w:r>
      <w:r w:rsidRPr="00263C4D">
        <w:rPr>
          <w:rFonts w:ascii="Liberation Serif" w:hAnsi="Liberation Serif"/>
          <w:color w:val="000000"/>
          <w:szCs w:val="24"/>
          <w:lang w:val="en-GB"/>
        </w:rPr>
        <w:t>riences within the justice system or for lack of information; the police also appears to not a</w:t>
      </w:r>
      <w:r w:rsidRPr="00263C4D">
        <w:rPr>
          <w:rFonts w:ascii="Liberation Serif" w:hAnsi="Liberation Serif"/>
          <w:color w:val="000000"/>
          <w:szCs w:val="24"/>
          <w:lang w:val="en-GB"/>
        </w:rPr>
        <w:t>l</w:t>
      </w:r>
      <w:r w:rsidRPr="00263C4D">
        <w:rPr>
          <w:rFonts w:ascii="Liberation Serif" w:hAnsi="Liberation Serif"/>
          <w:color w:val="000000"/>
          <w:szCs w:val="24"/>
          <w:lang w:val="en-GB"/>
        </w:rPr>
        <w:t>ways be capable of recognising hate motives behind the crime</w:t>
      </w:r>
      <w:r w:rsidRPr="00263C4D">
        <w:rPr>
          <w:rStyle w:val="FootnoteReference"/>
          <w:rFonts w:ascii="Liberation Serif" w:hAnsi="Liberation Serif"/>
          <w:color w:val="000000"/>
          <w:szCs w:val="24"/>
          <w:lang w:val="en-GB"/>
        </w:rPr>
        <w:footnoteReference w:id="2"/>
      </w:r>
      <w:r w:rsidRPr="00263C4D">
        <w:rPr>
          <w:rFonts w:ascii="Liberation Serif" w:hAnsi="Liberation Serif"/>
          <w:color w:val="000000"/>
          <w:szCs w:val="24"/>
          <w:lang w:val="en-GB"/>
        </w:rPr>
        <w:t xml:space="preserve">. Thus, hate motives seem not </w:t>
      </w:r>
      <w:proofErr w:type="gramStart"/>
      <w:r w:rsidRPr="00263C4D">
        <w:rPr>
          <w:rFonts w:ascii="Liberation Serif" w:hAnsi="Liberation Serif"/>
          <w:color w:val="000000"/>
          <w:szCs w:val="24"/>
          <w:lang w:val="en-GB"/>
        </w:rPr>
        <w:t>be</w:t>
      </w:r>
      <w:proofErr w:type="gramEnd"/>
      <w:r w:rsidRPr="00263C4D">
        <w:rPr>
          <w:rFonts w:ascii="Liberation Serif" w:hAnsi="Liberation Serif"/>
          <w:color w:val="000000"/>
          <w:szCs w:val="24"/>
          <w:lang w:val="en-GB"/>
        </w:rPr>
        <w:t xml:space="preserve"> duly taken into consideration at all phases of the criminal procedure. Law enforcement authorities and the judiciary should be trained in order to be able to develop a systematic a</w:t>
      </w:r>
      <w:r w:rsidRPr="00263C4D">
        <w:rPr>
          <w:rFonts w:ascii="Liberation Serif" w:hAnsi="Liberation Serif"/>
          <w:color w:val="000000"/>
          <w:szCs w:val="24"/>
          <w:lang w:val="en-GB"/>
        </w:rPr>
        <w:t>p</w:t>
      </w:r>
      <w:r w:rsidRPr="00263C4D">
        <w:rPr>
          <w:rFonts w:ascii="Liberation Serif" w:hAnsi="Liberation Serif"/>
          <w:color w:val="000000"/>
          <w:szCs w:val="24"/>
          <w:lang w:val="en-GB"/>
        </w:rPr>
        <w:t xml:space="preserve">proach to hate crimes. According to a recent shadow report by the NGO European Network </w:t>
      </w:r>
      <w:proofErr w:type="gramStart"/>
      <w:r w:rsidRPr="00263C4D">
        <w:rPr>
          <w:rFonts w:ascii="Liberation Serif" w:hAnsi="Liberation Serif"/>
          <w:color w:val="000000"/>
          <w:szCs w:val="24"/>
          <w:lang w:val="en-GB"/>
        </w:rPr>
        <w:t>Against</w:t>
      </w:r>
      <w:proofErr w:type="gramEnd"/>
      <w:r w:rsidRPr="00263C4D">
        <w:rPr>
          <w:rFonts w:ascii="Liberation Serif" w:hAnsi="Liberation Serif"/>
          <w:color w:val="000000"/>
          <w:szCs w:val="24"/>
          <w:lang w:val="en-GB"/>
        </w:rPr>
        <w:t xml:space="preserve"> Racism hate crimes are underreported in Finland, like in many countries in Europe. </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 Finnish penal code does not recognize the term “hate crime”. Instead in section 5 in Fin</w:t>
      </w:r>
      <w:r w:rsidRPr="00263C4D">
        <w:rPr>
          <w:rFonts w:ascii="Liberation Serif" w:hAnsi="Liberation Serif"/>
          <w:color w:val="000000"/>
          <w:szCs w:val="24"/>
          <w:lang w:val="en-GB"/>
        </w:rPr>
        <w:t>n</w:t>
      </w:r>
      <w:r w:rsidRPr="00263C4D">
        <w:rPr>
          <w:rFonts w:ascii="Liberation Serif" w:hAnsi="Liberation Serif"/>
          <w:color w:val="000000"/>
          <w:szCs w:val="24"/>
          <w:lang w:val="en-GB"/>
        </w:rPr>
        <w:t xml:space="preserve">ish criminal code gives grounds for increasing punishment if the crime’s motive is based on race, skin colour, birth status, national or ethnic origin, religion or belief, sexual orientation or disability or </w:t>
      </w:r>
      <w:proofErr w:type="gramStart"/>
      <w:r w:rsidRPr="00263C4D">
        <w:rPr>
          <w:rFonts w:ascii="Liberation Serif" w:hAnsi="Liberation Serif"/>
          <w:color w:val="000000"/>
          <w:szCs w:val="24"/>
          <w:lang w:val="en-GB"/>
        </w:rPr>
        <w:t>another corresponding grounds</w:t>
      </w:r>
      <w:proofErr w:type="gramEnd"/>
      <w:r w:rsidRPr="00263C4D">
        <w:rPr>
          <w:rFonts w:ascii="Liberation Serif" w:hAnsi="Liberation Serif"/>
          <w:color w:val="000000"/>
          <w:szCs w:val="24"/>
          <w:lang w:val="en-GB"/>
        </w:rPr>
        <w:t>. Whether the current legislation is adequate to tackle hate crimes, should be carefully assessed.</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We welcome the recent initiative of the Finnish Police to organise training in collaboration with the Organisation for Security and Cooperation in Europe (OSCE) on hate crimes. Ho</w:t>
      </w:r>
      <w:r w:rsidRPr="00263C4D">
        <w:rPr>
          <w:rFonts w:ascii="Liberation Serif" w:hAnsi="Liberation Serif"/>
          <w:color w:val="000000"/>
          <w:szCs w:val="24"/>
          <w:lang w:val="en-GB"/>
        </w:rPr>
        <w:t>w</w:t>
      </w:r>
      <w:r w:rsidRPr="00263C4D">
        <w:rPr>
          <w:rFonts w:ascii="Liberation Serif" w:hAnsi="Liberation Serif"/>
          <w:color w:val="000000"/>
          <w:szCs w:val="24"/>
          <w:lang w:val="en-GB"/>
        </w:rPr>
        <w:t>ever, training on hate crimes without a broader understanding of human rights is too narrow. Students of the Police Academy already have human rights components in their curricula, but more senior police officers do not necessarily receive any complementary training on human rights as such training is voluntary.</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lastRenderedPageBreak/>
        <w:t>We also welcome the fact that the Government in 2016 allocated 15 million euros to tackle hate speech and hate crimes. It has established in 2017 a special unit within the Police to combat hate crimes. However, the Government should from early on think of the sustainabi</w:t>
      </w:r>
      <w:r w:rsidRPr="00263C4D">
        <w:rPr>
          <w:rFonts w:ascii="Liberation Serif" w:hAnsi="Liberation Serif"/>
          <w:color w:val="000000"/>
          <w:szCs w:val="24"/>
          <w:lang w:val="en-GB"/>
        </w:rPr>
        <w:t>l</w:t>
      </w:r>
      <w:r w:rsidRPr="00263C4D">
        <w:rPr>
          <w:rFonts w:ascii="Liberation Serif" w:hAnsi="Liberation Serif"/>
          <w:color w:val="000000"/>
          <w:szCs w:val="24"/>
          <w:lang w:val="en-GB"/>
        </w:rPr>
        <w:t>ity of the Unit’s action, as the allocated resources appear planned for a short time frame. This work needs sustained actions and resources with a long-term vision.</w:t>
      </w:r>
    </w:p>
    <w:p w:rsidR="00C779EC" w:rsidRPr="00263C4D" w:rsidRDefault="00C779EC" w:rsidP="00C779EC">
      <w:pPr>
        <w:pStyle w:val="alaEI"/>
        <w:spacing w:after="120" w:line="276" w:lineRule="auto"/>
        <w:jc w:val="both"/>
        <w:rPr>
          <w:rFonts w:ascii="Liberation Serif" w:hAnsi="Liberation Serif"/>
          <w:color w:val="000000"/>
          <w:szCs w:val="24"/>
          <w:u w:val="single"/>
          <w:lang w:val="en-GB"/>
        </w:rPr>
      </w:pPr>
      <w:r w:rsidRPr="00263C4D">
        <w:rPr>
          <w:rFonts w:ascii="Liberation Serif" w:hAnsi="Liberation Serif"/>
          <w:color w:val="000000"/>
          <w:szCs w:val="24"/>
          <w:u w:val="single"/>
          <w:lang w:val="en-GB"/>
        </w:rPr>
        <w:t>Recommendations:</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 Ensure that law enforcement officials at all levels receive systematic and mandatory training on human rights, including anti-discrimination and hate crimes; specific training should be provided so as to ensure the development of specialised units with expertise on human rights, anti-discrimination and hate crimes within the Police and other law enforcement bodies;.</w:t>
      </w:r>
    </w:p>
    <w:p w:rsidR="00C779EC" w:rsidRPr="00263C4D" w:rsidRDefault="00C779EC" w:rsidP="00C779EC">
      <w:pPr>
        <w:pStyle w:val="alaEI"/>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 The government must ensure that hate crime and speech are adequately and promptly inve</w:t>
      </w:r>
      <w:r w:rsidRPr="00263C4D">
        <w:rPr>
          <w:rFonts w:ascii="Liberation Serif" w:hAnsi="Liberation Serif"/>
          <w:color w:val="000000"/>
          <w:szCs w:val="24"/>
          <w:lang w:val="en-GB"/>
        </w:rPr>
        <w:t>s</w:t>
      </w:r>
      <w:r w:rsidRPr="00263C4D">
        <w:rPr>
          <w:rFonts w:ascii="Liberation Serif" w:hAnsi="Liberation Serif"/>
          <w:color w:val="000000"/>
          <w:szCs w:val="24"/>
          <w:lang w:val="en-GB"/>
        </w:rPr>
        <w:t>tigated and prosecuted; racist and xenophobic discourse should be addressed by the author</w:t>
      </w:r>
      <w:r w:rsidRPr="00263C4D">
        <w:rPr>
          <w:rFonts w:ascii="Liberation Serif" w:hAnsi="Liberation Serif"/>
          <w:color w:val="000000"/>
          <w:szCs w:val="24"/>
          <w:lang w:val="en-GB"/>
        </w:rPr>
        <w:t>i</w:t>
      </w:r>
      <w:r w:rsidRPr="00263C4D">
        <w:rPr>
          <w:rFonts w:ascii="Liberation Serif" w:hAnsi="Liberation Serif"/>
          <w:color w:val="000000"/>
          <w:szCs w:val="24"/>
          <w:lang w:val="en-GB"/>
        </w:rPr>
        <w:t>ties The Government should also review existing legislation concerning hate crimes and quickly consider necessary amendments.</w:t>
      </w:r>
    </w:p>
    <w:p w:rsidR="00C779EC" w:rsidRPr="00263C4D" w:rsidRDefault="00C779EC" w:rsidP="00C779EC">
      <w:pPr>
        <w:pStyle w:val="SingleTxtG"/>
        <w:spacing w:line="276" w:lineRule="auto"/>
        <w:rPr>
          <w:i/>
          <w:sz w:val="24"/>
          <w:szCs w:val="24"/>
        </w:rPr>
      </w:pPr>
      <w:r w:rsidRPr="00263C4D">
        <w:rPr>
          <w:i/>
          <w:sz w:val="24"/>
          <w:szCs w:val="24"/>
        </w:rPr>
        <w:t>Other legal and institutional issues</w:t>
      </w:r>
    </w:p>
    <w:p w:rsidR="00C779EC" w:rsidRPr="00263C4D" w:rsidRDefault="00C779EC" w:rsidP="00C779EC">
      <w:pPr>
        <w:pStyle w:val="alaEI"/>
        <w:spacing w:after="120" w:line="276" w:lineRule="auto"/>
        <w:jc w:val="both"/>
        <w:rPr>
          <w:rFonts w:ascii="Liberation Serif" w:hAnsi="Liberation Serif" w:cs="Arial"/>
          <w:color w:val="000000"/>
          <w:szCs w:val="24"/>
          <w:lang w:val="en-GB" w:eastAsia="fi-FI"/>
        </w:rPr>
      </w:pPr>
      <w:r w:rsidRPr="00263C4D">
        <w:rPr>
          <w:rFonts w:ascii="Liberation Serif" w:hAnsi="Liberation Serif"/>
          <w:color w:val="000000"/>
          <w:szCs w:val="24"/>
          <w:lang w:val="en-GB"/>
        </w:rPr>
        <w:t>FLHR welcomes the adoption of the new, broader Non-Discrimination Act in 2015. However, it is problematic that the Non-Discrimination Ombudsman’s supervision mandate excludes discrimination in employment. T</w:t>
      </w:r>
      <w:r w:rsidRPr="00263C4D">
        <w:rPr>
          <w:rFonts w:ascii="Liberation Serif" w:hAnsi="Liberation Serif" w:cs="Arial"/>
          <w:color w:val="000000"/>
          <w:szCs w:val="24"/>
          <w:lang w:val="en-GB" w:eastAsia="fi-FI"/>
        </w:rPr>
        <w:t>he National Non-Discrimination and Equality Tribunal can examine cases of discrimination in employment but only regarding gender-based discrimin</w:t>
      </w:r>
      <w:r w:rsidRPr="00263C4D">
        <w:rPr>
          <w:rFonts w:ascii="Liberation Serif" w:hAnsi="Liberation Serif" w:cs="Arial"/>
          <w:color w:val="000000"/>
          <w:szCs w:val="24"/>
          <w:lang w:val="en-GB" w:eastAsia="fi-FI"/>
        </w:rPr>
        <w:t>a</w:t>
      </w:r>
      <w:r w:rsidRPr="00263C4D">
        <w:rPr>
          <w:rFonts w:ascii="Liberation Serif" w:hAnsi="Liberation Serif" w:cs="Arial"/>
          <w:color w:val="000000"/>
          <w:szCs w:val="24"/>
          <w:lang w:val="en-GB" w:eastAsia="fi-FI"/>
        </w:rPr>
        <w:t>tion and discrimination based on sexual orientation and gender identity. The current legisl</w:t>
      </w:r>
      <w:r w:rsidRPr="00263C4D">
        <w:rPr>
          <w:rFonts w:ascii="Liberation Serif" w:hAnsi="Liberation Serif" w:cs="Arial"/>
          <w:color w:val="000000"/>
          <w:szCs w:val="24"/>
          <w:lang w:val="en-GB" w:eastAsia="fi-FI"/>
        </w:rPr>
        <w:t>a</w:t>
      </w:r>
      <w:r w:rsidRPr="00263C4D">
        <w:rPr>
          <w:rFonts w:ascii="Liberation Serif" w:hAnsi="Liberation Serif" w:cs="Arial"/>
          <w:color w:val="000000"/>
          <w:szCs w:val="24"/>
          <w:lang w:val="en-GB" w:eastAsia="fi-FI"/>
        </w:rPr>
        <w:t xml:space="preserve">tive and policy framework makes it difficult to recognise </w:t>
      </w:r>
      <w:proofErr w:type="gramStart"/>
      <w:r w:rsidRPr="00263C4D">
        <w:rPr>
          <w:rFonts w:ascii="Liberation Serif" w:hAnsi="Liberation Serif" w:cs="Arial"/>
          <w:color w:val="000000"/>
          <w:szCs w:val="24"/>
          <w:lang w:val="en-GB" w:eastAsia="fi-FI"/>
        </w:rPr>
        <w:t>multiple discrimination</w:t>
      </w:r>
      <w:proofErr w:type="gramEnd"/>
      <w:r w:rsidRPr="00263C4D">
        <w:rPr>
          <w:rFonts w:ascii="Liberation Serif" w:hAnsi="Liberation Serif" w:cs="Arial"/>
          <w:color w:val="000000"/>
          <w:szCs w:val="24"/>
          <w:lang w:val="en-GB" w:eastAsia="fi-FI"/>
        </w:rPr>
        <w:t>. For an ind</w:t>
      </w:r>
      <w:r w:rsidRPr="00263C4D">
        <w:rPr>
          <w:rFonts w:ascii="Liberation Serif" w:hAnsi="Liberation Serif" w:cs="Arial"/>
          <w:color w:val="000000"/>
          <w:szCs w:val="24"/>
          <w:lang w:val="en-GB" w:eastAsia="fi-FI"/>
        </w:rPr>
        <w:t>i</w:t>
      </w:r>
      <w:r w:rsidRPr="00263C4D">
        <w:rPr>
          <w:rFonts w:ascii="Liberation Serif" w:hAnsi="Liberation Serif" w:cs="Arial"/>
          <w:color w:val="000000"/>
          <w:szCs w:val="24"/>
          <w:lang w:val="en-GB" w:eastAsia="fi-FI"/>
        </w:rPr>
        <w:t>vidual experiencing discrimination, the asymmetric mandates of the Ombudsman and the Tr</w:t>
      </w:r>
      <w:r w:rsidRPr="00263C4D">
        <w:rPr>
          <w:rFonts w:ascii="Liberation Serif" w:hAnsi="Liberation Serif" w:cs="Arial"/>
          <w:color w:val="000000"/>
          <w:szCs w:val="24"/>
          <w:lang w:val="en-GB" w:eastAsia="fi-FI"/>
        </w:rPr>
        <w:t>i</w:t>
      </w:r>
      <w:r w:rsidRPr="00263C4D">
        <w:rPr>
          <w:rFonts w:ascii="Liberation Serif" w:hAnsi="Liberation Serif" w:cs="Arial"/>
          <w:color w:val="000000"/>
          <w:szCs w:val="24"/>
          <w:lang w:val="en-GB" w:eastAsia="fi-FI"/>
        </w:rPr>
        <w:t>bunal may be confusing and hinder access to justice.</w:t>
      </w:r>
    </w:p>
    <w:p w:rsidR="00C779EC" w:rsidRDefault="00C779EC" w:rsidP="00C779EC">
      <w:pPr>
        <w:spacing w:after="120" w:line="276" w:lineRule="auto"/>
        <w:jc w:val="both"/>
        <w:rPr>
          <w:rFonts w:ascii="Liberation Serif" w:hAnsi="Liberation Serif" w:cs="Arial"/>
          <w:color w:val="000000"/>
          <w:szCs w:val="24"/>
          <w:u w:val="single"/>
          <w:lang w:val="en-GB" w:eastAsia="fi-FI"/>
        </w:rPr>
      </w:pPr>
    </w:p>
    <w:p w:rsidR="00C779EC" w:rsidRDefault="00C779EC" w:rsidP="00C779EC">
      <w:pPr>
        <w:spacing w:after="120" w:line="276" w:lineRule="auto"/>
        <w:jc w:val="both"/>
        <w:rPr>
          <w:rFonts w:ascii="Liberation Serif" w:hAnsi="Liberation Serif" w:cs="Arial"/>
          <w:color w:val="000000"/>
          <w:szCs w:val="24"/>
          <w:u w:val="single"/>
          <w:lang w:val="en-GB" w:eastAsia="fi-FI"/>
        </w:rPr>
      </w:pPr>
    </w:p>
    <w:p w:rsidR="00C779EC" w:rsidRPr="00263C4D" w:rsidRDefault="00C779EC" w:rsidP="00C779EC">
      <w:pPr>
        <w:spacing w:after="120" w:line="276" w:lineRule="auto"/>
        <w:jc w:val="both"/>
        <w:rPr>
          <w:rFonts w:ascii="Liberation Serif" w:hAnsi="Liberation Serif" w:cs="Arial"/>
          <w:color w:val="000000"/>
          <w:szCs w:val="24"/>
          <w:u w:val="single"/>
          <w:lang w:val="en-GB" w:eastAsia="fi-FI"/>
        </w:rPr>
      </w:pPr>
      <w:r w:rsidRPr="00263C4D">
        <w:rPr>
          <w:rFonts w:ascii="Liberation Serif" w:hAnsi="Liberation Serif" w:cs="Arial"/>
          <w:color w:val="000000"/>
          <w:szCs w:val="24"/>
          <w:u w:val="single"/>
          <w:lang w:val="en-GB" w:eastAsia="fi-FI"/>
        </w:rPr>
        <w:t>Recommendation:</w:t>
      </w:r>
    </w:p>
    <w:p w:rsidR="00C779EC" w:rsidRPr="00263C4D" w:rsidRDefault="00C779EC" w:rsidP="00C779EC">
      <w:pPr>
        <w:spacing w:after="120" w:line="276" w:lineRule="auto"/>
        <w:jc w:val="both"/>
        <w:rPr>
          <w:rFonts w:ascii="Liberation Serif" w:hAnsi="Liberation Serif" w:cs="Arial"/>
          <w:color w:val="000000"/>
          <w:szCs w:val="24"/>
          <w:lang w:val="en-GB" w:eastAsia="fi-FI"/>
        </w:rPr>
      </w:pPr>
      <w:r w:rsidRPr="00263C4D">
        <w:rPr>
          <w:rFonts w:ascii="Liberation Serif" w:hAnsi="Liberation Serif" w:cs="Arial"/>
          <w:color w:val="000000"/>
          <w:szCs w:val="24"/>
          <w:lang w:val="en-GB" w:eastAsia="fi-FI"/>
        </w:rPr>
        <w:t>- Expand and harmonise the mandates of the Non-Discrimination Ombudsman and the N</w:t>
      </w:r>
      <w:r w:rsidRPr="00263C4D">
        <w:rPr>
          <w:rFonts w:ascii="Liberation Serif" w:hAnsi="Liberation Serif" w:cs="Arial"/>
          <w:color w:val="000000"/>
          <w:szCs w:val="24"/>
          <w:lang w:val="en-GB" w:eastAsia="fi-FI"/>
        </w:rPr>
        <w:t>a</w:t>
      </w:r>
      <w:r w:rsidRPr="00263C4D">
        <w:rPr>
          <w:rFonts w:ascii="Liberation Serif" w:hAnsi="Liberation Serif" w:cs="Arial"/>
          <w:color w:val="000000"/>
          <w:szCs w:val="24"/>
          <w:lang w:val="en-GB" w:eastAsia="fi-FI"/>
        </w:rPr>
        <w:t>tional Non-Discrimination and Equality Tribunal so as to include discrimination in emplo</w:t>
      </w:r>
      <w:r w:rsidRPr="00263C4D">
        <w:rPr>
          <w:rFonts w:ascii="Liberation Serif" w:hAnsi="Liberation Serif" w:cs="Arial"/>
          <w:color w:val="000000"/>
          <w:szCs w:val="24"/>
          <w:lang w:val="en-GB" w:eastAsia="fi-FI"/>
        </w:rPr>
        <w:t>y</w:t>
      </w:r>
      <w:r w:rsidRPr="00263C4D">
        <w:rPr>
          <w:rFonts w:ascii="Liberation Serif" w:hAnsi="Liberation Serif" w:cs="Arial"/>
          <w:color w:val="000000"/>
          <w:szCs w:val="24"/>
          <w:lang w:val="en-GB" w:eastAsia="fi-FI"/>
        </w:rPr>
        <w:t>ment, and on all grounds.</w:t>
      </w:r>
    </w:p>
    <w:p w:rsidR="00C779EC" w:rsidRDefault="00C779EC" w:rsidP="00C779EC">
      <w:pPr>
        <w:pStyle w:val="H23G"/>
        <w:spacing w:before="0" w:line="276" w:lineRule="auto"/>
        <w:jc w:val="both"/>
        <w:rPr>
          <w:rFonts w:eastAsia="SimSun"/>
          <w:sz w:val="24"/>
          <w:szCs w:val="24"/>
        </w:rPr>
      </w:pPr>
    </w:p>
    <w:p w:rsidR="00C779EC" w:rsidRPr="00263C4D" w:rsidRDefault="00C779EC" w:rsidP="00C779EC">
      <w:pPr>
        <w:pStyle w:val="H23G"/>
        <w:spacing w:before="0" w:line="276" w:lineRule="auto"/>
        <w:jc w:val="both"/>
        <w:rPr>
          <w:rFonts w:eastAsia="SimSun"/>
          <w:sz w:val="24"/>
          <w:szCs w:val="24"/>
        </w:rPr>
      </w:pPr>
      <w:r w:rsidRPr="00263C4D">
        <w:rPr>
          <w:rFonts w:eastAsia="SimSun"/>
          <w:sz w:val="24"/>
          <w:szCs w:val="24"/>
        </w:rPr>
        <w:t xml:space="preserve">2. Situation of the Sami (arts. 2-7) </w:t>
      </w:r>
    </w:p>
    <w:p w:rsidR="00C779EC" w:rsidRPr="00263C4D" w:rsidRDefault="00C779EC" w:rsidP="00C779EC">
      <w:pPr>
        <w:pStyle w:val="SingleTxtG"/>
        <w:spacing w:line="276" w:lineRule="auto"/>
        <w:rPr>
          <w:i/>
          <w:sz w:val="24"/>
          <w:szCs w:val="24"/>
        </w:rPr>
      </w:pPr>
      <w:r w:rsidRPr="00263C4D">
        <w:rPr>
          <w:i/>
          <w:sz w:val="24"/>
          <w:szCs w:val="24"/>
        </w:rPr>
        <w:t xml:space="preserve">7. Any efforts to revise the Sami Parliament Act (since the cancellation of bill 167/2014 in March 2015) and to incorporate into domestic law the Nordic Sami Convention that was signed on 13 January 2017 (CERD/C/FIN/CO/20-22, paras. 11-12; </w:t>
      </w:r>
      <w:r w:rsidRPr="00263C4D">
        <w:rPr>
          <w:i/>
          <w:sz w:val="24"/>
          <w:szCs w:val="24"/>
        </w:rPr>
        <w:lastRenderedPageBreak/>
        <w:t>CERD/C/FIN/23, para. 140).</w:t>
      </w:r>
    </w:p>
    <w:p w:rsidR="00C779EC" w:rsidRPr="00263C4D" w:rsidRDefault="00C779EC" w:rsidP="00C779EC">
      <w:pPr>
        <w:pStyle w:val="SingleTxtG"/>
        <w:spacing w:line="276" w:lineRule="auto"/>
        <w:rPr>
          <w:i/>
          <w:sz w:val="24"/>
          <w:szCs w:val="24"/>
        </w:rPr>
      </w:pPr>
      <w:r w:rsidRPr="00263C4D">
        <w:rPr>
          <w:i/>
          <w:sz w:val="24"/>
          <w:szCs w:val="24"/>
        </w:rPr>
        <w:t>8. Legislative measures to protect the rights of the Sami people in their traditional lands and to resume consideration of the proposal to ratify the Indigenous and Tribal Peoples Convention, 1989 (No. 169), of the International Labour Organization (CERD/C/FIN/CO/20-22, para. 13; CERD/C/FIN/23, paras. 256-259).</w:t>
      </w:r>
    </w:p>
    <w:p w:rsidR="00C779EC" w:rsidRPr="00263C4D" w:rsidRDefault="00C779EC" w:rsidP="00C779EC">
      <w:pPr>
        <w:pStyle w:val="SingleTxtG"/>
        <w:spacing w:line="276" w:lineRule="auto"/>
        <w:rPr>
          <w:i/>
          <w:sz w:val="24"/>
          <w:szCs w:val="24"/>
        </w:rPr>
      </w:pPr>
      <w:r w:rsidRPr="00263C4D">
        <w:rPr>
          <w:i/>
          <w:sz w:val="24"/>
          <w:szCs w:val="24"/>
        </w:rPr>
        <w:t>9. Measures to protect the traditional Sami livelihood activities of fishing and reindeer husbandry (CERD/C/FIN/CO/20-22, para. 13).</w:t>
      </w:r>
    </w:p>
    <w:p w:rsidR="00C779EC"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Since the previous report, the policies of the government of Finland regarding the Sami pe</w:t>
      </w:r>
      <w:r w:rsidRPr="00263C4D">
        <w:rPr>
          <w:rFonts w:ascii="Liberation Serif" w:hAnsi="Liberation Serif"/>
          <w:color w:val="000000"/>
          <w:szCs w:val="24"/>
          <w:lang w:val="en-GB"/>
        </w:rPr>
        <w:t>o</w:t>
      </w:r>
      <w:r w:rsidRPr="00263C4D">
        <w:rPr>
          <w:rFonts w:ascii="Liberation Serif" w:hAnsi="Liberation Serif"/>
          <w:color w:val="000000"/>
          <w:szCs w:val="24"/>
          <w:lang w:val="en-GB"/>
        </w:rPr>
        <w:t>ple have moved in a problematic direction. Ratifying the ILO Convention 169 failed under the previous Government, and the current government did not include ratification in its Strategic Program. In other legislation, notably the new (March 2016) Finnish Forest and Park Ente</w:t>
      </w:r>
      <w:r w:rsidRPr="00263C4D">
        <w:rPr>
          <w:rFonts w:ascii="Liberation Serif" w:hAnsi="Liberation Serif"/>
          <w:color w:val="000000"/>
          <w:szCs w:val="24"/>
          <w:lang w:val="en-GB"/>
        </w:rPr>
        <w:t>r</w:t>
      </w:r>
      <w:r w:rsidRPr="00263C4D">
        <w:rPr>
          <w:rFonts w:ascii="Liberation Serif" w:hAnsi="Liberation Serif"/>
          <w:color w:val="000000"/>
          <w:szCs w:val="24"/>
          <w:lang w:val="en-GB"/>
        </w:rPr>
        <w:t>prise Act, the provisions on protecting the rights of the Sami people were removed. In co</w:t>
      </w:r>
      <w:r w:rsidRPr="00263C4D">
        <w:rPr>
          <w:rFonts w:ascii="Liberation Serif" w:hAnsi="Liberation Serif"/>
          <w:color w:val="000000"/>
          <w:szCs w:val="24"/>
          <w:lang w:val="en-GB"/>
        </w:rPr>
        <w:t>n</w:t>
      </w:r>
      <w:r w:rsidRPr="00263C4D">
        <w:rPr>
          <w:rFonts w:ascii="Liberation Serif" w:hAnsi="Liberation Serif"/>
          <w:color w:val="000000"/>
          <w:szCs w:val="24"/>
          <w:lang w:val="en-GB"/>
        </w:rPr>
        <w:t>trast with what is provided for in the Mining Act, under the Forest and Park Enterprise Act the Sami Parliament and the Skolt Sami Village Council do not have an independent right of a</w:t>
      </w:r>
      <w:r w:rsidRPr="00263C4D">
        <w:rPr>
          <w:rFonts w:ascii="Liberation Serif" w:hAnsi="Liberation Serif"/>
          <w:color w:val="000000"/>
          <w:szCs w:val="24"/>
          <w:lang w:val="en-GB"/>
        </w:rPr>
        <w:t>p</w:t>
      </w:r>
      <w:r w:rsidRPr="00263C4D">
        <w:rPr>
          <w:rFonts w:ascii="Liberation Serif" w:hAnsi="Liberation Serif"/>
          <w:color w:val="000000"/>
          <w:szCs w:val="24"/>
          <w:lang w:val="en-GB"/>
        </w:rPr>
        <w:t xml:space="preserve">peal concerning permits granted on ground that the proposed activities undermine the rights of the Sami as an indigenous people. More recently Finnish and Norwegian governments signed a treaty on fishing in </w:t>
      </w:r>
      <w:proofErr w:type="spellStart"/>
      <w:r w:rsidRPr="00263C4D">
        <w:rPr>
          <w:rFonts w:ascii="Liberation Serif" w:hAnsi="Liberation Serif"/>
          <w:color w:val="000000"/>
          <w:szCs w:val="24"/>
          <w:lang w:val="en-GB"/>
        </w:rPr>
        <w:t>Teno</w:t>
      </w:r>
      <w:proofErr w:type="spellEnd"/>
      <w:r w:rsidRPr="00263C4D">
        <w:rPr>
          <w:rFonts w:ascii="Liberation Serif" w:hAnsi="Liberation Serif"/>
          <w:color w:val="000000"/>
          <w:szCs w:val="24"/>
          <w:lang w:val="en-GB"/>
        </w:rPr>
        <w:t xml:space="preserve"> (</w:t>
      </w:r>
      <w:proofErr w:type="spellStart"/>
      <w:r w:rsidRPr="00263C4D">
        <w:rPr>
          <w:rFonts w:ascii="Liberation Serif" w:hAnsi="Liberation Serif"/>
          <w:color w:val="000000"/>
          <w:szCs w:val="24"/>
          <w:lang w:val="en-GB"/>
        </w:rPr>
        <w:t>Deatnu</w:t>
      </w:r>
      <w:proofErr w:type="spellEnd"/>
      <w:r w:rsidRPr="00263C4D">
        <w:rPr>
          <w:rFonts w:ascii="Liberation Serif" w:hAnsi="Liberation Serif"/>
          <w:color w:val="000000"/>
          <w:szCs w:val="24"/>
          <w:lang w:val="en-GB"/>
        </w:rPr>
        <w:t xml:space="preserve">) river in September 2016. The Sami Parliament in Finland was consulted only after the treaty was signed. In March 2017, a week </w:t>
      </w:r>
      <w:proofErr w:type="spellStart"/>
      <w:r w:rsidRPr="00263C4D">
        <w:rPr>
          <w:rFonts w:ascii="Liberation Serif" w:hAnsi="Liberation Serif"/>
          <w:color w:val="000000"/>
          <w:szCs w:val="24"/>
          <w:lang w:val="en-GB"/>
        </w:rPr>
        <w:t>afater</w:t>
      </w:r>
      <w:proofErr w:type="spellEnd"/>
      <w:r w:rsidRPr="00263C4D">
        <w:rPr>
          <w:rFonts w:ascii="Liberation Serif" w:hAnsi="Liberation Serif"/>
          <w:color w:val="000000"/>
          <w:szCs w:val="24"/>
          <w:lang w:val="en-GB"/>
        </w:rPr>
        <w:t xml:space="preserve"> the Pa</w:t>
      </w:r>
      <w:r w:rsidRPr="00263C4D">
        <w:rPr>
          <w:rFonts w:ascii="Liberation Serif" w:hAnsi="Liberation Serif"/>
          <w:color w:val="000000"/>
          <w:szCs w:val="24"/>
          <w:lang w:val="en-GB"/>
        </w:rPr>
        <w:t>r</w:t>
      </w:r>
      <w:r w:rsidRPr="00263C4D">
        <w:rPr>
          <w:rFonts w:ascii="Liberation Serif" w:hAnsi="Liberation Serif"/>
          <w:color w:val="000000"/>
          <w:szCs w:val="24"/>
          <w:lang w:val="en-GB"/>
        </w:rPr>
        <w:t>liament had ratified the agreement, the Chancellor of Justice gave its ruling on the negoti</w:t>
      </w:r>
      <w:r w:rsidRPr="00263C4D">
        <w:rPr>
          <w:rFonts w:ascii="Liberation Serif" w:hAnsi="Liberation Serif"/>
          <w:color w:val="000000"/>
          <w:szCs w:val="24"/>
          <w:lang w:val="en-GB"/>
        </w:rPr>
        <w:t>a</w:t>
      </w:r>
      <w:r w:rsidRPr="00263C4D">
        <w:rPr>
          <w:rFonts w:ascii="Liberation Serif" w:hAnsi="Liberation Serif"/>
          <w:color w:val="000000"/>
          <w:szCs w:val="24"/>
          <w:lang w:val="en-GB"/>
        </w:rPr>
        <w:t>tions criticising the Ministry of Agriculture and Forestry for neglecting its obligation to co</w:t>
      </w:r>
      <w:r w:rsidRPr="00263C4D">
        <w:rPr>
          <w:rFonts w:ascii="Liberation Serif" w:hAnsi="Liberation Serif"/>
          <w:color w:val="000000"/>
          <w:szCs w:val="24"/>
          <w:lang w:val="en-GB"/>
        </w:rPr>
        <w:t>n</w:t>
      </w:r>
      <w:r w:rsidRPr="00263C4D">
        <w:rPr>
          <w:rFonts w:ascii="Liberation Serif" w:hAnsi="Liberation Serif"/>
          <w:color w:val="000000"/>
          <w:szCs w:val="24"/>
          <w:lang w:val="en-GB"/>
        </w:rPr>
        <w:t>sult the Sami Parliament in due time. In both legislative developments and in processes lea</w:t>
      </w:r>
      <w:r w:rsidRPr="00263C4D">
        <w:rPr>
          <w:rFonts w:ascii="Liberation Serif" w:hAnsi="Liberation Serif"/>
          <w:color w:val="000000"/>
          <w:szCs w:val="24"/>
          <w:lang w:val="en-GB"/>
        </w:rPr>
        <w:t>d</w:t>
      </w:r>
      <w:r w:rsidRPr="00263C4D">
        <w:rPr>
          <w:rFonts w:ascii="Liberation Serif" w:hAnsi="Liberation Serif"/>
          <w:color w:val="000000"/>
          <w:szCs w:val="24"/>
          <w:lang w:val="en-GB"/>
        </w:rPr>
        <w:t>ing to decisions on projects that affect the Sami, authorities have not followed the principles enshrined in Article 19 of the Declaration on the Rights of Indigenous Peoples to seek free, prior and informed consent.</w:t>
      </w:r>
    </w:p>
    <w:p w:rsidR="00C779EC" w:rsidRPr="00C779EC" w:rsidRDefault="00C779EC" w:rsidP="00C779EC">
      <w:pPr>
        <w:pStyle w:val="alaEI"/>
        <w:rPr>
          <w:lang w:val="en-GB"/>
        </w:rPr>
      </w:pPr>
    </w:p>
    <w:p w:rsidR="00C779EC" w:rsidRPr="00263C4D" w:rsidRDefault="00C779EC" w:rsidP="00C779EC">
      <w:pPr>
        <w:spacing w:after="120" w:line="276" w:lineRule="auto"/>
        <w:jc w:val="both"/>
        <w:rPr>
          <w:rFonts w:ascii="Liberation Serif" w:hAnsi="Liberation Serif"/>
          <w:color w:val="000000"/>
          <w:szCs w:val="24"/>
          <w:u w:val="single"/>
          <w:lang w:val="en-GB"/>
        </w:rPr>
      </w:pPr>
      <w:r w:rsidRPr="00263C4D">
        <w:rPr>
          <w:rFonts w:ascii="Liberation Serif" w:hAnsi="Liberation Serif"/>
          <w:color w:val="000000"/>
          <w:szCs w:val="24"/>
          <w:u w:val="single"/>
          <w:lang w:val="en-GB"/>
        </w:rPr>
        <w:t>Recommendations:</w:t>
      </w:r>
    </w:p>
    <w:p w:rsidR="00C779EC" w:rsidRPr="00263C4D" w:rsidRDefault="00C779EC" w:rsidP="00C779EC">
      <w:pPr>
        <w:spacing w:after="120" w:line="276" w:lineRule="auto"/>
        <w:jc w:val="both"/>
        <w:rPr>
          <w:rFonts w:ascii="Liberation Serif" w:hAnsi="Liberation Serif" w:cs="Arial"/>
          <w:color w:val="000000"/>
          <w:szCs w:val="24"/>
          <w:lang w:val="en-GB"/>
        </w:rPr>
      </w:pPr>
      <w:r w:rsidRPr="00263C4D">
        <w:rPr>
          <w:rFonts w:ascii="Liberation Serif" w:hAnsi="Liberation Serif"/>
          <w:color w:val="000000"/>
          <w:szCs w:val="24"/>
          <w:lang w:val="en-GB"/>
        </w:rPr>
        <w:t xml:space="preserve">- The Government should proceed with the ratification of the ILO Convention No. 169 </w:t>
      </w:r>
      <w:r w:rsidRPr="00263C4D">
        <w:rPr>
          <w:rFonts w:ascii="Liberation Serif" w:hAnsi="Liberation Serif" w:cs="Arial"/>
          <w:color w:val="000000"/>
          <w:szCs w:val="24"/>
          <w:lang w:val="en-GB"/>
        </w:rPr>
        <w:t>co</w:t>
      </w:r>
      <w:r w:rsidRPr="00263C4D">
        <w:rPr>
          <w:rFonts w:ascii="Liberation Serif" w:hAnsi="Liberation Serif" w:cs="Arial"/>
          <w:color w:val="000000"/>
          <w:szCs w:val="24"/>
          <w:lang w:val="en-GB"/>
        </w:rPr>
        <w:t>n</w:t>
      </w:r>
      <w:r w:rsidRPr="00263C4D">
        <w:rPr>
          <w:rFonts w:ascii="Liberation Serif" w:hAnsi="Liberation Serif" w:cs="Arial"/>
          <w:color w:val="000000"/>
          <w:szCs w:val="24"/>
          <w:lang w:val="en-GB"/>
        </w:rPr>
        <w:t>cerning Indigenous and Tribal Peoples in Independent Countries.</w:t>
      </w:r>
    </w:p>
    <w:p w:rsidR="00C779EC" w:rsidRPr="00263C4D"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 Authorities must ensure free, prior and informed consent before adopting and implementing legislative or administrative measures that may affect the Sami; Sami people must be consul</w:t>
      </w:r>
      <w:r w:rsidRPr="00263C4D">
        <w:rPr>
          <w:rFonts w:ascii="Liberation Serif" w:hAnsi="Liberation Serif"/>
          <w:color w:val="000000"/>
          <w:szCs w:val="24"/>
          <w:lang w:val="en-GB"/>
        </w:rPr>
        <w:t>t</w:t>
      </w:r>
      <w:r w:rsidRPr="00263C4D">
        <w:rPr>
          <w:rFonts w:ascii="Liberation Serif" w:hAnsi="Liberation Serif"/>
          <w:color w:val="000000"/>
          <w:szCs w:val="24"/>
          <w:lang w:val="en-GB"/>
        </w:rPr>
        <w:t>ed throughout the process leading to adoption of legislation or other decisions that might a</w:t>
      </w:r>
      <w:r w:rsidRPr="00263C4D">
        <w:rPr>
          <w:rFonts w:ascii="Liberation Serif" w:hAnsi="Liberation Serif"/>
          <w:color w:val="000000"/>
          <w:szCs w:val="24"/>
          <w:lang w:val="en-GB"/>
        </w:rPr>
        <w:t>f</w:t>
      </w:r>
      <w:r w:rsidRPr="00263C4D">
        <w:rPr>
          <w:rFonts w:ascii="Liberation Serif" w:hAnsi="Liberation Serif"/>
          <w:color w:val="000000"/>
          <w:szCs w:val="24"/>
          <w:lang w:val="en-GB"/>
        </w:rPr>
        <w:t>fect them.</w:t>
      </w:r>
    </w:p>
    <w:p w:rsidR="00C779EC" w:rsidRPr="00263C4D" w:rsidRDefault="00C779EC" w:rsidP="00C779EC">
      <w:pPr>
        <w:pStyle w:val="SingleTxtG"/>
        <w:spacing w:line="276" w:lineRule="auto"/>
        <w:rPr>
          <w:i/>
          <w:sz w:val="24"/>
          <w:szCs w:val="24"/>
        </w:rPr>
      </w:pPr>
      <w:r w:rsidRPr="00263C4D">
        <w:rPr>
          <w:i/>
          <w:sz w:val="24"/>
          <w:szCs w:val="24"/>
        </w:rPr>
        <w:t xml:space="preserve">10. The nature of and progress made in implementing the specific measures set out in the action plan for the revival of Sami languages, and measures taken to train additional Sami language teachers (CERD/C/FIN/CO/20-22, para. 14; CERD/C/FIN/23, paras. 163-164 </w:t>
      </w:r>
      <w:r w:rsidRPr="00263C4D">
        <w:rPr>
          <w:i/>
          <w:sz w:val="24"/>
          <w:szCs w:val="24"/>
        </w:rPr>
        <w:lastRenderedPageBreak/>
        <w:t>and 170).</w:t>
      </w:r>
    </w:p>
    <w:p w:rsidR="00C779EC" w:rsidRPr="00263C4D" w:rsidRDefault="00C779EC" w:rsidP="00C779EC">
      <w:pPr>
        <w:pStyle w:val="SingleTxtG"/>
        <w:spacing w:line="276" w:lineRule="auto"/>
        <w:rPr>
          <w:i/>
          <w:sz w:val="24"/>
          <w:szCs w:val="24"/>
        </w:rPr>
      </w:pPr>
      <w:r w:rsidRPr="00263C4D">
        <w:rPr>
          <w:i/>
          <w:sz w:val="24"/>
          <w:szCs w:val="24"/>
        </w:rPr>
        <w:t xml:space="preserve">11. Measures taken, through the </w:t>
      </w:r>
      <w:proofErr w:type="spellStart"/>
      <w:r w:rsidRPr="00263C4D">
        <w:rPr>
          <w:i/>
          <w:sz w:val="24"/>
          <w:szCs w:val="24"/>
        </w:rPr>
        <w:t>SaKaste</w:t>
      </w:r>
      <w:proofErr w:type="spellEnd"/>
      <w:r w:rsidRPr="00263C4D">
        <w:rPr>
          <w:i/>
          <w:sz w:val="24"/>
          <w:szCs w:val="24"/>
        </w:rPr>
        <w:t xml:space="preserve"> or other projects at the national or municipal level, to provide adequate health and social care services in Sami languages (CERD/C/FIN/CO/20-22, para. 14; CERD/C/FIN/23, paras. 180-183).</w:t>
      </w:r>
    </w:p>
    <w:p w:rsidR="00C779EC" w:rsidRPr="001C78AA" w:rsidRDefault="00C779EC" w:rsidP="00C779EC">
      <w:pPr>
        <w:pStyle w:val="H23G"/>
        <w:spacing w:before="0" w:line="276" w:lineRule="auto"/>
        <w:ind w:left="0" w:right="-2" w:firstLine="0"/>
        <w:jc w:val="both"/>
        <w:rPr>
          <w:rFonts w:ascii="Liberation Serif" w:eastAsiaTheme="minorHAnsi" w:hAnsi="Liberation Serif" w:cstheme="minorBidi"/>
          <w:b w:val="0"/>
          <w:color w:val="000000"/>
          <w:sz w:val="24"/>
          <w:szCs w:val="24"/>
        </w:rPr>
      </w:pPr>
      <w:r w:rsidRPr="001C78AA">
        <w:rPr>
          <w:rFonts w:ascii="Liberation Serif" w:eastAsiaTheme="minorHAnsi" w:hAnsi="Liberation Serif" w:cstheme="minorBidi"/>
          <w:b w:val="0"/>
          <w:color w:val="000000"/>
          <w:sz w:val="24"/>
          <w:szCs w:val="24"/>
        </w:rPr>
        <w:t>Access to services in Sami languages remains limited.</w:t>
      </w:r>
      <w:r>
        <w:rPr>
          <w:rFonts w:ascii="Liberation Serif" w:eastAsiaTheme="minorHAnsi" w:hAnsi="Liberation Serif" w:cstheme="minorBidi"/>
          <w:b w:val="0"/>
          <w:color w:val="000000"/>
          <w:sz w:val="24"/>
          <w:szCs w:val="24"/>
        </w:rPr>
        <w:t xml:space="preserve"> Even tough Sami language day care and primary and secondary education opportunities are in place in the Sami Homeland (municipalities of </w:t>
      </w:r>
      <w:proofErr w:type="spellStart"/>
      <w:r>
        <w:rPr>
          <w:rFonts w:ascii="Liberation Serif" w:eastAsiaTheme="minorHAnsi" w:hAnsi="Liberation Serif" w:cstheme="minorBidi"/>
          <w:b w:val="0"/>
          <w:color w:val="000000"/>
          <w:sz w:val="24"/>
          <w:szCs w:val="24"/>
        </w:rPr>
        <w:t>Enontekiö</w:t>
      </w:r>
      <w:proofErr w:type="spellEnd"/>
      <w:r>
        <w:rPr>
          <w:rFonts w:ascii="Liberation Serif" w:eastAsiaTheme="minorHAnsi" w:hAnsi="Liberation Serif" w:cstheme="minorBidi"/>
          <w:b w:val="0"/>
          <w:color w:val="000000"/>
          <w:sz w:val="24"/>
          <w:szCs w:val="24"/>
        </w:rPr>
        <w:t xml:space="preserve">, Inari and </w:t>
      </w:r>
      <w:proofErr w:type="spellStart"/>
      <w:r>
        <w:rPr>
          <w:rFonts w:ascii="Liberation Serif" w:eastAsiaTheme="minorHAnsi" w:hAnsi="Liberation Serif" w:cstheme="minorBidi"/>
          <w:b w:val="0"/>
          <w:color w:val="000000"/>
          <w:sz w:val="24"/>
          <w:szCs w:val="24"/>
        </w:rPr>
        <w:t>Utsjoki</w:t>
      </w:r>
      <w:proofErr w:type="spellEnd"/>
      <w:r>
        <w:rPr>
          <w:rFonts w:ascii="Liberation Serif" w:eastAsiaTheme="minorHAnsi" w:hAnsi="Liberation Serif" w:cstheme="minorBidi"/>
          <w:b w:val="0"/>
          <w:color w:val="000000"/>
          <w:sz w:val="24"/>
          <w:szCs w:val="24"/>
        </w:rPr>
        <w:t xml:space="preserve"> and northern parts of </w:t>
      </w:r>
      <w:proofErr w:type="spellStart"/>
      <w:r>
        <w:rPr>
          <w:rFonts w:ascii="Liberation Serif" w:eastAsiaTheme="minorHAnsi" w:hAnsi="Liberation Serif" w:cstheme="minorBidi"/>
          <w:b w:val="0"/>
          <w:color w:val="000000"/>
          <w:sz w:val="24"/>
          <w:szCs w:val="24"/>
        </w:rPr>
        <w:t>Sodankylä</w:t>
      </w:r>
      <w:proofErr w:type="spellEnd"/>
      <w:r>
        <w:rPr>
          <w:rFonts w:ascii="Liberation Serif" w:eastAsiaTheme="minorHAnsi" w:hAnsi="Liberation Serif" w:cstheme="minorBidi"/>
          <w:b w:val="0"/>
          <w:color w:val="000000"/>
          <w:sz w:val="24"/>
          <w:szCs w:val="24"/>
        </w:rPr>
        <w:t>), most Sami children live outside the Homeland where day care and educational opportunities in Sami languages remain scarce. Even in the Sami Homeland mental health services and elderly care are not sufficiently available.</w:t>
      </w:r>
    </w:p>
    <w:p w:rsidR="00C779EC" w:rsidRDefault="00C779EC" w:rsidP="00C779EC">
      <w:pPr>
        <w:pStyle w:val="H23G"/>
        <w:spacing w:before="0" w:line="276" w:lineRule="auto"/>
        <w:jc w:val="both"/>
        <w:rPr>
          <w:rFonts w:eastAsia="SimSun"/>
          <w:sz w:val="24"/>
          <w:szCs w:val="24"/>
        </w:rPr>
      </w:pPr>
      <w:r w:rsidRPr="00263C4D">
        <w:rPr>
          <w:rFonts w:eastAsia="SimSun"/>
          <w:sz w:val="24"/>
          <w:szCs w:val="24"/>
        </w:rPr>
        <w:tab/>
      </w:r>
    </w:p>
    <w:p w:rsidR="00C779EC" w:rsidRPr="00263C4D" w:rsidRDefault="00C779EC" w:rsidP="00C779EC">
      <w:pPr>
        <w:pStyle w:val="H23G"/>
        <w:spacing w:before="0" w:line="276" w:lineRule="auto"/>
        <w:jc w:val="both"/>
        <w:rPr>
          <w:rFonts w:eastAsia="SimSun"/>
          <w:sz w:val="24"/>
          <w:szCs w:val="24"/>
        </w:rPr>
      </w:pPr>
      <w:r w:rsidRPr="00263C4D">
        <w:rPr>
          <w:rFonts w:eastAsia="SimSun"/>
          <w:sz w:val="24"/>
          <w:szCs w:val="24"/>
        </w:rPr>
        <w:t>3. Situation of the Roma and other ethnic minorities (arts. 2-7)</w:t>
      </w:r>
    </w:p>
    <w:p w:rsidR="00C779EC" w:rsidRPr="00263C4D" w:rsidRDefault="00C779EC" w:rsidP="00C779EC">
      <w:pPr>
        <w:pStyle w:val="SingleTxtG"/>
        <w:spacing w:line="276" w:lineRule="auto"/>
        <w:rPr>
          <w:i/>
          <w:sz w:val="24"/>
          <w:szCs w:val="24"/>
        </w:rPr>
      </w:pPr>
      <w:r w:rsidRPr="00263C4D">
        <w:rPr>
          <w:i/>
          <w:sz w:val="24"/>
          <w:szCs w:val="24"/>
        </w:rPr>
        <w:t>12. Specific measures and their effectiveness in enhancing employment, education and housing opportunities for ethnic minorities, including the Roma, and to promote the teaching of the Romani language (CERD/C/FIN/CO/20-22, para. 15; CERD/C/FIN/23, paras. 48-49, 69-70, 89-92 and 94).</w:t>
      </w:r>
    </w:p>
    <w:p w:rsidR="00C779EC" w:rsidRPr="00263C4D" w:rsidRDefault="00C779EC" w:rsidP="00C779EC">
      <w:pPr>
        <w:pStyle w:val="SingleTxtG"/>
        <w:spacing w:line="276" w:lineRule="auto"/>
        <w:rPr>
          <w:i/>
          <w:sz w:val="24"/>
          <w:szCs w:val="24"/>
        </w:rPr>
      </w:pPr>
      <w:r w:rsidRPr="00263C4D">
        <w:rPr>
          <w:i/>
          <w:sz w:val="24"/>
          <w:szCs w:val="24"/>
        </w:rPr>
        <w:t>13. Concrete results of the first integration programme (2012-2015) under the Promotion of Integration Act and of the action plan on integration adopted on 27 November 2015 (CERD/C/FIN/CO/20-22, para. 16; CERD/C/FIN/23, paras. 52-56).</w:t>
      </w:r>
    </w:p>
    <w:p w:rsidR="00C779EC" w:rsidRPr="00263C4D" w:rsidRDefault="00C779EC" w:rsidP="00C779EC">
      <w:pPr>
        <w:pStyle w:val="SingleTxtG"/>
        <w:spacing w:line="276" w:lineRule="auto"/>
        <w:rPr>
          <w:i/>
          <w:sz w:val="24"/>
          <w:szCs w:val="24"/>
        </w:rPr>
      </w:pPr>
      <w:r w:rsidRPr="00263C4D">
        <w:rPr>
          <w:i/>
          <w:sz w:val="24"/>
          <w:szCs w:val="24"/>
        </w:rPr>
        <w:t xml:space="preserve">14. Any new efforts to reduce bullying of children belonging to ethnic minorities in school, in the light of information indicating that the incidence of bullying has not decreased (CERD/C/FIN/CO/20-22, para. 17; CERD/C/FIN/23, paras. 225-229). </w:t>
      </w:r>
    </w:p>
    <w:p w:rsidR="00C779EC" w:rsidRPr="00263C4D" w:rsidRDefault="00C779EC" w:rsidP="00C779EC">
      <w:pPr>
        <w:pStyle w:val="alaEI"/>
        <w:spacing w:after="120" w:line="276" w:lineRule="auto"/>
        <w:jc w:val="both"/>
        <w:rPr>
          <w:rFonts w:ascii="Liberation Serif" w:hAnsi="Liberation Serif"/>
          <w:color w:val="000000"/>
          <w:szCs w:val="24"/>
          <w:lang w:val="en-US"/>
        </w:rPr>
      </w:pPr>
      <w:r w:rsidRPr="00263C4D">
        <w:rPr>
          <w:rFonts w:ascii="Liberation Serif" w:hAnsi="Liberation Serif"/>
          <w:color w:val="000000"/>
          <w:szCs w:val="24"/>
          <w:lang w:val="en-US"/>
        </w:rPr>
        <w:t>In a recent survey nearly 70% of Roma respondents reported that they have experienced di</w:t>
      </w:r>
      <w:r w:rsidRPr="00263C4D">
        <w:rPr>
          <w:rFonts w:ascii="Liberation Serif" w:hAnsi="Liberation Serif"/>
          <w:color w:val="000000"/>
          <w:szCs w:val="24"/>
          <w:lang w:val="en-US"/>
        </w:rPr>
        <w:t>s</w:t>
      </w:r>
      <w:r w:rsidRPr="00263C4D">
        <w:rPr>
          <w:rFonts w:ascii="Liberation Serif" w:hAnsi="Liberation Serif"/>
          <w:color w:val="000000"/>
          <w:szCs w:val="24"/>
          <w:lang w:val="en-US"/>
        </w:rPr>
        <w:t>crimination in some area of life during the last year. In the same survey 40% of respondents stated that in the last five years they or their family have been negatively affected by customs belonging to the Roma culture.</w:t>
      </w:r>
      <w:r w:rsidRPr="00263C4D">
        <w:rPr>
          <w:rStyle w:val="FootnoteReference"/>
          <w:rFonts w:ascii="Liberation Serif" w:hAnsi="Liberation Serif"/>
          <w:color w:val="000000"/>
          <w:szCs w:val="24"/>
          <w:lang w:val="en-US"/>
        </w:rPr>
        <w:footnoteReference w:id="3"/>
      </w:r>
      <w:r w:rsidRPr="00263C4D">
        <w:rPr>
          <w:rFonts w:ascii="Liberation Serif" w:hAnsi="Liberation Serif"/>
          <w:color w:val="000000"/>
          <w:szCs w:val="24"/>
          <w:lang w:val="en-US"/>
        </w:rPr>
        <w:t xml:space="preserve">  We welcome the decision of the Government to establish a Second National Plan for Roma minority and call for a plan based on universal human rights. The plan should include measures to combat discrimination within the Roma community in addition to addressing discrimination experienced by the Roma.</w:t>
      </w:r>
    </w:p>
    <w:p w:rsidR="00C779EC" w:rsidRPr="00263C4D" w:rsidRDefault="00C779EC" w:rsidP="00C779EC">
      <w:pPr>
        <w:pStyle w:val="alaEI"/>
        <w:spacing w:after="120" w:line="276" w:lineRule="auto"/>
        <w:jc w:val="both"/>
        <w:rPr>
          <w:rFonts w:ascii="Liberation Serif" w:hAnsi="Liberation Serif"/>
          <w:color w:val="000000"/>
          <w:szCs w:val="24"/>
          <w:lang w:val="en-US"/>
        </w:rPr>
      </w:pPr>
      <w:r w:rsidRPr="00263C4D">
        <w:rPr>
          <w:rFonts w:ascii="Liberation Serif" w:hAnsi="Liberation Serif"/>
          <w:color w:val="000000"/>
          <w:szCs w:val="24"/>
          <w:u w:val="single"/>
          <w:lang w:val="en-US"/>
        </w:rPr>
        <w:t>Recommendation:</w:t>
      </w:r>
      <w:r w:rsidRPr="00263C4D">
        <w:rPr>
          <w:rFonts w:ascii="Liberation Serif" w:hAnsi="Liberation Serif"/>
          <w:color w:val="000000"/>
          <w:szCs w:val="24"/>
          <w:lang w:val="en-US"/>
        </w:rPr>
        <w:t xml:space="preserve"> </w:t>
      </w:r>
    </w:p>
    <w:p w:rsidR="00C779EC" w:rsidRPr="00263C4D" w:rsidRDefault="00C779EC" w:rsidP="00C779EC">
      <w:pPr>
        <w:pStyle w:val="alaEI"/>
        <w:spacing w:after="120" w:line="276" w:lineRule="auto"/>
        <w:jc w:val="both"/>
        <w:rPr>
          <w:rFonts w:ascii="Liberation Serif" w:hAnsi="Liberation Serif"/>
          <w:color w:val="000000"/>
          <w:szCs w:val="24"/>
          <w:lang w:val="en-US"/>
        </w:rPr>
      </w:pPr>
      <w:r w:rsidRPr="00263C4D">
        <w:rPr>
          <w:rFonts w:ascii="Liberation Serif" w:hAnsi="Liberation Serif"/>
          <w:color w:val="000000"/>
          <w:szCs w:val="24"/>
          <w:lang w:val="en-US"/>
        </w:rPr>
        <w:t>- Adopt a Second National Plan for Roma minority with focus on human rights.</w:t>
      </w:r>
    </w:p>
    <w:p w:rsidR="00C779EC" w:rsidRDefault="00C779EC" w:rsidP="00C779EC">
      <w:pPr>
        <w:pStyle w:val="H23G"/>
        <w:spacing w:before="0" w:line="276" w:lineRule="auto"/>
        <w:jc w:val="both"/>
        <w:rPr>
          <w:rFonts w:eastAsia="SimSun"/>
          <w:sz w:val="24"/>
          <w:szCs w:val="24"/>
        </w:rPr>
      </w:pPr>
      <w:r w:rsidRPr="00263C4D">
        <w:rPr>
          <w:rFonts w:eastAsia="SimSun"/>
          <w:sz w:val="24"/>
          <w:szCs w:val="24"/>
        </w:rPr>
        <w:lastRenderedPageBreak/>
        <w:tab/>
      </w:r>
    </w:p>
    <w:p w:rsidR="00C779EC" w:rsidRPr="00263C4D" w:rsidRDefault="00C779EC" w:rsidP="00C779EC">
      <w:pPr>
        <w:pStyle w:val="H23G"/>
        <w:spacing w:before="0" w:line="276" w:lineRule="auto"/>
        <w:jc w:val="both"/>
        <w:rPr>
          <w:rFonts w:eastAsia="SimSun"/>
          <w:sz w:val="24"/>
          <w:szCs w:val="24"/>
        </w:rPr>
      </w:pPr>
      <w:r w:rsidRPr="00263C4D">
        <w:rPr>
          <w:rFonts w:eastAsia="SimSun"/>
          <w:sz w:val="24"/>
          <w:szCs w:val="24"/>
        </w:rPr>
        <w:t>4. Situation of non-citizens, including immigrants, migrant workers, asylum seekers and refugees (arts. 5-7)</w:t>
      </w:r>
    </w:p>
    <w:p w:rsidR="00C779EC" w:rsidRPr="00263C4D" w:rsidRDefault="00C779EC" w:rsidP="00C779EC">
      <w:pPr>
        <w:pStyle w:val="SingleTxtG"/>
        <w:keepNext/>
        <w:spacing w:line="276" w:lineRule="auto"/>
        <w:rPr>
          <w:i/>
          <w:sz w:val="24"/>
          <w:szCs w:val="24"/>
        </w:rPr>
      </w:pPr>
      <w:r w:rsidRPr="00263C4D">
        <w:rPr>
          <w:i/>
          <w:sz w:val="24"/>
          <w:szCs w:val="24"/>
        </w:rPr>
        <w:t>19. Availability of non-emergency health services to migrants in an irregular situation and to asylum seekers (CERD/C/FIN/23, para. 190).</w:t>
      </w:r>
    </w:p>
    <w:p w:rsidR="00C779EC" w:rsidRPr="00263C4D"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 amount of undocumented migrants is likely to grow in Finland due to rejected asylum applications and many asylum seekers becoming undocumented migrants.</w:t>
      </w:r>
    </w:p>
    <w:p w:rsidR="00C779EC" w:rsidRPr="00263C4D"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There is no legislation securing undocumented migrants’ access to health care in Finland. The Health Care Act secures access to emergency health services, but the care is not state-subsidised. In practice, undocumented migrants can be charged a fee up to the real costs of the services, and thus many of them do not have real access to health care. Moreover, services of prenatal clinics and treatment of serious chronic illnesses are not regarded as emergency se</w:t>
      </w:r>
      <w:r w:rsidRPr="00263C4D">
        <w:rPr>
          <w:rFonts w:ascii="Liberation Serif" w:hAnsi="Liberation Serif"/>
          <w:color w:val="000000"/>
          <w:szCs w:val="24"/>
          <w:lang w:val="en-GB"/>
        </w:rPr>
        <w:t>r</w:t>
      </w:r>
      <w:r w:rsidRPr="00263C4D">
        <w:rPr>
          <w:rFonts w:ascii="Liberation Serif" w:hAnsi="Liberation Serif"/>
          <w:color w:val="000000"/>
          <w:szCs w:val="24"/>
          <w:lang w:val="en-GB"/>
        </w:rPr>
        <w:t>vices.</w:t>
      </w:r>
    </w:p>
    <w:p w:rsidR="00C779EC" w:rsidRPr="00263C4D"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In practice, the need for health care of undocumented migrants is now addressed mostly by Global Clinic, an NGO-based clinic run by volunteers in five cities. Decisions at the local level about providing public health care services for pregnant women and minors have been taken in Helsinki and Turku. Moreover, Helsinki provides emergency services for all undo</w:t>
      </w:r>
      <w:r w:rsidRPr="00263C4D">
        <w:rPr>
          <w:rFonts w:ascii="Liberation Serif" w:hAnsi="Liberation Serif"/>
          <w:color w:val="000000"/>
          <w:szCs w:val="24"/>
          <w:lang w:val="en-GB"/>
        </w:rPr>
        <w:t>c</w:t>
      </w:r>
      <w:r w:rsidRPr="00263C4D">
        <w:rPr>
          <w:rFonts w:ascii="Liberation Serif" w:hAnsi="Liberation Serif"/>
          <w:color w:val="000000"/>
          <w:szCs w:val="24"/>
          <w:lang w:val="en-GB"/>
        </w:rPr>
        <w:t>umented persons with the same fees as to residents.</w:t>
      </w:r>
    </w:p>
    <w:p w:rsidR="00C779EC" w:rsidRDefault="00C779EC" w:rsidP="00C779EC">
      <w:pPr>
        <w:spacing w:after="120" w:line="276" w:lineRule="auto"/>
        <w:jc w:val="both"/>
        <w:rPr>
          <w:rFonts w:ascii="Liberation Serif" w:hAnsi="Liberation Serif"/>
          <w:color w:val="000000"/>
          <w:szCs w:val="24"/>
          <w:lang w:val="en-GB"/>
        </w:rPr>
      </w:pPr>
      <w:r w:rsidRPr="00263C4D">
        <w:rPr>
          <w:rFonts w:ascii="Liberation Serif" w:hAnsi="Liberation Serif"/>
          <w:color w:val="000000"/>
          <w:szCs w:val="24"/>
          <w:lang w:val="en-GB"/>
        </w:rPr>
        <w:t>The Ministry of Social Affairs and Health in 2014 prepared a bill on undocumented migrants’ access to health services but the bill did not pass parliamentary scrutiny. The Finnish state does not take responsibility for securing undocumented migrants’ right to health; this is a vi</w:t>
      </w:r>
      <w:r w:rsidRPr="00263C4D">
        <w:rPr>
          <w:rFonts w:ascii="Liberation Serif" w:hAnsi="Liberation Serif"/>
          <w:color w:val="000000"/>
          <w:szCs w:val="24"/>
          <w:lang w:val="en-GB"/>
        </w:rPr>
        <w:t>o</w:t>
      </w:r>
      <w:r w:rsidRPr="00263C4D">
        <w:rPr>
          <w:rFonts w:ascii="Liberation Serif" w:hAnsi="Liberation Serif"/>
          <w:color w:val="000000"/>
          <w:szCs w:val="24"/>
          <w:lang w:val="en-GB"/>
        </w:rPr>
        <w:t>lation of their fundamental right to have access to the highest possible standard of health as recognised by the Universal Declaration of Human Rights, the International Covenant on Economic, social and cultural rights and the European Social Charter.</w:t>
      </w:r>
    </w:p>
    <w:p w:rsidR="00C779EC" w:rsidRPr="00263C4D" w:rsidRDefault="00C779EC" w:rsidP="00C779EC">
      <w:pPr>
        <w:spacing w:after="120" w:line="276" w:lineRule="auto"/>
        <w:jc w:val="both"/>
        <w:rPr>
          <w:rFonts w:ascii="Liberation Serif" w:hAnsi="Liberation Serif"/>
          <w:color w:val="000000"/>
          <w:szCs w:val="24"/>
          <w:lang w:val="en-GB"/>
        </w:rPr>
      </w:pPr>
    </w:p>
    <w:p w:rsidR="00C779EC" w:rsidRPr="00263C4D" w:rsidRDefault="00C779EC" w:rsidP="00C779EC">
      <w:pPr>
        <w:pStyle w:val="H23G"/>
        <w:spacing w:before="0" w:line="276" w:lineRule="auto"/>
        <w:jc w:val="both"/>
        <w:rPr>
          <w:rFonts w:eastAsia="SimSun"/>
          <w:sz w:val="24"/>
          <w:szCs w:val="24"/>
          <w:lang w:val="en-US"/>
        </w:rPr>
      </w:pPr>
      <w:r w:rsidRPr="00263C4D">
        <w:rPr>
          <w:rFonts w:eastAsia="SimSun"/>
          <w:sz w:val="24"/>
          <w:szCs w:val="24"/>
        </w:rPr>
        <w:tab/>
        <w:t xml:space="preserve">5. </w:t>
      </w:r>
      <w:r w:rsidRPr="00263C4D">
        <w:rPr>
          <w:rFonts w:eastAsia="SimSun"/>
          <w:sz w:val="24"/>
          <w:szCs w:val="24"/>
          <w:lang w:val="en-US"/>
        </w:rPr>
        <w:t>Other issues</w:t>
      </w:r>
    </w:p>
    <w:p w:rsidR="00C779EC" w:rsidRPr="00263C4D" w:rsidRDefault="00C779EC" w:rsidP="00C779EC">
      <w:pPr>
        <w:pStyle w:val="Default"/>
        <w:spacing w:after="120" w:line="276" w:lineRule="auto"/>
        <w:jc w:val="both"/>
        <w:rPr>
          <w:lang w:val="en-US"/>
        </w:rPr>
      </w:pPr>
      <w:r w:rsidRPr="00263C4D">
        <w:rPr>
          <w:rFonts w:ascii="Liberation Serif" w:hAnsi="Liberation Serif"/>
          <w:lang w:val="en-US"/>
        </w:rPr>
        <w:t xml:space="preserve">In its concluding observations of August 2003 the Committee welcomed the </w:t>
      </w:r>
      <w:r w:rsidRPr="00263C4D">
        <w:rPr>
          <w:lang w:val="en-US"/>
        </w:rPr>
        <w:t>introduction of a provision punishing participation in organizations which promote or incite racial discrimin</w:t>
      </w:r>
      <w:r w:rsidRPr="00263C4D">
        <w:rPr>
          <w:lang w:val="en-US"/>
        </w:rPr>
        <w:t>a</w:t>
      </w:r>
      <w:r w:rsidRPr="00263C4D">
        <w:rPr>
          <w:lang w:val="en-US"/>
        </w:rPr>
        <w:t>tion. The FLHR also welcomes these legislative developments. However, provisions that cu</w:t>
      </w:r>
      <w:r w:rsidRPr="00263C4D">
        <w:rPr>
          <w:lang w:val="en-US"/>
        </w:rPr>
        <w:t>r</w:t>
      </w:r>
      <w:r w:rsidRPr="00263C4D">
        <w:rPr>
          <w:lang w:val="en-US"/>
        </w:rPr>
        <w:t>rently implement the Article 4(b) of the CERD have not been applied thus far. The first case against a racist organization (the Nordic/Finnish Resistance Movement) is now under co</w:t>
      </w:r>
      <w:r w:rsidRPr="00263C4D">
        <w:rPr>
          <w:lang w:val="en-US"/>
        </w:rPr>
        <w:t>n</w:t>
      </w:r>
      <w:r w:rsidRPr="00263C4D">
        <w:rPr>
          <w:lang w:val="en-US"/>
        </w:rPr>
        <w:t xml:space="preserve">sideration in the </w:t>
      </w:r>
      <w:proofErr w:type="spellStart"/>
      <w:r w:rsidRPr="00263C4D">
        <w:rPr>
          <w:lang w:val="en-US"/>
        </w:rPr>
        <w:t>Pirkanmaa</w:t>
      </w:r>
      <w:proofErr w:type="spellEnd"/>
      <w:r w:rsidRPr="00263C4D">
        <w:rPr>
          <w:lang w:val="en-US"/>
        </w:rPr>
        <w:t xml:space="preserve"> District Court. Current provisions address activities of criminal organizations in general; they are not specifically aimed at organizations that promote and incite racial discrimination. One way to ensure more systematic enforcement of the Article 4(b) would be new legal provisions specifically targeting organizations that promote and </w:t>
      </w:r>
      <w:r w:rsidRPr="00263C4D">
        <w:rPr>
          <w:lang w:val="en-US"/>
        </w:rPr>
        <w:lastRenderedPageBreak/>
        <w:t>incite racial discrimination. Since the issue is connected to other human rights and fund</w:t>
      </w:r>
      <w:r w:rsidRPr="00263C4D">
        <w:rPr>
          <w:lang w:val="en-US"/>
        </w:rPr>
        <w:t>a</w:t>
      </w:r>
      <w:r w:rsidRPr="00263C4D">
        <w:rPr>
          <w:lang w:val="en-US"/>
        </w:rPr>
        <w:t>mental freedoms, namely freedom of speech, freedom of assembly and freedom of associ</w:t>
      </w:r>
      <w:r w:rsidRPr="00263C4D">
        <w:rPr>
          <w:lang w:val="en-US"/>
        </w:rPr>
        <w:t>a</w:t>
      </w:r>
      <w:r w:rsidRPr="00263C4D">
        <w:rPr>
          <w:lang w:val="en-US"/>
        </w:rPr>
        <w:t>tion, specific provisions could ensure that these rights are not unduly restricted when orga</w:t>
      </w:r>
      <w:r w:rsidRPr="00263C4D">
        <w:rPr>
          <w:lang w:val="en-US"/>
        </w:rPr>
        <w:t>n</w:t>
      </w:r>
      <w:r w:rsidRPr="00263C4D">
        <w:rPr>
          <w:lang w:val="en-US"/>
        </w:rPr>
        <w:t>izations that promote and incite racial discrimination are prohibited.</w:t>
      </w:r>
    </w:p>
    <w:p w:rsidR="00C779EC" w:rsidRPr="00C779EC" w:rsidRDefault="00C779EC" w:rsidP="00C779EC">
      <w:pPr>
        <w:spacing w:after="120" w:line="276" w:lineRule="auto"/>
        <w:jc w:val="both"/>
        <w:rPr>
          <w:rFonts w:ascii="Liberation Serif" w:hAnsi="Liberation Serif"/>
          <w:color w:val="000000"/>
          <w:szCs w:val="24"/>
          <w:lang w:val="en-US"/>
        </w:rPr>
      </w:pPr>
    </w:p>
    <w:p w:rsidR="00571E7E" w:rsidRPr="00C779EC" w:rsidRDefault="00571E7E" w:rsidP="00C779EC">
      <w:pPr>
        <w:pStyle w:val="alaEI"/>
        <w:spacing w:line="276" w:lineRule="auto"/>
        <w:rPr>
          <w:sz w:val="22"/>
          <w:lang w:val="en-US"/>
        </w:rPr>
      </w:pPr>
    </w:p>
    <w:p w:rsidR="00262AD8" w:rsidRPr="00C779EC" w:rsidRDefault="00262AD8" w:rsidP="00C779EC">
      <w:pPr>
        <w:spacing w:line="276" w:lineRule="auto"/>
        <w:rPr>
          <w:rFonts w:cs="Arial"/>
          <w:sz w:val="22"/>
          <w:lang w:val="en-US"/>
        </w:rPr>
      </w:pPr>
    </w:p>
    <w:p w:rsidR="00F338B8" w:rsidRPr="00BB4605" w:rsidRDefault="009F6F36" w:rsidP="00C779EC">
      <w:pPr>
        <w:spacing w:after="0" w:line="276" w:lineRule="auto"/>
        <w:rPr>
          <w:rFonts w:cs="Arial"/>
          <w:sz w:val="22"/>
          <w:lang w:val="en-US"/>
        </w:rPr>
      </w:pPr>
      <w:proofErr w:type="spellStart"/>
      <w:r w:rsidRPr="00BB4605">
        <w:rPr>
          <w:rFonts w:cs="Arial"/>
          <w:sz w:val="22"/>
          <w:lang w:val="en-US"/>
        </w:rPr>
        <w:t>Kaari</w:t>
      </w:r>
      <w:proofErr w:type="spellEnd"/>
      <w:r w:rsidR="00061DE8" w:rsidRPr="00BB4605">
        <w:rPr>
          <w:rFonts w:cs="Arial"/>
          <w:sz w:val="22"/>
          <w:lang w:val="en-US"/>
        </w:rPr>
        <w:t xml:space="preserve"> </w:t>
      </w:r>
      <w:proofErr w:type="spellStart"/>
      <w:r w:rsidR="00061DE8" w:rsidRPr="00BB4605">
        <w:rPr>
          <w:rFonts w:cs="Arial"/>
          <w:sz w:val="22"/>
          <w:lang w:val="en-US"/>
        </w:rPr>
        <w:t>Mattila</w:t>
      </w:r>
      <w:proofErr w:type="spellEnd"/>
      <w:r w:rsidRPr="00BB4605">
        <w:rPr>
          <w:rFonts w:cs="Arial"/>
          <w:sz w:val="22"/>
          <w:lang w:val="en-US"/>
        </w:rPr>
        <w:tab/>
      </w:r>
      <w:r w:rsidRPr="00BB4605">
        <w:rPr>
          <w:rFonts w:cs="Arial"/>
          <w:sz w:val="22"/>
          <w:lang w:val="en-US"/>
        </w:rPr>
        <w:tab/>
      </w:r>
      <w:r w:rsidRPr="00BB4605">
        <w:rPr>
          <w:rFonts w:cs="Arial"/>
          <w:sz w:val="22"/>
          <w:lang w:val="en-US"/>
        </w:rPr>
        <w:tab/>
      </w:r>
      <w:r w:rsidRPr="00BB4605">
        <w:rPr>
          <w:rFonts w:cs="Arial"/>
          <w:sz w:val="22"/>
          <w:lang w:val="en-US"/>
        </w:rPr>
        <w:tab/>
      </w:r>
      <w:proofErr w:type="spellStart"/>
      <w:r w:rsidR="00A169BD" w:rsidRPr="00BB4605">
        <w:rPr>
          <w:rFonts w:cs="Arial"/>
          <w:sz w:val="22"/>
          <w:lang w:val="en-US"/>
        </w:rPr>
        <w:t>Reetta</w:t>
      </w:r>
      <w:proofErr w:type="spellEnd"/>
      <w:r w:rsidR="00A169BD" w:rsidRPr="00BB4605">
        <w:rPr>
          <w:rFonts w:cs="Arial"/>
          <w:sz w:val="22"/>
          <w:lang w:val="en-US"/>
        </w:rPr>
        <w:t xml:space="preserve"> </w:t>
      </w:r>
      <w:proofErr w:type="spellStart"/>
      <w:r w:rsidR="00A169BD" w:rsidRPr="00BB4605">
        <w:rPr>
          <w:rFonts w:cs="Arial"/>
          <w:sz w:val="22"/>
          <w:lang w:val="en-US"/>
        </w:rPr>
        <w:t>Toivanen</w:t>
      </w:r>
      <w:proofErr w:type="spellEnd"/>
    </w:p>
    <w:p w:rsidR="00571E7E" w:rsidRPr="00A169BD" w:rsidRDefault="00A169BD" w:rsidP="00C779EC">
      <w:pPr>
        <w:spacing w:after="0" w:line="276" w:lineRule="auto"/>
        <w:rPr>
          <w:rFonts w:cs="Arial"/>
          <w:sz w:val="22"/>
          <w:lang w:val="en-US"/>
        </w:rPr>
      </w:pPr>
      <w:r w:rsidRPr="00A169BD">
        <w:rPr>
          <w:rFonts w:cs="Arial"/>
          <w:sz w:val="22"/>
          <w:lang w:val="en-US"/>
        </w:rPr>
        <w:t>Secretary-General</w:t>
      </w:r>
      <w:r w:rsidR="00571E7E" w:rsidRPr="00A169BD">
        <w:rPr>
          <w:rFonts w:cs="Arial"/>
          <w:sz w:val="22"/>
          <w:lang w:val="en-US"/>
        </w:rPr>
        <w:tab/>
        <w:t xml:space="preserve"> </w:t>
      </w:r>
      <w:r w:rsidRPr="00A169BD">
        <w:rPr>
          <w:rFonts w:cs="Arial"/>
          <w:sz w:val="22"/>
          <w:lang w:val="en-US"/>
        </w:rPr>
        <w:tab/>
      </w:r>
      <w:r w:rsidRPr="00A169BD">
        <w:rPr>
          <w:rFonts w:cs="Arial"/>
          <w:sz w:val="22"/>
          <w:lang w:val="en-US"/>
        </w:rPr>
        <w:tab/>
        <w:t xml:space="preserve">Chair </w:t>
      </w:r>
    </w:p>
    <w:p w:rsidR="00A06CA1" w:rsidRPr="00A169BD" w:rsidRDefault="00A06CA1" w:rsidP="00C779EC">
      <w:pPr>
        <w:pStyle w:val="alaEI"/>
        <w:spacing w:line="276" w:lineRule="auto"/>
        <w:rPr>
          <w:lang w:val="en-US"/>
        </w:rPr>
      </w:pPr>
    </w:p>
    <w:sectPr w:rsidR="00A06CA1" w:rsidRPr="00A169BD" w:rsidSect="00F57409">
      <w:headerReference w:type="default" r:id="rId9"/>
      <w:footerReference w:type="even" r:id="rId10"/>
      <w:footerReference w:type="default" r:id="rId11"/>
      <w:pgSz w:w="11906" w:h="16838" w:code="9"/>
      <w:pgMar w:top="567" w:right="1418" w:bottom="1134" w:left="1418" w:header="158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FAE" w:rsidRDefault="00417FAE" w:rsidP="00822ADF">
      <w:r>
        <w:separator/>
      </w:r>
    </w:p>
  </w:endnote>
  <w:endnote w:type="continuationSeparator" w:id="0">
    <w:p w:rsidR="00417FAE" w:rsidRDefault="00417FAE" w:rsidP="00822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isa Sans Offc Pro">
    <w:altName w:val="Arial"/>
    <w:charset w:val="00"/>
    <w:family w:val="swiss"/>
    <w:pitch w:val="variable"/>
    <w:sig w:usb0="A00002FF" w:usb1="4000207B" w:usb2="00000000" w:usb3="00000000" w:csb0="00000097" w:csb1="00000000"/>
  </w:font>
  <w:font w:name="Tisa Offc Pro">
    <w:charset w:val="00"/>
    <w:family w:val="auto"/>
    <w:pitch w:val="variable"/>
    <w:sig w:usb0="A00000FF" w:usb1="4000205B" w:usb2="00000008"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1"/>
    <w:family w:val="roman"/>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71" w:rsidRDefault="006A5B71" w:rsidP="00822ADF">
    <w:pPr>
      <w:pStyle w:val="Footer"/>
    </w:pPr>
    <w:r>
      <w:rPr>
        <w:noProof/>
        <w:lang w:val="en-GB" w:eastAsia="en-GB"/>
      </w:rPr>
      <w:drawing>
        <wp:inline distT="0" distB="0" distL="0" distR="0">
          <wp:extent cx="5747385" cy="783590"/>
          <wp:effectExtent l="0" t="0" r="5715" b="0"/>
          <wp:docPr id="2" name="Kuva 2" descr="C:\Users\heikki.isotalo\Desktop\alabok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ikki.isotalo\Desktop\alaboks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7385" cy="78359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0673"/>
      <w:docPartObj>
        <w:docPartGallery w:val="Page Numbers (Bottom of Page)"/>
        <w:docPartUnique/>
      </w:docPartObj>
    </w:sdtPr>
    <w:sdtEndPr>
      <w:rPr>
        <w:sz w:val="22"/>
      </w:rPr>
    </w:sdtEndPr>
    <w:sdtContent>
      <w:p w:rsidR="00BB632C" w:rsidRPr="00C05E73" w:rsidRDefault="009B653F">
        <w:pPr>
          <w:pStyle w:val="Footer"/>
          <w:jc w:val="right"/>
          <w:rPr>
            <w:sz w:val="22"/>
          </w:rPr>
        </w:pPr>
        <w:r w:rsidRPr="00C05E73">
          <w:rPr>
            <w:noProof/>
            <w:sz w:val="22"/>
            <w:lang w:val="en-GB" w:eastAsia="en-GB"/>
          </w:rPr>
          <w:drawing>
            <wp:anchor distT="0" distB="0" distL="114300" distR="114300" simplePos="0" relativeHeight="251660288" behindDoc="0" locked="0" layoutInCell="1" allowOverlap="1" wp14:anchorId="2097CD58" wp14:editId="7AAD7F95">
              <wp:simplePos x="0" y="0"/>
              <wp:positionH relativeFrom="column">
                <wp:posOffset>-704850</wp:posOffset>
              </wp:positionH>
              <wp:positionV relativeFrom="paragraph">
                <wp:posOffset>-113665</wp:posOffset>
              </wp:positionV>
              <wp:extent cx="7553325" cy="1121410"/>
              <wp:effectExtent l="19050" t="0" r="9525" b="0"/>
              <wp:wrapSquare wrapText="bothSides"/>
              <wp:docPr id="6" name="Kuva 5" descr="C:\Users\heikki.isotalo\Desktop\alabok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ikki.isotalo\Desktop\alaboks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3325" cy="1121410"/>
                      </a:xfrm>
                      <a:prstGeom prst="rect">
                        <a:avLst/>
                      </a:prstGeom>
                      <a:noFill/>
                      <a:ln>
                        <a:noFill/>
                      </a:ln>
                    </pic:spPr>
                  </pic:pic>
                </a:graphicData>
              </a:graphic>
            </wp:anchor>
          </w:drawing>
        </w:r>
        <w:r w:rsidR="00BB632C" w:rsidRPr="00C05E73">
          <w:rPr>
            <w:sz w:val="22"/>
          </w:rPr>
          <w:fldChar w:fldCharType="begin"/>
        </w:r>
        <w:r w:rsidR="00BB632C" w:rsidRPr="00C05E73">
          <w:rPr>
            <w:sz w:val="22"/>
          </w:rPr>
          <w:instrText>PAGE   \* MERGEFORMAT</w:instrText>
        </w:r>
        <w:r w:rsidR="00BB632C" w:rsidRPr="00C05E73">
          <w:rPr>
            <w:sz w:val="22"/>
          </w:rPr>
          <w:fldChar w:fldCharType="separate"/>
        </w:r>
        <w:r w:rsidR="005B4FCD">
          <w:rPr>
            <w:noProof/>
            <w:sz w:val="22"/>
          </w:rPr>
          <w:t>1</w:t>
        </w:r>
        <w:r w:rsidR="00BB632C" w:rsidRPr="00C05E73">
          <w:rPr>
            <w:sz w:val="22"/>
          </w:rPr>
          <w:fldChar w:fldCharType="end"/>
        </w:r>
      </w:p>
    </w:sdtContent>
  </w:sdt>
  <w:p w:rsidR="006A5B71" w:rsidRPr="00C25C62" w:rsidRDefault="006A5B71" w:rsidP="00822ADF">
    <w:pPr>
      <w:pStyle w:val="joujo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FAE" w:rsidRDefault="00417FAE" w:rsidP="00822ADF">
      <w:r>
        <w:separator/>
      </w:r>
    </w:p>
  </w:footnote>
  <w:footnote w:type="continuationSeparator" w:id="0">
    <w:p w:rsidR="00417FAE" w:rsidRDefault="00417FAE" w:rsidP="00822ADF">
      <w:r>
        <w:continuationSeparator/>
      </w:r>
    </w:p>
  </w:footnote>
  <w:footnote w:id="1">
    <w:p w:rsidR="00C779EC" w:rsidRPr="00C779EC" w:rsidRDefault="00C779EC" w:rsidP="00C779EC">
      <w:pPr>
        <w:pStyle w:val="FootnoteText"/>
      </w:pPr>
      <w:r>
        <w:rPr>
          <w:rStyle w:val="FootnoteReference"/>
        </w:rPr>
        <w:footnoteRef/>
      </w:r>
      <w:r w:rsidRPr="004511F7">
        <w:rPr>
          <w:lang w:val="en-US"/>
        </w:rPr>
        <w:t xml:space="preserve"> </w:t>
      </w:r>
      <w:r>
        <w:rPr>
          <w:lang w:val="en-US"/>
        </w:rPr>
        <w:t>Police University Colle</w:t>
      </w:r>
      <w:r w:rsidRPr="004511F7">
        <w:rPr>
          <w:lang w:val="en-US"/>
        </w:rPr>
        <w:t xml:space="preserve">ge of Finland, Report on Hate Crimes, 10/2016. </w:t>
      </w:r>
      <w:r w:rsidRPr="00C779EC">
        <w:t>Tero Tihveräinen. Tampere 2016.</w:t>
      </w:r>
    </w:p>
  </w:footnote>
  <w:footnote w:id="2">
    <w:p w:rsidR="00C779EC" w:rsidRPr="00C779EC" w:rsidRDefault="00C779EC" w:rsidP="00C779EC">
      <w:pPr>
        <w:pStyle w:val="FootnoteText"/>
        <w:rPr>
          <w:lang w:val="en-US"/>
        </w:rPr>
      </w:pPr>
      <w:r>
        <w:rPr>
          <w:rStyle w:val="FootnoteReference"/>
        </w:rPr>
        <w:footnoteRef/>
      </w:r>
      <w:r w:rsidRPr="00263C4D">
        <w:t xml:space="preserve"> </w:t>
      </w:r>
      <w:r>
        <w:t xml:space="preserve">Aaltonen, </w:t>
      </w:r>
      <w:r>
        <w:t xml:space="preserve">M; Heino, P; Villa, S. 2013: "Riiteleminen on pienelle ihmiselle raskasta" - Selvitys syrjinnän uhrien oikeusturvakeinojen saavutettavuudesta ja vaikuttavuudesta. </w:t>
      </w:r>
      <w:proofErr w:type="spellStart"/>
      <w:proofErr w:type="gramStart"/>
      <w:r w:rsidRPr="00C779EC">
        <w:rPr>
          <w:lang w:val="en-US"/>
        </w:rPr>
        <w:t>Sisäasiainministeriön</w:t>
      </w:r>
      <w:proofErr w:type="spellEnd"/>
      <w:r w:rsidRPr="00C779EC">
        <w:rPr>
          <w:lang w:val="en-US"/>
        </w:rPr>
        <w:t xml:space="preserve"> </w:t>
      </w:r>
      <w:proofErr w:type="spellStart"/>
      <w:r w:rsidRPr="00C779EC">
        <w:rPr>
          <w:lang w:val="en-US"/>
        </w:rPr>
        <w:t>julkaisu</w:t>
      </w:r>
      <w:proofErr w:type="spellEnd"/>
      <w:r w:rsidRPr="00C779EC">
        <w:rPr>
          <w:lang w:val="en-US"/>
        </w:rPr>
        <w:t xml:space="preserve"> 13/2013 (With a</w:t>
      </w:r>
      <w:r w:rsidRPr="00C779EC">
        <w:rPr>
          <w:lang w:val="en-US"/>
        </w:rPr>
        <w:t>b</w:t>
      </w:r>
      <w:r w:rsidRPr="00C779EC">
        <w:rPr>
          <w:lang w:val="en-US"/>
        </w:rPr>
        <w:t>stract in English).</w:t>
      </w:r>
      <w:proofErr w:type="gramEnd"/>
    </w:p>
  </w:footnote>
  <w:footnote w:id="3">
    <w:p w:rsidR="00C779EC" w:rsidRPr="00943F22" w:rsidRDefault="00C779EC" w:rsidP="00C779EC">
      <w:pPr>
        <w:pStyle w:val="FootnoteText"/>
        <w:rPr>
          <w:lang w:val="en-US"/>
        </w:rPr>
      </w:pPr>
      <w:r>
        <w:rPr>
          <w:rStyle w:val="FootnoteReference"/>
        </w:rPr>
        <w:footnoteRef/>
      </w:r>
      <w:r w:rsidRPr="00943F22">
        <w:rPr>
          <w:lang w:val="en-US"/>
        </w:rPr>
        <w:t xml:space="preserve"> Ombudsman for Minorities 20</w:t>
      </w:r>
      <w:r>
        <w:rPr>
          <w:lang w:val="en-US"/>
        </w:rPr>
        <w:t>14: Being Different in Everyday L</w:t>
      </w:r>
      <w:r w:rsidRPr="00943F22">
        <w:rPr>
          <w:lang w:val="en-US"/>
        </w:rPr>
        <w:t>ife – Survey on Roma’s Experiences of Di</w:t>
      </w:r>
      <w:r w:rsidRPr="00943F22">
        <w:rPr>
          <w:lang w:val="en-US"/>
        </w:rPr>
        <w:t>s</w:t>
      </w:r>
      <w:r w:rsidRPr="00943F22">
        <w:rPr>
          <w:lang w:val="en-US"/>
        </w:rPr>
        <w:t>criminatio</w:t>
      </w:r>
      <w:r>
        <w:rPr>
          <w:lang w:val="en-US"/>
        </w:rPr>
        <w:t xml:space="preserve">n (Summary). Available at: </w:t>
      </w:r>
      <w:r w:rsidRPr="00943F22">
        <w:rPr>
          <w:lang w:val="en-US"/>
        </w:rPr>
        <w:t>https://www.syrjinta.fi/vahjulkaisut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71" w:rsidRDefault="006A5B71" w:rsidP="00822ADF">
    <w:pPr>
      <w:pStyle w:val="Header"/>
    </w:pPr>
    <w:r>
      <w:rPr>
        <w:noProof/>
        <w:lang w:val="en-GB" w:eastAsia="en-GB"/>
      </w:rPr>
      <w:drawing>
        <wp:anchor distT="0" distB="0" distL="114300" distR="114300" simplePos="0" relativeHeight="251658240" behindDoc="0" locked="0" layoutInCell="1" allowOverlap="1">
          <wp:simplePos x="0" y="0"/>
          <wp:positionH relativeFrom="margin">
            <wp:align>left</wp:align>
          </wp:positionH>
          <wp:positionV relativeFrom="margin">
            <wp:posOffset>-982028</wp:posOffset>
          </wp:positionV>
          <wp:extent cx="2160905" cy="857885"/>
          <wp:effectExtent l="0" t="0" r="0" b="0"/>
          <wp:wrapSquare wrapText="bothSides"/>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905" cy="857885"/>
                  </a:xfrm>
                  <a:prstGeom prst="rect">
                    <a:avLst/>
                  </a:prstGeom>
                </pic:spPr>
              </pic:pic>
            </a:graphicData>
          </a:graphic>
        </wp:anchor>
      </w:drawing>
    </w:r>
  </w:p>
  <w:p w:rsidR="006A5B71" w:rsidRDefault="006A5B71" w:rsidP="00822A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C7E71"/>
    <w:multiLevelType w:val="hybridMultilevel"/>
    <w:tmpl w:val="5D5E5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Symbol"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Symbol" w:hint="default"/>
      </w:rPr>
    </w:lvl>
    <w:lvl w:ilvl="8" w:tplc="040B0005" w:tentative="1">
      <w:start w:val="1"/>
      <w:numFmt w:val="bullet"/>
      <w:lvlText w:val=""/>
      <w:lvlJc w:val="left"/>
      <w:pPr>
        <w:ind w:left="6480" w:hanging="360"/>
      </w:pPr>
      <w:rPr>
        <w:rFonts w:ascii="Wingdings" w:hAnsi="Wingdings" w:hint="default"/>
      </w:rPr>
    </w:lvl>
  </w:abstractNum>
  <w:abstractNum w:abstractNumId="1">
    <w:nsid w:val="21236679"/>
    <w:multiLevelType w:val="hybridMultilevel"/>
    <w:tmpl w:val="A9AE29E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nsid w:val="2A677B79"/>
    <w:multiLevelType w:val="hybridMultilevel"/>
    <w:tmpl w:val="F26CABE6"/>
    <w:lvl w:ilvl="0" w:tplc="3200AD38">
      <w:numFmt w:val="bullet"/>
      <w:lvlText w:val="-"/>
      <w:lvlJc w:val="left"/>
      <w:pPr>
        <w:ind w:left="720" w:hanging="360"/>
      </w:pPr>
      <w:rPr>
        <w:rFonts w:ascii="Calibri" w:eastAsiaTheme="minorHAnsi" w:hAnsi="Calibri"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nsid w:val="3D082110"/>
    <w:multiLevelType w:val="hybridMultilevel"/>
    <w:tmpl w:val="E88C02D2"/>
    <w:lvl w:ilvl="0" w:tplc="CC3A5226">
      <w:numFmt w:val="bullet"/>
      <w:lvlText w:val="-"/>
      <w:lvlJc w:val="left"/>
      <w:pPr>
        <w:ind w:left="780" w:hanging="420"/>
      </w:pPr>
      <w:rPr>
        <w:rFonts w:ascii="Calibri" w:eastAsiaTheme="minorHAnsi" w:hAnsi="Calibri" w:cs="Consola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nsid w:val="580A332F"/>
    <w:multiLevelType w:val="hybridMultilevel"/>
    <w:tmpl w:val="903A668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nsid w:val="5F952D35"/>
    <w:multiLevelType w:val="hybridMultilevel"/>
    <w:tmpl w:val="2C9EF06E"/>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E54"/>
    <w:rsid w:val="0001268A"/>
    <w:rsid w:val="00040718"/>
    <w:rsid w:val="0004390E"/>
    <w:rsid w:val="00055534"/>
    <w:rsid w:val="00057458"/>
    <w:rsid w:val="00061DE8"/>
    <w:rsid w:val="00082BC2"/>
    <w:rsid w:val="000B1B9C"/>
    <w:rsid w:val="000B3489"/>
    <w:rsid w:val="000C6C71"/>
    <w:rsid w:val="000E5FDB"/>
    <w:rsid w:val="000F046D"/>
    <w:rsid w:val="000F738E"/>
    <w:rsid w:val="001017C3"/>
    <w:rsid w:val="001247B2"/>
    <w:rsid w:val="00124BC8"/>
    <w:rsid w:val="001543FE"/>
    <w:rsid w:val="0018017A"/>
    <w:rsid w:val="0018653F"/>
    <w:rsid w:val="00196045"/>
    <w:rsid w:val="001A4263"/>
    <w:rsid w:val="001A4602"/>
    <w:rsid w:val="001B52A4"/>
    <w:rsid w:val="001C2A5A"/>
    <w:rsid w:val="001D2810"/>
    <w:rsid w:val="001D6800"/>
    <w:rsid w:val="001E1E54"/>
    <w:rsid w:val="001F2ADB"/>
    <w:rsid w:val="001F378B"/>
    <w:rsid w:val="00212B61"/>
    <w:rsid w:val="00217561"/>
    <w:rsid w:val="00224154"/>
    <w:rsid w:val="00230534"/>
    <w:rsid w:val="00230E22"/>
    <w:rsid w:val="0023325A"/>
    <w:rsid w:val="00237EE1"/>
    <w:rsid w:val="00262AD8"/>
    <w:rsid w:val="00295DCC"/>
    <w:rsid w:val="002B1101"/>
    <w:rsid w:val="002B1A93"/>
    <w:rsid w:val="002B285B"/>
    <w:rsid w:val="002E5C0C"/>
    <w:rsid w:val="003023C8"/>
    <w:rsid w:val="003064CD"/>
    <w:rsid w:val="00335A15"/>
    <w:rsid w:val="003503F5"/>
    <w:rsid w:val="00350752"/>
    <w:rsid w:val="0037328C"/>
    <w:rsid w:val="00377C9F"/>
    <w:rsid w:val="00385DB4"/>
    <w:rsid w:val="00385F84"/>
    <w:rsid w:val="00387B3B"/>
    <w:rsid w:val="003C6B46"/>
    <w:rsid w:val="00417FAE"/>
    <w:rsid w:val="00436CC0"/>
    <w:rsid w:val="004714FE"/>
    <w:rsid w:val="00475099"/>
    <w:rsid w:val="0048434E"/>
    <w:rsid w:val="00493C17"/>
    <w:rsid w:val="004941AA"/>
    <w:rsid w:val="00494E56"/>
    <w:rsid w:val="004A7904"/>
    <w:rsid w:val="004B3DA5"/>
    <w:rsid w:val="004D096A"/>
    <w:rsid w:val="004D2569"/>
    <w:rsid w:val="004E7F9E"/>
    <w:rsid w:val="004F3375"/>
    <w:rsid w:val="005208DE"/>
    <w:rsid w:val="00535BF2"/>
    <w:rsid w:val="00562B63"/>
    <w:rsid w:val="00570414"/>
    <w:rsid w:val="00571E7E"/>
    <w:rsid w:val="005A7021"/>
    <w:rsid w:val="005B4FCD"/>
    <w:rsid w:val="005D1226"/>
    <w:rsid w:val="005D3780"/>
    <w:rsid w:val="005D539B"/>
    <w:rsid w:val="005D723E"/>
    <w:rsid w:val="005E17CE"/>
    <w:rsid w:val="005F4673"/>
    <w:rsid w:val="005F70DA"/>
    <w:rsid w:val="00620D5E"/>
    <w:rsid w:val="00622286"/>
    <w:rsid w:val="006270E0"/>
    <w:rsid w:val="00635CC2"/>
    <w:rsid w:val="006553C7"/>
    <w:rsid w:val="00684FDD"/>
    <w:rsid w:val="006A5B71"/>
    <w:rsid w:val="006A5CDC"/>
    <w:rsid w:val="006A7B37"/>
    <w:rsid w:val="006B2B45"/>
    <w:rsid w:val="006D24DA"/>
    <w:rsid w:val="006D5682"/>
    <w:rsid w:val="006E27BC"/>
    <w:rsid w:val="006F0862"/>
    <w:rsid w:val="00702A7B"/>
    <w:rsid w:val="00710CA9"/>
    <w:rsid w:val="00737625"/>
    <w:rsid w:val="00757ACE"/>
    <w:rsid w:val="00794A8D"/>
    <w:rsid w:val="007A1D8E"/>
    <w:rsid w:val="007A1F9C"/>
    <w:rsid w:val="007A5B81"/>
    <w:rsid w:val="007E4260"/>
    <w:rsid w:val="008028B6"/>
    <w:rsid w:val="00803277"/>
    <w:rsid w:val="00822817"/>
    <w:rsid w:val="00822ADF"/>
    <w:rsid w:val="00823024"/>
    <w:rsid w:val="008255EA"/>
    <w:rsid w:val="00855064"/>
    <w:rsid w:val="00862F3C"/>
    <w:rsid w:val="00864215"/>
    <w:rsid w:val="008900CF"/>
    <w:rsid w:val="008A0B89"/>
    <w:rsid w:val="008A35D2"/>
    <w:rsid w:val="008B2323"/>
    <w:rsid w:val="008B27EE"/>
    <w:rsid w:val="008C5E29"/>
    <w:rsid w:val="008D7925"/>
    <w:rsid w:val="008E4C41"/>
    <w:rsid w:val="00901242"/>
    <w:rsid w:val="00903898"/>
    <w:rsid w:val="009058A0"/>
    <w:rsid w:val="00922998"/>
    <w:rsid w:val="009372CE"/>
    <w:rsid w:val="009450B5"/>
    <w:rsid w:val="00950F12"/>
    <w:rsid w:val="009515FA"/>
    <w:rsid w:val="00954E18"/>
    <w:rsid w:val="009B653F"/>
    <w:rsid w:val="009C1161"/>
    <w:rsid w:val="009C61E3"/>
    <w:rsid w:val="009C68D9"/>
    <w:rsid w:val="009C7BCC"/>
    <w:rsid w:val="009D7AC5"/>
    <w:rsid w:val="009E0A7E"/>
    <w:rsid w:val="009E257F"/>
    <w:rsid w:val="009F6F36"/>
    <w:rsid w:val="009F793D"/>
    <w:rsid w:val="00A06CA1"/>
    <w:rsid w:val="00A169BD"/>
    <w:rsid w:val="00A20AE1"/>
    <w:rsid w:val="00A450FF"/>
    <w:rsid w:val="00A644D0"/>
    <w:rsid w:val="00A65A83"/>
    <w:rsid w:val="00A75912"/>
    <w:rsid w:val="00A75E4E"/>
    <w:rsid w:val="00A8576C"/>
    <w:rsid w:val="00B37739"/>
    <w:rsid w:val="00B55824"/>
    <w:rsid w:val="00B716ED"/>
    <w:rsid w:val="00B726BA"/>
    <w:rsid w:val="00BB4605"/>
    <w:rsid w:val="00BB560E"/>
    <w:rsid w:val="00BB632C"/>
    <w:rsid w:val="00BC3307"/>
    <w:rsid w:val="00BD384D"/>
    <w:rsid w:val="00BF3E5F"/>
    <w:rsid w:val="00C034E2"/>
    <w:rsid w:val="00C05E73"/>
    <w:rsid w:val="00C25C62"/>
    <w:rsid w:val="00C5773B"/>
    <w:rsid w:val="00C62460"/>
    <w:rsid w:val="00C76097"/>
    <w:rsid w:val="00C779EC"/>
    <w:rsid w:val="00C94D66"/>
    <w:rsid w:val="00CC0947"/>
    <w:rsid w:val="00CE1398"/>
    <w:rsid w:val="00D0171F"/>
    <w:rsid w:val="00D073C0"/>
    <w:rsid w:val="00D12BCC"/>
    <w:rsid w:val="00D14EF0"/>
    <w:rsid w:val="00D32A14"/>
    <w:rsid w:val="00D40F78"/>
    <w:rsid w:val="00D57781"/>
    <w:rsid w:val="00D6122A"/>
    <w:rsid w:val="00D76316"/>
    <w:rsid w:val="00D807FF"/>
    <w:rsid w:val="00D81E3B"/>
    <w:rsid w:val="00D9532A"/>
    <w:rsid w:val="00DB537C"/>
    <w:rsid w:val="00DC49F2"/>
    <w:rsid w:val="00DE452F"/>
    <w:rsid w:val="00E4777C"/>
    <w:rsid w:val="00E5602E"/>
    <w:rsid w:val="00E94D98"/>
    <w:rsid w:val="00EA1AD7"/>
    <w:rsid w:val="00EB1702"/>
    <w:rsid w:val="00EE541E"/>
    <w:rsid w:val="00EF3EE3"/>
    <w:rsid w:val="00F14F3B"/>
    <w:rsid w:val="00F22985"/>
    <w:rsid w:val="00F338B8"/>
    <w:rsid w:val="00F347BA"/>
    <w:rsid w:val="00F36AF2"/>
    <w:rsid w:val="00F46AC4"/>
    <w:rsid w:val="00F53717"/>
    <w:rsid w:val="00F57409"/>
    <w:rsid w:val="00F57C24"/>
    <w:rsid w:val="00F82094"/>
    <w:rsid w:val="00F8502E"/>
    <w:rsid w:val="00F85DFF"/>
    <w:rsid w:val="00FB2C9E"/>
    <w:rsid w:val="00FE5AC8"/>
    <w:rsid w:val="00FE5F37"/>
    <w:rsid w:val="00FF787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unhideWhenUsed="0"/>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qFormat="1"/>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Leipäteksti IHMISOIKEUSLIITTO"/>
    <w:next w:val="alaEI"/>
    <w:rsid w:val="00C76097"/>
    <w:pPr>
      <w:spacing w:line="240" w:lineRule="auto"/>
    </w:pPr>
    <w:rPr>
      <w:sz w:val="24"/>
    </w:rPr>
  </w:style>
  <w:style w:type="paragraph" w:styleId="Heading1">
    <w:name w:val="heading 1"/>
    <w:aliases w:val="Otsikko IHMISOIKEUSLIITTO"/>
    <w:next w:val="otsikko"/>
    <w:link w:val="Heading1Char"/>
    <w:uiPriority w:val="1"/>
    <w:qFormat/>
    <w:rsid w:val="00F57409"/>
    <w:pPr>
      <w:keepNext/>
      <w:keepLines/>
      <w:spacing w:before="480" w:after="0"/>
      <w:outlineLvl w:val="0"/>
    </w:pPr>
    <w:rPr>
      <w:rFonts w:ascii="Tisa Sans Offc Pro" w:eastAsiaTheme="majorEastAsia" w:hAnsi="Tisa Sans Offc Pro" w:cstheme="majorBidi"/>
      <w:b/>
      <w:bCs/>
      <w:color w:val="495E77"/>
      <w:sz w:val="3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E1E54"/>
    <w:pPr>
      <w:tabs>
        <w:tab w:val="center" w:pos="4819"/>
        <w:tab w:val="right" w:pos="9638"/>
      </w:tabs>
      <w:spacing w:after="0"/>
    </w:pPr>
  </w:style>
  <w:style w:type="character" w:customStyle="1" w:styleId="HeaderChar">
    <w:name w:val="Header Char"/>
    <w:basedOn w:val="DefaultParagraphFont"/>
    <w:link w:val="Header"/>
    <w:uiPriority w:val="99"/>
    <w:semiHidden/>
    <w:rsid w:val="005D723E"/>
    <w:rPr>
      <w:rFonts w:ascii="Tisa Offc Pro" w:hAnsi="Tisa Offc Pro"/>
      <w:sz w:val="21"/>
    </w:rPr>
  </w:style>
  <w:style w:type="paragraph" w:styleId="Footer">
    <w:name w:val="footer"/>
    <w:basedOn w:val="Normal"/>
    <w:link w:val="FooterChar"/>
    <w:uiPriority w:val="99"/>
    <w:rsid w:val="001E1E54"/>
    <w:pPr>
      <w:tabs>
        <w:tab w:val="center" w:pos="4819"/>
        <w:tab w:val="right" w:pos="9638"/>
      </w:tabs>
      <w:spacing w:after="0"/>
    </w:pPr>
  </w:style>
  <w:style w:type="character" w:customStyle="1" w:styleId="FooterChar">
    <w:name w:val="Footer Char"/>
    <w:basedOn w:val="DefaultParagraphFont"/>
    <w:link w:val="Footer"/>
    <w:uiPriority w:val="99"/>
    <w:rsid w:val="005D723E"/>
    <w:rPr>
      <w:rFonts w:ascii="Tisa Offc Pro" w:hAnsi="Tisa Offc Pro"/>
      <w:sz w:val="21"/>
    </w:rPr>
  </w:style>
  <w:style w:type="paragraph" w:styleId="BalloonText">
    <w:name w:val="Balloon Text"/>
    <w:basedOn w:val="Normal"/>
    <w:link w:val="BalloonTextChar"/>
    <w:uiPriority w:val="99"/>
    <w:semiHidden/>
    <w:rsid w:val="001E1E5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3E"/>
    <w:rPr>
      <w:rFonts w:ascii="Tahoma" w:hAnsi="Tahoma" w:cs="Tahoma"/>
      <w:sz w:val="16"/>
      <w:szCs w:val="16"/>
    </w:rPr>
  </w:style>
  <w:style w:type="character" w:customStyle="1" w:styleId="Heading1Char">
    <w:name w:val="Heading 1 Char"/>
    <w:aliases w:val="Otsikko IHMISOIKEUSLIITTO Char"/>
    <w:basedOn w:val="DefaultParagraphFont"/>
    <w:link w:val="Heading1"/>
    <w:uiPriority w:val="1"/>
    <w:rsid w:val="00F57409"/>
    <w:rPr>
      <w:rFonts w:ascii="Tisa Sans Offc Pro" w:eastAsiaTheme="majorEastAsia" w:hAnsi="Tisa Sans Offc Pro" w:cstheme="majorBidi"/>
      <w:b/>
      <w:bCs/>
      <w:color w:val="495E77"/>
      <w:sz w:val="38"/>
      <w:szCs w:val="28"/>
    </w:rPr>
  </w:style>
  <w:style w:type="paragraph" w:styleId="Subtitle">
    <w:name w:val="Subtitle"/>
    <w:next w:val="Normal"/>
    <w:link w:val="SubtitleChar"/>
    <w:uiPriority w:val="2"/>
    <w:qFormat/>
    <w:rsid w:val="00040718"/>
    <w:pPr>
      <w:framePr w:wrap="around" w:vAnchor="text" w:hAnchor="text" w:y="1"/>
      <w:numPr>
        <w:ilvl w:val="1"/>
      </w:numPr>
      <w:suppressAutoHyphens/>
      <w:spacing w:line="240" w:lineRule="auto"/>
    </w:pPr>
    <w:rPr>
      <w:rFonts w:ascii="Tisa Sans Offc Pro" w:eastAsiaTheme="majorEastAsia" w:hAnsi="Tisa Sans Offc Pro" w:cstheme="majorHAnsi"/>
      <w:iCs/>
      <w:color w:val="495E77"/>
      <w:spacing w:val="15"/>
      <w:sz w:val="21"/>
      <w:szCs w:val="24"/>
    </w:rPr>
  </w:style>
  <w:style w:type="character" w:customStyle="1" w:styleId="SubtitleChar">
    <w:name w:val="Subtitle Char"/>
    <w:basedOn w:val="DefaultParagraphFont"/>
    <w:link w:val="Subtitle"/>
    <w:uiPriority w:val="2"/>
    <w:rsid w:val="009372CE"/>
    <w:rPr>
      <w:rFonts w:ascii="Tisa Sans Offc Pro" w:eastAsiaTheme="majorEastAsia" w:hAnsi="Tisa Sans Offc Pro" w:cstheme="majorHAnsi"/>
      <w:iCs/>
      <w:color w:val="495E77"/>
      <w:spacing w:val="15"/>
      <w:sz w:val="21"/>
      <w:szCs w:val="24"/>
    </w:rPr>
  </w:style>
  <w:style w:type="character" w:styleId="SubtleEmphasis">
    <w:name w:val="Subtle Emphasis"/>
    <w:basedOn w:val="DefaultParagraphFont"/>
    <w:uiPriority w:val="19"/>
    <w:rsid w:val="00494E56"/>
    <w:rPr>
      <w:i/>
      <w:iCs/>
      <w:color w:val="808080" w:themeColor="text1" w:themeTint="7F"/>
    </w:rPr>
  </w:style>
  <w:style w:type="paragraph" w:customStyle="1" w:styleId="joujou">
    <w:name w:val="joujou"/>
    <w:basedOn w:val="Normal"/>
    <w:link w:val="joujouChar"/>
    <w:uiPriority w:val="3"/>
    <w:rsid w:val="00494E56"/>
  </w:style>
  <w:style w:type="character" w:customStyle="1" w:styleId="joujouChar">
    <w:name w:val="joujou Char"/>
    <w:basedOn w:val="DefaultParagraphFont"/>
    <w:link w:val="joujou"/>
    <w:uiPriority w:val="3"/>
    <w:rsid w:val="009372CE"/>
    <w:rPr>
      <w:rFonts w:ascii="Tisa Offc Pro" w:hAnsi="Tisa Offc Pro"/>
    </w:rPr>
  </w:style>
  <w:style w:type="paragraph" w:styleId="NoSpacing">
    <w:name w:val="No Spacing"/>
    <w:uiPriority w:val="1"/>
    <w:semiHidden/>
    <w:rsid w:val="00822ADF"/>
    <w:pPr>
      <w:spacing w:after="0" w:line="240" w:lineRule="auto"/>
    </w:pPr>
    <w:rPr>
      <w:rFonts w:ascii="Tisa Offc Pro" w:hAnsi="Tisa Offc Pro"/>
      <w:sz w:val="21"/>
    </w:rPr>
  </w:style>
  <w:style w:type="paragraph" w:customStyle="1" w:styleId="alaEI">
    <w:name w:val="alaEI"/>
    <w:basedOn w:val="Normal"/>
    <w:uiPriority w:val="3"/>
    <w:qFormat/>
    <w:rsid w:val="00D76316"/>
  </w:style>
  <w:style w:type="character" w:styleId="BookTitle">
    <w:name w:val="Book Title"/>
    <w:basedOn w:val="DefaultParagraphFont"/>
    <w:uiPriority w:val="33"/>
    <w:rsid w:val="00684FDD"/>
    <w:rPr>
      <w:b/>
      <w:bCs/>
      <w:smallCaps/>
      <w:spacing w:val="5"/>
    </w:rPr>
  </w:style>
  <w:style w:type="character" w:styleId="IntenseReference">
    <w:name w:val="Intense Reference"/>
    <w:basedOn w:val="DefaultParagraphFont"/>
    <w:uiPriority w:val="32"/>
    <w:rsid w:val="00684FDD"/>
    <w:rPr>
      <w:b/>
      <w:bCs/>
      <w:smallCaps/>
      <w:color w:val="C0504D" w:themeColor="accent2"/>
      <w:spacing w:val="5"/>
      <w:u w:val="single"/>
    </w:rPr>
  </w:style>
  <w:style w:type="character" w:styleId="SubtleReference">
    <w:name w:val="Subtle Reference"/>
    <w:basedOn w:val="DefaultParagraphFont"/>
    <w:uiPriority w:val="31"/>
    <w:rsid w:val="00684FDD"/>
    <w:rPr>
      <w:smallCaps/>
      <w:color w:val="C0504D" w:themeColor="accent2"/>
      <w:u w:val="single"/>
    </w:rPr>
  </w:style>
  <w:style w:type="paragraph" w:styleId="IntenseQuote">
    <w:name w:val="Intense Quote"/>
    <w:basedOn w:val="Normal"/>
    <w:next w:val="Normal"/>
    <w:link w:val="IntenseQuoteChar"/>
    <w:uiPriority w:val="30"/>
    <w:rsid w:val="00684FD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84FDD"/>
    <w:rPr>
      <w:rFonts w:ascii="Tisa Offc Pro" w:hAnsi="Tisa Offc Pro"/>
      <w:b/>
      <w:bCs/>
      <w:i/>
      <w:iCs/>
      <w:color w:val="4F81BD" w:themeColor="accent1"/>
    </w:rPr>
  </w:style>
  <w:style w:type="paragraph" w:styleId="Quote">
    <w:name w:val="Quote"/>
    <w:basedOn w:val="Normal"/>
    <w:next w:val="Normal"/>
    <w:link w:val="QuoteChar"/>
    <w:uiPriority w:val="29"/>
    <w:rsid w:val="00684FDD"/>
    <w:rPr>
      <w:i/>
      <w:iCs/>
      <w:color w:val="000000" w:themeColor="text1"/>
    </w:rPr>
  </w:style>
  <w:style w:type="character" w:customStyle="1" w:styleId="QuoteChar">
    <w:name w:val="Quote Char"/>
    <w:basedOn w:val="DefaultParagraphFont"/>
    <w:link w:val="Quote"/>
    <w:uiPriority w:val="29"/>
    <w:rsid w:val="00684FDD"/>
    <w:rPr>
      <w:rFonts w:ascii="Tisa Offc Pro" w:hAnsi="Tisa Offc Pro"/>
      <w:i/>
      <w:iCs/>
      <w:color w:val="000000" w:themeColor="text1"/>
    </w:rPr>
  </w:style>
  <w:style w:type="character" w:styleId="Strong">
    <w:name w:val="Strong"/>
    <w:basedOn w:val="DefaultParagraphFont"/>
    <w:uiPriority w:val="22"/>
    <w:rsid w:val="00684FDD"/>
    <w:rPr>
      <w:b/>
      <w:bCs/>
    </w:rPr>
  </w:style>
  <w:style w:type="character" w:styleId="IntenseEmphasis">
    <w:name w:val="Intense Emphasis"/>
    <w:basedOn w:val="DefaultParagraphFont"/>
    <w:uiPriority w:val="21"/>
    <w:rsid w:val="00684FDD"/>
    <w:rPr>
      <w:b/>
      <w:bCs/>
      <w:i/>
      <w:iCs/>
      <w:color w:val="4F81BD" w:themeColor="accent1"/>
    </w:rPr>
  </w:style>
  <w:style w:type="character" w:styleId="Emphasis">
    <w:name w:val="Emphasis"/>
    <w:basedOn w:val="DefaultParagraphFont"/>
    <w:uiPriority w:val="20"/>
    <w:qFormat/>
    <w:rsid w:val="00684FDD"/>
    <w:rPr>
      <w:i/>
      <w:iCs/>
    </w:rPr>
  </w:style>
  <w:style w:type="paragraph" w:customStyle="1" w:styleId="alaotsikko">
    <w:name w:val="alaotsikko"/>
    <w:basedOn w:val="Subtitle"/>
    <w:uiPriority w:val="1"/>
    <w:qFormat/>
    <w:rsid w:val="00040718"/>
    <w:pPr>
      <w:framePr w:wrap="around"/>
      <w:spacing w:line="200" w:lineRule="exact"/>
    </w:pPr>
    <w:rPr>
      <w:rFonts w:ascii="Calibri" w:hAnsi="Calibri"/>
      <w:b/>
      <w:sz w:val="24"/>
    </w:rPr>
  </w:style>
  <w:style w:type="paragraph" w:customStyle="1" w:styleId="otsikko">
    <w:name w:val="otsikko"/>
    <w:basedOn w:val="Heading1"/>
    <w:qFormat/>
    <w:rsid w:val="00F57409"/>
    <w:rPr>
      <w:color w:val="B2A1C7" w:themeColor="accent4" w:themeTint="99"/>
      <w:sz w:val="36"/>
    </w:rPr>
  </w:style>
  <w:style w:type="paragraph" w:styleId="Title">
    <w:name w:val="Title"/>
    <w:basedOn w:val="Normal"/>
    <w:next w:val="Normal"/>
    <w:link w:val="TitleChar"/>
    <w:uiPriority w:val="10"/>
    <w:rsid w:val="0047509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5099"/>
    <w:rPr>
      <w:rFonts w:asciiTheme="majorHAnsi" w:eastAsiaTheme="majorEastAsia" w:hAnsiTheme="majorHAnsi" w:cstheme="majorBidi"/>
      <w:color w:val="17365D" w:themeColor="text2" w:themeShade="BF"/>
      <w:spacing w:val="5"/>
      <w:kern w:val="28"/>
      <w:sz w:val="52"/>
      <w:szCs w:val="52"/>
    </w:rPr>
  </w:style>
  <w:style w:type="paragraph" w:customStyle="1" w:styleId="NORMAALI">
    <w:name w:val="NORMAALI"/>
    <w:basedOn w:val="Normal"/>
    <w:link w:val="NORMAALIChar"/>
    <w:qFormat/>
    <w:rsid w:val="00C76097"/>
    <w:pPr>
      <w:spacing w:line="320" w:lineRule="exact"/>
    </w:pPr>
  </w:style>
  <w:style w:type="character" w:customStyle="1" w:styleId="NORMAALIChar">
    <w:name w:val="NORMAALI Char"/>
    <w:basedOn w:val="DefaultParagraphFont"/>
    <w:link w:val="NORMAALI"/>
    <w:rsid w:val="00C76097"/>
    <w:rPr>
      <w:sz w:val="24"/>
    </w:rPr>
  </w:style>
  <w:style w:type="paragraph" w:styleId="FootnoteText">
    <w:name w:val="footnote text"/>
    <w:basedOn w:val="Normal"/>
    <w:link w:val="FootnoteTextChar"/>
    <w:uiPriority w:val="99"/>
    <w:semiHidden/>
    <w:unhideWhenUsed/>
    <w:rsid w:val="00262AD8"/>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62AD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62AD8"/>
    <w:rPr>
      <w:vertAlign w:val="superscript"/>
    </w:rPr>
  </w:style>
  <w:style w:type="character" w:customStyle="1" w:styleId="st">
    <w:name w:val="st"/>
    <w:basedOn w:val="DefaultParagraphFont"/>
    <w:rsid w:val="009E0A7E"/>
  </w:style>
  <w:style w:type="paragraph" w:styleId="ListParagraph">
    <w:name w:val="List Paragraph"/>
    <w:basedOn w:val="Normal"/>
    <w:uiPriority w:val="34"/>
    <w:qFormat/>
    <w:rsid w:val="001A4602"/>
    <w:pPr>
      <w:ind w:left="720"/>
      <w:contextualSpacing/>
    </w:pPr>
  </w:style>
  <w:style w:type="character" w:styleId="Hyperlink">
    <w:name w:val="Hyperlink"/>
    <w:basedOn w:val="DefaultParagraphFont"/>
    <w:uiPriority w:val="99"/>
    <w:unhideWhenUsed/>
    <w:rsid w:val="00FE5F37"/>
    <w:rPr>
      <w:color w:val="0000FF" w:themeColor="hyperlink"/>
      <w:u w:val="single"/>
    </w:rPr>
  </w:style>
  <w:style w:type="paragraph" w:customStyle="1" w:styleId="Default">
    <w:name w:val="Default"/>
    <w:rsid w:val="002B1A93"/>
    <w:pPr>
      <w:autoSpaceDE w:val="0"/>
      <w:autoSpaceDN w:val="0"/>
      <w:adjustRightInd w:val="0"/>
      <w:spacing w:after="0" w:line="240" w:lineRule="auto"/>
    </w:pPr>
    <w:rPr>
      <w:rFonts w:ascii="Calibri" w:hAnsi="Calibri" w:cs="Calibri"/>
      <w:color w:val="000000"/>
      <w:sz w:val="24"/>
      <w:szCs w:val="24"/>
    </w:rPr>
  </w:style>
  <w:style w:type="paragraph" w:styleId="PlainText">
    <w:name w:val="Plain Text"/>
    <w:basedOn w:val="Normal"/>
    <w:link w:val="PlainTextChar"/>
    <w:uiPriority w:val="99"/>
    <w:semiHidden/>
    <w:unhideWhenUsed/>
    <w:rsid w:val="00061DE8"/>
    <w:pPr>
      <w:spacing w:after="0"/>
    </w:pPr>
    <w:rPr>
      <w:rFonts w:ascii="Calibri" w:hAnsi="Calibri" w:cs="Consolas"/>
      <w:sz w:val="22"/>
      <w:szCs w:val="21"/>
    </w:rPr>
  </w:style>
  <w:style w:type="character" w:customStyle="1" w:styleId="PlainTextChar">
    <w:name w:val="Plain Text Char"/>
    <w:basedOn w:val="DefaultParagraphFont"/>
    <w:link w:val="PlainText"/>
    <w:uiPriority w:val="99"/>
    <w:semiHidden/>
    <w:rsid w:val="00061DE8"/>
    <w:rPr>
      <w:rFonts w:ascii="Calibri" w:hAnsi="Calibri" w:cs="Consolas"/>
      <w:szCs w:val="21"/>
    </w:rPr>
  </w:style>
  <w:style w:type="paragraph" w:customStyle="1" w:styleId="H23G">
    <w:name w:val="_ H_2/3_G"/>
    <w:basedOn w:val="Normal"/>
    <w:next w:val="Normal"/>
    <w:rsid w:val="00C779E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C779EC"/>
    <w:pPr>
      <w:suppressAutoHyphens/>
      <w:spacing w:after="120" w:line="240" w:lineRule="atLeast"/>
      <w:ind w:left="1134" w:right="1134"/>
      <w:jc w:val="both"/>
    </w:pPr>
    <w:rPr>
      <w:rFonts w:ascii="Times New Roman" w:eastAsia="SimSun" w:hAnsi="Times New Roman" w:cs="Times New Roman"/>
      <w:sz w:val="20"/>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unhideWhenUsed="0"/>
    <w:lsdException w:name="heading 3"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nhideWhenUsed="0"/>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qFormat="1"/>
    <w:lsdException w:name="Salutation" w:unhideWhenUsed="0"/>
    <w:lsdException w:name="Date" w:unhideWhenUsed="0"/>
    <w:lsdException w:name="Body Text First Indent"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Leipäteksti IHMISOIKEUSLIITTO"/>
    <w:next w:val="alaEI"/>
    <w:rsid w:val="00C76097"/>
    <w:pPr>
      <w:spacing w:line="240" w:lineRule="auto"/>
    </w:pPr>
    <w:rPr>
      <w:sz w:val="24"/>
    </w:rPr>
  </w:style>
  <w:style w:type="paragraph" w:styleId="Heading1">
    <w:name w:val="heading 1"/>
    <w:aliases w:val="Otsikko IHMISOIKEUSLIITTO"/>
    <w:next w:val="otsikko"/>
    <w:link w:val="Heading1Char"/>
    <w:uiPriority w:val="1"/>
    <w:qFormat/>
    <w:rsid w:val="00F57409"/>
    <w:pPr>
      <w:keepNext/>
      <w:keepLines/>
      <w:spacing w:before="480" w:after="0"/>
      <w:outlineLvl w:val="0"/>
    </w:pPr>
    <w:rPr>
      <w:rFonts w:ascii="Tisa Sans Offc Pro" w:eastAsiaTheme="majorEastAsia" w:hAnsi="Tisa Sans Offc Pro" w:cstheme="majorBidi"/>
      <w:b/>
      <w:bCs/>
      <w:color w:val="495E77"/>
      <w:sz w:val="3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1E1E54"/>
    <w:pPr>
      <w:tabs>
        <w:tab w:val="center" w:pos="4819"/>
        <w:tab w:val="right" w:pos="9638"/>
      </w:tabs>
      <w:spacing w:after="0"/>
    </w:pPr>
  </w:style>
  <w:style w:type="character" w:customStyle="1" w:styleId="HeaderChar">
    <w:name w:val="Header Char"/>
    <w:basedOn w:val="DefaultParagraphFont"/>
    <w:link w:val="Header"/>
    <w:uiPriority w:val="99"/>
    <w:semiHidden/>
    <w:rsid w:val="005D723E"/>
    <w:rPr>
      <w:rFonts w:ascii="Tisa Offc Pro" w:hAnsi="Tisa Offc Pro"/>
      <w:sz w:val="21"/>
    </w:rPr>
  </w:style>
  <w:style w:type="paragraph" w:styleId="Footer">
    <w:name w:val="footer"/>
    <w:basedOn w:val="Normal"/>
    <w:link w:val="FooterChar"/>
    <w:uiPriority w:val="99"/>
    <w:rsid w:val="001E1E54"/>
    <w:pPr>
      <w:tabs>
        <w:tab w:val="center" w:pos="4819"/>
        <w:tab w:val="right" w:pos="9638"/>
      </w:tabs>
      <w:spacing w:after="0"/>
    </w:pPr>
  </w:style>
  <w:style w:type="character" w:customStyle="1" w:styleId="FooterChar">
    <w:name w:val="Footer Char"/>
    <w:basedOn w:val="DefaultParagraphFont"/>
    <w:link w:val="Footer"/>
    <w:uiPriority w:val="99"/>
    <w:rsid w:val="005D723E"/>
    <w:rPr>
      <w:rFonts w:ascii="Tisa Offc Pro" w:hAnsi="Tisa Offc Pro"/>
      <w:sz w:val="21"/>
    </w:rPr>
  </w:style>
  <w:style w:type="paragraph" w:styleId="BalloonText">
    <w:name w:val="Balloon Text"/>
    <w:basedOn w:val="Normal"/>
    <w:link w:val="BalloonTextChar"/>
    <w:uiPriority w:val="99"/>
    <w:semiHidden/>
    <w:rsid w:val="001E1E5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3E"/>
    <w:rPr>
      <w:rFonts w:ascii="Tahoma" w:hAnsi="Tahoma" w:cs="Tahoma"/>
      <w:sz w:val="16"/>
      <w:szCs w:val="16"/>
    </w:rPr>
  </w:style>
  <w:style w:type="character" w:customStyle="1" w:styleId="Heading1Char">
    <w:name w:val="Heading 1 Char"/>
    <w:aliases w:val="Otsikko IHMISOIKEUSLIITTO Char"/>
    <w:basedOn w:val="DefaultParagraphFont"/>
    <w:link w:val="Heading1"/>
    <w:uiPriority w:val="1"/>
    <w:rsid w:val="00F57409"/>
    <w:rPr>
      <w:rFonts w:ascii="Tisa Sans Offc Pro" w:eastAsiaTheme="majorEastAsia" w:hAnsi="Tisa Sans Offc Pro" w:cstheme="majorBidi"/>
      <w:b/>
      <w:bCs/>
      <w:color w:val="495E77"/>
      <w:sz w:val="38"/>
      <w:szCs w:val="28"/>
    </w:rPr>
  </w:style>
  <w:style w:type="paragraph" w:styleId="Subtitle">
    <w:name w:val="Subtitle"/>
    <w:next w:val="Normal"/>
    <w:link w:val="SubtitleChar"/>
    <w:uiPriority w:val="2"/>
    <w:qFormat/>
    <w:rsid w:val="00040718"/>
    <w:pPr>
      <w:framePr w:wrap="around" w:vAnchor="text" w:hAnchor="text" w:y="1"/>
      <w:numPr>
        <w:ilvl w:val="1"/>
      </w:numPr>
      <w:suppressAutoHyphens/>
      <w:spacing w:line="240" w:lineRule="auto"/>
    </w:pPr>
    <w:rPr>
      <w:rFonts w:ascii="Tisa Sans Offc Pro" w:eastAsiaTheme="majorEastAsia" w:hAnsi="Tisa Sans Offc Pro" w:cstheme="majorHAnsi"/>
      <w:iCs/>
      <w:color w:val="495E77"/>
      <w:spacing w:val="15"/>
      <w:sz w:val="21"/>
      <w:szCs w:val="24"/>
    </w:rPr>
  </w:style>
  <w:style w:type="character" w:customStyle="1" w:styleId="SubtitleChar">
    <w:name w:val="Subtitle Char"/>
    <w:basedOn w:val="DefaultParagraphFont"/>
    <w:link w:val="Subtitle"/>
    <w:uiPriority w:val="2"/>
    <w:rsid w:val="009372CE"/>
    <w:rPr>
      <w:rFonts w:ascii="Tisa Sans Offc Pro" w:eastAsiaTheme="majorEastAsia" w:hAnsi="Tisa Sans Offc Pro" w:cstheme="majorHAnsi"/>
      <w:iCs/>
      <w:color w:val="495E77"/>
      <w:spacing w:val="15"/>
      <w:sz w:val="21"/>
      <w:szCs w:val="24"/>
    </w:rPr>
  </w:style>
  <w:style w:type="character" w:styleId="SubtleEmphasis">
    <w:name w:val="Subtle Emphasis"/>
    <w:basedOn w:val="DefaultParagraphFont"/>
    <w:uiPriority w:val="19"/>
    <w:rsid w:val="00494E56"/>
    <w:rPr>
      <w:i/>
      <w:iCs/>
      <w:color w:val="808080" w:themeColor="text1" w:themeTint="7F"/>
    </w:rPr>
  </w:style>
  <w:style w:type="paragraph" w:customStyle="1" w:styleId="joujou">
    <w:name w:val="joujou"/>
    <w:basedOn w:val="Normal"/>
    <w:link w:val="joujouChar"/>
    <w:uiPriority w:val="3"/>
    <w:rsid w:val="00494E56"/>
  </w:style>
  <w:style w:type="character" w:customStyle="1" w:styleId="joujouChar">
    <w:name w:val="joujou Char"/>
    <w:basedOn w:val="DefaultParagraphFont"/>
    <w:link w:val="joujou"/>
    <w:uiPriority w:val="3"/>
    <w:rsid w:val="009372CE"/>
    <w:rPr>
      <w:rFonts w:ascii="Tisa Offc Pro" w:hAnsi="Tisa Offc Pro"/>
    </w:rPr>
  </w:style>
  <w:style w:type="paragraph" w:styleId="NoSpacing">
    <w:name w:val="No Spacing"/>
    <w:uiPriority w:val="1"/>
    <w:semiHidden/>
    <w:rsid w:val="00822ADF"/>
    <w:pPr>
      <w:spacing w:after="0" w:line="240" w:lineRule="auto"/>
    </w:pPr>
    <w:rPr>
      <w:rFonts w:ascii="Tisa Offc Pro" w:hAnsi="Tisa Offc Pro"/>
      <w:sz w:val="21"/>
    </w:rPr>
  </w:style>
  <w:style w:type="paragraph" w:customStyle="1" w:styleId="alaEI">
    <w:name w:val="alaEI"/>
    <w:basedOn w:val="Normal"/>
    <w:uiPriority w:val="3"/>
    <w:qFormat/>
    <w:rsid w:val="00D76316"/>
  </w:style>
  <w:style w:type="character" w:styleId="BookTitle">
    <w:name w:val="Book Title"/>
    <w:basedOn w:val="DefaultParagraphFont"/>
    <w:uiPriority w:val="33"/>
    <w:rsid w:val="00684FDD"/>
    <w:rPr>
      <w:b/>
      <w:bCs/>
      <w:smallCaps/>
      <w:spacing w:val="5"/>
    </w:rPr>
  </w:style>
  <w:style w:type="character" w:styleId="IntenseReference">
    <w:name w:val="Intense Reference"/>
    <w:basedOn w:val="DefaultParagraphFont"/>
    <w:uiPriority w:val="32"/>
    <w:rsid w:val="00684FDD"/>
    <w:rPr>
      <w:b/>
      <w:bCs/>
      <w:smallCaps/>
      <w:color w:val="C0504D" w:themeColor="accent2"/>
      <w:spacing w:val="5"/>
      <w:u w:val="single"/>
    </w:rPr>
  </w:style>
  <w:style w:type="character" w:styleId="SubtleReference">
    <w:name w:val="Subtle Reference"/>
    <w:basedOn w:val="DefaultParagraphFont"/>
    <w:uiPriority w:val="31"/>
    <w:rsid w:val="00684FDD"/>
    <w:rPr>
      <w:smallCaps/>
      <w:color w:val="C0504D" w:themeColor="accent2"/>
      <w:u w:val="single"/>
    </w:rPr>
  </w:style>
  <w:style w:type="paragraph" w:styleId="IntenseQuote">
    <w:name w:val="Intense Quote"/>
    <w:basedOn w:val="Normal"/>
    <w:next w:val="Normal"/>
    <w:link w:val="IntenseQuoteChar"/>
    <w:uiPriority w:val="30"/>
    <w:rsid w:val="00684FD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84FDD"/>
    <w:rPr>
      <w:rFonts w:ascii="Tisa Offc Pro" w:hAnsi="Tisa Offc Pro"/>
      <w:b/>
      <w:bCs/>
      <w:i/>
      <w:iCs/>
      <w:color w:val="4F81BD" w:themeColor="accent1"/>
    </w:rPr>
  </w:style>
  <w:style w:type="paragraph" w:styleId="Quote">
    <w:name w:val="Quote"/>
    <w:basedOn w:val="Normal"/>
    <w:next w:val="Normal"/>
    <w:link w:val="QuoteChar"/>
    <w:uiPriority w:val="29"/>
    <w:rsid w:val="00684FDD"/>
    <w:rPr>
      <w:i/>
      <w:iCs/>
      <w:color w:val="000000" w:themeColor="text1"/>
    </w:rPr>
  </w:style>
  <w:style w:type="character" w:customStyle="1" w:styleId="QuoteChar">
    <w:name w:val="Quote Char"/>
    <w:basedOn w:val="DefaultParagraphFont"/>
    <w:link w:val="Quote"/>
    <w:uiPriority w:val="29"/>
    <w:rsid w:val="00684FDD"/>
    <w:rPr>
      <w:rFonts w:ascii="Tisa Offc Pro" w:hAnsi="Tisa Offc Pro"/>
      <w:i/>
      <w:iCs/>
      <w:color w:val="000000" w:themeColor="text1"/>
    </w:rPr>
  </w:style>
  <w:style w:type="character" w:styleId="Strong">
    <w:name w:val="Strong"/>
    <w:basedOn w:val="DefaultParagraphFont"/>
    <w:uiPriority w:val="22"/>
    <w:rsid w:val="00684FDD"/>
    <w:rPr>
      <w:b/>
      <w:bCs/>
    </w:rPr>
  </w:style>
  <w:style w:type="character" w:styleId="IntenseEmphasis">
    <w:name w:val="Intense Emphasis"/>
    <w:basedOn w:val="DefaultParagraphFont"/>
    <w:uiPriority w:val="21"/>
    <w:rsid w:val="00684FDD"/>
    <w:rPr>
      <w:b/>
      <w:bCs/>
      <w:i/>
      <w:iCs/>
      <w:color w:val="4F81BD" w:themeColor="accent1"/>
    </w:rPr>
  </w:style>
  <w:style w:type="character" w:styleId="Emphasis">
    <w:name w:val="Emphasis"/>
    <w:basedOn w:val="DefaultParagraphFont"/>
    <w:uiPriority w:val="20"/>
    <w:qFormat/>
    <w:rsid w:val="00684FDD"/>
    <w:rPr>
      <w:i/>
      <w:iCs/>
    </w:rPr>
  </w:style>
  <w:style w:type="paragraph" w:customStyle="1" w:styleId="alaotsikko">
    <w:name w:val="alaotsikko"/>
    <w:basedOn w:val="Subtitle"/>
    <w:uiPriority w:val="1"/>
    <w:qFormat/>
    <w:rsid w:val="00040718"/>
    <w:pPr>
      <w:framePr w:wrap="around"/>
      <w:spacing w:line="200" w:lineRule="exact"/>
    </w:pPr>
    <w:rPr>
      <w:rFonts w:ascii="Calibri" w:hAnsi="Calibri"/>
      <w:b/>
      <w:sz w:val="24"/>
    </w:rPr>
  </w:style>
  <w:style w:type="paragraph" w:customStyle="1" w:styleId="otsikko">
    <w:name w:val="otsikko"/>
    <w:basedOn w:val="Heading1"/>
    <w:qFormat/>
    <w:rsid w:val="00F57409"/>
    <w:rPr>
      <w:color w:val="B2A1C7" w:themeColor="accent4" w:themeTint="99"/>
      <w:sz w:val="36"/>
    </w:rPr>
  </w:style>
  <w:style w:type="paragraph" w:styleId="Title">
    <w:name w:val="Title"/>
    <w:basedOn w:val="Normal"/>
    <w:next w:val="Normal"/>
    <w:link w:val="TitleChar"/>
    <w:uiPriority w:val="10"/>
    <w:rsid w:val="0047509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75099"/>
    <w:rPr>
      <w:rFonts w:asciiTheme="majorHAnsi" w:eastAsiaTheme="majorEastAsia" w:hAnsiTheme="majorHAnsi" w:cstheme="majorBidi"/>
      <w:color w:val="17365D" w:themeColor="text2" w:themeShade="BF"/>
      <w:spacing w:val="5"/>
      <w:kern w:val="28"/>
      <w:sz w:val="52"/>
      <w:szCs w:val="52"/>
    </w:rPr>
  </w:style>
  <w:style w:type="paragraph" w:customStyle="1" w:styleId="NORMAALI">
    <w:name w:val="NORMAALI"/>
    <w:basedOn w:val="Normal"/>
    <w:link w:val="NORMAALIChar"/>
    <w:qFormat/>
    <w:rsid w:val="00C76097"/>
    <w:pPr>
      <w:spacing w:line="320" w:lineRule="exact"/>
    </w:pPr>
  </w:style>
  <w:style w:type="character" w:customStyle="1" w:styleId="NORMAALIChar">
    <w:name w:val="NORMAALI Char"/>
    <w:basedOn w:val="DefaultParagraphFont"/>
    <w:link w:val="NORMAALI"/>
    <w:rsid w:val="00C76097"/>
    <w:rPr>
      <w:sz w:val="24"/>
    </w:rPr>
  </w:style>
  <w:style w:type="paragraph" w:styleId="FootnoteText">
    <w:name w:val="footnote text"/>
    <w:basedOn w:val="Normal"/>
    <w:link w:val="FootnoteTextChar"/>
    <w:uiPriority w:val="99"/>
    <w:semiHidden/>
    <w:unhideWhenUsed/>
    <w:rsid w:val="00262AD8"/>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62AD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62AD8"/>
    <w:rPr>
      <w:vertAlign w:val="superscript"/>
    </w:rPr>
  </w:style>
  <w:style w:type="character" w:customStyle="1" w:styleId="st">
    <w:name w:val="st"/>
    <w:basedOn w:val="DefaultParagraphFont"/>
    <w:rsid w:val="009E0A7E"/>
  </w:style>
  <w:style w:type="paragraph" w:styleId="ListParagraph">
    <w:name w:val="List Paragraph"/>
    <w:basedOn w:val="Normal"/>
    <w:uiPriority w:val="34"/>
    <w:qFormat/>
    <w:rsid w:val="001A4602"/>
    <w:pPr>
      <w:ind w:left="720"/>
      <w:contextualSpacing/>
    </w:pPr>
  </w:style>
  <w:style w:type="character" w:styleId="Hyperlink">
    <w:name w:val="Hyperlink"/>
    <w:basedOn w:val="DefaultParagraphFont"/>
    <w:uiPriority w:val="99"/>
    <w:unhideWhenUsed/>
    <w:rsid w:val="00FE5F37"/>
    <w:rPr>
      <w:color w:val="0000FF" w:themeColor="hyperlink"/>
      <w:u w:val="single"/>
    </w:rPr>
  </w:style>
  <w:style w:type="paragraph" w:customStyle="1" w:styleId="Default">
    <w:name w:val="Default"/>
    <w:rsid w:val="002B1A93"/>
    <w:pPr>
      <w:autoSpaceDE w:val="0"/>
      <w:autoSpaceDN w:val="0"/>
      <w:adjustRightInd w:val="0"/>
      <w:spacing w:after="0" w:line="240" w:lineRule="auto"/>
    </w:pPr>
    <w:rPr>
      <w:rFonts w:ascii="Calibri" w:hAnsi="Calibri" w:cs="Calibri"/>
      <w:color w:val="000000"/>
      <w:sz w:val="24"/>
      <w:szCs w:val="24"/>
    </w:rPr>
  </w:style>
  <w:style w:type="paragraph" w:styleId="PlainText">
    <w:name w:val="Plain Text"/>
    <w:basedOn w:val="Normal"/>
    <w:link w:val="PlainTextChar"/>
    <w:uiPriority w:val="99"/>
    <w:semiHidden/>
    <w:unhideWhenUsed/>
    <w:rsid w:val="00061DE8"/>
    <w:pPr>
      <w:spacing w:after="0"/>
    </w:pPr>
    <w:rPr>
      <w:rFonts w:ascii="Calibri" w:hAnsi="Calibri" w:cs="Consolas"/>
      <w:sz w:val="22"/>
      <w:szCs w:val="21"/>
    </w:rPr>
  </w:style>
  <w:style w:type="character" w:customStyle="1" w:styleId="PlainTextChar">
    <w:name w:val="Plain Text Char"/>
    <w:basedOn w:val="DefaultParagraphFont"/>
    <w:link w:val="PlainText"/>
    <w:uiPriority w:val="99"/>
    <w:semiHidden/>
    <w:rsid w:val="00061DE8"/>
    <w:rPr>
      <w:rFonts w:ascii="Calibri" w:hAnsi="Calibri" w:cs="Consolas"/>
      <w:szCs w:val="21"/>
    </w:rPr>
  </w:style>
  <w:style w:type="paragraph" w:customStyle="1" w:styleId="H23G">
    <w:name w:val="_ H_2/3_G"/>
    <w:basedOn w:val="Normal"/>
    <w:next w:val="Normal"/>
    <w:rsid w:val="00C779EC"/>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C779EC"/>
    <w:pPr>
      <w:suppressAutoHyphens/>
      <w:spacing w:after="120" w:line="240" w:lineRule="atLeast"/>
      <w:ind w:left="1134" w:right="1134"/>
      <w:jc w:val="both"/>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023196">
      <w:bodyDiv w:val="1"/>
      <w:marLeft w:val="0"/>
      <w:marRight w:val="0"/>
      <w:marTop w:val="0"/>
      <w:marBottom w:val="0"/>
      <w:divBdr>
        <w:top w:val="none" w:sz="0" w:space="0" w:color="auto"/>
        <w:left w:val="none" w:sz="0" w:space="0" w:color="auto"/>
        <w:bottom w:val="none" w:sz="0" w:space="0" w:color="auto"/>
        <w:right w:val="none" w:sz="0" w:space="0" w:color="auto"/>
      </w:divBdr>
    </w:div>
    <w:div w:id="1012221239">
      <w:bodyDiv w:val="1"/>
      <w:marLeft w:val="0"/>
      <w:marRight w:val="0"/>
      <w:marTop w:val="0"/>
      <w:marBottom w:val="0"/>
      <w:divBdr>
        <w:top w:val="none" w:sz="0" w:space="0" w:color="auto"/>
        <w:left w:val="none" w:sz="0" w:space="0" w:color="auto"/>
        <w:bottom w:val="none" w:sz="0" w:space="0" w:color="auto"/>
        <w:right w:val="none" w:sz="0" w:space="0" w:color="auto"/>
      </w:divBdr>
    </w:div>
    <w:div w:id="1444424027">
      <w:bodyDiv w:val="1"/>
      <w:marLeft w:val="0"/>
      <w:marRight w:val="0"/>
      <w:marTop w:val="0"/>
      <w:marBottom w:val="0"/>
      <w:divBdr>
        <w:top w:val="none" w:sz="0" w:space="0" w:color="auto"/>
        <w:left w:val="none" w:sz="0" w:space="0" w:color="auto"/>
        <w:bottom w:val="none" w:sz="0" w:space="0" w:color="auto"/>
        <w:right w:val="none" w:sz="0" w:space="0" w:color="auto"/>
      </w:divBdr>
    </w:div>
    <w:div w:id="197586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416C97-BCC3-4C77-A76E-39188C0653C7}"/>
</file>

<file path=customXml/itemProps2.xml><?xml version="1.0" encoding="utf-8"?>
<ds:datastoreItem xmlns:ds="http://schemas.openxmlformats.org/officeDocument/2006/customXml" ds:itemID="{E0E9B2AA-E0A9-46D7-852C-5F149B415984}"/>
</file>

<file path=customXml/itemProps3.xml><?xml version="1.0" encoding="utf-8"?>
<ds:datastoreItem xmlns:ds="http://schemas.openxmlformats.org/officeDocument/2006/customXml" ds:itemID="{3302AC25-50F0-4CEE-AB53-16AFAFC7D864}"/>
</file>

<file path=customXml/itemProps4.xml><?xml version="1.0" encoding="utf-8"?>
<ds:datastoreItem xmlns:ds="http://schemas.openxmlformats.org/officeDocument/2006/customXml" ds:itemID="{AB52D3C3-09F4-451D-A46B-5AD4DF1F0A5F}"/>
</file>

<file path=docProps/app.xml><?xml version="1.0" encoding="utf-8"?>
<Properties xmlns="http://schemas.openxmlformats.org/officeDocument/2006/extended-properties" xmlns:vt="http://schemas.openxmlformats.org/officeDocument/2006/docPropsVTypes">
  <Template>Normal.dotm</Template>
  <TotalTime>0</TotalTime>
  <Pages>7</Pages>
  <Words>2283</Words>
  <Characters>13017</Characters>
  <Application>Microsoft Office Word</Application>
  <DocSecurity>0</DocSecurity>
  <Lines>108</Lines>
  <Paragraphs>30</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Hewlett-Packard Company</Company>
  <LinksUpToDate>false</LinksUpToDate>
  <CharactersWithSpaces>15270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heikki.isotalo</dc:creator>
  <cp:lastModifiedBy>Kalpana Singh</cp:lastModifiedBy>
  <cp:revision>2</cp:revision>
  <cp:lastPrinted>2016-01-15T12:00:00Z</cp:lastPrinted>
  <dcterms:created xsi:type="dcterms:W3CDTF">2017-04-03T07:45:00Z</dcterms:created>
  <dcterms:modified xsi:type="dcterms:W3CDTF">2017-04-03T07:45:00Z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