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sz w:val="20"/>
          <w:szCs w:val="20"/>
        </w:rPr>
        <w:t xml:space="preserve">Rapport</w:t>
      </w:r>
    </w:p>
    <w:p>
      <w:pPr>
        <w:spacing w:after="100"/>
      </w:pPr>
    </w:p>
    <w:p>
      <w:pPr>
        <w:spacing w:after="200"/>
      </w:pPr>
      <w:r>
        <w:rPr>
          <w:b/>
          <w:bCs/>
          <w:sz w:val="26"/>
          <w:szCs w:val="26"/>
        </w:rPr>
        <w:t xml:space="preserve">Titre : Rapport alternatif sur la mise en œuvre des modèles résidentiels au Chili</w:t>
      </w:r>
    </w:p>
    <w:p>
      <w:pPr>
        <w:spacing w:after="200"/>
      </w:pPr>
      <w:r>
        <w:t xml:space="preserve">Auteurs : Soto Reyes, P., Besoain-Saldaña, A., Gutiérrez Monclus, P., Larenas Rosa, D., Loren Santana, C., Olivares Péndola, G., Puentes León, T. et Tapia-Saavedra, S., López Radrigán, C. et Núcleo Desarrollo Inclusivo (Pôle de développement inclusif)</w:t>
      </w:r>
    </w:p>
    <w:p>
      <w:pPr>
        <w:pStyle w:val="Heading1"/>
        <w:spacing w:after="150" w:before="300"/>
      </w:pPr>
      <w:r>
        <w:t xml:space="preserve">Introduction</w:t>
      </w:r>
    </w:p>
    <w:p>
      <w:pPr>
        <w:pStyle w:val="Heading2"/>
        <w:spacing w:after="150" w:before="300"/>
      </w:pPr>
      <w:r>
        <w:t xml:space="preserve">1. Législation</w:t>
      </w:r>
    </w:p>
    <w:p>
      <w:pPr>
        <w:spacing w:after="200"/>
      </w:pPr>
      <w:r>
        <w:t xml:space="preserve">En réponse à la question 16 (points a et c) posée par le Comité, il convient de souligner que, bien que la loi n° 20 422 établisse des règles en matière d'égalité des chances, son cadre normatif reste insuffisant pour garantir aux personnes handicapées la possibilité de vivre de manière indépendante avec des systèmes de soutien complets au sein de la communauté. Ni la législation ni l'État ne sont parvenus à mettre en œuvre des mesures efficaces permettant de réduire les écarts d'accès à ces services entre zones urbaines et zones rurales.</w:t>
      </w:r>
    </w:p>
    <w:p>
      <w:pPr>
        <w:spacing w:after="200"/>
      </w:pPr>
      <w:r>
        <w:t xml:space="preserve">De même, le cadre juridique demeure insuffisant pour prévenir le placement en institution des enfants en raison de leur handicap, faute de règles claires empêchant les séjours prolongés dans des établissements résidentiels et garantissant leur droit de vivre en famille. En outre, l'exercice de ce droit est limité par le maintien en vigueur du Code civil de 1857 et de la loi n° 18 600, qui perpétuent la mise sous tutelle civile et, avec elle, la substitution dans la prise de décision.</w:t>
      </w:r>
    </w:p>
    <w:p>
      <w:pPr>
        <w:pStyle w:val="Heading2"/>
        <w:spacing w:after="150" w:before="300"/>
      </w:pPr>
      <w:r>
        <w:t xml:space="preserve">2. Politiques et stratégies</w:t>
      </w:r>
    </w:p>
    <w:p>
      <w:pPr>
        <w:spacing w:after="200"/>
      </w:pPr>
      <w:r>
        <w:t xml:space="preserve">S'agissant de la question 16 (point b) du Comité, l'État ne présente aucun progrès substantiel dans la mise en place d'un plan national de désinstitutionalisation assorti de dispositions claires pour la transition vers la vie autonome et le soutien communautaire. La politique publique centrale (telle que le « Programme de modèles résidentiels pour adultes handicapés ») repose sur des stratégies centralisées et bureaucratisées (comme les reddition de comptes mensuelles complexes sur des plateformes telles que SISREC), ce qui limite la capacité des équipes à fournir un véritable soutien à la vie autonome. Par ailleurs, ces résidences n'existent pas dans toutes les régions et ne disposent pas de systèmes de soutien suffisants pour garantir le principe de vie autonome et de vie au sein de la communauté.</w:t>
      </w:r>
    </w:p>
    <w:p>
      <w:pPr>
        <w:spacing w:after="200"/>
      </w:pPr>
      <w:r>
        <w:t xml:space="preserve">Par ailleurs, des informations qualitatives recueillies sur le terrain confirment les lacunes relevées dans l'observation 64 du Comité. Il existe un déficit critique dans la collecte et l'actualisation des données et statistiques fondées sur le modèle des droits humains. Les stratégies étatiques doivent intégrer d'urgence des données ventilées par âge, sexe, genre, type de handicap, appartenance ethnique et localisation géographique, en mettant particulièrement l'accent sur le type de résidence ou d'institutionnalisation, ainsi que sur les cas de discrimination ou de violence. L'absence de ces informations empêche d'établir le lien entre l'article 31 de la Convention et l'objectif 17 des Objectifs de développement durable (cible 17.18). En outre, l'élaboration de ces processus statistiques et stratégiques omet systématiquement la consultation contraignante des organisations de personnes handicapées.</w:t>
      </w:r>
    </w:p>
    <w:p>
      <w:pPr>
        <w:pStyle w:val="Heading2"/>
        <w:spacing w:after="150" w:before="300"/>
      </w:pPr>
      <w:r>
        <w:t xml:space="preserve">3. Modèles résidentiels (analyse qualitative du système de soutien)</w:t>
      </w:r>
    </w:p>
    <w:p>
      <w:pPr>
        <w:spacing w:after="200"/>
      </w:pPr>
      <w:r>
        <w:t xml:space="preserve">À partir des informations qualitatives recueillies lors de visites de terrain et de la synthèse de la littérature relative aux bonnes pratiques en matière de désinstitutionalisation, les nœuds critiques suivants ont été identifiés dans la réalité opérationnelle de ces dispositifs :</w:t>
      </w:r>
    </w:p>
    <w:p>
      <w:pPr>
        <w:pStyle w:val="ListParagraph"/>
        <w:numPr>
          <w:ilvl w:val="0"/>
          <w:numId w:val="1"/>
        </w:numPr>
        <w:spacing w:after="150"/>
      </w:pPr>
      <w:r>
        <w:t xml:space="preserve">Couverture et ancrage communautaire : L'offre de soutien présente des lacunes de couverture qui limitent le lien entre les résidences et leur territoire. Les données disponibles sur les processus de désinstitutionalisation soulignent la nécessité de développer des stratégies d'ancrage communautaire, telles que des tables de travail avec les acteurs locaux, favorisant la participation des personnes handicapées à la vie communautaire selon leurs propres intérêts et décisions — ce qui suppose de sensibiliser l'environnement et de travailler collectivement aux processus d'inclusion et de participation. Toutefois, la disponibilité insuffisante de soutiens et de services communautaires restreint ces possibilités, limitant l'accès aux réseaux, activités et ressources du territoire.</w:t>
      </w:r>
    </w:p>
    <w:p>
      <w:pPr>
        <w:pStyle w:val="ListParagraph"/>
        <w:numPr>
          <w:ilvl w:val="0"/>
          <w:numId w:val="1"/>
        </w:numPr>
        <w:spacing w:after="150"/>
      </w:pPr>
      <w:r>
        <w:t xml:space="preserve">Modèle préventif dans la fourniture des soutiens : Le travail de terrain montre que les équipes exercent leur activité dans un contexte de forte rotation du personnel, d'occasions de formation limitées et d'un appui technique restreint. Ces conditions entravent la continuité des soutiens, la connaissance des parcours, préférences et besoins des personnes accompagnées, ainsi que la planification d'interventions anticipatives. Il en résulte une réponse principalement centrée sur la résolution des situations une fois survenues, plutôt que sur leur prévention au moyen de soutiens personnalisés, d'un suivi continu et d'un travail interdisciplinaire.</w:t>
      </w:r>
    </w:p>
    <w:p>
      <w:pPr>
        <w:pStyle w:val="ListParagraph"/>
        <w:numPr>
          <w:ilvl w:val="0"/>
          <w:numId w:val="1"/>
        </w:numPr>
        <w:spacing w:after="150"/>
      </w:pPr>
      <w:r>
        <w:t xml:space="preserve">Gestion des dérégulations (risque versus mal-être) : Les dérégulations émotionnelles ou comportementales sont généralement abordées avant tout sous l'angle de la gestion du risque, plutôt que comme des expressions de mal-être ou des réponses à des obstacles environnementaux. Il en résulte des réponses hétérogènes selon les résidences et les équipes, souvent fondées sur l'expérience individuelle des intervenants. Dans certains cas, le recours à des mesures restrictives ou à l'isolement temporaire persiste, au lieu de stratégies de corégulation émotionnelle et de soutiens personnalisés. Si plusieurs résidences disposaient de protocoles pour traiter ces situations, leur disponibilité et leur degré d'élaboration n'étaient pas homogènes, ce qui renforce la nécessité de disposer d'orientations communes favorisant la prévention et la gestion des dérégulations — comprenant l'identification précoce des signaux de mal-être, la définition des responsabilités, des stratégies d'anticipation, une communication accessible, la corégulation, la désescalade et l'analyse a posteriori des épisodes. Ces orientations devraient favoriser des réponses graduelles, proportionnées et centrées sur la personne, les mesures restrictives ne devant être qu'un recours exceptionnel, appliqué le moins longtemps possible et assorti de garanties définies. Par ailleurs, les conditions matérielles de certains espaces résidentiels présentent des limites en termes de confort et d'adéquation. La nécessité de répondre à des dommages récurrents à l'infrastructure ou au mobilier réduit les possibilités d'adapter les environnements aux préférences et aux besoins des personnes, ce qui nuit à la qualité des espaces de vie et de soutien.</w:t>
      </w:r>
    </w:p>
    <w:p>
      <w:pPr>
        <w:pStyle w:val="ListParagraph"/>
        <w:numPr>
          <w:ilvl w:val="0"/>
          <w:numId w:val="1"/>
        </w:numPr>
        <w:spacing w:after="150"/>
      </w:pPr>
      <w:r>
        <w:t xml:space="preserve">Globalité et participation : L'accompagnement en résidence reste centré en priorité sur les besoins de base (logement, alimentation, hygiène et médication), au détriment d'une approche globale centrée sur la personne. Une participation réelle exige que les personnes handicapées soient actrices de leur plan d'intervention, ce qui implique de recueillir des informations essentielles sur leurs réseaux fonctionnels au moyen d'écocartes et de favoriser une communication accessible (par exemple, en lecture facile) leur permettant d'exprimer leur consentement et leurs décisions quotidiennes.</w:t>
      </w:r>
    </w:p>
    <w:p>
      <w:pPr>
        <w:pStyle w:val="ListParagraph"/>
        <w:numPr>
          <w:ilvl w:val="0"/>
          <w:numId w:val="1"/>
        </w:numPr>
        <w:spacing w:after="150"/>
      </w:pPr>
      <w:r>
        <w:t xml:space="preserve">La tension entre protection et atteinte aux droits (le paradoxe de la protection) : L'un des constats les plus critiques réside dans la tension constante entre le devoir de protection et le respect de l'autodétermination. Au nom de la « protection » des résidents contre d'éventuels préjudices ou mauvaises décisions, les dynamiques institutionnelles finissent par porter atteinte à des droits fondamentaux en supprimant leur autonomie. Il est impératif que le système de soutien intègre la notion de « dignité du risque », c'est-à-dire garantir aux personnes handicapées le droit d'explorer, de prendre leurs propres décisions, d'assumer des risques quotidiens raisonnés et d'en tirer des enseignements, sans que la surprotection institutionnelle ne devienne une forme déguisée de coercition.</w:t>
      </w:r>
    </w:p>
    <w:p>
      <w:pPr>
        <w:pStyle w:val="ListParagraph"/>
        <w:numPr>
          <w:ilvl w:val="0"/>
          <w:numId w:val="1"/>
        </w:numPr>
        <w:spacing w:after="150"/>
      </w:pPr>
      <w:r>
        <w:t xml:space="preserve">Communication au service de l'autonomie et de l'exercice des droits : Un autre constat majeur concerne le rôle de la communication dans l'exercice de l'autonomie des personnes résidentes. Nombre d'entre elles rencontrent des difficultés d'expression et de compréhension liées à la communication orale, et l'absence de soutiens, de ressources, d'outils et de systèmes facilitant des formes de communication améliorée et alternative restreint leur capacité à exprimer leurs préférences et opinions, et donc à prendre des décisions relatives à leur vie quotidienne. De même, la plupart des résidences ne disposent pas de personnel spécialisé en accompagnement à la communication, ce qui entrave le développement de stratégies facilitatrices.</w:t>
      </w:r>
    </w:p>
    <w:p>
      <w:pPr>
        <w:pStyle w:val="Heading1"/>
        <w:spacing w:after="150" w:before="300"/>
      </w:pPr>
      <w:r>
        <w:t xml:space="preserve">Recommandations à l'État partie</w:t>
      </w:r>
    </w:p>
    <w:p>
      <w:pPr>
        <w:spacing w:after="200"/>
      </w:pPr>
      <w:r>
        <w:t xml:space="preserve">Compte tenu des lacunes matérielles et des obstacles bureaucratiques identifiés, les recommandations suivantes, assorties d'indicateurs clairs et de délais définis, sont formulées à titre urgent à l'intention de l'État partie :</w:t>
      </w:r>
    </w:p>
    <w:p>
      <w:pPr>
        <w:pStyle w:val="Heading2"/>
        <w:spacing w:after="150" w:before="300"/>
      </w:pPr>
      <w:r>
        <w:t xml:space="preserve">1. Renforcement du financement de l'inclusion communautaire et de la désinstitutionalisation</w:t>
      </w:r>
    </w:p>
    <w:p>
      <w:pPr>
        <w:spacing w:after="200"/>
      </w:pPr>
      <w:r>
        <w:t xml:space="preserve">Nous recommandons à l'État partie de repenser le modèle de financement du « Programme de modèles résidentiels pour adultes handicapés », en conditionnant le transfert de fonds publics à la mise en œuvre de plans de désinstitutionalisation et d'actions communautaires. Dans un délai de 12 mois, les nouvelles bases techniques du SENADIS doivent garantir qu'au moins 30 % des fonds attribués soient destinés exclusivement à des soutiens flexibles en milieu ouvert, à l'adaptation des logements et à la médiation communautaire. Cette mesure, réalisable grâce à l'actualisation des postes budgétaires (sous-titre 24), répond directement à l'article 19 de la Convention, en veillant à ce que les ressources cessent de subventionner la prise en charge institutionnelle traditionnelle et favorisent une transition effective vers la vie autonome.</w:t>
      </w:r>
    </w:p>
    <w:p>
      <w:pPr>
        <w:pStyle w:val="Heading2"/>
        <w:spacing w:after="150" w:before="300"/>
      </w:pPr>
      <w:r>
        <w:t xml:space="preserve">2. Simplification opérationnelle et réduction du temps administratif</w:t>
      </w:r>
    </w:p>
    <w:p>
      <w:pPr>
        <w:spacing w:after="200"/>
      </w:pPr>
      <w:r>
        <w:t xml:space="preserve">Il est urgent de simplifier la charge administrative qui pèse sur les équipes de soutien, avec pour objectif de réduire d'au moins 40 % le temps consacré aux obligations de reporting bureaucratique dans les 6 prochains mois. À cette fin, l'État doit assouplir les exigences de la plateforme SISREC et supprimer ou adapter l'obligation de cautionnement (équivalant à 5 % du montant total) imposée aux organisations de la société civile. En optimisant ces processus, des heures précieuses seront libérées pour les professionnels, qui pourront les consacrer exclusivement à l'accompagnement direct, à la gestion préventive des dérégulations et à la promotion de l'autonomie sur le terrain, préservant ainsi la qualité de l'accompagnement humain.</w:t>
      </w:r>
    </w:p>
    <w:p>
      <w:pPr>
        <w:pStyle w:val="Heading2"/>
        <w:spacing w:after="150" w:before="300"/>
      </w:pPr>
      <w:r>
        <w:t xml:space="preserve">3. Institutionnalisation d'un accompagnement collectif et de communautés de pratique</w:t>
      </w:r>
    </w:p>
    <w:p>
      <w:pPr>
        <w:spacing w:after="200"/>
      </w:pPr>
      <w:r>
        <w:t xml:space="preserve">Il est recommandé d'instaurer, dans un délai maximal de 12 mois, un dispositif national et régional permanent d'accompagnement collectif réunissant les équipes résidentielles, le niveau central, les municipalités et les organisations de personnes handicapées (OPD). Grâce à un calendrier prévoyant au moins 4 rencontres régionales en présentiel et 2 journées nationales virtuelles par an, l'objectif est de passer d'une formation purement théorique à un modèle d'accompagnement pratique sur le terrain. Cette initiative permettra aux équipes de partager notamment de bonnes pratiques et des retours d'expérience, en particulier pour diffuser des stratégies de corégulation émotionnelle et coconstruire des solutions préventives face aux dilemmes éthiques, rompant ainsi l'isolement institutionnel.</w:t>
      </w:r>
    </w:p>
    <w:p>
      <w:pPr>
        <w:pStyle w:val="Heading2"/>
        <w:spacing w:after="150" w:before="300"/>
      </w:pPr>
      <w:r>
        <w:t xml:space="preserve">4. Coordination intersectorielle contraignante avec les gouvernements locaux</w:t>
      </w:r>
    </w:p>
    <w:p>
      <w:pPr>
        <w:spacing w:after="200"/>
      </w:pPr>
      <w:r>
        <w:t xml:space="preserve">L'État doit mettre en place, dans les 18 prochains mois, des tables de travail intersectorielles et des accords contraignants et dûment financés entre les résidences, les gouvernements locaux (bureaux municipaux du handicap, de la culture et du sport) et les centres de santé familiale (CESFAM). Cette coordination doit garantir que 100 % des résidents disposent d'un diagnostic global, d'une écocarte de leurs réseaux et d'un plan d'ancrage territorial. En intégrant cette stratégie comme exigence technique évaluable dans les bases du SENADIS, on contribuera à faire tomber les barrières à l'exclusion en zones urbaines et rurales, concrétisant ainsi le droit de participer activement à la vie communautaire et d'accéder aux espaces publics dans des conditions d'égalité.</w:t>
      </w:r>
    </w:p>
    <w:p>
      <w:pPr>
        <w:pStyle w:val="Heading1"/>
        <w:spacing w:after="150" w:before="300"/>
      </w:pPr>
      <w:r>
        <w:t xml:space="preserve">Conclusion</w:t>
      </w:r>
    </w:p>
    <w:p>
      <w:pPr>
        <w:spacing w:after="200"/>
      </w:pPr>
      <w:r>
        <w:t xml:space="preserve">Les informations recueillies montrent que, si le Chili dispose d'un cadre programmatique visant à promouvoir la vie autonome et l'inclusion communautaire, des difficultés persistent pour que ces objectifs se traduisent de manière cohérente dans le quotidien des personnes handicapées vivant en résidence. Les lacunes relevées en matière de couverture territoriale, de disponibilité des soutiens communautaires, de formation et d'accompagnement des équipes, ainsi que les exigences administratives du programme, limitent la mise en œuvre de pratiques centrées sur la personne et sur l'exercice de l'autonomie.</w:t>
      </w:r>
    </w:p>
    <w:p>
      <w:pPr>
        <w:spacing w:after="200"/>
      </w:pPr>
      <w:r>
        <w:t xml:space="preserve">Les visites de terrain montrent que les équipes exercent leur travail avec engagement, mais dans des conditions qui entravent la continuité des soutiens, la planification préventive et la construction de stratégies partagées. De même, les différences observées entre les résidences en matière d'ancrage communautaire, de gestion des dérégulations et d'occasions de participation mettent en évidence la nécessité de renforcer les orientations communes, l'appui technique et les mécanismes d'accompagnement permanent.</w:t>
      </w:r>
    </w:p>
    <w:p>
      <w:pPr>
        <w:spacing w:after="200"/>
      </w:pPr>
      <w:r>
        <w:t xml:space="preserve">Par ailleurs, le maintien de dispositifs juridiques tels que la mise sous tutelle civile et l'insuffisance des soutiens disponibles pour la vie au sein de la communauté continuent de faire obstacle au plein exercice du droit reconnu à l'article 19 de la Convention. Dans ce contexte, les recommandations formulées visent à contribuer au renforcement du système de soutien, au moyen de mesures destinées à améliorer sa mise en œuvre, à favoriser la coordination territoriale et à créer les conditions permettant aux personnes handicapées de mener leurs projets de vie avec davantage de possibilités de participation, d'autonomie et de choix au sein de la communauté.</w:t>
      </w:r>
    </w:p>
    <w:p>
      <w:pPr>
        <w:pStyle w:val="Heading1"/>
        <w:spacing w:after="150" w:before="300"/>
      </w:pPr>
      <w:r>
        <w:t xml:space="preserve">Références</w:t>
      </w:r>
    </w:p>
    <w:p>
      <w:pPr>
        <w:spacing w:after="200"/>
      </w:pPr>
      <w:r>
        <w:t xml:space="preserve">Besoain Saldaña, A., Gutiérrez Monclus, P., Larenas Rosa, D., Loren Santana, C., Olivares Péndola, G., Puentes León, T., Soto Reyes, P. et Tapia Saavedra, S. (2025). Buenas prácticas en el Programa de Modelo de Residencias. Universidad de Chile. Disponible à l'adresse </w:t>
      </w:r>
      <w:hyperlink w:history="1" r:id="rIdng-mvzjzf2womwery88et">
        <w:r>
          <w:rPr>
            <w:rStyle w:val="Hyperlink"/>
            <w:color w:val="0563C1"/>
            <w:u w:val="single"/>
          </w:rPr>
          <w:t xml:space="preserve">https://doi.org/10.34720/e619-sv69</w:t>
        </w:r>
      </w:hyperlink>
    </w:p>
    <w:p>
      <w:pPr>
        <w:spacing w:after="200"/>
      </w:pPr>
      <w:r>
        <w:t xml:space="preserve">López Radrigán, C., Puentes León, T., Gutiérrez Monclus, P., Soto Reyes, P., Tapia Saavedra, S., Besoain Saldaña, A. et Larenas Rosa, D. (2024). Manual de apoyo sobre derechos, autonomía y vida independiente en servicios residenciales. Universidad de Chile, Facultad de Medicina. Disponible à l'adresse </w:t>
      </w:r>
      <w:hyperlink w:history="1" r:id="rIdsp2vjxwfxu3gedd6czbrm">
        <w:r>
          <w:rPr>
            <w:rStyle w:val="Hyperlink"/>
            <w:color w:val="0563C1"/>
            <w:u w:val="single"/>
          </w:rPr>
          <w:t xml:space="preserve">https://doi.org/10.34720/8bpz-t796</w:t>
        </w:r>
      </w:hyperlink>
    </w:p>
    <w:p>
      <w:pPr>
        <w:spacing w:after="200"/>
      </w:pPr>
      <w:r>
        <w:t xml:space="preserve">Puentes León, T., Gutiérrez Monclus, P., Soto Reyes, P., Tapia Saavedra, S., Larenas Rosa, D. et Besoain Saldaña, A. (2024). Independencia, autonomía, asistencia y apoyos en la atención en residencia de personas con discapacidad: Sistematización de literatura. Universidad de Chile. Disponible à l'adresse </w:t>
      </w:r>
      <w:hyperlink w:history="1" r:id="rIdzm8o8ilhe7jcrphxaxzi0">
        <w:r>
          <w:rPr>
            <w:rStyle w:val="Hyperlink"/>
            <w:color w:val="0563C1"/>
            <w:u w:val="single"/>
          </w:rPr>
          <w:t xml:space="preserve">https://doi.org/10.34720/wppb-0k92</w:t>
        </w:r>
      </w:hyperlink>
    </w:p>
    <w:p>
      <w:pPr>
        <w:spacing w:after="200"/>
      </w:pPr>
      <w:r>
        <w:t xml:space="preserve">López Radrigán, C., Puentes León, T., Besoain Saldaña, A., Gutiérrez Monclus, P., Larenas Rosa, D., Soto Reyes, P., Tapia Saavedra, S., Lezana Zúñiga, M., Quinteros Pino, R., Guerra Martínez, A., Pavez Villarroel, R. et Valdés González, V. (2024). Manual de apoyo sobre derechos, autonomía y vida independiente en servicios residenciales: Versión Lectura fácil. SENADIS et Universidad de Chile. Disponible à l'adresse </w:t>
      </w:r>
      <w:hyperlink w:history="1" r:id="rIdnbozjx0d-rtcbrwa9rtgn">
        <w:r>
          <w:rPr>
            <w:rStyle w:val="Hyperlink"/>
            <w:color w:val="0563C1"/>
            <w:u w:val="single"/>
          </w:rPr>
          <w:t xml:space="preserve">https://doi.org/10.34720/es2f-v735</w:t>
        </w:r>
      </w:hyperlink>
    </w:p>
    <w:p>
      <w:pPr>
        <w:spacing w:after="200"/>
      </w:pPr>
      <w:r>
        <w:t xml:space="preserve">Puentes León, T., Loren Santana, C., Gutiérrez Monclus, P., Soto Reyes, P., Tapia Saavedra, S., Larenas Rosa, D. et Besoain Saldaña, A. (2024). Independencia, autonomía, asistencia y apoyos en la atención en residencia de personas con discapacidad: Sistematización de visita de campo. Universidad de Chile. Disponible à l'adresse </w:t>
      </w:r>
      <w:hyperlink w:history="1" r:id="rIdc56laaqurxm6qpihqapfg">
        <w:r>
          <w:rPr>
            <w:rStyle w:val="Hyperlink"/>
            <w:color w:val="0563C1"/>
            <w:u w:val="single"/>
          </w:rPr>
          <w:t xml:space="preserve">https://doi.org/10.34720/jtgg-d351</w:t>
        </w:r>
      </w:hyperlink>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g-mvzjzf2womwery88et" Type="http://schemas.openxmlformats.org/officeDocument/2006/relationships/hyperlink" Target="https://doi.org/10.34720/e619-sv69" TargetMode="External"/><Relationship Id="rIdsp2vjxwfxu3gedd6czbrm" Type="http://schemas.openxmlformats.org/officeDocument/2006/relationships/hyperlink" Target="https://doi.org/10.34720/8bpz-t796" TargetMode="External"/><Relationship Id="rIdzm8o8ilhe7jcrphxaxzi0" Type="http://schemas.openxmlformats.org/officeDocument/2006/relationships/hyperlink" Target="https://doi.org/10.34720/wppb-0k92" TargetMode="External"/><Relationship Id="rIdnbozjx0d-rtcbrwa9rtgn" Type="http://schemas.openxmlformats.org/officeDocument/2006/relationships/hyperlink" Target="https://doi.org/10.34720/es2f-v735" TargetMode="External"/><Relationship Id="rIdc56laaqurxm6qpihqapfg" Type="http://schemas.openxmlformats.org/officeDocument/2006/relationships/hyperlink" Target="https://doi.org/10.34720/jtgg-d351"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2026-07-20T20:17:15.650Z</dcterms:created>
  <dcterms:modified xsi:type="dcterms:W3CDTF">2026-07-20T20:17:15.651Z</dcterms:modified>
</cp:coreProperties>
</file>

<file path=docProps/custom.xml><?xml version="1.0" encoding="utf-8"?>
<Properties xmlns="http://schemas.openxmlformats.org/officeDocument/2006/custom-properties" xmlns:vt="http://schemas.openxmlformats.org/officeDocument/2006/docPropsVTypes"/>
</file>