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0A5" w:rsidRPr="00D316E0" w:rsidRDefault="009400A5" w:rsidP="009400A5">
      <w:pPr>
        <w:spacing w:line="240" w:lineRule="auto"/>
        <w:jc w:val="both"/>
        <w:rPr>
          <w:rFonts w:eastAsia="Times New Roman" w:cs="Times New Roman"/>
          <w:color w:val="17365D"/>
          <w:spacing w:val="5"/>
          <w:kern w:val="28"/>
          <w:sz w:val="50"/>
          <w:szCs w:val="50"/>
        </w:rPr>
      </w:pPr>
      <w:r w:rsidRPr="00D316E0">
        <w:rPr>
          <w:rFonts w:eastAsia="Times New Roman" w:cs="Times New Roman"/>
          <w:color w:val="17365D"/>
          <w:spacing w:val="5"/>
          <w:kern w:val="28"/>
          <w:sz w:val="50"/>
          <w:szCs w:val="50"/>
        </w:rPr>
        <w:t xml:space="preserve">European Union Agency for Fundamental Rights, selection of rights of the child passages from published reports related to </w:t>
      </w:r>
      <w:r w:rsidR="00F77D4B">
        <w:rPr>
          <w:rFonts w:eastAsia="Times New Roman" w:cs="Times New Roman"/>
          <w:color w:val="17365D"/>
          <w:spacing w:val="5"/>
          <w:kern w:val="28"/>
          <w:sz w:val="50"/>
          <w:szCs w:val="50"/>
        </w:rPr>
        <w:t>the Czech Republic</w:t>
      </w:r>
    </w:p>
    <w:p w:rsidR="009400A5" w:rsidRPr="00DA2D41" w:rsidRDefault="009400A5" w:rsidP="009400A5">
      <w:pPr>
        <w:pBdr>
          <w:bottom w:val="single" w:sz="8" w:space="4" w:color="4F81BD"/>
        </w:pBdr>
        <w:spacing w:line="240" w:lineRule="auto"/>
        <w:contextualSpacing/>
        <w:jc w:val="both"/>
        <w:rPr>
          <w:rFonts w:eastAsia="Times New Roman" w:cs="Times New Roman"/>
          <w:color w:val="17365D"/>
          <w:spacing w:val="5"/>
          <w:kern w:val="28"/>
          <w:sz w:val="50"/>
          <w:szCs w:val="50"/>
          <w:lang w:val="it-IT"/>
        </w:rPr>
      </w:pPr>
      <w:r w:rsidRPr="00DA2D41">
        <w:rPr>
          <w:rFonts w:eastAsia="Times New Roman" w:cs="Times New Roman"/>
          <w:color w:val="17365D"/>
          <w:spacing w:val="5"/>
          <w:kern w:val="28"/>
          <w:sz w:val="50"/>
          <w:szCs w:val="50"/>
          <w:lang w:val="it-IT"/>
        </w:rPr>
        <w:t>fra.europa.eu</w:t>
      </w:r>
    </w:p>
    <w:p w:rsidR="009400A5" w:rsidRDefault="009400A5" w:rsidP="009400A5">
      <w:pPr>
        <w:spacing w:line="240" w:lineRule="auto"/>
        <w:jc w:val="both"/>
        <w:rPr>
          <w:lang w:val="it-IT"/>
        </w:rPr>
      </w:pPr>
    </w:p>
    <w:p w:rsidR="009400A5" w:rsidRPr="00DA2D41" w:rsidRDefault="009400A5" w:rsidP="009400A5">
      <w:pPr>
        <w:spacing w:line="240" w:lineRule="auto"/>
        <w:jc w:val="both"/>
        <w:rPr>
          <w:i/>
          <w:lang w:val="it-IT"/>
        </w:rPr>
      </w:pPr>
      <w:r>
        <w:rPr>
          <w:lang w:val="it-IT"/>
        </w:rPr>
        <w:t>21 December</w:t>
      </w:r>
      <w:r>
        <w:rPr>
          <w:i/>
          <w:vertAlign w:val="superscript"/>
          <w:lang w:val="it-IT"/>
        </w:rPr>
        <w:t xml:space="preserve"> </w:t>
      </w:r>
      <w:r w:rsidRPr="009400A5">
        <w:rPr>
          <w:lang w:val="it-IT"/>
        </w:rPr>
        <w:t>2018,</w:t>
      </w:r>
      <w:r w:rsidRPr="00236538">
        <w:rPr>
          <w:i/>
          <w:lang w:val="it-IT"/>
        </w:rPr>
        <w:t xml:space="preserve"> Vienna</w:t>
      </w:r>
    </w:p>
    <w:p w:rsidR="009400A5" w:rsidRPr="00DA2D41" w:rsidRDefault="009400A5" w:rsidP="009400A5">
      <w:pPr>
        <w:spacing w:line="240" w:lineRule="auto"/>
        <w:jc w:val="both"/>
        <w:rPr>
          <w:i/>
          <w:lang w:val="it-IT"/>
        </w:rPr>
      </w:pPr>
    </w:p>
    <w:sdt>
      <w:sdtPr>
        <w:rPr>
          <w:rFonts w:asciiTheme="minorHAnsi" w:eastAsiaTheme="minorHAnsi" w:hAnsiTheme="minorHAnsi" w:cstheme="minorBidi"/>
          <w:color w:val="auto"/>
          <w:sz w:val="22"/>
          <w:szCs w:val="22"/>
          <w:lang w:val="en-GB"/>
        </w:rPr>
        <w:id w:val="-1941521781"/>
        <w:docPartObj>
          <w:docPartGallery w:val="Table of Contents"/>
          <w:docPartUnique/>
        </w:docPartObj>
      </w:sdtPr>
      <w:sdtEndPr>
        <w:rPr>
          <w:b/>
          <w:bCs/>
          <w:noProof/>
        </w:rPr>
      </w:sdtEndPr>
      <w:sdtContent>
        <w:p w:rsidR="009400A5" w:rsidRPr="00DA2D41" w:rsidRDefault="009400A5" w:rsidP="009400A5">
          <w:pPr>
            <w:pStyle w:val="TOCHeading"/>
            <w:spacing w:before="0" w:after="160" w:line="240" w:lineRule="auto"/>
            <w:jc w:val="both"/>
            <w:rPr>
              <w:lang w:val="it-IT"/>
            </w:rPr>
          </w:pPr>
          <w:r w:rsidRPr="00DA2D41">
            <w:rPr>
              <w:lang w:val="it-IT"/>
            </w:rPr>
            <w:t>Contents</w:t>
          </w:r>
        </w:p>
        <w:p w:rsidR="00907BC4" w:rsidRDefault="009400A5">
          <w:pPr>
            <w:pStyle w:val="TOC1"/>
            <w:tabs>
              <w:tab w:val="left" w:pos="440"/>
              <w:tab w:val="right" w:leader="dot" w:pos="9016"/>
            </w:tabs>
            <w:rPr>
              <w:rFonts w:eastAsiaTheme="minorEastAsia"/>
              <w:noProof/>
              <w:lang w:eastAsia="en-GB"/>
            </w:rPr>
          </w:pPr>
          <w:r w:rsidRPr="00D316E0">
            <w:fldChar w:fldCharType="begin"/>
          </w:r>
          <w:r w:rsidRPr="00D316E0">
            <w:instrText xml:space="preserve"> TOC \o "1-3" \h \z \u </w:instrText>
          </w:r>
          <w:r w:rsidRPr="00D316E0">
            <w:fldChar w:fldCharType="separate"/>
          </w:r>
          <w:hyperlink w:anchor="_Toc533175665" w:history="1">
            <w:r w:rsidR="00907BC4" w:rsidRPr="00702767">
              <w:rPr>
                <w:rStyle w:val="Hyperlink"/>
                <w:rFonts w:eastAsiaTheme="majorEastAsia" w:cstheme="majorBidi"/>
                <w:b/>
                <w:noProof/>
              </w:rPr>
              <w:t>1.</w:t>
            </w:r>
            <w:r w:rsidR="00907BC4">
              <w:rPr>
                <w:rFonts w:eastAsiaTheme="minorEastAsia"/>
                <w:noProof/>
                <w:lang w:eastAsia="en-GB"/>
              </w:rPr>
              <w:tab/>
            </w:r>
            <w:r w:rsidR="00907BC4" w:rsidRPr="00702767">
              <w:rPr>
                <w:rStyle w:val="Hyperlink"/>
                <w:rFonts w:eastAsiaTheme="majorEastAsia" w:cstheme="majorBidi"/>
                <w:b/>
                <w:noProof/>
              </w:rPr>
              <w:t>Annual reports</w:t>
            </w:r>
            <w:r w:rsidR="00907BC4">
              <w:rPr>
                <w:noProof/>
                <w:webHidden/>
              </w:rPr>
              <w:tab/>
            </w:r>
            <w:r w:rsidR="00907BC4">
              <w:rPr>
                <w:noProof/>
                <w:webHidden/>
              </w:rPr>
              <w:fldChar w:fldCharType="begin"/>
            </w:r>
            <w:r w:rsidR="00907BC4">
              <w:rPr>
                <w:noProof/>
                <w:webHidden/>
              </w:rPr>
              <w:instrText xml:space="preserve"> PAGEREF _Toc533175665 \h </w:instrText>
            </w:r>
            <w:r w:rsidR="00907BC4">
              <w:rPr>
                <w:noProof/>
                <w:webHidden/>
              </w:rPr>
            </w:r>
            <w:r w:rsidR="00907BC4">
              <w:rPr>
                <w:noProof/>
                <w:webHidden/>
              </w:rPr>
              <w:fldChar w:fldCharType="separate"/>
            </w:r>
            <w:r w:rsidR="00907BC4">
              <w:rPr>
                <w:noProof/>
                <w:webHidden/>
              </w:rPr>
              <w:t>2</w:t>
            </w:r>
            <w:r w:rsidR="00907BC4">
              <w:rPr>
                <w:noProof/>
                <w:webHidden/>
              </w:rPr>
              <w:fldChar w:fldCharType="end"/>
            </w:r>
          </w:hyperlink>
        </w:p>
        <w:p w:rsidR="00907BC4" w:rsidRDefault="00071E0F">
          <w:pPr>
            <w:pStyle w:val="TOC2"/>
            <w:tabs>
              <w:tab w:val="left" w:pos="880"/>
              <w:tab w:val="right" w:leader="dot" w:pos="9016"/>
            </w:tabs>
            <w:rPr>
              <w:rFonts w:eastAsiaTheme="minorEastAsia"/>
              <w:noProof/>
              <w:lang w:eastAsia="en-GB"/>
            </w:rPr>
          </w:pPr>
          <w:hyperlink w:anchor="_Toc533175666" w:history="1">
            <w:r w:rsidR="00907BC4" w:rsidRPr="00702767">
              <w:rPr>
                <w:rStyle w:val="Hyperlink"/>
                <w:rFonts w:eastAsiaTheme="majorEastAsia" w:cstheme="majorBidi"/>
                <w:noProof/>
              </w:rPr>
              <w:t>1.1</w:t>
            </w:r>
            <w:r w:rsidR="00907BC4">
              <w:rPr>
                <w:rFonts w:eastAsiaTheme="minorEastAsia"/>
                <w:noProof/>
                <w:lang w:eastAsia="en-GB"/>
              </w:rPr>
              <w:tab/>
            </w:r>
            <w:r w:rsidR="00907BC4" w:rsidRPr="00702767">
              <w:rPr>
                <w:rStyle w:val="Hyperlink"/>
                <w:rFonts w:eastAsiaTheme="majorEastAsia" w:cstheme="majorBidi"/>
                <w:noProof/>
              </w:rPr>
              <w:t>Fundamental Rights Report 2017 Report</w:t>
            </w:r>
            <w:r w:rsidR="00907BC4">
              <w:rPr>
                <w:noProof/>
                <w:webHidden/>
              </w:rPr>
              <w:tab/>
            </w:r>
            <w:r w:rsidR="00907BC4">
              <w:rPr>
                <w:noProof/>
                <w:webHidden/>
              </w:rPr>
              <w:fldChar w:fldCharType="begin"/>
            </w:r>
            <w:r w:rsidR="00907BC4">
              <w:rPr>
                <w:noProof/>
                <w:webHidden/>
              </w:rPr>
              <w:instrText xml:space="preserve"> PAGEREF _Toc533175666 \h </w:instrText>
            </w:r>
            <w:r w:rsidR="00907BC4">
              <w:rPr>
                <w:noProof/>
                <w:webHidden/>
              </w:rPr>
            </w:r>
            <w:r w:rsidR="00907BC4">
              <w:rPr>
                <w:noProof/>
                <w:webHidden/>
              </w:rPr>
              <w:fldChar w:fldCharType="separate"/>
            </w:r>
            <w:r w:rsidR="00907BC4">
              <w:rPr>
                <w:noProof/>
                <w:webHidden/>
              </w:rPr>
              <w:t>2</w:t>
            </w:r>
            <w:r w:rsidR="00907BC4">
              <w:rPr>
                <w:noProof/>
                <w:webHidden/>
              </w:rPr>
              <w:fldChar w:fldCharType="end"/>
            </w:r>
          </w:hyperlink>
        </w:p>
        <w:p w:rsidR="00907BC4" w:rsidRDefault="00071E0F">
          <w:pPr>
            <w:pStyle w:val="TOC2"/>
            <w:tabs>
              <w:tab w:val="left" w:pos="880"/>
              <w:tab w:val="right" w:leader="dot" w:pos="9016"/>
            </w:tabs>
            <w:rPr>
              <w:rFonts w:eastAsiaTheme="minorEastAsia"/>
              <w:noProof/>
              <w:lang w:eastAsia="en-GB"/>
            </w:rPr>
          </w:pPr>
          <w:hyperlink w:anchor="_Toc533175667" w:history="1">
            <w:r w:rsidR="00907BC4" w:rsidRPr="00702767">
              <w:rPr>
                <w:rStyle w:val="Hyperlink"/>
                <w:rFonts w:eastAsiaTheme="majorEastAsia" w:cstheme="majorBidi"/>
                <w:noProof/>
              </w:rPr>
              <w:t>1.2</w:t>
            </w:r>
            <w:r w:rsidR="00907BC4">
              <w:rPr>
                <w:rFonts w:eastAsiaTheme="minorEastAsia"/>
                <w:noProof/>
                <w:lang w:eastAsia="en-GB"/>
              </w:rPr>
              <w:tab/>
            </w:r>
            <w:r w:rsidR="00907BC4" w:rsidRPr="00702767">
              <w:rPr>
                <w:rStyle w:val="Hyperlink"/>
                <w:rFonts w:eastAsiaTheme="majorEastAsia" w:cstheme="majorBidi"/>
                <w:noProof/>
              </w:rPr>
              <w:t>Fundamental Rights Report 2016 Report</w:t>
            </w:r>
            <w:r w:rsidR="00907BC4">
              <w:rPr>
                <w:noProof/>
                <w:webHidden/>
              </w:rPr>
              <w:tab/>
            </w:r>
            <w:r w:rsidR="00907BC4">
              <w:rPr>
                <w:noProof/>
                <w:webHidden/>
              </w:rPr>
              <w:fldChar w:fldCharType="begin"/>
            </w:r>
            <w:r w:rsidR="00907BC4">
              <w:rPr>
                <w:noProof/>
                <w:webHidden/>
              </w:rPr>
              <w:instrText xml:space="preserve"> PAGEREF _Toc533175667 \h </w:instrText>
            </w:r>
            <w:r w:rsidR="00907BC4">
              <w:rPr>
                <w:noProof/>
                <w:webHidden/>
              </w:rPr>
            </w:r>
            <w:r w:rsidR="00907BC4">
              <w:rPr>
                <w:noProof/>
                <w:webHidden/>
              </w:rPr>
              <w:fldChar w:fldCharType="separate"/>
            </w:r>
            <w:r w:rsidR="00907BC4">
              <w:rPr>
                <w:noProof/>
                <w:webHidden/>
              </w:rPr>
              <w:t>3</w:t>
            </w:r>
            <w:r w:rsidR="00907BC4">
              <w:rPr>
                <w:noProof/>
                <w:webHidden/>
              </w:rPr>
              <w:fldChar w:fldCharType="end"/>
            </w:r>
          </w:hyperlink>
        </w:p>
        <w:p w:rsidR="00907BC4" w:rsidRDefault="00071E0F">
          <w:pPr>
            <w:pStyle w:val="TOC1"/>
            <w:tabs>
              <w:tab w:val="left" w:pos="440"/>
              <w:tab w:val="right" w:leader="dot" w:pos="9016"/>
            </w:tabs>
            <w:rPr>
              <w:rFonts w:eastAsiaTheme="minorEastAsia"/>
              <w:noProof/>
              <w:lang w:eastAsia="en-GB"/>
            </w:rPr>
          </w:pPr>
          <w:hyperlink w:anchor="_Toc533175668" w:history="1">
            <w:r w:rsidR="00907BC4" w:rsidRPr="00702767">
              <w:rPr>
                <w:rStyle w:val="Hyperlink"/>
                <w:rFonts w:eastAsiaTheme="majorEastAsia" w:cstheme="majorBidi"/>
                <w:b/>
                <w:noProof/>
              </w:rPr>
              <w:t>2.</w:t>
            </w:r>
            <w:r w:rsidR="00907BC4">
              <w:rPr>
                <w:rFonts w:eastAsiaTheme="minorEastAsia"/>
                <w:noProof/>
                <w:lang w:eastAsia="en-GB"/>
              </w:rPr>
              <w:tab/>
            </w:r>
            <w:r w:rsidR="00907BC4" w:rsidRPr="00702767">
              <w:rPr>
                <w:rStyle w:val="Hyperlink"/>
                <w:rFonts w:eastAsiaTheme="majorEastAsia" w:cstheme="majorBidi"/>
                <w:b/>
                <w:noProof/>
              </w:rPr>
              <w:t>Thematic reports</w:t>
            </w:r>
            <w:r w:rsidR="00907BC4">
              <w:rPr>
                <w:noProof/>
                <w:webHidden/>
              </w:rPr>
              <w:tab/>
            </w:r>
            <w:r w:rsidR="00907BC4">
              <w:rPr>
                <w:noProof/>
                <w:webHidden/>
              </w:rPr>
              <w:fldChar w:fldCharType="begin"/>
            </w:r>
            <w:r w:rsidR="00907BC4">
              <w:rPr>
                <w:noProof/>
                <w:webHidden/>
              </w:rPr>
              <w:instrText xml:space="preserve"> PAGEREF _Toc533175668 \h </w:instrText>
            </w:r>
            <w:r w:rsidR="00907BC4">
              <w:rPr>
                <w:noProof/>
                <w:webHidden/>
              </w:rPr>
            </w:r>
            <w:r w:rsidR="00907BC4">
              <w:rPr>
                <w:noProof/>
                <w:webHidden/>
              </w:rPr>
              <w:fldChar w:fldCharType="separate"/>
            </w:r>
            <w:r w:rsidR="00907BC4">
              <w:rPr>
                <w:noProof/>
                <w:webHidden/>
              </w:rPr>
              <w:t>3</w:t>
            </w:r>
            <w:r w:rsidR="00907BC4">
              <w:rPr>
                <w:noProof/>
                <w:webHidden/>
              </w:rPr>
              <w:fldChar w:fldCharType="end"/>
            </w:r>
          </w:hyperlink>
        </w:p>
        <w:p w:rsidR="00907BC4" w:rsidRDefault="00071E0F">
          <w:pPr>
            <w:pStyle w:val="TOC2"/>
            <w:tabs>
              <w:tab w:val="left" w:pos="880"/>
              <w:tab w:val="right" w:leader="dot" w:pos="9016"/>
            </w:tabs>
            <w:rPr>
              <w:rFonts w:eastAsiaTheme="minorEastAsia"/>
              <w:noProof/>
              <w:lang w:eastAsia="en-GB"/>
            </w:rPr>
          </w:pPr>
          <w:hyperlink w:anchor="_Toc533175669" w:history="1">
            <w:r w:rsidR="00907BC4" w:rsidRPr="00702767">
              <w:rPr>
                <w:rStyle w:val="Hyperlink"/>
                <w:noProof/>
              </w:rPr>
              <w:t>2.1</w:t>
            </w:r>
            <w:r w:rsidR="00907BC4">
              <w:rPr>
                <w:rFonts w:eastAsiaTheme="minorEastAsia"/>
                <w:noProof/>
                <w:lang w:eastAsia="en-GB"/>
              </w:rPr>
              <w:tab/>
            </w:r>
            <w:r w:rsidR="00907BC4" w:rsidRPr="00702767">
              <w:rPr>
                <w:rStyle w:val="Hyperlink"/>
                <w:noProof/>
              </w:rPr>
              <w:t>Combating child poverty: an issue of fundamental rights (2018)</w:t>
            </w:r>
            <w:r w:rsidR="00907BC4">
              <w:rPr>
                <w:noProof/>
                <w:webHidden/>
              </w:rPr>
              <w:tab/>
            </w:r>
            <w:r w:rsidR="00907BC4">
              <w:rPr>
                <w:noProof/>
                <w:webHidden/>
              </w:rPr>
              <w:fldChar w:fldCharType="begin"/>
            </w:r>
            <w:r w:rsidR="00907BC4">
              <w:rPr>
                <w:noProof/>
                <w:webHidden/>
              </w:rPr>
              <w:instrText xml:space="preserve"> PAGEREF _Toc533175669 \h </w:instrText>
            </w:r>
            <w:r w:rsidR="00907BC4">
              <w:rPr>
                <w:noProof/>
                <w:webHidden/>
              </w:rPr>
            </w:r>
            <w:r w:rsidR="00907BC4">
              <w:rPr>
                <w:noProof/>
                <w:webHidden/>
              </w:rPr>
              <w:fldChar w:fldCharType="separate"/>
            </w:r>
            <w:r w:rsidR="00907BC4">
              <w:rPr>
                <w:noProof/>
                <w:webHidden/>
              </w:rPr>
              <w:t>3</w:t>
            </w:r>
            <w:r w:rsidR="00907BC4">
              <w:rPr>
                <w:noProof/>
                <w:webHidden/>
              </w:rPr>
              <w:fldChar w:fldCharType="end"/>
            </w:r>
          </w:hyperlink>
        </w:p>
        <w:p w:rsidR="00907BC4" w:rsidRDefault="00071E0F">
          <w:pPr>
            <w:pStyle w:val="TOC2"/>
            <w:tabs>
              <w:tab w:val="right" w:leader="dot" w:pos="9016"/>
            </w:tabs>
            <w:rPr>
              <w:rFonts w:eastAsiaTheme="minorEastAsia"/>
              <w:noProof/>
              <w:lang w:eastAsia="en-GB"/>
            </w:rPr>
          </w:pPr>
          <w:hyperlink w:anchor="_Toc533175670" w:history="1">
            <w:r w:rsidR="00907BC4" w:rsidRPr="00702767">
              <w:rPr>
                <w:rStyle w:val="Hyperlink"/>
                <w:rFonts w:eastAsiaTheme="majorEastAsia" w:cstheme="majorBidi"/>
                <w:noProof/>
              </w:rPr>
              <w:t xml:space="preserve">2.2 </w:t>
            </w:r>
            <w:r w:rsidR="00907BC4">
              <w:rPr>
                <w:rStyle w:val="Hyperlink"/>
                <w:rFonts w:eastAsiaTheme="majorEastAsia" w:cstheme="majorBidi"/>
                <w:noProof/>
              </w:rPr>
              <w:t xml:space="preserve">       </w:t>
            </w:r>
            <w:r w:rsidR="00907BC4" w:rsidRPr="00702767">
              <w:rPr>
                <w:rStyle w:val="Hyperlink"/>
                <w:rFonts w:eastAsiaTheme="majorEastAsia" w:cstheme="majorBidi"/>
                <w:noProof/>
              </w:rPr>
              <w:t>European legal and policy framework on immigration detention of children (2017)</w:t>
            </w:r>
            <w:r w:rsidR="00907BC4">
              <w:rPr>
                <w:noProof/>
                <w:webHidden/>
              </w:rPr>
              <w:tab/>
            </w:r>
            <w:r w:rsidR="00907BC4">
              <w:rPr>
                <w:noProof/>
                <w:webHidden/>
              </w:rPr>
              <w:fldChar w:fldCharType="begin"/>
            </w:r>
            <w:r w:rsidR="00907BC4">
              <w:rPr>
                <w:noProof/>
                <w:webHidden/>
              </w:rPr>
              <w:instrText xml:space="preserve"> PAGEREF _Toc533175670 \h </w:instrText>
            </w:r>
            <w:r w:rsidR="00907BC4">
              <w:rPr>
                <w:noProof/>
                <w:webHidden/>
              </w:rPr>
            </w:r>
            <w:r w:rsidR="00907BC4">
              <w:rPr>
                <w:noProof/>
                <w:webHidden/>
              </w:rPr>
              <w:fldChar w:fldCharType="separate"/>
            </w:r>
            <w:r w:rsidR="00907BC4">
              <w:rPr>
                <w:noProof/>
                <w:webHidden/>
              </w:rPr>
              <w:t>3</w:t>
            </w:r>
            <w:r w:rsidR="00907BC4">
              <w:rPr>
                <w:noProof/>
                <w:webHidden/>
              </w:rPr>
              <w:fldChar w:fldCharType="end"/>
            </w:r>
          </w:hyperlink>
        </w:p>
        <w:p w:rsidR="00907BC4" w:rsidRDefault="00071E0F">
          <w:pPr>
            <w:pStyle w:val="TOC2"/>
            <w:tabs>
              <w:tab w:val="right" w:leader="dot" w:pos="9016"/>
            </w:tabs>
            <w:rPr>
              <w:rFonts w:eastAsiaTheme="minorEastAsia"/>
              <w:noProof/>
              <w:lang w:eastAsia="en-GB"/>
            </w:rPr>
          </w:pPr>
          <w:hyperlink w:anchor="_Toc533175671" w:history="1">
            <w:r w:rsidR="00907BC4" w:rsidRPr="00702767">
              <w:rPr>
                <w:rStyle w:val="Hyperlink"/>
                <w:rFonts w:eastAsiaTheme="majorEastAsia" w:cstheme="majorBidi"/>
                <w:noProof/>
              </w:rPr>
              <w:t xml:space="preserve">2.3 </w:t>
            </w:r>
            <w:r w:rsidR="00907BC4">
              <w:rPr>
                <w:rStyle w:val="Hyperlink"/>
                <w:rFonts w:eastAsiaTheme="majorEastAsia" w:cstheme="majorBidi"/>
                <w:noProof/>
              </w:rPr>
              <w:t xml:space="preserve">       </w:t>
            </w:r>
            <w:r w:rsidR="00907BC4" w:rsidRPr="00702767">
              <w:rPr>
                <w:rStyle w:val="Hyperlink"/>
                <w:rFonts w:eastAsiaTheme="majorEastAsia" w:cstheme="majorBidi"/>
                <w:noProof/>
              </w:rPr>
              <w:t>Mapping of minimum age requirements</w:t>
            </w:r>
            <w:r>
              <w:rPr>
                <w:rStyle w:val="Hyperlink"/>
                <w:rFonts w:eastAsiaTheme="majorEastAsia" w:cstheme="majorBidi"/>
                <w:noProof/>
              </w:rPr>
              <w:t xml:space="preserve"> (2018)</w:t>
            </w:r>
            <w:bookmarkStart w:id="0" w:name="_GoBack"/>
            <w:bookmarkEnd w:id="0"/>
            <w:r w:rsidR="00907BC4">
              <w:rPr>
                <w:noProof/>
                <w:webHidden/>
              </w:rPr>
              <w:tab/>
            </w:r>
            <w:r w:rsidR="00907BC4">
              <w:rPr>
                <w:noProof/>
                <w:webHidden/>
              </w:rPr>
              <w:fldChar w:fldCharType="begin"/>
            </w:r>
            <w:r w:rsidR="00907BC4">
              <w:rPr>
                <w:noProof/>
                <w:webHidden/>
              </w:rPr>
              <w:instrText xml:space="preserve"> PAGEREF _Toc533175671 \h </w:instrText>
            </w:r>
            <w:r w:rsidR="00907BC4">
              <w:rPr>
                <w:noProof/>
                <w:webHidden/>
              </w:rPr>
            </w:r>
            <w:r w:rsidR="00907BC4">
              <w:rPr>
                <w:noProof/>
                <w:webHidden/>
              </w:rPr>
              <w:fldChar w:fldCharType="separate"/>
            </w:r>
            <w:r w:rsidR="00907BC4">
              <w:rPr>
                <w:noProof/>
                <w:webHidden/>
              </w:rPr>
              <w:t>4</w:t>
            </w:r>
            <w:r w:rsidR="00907BC4">
              <w:rPr>
                <w:noProof/>
                <w:webHidden/>
              </w:rPr>
              <w:fldChar w:fldCharType="end"/>
            </w:r>
          </w:hyperlink>
        </w:p>
        <w:p w:rsidR="009400A5" w:rsidRPr="00D316E0" w:rsidRDefault="009400A5" w:rsidP="009400A5">
          <w:pPr>
            <w:spacing w:line="240" w:lineRule="auto"/>
            <w:jc w:val="both"/>
          </w:pPr>
          <w:r w:rsidRPr="00D316E0">
            <w:rPr>
              <w:b/>
              <w:bCs/>
              <w:noProof/>
            </w:rPr>
            <w:fldChar w:fldCharType="end"/>
          </w:r>
        </w:p>
      </w:sdtContent>
    </w:sdt>
    <w:p w:rsidR="009400A5" w:rsidRPr="00D316E0" w:rsidRDefault="009400A5" w:rsidP="009400A5">
      <w:pPr>
        <w:spacing w:line="240" w:lineRule="auto"/>
        <w:jc w:val="both"/>
        <w:rPr>
          <w:i/>
        </w:rPr>
      </w:pPr>
    </w:p>
    <w:p w:rsidR="009400A5" w:rsidRPr="00D316E0" w:rsidRDefault="009400A5" w:rsidP="009400A5">
      <w:pPr>
        <w:spacing w:line="240" w:lineRule="auto"/>
        <w:jc w:val="both"/>
        <w:rPr>
          <w:i/>
        </w:rPr>
      </w:pPr>
    </w:p>
    <w:p w:rsidR="006C3678" w:rsidRDefault="006C3678">
      <w:pPr>
        <w:rPr>
          <w:i/>
        </w:rPr>
      </w:pPr>
      <w:r>
        <w:rPr>
          <w:i/>
        </w:rPr>
        <w:br w:type="page"/>
      </w:r>
    </w:p>
    <w:p w:rsidR="009400A5" w:rsidRPr="00D316E0" w:rsidRDefault="009400A5" w:rsidP="009400A5">
      <w:pPr>
        <w:spacing w:line="240" w:lineRule="auto"/>
        <w:jc w:val="both"/>
        <w:rPr>
          <w:i/>
        </w:rPr>
      </w:pPr>
    </w:p>
    <w:p w:rsidR="009400A5" w:rsidRPr="00D316E0" w:rsidRDefault="009400A5" w:rsidP="009400A5">
      <w:pPr>
        <w:spacing w:line="240" w:lineRule="auto"/>
        <w:jc w:val="both"/>
      </w:pPr>
    </w:p>
    <w:p w:rsidR="009400A5" w:rsidRDefault="009400A5" w:rsidP="009400A5">
      <w:pPr>
        <w:pStyle w:val="ListParagraph"/>
        <w:keepNext/>
        <w:keepLines/>
        <w:numPr>
          <w:ilvl w:val="0"/>
          <w:numId w:val="1"/>
        </w:numPr>
        <w:spacing w:after="160"/>
        <w:jc w:val="both"/>
        <w:outlineLvl w:val="0"/>
        <w:rPr>
          <w:rFonts w:eastAsiaTheme="majorEastAsia" w:cstheme="majorBidi"/>
          <w:b/>
          <w:color w:val="2E74B5" w:themeColor="accent1" w:themeShade="BF"/>
          <w:sz w:val="32"/>
          <w:szCs w:val="32"/>
          <w:lang w:val="en-GB"/>
        </w:rPr>
      </w:pPr>
      <w:bookmarkStart w:id="1" w:name="_Toc447537933"/>
      <w:bookmarkStart w:id="2" w:name="_Toc533175665"/>
      <w:r w:rsidRPr="00D316E0">
        <w:rPr>
          <w:rFonts w:eastAsiaTheme="majorEastAsia" w:cstheme="majorBidi"/>
          <w:b/>
          <w:color w:val="2E74B5" w:themeColor="accent1" w:themeShade="BF"/>
          <w:sz w:val="32"/>
          <w:szCs w:val="32"/>
          <w:lang w:val="en-GB"/>
        </w:rPr>
        <w:t>Annual reports</w:t>
      </w:r>
      <w:bookmarkEnd w:id="1"/>
      <w:bookmarkEnd w:id="2"/>
    </w:p>
    <w:p w:rsidR="00C65E84" w:rsidRPr="00D316E0" w:rsidRDefault="00C65E84" w:rsidP="00C65E84">
      <w:pPr>
        <w:pStyle w:val="ListParagraph"/>
        <w:keepNext/>
        <w:keepLines/>
        <w:spacing w:after="160"/>
        <w:jc w:val="both"/>
        <w:outlineLvl w:val="0"/>
        <w:rPr>
          <w:rFonts w:eastAsiaTheme="majorEastAsia" w:cstheme="majorBidi"/>
          <w:b/>
          <w:color w:val="2E74B5" w:themeColor="accent1" w:themeShade="BF"/>
          <w:sz w:val="32"/>
          <w:szCs w:val="32"/>
          <w:lang w:val="en-GB"/>
        </w:rPr>
      </w:pPr>
    </w:p>
    <w:p w:rsidR="009400A5" w:rsidRDefault="009400A5" w:rsidP="009400A5">
      <w:pPr>
        <w:pStyle w:val="ListParagraph"/>
        <w:keepNext/>
        <w:keepLines/>
        <w:numPr>
          <w:ilvl w:val="1"/>
          <w:numId w:val="3"/>
        </w:numPr>
        <w:outlineLvl w:val="1"/>
        <w:rPr>
          <w:rFonts w:eastAsiaTheme="majorEastAsia" w:cstheme="majorBidi"/>
          <w:color w:val="2E74B5" w:themeColor="accent1" w:themeShade="BF"/>
          <w:sz w:val="26"/>
          <w:szCs w:val="26"/>
        </w:rPr>
      </w:pPr>
      <w:bookmarkStart w:id="3" w:name="_Toc533175666"/>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2017 Report</w:t>
      </w:r>
      <w:bookmarkEnd w:id="3"/>
    </w:p>
    <w:p w:rsidR="009400A5" w:rsidRDefault="009400A5" w:rsidP="009400A5">
      <w:r w:rsidRPr="00D316E0">
        <w:t>For more detailed information:</w:t>
      </w:r>
      <w:r>
        <w:t xml:space="preserve"> </w:t>
      </w:r>
      <w:hyperlink r:id="rId7" w:anchor="child-rights" w:history="1">
        <w:r w:rsidRPr="00331907">
          <w:rPr>
            <w:rStyle w:val="Hyperlink"/>
          </w:rPr>
          <w:t>http://fra.europa.eu/en/publications-and-resources/publications/annual-reports/fundamental-rights-2017#child-rights</w:t>
        </w:r>
      </w:hyperlink>
      <w:r>
        <w:t xml:space="preserve"> </w:t>
      </w:r>
    </w:p>
    <w:p w:rsidR="002331FF" w:rsidRDefault="002331FF" w:rsidP="002331FF">
      <w:pPr>
        <w:jc w:val="both"/>
      </w:pPr>
      <w:r>
        <w:t xml:space="preserve">“One third of the countries achieved significant reductions in child poverty or social exclusion rates between 2005 and 2015: the </w:t>
      </w:r>
      <w:r w:rsidRPr="002331FF">
        <w:rPr>
          <w:b/>
        </w:rPr>
        <w:t>Czech Republic</w:t>
      </w:r>
      <w:r>
        <w:t>, Estonia, Hungary and the Netherlands  – between 1 and 7 percentage points; Latvia, Lithuania and Slovakia  – between 10 and 15 percentage points; and, in particular, Poland  – with a  reduction of 21 percentage points.” (p. 176)</w:t>
      </w:r>
    </w:p>
    <w:p w:rsidR="00865193" w:rsidRPr="00865193" w:rsidRDefault="00865193" w:rsidP="002331FF">
      <w:pPr>
        <w:jc w:val="both"/>
      </w:pPr>
      <w:r w:rsidRPr="00865193">
        <w:rPr>
          <w:noProof/>
          <w:lang w:eastAsia="en-GB"/>
        </w:rPr>
        <w:drawing>
          <wp:inline distT="0" distB="0" distL="0" distR="0">
            <wp:extent cx="5632450" cy="419163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2450" cy="4191635"/>
                    </a:xfrm>
                    <a:prstGeom prst="rect">
                      <a:avLst/>
                    </a:prstGeom>
                    <a:noFill/>
                    <a:ln>
                      <a:noFill/>
                    </a:ln>
                  </pic:spPr>
                </pic:pic>
              </a:graphicData>
            </a:graphic>
          </wp:inline>
        </w:drawing>
      </w:r>
      <w:r>
        <w:t>(p.176)</w:t>
      </w:r>
    </w:p>
    <w:p w:rsidR="002331FF" w:rsidRDefault="002331FF" w:rsidP="00390A4F">
      <w:pPr>
        <w:jc w:val="both"/>
      </w:pPr>
      <w:r w:rsidRPr="002331FF">
        <w:t>“</w:t>
      </w:r>
      <w:r>
        <w:t xml:space="preserve">In 2016, eight Member States received specific recommendations that directly referred to children: Bulgaria (on inclusive education), the </w:t>
      </w:r>
      <w:r w:rsidRPr="002331FF">
        <w:rPr>
          <w:b/>
        </w:rPr>
        <w:t>Czech Republic</w:t>
      </w:r>
      <w:r>
        <w:t xml:space="preserve"> (on early childhood education and inclusive education), Hungary (on inclusive education), Ireland (on child care services and child poverty), Romania (on inclusive education), Slovakia (on child care services, early childhood education and inclusive education), Spain (on child care services) and the United Kingdom (on child care services).” (p. 177) </w:t>
      </w:r>
    </w:p>
    <w:p w:rsidR="002331FF" w:rsidRDefault="002331FF" w:rsidP="00390A4F">
      <w:pPr>
        <w:jc w:val="both"/>
        <w:rPr>
          <w:u w:val="single"/>
        </w:rPr>
      </w:pPr>
      <w:r>
        <w:t xml:space="preserve">“Delays in appointing guardians for unaccompanied children were reported in several Member States in 2016. In some countries, the guardian is appointed immediately and no time elapses between </w:t>
      </w:r>
      <w:r>
        <w:lastRenderedPageBreak/>
        <w:t>identification of the child and appointment of the guardian</w:t>
      </w:r>
      <w:proofErr w:type="gramStart"/>
      <w:r>
        <w:t>  –</w:t>
      </w:r>
      <w:proofErr w:type="gramEnd"/>
      <w:r>
        <w:t xml:space="preserve"> such as in the </w:t>
      </w:r>
      <w:r w:rsidRPr="002331FF">
        <w:rPr>
          <w:b/>
        </w:rPr>
        <w:t>Czech Republic</w:t>
      </w:r>
      <w:r>
        <w:t xml:space="preserve"> and Ireland.” (p.186)</w:t>
      </w:r>
    </w:p>
    <w:p w:rsidR="009400A5" w:rsidRPr="00434961" w:rsidRDefault="009400A5" w:rsidP="009400A5">
      <w:pPr>
        <w:pStyle w:val="ListParagraph"/>
        <w:keepNext/>
        <w:keepLines/>
        <w:numPr>
          <w:ilvl w:val="1"/>
          <w:numId w:val="3"/>
        </w:numPr>
        <w:outlineLvl w:val="1"/>
        <w:rPr>
          <w:rFonts w:eastAsiaTheme="majorEastAsia" w:cstheme="majorBidi"/>
          <w:color w:val="2E74B5" w:themeColor="accent1" w:themeShade="BF"/>
          <w:sz w:val="26"/>
          <w:szCs w:val="26"/>
        </w:rPr>
      </w:pPr>
      <w:bookmarkStart w:id="4" w:name="_Toc533175667"/>
      <w:r w:rsidRPr="00434961">
        <w:rPr>
          <w:rFonts w:eastAsiaTheme="majorEastAsia" w:cstheme="majorBidi"/>
          <w:color w:val="2E74B5" w:themeColor="accent1" w:themeShade="BF"/>
          <w:sz w:val="28"/>
          <w:szCs w:val="26"/>
        </w:rPr>
        <w:t>Fundamental</w:t>
      </w:r>
      <w:r w:rsidRPr="00434961">
        <w:rPr>
          <w:rFonts w:eastAsiaTheme="majorEastAsia" w:cstheme="majorBidi"/>
          <w:color w:val="2E74B5" w:themeColor="accent1" w:themeShade="BF"/>
          <w:sz w:val="26"/>
          <w:szCs w:val="26"/>
        </w:rPr>
        <w:t xml:space="preserve"> Rights Report 201</w:t>
      </w:r>
      <w:r>
        <w:rPr>
          <w:rFonts w:eastAsiaTheme="majorEastAsia" w:cstheme="majorBidi"/>
          <w:color w:val="2E74B5" w:themeColor="accent1" w:themeShade="BF"/>
          <w:sz w:val="26"/>
          <w:szCs w:val="26"/>
        </w:rPr>
        <w:t>6</w:t>
      </w:r>
      <w:r w:rsidRPr="00434961">
        <w:rPr>
          <w:rFonts w:eastAsiaTheme="majorEastAsia" w:cstheme="majorBidi"/>
          <w:color w:val="2E74B5" w:themeColor="accent1" w:themeShade="BF"/>
          <w:sz w:val="26"/>
          <w:szCs w:val="26"/>
        </w:rPr>
        <w:t xml:space="preserve"> Report</w:t>
      </w:r>
      <w:bookmarkEnd w:id="4"/>
    </w:p>
    <w:p w:rsidR="00C65E84" w:rsidRDefault="009400A5" w:rsidP="002331FF">
      <w:pPr>
        <w:spacing w:line="240" w:lineRule="auto"/>
        <w:rPr>
          <w:rStyle w:val="Hyperlink"/>
        </w:rPr>
      </w:pPr>
      <w:r w:rsidRPr="00D316E0">
        <w:t xml:space="preserve">For more detailed information: </w:t>
      </w:r>
      <w:hyperlink r:id="rId9" w:history="1">
        <w:r w:rsidRPr="00D316E0">
          <w:rPr>
            <w:rStyle w:val="Hyperlink"/>
          </w:rPr>
          <w:t>http://fra.europa.eu/en/publications-and-resources/publications/annual-reports/fundamental-rights-2016</w:t>
        </w:r>
      </w:hyperlink>
    </w:p>
    <w:p w:rsidR="009400A5" w:rsidRPr="006C3678" w:rsidRDefault="002331FF" w:rsidP="009400A5">
      <w:pPr>
        <w:spacing w:line="240" w:lineRule="auto"/>
        <w:jc w:val="both"/>
        <w:rPr>
          <w:rFonts w:cs="DaxlinePro-Regular"/>
          <w:color w:val="000000"/>
          <w:sz w:val="24"/>
          <w:szCs w:val="24"/>
        </w:rPr>
      </w:pPr>
      <w:r>
        <w:t xml:space="preserve"> </w:t>
      </w:r>
      <w:r w:rsidR="00C65E84">
        <w:t xml:space="preserve">“The European Committee of Social Rights (ESCR) focused on corporal punishment as a form of violence against children and has now adopted all decisions on the merits of the collective complaints made in 2013 against several Member States. The ESCR found a violation of Article 17 of the European Social Charter in Ireland, Slovenia, </w:t>
      </w:r>
      <w:r w:rsidR="00C65E84" w:rsidRPr="002331FF">
        <w:t>Belgium</w:t>
      </w:r>
      <w:r w:rsidR="00C65E84">
        <w:t xml:space="preserve">, the </w:t>
      </w:r>
      <w:r w:rsidR="00C65E84" w:rsidRPr="002331FF">
        <w:rPr>
          <w:b/>
        </w:rPr>
        <w:t xml:space="preserve">Czech Republic </w:t>
      </w:r>
      <w:r w:rsidR="00C65E84">
        <w:t>and France – but not in Italy – for not explicitly prohibiting all forms of corporal punishments.” (p. 143)</w:t>
      </w:r>
    </w:p>
    <w:p w:rsidR="009400A5" w:rsidRDefault="009400A5" w:rsidP="009400A5">
      <w:pPr>
        <w:pStyle w:val="ListParagraph"/>
        <w:keepNext/>
        <w:keepLines/>
        <w:numPr>
          <w:ilvl w:val="0"/>
          <w:numId w:val="1"/>
        </w:numPr>
        <w:spacing w:after="160"/>
        <w:outlineLvl w:val="0"/>
        <w:rPr>
          <w:rFonts w:eastAsiaTheme="majorEastAsia" w:cstheme="majorBidi"/>
          <w:b/>
          <w:color w:val="2E74B5" w:themeColor="accent1" w:themeShade="BF"/>
          <w:sz w:val="32"/>
          <w:szCs w:val="32"/>
          <w:lang w:val="en-GB"/>
        </w:rPr>
      </w:pPr>
      <w:bookmarkStart w:id="5" w:name="_Toc447537936"/>
      <w:bookmarkStart w:id="6" w:name="_Toc533175668"/>
      <w:r w:rsidRPr="00D316E0">
        <w:rPr>
          <w:rFonts w:eastAsiaTheme="majorEastAsia" w:cstheme="majorBidi"/>
          <w:b/>
          <w:color w:val="2E74B5" w:themeColor="accent1" w:themeShade="BF"/>
          <w:sz w:val="32"/>
          <w:szCs w:val="32"/>
          <w:lang w:val="en-GB"/>
        </w:rPr>
        <w:t>Thematic reports</w:t>
      </w:r>
      <w:bookmarkEnd w:id="5"/>
      <w:bookmarkEnd w:id="6"/>
    </w:p>
    <w:p w:rsidR="005F142B" w:rsidRDefault="005F142B" w:rsidP="006C3678">
      <w:pPr>
        <w:pStyle w:val="Heading2"/>
        <w:numPr>
          <w:ilvl w:val="1"/>
          <w:numId w:val="5"/>
        </w:numPr>
      </w:pPr>
      <w:bookmarkStart w:id="7" w:name="_Toc533175669"/>
      <w:r w:rsidRPr="005F142B">
        <w:t>Combating child poverty: an issue of fundamental rights</w:t>
      </w:r>
      <w:r w:rsidR="00755EDD">
        <w:t xml:space="preserve"> (2018)</w:t>
      </w:r>
      <w:bookmarkEnd w:id="7"/>
    </w:p>
    <w:p w:rsidR="006C3678" w:rsidRPr="006C3678" w:rsidRDefault="006C3678" w:rsidP="006C3678">
      <w:pPr>
        <w:rPr>
          <w:lang w:val="en-US"/>
        </w:rPr>
      </w:pPr>
    </w:p>
    <w:p w:rsidR="005F142B" w:rsidRPr="005F142B" w:rsidRDefault="005F142B" w:rsidP="006C3678">
      <w:r>
        <w:t xml:space="preserve">For more detailed information: </w:t>
      </w:r>
      <w:hyperlink r:id="rId10" w:history="1">
        <w:r w:rsidRPr="00F16132">
          <w:rPr>
            <w:rStyle w:val="Hyperlink"/>
          </w:rPr>
          <w:t>https://fra.europa.eu/en/publication/2018/child-poverty</w:t>
        </w:r>
      </w:hyperlink>
      <w:r>
        <w:t xml:space="preserve"> </w:t>
      </w:r>
    </w:p>
    <w:p w:rsidR="002331FF" w:rsidRDefault="002331FF" w:rsidP="00643BF5">
      <w:r>
        <w:t>“Family-related benefits are crucial, as they ensure that families have sufficient income for children to grow up in a safe and healthy environment with their basic needs covered. Some Member States have not increased benefits in line with living costs in recent years</w:t>
      </w:r>
      <w:r w:rsidR="00643BF5">
        <w:t xml:space="preserve">. Namely Croatia, the </w:t>
      </w:r>
      <w:r w:rsidR="00643BF5" w:rsidRPr="00643BF5">
        <w:rPr>
          <w:b/>
        </w:rPr>
        <w:t>Czech Republic</w:t>
      </w:r>
      <w:r w:rsidR="00643BF5">
        <w:t>, Finland, Greece, Hungary, Ireland, Latvia, Portugal, Romania, Slovenia and Spain.” (p. 33)</w:t>
      </w:r>
    </w:p>
    <w:p w:rsidR="005F142B" w:rsidRPr="00346E66" w:rsidRDefault="005F142B" w:rsidP="005F142B"/>
    <w:p w:rsidR="005F142B" w:rsidRDefault="006C3678" w:rsidP="009400A5">
      <w:pPr>
        <w:keepNext/>
        <w:keepLines/>
        <w:spacing w:line="240" w:lineRule="auto"/>
        <w:outlineLvl w:val="1"/>
        <w:rPr>
          <w:rFonts w:eastAsiaTheme="majorEastAsia" w:cstheme="majorBidi"/>
          <w:color w:val="2E74B5" w:themeColor="accent1" w:themeShade="BF"/>
          <w:sz w:val="26"/>
          <w:szCs w:val="26"/>
        </w:rPr>
      </w:pPr>
      <w:bookmarkStart w:id="8" w:name="_Toc533175670"/>
      <w:bookmarkStart w:id="9" w:name="_Toc447537937"/>
      <w:r>
        <w:rPr>
          <w:rFonts w:eastAsiaTheme="majorEastAsia" w:cstheme="majorBidi"/>
          <w:color w:val="2E74B5" w:themeColor="accent1" w:themeShade="BF"/>
          <w:sz w:val="26"/>
          <w:szCs w:val="26"/>
        </w:rPr>
        <w:t>2.2</w:t>
      </w:r>
      <w:r w:rsidR="0097112F">
        <w:rPr>
          <w:rFonts w:eastAsiaTheme="majorEastAsia" w:cstheme="majorBidi"/>
          <w:color w:val="2E74B5" w:themeColor="accent1" w:themeShade="BF"/>
          <w:sz w:val="26"/>
          <w:szCs w:val="26"/>
        </w:rPr>
        <w:t xml:space="preserve"> </w:t>
      </w:r>
      <w:r w:rsidR="0097112F" w:rsidRPr="0097112F">
        <w:rPr>
          <w:rFonts w:eastAsiaTheme="majorEastAsia" w:cstheme="majorBidi"/>
          <w:color w:val="2E74B5" w:themeColor="accent1" w:themeShade="BF"/>
          <w:sz w:val="26"/>
          <w:szCs w:val="26"/>
        </w:rPr>
        <w:t>European legal and policy framework on immigration detention of children</w:t>
      </w:r>
      <w:r w:rsidR="0097112F">
        <w:rPr>
          <w:rFonts w:eastAsiaTheme="majorEastAsia" w:cstheme="majorBidi"/>
          <w:color w:val="2E74B5" w:themeColor="accent1" w:themeShade="BF"/>
          <w:sz w:val="26"/>
          <w:szCs w:val="26"/>
        </w:rPr>
        <w:t xml:space="preserve"> (2017)</w:t>
      </w:r>
      <w:bookmarkEnd w:id="8"/>
    </w:p>
    <w:p w:rsidR="0097112F" w:rsidRDefault="0097112F" w:rsidP="0097112F">
      <w:r>
        <w:t xml:space="preserve">For more detailed information: </w:t>
      </w:r>
      <w:hyperlink r:id="rId11" w:history="1">
        <w:r w:rsidRPr="00F16132">
          <w:rPr>
            <w:rStyle w:val="Hyperlink"/>
          </w:rPr>
          <w:t>https://fra.europa.eu/en/publication/2017/child-migrant-detention</w:t>
        </w:r>
      </w:hyperlink>
      <w:r>
        <w:t xml:space="preserve"> </w:t>
      </w:r>
    </w:p>
    <w:p w:rsidR="00643BF5" w:rsidRDefault="00643BF5" w:rsidP="0097112F">
      <w:pPr>
        <w:jc w:val="both"/>
      </w:pPr>
      <w:r>
        <w:t xml:space="preserve">“In the </w:t>
      </w:r>
      <w:r w:rsidRPr="00643BF5">
        <w:rPr>
          <w:b/>
        </w:rPr>
        <w:t>Czech Republic</w:t>
      </w:r>
      <w:r>
        <w:t>, asylum-seeking children are exempt from detention whether they are accompanied or not.” (p. 35)</w:t>
      </w:r>
    </w:p>
    <w:p w:rsidR="00643BF5" w:rsidRDefault="00643BF5" w:rsidP="0097112F">
      <w:pPr>
        <w:jc w:val="both"/>
      </w:pPr>
      <w:r>
        <w:t xml:space="preserve">“In the </w:t>
      </w:r>
      <w:r w:rsidRPr="00643BF5">
        <w:rPr>
          <w:b/>
        </w:rPr>
        <w:t>Czech Republic,</w:t>
      </w:r>
      <w:r>
        <w:t xml:space="preserve"> unaccompanied children can be detained only if they are 15 years old. Even then, this must be in exceptional circumstances – e.g. if there is a reasonable risk that they could threaten state security or could seriously disrupt public order.” (p. 39)</w:t>
      </w:r>
    </w:p>
    <w:p w:rsidR="00643BF5" w:rsidRDefault="00643BF5" w:rsidP="0097112F">
      <w:pPr>
        <w:jc w:val="both"/>
      </w:pPr>
      <w:r>
        <w:t xml:space="preserve">“At least four EU Member States have shorter detention ceilings for unaccompanied children. (…) In the </w:t>
      </w:r>
      <w:r w:rsidRPr="00643BF5">
        <w:rPr>
          <w:b/>
        </w:rPr>
        <w:t>Czech Republic</w:t>
      </w:r>
      <w:r>
        <w:t>, unaccompanied children aged 15–18 awaiting removal and parents held with their children can be detained for up to 90 days under the Act on Residence of Foreign Nationals instead of the 180 days that is the maximum time for adults.” (p. 60)</w:t>
      </w:r>
    </w:p>
    <w:p w:rsidR="00643BF5" w:rsidRDefault="00643BF5" w:rsidP="00643BF5">
      <w:pPr>
        <w:jc w:val="both"/>
      </w:pPr>
      <w:r>
        <w:t xml:space="preserve">“In the majority of the Member States, national law contains a duty to notify the guardianship authority whenever an unaccompanied child is identified and/or detained. For example, in the </w:t>
      </w:r>
      <w:r w:rsidRPr="00643BF5">
        <w:rPr>
          <w:b/>
        </w:rPr>
        <w:t>Czech Republic</w:t>
      </w:r>
      <w:r>
        <w:t xml:space="preserve">, the police will appoint a guardian when initiating an administrative detention procedure. A representative of the guardianship authority (the local branch of the Office of Social and Legal Protection of Children, </w:t>
      </w:r>
      <w:proofErr w:type="spellStart"/>
      <w:r>
        <w:t>Orgán</w:t>
      </w:r>
      <w:proofErr w:type="spellEnd"/>
      <w:r>
        <w:t xml:space="preserve"> </w:t>
      </w:r>
      <w:proofErr w:type="spellStart"/>
      <w:r>
        <w:t>sociálně-právní</w:t>
      </w:r>
      <w:proofErr w:type="spellEnd"/>
      <w:r>
        <w:t xml:space="preserve"> </w:t>
      </w:r>
      <w:proofErr w:type="spellStart"/>
      <w:r>
        <w:t>ochrany</w:t>
      </w:r>
      <w:proofErr w:type="spellEnd"/>
      <w:r>
        <w:t xml:space="preserve"> </w:t>
      </w:r>
      <w:proofErr w:type="spellStart"/>
      <w:r>
        <w:t>děti</w:t>
      </w:r>
      <w:proofErr w:type="spellEnd"/>
      <w:r>
        <w:t>) will be present during the interview with the child at the police station where they are initially held.” (pp. 67 – 68)</w:t>
      </w:r>
    </w:p>
    <w:p w:rsidR="00643BF5" w:rsidRDefault="00643BF5" w:rsidP="0097112F">
      <w:pPr>
        <w:jc w:val="both"/>
      </w:pPr>
      <w:r>
        <w:t xml:space="preserve">“In some cases, privately employed staff determine everyday processes and have considerable personal contact with the detainees, including children. For example, based on her visits conducted in 2015, the </w:t>
      </w:r>
      <w:r w:rsidRPr="00643BF5">
        <w:rPr>
          <w:b/>
        </w:rPr>
        <w:t>Czech</w:t>
      </w:r>
      <w:r>
        <w:t xml:space="preserve"> Ombudsperson reported that, in the </w:t>
      </w:r>
      <w:proofErr w:type="spellStart"/>
      <w:r>
        <w:t>Bělá-Jezová</w:t>
      </w:r>
      <w:proofErr w:type="spellEnd"/>
      <w:r>
        <w:t xml:space="preserve"> facility, uniformed private security </w:t>
      </w:r>
      <w:r>
        <w:lastRenderedPageBreak/>
        <w:t xml:space="preserve">guards escorted the migrants to the telephone booths, accompanied them to the doctor and supplied them with articles of personal hygiene. They also accompanied migrants to all meals.334 </w:t>
      </w:r>
      <w:proofErr w:type="gramStart"/>
      <w:r>
        <w:t>Although</w:t>
      </w:r>
      <w:proofErr w:type="gramEnd"/>
      <w:r>
        <w:t xml:space="preserve"> their tasks were limited to ensuring security, in practice, the private security guards spent 100 % of their time among the detainees and were the ones who decided how to respond to their everyday needs, including requests for medical care. According to the authorities, this was a temporary situation resulting from the increase of arrivals in 2015 and the fact that </w:t>
      </w:r>
      <w:proofErr w:type="spellStart"/>
      <w:r>
        <w:t>Bělá-Jezová</w:t>
      </w:r>
      <w:proofErr w:type="spellEnd"/>
      <w:r>
        <w:t xml:space="preserve"> was the only detention facility in the country, having to host both adults and children as a result. Since then, two new facilities have opened, allowing the facility at </w:t>
      </w:r>
      <w:proofErr w:type="spellStart"/>
      <w:r>
        <w:t>Bělá-Jezová</w:t>
      </w:r>
      <w:proofErr w:type="spellEnd"/>
      <w:r>
        <w:t xml:space="preserve"> to dedicate itself to housing vulnerable groups including families with children, and it is adapted to this purpose.336 Although the presence of private security has been reduced since, the Ombudsman still describes it as disproportionate, including their patrolling in the corridors and escorting of detainees between the individual buildings of the facility.” (p. 79)</w:t>
      </w:r>
    </w:p>
    <w:p w:rsidR="00643BF5" w:rsidRDefault="00643BF5" w:rsidP="0097112F">
      <w:pPr>
        <w:jc w:val="both"/>
      </w:pPr>
      <w:r>
        <w:t xml:space="preserve">“Only a few Member States allow children to attend schools outside the detention facilities, although this does not always happen in practice. In the </w:t>
      </w:r>
      <w:r w:rsidRPr="00643BF5">
        <w:rPr>
          <w:b/>
        </w:rPr>
        <w:t>Czech Republic</w:t>
      </w:r>
      <w:r>
        <w:t xml:space="preserve">, for example, children may attend catch-up classes at the local elementary school in </w:t>
      </w:r>
      <w:proofErr w:type="spellStart"/>
      <w:r>
        <w:t>Bělá-Jezová</w:t>
      </w:r>
      <w:proofErr w:type="spellEnd"/>
      <w:r>
        <w:t xml:space="preserve"> for the 6–15 age group; however, at present, the staff of the school provide classes directly at the facility.” (p. 81)</w:t>
      </w:r>
    </w:p>
    <w:p w:rsidR="00643BF5" w:rsidRDefault="00643BF5" w:rsidP="0097112F">
      <w:pPr>
        <w:jc w:val="both"/>
      </w:pPr>
      <w:r>
        <w:t xml:space="preserve">“Where basic education takes place in detention, its quality is frequently inadequate because, for example: teaching material is lacking (as a volunteer who regularly visits detention facilities in the </w:t>
      </w:r>
      <w:r w:rsidRPr="00643BF5">
        <w:rPr>
          <w:b/>
        </w:rPr>
        <w:t>Czech Republic told</w:t>
      </w:r>
      <w:r>
        <w:t xml:space="preserve"> FRA in February 2017).” (p. 81)</w:t>
      </w:r>
    </w:p>
    <w:p w:rsidR="00643BF5" w:rsidRDefault="00643BF5" w:rsidP="0097112F">
      <w:pPr>
        <w:jc w:val="both"/>
      </w:pPr>
      <w:r>
        <w:t xml:space="preserve">“In another report following a visit to the </w:t>
      </w:r>
      <w:r w:rsidRPr="00643BF5">
        <w:rPr>
          <w:b/>
        </w:rPr>
        <w:t>Czech Republic</w:t>
      </w:r>
      <w:r>
        <w:t>, the CPT [</w:t>
      </w:r>
      <w:r w:rsidRPr="00643BF5">
        <w:t>European Committee for the Prevention of Torture and Inhuman or Degrading Treatment or Punishment</w:t>
      </w:r>
      <w:r>
        <w:t>]</w:t>
      </w:r>
      <w:r w:rsidRPr="00643BF5">
        <w:t xml:space="preserve"> </w:t>
      </w:r>
      <w:r>
        <w:t>stated “that the accommodation of children accompanying their parent(s) together with other adults in a detention centre can have a negative psychological effect on the child’s development and well-being, particularly when the child is young”. With reference to their particular vulnerability, the CPT also recommended that the necessary measures be taken to ensure that unaccompanied or separated children “are always provided with special care and accommodated in an open (or semi-open) establishment specialised for juveniles (e.g. a social welfare/educational institution for juveniles)” (p. 88)</w:t>
      </w:r>
    </w:p>
    <w:p w:rsidR="00643BF5" w:rsidRDefault="00643BF5" w:rsidP="0097112F">
      <w:pPr>
        <w:jc w:val="both"/>
      </w:pPr>
      <w:r>
        <w:t xml:space="preserve">“Finally, in the </w:t>
      </w:r>
      <w:r w:rsidRPr="00643BF5">
        <w:rPr>
          <w:b/>
        </w:rPr>
        <w:t>Czech Republic</w:t>
      </w:r>
      <w:r>
        <w:t xml:space="preserve">, the Public Defender of Rights recommended the termination of permanent surveillance of the living quarters by the security agency in the Detention Centre for Foreigners </w:t>
      </w:r>
      <w:proofErr w:type="spellStart"/>
      <w:r>
        <w:t>Bělá-Jezová</w:t>
      </w:r>
      <w:proofErr w:type="spellEnd"/>
      <w:r>
        <w:t>.” (p. 91)</w:t>
      </w:r>
    </w:p>
    <w:p w:rsidR="00643BF5" w:rsidRDefault="00643BF5" w:rsidP="00643BF5">
      <w:pPr>
        <w:jc w:val="both"/>
      </w:pPr>
      <w:r>
        <w:t xml:space="preserve">“Only a few Member States have social workers in the detention facilities (usually those that host families), for example Belgium, the </w:t>
      </w:r>
      <w:r w:rsidRPr="00643BF5">
        <w:rPr>
          <w:b/>
        </w:rPr>
        <w:t>Czech Republic</w:t>
      </w:r>
      <w:r>
        <w:t xml:space="preserve">, Denmark, Hungary and the Netherlands. (…) The social workers in detention facilities in the </w:t>
      </w:r>
      <w:r w:rsidRPr="00643BF5">
        <w:rPr>
          <w:b/>
        </w:rPr>
        <w:t>Czech Republic</w:t>
      </w:r>
      <w:r>
        <w:t xml:space="preserve"> work directly for the Refugee Facilities Administration of the Ministry of the Interior and are responsible for, inter alia, identifying victims of human trafficking.” (p. 91)</w:t>
      </w:r>
    </w:p>
    <w:p w:rsidR="009F4A13" w:rsidRDefault="006C3678" w:rsidP="009F4A13">
      <w:pPr>
        <w:keepNext/>
        <w:keepLines/>
        <w:spacing w:line="240" w:lineRule="auto"/>
        <w:outlineLvl w:val="1"/>
        <w:rPr>
          <w:rFonts w:eastAsiaTheme="majorEastAsia" w:cstheme="majorBidi"/>
          <w:color w:val="2E74B5" w:themeColor="accent1" w:themeShade="BF"/>
          <w:sz w:val="26"/>
          <w:szCs w:val="26"/>
        </w:rPr>
      </w:pPr>
      <w:bookmarkStart w:id="10" w:name="_Toc533175671"/>
      <w:r>
        <w:rPr>
          <w:rFonts w:eastAsiaTheme="majorEastAsia" w:cstheme="majorBidi"/>
          <w:color w:val="2E74B5" w:themeColor="accent1" w:themeShade="BF"/>
          <w:sz w:val="26"/>
          <w:szCs w:val="26"/>
        </w:rPr>
        <w:t xml:space="preserve">2.3 </w:t>
      </w:r>
      <w:r w:rsidR="009F4A13">
        <w:rPr>
          <w:rFonts w:eastAsiaTheme="majorEastAsia" w:cstheme="majorBidi"/>
          <w:color w:val="2E74B5" w:themeColor="accent1" w:themeShade="BF"/>
          <w:sz w:val="26"/>
          <w:szCs w:val="26"/>
        </w:rPr>
        <w:t>Mapping of minimum age requirements</w:t>
      </w:r>
      <w:bookmarkEnd w:id="10"/>
    </w:p>
    <w:p w:rsidR="009F4A13" w:rsidRDefault="009F4A13" w:rsidP="006C3678">
      <w:pPr>
        <w:jc w:val="both"/>
        <w:rPr>
          <w:rFonts w:eastAsiaTheme="majorEastAsia" w:cstheme="majorBidi"/>
          <w:color w:val="2E74B5" w:themeColor="accent1" w:themeShade="BF"/>
          <w:sz w:val="26"/>
          <w:szCs w:val="26"/>
        </w:rPr>
      </w:pPr>
      <w:r>
        <w:rPr>
          <w:shd w:val="clear" w:color="auto" w:fill="FBFBFB"/>
        </w:rPr>
        <w:t>In 2017, FRA is mapped national laws across EU governing age requirements linked to the child rights of protection and participation. The Convention on the rights of the Child requires States to take children's views into consideration on matters which concern them in accordance with their age and maturity. However, FRA research has shown that the way children are recognised as rights holders differs across the EU. Age requirements can also be arbitrary and inconsistent, potentially limiting child rights</w:t>
      </w:r>
    </w:p>
    <w:p w:rsidR="009F4A13" w:rsidRDefault="009F4A13" w:rsidP="006C3678">
      <w:pPr>
        <w:jc w:val="both"/>
        <w:rPr>
          <w:shd w:val="clear" w:color="auto" w:fill="FBFBFB"/>
        </w:rPr>
      </w:pPr>
      <w:r>
        <w:rPr>
          <w:shd w:val="clear" w:color="auto" w:fill="FBFBFB"/>
        </w:rPr>
        <w:t xml:space="preserve">The areas covered in this mapping exercise are: the legal definition of a child; political participation; social rights and welfare; education; health and medical treatment; employment; child care and child protection; access to justice (including juvenile justice); children in the digital world; asylum and migration. </w:t>
      </w:r>
    </w:p>
    <w:p w:rsidR="0097112F" w:rsidRPr="006C3678" w:rsidRDefault="009F4A13" w:rsidP="006C3678">
      <w:pPr>
        <w:rPr>
          <w:shd w:val="clear" w:color="auto" w:fill="FBFBFB"/>
        </w:rPr>
      </w:pPr>
      <w:r>
        <w:rPr>
          <w:shd w:val="clear" w:color="auto" w:fill="FBFBFB"/>
        </w:rPr>
        <w:t xml:space="preserve">For more detailed information: </w:t>
      </w:r>
      <w:hyperlink r:id="rId12" w:history="1">
        <w:r w:rsidRPr="00F16132">
          <w:rPr>
            <w:rStyle w:val="Hyperlink"/>
            <w:rFonts w:ascii="Verdana" w:hAnsi="Verdana"/>
            <w:sz w:val="19"/>
            <w:szCs w:val="19"/>
            <w:shd w:val="clear" w:color="auto" w:fill="FBFBFB"/>
          </w:rPr>
          <w:t>https://fra.europa.eu/en/publications-and-resources/data-and-maps/minag?mdq1=theme&amp;mdq2=3509</w:t>
        </w:r>
      </w:hyperlink>
      <w:r>
        <w:rPr>
          <w:shd w:val="clear" w:color="auto" w:fill="FBFBFB"/>
        </w:rPr>
        <w:t xml:space="preserve"> </w:t>
      </w:r>
    </w:p>
    <w:p w:rsidR="009F4A13" w:rsidRPr="009F4A13" w:rsidRDefault="009F4A13" w:rsidP="006C3678">
      <w:pPr>
        <w:rPr>
          <w:shd w:val="clear" w:color="auto" w:fill="FBFBFB"/>
        </w:rPr>
      </w:pPr>
      <w:r>
        <w:rPr>
          <w:shd w:val="clear" w:color="auto" w:fill="FBFBFB"/>
        </w:rPr>
        <w:t xml:space="preserve">As a matter of example, please find some extracts of this mapping concerning the age requirements in </w:t>
      </w:r>
      <w:r w:rsidR="00643BF5">
        <w:rPr>
          <w:shd w:val="clear" w:color="auto" w:fill="FBFBFB"/>
        </w:rPr>
        <w:t>the Czech Republic</w:t>
      </w:r>
      <w:r>
        <w:rPr>
          <w:shd w:val="clear" w:color="auto" w:fill="FBFBFB"/>
        </w:rPr>
        <w:t xml:space="preserve"> in the area of asylum and migration: </w:t>
      </w:r>
    </w:p>
    <w:p w:rsidR="0097112F" w:rsidRDefault="009F4A13" w:rsidP="006C3678">
      <w:r w:rsidRPr="009F4A13">
        <w:rPr>
          <w:noProof/>
          <w:lang w:eastAsia="en-GB"/>
        </w:rPr>
        <w:drawing>
          <wp:inline distT="0" distB="0" distL="0" distR="0">
            <wp:extent cx="5730875" cy="6074159"/>
            <wp:effectExtent l="0" t="0" r="3175" b="3175"/>
            <wp:docPr id="2" name="Picture 2" descr="C:\Users\beckele\Downloads\MDX-MAP-MINAG_en_76078-Tk9ORQ==-Tk9ORQ==-Z3JvdXAwNg==-TUlOQUdfQVMwMQ==-TUlOQUdfQVMwMQ==-MjAxNw==-740.e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ckele\Downloads\MDX-MAP-MINAG_en_76078-Tk9ORQ==-Tk9ORQ==-Z3JvdXAwNg==-TUlOQUdfQVMwMQ==-TUlOQUdfQVMwMQ==-MjAxNw==-740.entitle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7587" cy="6091872"/>
                    </a:xfrm>
                    <a:prstGeom prst="rect">
                      <a:avLst/>
                    </a:prstGeom>
                    <a:noFill/>
                    <a:ln>
                      <a:noFill/>
                    </a:ln>
                  </pic:spPr>
                </pic:pic>
              </a:graphicData>
            </a:graphic>
          </wp:inline>
        </w:drawing>
      </w:r>
    </w:p>
    <w:p w:rsidR="0097112F" w:rsidRDefault="00AB5BCA" w:rsidP="00907BC4">
      <w:r>
        <w:rPr>
          <w:noProof/>
          <w:lang w:eastAsia="en-GB"/>
        </w:rPr>
        <w:drawing>
          <wp:inline distT="0" distB="0" distL="0" distR="0">
            <wp:extent cx="5731510" cy="644398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6443980"/>
                    </a:xfrm>
                    <a:prstGeom prst="rect">
                      <a:avLst/>
                    </a:prstGeom>
                  </pic:spPr>
                </pic:pic>
              </a:graphicData>
            </a:graphic>
          </wp:inline>
        </w:drawing>
      </w: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p w:rsidR="0097112F" w:rsidRDefault="0097112F" w:rsidP="009400A5">
      <w:pPr>
        <w:keepNext/>
        <w:keepLines/>
        <w:spacing w:line="240" w:lineRule="auto"/>
        <w:outlineLvl w:val="1"/>
        <w:rPr>
          <w:rFonts w:eastAsiaTheme="majorEastAsia" w:cstheme="majorBidi"/>
          <w:color w:val="2E74B5" w:themeColor="accent1" w:themeShade="BF"/>
          <w:sz w:val="26"/>
          <w:szCs w:val="26"/>
        </w:rPr>
      </w:pPr>
    </w:p>
    <w:bookmarkEnd w:id="9"/>
    <w:p w:rsidR="009400A5" w:rsidRDefault="009400A5" w:rsidP="009400A5">
      <w:pPr>
        <w:spacing w:line="240" w:lineRule="auto"/>
        <w:jc w:val="both"/>
        <w:rPr>
          <w:noProof/>
          <w:lang w:eastAsia="en-GB"/>
        </w:rPr>
      </w:pPr>
    </w:p>
    <w:p w:rsidR="00B14C39" w:rsidRDefault="00B14C39"/>
    <w:sectPr w:rsidR="00B14C39" w:rsidSect="00645959">
      <w:footerReference w:type="default" r:id="rId15"/>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589E" w:rsidRDefault="00C8589E">
      <w:pPr>
        <w:spacing w:after="0" w:line="240" w:lineRule="auto"/>
      </w:pPr>
      <w:r>
        <w:separator/>
      </w:r>
    </w:p>
  </w:endnote>
  <w:endnote w:type="continuationSeparator" w:id="0">
    <w:p w:rsidR="00C8589E" w:rsidRDefault="00C85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DaxlinePro-Regular">
    <w:altName w:val="Arial"/>
    <w:panose1 w:val="00000000000000000000"/>
    <w:charset w:val="00"/>
    <w:family w:val="swiss"/>
    <w:notTrueType/>
    <w:pitch w:val="variable"/>
    <w:sig w:usb0="A00002FF" w:usb1="4000A4FB"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9127134"/>
      <w:docPartObj>
        <w:docPartGallery w:val="Page Numbers (Bottom of Page)"/>
        <w:docPartUnique/>
      </w:docPartObj>
    </w:sdtPr>
    <w:sdtEndPr>
      <w:rPr>
        <w:noProof/>
      </w:rPr>
    </w:sdtEndPr>
    <w:sdtContent>
      <w:p w:rsidR="000F0B79" w:rsidRDefault="00F77D4B">
        <w:pPr>
          <w:pStyle w:val="Footer"/>
          <w:jc w:val="right"/>
        </w:pPr>
        <w:r>
          <w:fldChar w:fldCharType="begin"/>
        </w:r>
        <w:r>
          <w:instrText xml:space="preserve"> PAGE   \* MERGEFORMAT </w:instrText>
        </w:r>
        <w:r>
          <w:fldChar w:fldCharType="separate"/>
        </w:r>
        <w:r w:rsidR="00071E0F">
          <w:rPr>
            <w:noProof/>
          </w:rPr>
          <w:t>6</w:t>
        </w:r>
        <w:r>
          <w:rPr>
            <w:noProof/>
          </w:rPr>
          <w:fldChar w:fldCharType="end"/>
        </w:r>
      </w:p>
    </w:sdtContent>
  </w:sdt>
  <w:p w:rsidR="000F0B79" w:rsidRDefault="00071E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589E" w:rsidRDefault="00C8589E">
      <w:pPr>
        <w:spacing w:after="0" w:line="240" w:lineRule="auto"/>
      </w:pPr>
      <w:r>
        <w:separator/>
      </w:r>
    </w:p>
  </w:footnote>
  <w:footnote w:type="continuationSeparator" w:id="0">
    <w:p w:rsidR="00C8589E" w:rsidRDefault="00C858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30F7E"/>
    <w:multiLevelType w:val="multilevel"/>
    <w:tmpl w:val="E0C223EA"/>
    <w:lvl w:ilvl="0">
      <w:start w:val="1"/>
      <w:numFmt w:val="decimal"/>
      <w:lvlText w:val="%1."/>
      <w:lvlJc w:val="left"/>
      <w:pPr>
        <w:ind w:left="720" w:hanging="360"/>
      </w:p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8C52EF0"/>
    <w:multiLevelType w:val="multilevel"/>
    <w:tmpl w:val="2D88082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BC95BE3"/>
    <w:multiLevelType w:val="multilevel"/>
    <w:tmpl w:val="CB6A39E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1440" w:hanging="1440"/>
      </w:pPr>
      <w:rPr>
        <w:rFonts w:asciiTheme="majorHAnsi" w:eastAsiaTheme="majorEastAsia" w:hAnsiTheme="majorHAnsi" w:cstheme="majorBidi" w:hint="default"/>
        <w:color w:val="2E74B5" w:themeColor="accent1" w:themeShade="BF"/>
        <w:sz w:val="26"/>
      </w:rPr>
    </w:lvl>
  </w:abstractNum>
  <w:abstractNum w:abstractNumId="3" w15:restartNumberingAfterBreak="0">
    <w:nsid w:val="5AB105CC"/>
    <w:multiLevelType w:val="multilevel"/>
    <w:tmpl w:val="02A4CDDE"/>
    <w:lvl w:ilvl="0">
      <w:start w:val="2"/>
      <w:numFmt w:val="decimal"/>
      <w:lvlText w:val="%1"/>
      <w:lvlJc w:val="left"/>
      <w:pPr>
        <w:ind w:left="360" w:hanging="360"/>
      </w:pPr>
      <w:rPr>
        <w:rFonts w:asciiTheme="majorHAnsi" w:eastAsiaTheme="majorEastAsia" w:hAnsiTheme="majorHAnsi" w:cstheme="majorBidi" w:hint="default"/>
        <w:color w:val="2E74B5" w:themeColor="accent1" w:themeShade="BF"/>
        <w:sz w:val="26"/>
      </w:rPr>
    </w:lvl>
    <w:lvl w:ilvl="1">
      <w:start w:val="1"/>
      <w:numFmt w:val="decimal"/>
      <w:lvlText w:val="%1.%2"/>
      <w:lvlJc w:val="left"/>
      <w:pPr>
        <w:ind w:left="720" w:hanging="360"/>
      </w:pPr>
      <w:rPr>
        <w:rFonts w:asciiTheme="majorHAnsi" w:eastAsiaTheme="majorEastAsia" w:hAnsiTheme="majorHAnsi" w:cstheme="majorBidi" w:hint="default"/>
        <w:color w:val="2E74B5" w:themeColor="accent1" w:themeShade="BF"/>
        <w:sz w:val="26"/>
      </w:rPr>
    </w:lvl>
    <w:lvl w:ilvl="2">
      <w:start w:val="1"/>
      <w:numFmt w:val="decimal"/>
      <w:lvlText w:val="%1.%2.%3"/>
      <w:lvlJc w:val="left"/>
      <w:pPr>
        <w:ind w:left="1440" w:hanging="720"/>
      </w:pPr>
      <w:rPr>
        <w:rFonts w:asciiTheme="majorHAnsi" w:eastAsiaTheme="majorEastAsia" w:hAnsiTheme="majorHAnsi" w:cstheme="majorBidi" w:hint="default"/>
        <w:color w:val="2E74B5" w:themeColor="accent1" w:themeShade="BF"/>
        <w:sz w:val="26"/>
      </w:rPr>
    </w:lvl>
    <w:lvl w:ilvl="3">
      <w:start w:val="1"/>
      <w:numFmt w:val="decimal"/>
      <w:lvlText w:val="%1.%2.%3.%4"/>
      <w:lvlJc w:val="left"/>
      <w:pPr>
        <w:ind w:left="1800" w:hanging="720"/>
      </w:pPr>
      <w:rPr>
        <w:rFonts w:asciiTheme="majorHAnsi" w:eastAsiaTheme="majorEastAsia" w:hAnsiTheme="majorHAnsi" w:cstheme="majorBidi" w:hint="default"/>
        <w:color w:val="2E74B5" w:themeColor="accent1" w:themeShade="BF"/>
        <w:sz w:val="26"/>
      </w:rPr>
    </w:lvl>
    <w:lvl w:ilvl="4">
      <w:start w:val="1"/>
      <w:numFmt w:val="decimal"/>
      <w:lvlText w:val="%1.%2.%3.%4.%5"/>
      <w:lvlJc w:val="left"/>
      <w:pPr>
        <w:ind w:left="2520" w:hanging="1080"/>
      </w:pPr>
      <w:rPr>
        <w:rFonts w:asciiTheme="majorHAnsi" w:eastAsiaTheme="majorEastAsia" w:hAnsiTheme="majorHAnsi" w:cstheme="majorBidi" w:hint="default"/>
        <w:color w:val="2E74B5" w:themeColor="accent1" w:themeShade="BF"/>
        <w:sz w:val="26"/>
      </w:rPr>
    </w:lvl>
    <w:lvl w:ilvl="5">
      <w:start w:val="1"/>
      <w:numFmt w:val="decimal"/>
      <w:lvlText w:val="%1.%2.%3.%4.%5.%6"/>
      <w:lvlJc w:val="left"/>
      <w:pPr>
        <w:ind w:left="2880" w:hanging="1080"/>
      </w:pPr>
      <w:rPr>
        <w:rFonts w:asciiTheme="majorHAnsi" w:eastAsiaTheme="majorEastAsia" w:hAnsiTheme="majorHAnsi" w:cstheme="majorBidi" w:hint="default"/>
        <w:color w:val="2E74B5" w:themeColor="accent1" w:themeShade="BF"/>
        <w:sz w:val="26"/>
      </w:rPr>
    </w:lvl>
    <w:lvl w:ilvl="6">
      <w:start w:val="1"/>
      <w:numFmt w:val="decimal"/>
      <w:lvlText w:val="%1.%2.%3.%4.%5.%6.%7"/>
      <w:lvlJc w:val="left"/>
      <w:pPr>
        <w:ind w:left="3600" w:hanging="1440"/>
      </w:pPr>
      <w:rPr>
        <w:rFonts w:asciiTheme="majorHAnsi" w:eastAsiaTheme="majorEastAsia" w:hAnsiTheme="majorHAnsi" w:cstheme="majorBidi" w:hint="default"/>
        <w:color w:val="2E74B5" w:themeColor="accent1" w:themeShade="BF"/>
        <w:sz w:val="26"/>
      </w:rPr>
    </w:lvl>
    <w:lvl w:ilvl="7">
      <w:start w:val="1"/>
      <w:numFmt w:val="decimal"/>
      <w:lvlText w:val="%1.%2.%3.%4.%5.%6.%7.%8"/>
      <w:lvlJc w:val="left"/>
      <w:pPr>
        <w:ind w:left="3960" w:hanging="1440"/>
      </w:pPr>
      <w:rPr>
        <w:rFonts w:asciiTheme="majorHAnsi" w:eastAsiaTheme="majorEastAsia" w:hAnsiTheme="majorHAnsi" w:cstheme="majorBidi" w:hint="default"/>
        <w:color w:val="2E74B5" w:themeColor="accent1" w:themeShade="BF"/>
        <w:sz w:val="26"/>
      </w:rPr>
    </w:lvl>
    <w:lvl w:ilvl="8">
      <w:start w:val="1"/>
      <w:numFmt w:val="decimal"/>
      <w:lvlText w:val="%1.%2.%3.%4.%5.%6.%7.%8.%9"/>
      <w:lvlJc w:val="left"/>
      <w:pPr>
        <w:ind w:left="4320" w:hanging="1440"/>
      </w:pPr>
      <w:rPr>
        <w:rFonts w:asciiTheme="majorHAnsi" w:eastAsiaTheme="majorEastAsia" w:hAnsiTheme="majorHAnsi" w:cstheme="majorBidi" w:hint="default"/>
        <w:color w:val="2E74B5" w:themeColor="accent1" w:themeShade="BF"/>
        <w:sz w:val="26"/>
      </w:rPr>
    </w:lvl>
  </w:abstractNum>
  <w:abstractNum w:abstractNumId="4" w15:restartNumberingAfterBreak="0">
    <w:nsid w:val="72D76714"/>
    <w:multiLevelType w:val="hybridMultilevel"/>
    <w:tmpl w:val="FEC0BF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0A5"/>
    <w:rsid w:val="00044011"/>
    <w:rsid w:val="00071E0F"/>
    <w:rsid w:val="002331FF"/>
    <w:rsid w:val="00390A4F"/>
    <w:rsid w:val="003A62EA"/>
    <w:rsid w:val="00493838"/>
    <w:rsid w:val="005F142B"/>
    <w:rsid w:val="00643BF5"/>
    <w:rsid w:val="006C3678"/>
    <w:rsid w:val="00714A9F"/>
    <w:rsid w:val="00755EDD"/>
    <w:rsid w:val="00865193"/>
    <w:rsid w:val="00907BC4"/>
    <w:rsid w:val="009400A5"/>
    <w:rsid w:val="0097112F"/>
    <w:rsid w:val="009F4A13"/>
    <w:rsid w:val="00AB5BCA"/>
    <w:rsid w:val="00B14C39"/>
    <w:rsid w:val="00C65E84"/>
    <w:rsid w:val="00C72F4C"/>
    <w:rsid w:val="00C8589E"/>
    <w:rsid w:val="00DA191C"/>
    <w:rsid w:val="00F77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749176-BFC5-453D-9B89-0C84CB458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00A5"/>
  </w:style>
  <w:style w:type="paragraph" w:styleId="Heading1">
    <w:name w:val="heading 1"/>
    <w:basedOn w:val="Normal"/>
    <w:next w:val="Normal"/>
    <w:link w:val="Heading1Char"/>
    <w:uiPriority w:val="9"/>
    <w:qFormat/>
    <w:rsid w:val="009400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0A5"/>
    <w:pPr>
      <w:keepNext/>
      <w:keepLines/>
      <w:spacing w:before="40" w:after="0" w:line="240" w:lineRule="auto"/>
      <w:outlineLvl w:val="1"/>
    </w:pPr>
    <w:rPr>
      <w:rFonts w:asciiTheme="majorHAnsi" w:eastAsiaTheme="majorEastAsia" w:hAnsiTheme="majorHAnsi" w:cstheme="majorBidi"/>
      <w:color w:val="2E74B5"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400A5"/>
    <w:rPr>
      <w:rFonts w:asciiTheme="majorHAnsi" w:eastAsiaTheme="majorEastAsia" w:hAnsiTheme="majorHAnsi" w:cstheme="majorBidi"/>
      <w:color w:val="2E74B5" w:themeColor="accent1" w:themeShade="BF"/>
      <w:sz w:val="26"/>
      <w:szCs w:val="26"/>
      <w:lang w:val="en-US"/>
    </w:rPr>
  </w:style>
  <w:style w:type="paragraph" w:styleId="ListParagraph">
    <w:name w:val="List Paragraph"/>
    <w:basedOn w:val="Normal"/>
    <w:uiPriority w:val="34"/>
    <w:qFormat/>
    <w:rsid w:val="009400A5"/>
    <w:pPr>
      <w:spacing w:after="0" w:line="240" w:lineRule="auto"/>
      <w:ind w:left="720"/>
      <w:contextualSpacing/>
    </w:pPr>
    <w:rPr>
      <w:lang w:val="en-US"/>
    </w:rPr>
  </w:style>
  <w:style w:type="character" w:styleId="Hyperlink">
    <w:name w:val="Hyperlink"/>
    <w:basedOn w:val="DefaultParagraphFont"/>
    <w:uiPriority w:val="99"/>
    <w:unhideWhenUsed/>
    <w:rsid w:val="009400A5"/>
    <w:rPr>
      <w:color w:val="0563C1" w:themeColor="hyperlink"/>
      <w:u w:val="single"/>
    </w:rPr>
  </w:style>
  <w:style w:type="paragraph" w:styleId="Footer">
    <w:name w:val="footer"/>
    <w:basedOn w:val="Normal"/>
    <w:link w:val="FooterChar"/>
    <w:uiPriority w:val="99"/>
    <w:unhideWhenUsed/>
    <w:rsid w:val="0094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0A5"/>
  </w:style>
  <w:style w:type="character" w:customStyle="1" w:styleId="Heading1Char">
    <w:name w:val="Heading 1 Char"/>
    <w:basedOn w:val="DefaultParagraphFont"/>
    <w:link w:val="Heading1"/>
    <w:uiPriority w:val="9"/>
    <w:rsid w:val="009400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400A5"/>
    <w:pPr>
      <w:outlineLvl w:val="9"/>
    </w:pPr>
    <w:rPr>
      <w:lang w:val="en-US"/>
    </w:rPr>
  </w:style>
  <w:style w:type="paragraph" w:styleId="TOC1">
    <w:name w:val="toc 1"/>
    <w:basedOn w:val="Normal"/>
    <w:next w:val="Normal"/>
    <w:autoRedefine/>
    <w:uiPriority w:val="39"/>
    <w:unhideWhenUsed/>
    <w:rsid w:val="009400A5"/>
    <w:pPr>
      <w:spacing w:after="100"/>
    </w:pPr>
  </w:style>
  <w:style w:type="paragraph" w:styleId="TOC2">
    <w:name w:val="toc 2"/>
    <w:basedOn w:val="Normal"/>
    <w:next w:val="Normal"/>
    <w:autoRedefine/>
    <w:uiPriority w:val="39"/>
    <w:unhideWhenUsed/>
    <w:rsid w:val="009400A5"/>
    <w:pPr>
      <w:spacing w:after="100"/>
      <w:ind w:left="220"/>
    </w:pPr>
  </w:style>
  <w:style w:type="character" w:customStyle="1" w:styleId="A7">
    <w:name w:val="A7"/>
    <w:uiPriority w:val="99"/>
    <w:rsid w:val="009400A5"/>
    <w:rPr>
      <w:rFonts w:cs="DaxlinePro-Regular"/>
      <w:color w:val="000000"/>
      <w:sz w:val="10"/>
      <w:szCs w:val="10"/>
    </w:rPr>
  </w:style>
  <w:style w:type="paragraph" w:customStyle="1" w:styleId="Pa12">
    <w:name w:val="Pa12"/>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paragraph" w:customStyle="1" w:styleId="Pa10">
    <w:name w:val="Pa10"/>
    <w:basedOn w:val="Normal"/>
    <w:next w:val="Normal"/>
    <w:uiPriority w:val="99"/>
    <w:rsid w:val="009400A5"/>
    <w:pPr>
      <w:autoSpaceDE w:val="0"/>
      <w:autoSpaceDN w:val="0"/>
      <w:adjustRightInd w:val="0"/>
      <w:spacing w:after="0" w:line="185" w:lineRule="atLeast"/>
    </w:pPr>
    <w:rPr>
      <w:rFonts w:ascii="DaxlinePro-Regular" w:eastAsia="DaxlinePro-Regular"/>
      <w:sz w:val="24"/>
      <w:szCs w:val="24"/>
      <w:lang w:val="en-IE"/>
    </w:rPr>
  </w:style>
  <w:style w:type="character" w:styleId="Strong">
    <w:name w:val="Strong"/>
    <w:basedOn w:val="DefaultParagraphFont"/>
    <w:uiPriority w:val="22"/>
    <w:qFormat/>
    <w:rsid w:val="009400A5"/>
    <w:rPr>
      <w:b/>
      <w:bCs/>
    </w:rPr>
  </w:style>
  <w:style w:type="character" w:customStyle="1" w:styleId="apple-converted-space">
    <w:name w:val="apple-converted-space"/>
    <w:basedOn w:val="DefaultParagraphFont"/>
    <w:rsid w:val="00940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408644">
      <w:bodyDiv w:val="1"/>
      <w:marLeft w:val="0"/>
      <w:marRight w:val="0"/>
      <w:marTop w:val="0"/>
      <w:marBottom w:val="0"/>
      <w:divBdr>
        <w:top w:val="none" w:sz="0" w:space="0" w:color="auto"/>
        <w:left w:val="none" w:sz="0" w:space="0" w:color="auto"/>
        <w:bottom w:val="none" w:sz="0" w:space="0" w:color="auto"/>
        <w:right w:val="none" w:sz="0" w:space="0" w:color="auto"/>
      </w:divBdr>
    </w:div>
    <w:div w:id="907613852">
      <w:bodyDiv w:val="1"/>
      <w:marLeft w:val="0"/>
      <w:marRight w:val="0"/>
      <w:marTop w:val="0"/>
      <w:marBottom w:val="0"/>
      <w:divBdr>
        <w:top w:val="none" w:sz="0" w:space="0" w:color="auto"/>
        <w:left w:val="none" w:sz="0" w:space="0" w:color="auto"/>
        <w:bottom w:val="none" w:sz="0" w:space="0" w:color="auto"/>
        <w:right w:val="none" w:sz="0" w:space="0" w:color="auto"/>
      </w:divBdr>
    </w:div>
    <w:div w:id="204455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jpe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fra.europa.eu/en/publications-and-resources/publications/annual-reports/fundamental-rights-2017" TargetMode="External"/><Relationship Id="rId12" Type="http://schemas.openxmlformats.org/officeDocument/2006/relationships/hyperlink" Target="https://fra.europa.eu/en/publications-and-resources/data-and-maps/minag?mdq1=theme&amp;mdq2=350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a.europa.eu/en/publication/2017/child-migrant-deten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fra.europa.eu/en/publication/2018/child-poverty"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fra.europa.eu/en/publications-and-resources/publications/annual-reports/fundamental-rights-2016"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427B4F-52C4-484D-8B70-F4FBF9458895}"/>
</file>

<file path=customXml/itemProps2.xml><?xml version="1.0" encoding="utf-8"?>
<ds:datastoreItem xmlns:ds="http://schemas.openxmlformats.org/officeDocument/2006/customXml" ds:itemID="{F6A9F281-65BC-48BE-B567-26733C313621}"/>
</file>

<file path=customXml/itemProps3.xml><?xml version="1.0" encoding="utf-8"?>
<ds:datastoreItem xmlns:ds="http://schemas.openxmlformats.org/officeDocument/2006/customXml" ds:itemID="{A4768E0D-4C9D-44C3-80FE-F1173536DD00}"/>
</file>

<file path=docProps/app.xml><?xml version="1.0" encoding="utf-8"?>
<Properties xmlns="http://schemas.openxmlformats.org/officeDocument/2006/extended-properties" xmlns:vt="http://schemas.openxmlformats.org/officeDocument/2006/docPropsVTypes">
  <Template>Normal</Template>
  <TotalTime>1</TotalTime>
  <Pages>6</Pages>
  <Words>1537</Words>
  <Characters>8761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EU Agency for Fundamental Rights</Company>
  <LinksUpToDate>false</LinksUpToDate>
  <CharactersWithSpaces>10278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BECKER Lena Ellen (FRA)</dc:creator>
  <cp:keywords/>
  <dc:description/>
  <cp:lastModifiedBy>GUTIERREZ ARQUES Monica (FRA)</cp:lastModifiedBy>
  <cp:revision>3</cp:revision>
  <dcterms:created xsi:type="dcterms:W3CDTF">2018-12-21T16:31:00Z</dcterms:created>
  <dcterms:modified xsi:type="dcterms:W3CDTF">2018-12-21T16:34:00Z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