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380B46" w14:textId="06E18C58" w:rsidR="006C0F11" w:rsidRPr="00D677A0" w:rsidRDefault="006C0F11" w:rsidP="006C0F11">
      <w:pPr>
        <w:jc w:val="center"/>
        <w:rPr>
          <w:b/>
          <w:color w:val="000000"/>
          <w:sz w:val="24"/>
          <w:szCs w:val="24"/>
          <w:lang w:val="es-419"/>
        </w:rPr>
      </w:pPr>
      <w:r w:rsidRPr="00D677A0">
        <w:rPr>
          <w:b/>
          <w:color w:val="000000"/>
          <w:sz w:val="24"/>
          <w:szCs w:val="24"/>
          <w:lang w:val="es-419"/>
        </w:rPr>
        <w:t xml:space="preserve">Comité de </w:t>
      </w:r>
      <w:r w:rsidR="00064745" w:rsidRPr="00D677A0">
        <w:rPr>
          <w:b/>
          <w:color w:val="000000"/>
          <w:sz w:val="24"/>
          <w:szCs w:val="24"/>
          <w:lang w:val="es-419"/>
        </w:rPr>
        <w:t>D</w:t>
      </w:r>
      <w:r w:rsidRPr="00D677A0">
        <w:rPr>
          <w:b/>
          <w:color w:val="000000"/>
          <w:sz w:val="24"/>
          <w:szCs w:val="24"/>
          <w:lang w:val="es-419"/>
        </w:rPr>
        <w:t xml:space="preserve">erechos </w:t>
      </w:r>
      <w:r w:rsidR="00064745" w:rsidRPr="00D677A0">
        <w:rPr>
          <w:b/>
          <w:color w:val="000000"/>
          <w:sz w:val="24"/>
          <w:szCs w:val="24"/>
          <w:lang w:val="es-419"/>
        </w:rPr>
        <w:t>Humanos</w:t>
      </w:r>
    </w:p>
    <w:p w14:paraId="5C20C453" w14:textId="77777777" w:rsidR="008E5DD0" w:rsidRPr="00D677A0" w:rsidRDefault="008E5DD0" w:rsidP="006C0F11">
      <w:pPr>
        <w:jc w:val="center"/>
        <w:rPr>
          <w:b/>
          <w:color w:val="000000"/>
          <w:sz w:val="24"/>
          <w:szCs w:val="24"/>
          <w:lang w:val="es-419"/>
        </w:rPr>
      </w:pPr>
      <w:r w:rsidRPr="00D677A0">
        <w:rPr>
          <w:b/>
          <w:color w:val="000000"/>
          <w:sz w:val="24"/>
          <w:szCs w:val="24"/>
          <w:lang w:val="es-419"/>
        </w:rPr>
        <w:t xml:space="preserve">135° Sesión </w:t>
      </w:r>
    </w:p>
    <w:p w14:paraId="6BB7E193" w14:textId="18A259D1" w:rsidR="008E5DD0" w:rsidRPr="00D677A0" w:rsidRDefault="008E5DD0" w:rsidP="006C0F11">
      <w:pPr>
        <w:jc w:val="center"/>
        <w:rPr>
          <w:b/>
          <w:color w:val="000000"/>
          <w:sz w:val="24"/>
          <w:szCs w:val="24"/>
          <w:lang w:val="es-419"/>
        </w:rPr>
      </w:pPr>
      <w:r w:rsidRPr="00D677A0">
        <w:rPr>
          <w:b/>
          <w:color w:val="000000"/>
          <w:sz w:val="24"/>
          <w:szCs w:val="24"/>
          <w:lang w:val="es-419"/>
        </w:rPr>
        <w:t>27 junio al 29 julio de 2022</w:t>
      </w:r>
    </w:p>
    <w:p w14:paraId="0C151DDA" w14:textId="77777777" w:rsidR="006C0F11" w:rsidRPr="00D677A0" w:rsidRDefault="006C0F11" w:rsidP="006C0F11">
      <w:pPr>
        <w:tabs>
          <w:tab w:val="left" w:pos="2434"/>
        </w:tabs>
        <w:rPr>
          <w:b/>
          <w:color w:val="000000"/>
          <w:sz w:val="24"/>
          <w:szCs w:val="24"/>
          <w:lang w:val="es-419"/>
        </w:rPr>
      </w:pPr>
    </w:p>
    <w:p w14:paraId="2126E81F" w14:textId="77777777" w:rsidR="006C0F11" w:rsidRPr="00D677A0" w:rsidRDefault="006C0F11" w:rsidP="006C0F11">
      <w:pPr>
        <w:jc w:val="center"/>
        <w:rPr>
          <w:b/>
          <w:color w:val="000000"/>
          <w:sz w:val="24"/>
          <w:szCs w:val="24"/>
          <w:lang w:val="es-419"/>
        </w:rPr>
      </w:pPr>
    </w:p>
    <w:p w14:paraId="58F415BB" w14:textId="77777777" w:rsidR="0031160E" w:rsidRPr="00D677A0" w:rsidRDefault="0031160E" w:rsidP="0031160E">
      <w:pPr>
        <w:jc w:val="both"/>
        <w:rPr>
          <w:b/>
          <w:color w:val="000000"/>
          <w:sz w:val="24"/>
          <w:szCs w:val="24"/>
          <w:lang w:val="es-419"/>
        </w:rPr>
      </w:pPr>
    </w:p>
    <w:p w14:paraId="26F29322" w14:textId="77777777" w:rsidR="0031160E" w:rsidRPr="00D677A0" w:rsidRDefault="0031160E" w:rsidP="0031160E">
      <w:pPr>
        <w:jc w:val="both"/>
        <w:rPr>
          <w:b/>
          <w:color w:val="000000"/>
          <w:sz w:val="24"/>
          <w:szCs w:val="24"/>
          <w:lang w:val="es-419"/>
        </w:rPr>
      </w:pPr>
    </w:p>
    <w:p w14:paraId="43033DEB" w14:textId="77777777" w:rsidR="0031160E" w:rsidRPr="00D677A0" w:rsidRDefault="0031160E" w:rsidP="0031160E">
      <w:pPr>
        <w:jc w:val="center"/>
        <w:rPr>
          <w:b/>
          <w:color w:val="000000"/>
          <w:sz w:val="24"/>
          <w:szCs w:val="24"/>
          <w:lang w:val="es-419"/>
        </w:rPr>
      </w:pPr>
      <w:r w:rsidRPr="00D677A0">
        <w:rPr>
          <w:b/>
          <w:color w:val="000000"/>
          <w:sz w:val="24"/>
          <w:szCs w:val="24"/>
          <w:lang w:val="es-419"/>
        </w:rPr>
        <w:t>Contribución a la lista de cuestiones</w:t>
      </w:r>
    </w:p>
    <w:p w14:paraId="6164EA43" w14:textId="6E6B2D8B" w:rsidR="006C0F11" w:rsidRPr="00D677A0" w:rsidRDefault="00064745" w:rsidP="006C0F11">
      <w:pPr>
        <w:jc w:val="center"/>
        <w:rPr>
          <w:b/>
          <w:color w:val="000000"/>
          <w:sz w:val="24"/>
          <w:szCs w:val="24"/>
          <w:lang w:val="es-419"/>
        </w:rPr>
      </w:pPr>
      <w:r w:rsidRPr="00D677A0">
        <w:rPr>
          <w:b/>
          <w:color w:val="000000"/>
          <w:sz w:val="24"/>
          <w:szCs w:val="24"/>
          <w:lang w:val="es-419"/>
        </w:rPr>
        <w:t>COLOMBIA</w:t>
      </w:r>
    </w:p>
    <w:p w14:paraId="777C033F" w14:textId="77777777" w:rsidR="006C0F11" w:rsidRPr="00D677A0" w:rsidRDefault="006C0F11" w:rsidP="006C0F11">
      <w:pPr>
        <w:jc w:val="center"/>
        <w:rPr>
          <w:b/>
          <w:color w:val="000000"/>
          <w:sz w:val="24"/>
          <w:szCs w:val="24"/>
          <w:lang w:val="es-419"/>
        </w:rPr>
      </w:pPr>
    </w:p>
    <w:p w14:paraId="6416BAB7" w14:textId="77777777" w:rsidR="006C0F11" w:rsidRPr="00D677A0" w:rsidRDefault="006C0F11" w:rsidP="006C0F11">
      <w:pPr>
        <w:jc w:val="both"/>
        <w:rPr>
          <w:b/>
          <w:color w:val="000000"/>
          <w:sz w:val="24"/>
          <w:szCs w:val="24"/>
          <w:lang w:val="es-419"/>
        </w:rPr>
      </w:pPr>
    </w:p>
    <w:p w14:paraId="01C7E413" w14:textId="77777777" w:rsidR="006C0F11" w:rsidRPr="00D677A0" w:rsidRDefault="006C0F11" w:rsidP="001D6581">
      <w:pPr>
        <w:rPr>
          <w:color w:val="000000"/>
          <w:sz w:val="24"/>
          <w:szCs w:val="24"/>
          <w:lang w:val="es-419"/>
        </w:rPr>
      </w:pPr>
    </w:p>
    <w:p w14:paraId="6C855104" w14:textId="77777777" w:rsidR="006C0F11" w:rsidRPr="00D677A0" w:rsidRDefault="006C0F11" w:rsidP="006C0F11">
      <w:pPr>
        <w:jc w:val="center"/>
        <w:rPr>
          <w:sz w:val="24"/>
          <w:szCs w:val="24"/>
          <w:lang w:val="es-419"/>
        </w:rPr>
      </w:pPr>
    </w:p>
    <w:p w14:paraId="5181F56C" w14:textId="77777777" w:rsidR="006C0F11" w:rsidRPr="00D677A0" w:rsidRDefault="006C0F11" w:rsidP="006C0F11">
      <w:pPr>
        <w:jc w:val="center"/>
        <w:rPr>
          <w:color w:val="000000"/>
          <w:sz w:val="24"/>
          <w:szCs w:val="24"/>
          <w:lang w:val="es-419"/>
        </w:rPr>
      </w:pPr>
    </w:p>
    <w:p w14:paraId="01B12175" w14:textId="77777777" w:rsidR="006C0F11" w:rsidRPr="00D677A0" w:rsidRDefault="006C0F11" w:rsidP="006C0F11">
      <w:pPr>
        <w:jc w:val="center"/>
        <w:rPr>
          <w:color w:val="000000"/>
          <w:sz w:val="24"/>
          <w:szCs w:val="24"/>
          <w:lang w:val="es-419"/>
        </w:rPr>
      </w:pPr>
      <w:r w:rsidRPr="00D677A0">
        <w:rPr>
          <w:color w:val="000000"/>
          <w:sz w:val="24"/>
          <w:szCs w:val="24"/>
          <w:lang w:val="es-419"/>
        </w:rPr>
        <w:t>Presentada por:</w:t>
      </w:r>
    </w:p>
    <w:p w14:paraId="035D243B" w14:textId="77777777" w:rsidR="006C0F11" w:rsidRPr="00D677A0" w:rsidRDefault="006C0F11" w:rsidP="006C0F11">
      <w:pPr>
        <w:jc w:val="center"/>
        <w:rPr>
          <w:color w:val="000000"/>
          <w:sz w:val="24"/>
          <w:szCs w:val="24"/>
          <w:lang w:val="es-419"/>
        </w:rPr>
      </w:pPr>
      <w:r w:rsidRPr="00D677A0">
        <w:rPr>
          <w:color w:val="000000"/>
          <w:sz w:val="24"/>
          <w:szCs w:val="24"/>
          <w:lang w:val="es-419"/>
        </w:rPr>
        <w:t>Franciscans International</w:t>
      </w:r>
    </w:p>
    <w:p w14:paraId="652C1C3A" w14:textId="733147A3" w:rsidR="006C0F11" w:rsidRPr="008E5DD0" w:rsidRDefault="00064745" w:rsidP="006C0F11">
      <w:pPr>
        <w:jc w:val="center"/>
        <w:rPr>
          <w:color w:val="000000"/>
          <w:lang w:val="es-419"/>
        </w:rPr>
      </w:pPr>
      <w:r w:rsidRPr="00D677A0">
        <w:rPr>
          <w:color w:val="000000"/>
          <w:sz w:val="24"/>
          <w:szCs w:val="24"/>
          <w:lang w:val="es-419"/>
        </w:rPr>
        <w:t>Red Franciscana para migrantes – Equipo Colombia</w:t>
      </w:r>
    </w:p>
    <w:p w14:paraId="38FAB1D5" w14:textId="77777777" w:rsidR="006C0F11" w:rsidRPr="008E5DD0" w:rsidRDefault="006C0F11" w:rsidP="000F6DB9">
      <w:pPr>
        <w:jc w:val="both"/>
        <w:rPr>
          <w:lang w:val="es-419"/>
        </w:rPr>
      </w:pPr>
    </w:p>
    <w:p w14:paraId="7E8C11DC" w14:textId="77777777" w:rsidR="006C0F11" w:rsidRPr="008E5DD0" w:rsidRDefault="006C0F11" w:rsidP="000F6DB9">
      <w:pPr>
        <w:jc w:val="both"/>
        <w:rPr>
          <w:lang w:val="es-419"/>
        </w:rPr>
      </w:pPr>
    </w:p>
    <w:p w14:paraId="40071ACA" w14:textId="77777777" w:rsidR="006C0F11" w:rsidRPr="008E5DD0" w:rsidRDefault="006C0F11" w:rsidP="000F6DB9">
      <w:pPr>
        <w:jc w:val="both"/>
        <w:rPr>
          <w:lang w:val="es-419"/>
        </w:rPr>
      </w:pPr>
    </w:p>
    <w:p w14:paraId="47254BA6" w14:textId="77777777" w:rsidR="006C0F11" w:rsidRPr="008E5DD0" w:rsidRDefault="006C0F11" w:rsidP="000F6DB9">
      <w:pPr>
        <w:jc w:val="both"/>
        <w:rPr>
          <w:lang w:val="es-419"/>
        </w:rPr>
      </w:pPr>
    </w:p>
    <w:p w14:paraId="2C6C4776" w14:textId="77777777" w:rsidR="00064745" w:rsidRPr="008E5DD0" w:rsidRDefault="00064745" w:rsidP="000F6DB9">
      <w:pPr>
        <w:jc w:val="both"/>
        <w:rPr>
          <w:lang w:val="es-419"/>
        </w:rPr>
      </w:pPr>
    </w:p>
    <w:p w14:paraId="61CD37D3" w14:textId="77777777" w:rsidR="0031160E" w:rsidRPr="008E5DD0" w:rsidRDefault="0031160E">
      <w:pPr>
        <w:rPr>
          <w:lang w:val="es-419"/>
        </w:rPr>
      </w:pPr>
      <w:r w:rsidRPr="008E5DD0">
        <w:rPr>
          <w:lang w:val="es-419"/>
        </w:rPr>
        <w:br w:type="page"/>
      </w:r>
    </w:p>
    <w:p w14:paraId="6C149E10" w14:textId="49D2CA01" w:rsidR="00C518CB" w:rsidRPr="008E5DD0" w:rsidRDefault="00CD14CF" w:rsidP="000F6DB9">
      <w:pPr>
        <w:jc w:val="both"/>
        <w:rPr>
          <w:lang w:val="es-419"/>
        </w:rPr>
      </w:pPr>
      <w:r w:rsidRPr="008E5DD0">
        <w:rPr>
          <w:lang w:val="es-419"/>
        </w:rPr>
        <w:lastRenderedPageBreak/>
        <w:t>Parte de la</w:t>
      </w:r>
      <w:r w:rsidR="00C518CB" w:rsidRPr="008E5DD0">
        <w:rPr>
          <w:lang w:val="es-419"/>
        </w:rPr>
        <w:t xml:space="preserve"> información que presentamos en este documento es retomada de</w:t>
      </w:r>
      <w:r w:rsidRPr="008E5DD0">
        <w:rPr>
          <w:lang w:val="es-419"/>
        </w:rPr>
        <w:t xml:space="preserve"> </w:t>
      </w:r>
      <w:r w:rsidR="00C518CB" w:rsidRPr="008E5DD0">
        <w:rPr>
          <w:lang w:val="es-419"/>
        </w:rPr>
        <w:t>l</w:t>
      </w:r>
      <w:r w:rsidRPr="008E5DD0">
        <w:rPr>
          <w:lang w:val="es-419"/>
        </w:rPr>
        <w:t xml:space="preserve">os insumos </w:t>
      </w:r>
      <w:r w:rsidR="00C518CB" w:rsidRPr="008E5DD0">
        <w:rPr>
          <w:lang w:val="es-419"/>
        </w:rPr>
        <w:t>que algunas de nuestras organizaciones hicieron al llamado de contribuciones para el Relator de Personas Migrantes</w:t>
      </w:r>
      <w:r w:rsidRPr="008E5DD0">
        <w:rPr>
          <w:lang w:val="es-419"/>
        </w:rPr>
        <w:t>.</w:t>
      </w:r>
      <w:r w:rsidR="0031160E" w:rsidRPr="008E5DD0">
        <w:rPr>
          <w:rStyle w:val="Refdenotaalpie"/>
          <w:lang w:val="es-419"/>
        </w:rPr>
        <w:footnoteReference w:id="1"/>
      </w:r>
      <w:r w:rsidR="00274F07" w:rsidRPr="008E5DD0">
        <w:rPr>
          <w:lang w:val="es-419"/>
        </w:rPr>
        <w:t xml:space="preserve"> Est</w:t>
      </w:r>
      <w:r w:rsidR="003C5050">
        <w:rPr>
          <w:lang w:val="es-419"/>
        </w:rPr>
        <w:t>a</w:t>
      </w:r>
      <w:r w:rsidR="00274F07" w:rsidRPr="008E5DD0">
        <w:rPr>
          <w:lang w:val="es-419"/>
        </w:rPr>
        <w:t xml:space="preserve"> contribución se enfoca en la situación de derechos humanos de las personas migrantes, solicitantes de asilo y personas </w:t>
      </w:r>
      <w:r w:rsidR="003C5050">
        <w:rPr>
          <w:lang w:val="es-419"/>
        </w:rPr>
        <w:t>que requieren</w:t>
      </w:r>
      <w:r w:rsidR="00274F07" w:rsidRPr="008E5DD0">
        <w:rPr>
          <w:lang w:val="es-419"/>
        </w:rPr>
        <w:t xml:space="preserve"> protección internacional </w:t>
      </w:r>
      <w:r w:rsidR="00DC26B8" w:rsidRPr="008E5DD0">
        <w:rPr>
          <w:lang w:val="es-419"/>
        </w:rPr>
        <w:t>y</w:t>
      </w:r>
      <w:r w:rsidR="00274F07" w:rsidRPr="008E5DD0">
        <w:rPr>
          <w:lang w:val="es-419"/>
        </w:rPr>
        <w:t xml:space="preserve"> las obligaciones del Estado Colombiano en esta materia. </w:t>
      </w:r>
    </w:p>
    <w:p w14:paraId="670EAC41" w14:textId="7101C0BC" w:rsidR="00E314FE" w:rsidRPr="008E5DD0" w:rsidRDefault="00274F07" w:rsidP="000F6DB9">
      <w:pPr>
        <w:jc w:val="both"/>
        <w:rPr>
          <w:lang w:val="es-419"/>
        </w:rPr>
      </w:pPr>
      <w:r w:rsidRPr="008E5DD0">
        <w:rPr>
          <w:lang w:val="es-419"/>
        </w:rPr>
        <w:t>Es importante señalar que e</w:t>
      </w:r>
      <w:r w:rsidR="002E20E0" w:rsidRPr="008E5DD0">
        <w:rPr>
          <w:lang w:val="es-419"/>
        </w:rPr>
        <w:t xml:space="preserve">l término “irregular” </w:t>
      </w:r>
      <w:r w:rsidR="000919EC" w:rsidRPr="008E5DD0">
        <w:rPr>
          <w:lang w:val="es-419"/>
        </w:rPr>
        <w:t>es u</w:t>
      </w:r>
      <w:r w:rsidRPr="008E5DD0">
        <w:rPr>
          <w:lang w:val="es-419"/>
        </w:rPr>
        <w:t>sado</w:t>
      </w:r>
      <w:r w:rsidR="000919EC" w:rsidRPr="008E5DD0">
        <w:rPr>
          <w:lang w:val="es-419"/>
        </w:rPr>
        <w:t xml:space="preserve"> en</w:t>
      </w:r>
      <w:r w:rsidR="002E20E0" w:rsidRPr="008E5DD0">
        <w:rPr>
          <w:lang w:val="es-419"/>
        </w:rPr>
        <w:t xml:space="preserve"> esta contribución </w:t>
      </w:r>
      <w:r w:rsidR="000919EC" w:rsidRPr="008E5DD0">
        <w:rPr>
          <w:lang w:val="es-419"/>
        </w:rPr>
        <w:t xml:space="preserve">para utilizar </w:t>
      </w:r>
      <w:r w:rsidR="00983BA4" w:rsidRPr="008E5DD0">
        <w:rPr>
          <w:lang w:val="es-419"/>
        </w:rPr>
        <w:t xml:space="preserve">la terminología </w:t>
      </w:r>
      <w:r w:rsidR="00A62102" w:rsidRPr="008E5DD0">
        <w:rPr>
          <w:lang w:val="es-419"/>
        </w:rPr>
        <w:t>del artículo 7</w:t>
      </w:r>
      <w:r w:rsidR="00796DE7" w:rsidRPr="008E5DD0">
        <w:rPr>
          <w:lang w:val="es-419"/>
        </w:rPr>
        <w:t xml:space="preserve"> </w:t>
      </w:r>
      <w:r w:rsidR="00A62102" w:rsidRPr="008E5DD0">
        <w:rPr>
          <w:lang w:val="es-419"/>
        </w:rPr>
        <w:t>de la</w:t>
      </w:r>
      <w:r w:rsidR="00983BA4" w:rsidRPr="008E5DD0">
        <w:rPr>
          <w:lang w:val="es-419"/>
        </w:rPr>
        <w:t xml:space="preserve"> Ley </w:t>
      </w:r>
      <w:r w:rsidR="00C06688" w:rsidRPr="008E5DD0">
        <w:rPr>
          <w:lang w:val="es-419"/>
        </w:rPr>
        <w:t xml:space="preserve">2136 </w:t>
      </w:r>
      <w:r w:rsidR="00A62102" w:rsidRPr="008E5DD0">
        <w:rPr>
          <w:lang w:val="es-419"/>
        </w:rPr>
        <w:t xml:space="preserve">que establece las definiciones, principios y lineamientos para la reglamentación y orientación de la política integral migratoria del Estado Colombiano. </w:t>
      </w:r>
      <w:r w:rsidR="00F86E70" w:rsidRPr="008E5DD0">
        <w:rPr>
          <w:lang w:val="es-419"/>
        </w:rPr>
        <w:t>Sin embargo, c</w:t>
      </w:r>
      <w:r w:rsidR="008B2DD8" w:rsidRPr="008E5DD0">
        <w:rPr>
          <w:lang w:val="es-419"/>
        </w:rPr>
        <w:t xml:space="preserve">ontinuar diferenciando entre migración regular e irregular </w:t>
      </w:r>
      <w:r w:rsidR="00F847F4" w:rsidRPr="008E5DD0">
        <w:rPr>
          <w:lang w:val="es-419"/>
        </w:rPr>
        <w:t>limita el acceso a servicios públicos</w:t>
      </w:r>
      <w:r w:rsidR="00770CFD" w:rsidRPr="008E5DD0">
        <w:rPr>
          <w:lang w:val="es-419"/>
        </w:rPr>
        <w:t xml:space="preserve"> </w:t>
      </w:r>
      <w:r w:rsidR="000F6DB9" w:rsidRPr="008E5DD0">
        <w:rPr>
          <w:lang w:val="es-419"/>
        </w:rPr>
        <w:t xml:space="preserve">y la realización de los derechos contenidos en el Pacto </w:t>
      </w:r>
      <w:r w:rsidR="00FF737C">
        <w:rPr>
          <w:lang w:val="es-419"/>
        </w:rPr>
        <w:t xml:space="preserve">Internacional </w:t>
      </w:r>
      <w:r w:rsidR="000F6DB9" w:rsidRPr="008E5DD0">
        <w:rPr>
          <w:lang w:val="es-419"/>
        </w:rPr>
        <w:t xml:space="preserve">de Derechos Civiles y Políticos. </w:t>
      </w:r>
    </w:p>
    <w:p w14:paraId="2A25B60D" w14:textId="04EE7102" w:rsidR="002E20E0" w:rsidRPr="008E5DD0" w:rsidRDefault="000F6DB9" w:rsidP="00796DE7">
      <w:pPr>
        <w:jc w:val="both"/>
        <w:rPr>
          <w:lang w:val="es-419"/>
        </w:rPr>
      </w:pPr>
      <w:r w:rsidRPr="008E5DD0">
        <w:rPr>
          <w:lang w:val="es-419"/>
        </w:rPr>
        <w:t xml:space="preserve">Esperamos que esta información pueda contribuir </w:t>
      </w:r>
      <w:r w:rsidR="00887BF1" w:rsidRPr="008E5DD0">
        <w:rPr>
          <w:lang w:val="es-419"/>
        </w:rPr>
        <w:t xml:space="preserve">de forma constructiva </w:t>
      </w:r>
      <w:r w:rsidR="00274F07" w:rsidRPr="008E5DD0">
        <w:rPr>
          <w:lang w:val="es-419"/>
        </w:rPr>
        <w:t>a</w:t>
      </w:r>
      <w:r w:rsidRPr="008E5DD0">
        <w:rPr>
          <w:lang w:val="es-419"/>
        </w:rPr>
        <w:t xml:space="preserve"> preparar la lista de cuestiones para la revisión de</w:t>
      </w:r>
      <w:r w:rsidR="00796DE7" w:rsidRPr="008E5DD0">
        <w:rPr>
          <w:lang w:val="es-419"/>
        </w:rPr>
        <w:t>l cumplimiento de</w:t>
      </w:r>
      <w:r w:rsidR="00DC26B8" w:rsidRPr="008E5DD0">
        <w:rPr>
          <w:lang w:val="es-419"/>
        </w:rPr>
        <w:t xml:space="preserve"> las</w:t>
      </w:r>
      <w:r w:rsidR="00796DE7" w:rsidRPr="008E5DD0">
        <w:rPr>
          <w:lang w:val="es-419"/>
        </w:rPr>
        <w:t xml:space="preserve"> obligaciones </w:t>
      </w:r>
      <w:r w:rsidR="00DC26B8" w:rsidRPr="008E5DD0">
        <w:rPr>
          <w:lang w:val="es-419"/>
        </w:rPr>
        <w:t>eh derechos humanos d</w:t>
      </w:r>
      <w:r w:rsidR="00796DE7" w:rsidRPr="008E5DD0">
        <w:rPr>
          <w:lang w:val="es-419"/>
        </w:rPr>
        <w:t>e</w:t>
      </w:r>
      <w:r w:rsidRPr="008E5DD0">
        <w:rPr>
          <w:lang w:val="es-419"/>
        </w:rPr>
        <w:t xml:space="preserve"> Colombia</w:t>
      </w:r>
      <w:r w:rsidR="00887BF1" w:rsidRPr="008E5DD0">
        <w:rPr>
          <w:lang w:val="es-419"/>
        </w:rPr>
        <w:t>.</w:t>
      </w:r>
    </w:p>
    <w:p w14:paraId="60228D9C" w14:textId="4E7F58E5" w:rsidR="00AA0779" w:rsidRPr="008E5DD0" w:rsidRDefault="00AA0779" w:rsidP="00AA0779">
      <w:pPr>
        <w:rPr>
          <w:b/>
          <w:bCs/>
          <w:lang w:val="es-419"/>
        </w:rPr>
      </w:pPr>
      <w:r w:rsidRPr="008E5DD0">
        <w:rPr>
          <w:b/>
          <w:bCs/>
          <w:lang w:val="es-419"/>
        </w:rPr>
        <w:t>Art</w:t>
      </w:r>
      <w:r w:rsidR="00796DE7" w:rsidRPr="008E5DD0">
        <w:rPr>
          <w:b/>
          <w:bCs/>
          <w:lang w:val="es-419"/>
        </w:rPr>
        <w:t>í</w:t>
      </w:r>
      <w:r w:rsidRPr="008E5DD0">
        <w:rPr>
          <w:b/>
          <w:bCs/>
          <w:lang w:val="es-419"/>
        </w:rPr>
        <w:t>culo 2 sobre la adopción de medidas legislativas en relación con otras disposiciones del Pacto</w:t>
      </w:r>
      <w:r w:rsidR="00976CC2" w:rsidRPr="008E5DD0">
        <w:rPr>
          <w:b/>
          <w:bCs/>
          <w:lang w:val="es-419"/>
        </w:rPr>
        <w:t xml:space="preserve">, particularmente </w:t>
      </w:r>
      <w:r w:rsidR="00EF16D7" w:rsidRPr="008E5DD0">
        <w:rPr>
          <w:b/>
          <w:bCs/>
          <w:lang w:val="es-419"/>
        </w:rPr>
        <w:t xml:space="preserve">los </w:t>
      </w:r>
      <w:r w:rsidR="00976CC2" w:rsidRPr="008E5DD0">
        <w:rPr>
          <w:b/>
          <w:bCs/>
          <w:lang w:val="es-419"/>
        </w:rPr>
        <w:t>artículo</w:t>
      </w:r>
      <w:r w:rsidR="00EF16D7" w:rsidRPr="008E5DD0">
        <w:rPr>
          <w:b/>
          <w:bCs/>
          <w:lang w:val="es-419"/>
        </w:rPr>
        <w:t>s</w:t>
      </w:r>
      <w:r w:rsidR="00976CC2" w:rsidRPr="008E5DD0">
        <w:rPr>
          <w:b/>
          <w:bCs/>
          <w:lang w:val="es-419"/>
        </w:rPr>
        <w:t xml:space="preserve"> 7, 12, 13 y 20</w:t>
      </w:r>
      <w:r w:rsidR="00EF16D7" w:rsidRPr="008E5DD0">
        <w:rPr>
          <w:b/>
          <w:bCs/>
          <w:lang w:val="es-419"/>
        </w:rPr>
        <w:t>.</w:t>
      </w:r>
    </w:p>
    <w:p w14:paraId="09304DFB" w14:textId="6A3B4529" w:rsidR="00AA0779" w:rsidRPr="008E5DD0" w:rsidRDefault="35E64E75" w:rsidP="163E9818">
      <w:pPr>
        <w:snapToGrid w:val="0"/>
        <w:spacing w:before="100" w:beforeAutospacing="1" w:after="100" w:afterAutospacing="1" w:line="240" w:lineRule="auto"/>
        <w:jc w:val="both"/>
        <w:rPr>
          <w:rFonts w:ascii="Calibri" w:hAnsi="Calibri"/>
          <w:lang w:val="es-419"/>
        </w:rPr>
      </w:pPr>
      <w:r w:rsidRPr="008E5DD0">
        <w:rPr>
          <w:rFonts w:ascii="Calibri" w:hAnsi="Calibri"/>
          <w:lang w:val="es-419"/>
        </w:rPr>
        <w:t>El 4 de agosto de 2021, el Congreso de la República de Colombia expidió la Ley 2136</w:t>
      </w:r>
      <w:r w:rsidR="00AA0779" w:rsidRPr="008E5DD0">
        <w:rPr>
          <w:rFonts w:ascii="Calibri" w:hAnsi="Calibri"/>
          <w:vertAlign w:val="superscript"/>
          <w:lang w:val="es-419"/>
        </w:rPr>
        <w:footnoteReference w:id="2"/>
      </w:r>
      <w:r w:rsidRPr="008E5DD0">
        <w:rPr>
          <w:rFonts w:ascii="Calibri" w:hAnsi="Calibri"/>
          <w:lang w:val="es-419"/>
        </w:rPr>
        <w:t>, que establece los principios y lineamientos para la reglamentación y orientación de la Política Integral Migratoria del Estado Colombiano (PIM). Si bien las variaciones en los procedimientos de entrada en frontera y de protección internacional en esta norma son mínimas, lo que llama la atención es que las autoridades sigan incluyendo los mismos ejes, medidas y acciones administrativas contenidas en decretos previos que limitan las acciones de protección a las personas migrantes, a pesar de los casos, decisiones judiciales y estudios que muestran la necesidad de hacer variaciones sustanciales en la regulación. En particular, nos preocupan los siguientes aspectos de la mencionada ley:</w:t>
      </w:r>
    </w:p>
    <w:p w14:paraId="618B3DB3" w14:textId="77777777" w:rsidR="00AA0779" w:rsidRPr="008E5DD0" w:rsidRDefault="00AA0779" w:rsidP="00AA0779">
      <w:pPr>
        <w:numPr>
          <w:ilvl w:val="0"/>
          <w:numId w:val="3"/>
        </w:numPr>
        <w:snapToGrid w:val="0"/>
        <w:spacing w:before="100" w:beforeAutospacing="1" w:after="100" w:afterAutospacing="1" w:line="240" w:lineRule="auto"/>
        <w:jc w:val="both"/>
        <w:rPr>
          <w:rFonts w:ascii="Calibri" w:hAnsi="Calibri"/>
          <w:lang w:val="es-419"/>
        </w:rPr>
      </w:pPr>
      <w:r w:rsidRPr="008E5DD0">
        <w:rPr>
          <w:rFonts w:ascii="Calibri" w:hAnsi="Calibri"/>
          <w:lang w:val="es-419"/>
        </w:rPr>
        <w:t xml:space="preserve">El principal eje de la política es la seguridad y soberanía nacional que obedece a hacer frente a las organizaciones criminales dedicadas al tráfico ilícito de migrantes, trata de personas, entre otros. </w:t>
      </w:r>
    </w:p>
    <w:p w14:paraId="35CAED65" w14:textId="7ED934BF" w:rsidR="00AA0779" w:rsidRPr="008E5DD0" w:rsidRDefault="35E64E75" w:rsidP="0CA7B020">
      <w:pPr>
        <w:snapToGrid w:val="0"/>
        <w:spacing w:before="100" w:beforeAutospacing="1" w:after="100" w:afterAutospacing="1" w:line="240" w:lineRule="auto"/>
        <w:ind w:left="360"/>
        <w:jc w:val="both"/>
        <w:rPr>
          <w:rFonts w:ascii="Calibri" w:hAnsi="Calibri"/>
          <w:lang w:val="es-419"/>
        </w:rPr>
      </w:pPr>
      <w:r w:rsidRPr="008E5DD0">
        <w:rPr>
          <w:rFonts w:ascii="Calibri" w:hAnsi="Calibri"/>
          <w:lang w:val="es-419"/>
        </w:rPr>
        <w:t>Centrar la política migratoria en este eje da una mirada restrictiva y binaria que no está encaminada a garantizar el pleno respeto y garantía a los derechos humanos de las personas migrantes dentro de la política migratoria estatal, dejando en un segundo plano el enfoque de derechos. Con un agravante, este eje ha contribuido a generar acciones discriminatorias y xenofóbicas en el territorio nacional.</w:t>
      </w:r>
      <w:r w:rsidR="00AA0779" w:rsidRPr="008E5DD0">
        <w:rPr>
          <w:rFonts w:ascii="Calibri" w:hAnsi="Calibri"/>
          <w:vertAlign w:val="superscript"/>
          <w:lang w:val="es-419"/>
        </w:rPr>
        <w:footnoteReference w:id="3"/>
      </w:r>
      <w:r w:rsidRPr="008E5DD0">
        <w:rPr>
          <w:rFonts w:ascii="Calibri" w:hAnsi="Calibri"/>
          <w:lang w:val="es-419"/>
        </w:rPr>
        <w:t xml:space="preserve"> Incluso estas expresiones han sido hechas por autoridades estatales, como fue el caso de la Alcaldesa Mayor de Bogotá, Claudia López, </w:t>
      </w:r>
      <w:r w:rsidR="4EE62912" w:rsidRPr="008E5DD0">
        <w:rPr>
          <w:rFonts w:ascii="Calibri" w:hAnsi="Calibri"/>
          <w:lang w:val="es-419"/>
        </w:rPr>
        <w:t xml:space="preserve">quien </w:t>
      </w:r>
      <w:r w:rsidRPr="008E5DD0">
        <w:rPr>
          <w:rFonts w:ascii="Calibri" w:hAnsi="Calibri"/>
          <w:lang w:val="es-419"/>
        </w:rPr>
        <w:t>señaló en dos de sus declaraciones del primer semestre de 2021</w:t>
      </w:r>
      <w:r w:rsidR="00AA0779" w:rsidRPr="008E5DD0">
        <w:rPr>
          <w:rFonts w:ascii="Calibri" w:hAnsi="Calibri"/>
          <w:vertAlign w:val="superscript"/>
          <w:lang w:val="es-419"/>
        </w:rPr>
        <w:footnoteReference w:id="4"/>
      </w:r>
      <w:r w:rsidRPr="008E5DD0">
        <w:rPr>
          <w:rFonts w:ascii="Calibri" w:hAnsi="Calibri"/>
          <w:lang w:val="es-419"/>
        </w:rPr>
        <w:t xml:space="preserve"> refiriéndose a las personas migrantes, “...esta minoría de ciudadanos son un factor de inseguridad de gran magnitud para Bogotá”, “respetamos las políticas del Gobierno Nacional, pero a los migrantes venezolanos todo se les ofrece y a los </w:t>
      </w:r>
      <w:r w:rsidRPr="008E5DD0">
        <w:rPr>
          <w:rFonts w:ascii="Calibri" w:hAnsi="Calibri"/>
          <w:lang w:val="es-419"/>
        </w:rPr>
        <w:lastRenderedPageBreak/>
        <w:t>colombianos qué se les ofrece…”</w:t>
      </w:r>
      <w:r w:rsidR="00AA0779" w:rsidRPr="008E5DD0">
        <w:rPr>
          <w:rFonts w:ascii="Calibri" w:hAnsi="Calibri"/>
          <w:vertAlign w:val="superscript"/>
          <w:lang w:val="es-419"/>
        </w:rPr>
        <w:footnoteReference w:id="5"/>
      </w:r>
      <w:r w:rsidRPr="008E5DD0">
        <w:rPr>
          <w:rFonts w:ascii="Calibri" w:hAnsi="Calibri"/>
          <w:lang w:val="es-419"/>
        </w:rPr>
        <w:t>. Según la plataforma Barómetro de Xenofobia, tras estas afirmaciones, se incrementó en 347% el uso de palabras como “plaga”, “ratas” y “asesinos” para referirse a las personas de nacionalidad venezolana en Twitter, páginas web y medios de comunicación</w:t>
      </w:r>
      <w:r w:rsidR="00AA0779" w:rsidRPr="008E5DD0">
        <w:rPr>
          <w:rFonts w:ascii="Calibri" w:hAnsi="Calibri"/>
          <w:vertAlign w:val="superscript"/>
          <w:lang w:val="es-419"/>
        </w:rPr>
        <w:footnoteReference w:id="6"/>
      </w:r>
      <w:r w:rsidRPr="008E5DD0">
        <w:rPr>
          <w:rFonts w:ascii="Calibri" w:hAnsi="Calibri"/>
          <w:lang w:val="es-419"/>
        </w:rPr>
        <w:t>.</w:t>
      </w:r>
    </w:p>
    <w:p w14:paraId="0228FF1E" w14:textId="5FA7B2B0" w:rsidR="00796DE7" w:rsidRPr="008E5DD0" w:rsidRDefault="00AA0779" w:rsidP="00CD0966">
      <w:pPr>
        <w:numPr>
          <w:ilvl w:val="0"/>
          <w:numId w:val="3"/>
        </w:numPr>
        <w:snapToGrid w:val="0"/>
        <w:spacing w:after="0" w:line="240" w:lineRule="auto"/>
        <w:ind w:left="714" w:hanging="357"/>
        <w:jc w:val="both"/>
        <w:rPr>
          <w:rFonts w:ascii="Calibri" w:hAnsi="Calibri"/>
          <w:lang w:val="es-419"/>
        </w:rPr>
      </w:pPr>
      <w:r w:rsidRPr="008E5DD0">
        <w:rPr>
          <w:rFonts w:ascii="Calibri" w:hAnsi="Calibri"/>
          <w:lang w:val="es-419"/>
        </w:rPr>
        <w:t>Las definiciones de deportación y expulsión que aparecen en los numerales 9 y 10 del artículo 7 son muy amplias. En particular, no delimitan las expresiones “incurrido en situación de permanencia irregular migratoria en los términos previstos en la Ley” o, “cuando ha incurrido en una o varias de las faltas contenidas en la Ley”. Esto da mucha discrecionalidad a las autoridades administrativas al momento de aplicar las normas y definir si deportan o expulsan a alguien del territorio.</w:t>
      </w:r>
    </w:p>
    <w:p w14:paraId="3F7EE7AC" w14:textId="77777777" w:rsidR="00CD0966" w:rsidRPr="008E5DD0" w:rsidRDefault="00CD0966" w:rsidP="00CD0966">
      <w:pPr>
        <w:snapToGrid w:val="0"/>
        <w:spacing w:after="0" w:line="240" w:lineRule="auto"/>
        <w:ind w:left="720"/>
        <w:jc w:val="both"/>
        <w:rPr>
          <w:rFonts w:ascii="Calibri" w:hAnsi="Calibri"/>
          <w:lang w:val="es-419"/>
        </w:rPr>
      </w:pPr>
    </w:p>
    <w:p w14:paraId="7AFB3FD8" w14:textId="77777777" w:rsidR="00AA0779" w:rsidRPr="008E5DD0" w:rsidRDefault="35E64E75" w:rsidP="00CD0966">
      <w:pPr>
        <w:numPr>
          <w:ilvl w:val="0"/>
          <w:numId w:val="3"/>
        </w:numPr>
        <w:snapToGrid w:val="0"/>
        <w:spacing w:after="0" w:line="240" w:lineRule="auto"/>
        <w:ind w:left="714" w:hanging="357"/>
        <w:jc w:val="both"/>
        <w:rPr>
          <w:rFonts w:ascii="Calibri" w:hAnsi="Calibri"/>
          <w:lang w:val="es-419"/>
        </w:rPr>
      </w:pPr>
      <w:r w:rsidRPr="008E5DD0">
        <w:rPr>
          <w:rFonts w:ascii="Calibri" w:hAnsi="Calibri"/>
          <w:lang w:val="es-419"/>
        </w:rPr>
        <w:t>La Unidad Administrativa Especial Migración Colombia, siendo un órgano civil de seguridad, concentra funciones para controlar</w:t>
      </w:r>
      <w:r w:rsidR="00AA0779" w:rsidRPr="008E5DD0">
        <w:rPr>
          <w:rFonts w:ascii="Calibri" w:hAnsi="Calibri"/>
          <w:vertAlign w:val="superscript"/>
          <w:lang w:val="es-419"/>
        </w:rPr>
        <w:footnoteReference w:id="7"/>
      </w:r>
      <w:r w:rsidRPr="008E5DD0">
        <w:rPr>
          <w:rFonts w:ascii="Calibri" w:hAnsi="Calibri"/>
          <w:lang w:val="es-419"/>
        </w:rPr>
        <w:t>, vigilar, gestionar</w:t>
      </w:r>
      <w:r w:rsidR="00AA0779" w:rsidRPr="008E5DD0">
        <w:rPr>
          <w:rFonts w:ascii="Calibri" w:hAnsi="Calibri"/>
          <w:vertAlign w:val="superscript"/>
          <w:lang w:val="es-419"/>
        </w:rPr>
        <w:footnoteReference w:id="8"/>
      </w:r>
      <w:r w:rsidRPr="008E5DD0">
        <w:rPr>
          <w:rFonts w:ascii="Calibri" w:hAnsi="Calibri"/>
          <w:lang w:val="es-419"/>
        </w:rPr>
        <w:t xml:space="preserve"> la política migratoria</w:t>
      </w:r>
      <w:r w:rsidR="00AA0779" w:rsidRPr="008E5DD0">
        <w:rPr>
          <w:rFonts w:ascii="Calibri" w:hAnsi="Calibri"/>
          <w:vertAlign w:val="superscript"/>
          <w:lang w:val="es-419"/>
        </w:rPr>
        <w:footnoteReference w:id="9"/>
      </w:r>
      <w:r w:rsidRPr="008E5DD0">
        <w:rPr>
          <w:rFonts w:ascii="Calibri" w:hAnsi="Calibri"/>
          <w:lang w:val="es-419"/>
        </w:rPr>
        <w:t>. Esto puede generar excesos no solo en la definición de los procesos de admisión, regularización o deportación, sino también en la aplicación de las normas. Muestra de ello es el caso de noviembre de 2019 que ocurrió durante el Paro Nacional, cuando Migración Colombia expulsó a 59 personas de nacionalidad venezolana del territorio, al considerar que habían participado en hechos vandálicos en las protestas que tuvieron lugar en Bogotá</w:t>
      </w:r>
      <w:r w:rsidR="00AA0779" w:rsidRPr="008E5DD0">
        <w:rPr>
          <w:rFonts w:ascii="Calibri" w:hAnsi="Calibri"/>
          <w:vertAlign w:val="superscript"/>
          <w:lang w:val="es-419"/>
        </w:rPr>
        <w:footnoteReference w:id="10"/>
      </w:r>
      <w:r w:rsidRPr="008E5DD0">
        <w:rPr>
          <w:rFonts w:ascii="Calibri" w:hAnsi="Calibri"/>
          <w:lang w:val="es-419"/>
        </w:rPr>
        <w:t>.</w:t>
      </w:r>
    </w:p>
    <w:p w14:paraId="13CD389C" w14:textId="77777777" w:rsidR="00AA0779" w:rsidRPr="008E5DD0" w:rsidRDefault="35E64E75" w:rsidP="00AA0779">
      <w:pPr>
        <w:snapToGrid w:val="0"/>
        <w:spacing w:before="100" w:beforeAutospacing="1" w:after="100" w:afterAutospacing="1" w:line="240" w:lineRule="auto"/>
        <w:ind w:left="720"/>
        <w:jc w:val="both"/>
        <w:rPr>
          <w:rFonts w:ascii="Calibri" w:hAnsi="Calibri"/>
          <w:lang w:val="es-419"/>
        </w:rPr>
      </w:pPr>
      <w:r w:rsidRPr="008E5DD0">
        <w:rPr>
          <w:rFonts w:ascii="Calibri" w:hAnsi="Calibri"/>
          <w:lang w:val="es-419"/>
        </w:rPr>
        <w:t>La Corte Constitucional de Colombia tuvo conocimiento de este caso y en la decisión SU-397-2021 del 19 de noviembre de 2021 expresó que las actuaciones de la Policía Metropolitana de Bogotá y la Unidad Administrativa Especial Migración Colombia desconocieron el debido proceso porque: la privación de la libertad fue arbitraria, hubo una expulsión colectiva de migrantes, no fueron motivados los actos administrativos y la actuación fue desproporcionada al dejar en medio del río Orinoco a estas personas</w:t>
      </w:r>
      <w:r w:rsidR="00AA0779" w:rsidRPr="008E5DD0">
        <w:rPr>
          <w:rFonts w:ascii="Calibri" w:hAnsi="Calibri"/>
          <w:vertAlign w:val="superscript"/>
          <w:lang w:val="es-419"/>
        </w:rPr>
        <w:footnoteReference w:id="11"/>
      </w:r>
      <w:r w:rsidRPr="008E5DD0">
        <w:rPr>
          <w:rFonts w:ascii="Calibri" w:hAnsi="Calibri"/>
          <w:lang w:val="es-419"/>
        </w:rPr>
        <w:t>.</w:t>
      </w:r>
    </w:p>
    <w:p w14:paraId="430164F4" w14:textId="207545A9" w:rsidR="00AA0779" w:rsidRPr="008E5DD0" w:rsidRDefault="35E64E75" w:rsidP="00CD0966">
      <w:pPr>
        <w:snapToGrid w:val="0"/>
        <w:spacing w:after="0" w:line="240" w:lineRule="auto"/>
        <w:ind w:left="720"/>
        <w:jc w:val="both"/>
        <w:rPr>
          <w:rFonts w:ascii="Calibri" w:hAnsi="Calibri"/>
          <w:lang w:val="es-419"/>
        </w:rPr>
      </w:pPr>
      <w:r w:rsidRPr="008E5DD0">
        <w:rPr>
          <w:rFonts w:ascii="Calibri" w:hAnsi="Calibri"/>
          <w:lang w:val="es-419"/>
        </w:rPr>
        <w:lastRenderedPageBreak/>
        <w:t>Adicionalmente, puede suceder que haya una insuficiente capacidad de los servicios migratorios para la demanda existente</w:t>
      </w:r>
      <w:r w:rsidR="00AA0779" w:rsidRPr="008E5DD0">
        <w:rPr>
          <w:rFonts w:ascii="Calibri" w:hAnsi="Calibri"/>
          <w:vertAlign w:val="superscript"/>
          <w:lang w:val="es-419"/>
        </w:rPr>
        <w:footnoteReference w:id="12"/>
      </w:r>
      <w:r w:rsidRPr="008E5DD0">
        <w:rPr>
          <w:rFonts w:ascii="Calibri" w:hAnsi="Calibri"/>
          <w:lang w:val="es-419"/>
        </w:rPr>
        <w:t>. Finalmente, esta concentración de funciones impide la independencia, imparcialidad y neutralidad en la revisión de una actuación previa, desconociendo el derecho de doble instancia, defensa y contradicción de las personas migrantes.</w:t>
      </w:r>
    </w:p>
    <w:p w14:paraId="4DFE1D90" w14:textId="77777777" w:rsidR="00CD0966" w:rsidRPr="008E5DD0" w:rsidRDefault="00CD0966" w:rsidP="00CD0966">
      <w:pPr>
        <w:snapToGrid w:val="0"/>
        <w:spacing w:after="0" w:line="240" w:lineRule="auto"/>
        <w:ind w:left="720"/>
        <w:jc w:val="both"/>
        <w:rPr>
          <w:rFonts w:ascii="Calibri" w:hAnsi="Calibri"/>
          <w:lang w:val="es-419"/>
        </w:rPr>
      </w:pPr>
    </w:p>
    <w:p w14:paraId="278ACBE5" w14:textId="09EC2E84" w:rsidR="00AA0779" w:rsidRPr="008E5DD0" w:rsidRDefault="35E64E75" w:rsidP="00CD0966">
      <w:pPr>
        <w:numPr>
          <w:ilvl w:val="0"/>
          <w:numId w:val="3"/>
        </w:numPr>
        <w:snapToGrid w:val="0"/>
        <w:spacing w:after="0" w:line="240" w:lineRule="auto"/>
        <w:ind w:left="714" w:hanging="357"/>
        <w:jc w:val="both"/>
        <w:rPr>
          <w:rFonts w:ascii="Calibri" w:hAnsi="Calibri"/>
          <w:lang w:val="es-419"/>
        </w:rPr>
      </w:pPr>
      <w:r w:rsidRPr="008E5DD0">
        <w:rPr>
          <w:rFonts w:ascii="Calibri" w:hAnsi="Calibri"/>
          <w:lang w:val="es-419"/>
        </w:rPr>
        <w:t xml:space="preserve">Se contempla que el Director de la Unidad Administrativa Especial Migración Colombia podrá </w:t>
      </w:r>
      <w:r w:rsidRPr="008E5DD0">
        <w:rPr>
          <w:rFonts w:ascii="Calibri" w:hAnsi="Calibri"/>
          <w:i/>
          <w:iCs/>
          <w:lang w:val="es-419"/>
        </w:rPr>
        <w:t>autorizar de manera temporal a la Fuerza Pública [...] la función de control migratorio, únicamente en aquellos lugares en los cuales la Entidad no cuenta con Direcciones Regionales</w:t>
      </w:r>
      <w:r w:rsidR="00AA0779" w:rsidRPr="008E5DD0">
        <w:rPr>
          <w:rFonts w:ascii="Calibri" w:hAnsi="Calibri"/>
          <w:vertAlign w:val="superscript"/>
          <w:lang w:val="es-419"/>
        </w:rPr>
        <w:footnoteReference w:id="13"/>
      </w:r>
      <w:r w:rsidRPr="008E5DD0">
        <w:rPr>
          <w:rFonts w:ascii="Calibri" w:hAnsi="Calibri"/>
          <w:lang w:val="es-419"/>
        </w:rPr>
        <w:t>. Esto es problemático porque podría llevar a la militarización del control migratorio, pues el objetivo de la fuerza pública es: ‘</w:t>
      </w:r>
      <w:r w:rsidRPr="008E5DD0">
        <w:rPr>
          <w:rFonts w:ascii="Calibri" w:hAnsi="Calibri"/>
          <w:highlight w:val="white"/>
          <w:lang w:val="es-419"/>
        </w:rPr>
        <w:t>defender la independencia nacional y las instituciones públicas’</w:t>
      </w:r>
      <w:r w:rsidR="00AA0779" w:rsidRPr="008E5DD0">
        <w:rPr>
          <w:rFonts w:ascii="Calibri" w:hAnsi="Calibri"/>
          <w:highlight w:val="white"/>
          <w:vertAlign w:val="superscript"/>
          <w:lang w:val="es-419"/>
        </w:rPr>
        <w:footnoteReference w:id="14"/>
      </w:r>
      <w:r w:rsidRPr="008E5DD0">
        <w:rPr>
          <w:rFonts w:ascii="Calibri" w:hAnsi="Calibri"/>
          <w:highlight w:val="white"/>
          <w:lang w:val="es-419"/>
        </w:rPr>
        <w:t>. Dicha finalidadpuede estar en conflicto con los presupuestos que tienen los procesos de control migratorio, porque ‘los militares no están capacitados para realizar esto último, las evidencias muestran que hacen uso excesivo de la fuerza’</w:t>
      </w:r>
      <w:r w:rsidR="00AA0779" w:rsidRPr="008E5DD0">
        <w:rPr>
          <w:rFonts w:ascii="Calibri" w:hAnsi="Calibri"/>
          <w:highlight w:val="white"/>
          <w:vertAlign w:val="superscript"/>
          <w:lang w:val="es-419"/>
        </w:rPr>
        <w:footnoteReference w:id="15"/>
      </w:r>
      <w:r w:rsidRPr="008E5DD0">
        <w:rPr>
          <w:rFonts w:ascii="Calibri" w:hAnsi="Calibri"/>
          <w:highlight w:val="white"/>
          <w:lang w:val="es-419"/>
        </w:rPr>
        <w:t>.</w:t>
      </w:r>
    </w:p>
    <w:p w14:paraId="5C397DCC" w14:textId="77777777" w:rsidR="00796DE7" w:rsidRPr="008E5DD0" w:rsidRDefault="00796DE7" w:rsidP="00CD0966">
      <w:pPr>
        <w:snapToGrid w:val="0"/>
        <w:spacing w:after="0" w:line="240" w:lineRule="auto"/>
        <w:ind w:left="720"/>
        <w:jc w:val="both"/>
        <w:rPr>
          <w:rFonts w:ascii="Calibri" w:hAnsi="Calibri"/>
          <w:lang w:val="es-419"/>
        </w:rPr>
      </w:pPr>
    </w:p>
    <w:p w14:paraId="12BCCF36" w14:textId="44C14356" w:rsidR="00AA0779" w:rsidRPr="008E5DD0" w:rsidRDefault="35E64E75" w:rsidP="00CD0966">
      <w:pPr>
        <w:numPr>
          <w:ilvl w:val="0"/>
          <w:numId w:val="3"/>
        </w:numPr>
        <w:snapToGrid w:val="0"/>
        <w:spacing w:after="0" w:line="240" w:lineRule="auto"/>
        <w:ind w:left="714" w:hanging="357"/>
        <w:jc w:val="both"/>
        <w:rPr>
          <w:rFonts w:ascii="Calibri" w:hAnsi="Calibri"/>
          <w:lang w:val="es-419"/>
        </w:rPr>
      </w:pPr>
      <w:r w:rsidRPr="008E5DD0">
        <w:rPr>
          <w:rFonts w:ascii="Calibri" w:hAnsi="Calibri"/>
          <w:lang w:val="es-419"/>
        </w:rPr>
        <w:t xml:space="preserve">Por otra parte, la Unidad Administrativa Especial Migración Colombia puede “negar el ingreso al país a un ciudadano extranjero de acuerdo con las causales que determinen las normas vigentes, </w:t>
      </w:r>
      <w:r w:rsidRPr="008E5DD0">
        <w:rPr>
          <w:rFonts w:ascii="Calibri" w:hAnsi="Calibri"/>
          <w:i/>
          <w:iCs/>
          <w:lang w:val="es-419"/>
        </w:rPr>
        <w:t>ordenando su inmediato retorno al país de embarque, de origen o a un tercer país que lo admita. Contra esta decisión no proceden recursos</w:t>
      </w:r>
      <w:r w:rsidRPr="008E5DD0">
        <w:rPr>
          <w:rFonts w:ascii="Calibri" w:hAnsi="Calibri"/>
          <w:lang w:val="es-419"/>
        </w:rPr>
        <w:t>”</w:t>
      </w:r>
      <w:r w:rsidR="00AA0779" w:rsidRPr="008E5DD0">
        <w:rPr>
          <w:rFonts w:ascii="Calibri" w:hAnsi="Calibri"/>
          <w:vertAlign w:val="superscript"/>
          <w:lang w:val="es-419"/>
        </w:rPr>
        <w:footnoteReference w:id="16"/>
      </w:r>
      <w:r w:rsidRPr="008E5DD0">
        <w:rPr>
          <w:rFonts w:ascii="Calibri" w:hAnsi="Calibri"/>
          <w:lang w:val="es-419"/>
        </w:rPr>
        <w:t>. Esta disposición permite expresamente el rechazo en frontera, desconociendo el derecho de toda persona a solicitar y recibir asilo y las obligaciones del Estado colombiano en materia de no-devolución. Asimismo, expresamente niega el debido proceso a las personas migrantes ante violaciones de estos derechos. La autoridad administrativa puede incurrir en actuaciones arbitrarias, al no contemplar la posibilidad de acudir a otro funcionario para la revisión o ajuste de su decisión</w:t>
      </w:r>
      <w:r w:rsidR="00AA0779" w:rsidRPr="008E5DD0">
        <w:rPr>
          <w:rFonts w:ascii="Calibri" w:hAnsi="Calibri"/>
          <w:vertAlign w:val="superscript"/>
          <w:lang w:val="es-419"/>
        </w:rPr>
        <w:footnoteReference w:id="17"/>
      </w:r>
      <w:r w:rsidRPr="008E5DD0">
        <w:rPr>
          <w:rFonts w:ascii="Calibri" w:hAnsi="Calibri"/>
          <w:lang w:val="es-419"/>
        </w:rPr>
        <w:t>.</w:t>
      </w:r>
    </w:p>
    <w:p w14:paraId="7065F4E0" w14:textId="71A244EA" w:rsidR="00AA0779" w:rsidRPr="008E5DD0" w:rsidRDefault="35E64E75" w:rsidP="00AA0779">
      <w:pPr>
        <w:snapToGrid w:val="0"/>
        <w:spacing w:before="100" w:beforeAutospacing="1" w:after="100" w:afterAutospacing="1" w:line="240" w:lineRule="auto"/>
        <w:ind w:left="720"/>
        <w:jc w:val="both"/>
        <w:rPr>
          <w:rFonts w:ascii="Calibri" w:hAnsi="Calibri"/>
          <w:lang w:val="es-419"/>
        </w:rPr>
      </w:pPr>
      <w:r w:rsidRPr="008E5DD0">
        <w:rPr>
          <w:rFonts w:ascii="Calibri" w:hAnsi="Calibri"/>
          <w:lang w:val="es-419"/>
        </w:rPr>
        <w:t xml:space="preserve">Siguiendo las cifras de </w:t>
      </w:r>
      <w:r w:rsidR="0024638D" w:rsidRPr="008E5DD0">
        <w:rPr>
          <w:rFonts w:ascii="Calibri" w:hAnsi="Calibri"/>
          <w:lang w:val="es-419"/>
        </w:rPr>
        <w:t>Migración</w:t>
      </w:r>
      <w:r w:rsidRPr="008E5DD0">
        <w:rPr>
          <w:rFonts w:ascii="Calibri" w:hAnsi="Calibri"/>
          <w:lang w:val="es-419"/>
        </w:rPr>
        <w:t xml:space="preserve"> Colombia, las "expulsiones discrecionales” pasaron en 2015 de representar el 16% del total de las expulsiones al 94% en 2020. En otras palabras, en ese periodo de tiempo las expulsiones discrecionales aumentaron en un 728% pasando de ser 190 en 2015 a 1573 en 2020”</w:t>
      </w:r>
      <w:r w:rsidR="00AA0779" w:rsidRPr="008E5DD0">
        <w:rPr>
          <w:rFonts w:ascii="Calibri" w:hAnsi="Calibri"/>
          <w:vertAlign w:val="superscript"/>
          <w:lang w:val="es-419"/>
        </w:rPr>
        <w:footnoteReference w:id="18"/>
      </w:r>
      <w:r w:rsidRPr="008E5DD0">
        <w:rPr>
          <w:rFonts w:ascii="Calibri" w:hAnsi="Calibri"/>
          <w:lang w:val="es-419"/>
        </w:rPr>
        <w:t>.</w:t>
      </w:r>
    </w:p>
    <w:p w14:paraId="1270204D" w14:textId="77777777" w:rsidR="00AA0779" w:rsidRPr="008E5DD0" w:rsidRDefault="00AA0779" w:rsidP="00AA0779">
      <w:pPr>
        <w:numPr>
          <w:ilvl w:val="0"/>
          <w:numId w:val="3"/>
        </w:numPr>
        <w:snapToGrid w:val="0"/>
        <w:spacing w:before="100" w:beforeAutospacing="1" w:after="100" w:afterAutospacing="1" w:line="240" w:lineRule="auto"/>
        <w:jc w:val="both"/>
        <w:rPr>
          <w:rFonts w:ascii="Calibri" w:hAnsi="Calibri"/>
          <w:lang w:val="es-419"/>
        </w:rPr>
      </w:pPr>
      <w:r w:rsidRPr="008E5DD0">
        <w:rPr>
          <w:rFonts w:ascii="Calibri" w:hAnsi="Calibri"/>
          <w:lang w:val="es-419"/>
        </w:rPr>
        <w:lastRenderedPageBreak/>
        <w:t>Para la protección internacional de extranjeros, la Ley 2136 de 2021 confirma la aplicación del procedimiento contemplado en el Decreto 1067 de 2015, el cual tiene las siguientes limitaciones:</w:t>
      </w:r>
    </w:p>
    <w:p w14:paraId="7293E53D" w14:textId="77777777" w:rsidR="00AA0779" w:rsidRPr="008E5DD0" w:rsidRDefault="003C5050" w:rsidP="00AA0779">
      <w:pPr>
        <w:numPr>
          <w:ilvl w:val="0"/>
          <w:numId w:val="2"/>
        </w:numPr>
        <w:snapToGrid w:val="0"/>
        <w:spacing w:before="100" w:beforeAutospacing="1" w:after="100" w:afterAutospacing="1" w:line="240" w:lineRule="auto"/>
        <w:jc w:val="both"/>
        <w:rPr>
          <w:rFonts w:ascii="Calibri" w:hAnsi="Calibri"/>
          <w:lang w:val="es-419"/>
        </w:rPr>
      </w:pPr>
      <w:hyperlink r:id="rId11">
        <w:r w:rsidR="35E64E75" w:rsidRPr="008E5DD0">
          <w:rPr>
            <w:rFonts w:ascii="Calibri" w:hAnsi="Calibri"/>
            <w:highlight w:val="white"/>
            <w:lang w:val="es-419"/>
          </w:rPr>
          <w:t>Un solicitante puede pasar más de dos años esperando a que le den respuesta para saber si es un refugiado o no.</w:t>
        </w:r>
      </w:hyperlink>
      <w:r w:rsidR="35E64E75" w:rsidRPr="008E5DD0">
        <w:rPr>
          <w:rFonts w:ascii="Calibri" w:hAnsi="Calibri"/>
          <w:lang w:val="es-419"/>
        </w:rPr>
        <w:t xml:space="preserve"> Aunque, según la norma, solo se requiere la admisión de la solicitud, la cita a entrevista y la respuesta</w:t>
      </w:r>
      <w:r w:rsidR="00AA0779" w:rsidRPr="008E5DD0">
        <w:rPr>
          <w:rFonts w:ascii="Calibri" w:hAnsi="Calibri"/>
          <w:vertAlign w:val="superscript"/>
          <w:lang w:val="es-419"/>
        </w:rPr>
        <w:footnoteReference w:id="19"/>
      </w:r>
      <w:r w:rsidR="35E64E75" w:rsidRPr="008E5DD0">
        <w:rPr>
          <w:rFonts w:ascii="Calibri" w:hAnsi="Calibri"/>
          <w:lang w:val="es-419"/>
        </w:rPr>
        <w:t xml:space="preserve">. </w:t>
      </w:r>
    </w:p>
    <w:p w14:paraId="3E871AF9" w14:textId="752AA8C4" w:rsidR="00AA0779" w:rsidRPr="008E5DD0" w:rsidRDefault="00AA0779" w:rsidP="00415936">
      <w:pPr>
        <w:numPr>
          <w:ilvl w:val="0"/>
          <w:numId w:val="2"/>
        </w:numPr>
        <w:snapToGrid w:val="0"/>
        <w:spacing w:before="100" w:beforeAutospacing="1" w:after="100" w:afterAutospacing="1" w:line="240" w:lineRule="auto"/>
        <w:jc w:val="both"/>
        <w:rPr>
          <w:rFonts w:ascii="Calibri" w:hAnsi="Calibri"/>
          <w:lang w:val="es-419"/>
        </w:rPr>
      </w:pPr>
      <w:r w:rsidRPr="008E5DD0">
        <w:rPr>
          <w:rFonts w:ascii="Calibri" w:hAnsi="Calibri"/>
          <w:lang w:val="es-419"/>
        </w:rPr>
        <w:t>Las autoridades en las fronteras no informan a las personas migrantes que</w:t>
      </w:r>
      <w:r w:rsidRPr="008E5DD0">
        <w:rPr>
          <w:rFonts w:ascii="Calibri" w:hAnsi="Calibri"/>
          <w:highlight w:val="white"/>
          <w:lang w:val="es-419"/>
        </w:rPr>
        <w:t xml:space="preserve"> pueden solicitar la condición de refugiado, por lo que la mayoría radica su caso </w:t>
      </w:r>
      <w:r w:rsidR="00DA77C3" w:rsidRPr="008E5DD0">
        <w:rPr>
          <w:rFonts w:ascii="Calibri" w:hAnsi="Calibri"/>
          <w:highlight w:val="white"/>
          <w:lang w:val="es-419"/>
        </w:rPr>
        <w:t>después de</w:t>
      </w:r>
      <w:r w:rsidRPr="008E5DD0">
        <w:rPr>
          <w:rFonts w:ascii="Calibri" w:hAnsi="Calibri"/>
          <w:highlight w:val="white"/>
          <w:lang w:val="es-419"/>
        </w:rPr>
        <w:t xml:space="preserve"> los dos meses de haber ingresado al país</w:t>
      </w:r>
      <w:r w:rsidRPr="008E5DD0">
        <w:rPr>
          <w:rFonts w:ascii="Calibri" w:hAnsi="Calibri"/>
          <w:highlight w:val="white"/>
          <w:vertAlign w:val="superscript"/>
          <w:lang w:val="es-419"/>
        </w:rPr>
        <w:footnoteReference w:id="20"/>
      </w:r>
      <w:r w:rsidRPr="008E5DD0">
        <w:rPr>
          <w:rFonts w:ascii="Calibri" w:hAnsi="Calibri"/>
          <w:highlight w:val="white"/>
          <w:lang w:val="es-419"/>
        </w:rPr>
        <w:t>.</w:t>
      </w:r>
      <w:r w:rsidRPr="008E5DD0">
        <w:rPr>
          <w:rFonts w:ascii="Calibri" w:hAnsi="Calibri"/>
          <w:lang w:val="es-419"/>
        </w:rPr>
        <w:t xml:space="preserve"> </w:t>
      </w:r>
    </w:p>
    <w:p w14:paraId="1511964D" w14:textId="06D89A20" w:rsidR="00153E8F" w:rsidRPr="008E5DD0" w:rsidRDefault="0386A7EC" w:rsidP="4EE62912">
      <w:pPr>
        <w:snapToGrid w:val="0"/>
        <w:spacing w:before="100" w:beforeAutospacing="1" w:after="100" w:afterAutospacing="1" w:line="240" w:lineRule="auto"/>
        <w:jc w:val="both"/>
        <w:rPr>
          <w:rFonts w:ascii="Calibri" w:hAnsi="Calibri"/>
          <w:lang w:val="es-419"/>
        </w:rPr>
      </w:pPr>
      <w:r w:rsidRPr="008E5DD0">
        <w:rPr>
          <w:rFonts w:ascii="Calibri" w:hAnsi="Calibri"/>
          <w:lang w:val="es-419"/>
        </w:rPr>
        <w:t>Existen procesos de regularización particulares vigentes para la población proveniente de Venezuela, dentro de los que se incluyen: Permiso Especial de Permanencia (PEP),</w:t>
      </w:r>
      <w:r w:rsidR="00153E8F" w:rsidRPr="008E5DD0">
        <w:rPr>
          <w:vertAlign w:val="superscript"/>
          <w:lang w:val="es-419"/>
        </w:rPr>
        <w:footnoteReference w:id="21"/>
      </w:r>
      <w:r w:rsidRPr="008E5DD0">
        <w:rPr>
          <w:rFonts w:ascii="Calibri" w:hAnsi="Calibri"/>
          <w:b/>
          <w:bCs/>
          <w:i/>
          <w:iCs/>
          <w:lang w:val="es-419"/>
        </w:rPr>
        <w:t xml:space="preserve"> </w:t>
      </w:r>
      <w:r w:rsidRPr="008E5DD0">
        <w:rPr>
          <w:rFonts w:ascii="Calibri" w:hAnsi="Calibri"/>
          <w:lang w:val="es-419"/>
        </w:rPr>
        <w:t xml:space="preserve">Permiso Especial de Permanencia para el Fomento de la Formalización (PEPFF) y el Estatuto Temporal </w:t>
      </w:r>
      <w:r w:rsidRPr="008E5DD0">
        <w:rPr>
          <w:rFonts w:ascii="Calibri" w:hAnsi="Calibri"/>
          <w:highlight w:val="white"/>
          <w:lang w:val="es-419"/>
        </w:rPr>
        <w:t>de Protección para Migrantes Venezolanos (ETPMV)</w:t>
      </w:r>
      <w:r w:rsidRPr="008E5DD0">
        <w:rPr>
          <w:rFonts w:ascii="Calibri" w:hAnsi="Calibri"/>
          <w:lang w:val="es-419"/>
        </w:rPr>
        <w:t>.</w:t>
      </w:r>
      <w:r w:rsidR="00153E8F" w:rsidRPr="008E5DD0">
        <w:rPr>
          <w:highlight w:val="white"/>
          <w:vertAlign w:val="superscript"/>
          <w:lang w:val="es-419"/>
        </w:rPr>
        <w:footnoteReference w:id="22"/>
      </w:r>
      <w:r w:rsidRPr="008E5DD0">
        <w:rPr>
          <w:rFonts w:ascii="Calibri" w:hAnsi="Calibri"/>
          <w:highlight w:val="white"/>
          <w:lang w:val="es-419"/>
        </w:rPr>
        <w:t xml:space="preserve"> </w:t>
      </w:r>
      <w:r w:rsidRPr="008E5DD0">
        <w:rPr>
          <w:rFonts w:ascii="Calibri" w:hAnsi="Calibri"/>
          <w:lang w:val="es-419"/>
        </w:rPr>
        <w:t xml:space="preserve">El </w:t>
      </w:r>
      <w:r w:rsidRPr="008E5DD0">
        <w:rPr>
          <w:rFonts w:ascii="Calibri" w:hAnsi="Calibri"/>
          <w:highlight w:val="white"/>
          <w:lang w:val="es-419"/>
        </w:rPr>
        <w:t xml:space="preserve">ETPMV fue adoptado mediante el Decreto 216 de marzo de 2021. </w:t>
      </w:r>
      <w:r w:rsidR="003D4B38" w:rsidRPr="008E5DD0">
        <w:rPr>
          <w:rFonts w:ascii="Calibri" w:hAnsi="Calibri"/>
          <w:highlight w:val="white"/>
          <w:lang w:val="es-419"/>
        </w:rPr>
        <w:t>Es importante</w:t>
      </w:r>
      <w:r w:rsidRPr="008E5DD0">
        <w:rPr>
          <w:rFonts w:ascii="Calibri" w:hAnsi="Calibri"/>
          <w:highlight w:val="white"/>
          <w:lang w:val="es-419"/>
        </w:rPr>
        <w:t xml:space="preserve"> notar que esta protección solo aplica para las personas migrantes que estuvieran en situación irregular antes del 31 de enero de 2021. Adicionalmente, e</w:t>
      </w:r>
      <w:r w:rsidR="657F7DF4" w:rsidRPr="008E5DD0">
        <w:rPr>
          <w:rFonts w:ascii="Calibri" w:hAnsi="Calibri"/>
          <w:highlight w:val="white"/>
          <w:lang w:val="es-419"/>
        </w:rPr>
        <w:t>sta</w:t>
      </w:r>
      <w:r w:rsidRPr="008E5DD0">
        <w:rPr>
          <w:rFonts w:ascii="Calibri" w:hAnsi="Calibri"/>
          <w:highlight w:val="white"/>
          <w:lang w:val="es-419"/>
        </w:rPr>
        <w:t xml:space="preserve"> medida no contempla una protección reforzada a niños, niñas y adolescentes, o a la familia de quienes obtienen el estatus migratorio regular, pues la regularización es una solicitud tramitada de manera individual.</w:t>
      </w:r>
      <w:r w:rsidR="00153E8F" w:rsidRPr="008E5DD0">
        <w:rPr>
          <w:highlight w:val="white"/>
          <w:vertAlign w:val="superscript"/>
          <w:lang w:val="es-419"/>
        </w:rPr>
        <w:footnoteReference w:id="23"/>
      </w:r>
      <w:r w:rsidRPr="008E5DD0">
        <w:rPr>
          <w:rFonts w:ascii="Calibri" w:hAnsi="Calibri"/>
          <w:highlight w:val="white"/>
          <w:lang w:val="es-419"/>
        </w:rPr>
        <w:t xml:space="preserve"> </w:t>
      </w:r>
    </w:p>
    <w:p w14:paraId="5110CA77" w14:textId="46C9552D" w:rsidR="00DE5ABC" w:rsidRPr="008E5DD0" w:rsidRDefault="00865D21">
      <w:pPr>
        <w:rPr>
          <w:b/>
          <w:bCs/>
          <w:lang w:val="es-419"/>
        </w:rPr>
      </w:pPr>
      <w:r w:rsidRPr="008E5DD0">
        <w:rPr>
          <w:b/>
          <w:bCs/>
          <w:lang w:val="es-419"/>
        </w:rPr>
        <w:t>M</w:t>
      </w:r>
      <w:r w:rsidR="00805431" w:rsidRPr="008E5DD0">
        <w:rPr>
          <w:b/>
          <w:bCs/>
          <w:lang w:val="es-419"/>
        </w:rPr>
        <w:t>ilitarización</w:t>
      </w:r>
      <w:r w:rsidR="00BC6808" w:rsidRPr="008E5DD0">
        <w:rPr>
          <w:b/>
          <w:bCs/>
          <w:lang w:val="es-419"/>
        </w:rPr>
        <w:t>, uso de la fuerza y control fronterizo</w:t>
      </w:r>
      <w:r w:rsidR="00DE5ABC" w:rsidRPr="008E5DD0">
        <w:rPr>
          <w:b/>
          <w:bCs/>
          <w:lang w:val="es-419"/>
        </w:rPr>
        <w:t xml:space="preserve"> </w:t>
      </w:r>
      <w:r w:rsidR="00805431" w:rsidRPr="008E5DD0">
        <w:rPr>
          <w:b/>
          <w:bCs/>
          <w:lang w:val="es-419"/>
        </w:rPr>
        <w:t>(</w:t>
      </w:r>
      <w:r w:rsidR="00DA3F28" w:rsidRPr="008E5DD0">
        <w:rPr>
          <w:b/>
          <w:bCs/>
          <w:lang w:val="es-419"/>
        </w:rPr>
        <w:t>ar</w:t>
      </w:r>
      <w:r w:rsidR="003D4B38" w:rsidRPr="008E5DD0">
        <w:rPr>
          <w:b/>
          <w:bCs/>
          <w:lang w:val="es-419"/>
        </w:rPr>
        <w:t>tículos</w:t>
      </w:r>
      <w:r w:rsidR="00DA3F28" w:rsidRPr="008E5DD0">
        <w:rPr>
          <w:b/>
          <w:bCs/>
          <w:lang w:val="es-419"/>
        </w:rPr>
        <w:t xml:space="preserve"> 6, 7 </w:t>
      </w:r>
      <w:r w:rsidR="00C518CB" w:rsidRPr="008E5DD0">
        <w:rPr>
          <w:b/>
          <w:bCs/>
          <w:lang w:val="es-419"/>
        </w:rPr>
        <w:t>y</w:t>
      </w:r>
      <w:r w:rsidR="00DA3F28" w:rsidRPr="008E5DD0">
        <w:rPr>
          <w:b/>
          <w:bCs/>
          <w:lang w:val="es-419"/>
        </w:rPr>
        <w:t xml:space="preserve"> 9</w:t>
      </w:r>
      <w:r w:rsidR="00904CE4" w:rsidRPr="008E5DD0">
        <w:rPr>
          <w:b/>
          <w:bCs/>
          <w:lang w:val="es-419"/>
        </w:rPr>
        <w:t>)</w:t>
      </w:r>
    </w:p>
    <w:p w14:paraId="46069F9F" w14:textId="7CB3479A" w:rsidR="00DE5ABC" w:rsidRPr="008E5DD0" w:rsidRDefault="344F8BE3" w:rsidP="00DA77C3">
      <w:pPr>
        <w:jc w:val="both"/>
        <w:rPr>
          <w:rFonts w:ascii="Calibri" w:hAnsi="Calibri"/>
          <w:lang w:val="es-419"/>
        </w:rPr>
      </w:pPr>
      <w:r w:rsidRPr="008E5DD0">
        <w:rPr>
          <w:rFonts w:ascii="Calibri" w:hAnsi="Calibri"/>
          <w:lang w:val="es-419"/>
        </w:rPr>
        <w:t xml:space="preserve">Desde octubre de 2020 las fuerzas militares desplegaron </w:t>
      </w:r>
      <w:r w:rsidRPr="008E5DD0">
        <w:rPr>
          <w:rFonts w:ascii="Calibri" w:hAnsi="Calibri"/>
          <w:highlight w:val="white"/>
          <w:lang w:val="es-419"/>
        </w:rPr>
        <w:t xml:space="preserve">la “Operación Muralla” en la frontera colombo-venezolana para controlar el ingreso y salida de personas migrantes por las </w:t>
      </w:r>
      <w:r w:rsidR="7F88E956" w:rsidRPr="008E5DD0">
        <w:rPr>
          <w:rFonts w:ascii="Calibri" w:hAnsi="Calibri"/>
          <w:highlight w:val="white"/>
          <w:lang w:val="es-419"/>
        </w:rPr>
        <w:t>llamadas “</w:t>
      </w:r>
      <w:r w:rsidRPr="008E5DD0">
        <w:rPr>
          <w:rFonts w:ascii="Calibri" w:hAnsi="Calibri"/>
          <w:highlight w:val="white"/>
          <w:lang w:val="es-419"/>
        </w:rPr>
        <w:t>trochas</w:t>
      </w:r>
      <w:r w:rsidR="7F88E956" w:rsidRPr="008E5DD0">
        <w:rPr>
          <w:rFonts w:ascii="Calibri" w:hAnsi="Calibri"/>
          <w:highlight w:val="white"/>
          <w:lang w:val="es-419"/>
        </w:rPr>
        <w:t>”</w:t>
      </w:r>
      <w:r w:rsidR="16FCCE34" w:rsidRPr="008E5DD0">
        <w:rPr>
          <w:rFonts w:ascii="Calibri" w:hAnsi="Calibri"/>
          <w:highlight w:val="white"/>
          <w:lang w:val="es-419"/>
        </w:rPr>
        <w:t>.</w:t>
      </w:r>
      <w:r w:rsidR="003C7BBF" w:rsidRPr="008E5DD0">
        <w:rPr>
          <w:rStyle w:val="Refdenotaalpie"/>
          <w:rFonts w:ascii="Calibri" w:hAnsi="Calibri"/>
          <w:highlight w:val="white"/>
          <w:lang w:val="es-419"/>
        </w:rPr>
        <w:footnoteReference w:id="24"/>
      </w:r>
      <w:r w:rsidR="142B9EF7" w:rsidRPr="008E5DD0">
        <w:rPr>
          <w:rFonts w:ascii="Calibri" w:hAnsi="Calibri"/>
          <w:highlight w:val="white"/>
          <w:lang w:val="es-419"/>
        </w:rPr>
        <w:t xml:space="preserve"> </w:t>
      </w:r>
      <w:r w:rsidR="6C978D66" w:rsidRPr="008E5DD0">
        <w:rPr>
          <w:rFonts w:ascii="Calibri" w:hAnsi="Calibri"/>
          <w:highlight w:val="white"/>
          <w:lang w:val="es-419"/>
        </w:rPr>
        <w:t>Las trochas son pasos</w:t>
      </w:r>
      <w:r w:rsidR="75B5FF6D" w:rsidRPr="008E5DD0">
        <w:rPr>
          <w:rFonts w:ascii="Calibri" w:hAnsi="Calibri"/>
          <w:highlight w:val="white"/>
          <w:lang w:val="es-419"/>
        </w:rPr>
        <w:t xml:space="preserve"> y senderos clandestinos e irregulares </w:t>
      </w:r>
      <w:r w:rsidR="1C9593AB" w:rsidRPr="008E5DD0">
        <w:rPr>
          <w:rFonts w:ascii="Calibri" w:hAnsi="Calibri"/>
          <w:highlight w:val="white"/>
          <w:lang w:val="es-419"/>
        </w:rPr>
        <w:t>que en muchas ocasiones están controladas por grupos dedicados a actividades ilícitas.</w:t>
      </w:r>
      <w:r w:rsidR="006B0DD6" w:rsidRPr="008E5DD0">
        <w:rPr>
          <w:rStyle w:val="Refdenotaalpie"/>
          <w:rFonts w:ascii="Calibri" w:hAnsi="Calibri"/>
          <w:highlight w:val="white"/>
          <w:lang w:val="es-419"/>
        </w:rPr>
        <w:footnoteReference w:id="25"/>
      </w:r>
      <w:r w:rsidR="1EF30135" w:rsidRPr="008E5DD0">
        <w:rPr>
          <w:rFonts w:ascii="Calibri" w:hAnsi="Calibri"/>
          <w:highlight w:val="white"/>
          <w:lang w:val="es-419"/>
        </w:rPr>
        <w:t xml:space="preserve"> Sin embargo, la militarización</w:t>
      </w:r>
      <w:r w:rsidR="1EF30135" w:rsidRPr="008E5DD0">
        <w:rPr>
          <w:rFonts w:ascii="Calibri" w:hAnsi="Calibri"/>
          <w:lang w:val="es-419"/>
        </w:rPr>
        <w:t xml:space="preserve"> </w:t>
      </w:r>
      <w:r w:rsidR="07E911E2" w:rsidRPr="008E5DD0">
        <w:rPr>
          <w:rFonts w:ascii="Calibri" w:hAnsi="Calibri"/>
          <w:lang w:val="es-419"/>
        </w:rPr>
        <w:t xml:space="preserve">y los </w:t>
      </w:r>
      <w:r w:rsidR="07E911E2" w:rsidRPr="008E5DD0">
        <w:rPr>
          <w:rFonts w:ascii="Calibri" w:hAnsi="Calibri"/>
          <w:lang w:val="es-419"/>
        </w:rPr>
        <w:lastRenderedPageBreak/>
        <w:t>controles fronterizos en estas zonas</w:t>
      </w:r>
      <w:r w:rsidR="1EF30135" w:rsidRPr="008E5DD0">
        <w:rPr>
          <w:rFonts w:ascii="Calibri" w:hAnsi="Calibri"/>
          <w:lang w:val="es-419"/>
        </w:rPr>
        <w:t xml:space="preserve"> </w:t>
      </w:r>
      <w:r w:rsidRPr="008E5DD0">
        <w:rPr>
          <w:rFonts w:ascii="Calibri" w:hAnsi="Calibri"/>
          <w:highlight w:val="white"/>
          <w:lang w:val="es-419"/>
        </w:rPr>
        <w:t>‘incentivan el cruce fronterizo por pasos peligrosos, no autorizados, donde hay una alta probabilidad de ser víctima de delitos como hurto, secuestro, extorsión, tráfico de personas, violencia sexual, homicidio’</w:t>
      </w:r>
      <w:r w:rsidR="00A3034E" w:rsidRPr="008E5DD0">
        <w:rPr>
          <w:rFonts w:ascii="Calibri" w:hAnsi="Calibri"/>
          <w:highlight w:val="white"/>
          <w:vertAlign w:val="superscript"/>
          <w:lang w:val="es-419"/>
        </w:rPr>
        <w:footnoteReference w:id="26"/>
      </w:r>
      <w:r w:rsidRPr="008E5DD0">
        <w:rPr>
          <w:rFonts w:ascii="Calibri" w:hAnsi="Calibri"/>
          <w:highlight w:val="white"/>
          <w:lang w:val="es-419"/>
        </w:rPr>
        <w:t>.</w:t>
      </w:r>
    </w:p>
    <w:p w14:paraId="7455A6F6" w14:textId="63D94FC0" w:rsidR="000D7002" w:rsidRPr="008E5DD0" w:rsidRDefault="23914934" w:rsidP="4EE62912">
      <w:pPr>
        <w:snapToGrid w:val="0"/>
        <w:spacing w:before="100" w:beforeAutospacing="1" w:after="100" w:afterAutospacing="1" w:line="240" w:lineRule="auto"/>
        <w:jc w:val="both"/>
        <w:rPr>
          <w:rFonts w:ascii="Calibri" w:hAnsi="Calibri"/>
          <w:lang w:val="es-419"/>
        </w:rPr>
      </w:pPr>
      <w:r w:rsidRPr="008E5DD0">
        <w:rPr>
          <w:rFonts w:ascii="Calibri" w:hAnsi="Calibri"/>
          <w:lang w:val="es-419"/>
        </w:rPr>
        <w:t>La Defensoría del Pueblo publicó tres alertas tempranas a finales del año 2021</w:t>
      </w:r>
      <w:r w:rsidR="000D7002" w:rsidRPr="008E5DD0">
        <w:rPr>
          <w:rFonts w:ascii="Calibri" w:hAnsi="Calibri"/>
          <w:vertAlign w:val="superscript"/>
          <w:lang w:val="es-419"/>
        </w:rPr>
        <w:footnoteReference w:id="27"/>
      </w:r>
      <w:r w:rsidRPr="008E5DD0">
        <w:rPr>
          <w:rFonts w:ascii="Calibri" w:hAnsi="Calibri"/>
          <w:lang w:val="es-419"/>
        </w:rPr>
        <w:t xml:space="preserve">, advirtiendo el riesgo para la garantía de los derechos de la población migrante de nacionalidad venezolana presente en Arauca, Norte de Santander y Santander, por disputas territoriales entre grupos armados, presencia de estructuras criminales y violencia sociopolítica. En Arauca, en marzo de 2021, se incrementó la Fuerza Pública a raíz del desplazamiento masivo de 4,700 personas provenientes de Venezuela. A pesar de la militarización, </w:t>
      </w:r>
      <w:r w:rsidR="000D7002" w:rsidRPr="008E5DD0">
        <w:rPr>
          <w:rFonts w:ascii="Calibri" w:hAnsi="Calibri"/>
          <w:vertAlign w:val="superscript"/>
          <w:lang w:val="es-419"/>
        </w:rPr>
        <w:footnoteReference w:id="28"/>
      </w:r>
      <w:r w:rsidRPr="008E5DD0">
        <w:rPr>
          <w:rFonts w:ascii="Calibri" w:hAnsi="Calibri"/>
          <w:lang w:val="es-419"/>
        </w:rPr>
        <w:t xml:space="preserve"> la violencia </w:t>
      </w:r>
      <w:r w:rsidR="161FA7C3" w:rsidRPr="008E5DD0">
        <w:rPr>
          <w:rFonts w:ascii="Calibri" w:hAnsi="Calibri"/>
          <w:lang w:val="es-419"/>
        </w:rPr>
        <w:t xml:space="preserve">ha continuado en lo que va del 2022. </w:t>
      </w:r>
    </w:p>
    <w:p w14:paraId="19EEDD7E" w14:textId="7E68F6BE" w:rsidR="00987F74" w:rsidRPr="008E5DD0" w:rsidRDefault="00987F74" w:rsidP="000D7002">
      <w:pPr>
        <w:snapToGrid w:val="0"/>
        <w:spacing w:before="100" w:beforeAutospacing="1" w:after="100" w:afterAutospacing="1" w:line="240" w:lineRule="auto"/>
        <w:jc w:val="both"/>
        <w:rPr>
          <w:rFonts w:ascii="Calibri" w:hAnsi="Calibri"/>
          <w:b/>
          <w:bCs/>
          <w:lang w:val="es-419"/>
        </w:rPr>
      </w:pPr>
      <w:r w:rsidRPr="008E5DD0">
        <w:rPr>
          <w:rFonts w:ascii="Calibri" w:hAnsi="Calibri"/>
          <w:b/>
          <w:bCs/>
          <w:lang w:val="es-419"/>
        </w:rPr>
        <w:t>Pobreza extrema y trata de personas</w:t>
      </w:r>
      <w:r w:rsidR="0049720C" w:rsidRPr="008E5DD0">
        <w:rPr>
          <w:rFonts w:ascii="Calibri" w:hAnsi="Calibri"/>
          <w:b/>
          <w:bCs/>
          <w:lang w:val="es-419"/>
        </w:rPr>
        <w:t xml:space="preserve"> (</w:t>
      </w:r>
      <w:r w:rsidR="00821EFE" w:rsidRPr="008E5DD0">
        <w:rPr>
          <w:rFonts w:ascii="Calibri" w:hAnsi="Calibri"/>
          <w:b/>
          <w:bCs/>
          <w:lang w:val="es-419"/>
        </w:rPr>
        <w:t>artículo</w:t>
      </w:r>
      <w:r w:rsidR="00100389" w:rsidRPr="008E5DD0">
        <w:rPr>
          <w:rFonts w:ascii="Calibri" w:hAnsi="Calibri"/>
          <w:b/>
          <w:bCs/>
          <w:lang w:val="es-419"/>
        </w:rPr>
        <w:t xml:space="preserve"> </w:t>
      </w:r>
      <w:r w:rsidR="00FD5613" w:rsidRPr="008E5DD0">
        <w:rPr>
          <w:rFonts w:ascii="Calibri" w:hAnsi="Calibri"/>
          <w:b/>
          <w:bCs/>
          <w:lang w:val="es-419"/>
        </w:rPr>
        <w:t xml:space="preserve">24 y </w:t>
      </w:r>
      <w:r w:rsidR="00100389" w:rsidRPr="008E5DD0">
        <w:rPr>
          <w:rFonts w:ascii="Calibri" w:hAnsi="Calibri"/>
          <w:b/>
          <w:bCs/>
          <w:lang w:val="es-419"/>
        </w:rPr>
        <w:t>26 en relación al</w:t>
      </w:r>
      <w:r w:rsidR="00821EFE" w:rsidRPr="008E5DD0">
        <w:rPr>
          <w:rFonts w:ascii="Calibri" w:hAnsi="Calibri"/>
          <w:b/>
          <w:bCs/>
          <w:lang w:val="es-419"/>
        </w:rPr>
        <w:t xml:space="preserve"> artículo</w:t>
      </w:r>
      <w:r w:rsidR="00100389" w:rsidRPr="008E5DD0">
        <w:rPr>
          <w:rFonts w:ascii="Calibri" w:hAnsi="Calibri"/>
          <w:b/>
          <w:bCs/>
          <w:lang w:val="es-419"/>
        </w:rPr>
        <w:t xml:space="preserve"> 8)</w:t>
      </w:r>
    </w:p>
    <w:p w14:paraId="14F31325" w14:textId="533EAD33" w:rsidR="000D7002" w:rsidRPr="008E5DD0" w:rsidRDefault="1F18C862" w:rsidP="0CA7B020">
      <w:pPr>
        <w:snapToGrid w:val="0"/>
        <w:spacing w:before="100" w:beforeAutospacing="1" w:after="100" w:afterAutospacing="1" w:line="240" w:lineRule="auto"/>
        <w:jc w:val="both"/>
        <w:rPr>
          <w:rFonts w:ascii="Calibri" w:hAnsi="Calibri"/>
          <w:lang w:val="es-419"/>
        </w:rPr>
      </w:pPr>
      <w:r w:rsidRPr="008E5DD0">
        <w:rPr>
          <w:rFonts w:ascii="Calibri" w:hAnsi="Calibri"/>
          <w:lang w:val="es-419"/>
        </w:rPr>
        <w:t>En</w:t>
      </w:r>
      <w:r w:rsidR="23914934" w:rsidRPr="008E5DD0">
        <w:rPr>
          <w:rFonts w:ascii="Calibri" w:hAnsi="Calibri"/>
          <w:lang w:val="es-419"/>
        </w:rPr>
        <w:t xml:space="preserve"> Santander, muchas personas migrantes viven en sectores económicamente empobrecidos </w:t>
      </w:r>
      <w:r w:rsidR="00C518CB" w:rsidRPr="008E5DD0">
        <w:rPr>
          <w:rFonts w:ascii="Calibri" w:hAnsi="Calibri"/>
          <w:lang w:val="es-419"/>
        </w:rPr>
        <w:t xml:space="preserve">pertenecientes </w:t>
      </w:r>
      <w:r w:rsidR="23914934" w:rsidRPr="008E5DD0">
        <w:rPr>
          <w:rFonts w:ascii="Calibri" w:hAnsi="Calibri"/>
          <w:lang w:val="es-419"/>
        </w:rPr>
        <w:t>estratos 1 y 2</w:t>
      </w:r>
      <w:r w:rsidR="00C518CB" w:rsidRPr="008E5DD0">
        <w:rPr>
          <w:rFonts w:ascii="Calibri" w:hAnsi="Calibri"/>
          <w:lang w:val="es-419"/>
        </w:rPr>
        <w:t>.</w:t>
      </w:r>
      <w:r w:rsidR="009132A8" w:rsidRPr="008E5DD0">
        <w:rPr>
          <w:rStyle w:val="Refdenotaalpie"/>
          <w:rFonts w:ascii="Calibri" w:hAnsi="Calibri"/>
          <w:lang w:val="es-419"/>
        </w:rPr>
        <w:footnoteReference w:id="29"/>
      </w:r>
      <w:r w:rsidR="23914934" w:rsidRPr="008E5DD0">
        <w:rPr>
          <w:rFonts w:ascii="Calibri" w:hAnsi="Calibri"/>
          <w:lang w:val="es-419"/>
        </w:rPr>
        <w:t xml:space="preserve"> A </w:t>
      </w:r>
      <w:r w:rsidR="00C518CB" w:rsidRPr="008E5DD0">
        <w:rPr>
          <w:rFonts w:ascii="Calibri" w:hAnsi="Calibri"/>
          <w:lang w:val="es-419"/>
        </w:rPr>
        <w:t xml:space="preserve">los municipios de </w:t>
      </w:r>
      <w:r w:rsidR="23914934" w:rsidRPr="008E5DD0">
        <w:rPr>
          <w:rFonts w:ascii="Calibri" w:hAnsi="Calibri"/>
          <w:lang w:val="es-419"/>
        </w:rPr>
        <w:t>Floridablanca, Girón y Piedecuesta llegan familias provenientes de Venezuela en situación de pobreza, con niños entre los 0 y los 11 años y un estatus migratorio irregular. Consecuentemente, para buscar el sustento diario, algunos usan a niños</w:t>
      </w:r>
      <w:r w:rsidR="185FB19D" w:rsidRPr="008E5DD0">
        <w:rPr>
          <w:rFonts w:ascii="Calibri" w:hAnsi="Calibri"/>
          <w:lang w:val="es-419"/>
        </w:rPr>
        <w:t xml:space="preserve"> y niñas</w:t>
      </w:r>
      <w:r w:rsidR="23914934" w:rsidRPr="008E5DD0">
        <w:rPr>
          <w:rFonts w:ascii="Calibri" w:hAnsi="Calibri"/>
          <w:lang w:val="es-419"/>
        </w:rPr>
        <w:t xml:space="preserve"> para obtener recursos económicos, afectando su salud, desarrollo y bienestar. Otro factor causante de estas prácticas es que los menores no pueden acceder a muchos programas sociales de </w:t>
      </w:r>
      <w:r w:rsidR="23914934" w:rsidRPr="008E5DD0">
        <w:rPr>
          <w:rFonts w:ascii="Calibri" w:hAnsi="Calibri"/>
          <w:lang w:val="es-419"/>
        </w:rPr>
        <w:lastRenderedPageBreak/>
        <w:t>protección</w:t>
      </w:r>
      <w:r w:rsidR="000D7002" w:rsidRPr="008E5DD0">
        <w:rPr>
          <w:rFonts w:ascii="Calibri" w:hAnsi="Calibri"/>
          <w:vertAlign w:val="superscript"/>
          <w:lang w:val="es-419"/>
        </w:rPr>
        <w:footnoteReference w:id="30"/>
      </w:r>
      <w:r w:rsidR="23914934" w:rsidRPr="008E5DD0">
        <w:rPr>
          <w:rFonts w:ascii="Calibri" w:hAnsi="Calibri"/>
          <w:lang w:val="es-419"/>
        </w:rPr>
        <w:t>. Asimismo, otros niños, niñas, adolescentes y mujeres son víctimas de trata de personas</w:t>
      </w:r>
      <w:r w:rsidR="68754B8B" w:rsidRPr="008E5DD0">
        <w:rPr>
          <w:rFonts w:ascii="Calibri" w:hAnsi="Calibri"/>
          <w:lang w:val="es-419"/>
        </w:rPr>
        <w:t xml:space="preserve"> al ser</w:t>
      </w:r>
      <w:r w:rsidR="23914934" w:rsidRPr="008E5DD0">
        <w:rPr>
          <w:rFonts w:ascii="Calibri" w:hAnsi="Calibri"/>
          <w:lang w:val="es-419"/>
        </w:rPr>
        <w:t xml:space="preserve"> obligados a mendigar o hacer otras acciones por el uso de la fuerza de un tercero</w:t>
      </w:r>
      <w:r w:rsidR="00F7162E" w:rsidRPr="008E5DD0">
        <w:rPr>
          <w:rFonts w:ascii="Calibri" w:hAnsi="Calibri"/>
          <w:lang w:val="es-419"/>
        </w:rPr>
        <w:t>.</w:t>
      </w:r>
      <w:r w:rsidR="000D7002" w:rsidRPr="008E5DD0">
        <w:rPr>
          <w:rFonts w:ascii="Calibri" w:hAnsi="Calibri"/>
          <w:vertAlign w:val="superscript"/>
          <w:lang w:val="es-419"/>
        </w:rPr>
        <w:footnoteReference w:id="31"/>
      </w:r>
      <w:r w:rsidR="23914934" w:rsidRPr="008E5DD0">
        <w:rPr>
          <w:rFonts w:ascii="Calibri" w:hAnsi="Calibri"/>
          <w:lang w:val="es-419"/>
        </w:rPr>
        <w:t xml:space="preserve">  </w:t>
      </w:r>
    </w:p>
    <w:p w14:paraId="281BC09C" w14:textId="512C08FD" w:rsidR="00CD0966" w:rsidRPr="008E5DD0" w:rsidRDefault="23914934" w:rsidP="4EE62912">
      <w:pPr>
        <w:snapToGrid w:val="0"/>
        <w:spacing w:before="100" w:beforeAutospacing="1" w:after="100" w:afterAutospacing="1" w:line="240" w:lineRule="auto"/>
        <w:jc w:val="both"/>
        <w:rPr>
          <w:rFonts w:ascii="Calibri" w:hAnsi="Calibri"/>
          <w:lang w:val="es-419"/>
        </w:rPr>
      </w:pPr>
      <w:r w:rsidRPr="008E5DD0">
        <w:rPr>
          <w:rFonts w:ascii="Calibri" w:hAnsi="Calibri"/>
          <w:lang w:val="es-419"/>
        </w:rPr>
        <w:t>En el caso de El Tarra, Norte de Santander, las personas migrantes vienen siendo explotadas sexualmente u ofreciendo servicios de trabajo sexual</w:t>
      </w:r>
      <w:r w:rsidR="00F7162E" w:rsidRPr="008E5DD0">
        <w:rPr>
          <w:rFonts w:ascii="Calibri" w:hAnsi="Calibri"/>
          <w:lang w:val="es-419"/>
        </w:rPr>
        <w:t>.</w:t>
      </w:r>
      <w:r w:rsidR="000D7002" w:rsidRPr="008E5DD0">
        <w:rPr>
          <w:rFonts w:ascii="Calibri" w:hAnsi="Calibri"/>
          <w:vertAlign w:val="superscript"/>
          <w:lang w:val="es-419"/>
        </w:rPr>
        <w:footnoteReference w:id="32"/>
      </w:r>
      <w:r w:rsidRPr="008E5DD0">
        <w:rPr>
          <w:rFonts w:ascii="Calibri" w:hAnsi="Calibri"/>
          <w:lang w:val="es-419"/>
        </w:rPr>
        <w:t xml:space="preserve"> Sumado al hecho de que esta población es víctima de homicidios selectivos, accidentes con minas antipersona, amenazas, desplazamiento forzado, señalamiento y estigmatización, así como el rechazo social en lugares donde hay actores del conflicto armado, como en Catatumbo</w:t>
      </w:r>
      <w:r w:rsidR="00F7162E" w:rsidRPr="008E5DD0">
        <w:rPr>
          <w:rFonts w:ascii="Calibri" w:hAnsi="Calibri"/>
          <w:lang w:val="es-419"/>
        </w:rPr>
        <w:t>.</w:t>
      </w:r>
      <w:r w:rsidR="000D7002" w:rsidRPr="008E5DD0">
        <w:rPr>
          <w:rFonts w:ascii="Calibri" w:hAnsi="Calibri"/>
          <w:vertAlign w:val="superscript"/>
          <w:lang w:val="es-419"/>
        </w:rPr>
        <w:footnoteReference w:id="33"/>
      </w:r>
    </w:p>
    <w:p w14:paraId="3F7C239E" w14:textId="0BECA7D7" w:rsidR="00893DE1" w:rsidRPr="008E5DD0" w:rsidRDefault="002A42A8" w:rsidP="00415936">
      <w:pPr>
        <w:snapToGrid w:val="0"/>
        <w:spacing w:before="100" w:beforeAutospacing="1" w:after="100" w:afterAutospacing="1" w:line="240" w:lineRule="auto"/>
        <w:jc w:val="both"/>
        <w:rPr>
          <w:rFonts w:ascii="Calibri" w:hAnsi="Calibri"/>
          <w:b/>
          <w:bCs/>
          <w:lang w:val="es-419"/>
        </w:rPr>
      </w:pPr>
      <w:r w:rsidRPr="008E5DD0">
        <w:rPr>
          <w:rFonts w:ascii="Calibri" w:hAnsi="Calibri"/>
          <w:b/>
          <w:bCs/>
          <w:lang w:val="es-419"/>
        </w:rPr>
        <w:t>La situación de la población migrante extracontinental, particularmente haitiana</w:t>
      </w:r>
      <w:r w:rsidR="000D7002" w:rsidRPr="008E5DD0">
        <w:rPr>
          <w:rFonts w:ascii="Calibri" w:hAnsi="Calibri"/>
          <w:b/>
          <w:bCs/>
          <w:lang w:val="es-419"/>
        </w:rPr>
        <w:t xml:space="preserve"> </w:t>
      </w:r>
      <w:r w:rsidR="003D4B38" w:rsidRPr="008E5DD0">
        <w:rPr>
          <w:rFonts w:ascii="Calibri" w:hAnsi="Calibri"/>
          <w:b/>
          <w:bCs/>
          <w:lang w:val="es-419"/>
        </w:rPr>
        <w:t>(artículo 26</w:t>
      </w:r>
      <w:r w:rsidR="00B00CD9" w:rsidRPr="008E5DD0">
        <w:rPr>
          <w:rFonts w:ascii="Calibri" w:hAnsi="Calibri"/>
          <w:b/>
          <w:bCs/>
          <w:lang w:val="es-419"/>
        </w:rPr>
        <w:t xml:space="preserve"> en relación con el artículo 9 y 27</w:t>
      </w:r>
      <w:r w:rsidR="003D4B38" w:rsidRPr="008E5DD0">
        <w:rPr>
          <w:rFonts w:ascii="Calibri" w:hAnsi="Calibri"/>
          <w:b/>
          <w:bCs/>
          <w:lang w:val="es-419"/>
        </w:rPr>
        <w:t>)</w:t>
      </w:r>
    </w:p>
    <w:p w14:paraId="0DE9290A" w14:textId="50054961" w:rsidR="00A36D73" w:rsidRPr="008E5DD0" w:rsidRDefault="2234F6B8" w:rsidP="00CF405C">
      <w:pPr>
        <w:snapToGrid w:val="0"/>
        <w:spacing w:after="0" w:line="240" w:lineRule="auto"/>
        <w:jc w:val="both"/>
        <w:rPr>
          <w:rFonts w:ascii="Calibri" w:hAnsi="Calibri"/>
          <w:lang w:val="es-419"/>
        </w:rPr>
      </w:pPr>
      <w:r w:rsidRPr="008E5DD0">
        <w:rPr>
          <w:rFonts w:ascii="Calibri" w:hAnsi="Calibri"/>
          <w:lang w:val="es-419"/>
        </w:rPr>
        <w:t xml:space="preserve">La Defensoría del Pueblo de Colombia planteó en el informe regional de Urabá </w:t>
      </w:r>
      <w:r w:rsidR="771F149A" w:rsidRPr="008E5DD0">
        <w:rPr>
          <w:rFonts w:ascii="Calibri" w:hAnsi="Calibri"/>
          <w:lang w:val="es-419"/>
        </w:rPr>
        <w:t>de</w:t>
      </w:r>
      <w:r w:rsidRPr="008E5DD0">
        <w:rPr>
          <w:rFonts w:ascii="Calibri" w:hAnsi="Calibri"/>
          <w:lang w:val="es-419"/>
        </w:rPr>
        <w:t xml:space="preserve"> marzo de 2018 que </w:t>
      </w:r>
      <w:r w:rsidR="00B0030A" w:rsidRPr="008E5DD0">
        <w:rPr>
          <w:rFonts w:ascii="Calibri" w:hAnsi="Calibri"/>
          <w:lang w:val="es-419"/>
        </w:rPr>
        <w:t>Colombia es un país de tránsito para personas migrantes provenientes de Asia, África, Cuba y Haití.</w:t>
      </w:r>
      <w:r w:rsidR="00B0030A" w:rsidRPr="008E5DD0">
        <w:rPr>
          <w:rStyle w:val="Refdenotaalpie"/>
          <w:rFonts w:ascii="Calibri" w:hAnsi="Calibri"/>
          <w:lang w:val="es-419"/>
        </w:rPr>
        <w:footnoteReference w:id="34"/>
      </w:r>
      <w:r w:rsidR="00B0030A" w:rsidRPr="008E5DD0">
        <w:rPr>
          <w:rFonts w:ascii="Calibri" w:hAnsi="Calibri"/>
          <w:lang w:val="es-419"/>
        </w:rPr>
        <w:t xml:space="preserve"> </w:t>
      </w:r>
      <w:r w:rsidR="00D92029" w:rsidRPr="008E5DD0">
        <w:rPr>
          <w:rFonts w:ascii="Calibri" w:hAnsi="Calibri"/>
          <w:lang w:val="es-419"/>
        </w:rPr>
        <w:t xml:space="preserve">Si bien durante los primeros meses de la pandemia del </w:t>
      </w:r>
      <w:r w:rsidR="00997E77" w:rsidRPr="008E5DD0">
        <w:rPr>
          <w:rFonts w:ascii="Calibri" w:hAnsi="Calibri"/>
          <w:lang w:val="es-419"/>
        </w:rPr>
        <w:t>C</w:t>
      </w:r>
      <w:r w:rsidR="00D92029" w:rsidRPr="008E5DD0">
        <w:rPr>
          <w:rFonts w:ascii="Calibri" w:hAnsi="Calibri"/>
          <w:lang w:val="es-419"/>
        </w:rPr>
        <w:t xml:space="preserve">ovid-19 estos números se redujeron, en los meses más recientes ha habido un aumento exponencial de las personas migrantes extracontinentales, particularmente de la población haitiana. </w:t>
      </w:r>
      <w:r w:rsidR="00A36D73" w:rsidRPr="008E5DD0">
        <w:rPr>
          <w:rFonts w:ascii="Calibri" w:hAnsi="Calibri"/>
          <w:lang w:val="es-419"/>
        </w:rPr>
        <w:t xml:space="preserve">Solamente para </w:t>
      </w:r>
      <w:r w:rsidR="00A315E4" w:rsidRPr="008E5DD0">
        <w:rPr>
          <w:rFonts w:ascii="Calibri" w:hAnsi="Calibri"/>
          <w:lang w:val="es-419"/>
        </w:rPr>
        <w:t>julio</w:t>
      </w:r>
      <w:r w:rsidR="00A36D73" w:rsidRPr="008E5DD0">
        <w:rPr>
          <w:rFonts w:ascii="Calibri" w:hAnsi="Calibri"/>
          <w:lang w:val="es-419"/>
        </w:rPr>
        <w:t xml:space="preserve"> de 2021, el gobierno colombiano registró aproximadamente 25 mil personas migrantes de origen haitiano en tránsito en ese año.</w:t>
      </w:r>
      <w:r w:rsidR="00A36D73" w:rsidRPr="008E5DD0">
        <w:rPr>
          <w:rStyle w:val="Refdenotaalpie"/>
          <w:rFonts w:ascii="Calibri" w:hAnsi="Calibri"/>
          <w:lang w:val="es-419"/>
        </w:rPr>
        <w:footnoteReference w:id="35"/>
      </w:r>
      <w:r w:rsidR="00A36D73" w:rsidRPr="008E5DD0">
        <w:rPr>
          <w:rFonts w:ascii="Calibri" w:hAnsi="Calibri"/>
          <w:lang w:val="es-419"/>
        </w:rPr>
        <w:t xml:space="preserve"> </w:t>
      </w:r>
    </w:p>
    <w:p w14:paraId="2DA37BDB" w14:textId="77777777" w:rsidR="00A36D73" w:rsidRPr="008E5DD0" w:rsidRDefault="00A36D73" w:rsidP="00CF405C">
      <w:pPr>
        <w:snapToGrid w:val="0"/>
        <w:spacing w:after="0" w:line="240" w:lineRule="auto"/>
        <w:jc w:val="both"/>
        <w:rPr>
          <w:rFonts w:ascii="Calibri" w:hAnsi="Calibri"/>
          <w:lang w:val="es-419"/>
        </w:rPr>
      </w:pPr>
    </w:p>
    <w:p w14:paraId="43C785FE" w14:textId="15F173ED" w:rsidR="004F3557" w:rsidRPr="008E5DD0" w:rsidRDefault="00A36D73" w:rsidP="00CF405C">
      <w:pPr>
        <w:snapToGrid w:val="0"/>
        <w:spacing w:after="0" w:line="240" w:lineRule="auto"/>
        <w:jc w:val="both"/>
        <w:rPr>
          <w:rFonts w:ascii="Calibri" w:hAnsi="Calibri"/>
          <w:lang w:val="es-419"/>
        </w:rPr>
      </w:pPr>
      <w:r w:rsidRPr="008E5DD0">
        <w:rPr>
          <w:rFonts w:ascii="Calibri" w:hAnsi="Calibri"/>
          <w:lang w:val="es-419"/>
        </w:rPr>
        <w:t>Esta población migrante</w:t>
      </w:r>
      <w:r w:rsidR="2234F6B8" w:rsidRPr="008E5DD0">
        <w:rPr>
          <w:rFonts w:ascii="Calibri" w:hAnsi="Calibri"/>
          <w:lang w:val="es-419"/>
        </w:rPr>
        <w:t xml:space="preserve"> </w:t>
      </w:r>
      <w:r w:rsidR="76B1F517" w:rsidRPr="008E5DD0">
        <w:rPr>
          <w:rFonts w:ascii="Calibri" w:hAnsi="Calibri"/>
          <w:lang w:val="es-419"/>
        </w:rPr>
        <w:t>recurre a redes de tráfico de migrantes para transitar de</w:t>
      </w:r>
      <w:r w:rsidRPr="008E5DD0">
        <w:rPr>
          <w:rFonts w:ascii="Calibri" w:hAnsi="Calibri"/>
          <w:lang w:val="es-419"/>
        </w:rPr>
        <w:t>sde</w:t>
      </w:r>
      <w:r w:rsidR="76B1F517" w:rsidRPr="008E5DD0">
        <w:rPr>
          <w:rFonts w:ascii="Calibri" w:hAnsi="Calibri"/>
          <w:lang w:val="es-419"/>
        </w:rPr>
        <w:t xml:space="preserve"> Ecuador o Brasil hacia Colombia, y así llegar a Panamá. En ese camino, navegan por zonas </w:t>
      </w:r>
      <w:r w:rsidR="4AD3E262" w:rsidRPr="008E5DD0">
        <w:rPr>
          <w:rFonts w:ascii="Calibri" w:hAnsi="Calibri"/>
          <w:lang w:val="es-419"/>
        </w:rPr>
        <w:t>terrestres o marítimas</w:t>
      </w:r>
      <w:r w:rsidR="76B1F517" w:rsidRPr="008E5DD0">
        <w:rPr>
          <w:rFonts w:ascii="Calibri" w:hAnsi="Calibri"/>
          <w:lang w:val="es-419"/>
        </w:rPr>
        <w:t xml:space="preserve"> </w:t>
      </w:r>
      <w:r w:rsidR="4AD3E262" w:rsidRPr="008E5DD0">
        <w:rPr>
          <w:rFonts w:ascii="Calibri" w:hAnsi="Calibri"/>
          <w:lang w:val="es-419"/>
        </w:rPr>
        <w:t xml:space="preserve">sin </w:t>
      </w:r>
      <w:r w:rsidR="4AD3E262" w:rsidRPr="008E5DD0">
        <w:rPr>
          <w:rFonts w:ascii="Calibri" w:hAnsi="Calibri"/>
          <w:lang w:val="es-419"/>
        </w:rPr>
        <w:lastRenderedPageBreak/>
        <w:t>presencia de las autoridades</w:t>
      </w:r>
      <w:r w:rsidR="76B1F517" w:rsidRPr="008E5DD0">
        <w:rPr>
          <w:rFonts w:ascii="Calibri" w:hAnsi="Calibri"/>
          <w:lang w:val="es-419"/>
        </w:rPr>
        <w:t xml:space="preserve"> </w:t>
      </w:r>
      <w:r w:rsidR="4AD3E262" w:rsidRPr="008E5DD0">
        <w:rPr>
          <w:rFonts w:ascii="Calibri" w:hAnsi="Calibri"/>
          <w:lang w:val="es-419"/>
        </w:rPr>
        <w:t>locales</w:t>
      </w:r>
      <w:r w:rsidR="002A42A8" w:rsidRPr="008E5DD0">
        <w:rPr>
          <w:rFonts w:ascii="Calibri" w:hAnsi="Calibri"/>
          <w:lang w:val="es-419"/>
        </w:rPr>
        <w:t xml:space="preserve"> donde</w:t>
      </w:r>
      <w:r w:rsidR="4AD3E262" w:rsidRPr="008E5DD0">
        <w:rPr>
          <w:rFonts w:ascii="Calibri" w:hAnsi="Calibri"/>
          <w:lang w:val="es-419"/>
        </w:rPr>
        <w:t xml:space="preserve"> son víctimas de crímenes o delitos cometidos por</w:t>
      </w:r>
      <w:r w:rsidR="76B1F517" w:rsidRPr="008E5DD0">
        <w:rPr>
          <w:rFonts w:ascii="Calibri" w:hAnsi="Calibri"/>
          <w:lang w:val="es-419"/>
        </w:rPr>
        <w:t xml:space="preserve"> grupos armados organizados, redes de narcotráfico</w:t>
      </w:r>
      <w:r w:rsidR="4AD3E262" w:rsidRPr="008E5DD0">
        <w:rPr>
          <w:rFonts w:ascii="Calibri" w:hAnsi="Calibri"/>
          <w:lang w:val="es-419"/>
        </w:rPr>
        <w:t xml:space="preserve"> o de los mismos </w:t>
      </w:r>
      <w:r w:rsidR="002D18C7" w:rsidRPr="008E5DD0">
        <w:rPr>
          <w:rFonts w:ascii="Calibri" w:hAnsi="Calibri"/>
          <w:lang w:val="es-419"/>
        </w:rPr>
        <w:t>“</w:t>
      </w:r>
      <w:r w:rsidR="4AD3E262" w:rsidRPr="008E5DD0">
        <w:rPr>
          <w:rFonts w:ascii="Calibri" w:hAnsi="Calibri"/>
          <w:lang w:val="es-419"/>
        </w:rPr>
        <w:t>coyotes</w:t>
      </w:r>
      <w:r w:rsidR="002D18C7" w:rsidRPr="008E5DD0">
        <w:rPr>
          <w:rFonts w:ascii="Calibri" w:hAnsi="Calibri"/>
          <w:lang w:val="es-419"/>
        </w:rPr>
        <w:t>”.</w:t>
      </w:r>
      <w:r w:rsidR="00CF405C" w:rsidRPr="008E5DD0">
        <w:rPr>
          <w:rStyle w:val="Refdenotaalpie"/>
          <w:rFonts w:ascii="Calibri" w:hAnsi="Calibri"/>
          <w:lang w:val="es-419"/>
        </w:rPr>
        <w:footnoteReference w:id="36"/>
      </w:r>
      <w:r w:rsidR="76B1F517" w:rsidRPr="008E5DD0">
        <w:rPr>
          <w:rFonts w:ascii="Calibri" w:hAnsi="Calibri"/>
          <w:lang w:val="es-419"/>
        </w:rPr>
        <w:t xml:space="preserve"> </w:t>
      </w:r>
      <w:r w:rsidR="4AD3E262" w:rsidRPr="008E5DD0">
        <w:rPr>
          <w:rFonts w:ascii="Calibri" w:hAnsi="Calibri"/>
          <w:lang w:val="es-419"/>
        </w:rPr>
        <w:t>A lo largo del camino tienen una alta probabilidad de sufrir lesiones, afectaciones a su salud o fallecer por las condiciones en que transitan sin agua</w:t>
      </w:r>
      <w:r w:rsidR="160BC696" w:rsidRPr="008E5DD0">
        <w:rPr>
          <w:rFonts w:ascii="Calibri" w:hAnsi="Calibri"/>
          <w:lang w:val="es-419"/>
        </w:rPr>
        <w:t xml:space="preserve"> potable</w:t>
      </w:r>
      <w:r w:rsidR="4AD3E262" w:rsidRPr="008E5DD0">
        <w:rPr>
          <w:rFonts w:ascii="Calibri" w:hAnsi="Calibri"/>
          <w:lang w:val="es-419"/>
        </w:rPr>
        <w:t>, dinero</w:t>
      </w:r>
      <w:r w:rsidR="160BC696" w:rsidRPr="008E5DD0">
        <w:rPr>
          <w:rFonts w:ascii="Calibri" w:hAnsi="Calibri"/>
          <w:lang w:val="es-419"/>
        </w:rPr>
        <w:t xml:space="preserve"> o seguridad</w:t>
      </w:r>
      <w:r w:rsidR="002D18C7" w:rsidRPr="008E5DD0">
        <w:rPr>
          <w:rFonts w:ascii="Calibri" w:hAnsi="Calibri"/>
          <w:lang w:val="es-419"/>
        </w:rPr>
        <w:t>.</w:t>
      </w:r>
      <w:r w:rsidR="00B50DF6" w:rsidRPr="008E5DD0">
        <w:rPr>
          <w:rStyle w:val="Refdenotaalpie"/>
          <w:rFonts w:ascii="Calibri" w:hAnsi="Calibri"/>
          <w:lang w:val="es-419"/>
        </w:rPr>
        <w:footnoteReference w:id="37"/>
      </w:r>
      <w:r w:rsidR="4AD3E262" w:rsidRPr="008E5DD0">
        <w:rPr>
          <w:rFonts w:ascii="Calibri" w:hAnsi="Calibri"/>
          <w:lang w:val="es-419"/>
        </w:rPr>
        <w:t xml:space="preserve"> </w:t>
      </w:r>
      <w:r w:rsidR="76B1F517" w:rsidRPr="008E5DD0">
        <w:rPr>
          <w:rFonts w:ascii="Calibri" w:hAnsi="Calibri"/>
          <w:lang w:val="es-419"/>
        </w:rPr>
        <w:t xml:space="preserve">Al llegar a Capurganá, atraviesan por la Selva del Darién para llegar a Panamá. </w:t>
      </w:r>
      <w:r w:rsidR="55ACCE86" w:rsidRPr="008E5DD0">
        <w:rPr>
          <w:rFonts w:ascii="Calibri" w:hAnsi="Calibri"/>
          <w:lang w:val="es-419"/>
        </w:rPr>
        <w:t xml:space="preserve">En estos trayectos, </w:t>
      </w:r>
      <w:r w:rsidR="160BC696" w:rsidRPr="008E5DD0">
        <w:rPr>
          <w:rFonts w:ascii="Calibri" w:hAnsi="Calibri"/>
          <w:lang w:val="es-419"/>
        </w:rPr>
        <w:t xml:space="preserve">además, </w:t>
      </w:r>
      <w:r w:rsidR="55ACCE86" w:rsidRPr="008E5DD0">
        <w:rPr>
          <w:rFonts w:ascii="Calibri" w:hAnsi="Calibri"/>
          <w:lang w:val="es-419"/>
        </w:rPr>
        <w:t xml:space="preserve">deben permanecer en lugares ocultos </w:t>
      </w:r>
      <w:r w:rsidR="6A2C3138" w:rsidRPr="008E5DD0">
        <w:rPr>
          <w:rFonts w:ascii="Calibri" w:hAnsi="Calibri"/>
          <w:lang w:val="es-419"/>
        </w:rPr>
        <w:t xml:space="preserve">para </w:t>
      </w:r>
      <w:r w:rsidR="55ACCE86" w:rsidRPr="008E5DD0">
        <w:rPr>
          <w:rFonts w:ascii="Calibri" w:hAnsi="Calibri"/>
          <w:lang w:val="es-419"/>
        </w:rPr>
        <w:t xml:space="preserve">que </w:t>
      </w:r>
      <w:r w:rsidR="6A2C3138" w:rsidRPr="008E5DD0">
        <w:rPr>
          <w:rFonts w:ascii="Calibri" w:hAnsi="Calibri"/>
          <w:lang w:val="es-419"/>
        </w:rPr>
        <w:t xml:space="preserve">no </w:t>
      </w:r>
      <w:r w:rsidR="55ACCE86" w:rsidRPr="008E5DD0">
        <w:rPr>
          <w:rFonts w:ascii="Calibri" w:hAnsi="Calibri"/>
          <w:lang w:val="es-419"/>
        </w:rPr>
        <w:t xml:space="preserve">los deporten o expulsen del territorio. </w:t>
      </w:r>
      <w:r w:rsidR="6A2C3138" w:rsidRPr="008E5DD0">
        <w:rPr>
          <w:rFonts w:ascii="Calibri" w:hAnsi="Calibri"/>
          <w:lang w:val="es-419"/>
        </w:rPr>
        <w:t>En agosto de 2021, Panamá y Colombia habían acordado restringir a 500 el flujo de migrantes haitianos</w:t>
      </w:r>
      <w:r w:rsidR="002D18C7" w:rsidRPr="008E5DD0">
        <w:rPr>
          <w:rFonts w:ascii="Calibri" w:hAnsi="Calibri"/>
          <w:lang w:val="es-419"/>
        </w:rPr>
        <w:t>.</w:t>
      </w:r>
      <w:r w:rsidR="007A6DD0" w:rsidRPr="008E5DD0">
        <w:rPr>
          <w:rStyle w:val="Refdenotaalpie"/>
          <w:rFonts w:ascii="Calibri" w:hAnsi="Calibri"/>
          <w:lang w:val="es-419"/>
        </w:rPr>
        <w:footnoteReference w:id="38"/>
      </w:r>
    </w:p>
    <w:p w14:paraId="4102B8B8" w14:textId="77777777" w:rsidR="00CD0966" w:rsidRPr="008E5DD0" w:rsidRDefault="00CD0966" w:rsidP="00CA5796">
      <w:pPr>
        <w:snapToGrid w:val="0"/>
        <w:spacing w:after="0" w:line="240" w:lineRule="auto"/>
        <w:jc w:val="both"/>
        <w:rPr>
          <w:rFonts w:ascii="Calibri" w:hAnsi="Calibri"/>
          <w:b/>
          <w:bCs/>
          <w:lang w:val="es-419"/>
        </w:rPr>
      </w:pPr>
    </w:p>
    <w:p w14:paraId="133EEAB0" w14:textId="735D88F7" w:rsidR="0093128D" w:rsidRPr="008E5DD0" w:rsidRDefault="001C6E49">
      <w:pPr>
        <w:rPr>
          <w:lang w:val="es-419"/>
        </w:rPr>
      </w:pPr>
      <w:r w:rsidRPr="008E5DD0">
        <w:rPr>
          <w:lang w:val="es-419"/>
        </w:rPr>
        <w:t>Por lo expuesto anteriormente</w:t>
      </w:r>
      <w:r w:rsidR="00EF16D7" w:rsidRPr="008E5DD0">
        <w:rPr>
          <w:lang w:val="es-419"/>
        </w:rPr>
        <w:t>,</w:t>
      </w:r>
      <w:r w:rsidRPr="008E5DD0">
        <w:rPr>
          <w:lang w:val="es-419"/>
        </w:rPr>
        <w:t xml:space="preserve"> solicitamos que el Comité incluya en su lista de cuestiones que el Estado Colombiano proporcione</w:t>
      </w:r>
      <w:r w:rsidR="00921F36" w:rsidRPr="008E5DD0">
        <w:rPr>
          <w:lang w:val="es-419"/>
        </w:rPr>
        <w:t xml:space="preserve"> información sobre</w:t>
      </w:r>
      <w:r w:rsidRPr="008E5DD0">
        <w:rPr>
          <w:lang w:val="es-419"/>
        </w:rPr>
        <w:t>:</w:t>
      </w:r>
    </w:p>
    <w:p w14:paraId="276351E0" w14:textId="5CEF0F83" w:rsidR="00DF743D" w:rsidRPr="008E5DD0" w:rsidRDefault="00DF743D" w:rsidP="00EF16D7">
      <w:pPr>
        <w:pStyle w:val="Prrafodelista"/>
        <w:numPr>
          <w:ilvl w:val="0"/>
          <w:numId w:val="5"/>
        </w:numPr>
        <w:jc w:val="both"/>
        <w:rPr>
          <w:lang w:val="es-419"/>
        </w:rPr>
      </w:pPr>
      <w:r w:rsidRPr="008E5DD0">
        <w:rPr>
          <w:lang w:val="es-419"/>
        </w:rPr>
        <w:t xml:space="preserve">La forma en la que se está aplicando la </w:t>
      </w:r>
      <w:r w:rsidRPr="008E5DD0">
        <w:rPr>
          <w:rFonts w:ascii="Calibri" w:hAnsi="Calibri"/>
          <w:lang w:val="es-419"/>
        </w:rPr>
        <w:t>Política Integral Migratoria del Estado Colombiano y su compatibilidad con las obligaciones bajo el derecho internacional de los derechos humanos</w:t>
      </w:r>
      <w:r w:rsidR="00EF16D7" w:rsidRPr="008E5DD0">
        <w:rPr>
          <w:rFonts w:ascii="Calibri" w:hAnsi="Calibri"/>
          <w:lang w:val="es-419"/>
        </w:rPr>
        <w:t>.</w:t>
      </w:r>
    </w:p>
    <w:p w14:paraId="5FF6A147" w14:textId="530B3411" w:rsidR="009E4950" w:rsidRPr="008E5DD0" w:rsidRDefault="00497B46" w:rsidP="00EF16D7">
      <w:pPr>
        <w:pStyle w:val="Prrafodelista"/>
        <w:numPr>
          <w:ilvl w:val="0"/>
          <w:numId w:val="5"/>
        </w:numPr>
        <w:jc w:val="both"/>
        <w:rPr>
          <w:lang w:val="es-419"/>
        </w:rPr>
      </w:pPr>
      <w:r w:rsidRPr="008E5DD0">
        <w:rPr>
          <w:rFonts w:ascii="Calibri" w:hAnsi="Calibri"/>
          <w:lang w:val="es-419"/>
        </w:rPr>
        <w:t>L</w:t>
      </w:r>
      <w:r w:rsidR="009E4950" w:rsidRPr="008E5DD0">
        <w:rPr>
          <w:rFonts w:ascii="Calibri" w:hAnsi="Calibri"/>
          <w:lang w:val="es-419"/>
        </w:rPr>
        <w:t xml:space="preserve">as deportaciones y expulsiones </w:t>
      </w:r>
      <w:r w:rsidR="004F3557" w:rsidRPr="008E5DD0">
        <w:rPr>
          <w:rFonts w:ascii="Calibri" w:hAnsi="Calibri"/>
          <w:lang w:val="es-419"/>
        </w:rPr>
        <w:t>de personas migrantes</w:t>
      </w:r>
      <w:r w:rsidR="00690142" w:rsidRPr="008E5DD0">
        <w:rPr>
          <w:rFonts w:ascii="Calibri" w:hAnsi="Calibri"/>
          <w:lang w:val="es-419"/>
        </w:rPr>
        <w:t xml:space="preserve"> </w:t>
      </w:r>
      <w:r w:rsidR="00C17D3F" w:rsidRPr="008E5DD0">
        <w:rPr>
          <w:rFonts w:ascii="Calibri" w:hAnsi="Calibri"/>
          <w:lang w:val="es-419"/>
        </w:rPr>
        <w:t>de forma desagregada por</w:t>
      </w:r>
      <w:r w:rsidR="004F3557" w:rsidRPr="008E5DD0">
        <w:rPr>
          <w:rFonts w:ascii="Calibri" w:hAnsi="Calibri"/>
          <w:lang w:val="es-419"/>
        </w:rPr>
        <w:t xml:space="preserve"> nacionalidad</w:t>
      </w:r>
      <w:r w:rsidR="009E4950" w:rsidRPr="008E5DD0">
        <w:rPr>
          <w:rFonts w:ascii="Calibri" w:hAnsi="Calibri"/>
          <w:lang w:val="es-419"/>
        </w:rPr>
        <w:t xml:space="preserve">, </w:t>
      </w:r>
      <w:r w:rsidR="00C17D3F" w:rsidRPr="008E5DD0">
        <w:rPr>
          <w:rFonts w:ascii="Calibri" w:hAnsi="Calibri"/>
          <w:lang w:val="es-419"/>
        </w:rPr>
        <w:t xml:space="preserve">género, edad </w:t>
      </w:r>
      <w:r w:rsidR="009E4950" w:rsidRPr="008E5DD0">
        <w:rPr>
          <w:rFonts w:ascii="Calibri" w:hAnsi="Calibri"/>
          <w:lang w:val="es-419"/>
        </w:rPr>
        <w:t xml:space="preserve">y </w:t>
      </w:r>
      <w:r w:rsidR="00C17D3F" w:rsidRPr="008E5DD0">
        <w:rPr>
          <w:rFonts w:ascii="Calibri" w:hAnsi="Calibri"/>
          <w:lang w:val="es-419"/>
        </w:rPr>
        <w:t xml:space="preserve">año, así como los </w:t>
      </w:r>
      <w:r w:rsidR="009E4950" w:rsidRPr="008E5DD0">
        <w:rPr>
          <w:rFonts w:ascii="Calibri" w:hAnsi="Calibri"/>
          <w:lang w:val="es-419"/>
        </w:rPr>
        <w:t>procedimientos seguidos para adoptar estas decisiones.</w:t>
      </w:r>
    </w:p>
    <w:p w14:paraId="40B4B23A" w14:textId="7B79D5D0" w:rsidR="00690142" w:rsidRPr="008E5DD0" w:rsidRDefault="00C17D3F" w:rsidP="004110D9">
      <w:pPr>
        <w:pStyle w:val="Prrafodelista"/>
        <w:numPr>
          <w:ilvl w:val="0"/>
          <w:numId w:val="5"/>
        </w:numPr>
        <w:jc w:val="both"/>
        <w:rPr>
          <w:lang w:val="es-419"/>
        </w:rPr>
      </w:pPr>
      <w:r w:rsidRPr="008E5DD0">
        <w:rPr>
          <w:rFonts w:ascii="Calibri" w:hAnsi="Calibri"/>
          <w:lang w:val="es-419"/>
        </w:rPr>
        <w:t>Las condiciones y procedimientos que se usan para aceptar y recibir a</w:t>
      </w:r>
      <w:r w:rsidR="00690142" w:rsidRPr="008E5DD0">
        <w:rPr>
          <w:rFonts w:ascii="Calibri" w:hAnsi="Calibri"/>
          <w:lang w:val="es-419"/>
        </w:rPr>
        <w:t xml:space="preserve"> personas migrantes provenientes de otros países</w:t>
      </w:r>
      <w:r w:rsidR="004110D9" w:rsidRPr="008E5DD0">
        <w:rPr>
          <w:rFonts w:ascii="Calibri" w:hAnsi="Calibri"/>
          <w:lang w:val="es-419"/>
        </w:rPr>
        <w:t xml:space="preserve"> e</w:t>
      </w:r>
      <w:r w:rsidRPr="008E5DD0">
        <w:rPr>
          <w:rFonts w:ascii="Calibri" w:hAnsi="Calibri"/>
          <w:lang w:val="es-419"/>
        </w:rPr>
        <w:t xml:space="preserve"> </w:t>
      </w:r>
      <w:r w:rsidR="004110D9" w:rsidRPr="008E5DD0">
        <w:rPr>
          <w:rFonts w:ascii="Calibri" w:hAnsi="Calibri"/>
          <w:lang w:val="es-419"/>
        </w:rPr>
        <w:t>i</w:t>
      </w:r>
      <w:r w:rsidRPr="008E5DD0">
        <w:rPr>
          <w:rFonts w:ascii="Calibri" w:hAnsi="Calibri"/>
          <w:lang w:val="es-419"/>
        </w:rPr>
        <w:t xml:space="preserve">nformar </w:t>
      </w:r>
      <w:r w:rsidR="00997E77" w:rsidRPr="008E5DD0">
        <w:rPr>
          <w:rFonts w:ascii="Calibri" w:hAnsi="Calibri"/>
          <w:lang w:val="es-419"/>
        </w:rPr>
        <w:t xml:space="preserve">de manera desagregada </w:t>
      </w:r>
      <w:r w:rsidRPr="008E5DD0">
        <w:rPr>
          <w:rFonts w:ascii="Calibri" w:hAnsi="Calibri"/>
          <w:lang w:val="es-419"/>
        </w:rPr>
        <w:t>el</w:t>
      </w:r>
      <w:r w:rsidR="00690142" w:rsidRPr="008E5DD0">
        <w:rPr>
          <w:rFonts w:ascii="Calibri" w:hAnsi="Calibri"/>
          <w:lang w:val="es-419"/>
        </w:rPr>
        <w:t xml:space="preserve"> número de </w:t>
      </w:r>
      <w:r w:rsidRPr="008E5DD0">
        <w:rPr>
          <w:rFonts w:ascii="Calibri" w:hAnsi="Calibri"/>
          <w:lang w:val="es-419"/>
        </w:rPr>
        <w:t>personas que se han recibido</w:t>
      </w:r>
      <w:r w:rsidR="00690142" w:rsidRPr="008E5DD0">
        <w:rPr>
          <w:rFonts w:ascii="Calibri" w:hAnsi="Calibri"/>
          <w:lang w:val="es-419"/>
        </w:rPr>
        <w:t>.</w:t>
      </w:r>
      <w:r w:rsidR="004110D9" w:rsidRPr="008E5DD0">
        <w:rPr>
          <w:rFonts w:ascii="Calibri" w:hAnsi="Calibri"/>
          <w:lang w:val="es-419"/>
        </w:rPr>
        <w:t xml:space="preserve"> Informar si existe un acuerdo entre Colombia y Estados Unidos para recibir personas migrantes y las circunstancias en las que opera dicho acuerdo. </w:t>
      </w:r>
    </w:p>
    <w:p w14:paraId="45F575C7" w14:textId="2790A71E" w:rsidR="00B95599" w:rsidRPr="008E5DD0" w:rsidRDefault="00B95599" w:rsidP="00EF16D7">
      <w:pPr>
        <w:pStyle w:val="Prrafodelista"/>
        <w:numPr>
          <w:ilvl w:val="0"/>
          <w:numId w:val="5"/>
        </w:numPr>
        <w:jc w:val="both"/>
        <w:rPr>
          <w:lang w:val="es-419"/>
        </w:rPr>
      </w:pPr>
      <w:r w:rsidRPr="008E5DD0">
        <w:rPr>
          <w:lang w:val="es-419"/>
        </w:rPr>
        <w:t>Las medidas que el Estado ha implementado sobre las demoras injustificadas en el tratamiento de las solicitudes de refugio y solicitantes de asilo</w:t>
      </w:r>
      <w:r w:rsidR="00EF16D7" w:rsidRPr="008E5DD0">
        <w:rPr>
          <w:lang w:val="es-419"/>
        </w:rPr>
        <w:t>.</w:t>
      </w:r>
    </w:p>
    <w:p w14:paraId="6A91BDAB" w14:textId="7EDC642F" w:rsidR="00C9378E" w:rsidRPr="008E5DD0" w:rsidRDefault="00C9378E" w:rsidP="00EF16D7">
      <w:pPr>
        <w:pStyle w:val="Prrafodelista"/>
        <w:numPr>
          <w:ilvl w:val="0"/>
          <w:numId w:val="5"/>
        </w:numPr>
        <w:jc w:val="both"/>
        <w:rPr>
          <w:lang w:val="es-419"/>
        </w:rPr>
      </w:pPr>
      <w:r w:rsidRPr="008E5DD0">
        <w:rPr>
          <w:lang w:val="es-419"/>
        </w:rPr>
        <w:t>Información sobre la compatibilidad</w:t>
      </w:r>
      <w:r w:rsidR="0017621F" w:rsidRPr="008E5DD0">
        <w:rPr>
          <w:lang w:val="es-419"/>
        </w:rPr>
        <w:t>,</w:t>
      </w:r>
      <w:r w:rsidR="00586E33" w:rsidRPr="008E5DD0">
        <w:rPr>
          <w:lang w:val="es-419"/>
        </w:rPr>
        <w:t xml:space="preserve"> complementariedad </w:t>
      </w:r>
      <w:r w:rsidR="0017621F" w:rsidRPr="008E5DD0">
        <w:rPr>
          <w:lang w:val="es-419"/>
        </w:rPr>
        <w:t xml:space="preserve">y exclusión </w:t>
      </w:r>
      <w:r w:rsidR="00035F87" w:rsidRPr="008E5DD0">
        <w:rPr>
          <w:lang w:val="es-419"/>
        </w:rPr>
        <w:t xml:space="preserve">entre las disposiciones </w:t>
      </w:r>
      <w:r w:rsidRPr="008E5DD0">
        <w:rPr>
          <w:lang w:val="es-419"/>
        </w:rPr>
        <w:t>de</w:t>
      </w:r>
      <w:r w:rsidR="00586E33" w:rsidRPr="008E5DD0">
        <w:rPr>
          <w:lang w:val="es-419"/>
        </w:rPr>
        <w:t xml:space="preserve">l </w:t>
      </w:r>
      <w:r w:rsidR="00586E33" w:rsidRPr="008E5DD0">
        <w:rPr>
          <w:rFonts w:ascii="Calibri" w:hAnsi="Calibri"/>
          <w:lang w:val="es-419"/>
        </w:rPr>
        <w:t xml:space="preserve">Estatuto Temporal </w:t>
      </w:r>
      <w:r w:rsidR="00586E33" w:rsidRPr="008E5DD0">
        <w:rPr>
          <w:rFonts w:ascii="Calibri" w:hAnsi="Calibri"/>
          <w:highlight w:val="white"/>
          <w:lang w:val="es-419"/>
        </w:rPr>
        <w:t>de Protección para Migrantes Venezolanos (ETPMV)</w:t>
      </w:r>
      <w:r w:rsidR="00586E33" w:rsidRPr="008E5DD0">
        <w:rPr>
          <w:rFonts w:ascii="Calibri" w:hAnsi="Calibri"/>
          <w:lang w:val="es-419"/>
        </w:rPr>
        <w:t xml:space="preserve"> y las solicitudes de refugio</w:t>
      </w:r>
      <w:r w:rsidR="00035F87" w:rsidRPr="008E5DD0">
        <w:rPr>
          <w:rFonts w:ascii="Calibri" w:hAnsi="Calibri"/>
          <w:lang w:val="es-419"/>
        </w:rPr>
        <w:t xml:space="preserve">. </w:t>
      </w:r>
    </w:p>
    <w:p w14:paraId="5B872F67" w14:textId="343B0EED" w:rsidR="00C16961" w:rsidRPr="008E5DD0" w:rsidRDefault="00C16961" w:rsidP="00EF16D7">
      <w:pPr>
        <w:pStyle w:val="Prrafodelista"/>
        <w:numPr>
          <w:ilvl w:val="0"/>
          <w:numId w:val="5"/>
        </w:numPr>
        <w:jc w:val="both"/>
        <w:rPr>
          <w:lang w:val="es-419"/>
        </w:rPr>
      </w:pPr>
      <w:r w:rsidRPr="008E5DD0">
        <w:rPr>
          <w:lang w:val="es-419"/>
        </w:rPr>
        <w:t>Las medi</w:t>
      </w:r>
      <w:r w:rsidR="004F3557" w:rsidRPr="008E5DD0">
        <w:rPr>
          <w:lang w:val="es-419"/>
        </w:rPr>
        <w:t>d</w:t>
      </w:r>
      <w:r w:rsidRPr="008E5DD0">
        <w:rPr>
          <w:lang w:val="es-419"/>
        </w:rPr>
        <w:t xml:space="preserve">as que el Estado estableció para restringir la entrada de personas migrantes, solicitantes de asilo y </w:t>
      </w:r>
      <w:r w:rsidR="0019323E">
        <w:rPr>
          <w:lang w:val="es-419"/>
        </w:rPr>
        <w:t>que requieren</w:t>
      </w:r>
      <w:r w:rsidRPr="008E5DD0">
        <w:rPr>
          <w:lang w:val="es-419"/>
        </w:rPr>
        <w:t xml:space="preserve"> protección internacional durante la pandemia del Covid-19 y la compatibilidad de esas medidas con sus obligaciones internacionales en materia de derechos humanos.</w:t>
      </w:r>
    </w:p>
    <w:p w14:paraId="43847AEF" w14:textId="04D18A02" w:rsidR="00EF1753" w:rsidRPr="008E5DD0" w:rsidRDefault="00EF1753" w:rsidP="00EF1753">
      <w:pPr>
        <w:pStyle w:val="Prrafodelista"/>
        <w:numPr>
          <w:ilvl w:val="0"/>
          <w:numId w:val="5"/>
        </w:numPr>
        <w:jc w:val="both"/>
        <w:rPr>
          <w:lang w:val="es-419"/>
        </w:rPr>
      </w:pPr>
      <w:r w:rsidRPr="008E5DD0">
        <w:rPr>
          <w:lang w:val="es-419"/>
        </w:rPr>
        <w:t>Las medidas diferenciadas adoptadas para dar un</w:t>
      </w:r>
      <w:r w:rsidR="00C17D3F" w:rsidRPr="008E5DD0">
        <w:rPr>
          <w:lang w:val="es-419"/>
        </w:rPr>
        <w:t>a atención</w:t>
      </w:r>
      <w:r w:rsidRPr="008E5DD0">
        <w:rPr>
          <w:lang w:val="es-419"/>
        </w:rPr>
        <w:t xml:space="preserve"> integral a la población migrante</w:t>
      </w:r>
      <w:r w:rsidR="00C17D3F" w:rsidRPr="008E5DD0">
        <w:rPr>
          <w:lang w:val="es-419"/>
        </w:rPr>
        <w:t xml:space="preserve"> </w:t>
      </w:r>
      <w:r w:rsidRPr="008E5DD0">
        <w:rPr>
          <w:lang w:val="es-419"/>
        </w:rPr>
        <w:t xml:space="preserve">gestante, menores de edad, pertenecientes a comunidades étnicas y en situación de discapacidad </w:t>
      </w:r>
      <w:r w:rsidR="00C17D3F" w:rsidRPr="008E5DD0">
        <w:rPr>
          <w:lang w:val="es-419"/>
        </w:rPr>
        <w:t>antes y durante la pandemia</w:t>
      </w:r>
      <w:r w:rsidRPr="008E5DD0">
        <w:rPr>
          <w:lang w:val="es-419"/>
        </w:rPr>
        <w:t xml:space="preserve">.  </w:t>
      </w:r>
    </w:p>
    <w:p w14:paraId="41E04369" w14:textId="38183A3C" w:rsidR="00E57541" w:rsidRPr="008E5DD0" w:rsidRDefault="001C6E49" w:rsidP="00EF16D7">
      <w:pPr>
        <w:pStyle w:val="Prrafodelista"/>
        <w:numPr>
          <w:ilvl w:val="0"/>
          <w:numId w:val="5"/>
        </w:numPr>
        <w:jc w:val="both"/>
        <w:rPr>
          <w:lang w:val="es-419"/>
        </w:rPr>
      </w:pPr>
      <w:r w:rsidRPr="008E5DD0">
        <w:rPr>
          <w:lang w:val="es-419"/>
        </w:rPr>
        <w:t>L</w:t>
      </w:r>
      <w:r w:rsidR="001C20FA" w:rsidRPr="008E5DD0">
        <w:rPr>
          <w:lang w:val="es-419"/>
        </w:rPr>
        <w:t>as medidas específicas que está implementando para atender a la</w:t>
      </w:r>
      <w:r w:rsidR="000159F1" w:rsidRPr="008E5DD0">
        <w:rPr>
          <w:lang w:val="es-419"/>
        </w:rPr>
        <w:t xml:space="preserve"> población migrante de </w:t>
      </w:r>
      <w:r w:rsidR="00041490" w:rsidRPr="008E5DD0">
        <w:rPr>
          <w:lang w:val="es-419"/>
        </w:rPr>
        <w:t>origen</w:t>
      </w:r>
      <w:r w:rsidR="000159F1" w:rsidRPr="008E5DD0">
        <w:rPr>
          <w:lang w:val="es-419"/>
        </w:rPr>
        <w:t xml:space="preserve"> </w:t>
      </w:r>
      <w:r w:rsidR="00041490" w:rsidRPr="008E5DD0">
        <w:rPr>
          <w:lang w:val="es-419"/>
        </w:rPr>
        <w:t>haitiano</w:t>
      </w:r>
      <w:r w:rsidR="00A305DA" w:rsidRPr="008E5DD0">
        <w:rPr>
          <w:lang w:val="es-419"/>
        </w:rPr>
        <w:t>. Qu</w:t>
      </w:r>
      <w:r w:rsidR="00CD0966" w:rsidRPr="008E5DD0">
        <w:rPr>
          <w:lang w:val="es-419"/>
        </w:rPr>
        <w:t>e</w:t>
      </w:r>
      <w:r w:rsidR="00A305DA" w:rsidRPr="008E5DD0">
        <w:rPr>
          <w:lang w:val="es-419"/>
        </w:rPr>
        <w:t xml:space="preserve"> el Estado brinde información desagregada por edad, sexo y</w:t>
      </w:r>
      <w:r w:rsidR="005226DB" w:rsidRPr="008E5DD0">
        <w:rPr>
          <w:lang w:val="es-419"/>
        </w:rPr>
        <w:t xml:space="preserve"> nacionalidad de personas migrantes, solicitantes de asilo y personas con necesidades de protección</w:t>
      </w:r>
      <w:r w:rsidR="00502BAA" w:rsidRPr="008E5DD0">
        <w:rPr>
          <w:lang w:val="es-419"/>
        </w:rPr>
        <w:t xml:space="preserve"> internacional</w:t>
      </w:r>
      <w:r w:rsidR="00041490" w:rsidRPr="008E5DD0">
        <w:rPr>
          <w:lang w:val="es-419"/>
        </w:rPr>
        <w:t xml:space="preserve"> extracontinentales</w:t>
      </w:r>
      <w:r w:rsidR="00502BAA" w:rsidRPr="008E5DD0">
        <w:rPr>
          <w:lang w:val="es-419"/>
        </w:rPr>
        <w:t xml:space="preserve">. </w:t>
      </w:r>
    </w:p>
    <w:p w14:paraId="33C752E9" w14:textId="12B69551" w:rsidR="00223028" w:rsidRPr="008E5DD0" w:rsidRDefault="00E43D7E" w:rsidP="00EF16D7">
      <w:pPr>
        <w:pStyle w:val="Prrafodelista"/>
        <w:numPr>
          <w:ilvl w:val="0"/>
          <w:numId w:val="5"/>
        </w:numPr>
        <w:jc w:val="both"/>
        <w:rPr>
          <w:lang w:val="es-419"/>
        </w:rPr>
      </w:pPr>
      <w:r w:rsidRPr="008E5DD0">
        <w:rPr>
          <w:lang w:val="es-419"/>
        </w:rPr>
        <w:t>L</w:t>
      </w:r>
      <w:r w:rsidR="00223028" w:rsidRPr="008E5DD0">
        <w:rPr>
          <w:lang w:val="es-419"/>
        </w:rPr>
        <w:t>as medidas que el Estado está adoptando para contrarrestar discursos de odio y xenofobia en contra de las personas migrantes</w:t>
      </w:r>
      <w:r w:rsidR="009C04D6" w:rsidRPr="008E5DD0">
        <w:rPr>
          <w:lang w:val="es-419"/>
        </w:rPr>
        <w:t xml:space="preserve"> y solicitantes de asilo,</w:t>
      </w:r>
      <w:r w:rsidR="00223028" w:rsidRPr="008E5DD0">
        <w:rPr>
          <w:lang w:val="es-419"/>
        </w:rPr>
        <w:t xml:space="preserve"> así como las medidas específicas </w:t>
      </w:r>
      <w:r w:rsidR="00437813" w:rsidRPr="008E5DD0">
        <w:rPr>
          <w:lang w:val="es-419"/>
        </w:rPr>
        <w:t>que se adoptan para investigar aquellos ca</w:t>
      </w:r>
      <w:r w:rsidR="00EF1753" w:rsidRPr="008E5DD0">
        <w:rPr>
          <w:lang w:val="es-419"/>
        </w:rPr>
        <w:t>s</w:t>
      </w:r>
      <w:r w:rsidR="00437813" w:rsidRPr="008E5DD0">
        <w:rPr>
          <w:lang w:val="es-419"/>
        </w:rPr>
        <w:t>os que involucran a</w:t>
      </w:r>
      <w:r w:rsidR="00223028" w:rsidRPr="008E5DD0">
        <w:rPr>
          <w:lang w:val="es-419"/>
        </w:rPr>
        <w:t xml:space="preserve"> agentes del Estado</w:t>
      </w:r>
      <w:r w:rsidR="00CD0966" w:rsidRPr="008E5DD0">
        <w:rPr>
          <w:lang w:val="es-419"/>
        </w:rPr>
        <w:t>.</w:t>
      </w:r>
    </w:p>
    <w:p w14:paraId="106FB327" w14:textId="6462864F" w:rsidR="00223028" w:rsidRPr="008E5DD0" w:rsidRDefault="00B95599" w:rsidP="005A5837">
      <w:pPr>
        <w:pStyle w:val="Prrafodelista"/>
        <w:numPr>
          <w:ilvl w:val="0"/>
          <w:numId w:val="5"/>
        </w:numPr>
        <w:jc w:val="both"/>
        <w:rPr>
          <w:lang w:val="es-419"/>
        </w:rPr>
      </w:pPr>
      <w:r w:rsidRPr="008E5DD0">
        <w:rPr>
          <w:lang w:val="es-419"/>
        </w:rPr>
        <w:lastRenderedPageBreak/>
        <w:t>Las medidas que el Estado adopta para prevenir que personas migrantes, solicitantes de asilo y personas que requiere</w:t>
      </w:r>
      <w:r w:rsidR="0019323E">
        <w:rPr>
          <w:lang w:val="es-419"/>
        </w:rPr>
        <w:t>n</w:t>
      </w:r>
      <w:r w:rsidRPr="008E5DD0">
        <w:rPr>
          <w:lang w:val="es-419"/>
        </w:rPr>
        <w:t xml:space="preserve"> protección internacional </w:t>
      </w:r>
      <w:r w:rsidR="000C1D37" w:rsidRPr="008E5DD0">
        <w:rPr>
          <w:lang w:val="es-419"/>
        </w:rPr>
        <w:t xml:space="preserve">caigan en redes de trata de personas. Asimismo, que informe las investigaciones y sentencias que se hayan emitido </w:t>
      </w:r>
      <w:r w:rsidR="00320799" w:rsidRPr="008E5DD0">
        <w:rPr>
          <w:lang w:val="es-419"/>
        </w:rPr>
        <w:t xml:space="preserve">en esta materia. </w:t>
      </w:r>
    </w:p>
    <w:sectPr w:rsidR="00223028" w:rsidRPr="008E5DD0" w:rsidSect="0019323E">
      <w:footerReference w:type="default" r:id="rId12"/>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CCEB7D" w14:textId="77777777" w:rsidR="006F5871" w:rsidRDefault="006F5871" w:rsidP="00A3034E">
      <w:pPr>
        <w:spacing w:after="0" w:line="240" w:lineRule="auto"/>
      </w:pPr>
      <w:r>
        <w:separator/>
      </w:r>
    </w:p>
  </w:endnote>
  <w:endnote w:type="continuationSeparator" w:id="0">
    <w:p w14:paraId="11C03987" w14:textId="77777777" w:rsidR="006F5871" w:rsidRDefault="006F5871" w:rsidP="00A303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7737435"/>
      <w:docPartObj>
        <w:docPartGallery w:val="Page Numbers (Bottom of Page)"/>
        <w:docPartUnique/>
      </w:docPartObj>
    </w:sdtPr>
    <w:sdtEndPr/>
    <w:sdtContent>
      <w:p w14:paraId="4A728509" w14:textId="35C0E3B4" w:rsidR="0019323E" w:rsidRDefault="0019323E">
        <w:pPr>
          <w:pStyle w:val="Piedepgina"/>
          <w:jc w:val="right"/>
        </w:pPr>
        <w:r>
          <w:fldChar w:fldCharType="begin"/>
        </w:r>
        <w:r>
          <w:instrText xml:space="preserve"> PAGE  \* Arabic  \* MERGEFORMAT </w:instrText>
        </w:r>
        <w:r>
          <w:fldChar w:fldCharType="separate"/>
        </w:r>
        <w:r>
          <w:rPr>
            <w:noProof/>
          </w:rPr>
          <w:t>2</w:t>
        </w:r>
        <w:r>
          <w:fldChar w:fldCharType="end"/>
        </w:r>
      </w:p>
    </w:sdtContent>
  </w:sdt>
  <w:p w14:paraId="041DB5A7" w14:textId="77777777" w:rsidR="0019323E" w:rsidRDefault="001932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39984A" w14:textId="77777777" w:rsidR="006F5871" w:rsidRDefault="006F5871" w:rsidP="00A3034E">
      <w:pPr>
        <w:spacing w:after="0" w:line="240" w:lineRule="auto"/>
      </w:pPr>
      <w:r>
        <w:separator/>
      </w:r>
    </w:p>
  </w:footnote>
  <w:footnote w:type="continuationSeparator" w:id="0">
    <w:p w14:paraId="372AFE13" w14:textId="77777777" w:rsidR="006F5871" w:rsidRDefault="006F5871" w:rsidP="00A3034E">
      <w:pPr>
        <w:spacing w:after="0" w:line="240" w:lineRule="auto"/>
      </w:pPr>
      <w:r>
        <w:continuationSeparator/>
      </w:r>
    </w:p>
  </w:footnote>
  <w:footnote w:id="1">
    <w:p w14:paraId="1F9394C9" w14:textId="7080F5D1" w:rsidR="0031160E" w:rsidRPr="00FF737C" w:rsidRDefault="0031160E" w:rsidP="007225EC">
      <w:pPr>
        <w:spacing w:after="0"/>
        <w:jc w:val="both"/>
        <w:rPr>
          <w:rFonts w:cstheme="minorHAnsi"/>
          <w:color w:val="000000"/>
          <w:lang w:val="en-US"/>
        </w:rPr>
      </w:pPr>
      <w:r w:rsidRPr="00CA29A8">
        <w:rPr>
          <w:rFonts w:eastAsia="Open Sans" w:cstheme="minorHAnsi"/>
          <w:sz w:val="20"/>
          <w:szCs w:val="20"/>
          <w:vertAlign w:val="superscript"/>
          <w:lang w:val="es-419"/>
        </w:rPr>
        <w:footnoteRef/>
      </w:r>
      <w:r w:rsidRPr="00FF737C">
        <w:rPr>
          <w:rFonts w:eastAsia="Open Sans" w:cstheme="minorHAnsi"/>
          <w:sz w:val="20"/>
          <w:szCs w:val="20"/>
          <w:lang w:val="en-US"/>
        </w:rPr>
        <w:t xml:space="preserve"> </w:t>
      </w:r>
      <w:r w:rsidRPr="00FF737C">
        <w:rPr>
          <w:rFonts w:eastAsia="Open Sans" w:cstheme="minorHAnsi"/>
          <w:i/>
          <w:iCs/>
          <w:sz w:val="20"/>
          <w:szCs w:val="20"/>
          <w:lang w:val="en-US"/>
        </w:rPr>
        <w:t>Ver</w:t>
      </w:r>
      <w:r w:rsidR="007225EC" w:rsidRPr="00FF737C">
        <w:rPr>
          <w:rFonts w:eastAsia="Open Sans" w:cstheme="minorHAnsi"/>
          <w:sz w:val="20"/>
          <w:szCs w:val="20"/>
          <w:lang w:val="en-US"/>
        </w:rPr>
        <w:t xml:space="preserve"> Call for inputs for the Report on human rights violations at international borders: trends, prevention and accountability</w:t>
      </w:r>
      <w:r w:rsidRPr="00FF737C">
        <w:rPr>
          <w:rFonts w:eastAsia="Open Sans" w:cstheme="minorHAnsi"/>
          <w:sz w:val="20"/>
          <w:szCs w:val="20"/>
          <w:lang w:val="en-US"/>
        </w:rPr>
        <w:t>: https://www.ohchr.org/sites/default/files/2022-04/FISubmissionColombia-Panama-EUA.docx</w:t>
      </w:r>
    </w:p>
  </w:footnote>
  <w:footnote w:id="2">
    <w:p w14:paraId="3AD357F2" w14:textId="75AAD841" w:rsidR="00AA0779" w:rsidRPr="00CA29A8" w:rsidRDefault="00AA0779" w:rsidP="007225EC">
      <w:pPr>
        <w:spacing w:after="0" w:line="240" w:lineRule="auto"/>
        <w:mirrorIndents/>
        <w:jc w:val="both"/>
        <w:rPr>
          <w:rFonts w:eastAsia="Open Sans" w:cstheme="minorHAnsi"/>
          <w:sz w:val="20"/>
          <w:szCs w:val="20"/>
          <w:lang w:val="es-419"/>
        </w:rPr>
      </w:pPr>
      <w:r w:rsidRPr="00CA29A8">
        <w:rPr>
          <w:rFonts w:cstheme="minorHAnsi"/>
          <w:sz w:val="20"/>
          <w:szCs w:val="20"/>
          <w:vertAlign w:val="superscript"/>
          <w:lang w:val="es-419"/>
        </w:rPr>
        <w:footnoteRef/>
      </w:r>
      <w:r w:rsidR="00CA29A8">
        <w:rPr>
          <w:rFonts w:cstheme="minorHAnsi"/>
          <w:sz w:val="20"/>
          <w:szCs w:val="20"/>
          <w:lang w:val="es-419"/>
        </w:rPr>
        <w:t xml:space="preserve"> </w:t>
      </w:r>
      <w:r w:rsidR="0CA7B020" w:rsidRPr="00CA29A8">
        <w:rPr>
          <w:rFonts w:eastAsia="Open Sans" w:cstheme="minorHAnsi"/>
          <w:sz w:val="20"/>
          <w:szCs w:val="20"/>
          <w:lang w:val="es-419"/>
        </w:rPr>
        <w:t xml:space="preserve">Congreso de la República. </w:t>
      </w:r>
      <w:r w:rsidR="0CA7B020" w:rsidRPr="00CA29A8">
        <w:rPr>
          <w:rFonts w:eastAsia="Open Sans" w:cstheme="minorHAnsi"/>
          <w:i/>
          <w:iCs/>
          <w:sz w:val="20"/>
          <w:szCs w:val="20"/>
          <w:lang w:val="es-419"/>
        </w:rPr>
        <w:t>"Ley 2136 De 2021"</w:t>
      </w:r>
      <w:r w:rsidR="0CA7B020" w:rsidRPr="00CA29A8">
        <w:rPr>
          <w:rFonts w:eastAsia="Open Sans" w:cstheme="minorHAnsi"/>
          <w:sz w:val="20"/>
          <w:szCs w:val="20"/>
          <w:lang w:val="es-419"/>
        </w:rPr>
        <w:t>. 2021. Accesible en:</w:t>
      </w:r>
      <w:r w:rsidR="006C0F11" w:rsidRPr="00CA29A8">
        <w:rPr>
          <w:rFonts w:eastAsia="Open Sans" w:cstheme="minorHAnsi"/>
          <w:sz w:val="20"/>
          <w:szCs w:val="20"/>
          <w:lang w:val="es-419"/>
        </w:rPr>
        <w:t xml:space="preserve"> </w:t>
      </w:r>
      <w:r w:rsidR="0CA7B020" w:rsidRPr="00CA29A8">
        <w:rPr>
          <w:rFonts w:eastAsia="Open Sans" w:cstheme="minorHAnsi"/>
          <w:sz w:val="20"/>
          <w:szCs w:val="20"/>
          <w:lang w:val="es-419"/>
        </w:rPr>
        <w:t>https://dapre.presidencia.gov.co/normativa/normativa/LEY%202136%20DEL%204%20DE%20AGOSTO%20DE%202021.pdf.</w:t>
      </w:r>
    </w:p>
  </w:footnote>
  <w:footnote w:id="3">
    <w:p w14:paraId="58E1BBAD" w14:textId="3E253067" w:rsidR="00AA0779" w:rsidRPr="00CA29A8" w:rsidRDefault="00AA0779" w:rsidP="007225EC">
      <w:pPr>
        <w:spacing w:after="0" w:line="240" w:lineRule="auto"/>
        <w:mirrorIndents/>
        <w:jc w:val="both"/>
        <w:rPr>
          <w:rFonts w:cstheme="minorHAnsi"/>
          <w:sz w:val="20"/>
          <w:szCs w:val="20"/>
          <w:lang w:val="es-419"/>
        </w:rPr>
      </w:pPr>
      <w:r w:rsidRPr="00CA29A8">
        <w:rPr>
          <w:rFonts w:cstheme="minorHAnsi"/>
          <w:sz w:val="20"/>
          <w:szCs w:val="20"/>
          <w:vertAlign w:val="superscript"/>
          <w:lang w:val="es-419"/>
        </w:rPr>
        <w:footnoteRef/>
      </w:r>
      <w:r w:rsidR="0CA7B020" w:rsidRPr="00CA29A8">
        <w:rPr>
          <w:rFonts w:cstheme="minorHAnsi"/>
          <w:sz w:val="20"/>
          <w:szCs w:val="20"/>
          <w:lang w:val="es-419"/>
        </w:rPr>
        <w:t xml:space="preserve"> Defensoría del Pueblo. </w:t>
      </w:r>
      <w:r w:rsidR="0CA7B020" w:rsidRPr="00CA29A8">
        <w:rPr>
          <w:rFonts w:cstheme="minorHAnsi"/>
          <w:i/>
          <w:iCs/>
          <w:sz w:val="20"/>
          <w:szCs w:val="20"/>
          <w:lang w:val="es-419"/>
        </w:rPr>
        <w:t>Informe defensorial visita CIDH. Colombia protesta social abril-junio 2021</w:t>
      </w:r>
      <w:r w:rsidR="0CA7B020" w:rsidRPr="00CA29A8">
        <w:rPr>
          <w:rFonts w:cstheme="minorHAnsi"/>
          <w:sz w:val="20"/>
          <w:szCs w:val="20"/>
          <w:lang w:val="es-419"/>
        </w:rPr>
        <w:t xml:space="preserve">. 2021. </w:t>
      </w:r>
      <w:r w:rsidR="0CA7B020" w:rsidRPr="00CA29A8">
        <w:rPr>
          <w:rFonts w:eastAsia="Open Sans" w:cstheme="minorHAnsi"/>
          <w:sz w:val="20"/>
          <w:szCs w:val="20"/>
          <w:lang w:val="es-419"/>
        </w:rPr>
        <w:t>Accesible en</w:t>
      </w:r>
      <w:r w:rsidR="0CA7B020" w:rsidRPr="00CA29A8">
        <w:rPr>
          <w:rFonts w:cstheme="minorHAnsi"/>
          <w:sz w:val="20"/>
          <w:szCs w:val="20"/>
          <w:lang w:val="es-419"/>
        </w:rPr>
        <w:t xml:space="preserve">: </w:t>
      </w:r>
      <w:hyperlink r:id="rId1">
        <w:r w:rsidR="0CA7B020" w:rsidRPr="00CA29A8">
          <w:rPr>
            <w:rFonts w:cstheme="minorHAnsi"/>
            <w:sz w:val="20"/>
            <w:szCs w:val="20"/>
            <w:u w:val="single"/>
            <w:lang w:val="es-419"/>
          </w:rPr>
          <w:t>https://defensoria.gov.co/public/minisite/protestasocial/assets/informe-visita-cidh.pdf</w:t>
        </w:r>
      </w:hyperlink>
      <w:r w:rsidR="0CA7B020" w:rsidRPr="00CA29A8">
        <w:rPr>
          <w:rFonts w:cstheme="minorHAnsi"/>
          <w:sz w:val="20"/>
          <w:szCs w:val="20"/>
          <w:lang w:val="es-419"/>
        </w:rPr>
        <w:t xml:space="preserve">.  </w:t>
      </w:r>
    </w:p>
  </w:footnote>
  <w:footnote w:id="4">
    <w:p w14:paraId="66E9B0BD" w14:textId="551D21DA" w:rsidR="00AA0779" w:rsidRPr="00CA29A8" w:rsidRDefault="00AA0779" w:rsidP="007225EC">
      <w:pPr>
        <w:spacing w:after="0" w:line="240" w:lineRule="auto"/>
        <w:mirrorIndents/>
        <w:jc w:val="both"/>
        <w:rPr>
          <w:rFonts w:cstheme="minorHAnsi"/>
          <w:sz w:val="20"/>
          <w:szCs w:val="20"/>
          <w:lang w:val="es-419"/>
        </w:rPr>
      </w:pPr>
      <w:r w:rsidRPr="00CA29A8">
        <w:rPr>
          <w:rFonts w:cstheme="minorHAnsi"/>
          <w:sz w:val="20"/>
          <w:szCs w:val="20"/>
          <w:vertAlign w:val="superscript"/>
          <w:lang w:val="es-419"/>
        </w:rPr>
        <w:footnoteRef/>
      </w:r>
      <w:r w:rsidR="0CA7B020" w:rsidRPr="00CA29A8">
        <w:rPr>
          <w:rFonts w:cstheme="minorHAnsi"/>
          <w:sz w:val="20"/>
          <w:szCs w:val="20"/>
          <w:lang w:val="es-419"/>
        </w:rPr>
        <w:t xml:space="preserve"> Torrado, S. </w:t>
      </w:r>
      <w:r w:rsidR="0CA7B020" w:rsidRPr="00CA29A8">
        <w:rPr>
          <w:rFonts w:cstheme="minorHAnsi"/>
          <w:i/>
          <w:iCs/>
          <w:sz w:val="20"/>
          <w:szCs w:val="20"/>
          <w:lang w:val="es-419"/>
        </w:rPr>
        <w:t>La alcaldesa de Bogotá agita la bandera de la xenofobia contra los venezolanos en Colombia</w:t>
      </w:r>
      <w:r w:rsidR="0CA7B020" w:rsidRPr="00CA29A8">
        <w:rPr>
          <w:rFonts w:cstheme="minorHAnsi"/>
          <w:sz w:val="20"/>
          <w:szCs w:val="20"/>
          <w:lang w:val="es-419"/>
        </w:rPr>
        <w:t xml:space="preserve">. Internacional. El País. 2021. </w:t>
      </w:r>
      <w:r w:rsidR="0CA7B020" w:rsidRPr="00CA29A8">
        <w:rPr>
          <w:rFonts w:eastAsia="Open Sans" w:cstheme="minorHAnsi"/>
          <w:sz w:val="20"/>
          <w:szCs w:val="20"/>
          <w:lang w:val="es-419"/>
        </w:rPr>
        <w:t>Accesible en</w:t>
      </w:r>
      <w:r w:rsidR="0CA7B020" w:rsidRPr="00CA29A8">
        <w:rPr>
          <w:rFonts w:cstheme="minorHAnsi"/>
          <w:sz w:val="20"/>
          <w:szCs w:val="20"/>
          <w:lang w:val="es-419"/>
        </w:rPr>
        <w:t xml:space="preserve">: </w:t>
      </w:r>
      <w:hyperlink r:id="rId2">
        <w:r w:rsidR="0CA7B020" w:rsidRPr="00CA29A8">
          <w:rPr>
            <w:rFonts w:cstheme="minorHAnsi"/>
            <w:sz w:val="20"/>
            <w:szCs w:val="20"/>
            <w:u w:val="single"/>
            <w:lang w:val="es-419"/>
          </w:rPr>
          <w:t>https://elpais.com/internacional/2021-03-18/la-alcaldesa-de-bogota-agita-la-bandera-de-la-xenofobia-contra-los-venezolanos-en-colombia.html</w:t>
        </w:r>
      </w:hyperlink>
      <w:r w:rsidR="0CA7B020" w:rsidRPr="00CA29A8">
        <w:rPr>
          <w:rFonts w:cstheme="minorHAnsi"/>
          <w:sz w:val="20"/>
          <w:szCs w:val="20"/>
          <w:lang w:val="es-419"/>
        </w:rPr>
        <w:t xml:space="preserve"> </w:t>
      </w:r>
    </w:p>
  </w:footnote>
  <w:footnote w:id="5">
    <w:p w14:paraId="2E2E3B25" w14:textId="1CB0755C" w:rsidR="00AA0779" w:rsidRPr="00CA29A8" w:rsidRDefault="00AA0779" w:rsidP="007225EC">
      <w:pPr>
        <w:pStyle w:val="Ttulo1"/>
        <w:spacing w:before="0" w:line="240" w:lineRule="auto"/>
        <w:mirrorIndents/>
        <w:jc w:val="both"/>
        <w:rPr>
          <w:rFonts w:asciiTheme="minorHAnsi" w:hAnsiTheme="minorHAnsi" w:cstheme="minorHAnsi"/>
          <w:color w:val="auto"/>
          <w:sz w:val="20"/>
          <w:szCs w:val="20"/>
          <w:lang w:val="es-419"/>
        </w:rPr>
      </w:pPr>
      <w:r w:rsidRPr="00CA29A8">
        <w:rPr>
          <w:rFonts w:asciiTheme="minorHAnsi" w:hAnsiTheme="minorHAnsi" w:cstheme="minorHAnsi"/>
          <w:color w:val="auto"/>
          <w:sz w:val="20"/>
          <w:szCs w:val="20"/>
          <w:vertAlign w:val="superscript"/>
          <w:lang w:val="es-419"/>
        </w:rPr>
        <w:footnoteRef/>
      </w:r>
      <w:r w:rsidR="0CA7B020" w:rsidRPr="00CA29A8">
        <w:rPr>
          <w:rFonts w:asciiTheme="minorHAnsi" w:hAnsiTheme="minorHAnsi" w:cstheme="minorHAnsi"/>
          <w:color w:val="auto"/>
          <w:sz w:val="20"/>
          <w:szCs w:val="20"/>
          <w:lang w:val="es-419"/>
        </w:rPr>
        <w:t xml:space="preserve"> Redacción Mundo. </w:t>
      </w:r>
      <w:r w:rsidR="0CA7B020" w:rsidRPr="00CA29A8">
        <w:rPr>
          <w:rFonts w:asciiTheme="minorHAnsi" w:eastAsia="Calibri" w:hAnsiTheme="minorHAnsi" w:cstheme="minorHAnsi"/>
          <w:color w:val="auto"/>
          <w:sz w:val="20"/>
          <w:szCs w:val="20"/>
          <w:lang w:val="es-419"/>
        </w:rPr>
        <w:t>¿</w:t>
      </w:r>
      <w:r w:rsidR="0CA7B020" w:rsidRPr="00CA29A8">
        <w:rPr>
          <w:rFonts w:asciiTheme="minorHAnsi" w:hAnsiTheme="minorHAnsi" w:cstheme="minorHAnsi"/>
          <w:color w:val="auto"/>
          <w:sz w:val="20"/>
          <w:szCs w:val="20"/>
          <w:lang w:val="es-419"/>
        </w:rPr>
        <w:t xml:space="preserve">Por qué son tan graves las declaraciones xenófobas de Claudia López?. </w:t>
      </w:r>
      <w:r w:rsidR="0CA7B020" w:rsidRPr="00CA29A8">
        <w:rPr>
          <w:rFonts w:asciiTheme="minorHAnsi" w:hAnsiTheme="minorHAnsi" w:cstheme="minorHAnsi"/>
          <w:i/>
          <w:iCs/>
          <w:color w:val="auto"/>
          <w:sz w:val="20"/>
          <w:szCs w:val="20"/>
          <w:lang w:val="es-419"/>
        </w:rPr>
        <w:t xml:space="preserve">El Espectador. </w:t>
      </w:r>
      <w:r w:rsidR="0CA7B020" w:rsidRPr="00CA29A8">
        <w:rPr>
          <w:rFonts w:asciiTheme="minorHAnsi" w:hAnsiTheme="minorHAnsi" w:cstheme="minorHAnsi"/>
          <w:color w:val="auto"/>
          <w:sz w:val="20"/>
          <w:szCs w:val="20"/>
          <w:lang w:val="es-419"/>
        </w:rPr>
        <w:t>2021. Accesible en: https://www.elespectador.com/mundo/mas-paises/por-que-son-tan-graves-las-declaraciones-xenofobas-de-claudia-lopez-article/</w:t>
      </w:r>
    </w:p>
  </w:footnote>
  <w:footnote w:id="6">
    <w:p w14:paraId="3E9FD747" w14:textId="3E3681D1" w:rsidR="00AA0779" w:rsidRPr="00CA29A8" w:rsidRDefault="00AA0779" w:rsidP="007225EC">
      <w:pPr>
        <w:pStyle w:val="Ttulo1"/>
        <w:shd w:val="clear" w:color="auto" w:fill="FFFFFF"/>
        <w:spacing w:before="0"/>
        <w:jc w:val="both"/>
        <w:rPr>
          <w:rFonts w:asciiTheme="minorHAnsi" w:hAnsiTheme="minorHAnsi" w:cstheme="minorHAnsi"/>
          <w:color w:val="auto"/>
          <w:sz w:val="20"/>
          <w:szCs w:val="20"/>
          <w:lang w:val="es-419"/>
        </w:rPr>
      </w:pPr>
      <w:r w:rsidRPr="00CA29A8">
        <w:rPr>
          <w:rFonts w:asciiTheme="minorHAnsi" w:hAnsiTheme="minorHAnsi" w:cstheme="minorHAnsi"/>
          <w:color w:val="auto"/>
          <w:sz w:val="20"/>
          <w:szCs w:val="20"/>
          <w:vertAlign w:val="superscript"/>
          <w:lang w:val="es-419"/>
        </w:rPr>
        <w:footnoteRef/>
      </w:r>
      <w:r w:rsidRPr="00CA29A8">
        <w:rPr>
          <w:rFonts w:asciiTheme="minorHAnsi" w:hAnsiTheme="minorHAnsi" w:cstheme="minorHAnsi"/>
          <w:color w:val="auto"/>
          <w:sz w:val="20"/>
          <w:szCs w:val="20"/>
          <w:lang w:val="es-419"/>
        </w:rPr>
        <w:t xml:space="preserve"> </w:t>
      </w:r>
      <w:r w:rsidR="00E04AFC" w:rsidRPr="00CA29A8">
        <w:rPr>
          <w:rFonts w:asciiTheme="minorHAnsi" w:hAnsiTheme="minorHAnsi" w:cstheme="minorHAnsi"/>
          <w:color w:val="auto"/>
          <w:sz w:val="20"/>
          <w:szCs w:val="20"/>
          <w:lang w:val="es-419"/>
        </w:rPr>
        <w:t xml:space="preserve">La </w:t>
      </w:r>
      <w:r w:rsidR="00310786" w:rsidRPr="00CA29A8">
        <w:rPr>
          <w:rFonts w:asciiTheme="minorHAnsi" w:hAnsiTheme="minorHAnsi" w:cstheme="minorHAnsi"/>
          <w:color w:val="auto"/>
          <w:sz w:val="20"/>
          <w:szCs w:val="20"/>
          <w:lang w:val="es-419"/>
        </w:rPr>
        <w:t>O</w:t>
      </w:r>
      <w:r w:rsidR="00E04AFC" w:rsidRPr="00CA29A8">
        <w:rPr>
          <w:rFonts w:asciiTheme="minorHAnsi" w:hAnsiTheme="minorHAnsi" w:cstheme="minorHAnsi"/>
          <w:color w:val="auto"/>
          <w:sz w:val="20"/>
          <w:szCs w:val="20"/>
          <w:lang w:val="es-419"/>
        </w:rPr>
        <w:t xml:space="preserve">pinión, “Publicaciones discriminatorias en redes aumentan 347% tras declaraciones de Claudia López”, 12 de marzo de 2021, Accesible en: </w:t>
      </w:r>
      <w:hyperlink r:id="rId3" w:history="1">
        <w:r w:rsidR="00E04AFC" w:rsidRPr="00CA29A8">
          <w:rPr>
            <w:rStyle w:val="Hipervnculo"/>
            <w:rFonts w:asciiTheme="minorHAnsi" w:hAnsiTheme="minorHAnsi" w:cstheme="minorHAnsi"/>
            <w:color w:val="auto"/>
            <w:sz w:val="20"/>
            <w:szCs w:val="20"/>
            <w:lang w:val="es-419"/>
          </w:rPr>
          <w:t>https://www.laopinion.com.co/frontera/publicaciones-discriminatorias-en-redes-aumentan-347-tras-declaraciones-de-claudia-lopez</w:t>
        </w:r>
      </w:hyperlink>
    </w:p>
  </w:footnote>
  <w:footnote w:id="7">
    <w:p w14:paraId="3455D147" w14:textId="4C1F13DB" w:rsidR="13F68709" w:rsidRPr="00CA29A8" w:rsidRDefault="00AA0779" w:rsidP="007225EC">
      <w:pPr>
        <w:spacing w:after="0" w:line="240" w:lineRule="auto"/>
        <w:mirrorIndents/>
        <w:jc w:val="both"/>
        <w:rPr>
          <w:rFonts w:eastAsia="Open Sans" w:cstheme="minorHAnsi"/>
          <w:sz w:val="20"/>
          <w:szCs w:val="20"/>
          <w:lang w:val="es-419"/>
        </w:rPr>
      </w:pPr>
      <w:r w:rsidRPr="00CA29A8">
        <w:rPr>
          <w:rFonts w:cstheme="minorHAnsi"/>
          <w:sz w:val="20"/>
          <w:szCs w:val="20"/>
          <w:vertAlign w:val="superscript"/>
          <w:lang w:val="es-419"/>
        </w:rPr>
        <w:footnoteRef/>
      </w:r>
      <w:r w:rsidR="13F68709" w:rsidRPr="00CA29A8">
        <w:rPr>
          <w:rFonts w:cstheme="minorHAnsi"/>
          <w:sz w:val="20"/>
          <w:szCs w:val="20"/>
          <w:lang w:val="es-419"/>
        </w:rPr>
        <w:t xml:space="preserve"> </w:t>
      </w:r>
      <w:r w:rsidR="13F68709" w:rsidRPr="00CA29A8">
        <w:rPr>
          <w:rFonts w:eastAsia="Open Sans" w:cstheme="minorHAnsi"/>
          <w:sz w:val="20"/>
          <w:szCs w:val="20"/>
          <w:lang w:val="es-419"/>
        </w:rPr>
        <w:t xml:space="preserve">Congreso de la República. </w:t>
      </w:r>
      <w:r w:rsidR="13F68709" w:rsidRPr="00CA29A8">
        <w:rPr>
          <w:rFonts w:eastAsia="Open Sans" w:cstheme="minorHAnsi"/>
          <w:i/>
          <w:iCs/>
          <w:sz w:val="20"/>
          <w:szCs w:val="20"/>
          <w:lang w:val="es-419"/>
        </w:rPr>
        <w:t>"Ley 2136 De 2021"</w:t>
      </w:r>
      <w:r w:rsidR="13F68709" w:rsidRPr="00CA29A8">
        <w:rPr>
          <w:rFonts w:eastAsia="Open Sans" w:cstheme="minorHAnsi"/>
          <w:sz w:val="20"/>
          <w:szCs w:val="20"/>
          <w:lang w:val="es-419"/>
        </w:rPr>
        <w:t xml:space="preserve">. </w:t>
      </w:r>
      <w:r w:rsidR="13F68709" w:rsidRPr="00CA29A8">
        <w:rPr>
          <w:rFonts w:cstheme="minorHAnsi"/>
          <w:sz w:val="20"/>
          <w:szCs w:val="20"/>
          <w:lang w:val="es-419"/>
        </w:rPr>
        <w:t xml:space="preserve">Numeral 2, artículo 9. </w:t>
      </w:r>
      <w:r w:rsidR="13F68709" w:rsidRPr="00CA29A8">
        <w:rPr>
          <w:rFonts w:eastAsia="Open Sans" w:cstheme="minorHAnsi"/>
          <w:sz w:val="20"/>
          <w:szCs w:val="20"/>
          <w:lang w:val="es-419"/>
        </w:rPr>
        <w:t>2021</w:t>
      </w:r>
    </w:p>
  </w:footnote>
  <w:footnote w:id="8">
    <w:p w14:paraId="05C3ED09" w14:textId="1CAB86F5" w:rsidR="00AA0779" w:rsidRPr="00CA29A8" w:rsidRDefault="00AA0779" w:rsidP="007225EC">
      <w:pPr>
        <w:spacing w:after="0" w:line="240" w:lineRule="auto"/>
        <w:mirrorIndents/>
        <w:jc w:val="both"/>
        <w:rPr>
          <w:rFonts w:cstheme="minorHAnsi"/>
          <w:sz w:val="20"/>
          <w:szCs w:val="20"/>
          <w:lang w:val="es-419"/>
        </w:rPr>
      </w:pPr>
      <w:r w:rsidRPr="00CA29A8">
        <w:rPr>
          <w:rFonts w:cstheme="minorHAnsi"/>
          <w:sz w:val="20"/>
          <w:szCs w:val="20"/>
          <w:vertAlign w:val="superscript"/>
          <w:lang w:val="es-419"/>
        </w:rPr>
        <w:footnoteRef/>
      </w:r>
      <w:r w:rsidR="13F68709" w:rsidRPr="00CA29A8">
        <w:rPr>
          <w:rFonts w:cstheme="minorHAnsi"/>
          <w:sz w:val="20"/>
          <w:szCs w:val="20"/>
          <w:lang w:val="es-419"/>
        </w:rPr>
        <w:t xml:space="preserve"> </w:t>
      </w:r>
      <w:r w:rsidR="13F68709" w:rsidRPr="00CA29A8">
        <w:rPr>
          <w:rFonts w:eastAsia="Open Sans" w:cstheme="minorHAnsi"/>
          <w:sz w:val="20"/>
          <w:szCs w:val="20"/>
          <w:lang w:val="es-419"/>
        </w:rPr>
        <w:t xml:space="preserve">Congreso de la República. </w:t>
      </w:r>
      <w:r w:rsidR="13F68709" w:rsidRPr="00CA29A8">
        <w:rPr>
          <w:rFonts w:eastAsia="Open Sans" w:cstheme="minorHAnsi"/>
          <w:i/>
          <w:iCs/>
          <w:sz w:val="20"/>
          <w:szCs w:val="20"/>
          <w:lang w:val="es-419"/>
        </w:rPr>
        <w:t>"Ley 2136 De 2021"</w:t>
      </w:r>
      <w:r w:rsidR="13F68709" w:rsidRPr="00CA29A8">
        <w:rPr>
          <w:rFonts w:eastAsia="Open Sans" w:cstheme="minorHAnsi"/>
          <w:sz w:val="20"/>
          <w:szCs w:val="20"/>
          <w:lang w:val="es-419"/>
        </w:rPr>
        <w:t>.</w:t>
      </w:r>
      <w:r w:rsidR="13F68709" w:rsidRPr="00CA29A8">
        <w:rPr>
          <w:rFonts w:cstheme="minorHAnsi"/>
          <w:sz w:val="20"/>
          <w:szCs w:val="20"/>
          <w:lang w:val="es-419"/>
        </w:rPr>
        <w:t xml:space="preserve"> Artículo 10. 2021.</w:t>
      </w:r>
    </w:p>
  </w:footnote>
  <w:footnote w:id="9">
    <w:p w14:paraId="4869291E" w14:textId="042D773B" w:rsidR="00AA0779" w:rsidRPr="00CA29A8" w:rsidRDefault="00AA0779" w:rsidP="007225EC">
      <w:pPr>
        <w:spacing w:after="0" w:line="240" w:lineRule="auto"/>
        <w:mirrorIndents/>
        <w:jc w:val="both"/>
        <w:rPr>
          <w:rFonts w:cstheme="minorHAnsi"/>
          <w:sz w:val="20"/>
          <w:szCs w:val="20"/>
          <w:lang w:val="es-419"/>
        </w:rPr>
      </w:pPr>
      <w:r w:rsidRPr="00CA29A8">
        <w:rPr>
          <w:rFonts w:cstheme="minorHAnsi"/>
          <w:sz w:val="20"/>
          <w:szCs w:val="20"/>
          <w:vertAlign w:val="superscript"/>
          <w:lang w:val="es-419"/>
        </w:rPr>
        <w:footnoteRef/>
      </w:r>
      <w:r w:rsidR="0CA7B020" w:rsidRPr="00CA29A8">
        <w:rPr>
          <w:rFonts w:cstheme="minorHAnsi"/>
          <w:sz w:val="20"/>
          <w:szCs w:val="20"/>
          <w:lang w:val="es-419"/>
        </w:rPr>
        <w:t xml:space="preserve"> </w:t>
      </w:r>
      <w:r w:rsidR="0CA7B020" w:rsidRPr="00CA29A8">
        <w:rPr>
          <w:rFonts w:eastAsia="Open Sans" w:cstheme="minorHAnsi"/>
          <w:sz w:val="20"/>
          <w:szCs w:val="20"/>
          <w:lang w:val="es-419"/>
        </w:rPr>
        <w:t xml:space="preserve">Congreso de la República. </w:t>
      </w:r>
      <w:r w:rsidR="0CA7B020" w:rsidRPr="00CA29A8">
        <w:rPr>
          <w:rFonts w:eastAsia="Open Sans" w:cstheme="minorHAnsi"/>
          <w:i/>
          <w:iCs/>
          <w:sz w:val="20"/>
          <w:szCs w:val="20"/>
          <w:lang w:val="es-419"/>
        </w:rPr>
        <w:t>"Ley 2136 De 2021"</w:t>
      </w:r>
      <w:r w:rsidR="0CA7B020" w:rsidRPr="00CA29A8">
        <w:rPr>
          <w:rFonts w:eastAsia="Open Sans" w:cstheme="minorHAnsi"/>
          <w:sz w:val="20"/>
          <w:szCs w:val="20"/>
          <w:lang w:val="es-419"/>
        </w:rPr>
        <w:t>.</w:t>
      </w:r>
      <w:r w:rsidR="0CA7B020" w:rsidRPr="00CA29A8">
        <w:rPr>
          <w:rFonts w:cstheme="minorHAnsi"/>
          <w:sz w:val="20"/>
          <w:szCs w:val="20"/>
          <w:lang w:val="es-419"/>
        </w:rPr>
        <w:t xml:space="preserve"> Artículo 13. 2021.</w:t>
      </w:r>
    </w:p>
  </w:footnote>
  <w:footnote w:id="10">
    <w:p w14:paraId="784BFCD6" w14:textId="4D76EBA4" w:rsidR="00AA0779" w:rsidRPr="00CA29A8" w:rsidRDefault="00AA0779" w:rsidP="007225EC">
      <w:pPr>
        <w:spacing w:after="0" w:line="240" w:lineRule="auto"/>
        <w:mirrorIndents/>
        <w:jc w:val="both"/>
        <w:rPr>
          <w:rFonts w:eastAsia="Open Sans" w:cstheme="minorHAnsi"/>
          <w:sz w:val="20"/>
          <w:szCs w:val="20"/>
          <w:lang w:val="es-419"/>
        </w:rPr>
      </w:pPr>
      <w:r w:rsidRPr="00CA29A8">
        <w:rPr>
          <w:rFonts w:cstheme="minorHAnsi"/>
          <w:sz w:val="20"/>
          <w:szCs w:val="20"/>
          <w:vertAlign w:val="superscript"/>
          <w:lang w:val="es-419"/>
        </w:rPr>
        <w:footnoteRef/>
      </w:r>
      <w:r w:rsidR="0CA7B020" w:rsidRPr="00CA29A8">
        <w:rPr>
          <w:rFonts w:cstheme="minorHAnsi"/>
          <w:sz w:val="20"/>
          <w:szCs w:val="20"/>
          <w:lang w:val="es-419"/>
        </w:rPr>
        <w:t xml:space="preserve"> Los migrantes permanecieron detenidos en el Centro de Traslado por Protección de Puente Aranda en condiciones inadecuadas. A los dos días, en la madrugada, fueron llevadas al Comando Aéreo de Transporte Militar (CATAM), trasladadas a la Amazonía y abandonadas en medio del Río Orinoco. No les entregaron copia del acta de expulsión ni les dieron acceso a la representación jurídica. Accesible en: </w:t>
      </w:r>
    </w:p>
    <w:p w14:paraId="055B3C3E" w14:textId="18E37C43" w:rsidR="00AA0779" w:rsidRPr="00CA29A8" w:rsidRDefault="0CA7B020" w:rsidP="007225EC">
      <w:pPr>
        <w:spacing w:after="0" w:line="240" w:lineRule="auto"/>
        <w:mirrorIndents/>
        <w:jc w:val="both"/>
        <w:rPr>
          <w:rFonts w:eastAsia="Open Sans" w:cstheme="minorHAnsi"/>
          <w:sz w:val="20"/>
          <w:szCs w:val="20"/>
          <w:lang w:val="es-419"/>
        </w:rPr>
      </w:pPr>
      <w:r w:rsidRPr="00CA29A8">
        <w:rPr>
          <w:rFonts w:eastAsia="Open Sans" w:cstheme="minorHAnsi"/>
          <w:sz w:val="20"/>
          <w:szCs w:val="20"/>
          <w:lang w:val="es-419"/>
        </w:rPr>
        <w:t xml:space="preserve">Dejusticia. "Corte Constitucional Protegió A Siete Migrantes Expulsados De Forma Arbitraria En El Paro Nacional". </w:t>
      </w:r>
      <w:r w:rsidRPr="00CA29A8">
        <w:rPr>
          <w:rFonts w:eastAsia="Open Sans" w:cstheme="minorHAnsi"/>
          <w:i/>
          <w:iCs/>
          <w:sz w:val="20"/>
          <w:szCs w:val="20"/>
          <w:lang w:val="es-419"/>
        </w:rPr>
        <w:t>Dejusticia</w:t>
      </w:r>
      <w:r w:rsidRPr="00CA29A8">
        <w:rPr>
          <w:rFonts w:eastAsia="Open Sans" w:cstheme="minorHAnsi"/>
          <w:sz w:val="20"/>
          <w:szCs w:val="20"/>
          <w:lang w:val="es-419"/>
        </w:rPr>
        <w:t xml:space="preserve">, 2021, </w:t>
      </w:r>
      <w:r w:rsidRPr="00CA29A8">
        <w:rPr>
          <w:rFonts w:cstheme="minorHAnsi"/>
          <w:sz w:val="20"/>
          <w:szCs w:val="20"/>
          <w:lang w:val="es-419"/>
        </w:rPr>
        <w:t>Accesible en</w:t>
      </w:r>
      <w:r w:rsidRPr="00CA29A8">
        <w:rPr>
          <w:rFonts w:eastAsia="Open Sans" w:cstheme="minorHAnsi"/>
          <w:sz w:val="20"/>
          <w:szCs w:val="20"/>
          <w:lang w:val="es-419"/>
        </w:rPr>
        <w:t>: https://www.dejusticia.org/corte-constitucional-protegio-a-siete-migrantes-expulsados-de-forma-arbitraria-en-el-paro-nacional/.</w:t>
      </w:r>
    </w:p>
  </w:footnote>
  <w:footnote w:id="11">
    <w:p w14:paraId="529B3F3D" w14:textId="63E6A102" w:rsidR="00AA0779" w:rsidRPr="00CA29A8" w:rsidRDefault="00AA0779" w:rsidP="007225EC">
      <w:pPr>
        <w:spacing w:after="0" w:line="240" w:lineRule="auto"/>
        <w:mirrorIndents/>
        <w:jc w:val="both"/>
        <w:rPr>
          <w:rFonts w:cstheme="minorHAnsi"/>
          <w:sz w:val="20"/>
          <w:szCs w:val="20"/>
          <w:lang w:val="es-419"/>
        </w:rPr>
      </w:pPr>
      <w:r w:rsidRPr="00CA29A8">
        <w:rPr>
          <w:rFonts w:cstheme="minorHAnsi"/>
          <w:sz w:val="20"/>
          <w:szCs w:val="20"/>
          <w:vertAlign w:val="superscript"/>
          <w:lang w:val="es-419"/>
        </w:rPr>
        <w:footnoteRef/>
      </w:r>
      <w:r w:rsidR="0CA7B020" w:rsidRPr="00CA29A8">
        <w:rPr>
          <w:rFonts w:cstheme="minorHAnsi"/>
          <w:sz w:val="20"/>
          <w:szCs w:val="20"/>
          <w:lang w:val="es-419"/>
        </w:rPr>
        <w:t xml:space="preserve"> “...la Policía Metropolitana de Bogotá y la Unidad Administrativa Especial Migración Colombia vulneraron el derecho al debido proceso de los accionantes. De otro lado, la Unidad Administrativa Especial Migración Colombia desconoció la prohibición de expulsión colectiva de migrantes (art. 22 de la CADH), al omitir el deber de motivar los actos administrativos de expulsión y realizó una actuación desproporcionada, al materializarla en medio del Río Orinoco”. “...La privación de la libertad de los accionantes fue arbitraria, en tanto se utilizó el mecanismo de traslado por protección con una finalidad distinta a la establecida en el artículo 155 de la Ley 1801 de 2016 y omitiendo las formalidades exigidas por tal mecanismo...”. Accesible en:</w:t>
      </w:r>
    </w:p>
    <w:p w14:paraId="1822CFEC" w14:textId="6A22CB50" w:rsidR="00AA0779" w:rsidRPr="00CA29A8" w:rsidRDefault="0CA7B020" w:rsidP="007225EC">
      <w:pPr>
        <w:spacing w:after="0" w:line="240" w:lineRule="auto"/>
        <w:mirrorIndents/>
        <w:jc w:val="both"/>
        <w:rPr>
          <w:rFonts w:eastAsia="Open Sans" w:cstheme="minorHAnsi"/>
          <w:sz w:val="20"/>
          <w:szCs w:val="20"/>
          <w:lang w:val="es-419"/>
        </w:rPr>
      </w:pPr>
      <w:r w:rsidRPr="00CA29A8">
        <w:rPr>
          <w:rFonts w:eastAsia="Open Sans" w:cstheme="minorHAnsi"/>
          <w:sz w:val="20"/>
          <w:szCs w:val="20"/>
          <w:lang w:val="es-419"/>
        </w:rPr>
        <w:t xml:space="preserve">Linares Cantillo, Alejandro. "Comunicado 43. Sentencia SU-397/21". </w:t>
      </w:r>
      <w:r w:rsidRPr="00CA29A8">
        <w:rPr>
          <w:rFonts w:eastAsia="Open Sans" w:cstheme="minorHAnsi"/>
          <w:i/>
          <w:iCs/>
          <w:sz w:val="20"/>
          <w:szCs w:val="20"/>
          <w:lang w:val="es-419"/>
        </w:rPr>
        <w:t>Corte Constitucional De Colombia</w:t>
      </w:r>
      <w:r w:rsidRPr="00CA29A8">
        <w:rPr>
          <w:rFonts w:eastAsia="Open Sans" w:cstheme="minorHAnsi"/>
          <w:sz w:val="20"/>
          <w:szCs w:val="20"/>
          <w:lang w:val="es-419"/>
        </w:rPr>
        <w:t xml:space="preserve">, pp. 4-5-, 2021, </w:t>
      </w:r>
      <w:r w:rsidRPr="00CA29A8">
        <w:rPr>
          <w:rFonts w:cstheme="minorHAnsi"/>
          <w:sz w:val="20"/>
          <w:szCs w:val="20"/>
          <w:lang w:val="es-419"/>
        </w:rPr>
        <w:t>Accesible en</w:t>
      </w:r>
      <w:r w:rsidRPr="00CA29A8">
        <w:rPr>
          <w:rFonts w:eastAsia="Open Sans" w:cstheme="minorHAnsi"/>
          <w:sz w:val="20"/>
          <w:szCs w:val="20"/>
          <w:lang w:val="es-419"/>
        </w:rPr>
        <w:t>: https://www.dejusticia.org/wp-content/uploads/2021/12/Sentencia-SU-397-21.pdf.</w:t>
      </w:r>
    </w:p>
  </w:footnote>
  <w:footnote w:id="12">
    <w:p w14:paraId="0A8F4975" w14:textId="0B18BFF2" w:rsidR="00AA0779" w:rsidRPr="00CA29A8" w:rsidRDefault="00AA0779" w:rsidP="007225EC">
      <w:pPr>
        <w:spacing w:after="0" w:line="240" w:lineRule="auto"/>
        <w:mirrorIndents/>
        <w:jc w:val="both"/>
        <w:rPr>
          <w:rFonts w:cstheme="minorHAnsi"/>
          <w:sz w:val="20"/>
          <w:szCs w:val="20"/>
          <w:lang w:val="es-419"/>
        </w:rPr>
      </w:pPr>
      <w:r w:rsidRPr="00CA29A8">
        <w:rPr>
          <w:rFonts w:cstheme="minorHAnsi"/>
          <w:sz w:val="20"/>
          <w:szCs w:val="20"/>
          <w:vertAlign w:val="superscript"/>
          <w:lang w:val="es-419"/>
        </w:rPr>
        <w:footnoteRef/>
      </w:r>
      <w:r w:rsidR="0CA7B020" w:rsidRPr="00CA29A8">
        <w:rPr>
          <w:rFonts w:cstheme="minorHAnsi"/>
          <w:sz w:val="20"/>
          <w:szCs w:val="20"/>
          <w:lang w:val="es-419"/>
        </w:rPr>
        <w:t xml:space="preserve"> Consejo Nacional de Política Económica y Social. </w:t>
      </w:r>
      <w:r w:rsidR="0CA7B020" w:rsidRPr="00CA29A8">
        <w:rPr>
          <w:rFonts w:cstheme="minorHAnsi"/>
          <w:i/>
          <w:iCs/>
          <w:sz w:val="20"/>
          <w:szCs w:val="20"/>
          <w:lang w:val="es-419"/>
        </w:rPr>
        <w:t>Documento Conpes No. 3950 de 23 de noviembre de 2018</w:t>
      </w:r>
      <w:r w:rsidR="0CA7B020" w:rsidRPr="00CA29A8">
        <w:rPr>
          <w:rFonts w:cstheme="minorHAnsi"/>
          <w:sz w:val="20"/>
          <w:szCs w:val="20"/>
          <w:lang w:val="es-419"/>
        </w:rPr>
        <w:t xml:space="preserve">. Estrategia apra la atención de migración desde Venezuela, pp. 74, 2018, Accesible en: </w:t>
      </w:r>
      <w:hyperlink r:id="rId4">
        <w:r w:rsidR="0CA7B020" w:rsidRPr="00CA29A8">
          <w:rPr>
            <w:rFonts w:cstheme="minorHAnsi"/>
            <w:sz w:val="20"/>
            <w:szCs w:val="20"/>
            <w:u w:val="single"/>
            <w:lang w:val="es-419"/>
          </w:rPr>
          <w:t>https://colaboracion.dnp.gov.co/CDT/Conpes/Econ%C3%B3micos/3950.pdf</w:t>
        </w:r>
      </w:hyperlink>
      <w:r w:rsidR="0CA7B020" w:rsidRPr="00CA29A8">
        <w:rPr>
          <w:rFonts w:cstheme="minorHAnsi"/>
          <w:sz w:val="20"/>
          <w:szCs w:val="20"/>
          <w:lang w:val="es-419"/>
        </w:rPr>
        <w:t xml:space="preserve">. </w:t>
      </w:r>
    </w:p>
  </w:footnote>
  <w:footnote w:id="13">
    <w:p w14:paraId="3601D43D" w14:textId="4F885286" w:rsidR="00AA0779" w:rsidRPr="00CA29A8" w:rsidRDefault="00AA0779" w:rsidP="007225EC">
      <w:pPr>
        <w:spacing w:after="0" w:line="240" w:lineRule="auto"/>
        <w:mirrorIndents/>
        <w:jc w:val="both"/>
        <w:rPr>
          <w:rFonts w:cstheme="minorHAnsi"/>
          <w:sz w:val="20"/>
          <w:szCs w:val="20"/>
          <w:lang w:val="es-419"/>
        </w:rPr>
      </w:pPr>
      <w:r w:rsidRPr="00CA29A8">
        <w:rPr>
          <w:rFonts w:cstheme="minorHAnsi"/>
          <w:sz w:val="20"/>
          <w:szCs w:val="20"/>
          <w:vertAlign w:val="superscript"/>
          <w:lang w:val="es-419"/>
        </w:rPr>
        <w:footnoteRef/>
      </w:r>
      <w:r w:rsidR="13F68709" w:rsidRPr="00CA29A8">
        <w:rPr>
          <w:rFonts w:cstheme="minorHAnsi"/>
          <w:sz w:val="20"/>
          <w:szCs w:val="20"/>
          <w:lang w:val="es-419"/>
        </w:rPr>
        <w:t xml:space="preserve"> </w:t>
      </w:r>
      <w:r w:rsidR="13F68709" w:rsidRPr="00CA29A8">
        <w:rPr>
          <w:rFonts w:eastAsia="Open Sans" w:cstheme="minorHAnsi"/>
          <w:sz w:val="20"/>
          <w:szCs w:val="20"/>
          <w:lang w:val="es-419"/>
        </w:rPr>
        <w:t xml:space="preserve">Congreso de la República. </w:t>
      </w:r>
      <w:r w:rsidR="13F68709" w:rsidRPr="00CA29A8">
        <w:rPr>
          <w:rFonts w:eastAsia="Open Sans" w:cstheme="minorHAnsi"/>
          <w:i/>
          <w:iCs/>
          <w:sz w:val="20"/>
          <w:szCs w:val="20"/>
          <w:lang w:val="es-419"/>
        </w:rPr>
        <w:t>"Ley 2136 De 2021"</w:t>
      </w:r>
      <w:r w:rsidR="13F68709" w:rsidRPr="00CA29A8">
        <w:rPr>
          <w:rFonts w:cstheme="minorHAnsi"/>
          <w:sz w:val="20"/>
          <w:szCs w:val="20"/>
          <w:lang w:val="es-419"/>
        </w:rPr>
        <w:t xml:space="preserve"> , Artículo 12, 2021. .</w:t>
      </w:r>
    </w:p>
  </w:footnote>
  <w:footnote w:id="14">
    <w:p w14:paraId="7F37ED9D" w14:textId="40943A43" w:rsidR="00AA0779" w:rsidRPr="00CA29A8" w:rsidRDefault="00AA0779" w:rsidP="007225EC">
      <w:pPr>
        <w:spacing w:after="0" w:line="240" w:lineRule="auto"/>
        <w:mirrorIndents/>
        <w:jc w:val="both"/>
        <w:rPr>
          <w:rFonts w:eastAsiaTheme="minorEastAsia" w:cstheme="minorHAnsi"/>
          <w:sz w:val="20"/>
          <w:szCs w:val="20"/>
          <w:u w:val="single"/>
          <w:lang w:val="es-419"/>
        </w:rPr>
      </w:pPr>
      <w:r w:rsidRPr="00CA29A8">
        <w:rPr>
          <w:rFonts w:cstheme="minorHAnsi"/>
          <w:sz w:val="20"/>
          <w:szCs w:val="20"/>
          <w:vertAlign w:val="superscript"/>
          <w:lang w:val="es-419"/>
        </w:rPr>
        <w:footnoteRef/>
      </w:r>
      <w:r w:rsidR="0CA7B020" w:rsidRPr="00CA29A8">
        <w:rPr>
          <w:rFonts w:cstheme="minorHAnsi"/>
          <w:sz w:val="20"/>
          <w:szCs w:val="20"/>
          <w:lang w:val="es-419"/>
        </w:rPr>
        <w:t xml:space="preserve"> </w:t>
      </w:r>
      <w:r w:rsidR="0CA7B020" w:rsidRPr="00CA29A8">
        <w:rPr>
          <w:rFonts w:eastAsiaTheme="minorEastAsia" w:cstheme="minorHAnsi"/>
          <w:sz w:val="20"/>
          <w:szCs w:val="20"/>
          <w:lang w:val="es-419"/>
        </w:rPr>
        <w:t xml:space="preserve">Artículo 216, Constitución Política. En Colombia, tanto las Fuerzas Militares como la Policía dependen del Ministerio de Defensa. Accesible en: </w:t>
      </w:r>
    </w:p>
    <w:p w14:paraId="0D1B5ECA" w14:textId="76A2AACB" w:rsidR="13F68709" w:rsidRPr="00CA29A8" w:rsidRDefault="0CA7B020" w:rsidP="007225EC">
      <w:pPr>
        <w:spacing w:after="0" w:line="240" w:lineRule="auto"/>
        <w:mirrorIndents/>
        <w:jc w:val="both"/>
        <w:rPr>
          <w:rFonts w:eastAsiaTheme="minorEastAsia" w:cstheme="minorHAnsi"/>
          <w:sz w:val="20"/>
          <w:szCs w:val="20"/>
          <w:lang w:val="es-419"/>
        </w:rPr>
      </w:pPr>
      <w:r w:rsidRPr="00CA29A8">
        <w:rPr>
          <w:rFonts w:eastAsiaTheme="minorEastAsia" w:cstheme="minorHAnsi"/>
          <w:sz w:val="20"/>
          <w:szCs w:val="20"/>
          <w:lang w:val="es-419"/>
        </w:rPr>
        <w:t>Constitución Política de Colombia [Const]. Art. 216 de julio de 1991 (Colombia), 1991.</w:t>
      </w:r>
    </w:p>
    <w:p w14:paraId="07EAA030" w14:textId="742FF38C" w:rsidR="13F68709" w:rsidRPr="00CA29A8" w:rsidRDefault="0CA7B020" w:rsidP="007225EC">
      <w:pPr>
        <w:spacing w:after="0" w:line="240" w:lineRule="auto"/>
        <w:mirrorIndents/>
        <w:jc w:val="both"/>
        <w:rPr>
          <w:rFonts w:eastAsiaTheme="minorEastAsia" w:cstheme="minorHAnsi"/>
          <w:sz w:val="20"/>
          <w:szCs w:val="20"/>
          <w:lang w:val="es-419"/>
        </w:rPr>
      </w:pPr>
      <w:r w:rsidRPr="00CA29A8">
        <w:rPr>
          <w:rFonts w:eastAsiaTheme="minorEastAsia" w:cstheme="minorHAnsi"/>
          <w:sz w:val="20"/>
          <w:szCs w:val="20"/>
          <w:lang w:val="es-419"/>
        </w:rPr>
        <w:t xml:space="preserve">Véase también: Mindefensa. </w:t>
      </w:r>
      <w:r w:rsidRPr="00CA29A8">
        <w:rPr>
          <w:rFonts w:eastAsiaTheme="minorEastAsia" w:cstheme="minorHAnsi"/>
          <w:i/>
          <w:iCs/>
          <w:sz w:val="20"/>
          <w:szCs w:val="20"/>
          <w:lang w:val="es-419"/>
        </w:rPr>
        <w:t xml:space="preserve">Organigrama 2022. </w:t>
      </w:r>
      <w:r w:rsidRPr="00CA29A8">
        <w:rPr>
          <w:rFonts w:eastAsiaTheme="minorEastAsia" w:cstheme="minorHAnsi"/>
          <w:sz w:val="20"/>
          <w:szCs w:val="20"/>
          <w:lang w:val="es-419"/>
        </w:rPr>
        <w:t xml:space="preserve">2022. Accesible en: </w:t>
      </w:r>
      <w:hyperlink r:id="rId5">
        <w:hyperlink r:id="rId6" w:history="1">
          <w:r w:rsidRPr="00CA29A8">
            <w:rPr>
              <w:rFonts w:cstheme="minorHAnsi"/>
              <w:sz w:val="20"/>
              <w:szCs w:val="20"/>
              <w:u w:val="single"/>
              <w:lang w:val="es-419"/>
            </w:rPr>
            <w:t>https://www.mindefensa.gov.co/irj/go/km/docs/Mindefensa/Images/varios/organigrama2022g.jpg</w:t>
          </w:r>
          <w:r w:rsidR="13F68709" w:rsidRPr="00CA29A8">
            <w:rPr>
              <w:rFonts w:cstheme="minorHAnsi"/>
              <w:sz w:val="20"/>
              <w:szCs w:val="20"/>
              <w:u w:val="single"/>
              <w:lang w:val="es-419"/>
            </w:rPr>
            <w:t>https://www.mindefensa.gov.co/irj/go/km/docs/Mindefensa/Images/varios/organigrama2022g.jpg</w:t>
          </w:r>
        </w:hyperlink>
      </w:hyperlink>
      <w:hyperlink r:id="rId7"/>
    </w:p>
  </w:footnote>
  <w:footnote w:id="15">
    <w:p w14:paraId="1FA3AEDA" w14:textId="42FFA268" w:rsidR="00AA0779" w:rsidRPr="00CA29A8" w:rsidRDefault="00AA0779" w:rsidP="007225EC">
      <w:pPr>
        <w:spacing w:after="0" w:line="240" w:lineRule="auto"/>
        <w:mirrorIndents/>
        <w:jc w:val="both"/>
        <w:rPr>
          <w:rFonts w:cstheme="minorHAnsi"/>
          <w:sz w:val="20"/>
          <w:szCs w:val="20"/>
          <w:lang w:val="es-419"/>
        </w:rPr>
      </w:pPr>
      <w:r w:rsidRPr="00CA29A8">
        <w:rPr>
          <w:rFonts w:cstheme="minorHAnsi"/>
          <w:sz w:val="20"/>
          <w:szCs w:val="20"/>
          <w:vertAlign w:val="superscript"/>
          <w:lang w:val="es-419"/>
        </w:rPr>
        <w:footnoteRef/>
      </w:r>
      <w:r w:rsidR="0CA7B020" w:rsidRPr="00CA29A8">
        <w:rPr>
          <w:rFonts w:cstheme="minorHAnsi"/>
          <w:sz w:val="20"/>
          <w:szCs w:val="20"/>
          <w:lang w:val="es-419"/>
        </w:rPr>
        <w:t xml:space="preserve"> Arroyave, L. Militarización de fronteras en América Latina, otra barrera para los migrantes. </w:t>
      </w:r>
      <w:r w:rsidR="0CA7B020" w:rsidRPr="00CA29A8">
        <w:rPr>
          <w:rFonts w:cstheme="minorHAnsi"/>
          <w:i/>
          <w:iCs/>
          <w:sz w:val="20"/>
          <w:szCs w:val="20"/>
          <w:lang w:val="es-419"/>
        </w:rPr>
        <w:t>Dejusticia.,</w:t>
      </w:r>
      <w:r w:rsidR="0CA7B020" w:rsidRPr="00CA29A8">
        <w:rPr>
          <w:rFonts w:cstheme="minorHAnsi"/>
          <w:sz w:val="20"/>
          <w:szCs w:val="20"/>
          <w:lang w:val="es-419"/>
        </w:rPr>
        <w:t xml:space="preserve">. 2021. Accesible en: </w:t>
      </w:r>
      <w:hyperlink r:id="rId8">
        <w:r w:rsidR="0CA7B020" w:rsidRPr="00CA29A8">
          <w:rPr>
            <w:rFonts w:cstheme="minorHAnsi"/>
            <w:sz w:val="20"/>
            <w:szCs w:val="20"/>
            <w:u w:val="single"/>
            <w:lang w:val="es-419"/>
          </w:rPr>
          <w:t>https://www.dejusticia.org/column/militarizacion-de-fronteras-en-america-latina-otra-barrera-para-los-migrantes/</w:t>
        </w:r>
      </w:hyperlink>
      <w:r w:rsidR="0CA7B020" w:rsidRPr="00CA29A8">
        <w:rPr>
          <w:rFonts w:cstheme="minorHAnsi"/>
          <w:sz w:val="20"/>
          <w:szCs w:val="20"/>
          <w:lang w:val="es-419"/>
        </w:rPr>
        <w:t xml:space="preserve">. </w:t>
      </w:r>
    </w:p>
  </w:footnote>
  <w:footnote w:id="16">
    <w:p w14:paraId="65779CC3" w14:textId="64064BCB" w:rsidR="00AA0779" w:rsidRPr="00CA29A8" w:rsidRDefault="00AA0779" w:rsidP="007225EC">
      <w:pPr>
        <w:spacing w:after="0" w:line="240" w:lineRule="auto"/>
        <w:mirrorIndents/>
        <w:jc w:val="both"/>
        <w:rPr>
          <w:rFonts w:cstheme="minorHAnsi"/>
          <w:sz w:val="20"/>
          <w:szCs w:val="20"/>
          <w:lang w:val="es-419"/>
        </w:rPr>
      </w:pPr>
      <w:r w:rsidRPr="00CA29A8">
        <w:rPr>
          <w:rFonts w:cstheme="minorHAnsi"/>
          <w:sz w:val="20"/>
          <w:szCs w:val="20"/>
          <w:vertAlign w:val="superscript"/>
          <w:lang w:val="es-419"/>
        </w:rPr>
        <w:footnoteRef/>
      </w:r>
      <w:r w:rsidR="13F68709" w:rsidRPr="00CA29A8">
        <w:rPr>
          <w:rFonts w:cstheme="minorHAnsi"/>
          <w:sz w:val="20"/>
          <w:szCs w:val="20"/>
          <w:lang w:val="es-419"/>
        </w:rPr>
        <w:t xml:space="preserve"> </w:t>
      </w:r>
      <w:r w:rsidR="13F68709" w:rsidRPr="00CA29A8">
        <w:rPr>
          <w:rFonts w:eastAsia="Open Sans" w:cstheme="minorHAnsi"/>
          <w:sz w:val="20"/>
          <w:szCs w:val="20"/>
          <w:lang w:val="es-419"/>
        </w:rPr>
        <w:t xml:space="preserve">Congreso de la República. </w:t>
      </w:r>
      <w:r w:rsidR="13F68709" w:rsidRPr="00CA29A8">
        <w:rPr>
          <w:rFonts w:eastAsia="Open Sans" w:cstheme="minorHAnsi"/>
          <w:i/>
          <w:iCs/>
          <w:sz w:val="20"/>
          <w:szCs w:val="20"/>
          <w:lang w:val="es-419"/>
        </w:rPr>
        <w:t xml:space="preserve">"Ley 2136 De 2021", </w:t>
      </w:r>
      <w:r w:rsidR="13F68709" w:rsidRPr="00CA29A8">
        <w:rPr>
          <w:rFonts w:cstheme="minorHAnsi"/>
          <w:sz w:val="20"/>
          <w:szCs w:val="20"/>
          <w:lang w:val="es-419"/>
        </w:rPr>
        <w:t xml:space="preserve">Artículo 17, 2021. </w:t>
      </w:r>
    </w:p>
  </w:footnote>
  <w:footnote w:id="17">
    <w:p w14:paraId="38C5CE31" w14:textId="09B9BC8C" w:rsidR="00AA0779" w:rsidRPr="00CA29A8" w:rsidRDefault="00AA0779" w:rsidP="007225EC">
      <w:pPr>
        <w:spacing w:after="0" w:line="240" w:lineRule="auto"/>
        <w:mirrorIndents/>
        <w:jc w:val="both"/>
        <w:rPr>
          <w:rFonts w:cstheme="minorHAnsi"/>
          <w:sz w:val="20"/>
          <w:szCs w:val="20"/>
          <w:lang w:val="es-419"/>
        </w:rPr>
      </w:pPr>
      <w:r w:rsidRPr="00CA29A8">
        <w:rPr>
          <w:rFonts w:cstheme="minorHAnsi"/>
          <w:sz w:val="20"/>
          <w:szCs w:val="20"/>
          <w:vertAlign w:val="superscript"/>
          <w:lang w:val="es-419"/>
        </w:rPr>
        <w:footnoteRef/>
      </w:r>
      <w:r w:rsidR="0CA7B020" w:rsidRPr="00CA29A8">
        <w:rPr>
          <w:rFonts w:cstheme="minorHAnsi"/>
          <w:sz w:val="20"/>
          <w:szCs w:val="20"/>
          <w:lang w:val="es-419"/>
        </w:rPr>
        <w:t xml:space="preserve"> </w:t>
      </w:r>
      <w:r w:rsidR="0CA7B020" w:rsidRPr="00CA29A8">
        <w:rPr>
          <w:rFonts w:eastAsia="Open Sans" w:cstheme="minorHAnsi"/>
          <w:sz w:val="20"/>
          <w:szCs w:val="20"/>
          <w:lang w:val="es-419"/>
        </w:rPr>
        <w:t xml:space="preserve">Corte Constitucional de Colombia. "Sentencia C-718/12". </w:t>
      </w:r>
      <w:r w:rsidR="0CA7B020" w:rsidRPr="00CA29A8">
        <w:rPr>
          <w:rFonts w:eastAsia="Open Sans" w:cstheme="minorHAnsi"/>
          <w:i/>
          <w:iCs/>
          <w:sz w:val="20"/>
          <w:szCs w:val="20"/>
          <w:lang w:val="es-419"/>
        </w:rPr>
        <w:t>Corte Constitucional De Colombia</w:t>
      </w:r>
      <w:r w:rsidR="0CA7B020" w:rsidRPr="00CA29A8">
        <w:rPr>
          <w:rFonts w:eastAsia="Open Sans" w:cstheme="minorHAnsi"/>
          <w:sz w:val="20"/>
          <w:szCs w:val="20"/>
          <w:lang w:val="es-419"/>
        </w:rPr>
        <w:t xml:space="preserve">, 2012, </w:t>
      </w:r>
      <w:r w:rsidR="0CA7B020" w:rsidRPr="00CA29A8">
        <w:rPr>
          <w:rFonts w:cstheme="minorHAnsi"/>
          <w:sz w:val="20"/>
          <w:szCs w:val="20"/>
          <w:lang w:val="es-419"/>
        </w:rPr>
        <w:t>Accesible en</w:t>
      </w:r>
      <w:r w:rsidR="0CA7B020" w:rsidRPr="00CA29A8">
        <w:rPr>
          <w:rFonts w:eastAsia="Open Sans" w:cstheme="minorHAnsi"/>
          <w:sz w:val="20"/>
          <w:szCs w:val="20"/>
          <w:lang w:val="es-419"/>
        </w:rPr>
        <w:t>: https://www.corteconstitucional.gov.co/relatoria/2012/c-718-12.htm.</w:t>
      </w:r>
      <w:r w:rsidR="0CA7B020" w:rsidRPr="00CA29A8">
        <w:rPr>
          <w:rFonts w:cstheme="minorHAnsi"/>
          <w:sz w:val="20"/>
          <w:szCs w:val="20"/>
          <w:lang w:val="es-419"/>
        </w:rPr>
        <w:t xml:space="preserve"> </w:t>
      </w:r>
    </w:p>
  </w:footnote>
  <w:footnote w:id="18">
    <w:p w14:paraId="1783F01D" w14:textId="3582F996" w:rsidR="00AA0779" w:rsidRPr="00CA29A8" w:rsidRDefault="00AA0779" w:rsidP="007225EC">
      <w:pPr>
        <w:spacing w:after="0" w:line="240" w:lineRule="auto"/>
        <w:mirrorIndents/>
        <w:jc w:val="both"/>
        <w:rPr>
          <w:rFonts w:cstheme="minorHAnsi"/>
          <w:sz w:val="20"/>
          <w:szCs w:val="20"/>
          <w:lang w:val="es-419"/>
        </w:rPr>
      </w:pPr>
      <w:r w:rsidRPr="00CA29A8">
        <w:rPr>
          <w:rFonts w:cstheme="minorHAnsi"/>
          <w:sz w:val="20"/>
          <w:szCs w:val="20"/>
          <w:vertAlign w:val="superscript"/>
          <w:lang w:val="es-419"/>
        </w:rPr>
        <w:footnoteRef/>
      </w:r>
      <w:r w:rsidR="0CA7B020" w:rsidRPr="00CA29A8">
        <w:rPr>
          <w:rFonts w:cstheme="minorHAnsi"/>
          <w:sz w:val="20"/>
          <w:szCs w:val="20"/>
          <w:lang w:val="es-419"/>
        </w:rPr>
        <w:t xml:space="preserve"> Ramírez Bolívar, L. Expulsiones discrecionales de personas migrantes: la excepción que se convirtió en regla. </w:t>
      </w:r>
      <w:r w:rsidR="0CA7B020" w:rsidRPr="00CA29A8">
        <w:rPr>
          <w:rFonts w:cstheme="minorHAnsi"/>
          <w:i/>
          <w:iCs/>
          <w:sz w:val="20"/>
          <w:szCs w:val="20"/>
          <w:lang w:val="es-419"/>
        </w:rPr>
        <w:t xml:space="preserve">Dejusticia. </w:t>
      </w:r>
      <w:r w:rsidR="0CA7B020" w:rsidRPr="00CA29A8">
        <w:rPr>
          <w:rFonts w:cstheme="minorHAnsi"/>
          <w:sz w:val="20"/>
          <w:szCs w:val="20"/>
          <w:lang w:val="es-419"/>
        </w:rPr>
        <w:t xml:space="preserve">2021. Accesible en: </w:t>
      </w:r>
      <w:hyperlink r:id="rId9">
        <w:r w:rsidR="0CA7B020" w:rsidRPr="00CA29A8">
          <w:rPr>
            <w:rFonts w:cstheme="minorHAnsi"/>
            <w:sz w:val="20"/>
            <w:szCs w:val="20"/>
            <w:u w:val="single"/>
            <w:lang w:val="es-419"/>
          </w:rPr>
          <w:t>https://www.dejusticia.org/expulsiones-discrecionales-de-personas-migrantes-la-excepcion-que-se-convirtio-en-regla/</w:t>
        </w:r>
      </w:hyperlink>
      <w:r w:rsidR="0CA7B020" w:rsidRPr="00CA29A8">
        <w:rPr>
          <w:rFonts w:cstheme="minorHAnsi"/>
          <w:sz w:val="20"/>
          <w:szCs w:val="20"/>
          <w:lang w:val="es-419"/>
        </w:rPr>
        <w:t xml:space="preserve">. </w:t>
      </w:r>
    </w:p>
  </w:footnote>
  <w:footnote w:id="19">
    <w:p w14:paraId="3B9F58DC" w14:textId="366C2979" w:rsidR="00AA0779" w:rsidRPr="00CA29A8" w:rsidRDefault="00AA0779" w:rsidP="007225EC">
      <w:pPr>
        <w:spacing w:after="0" w:line="240" w:lineRule="auto"/>
        <w:mirrorIndents/>
        <w:jc w:val="both"/>
        <w:rPr>
          <w:rFonts w:cstheme="minorHAnsi"/>
          <w:sz w:val="20"/>
          <w:szCs w:val="20"/>
          <w:lang w:val="es-419"/>
        </w:rPr>
      </w:pPr>
      <w:r w:rsidRPr="00CA29A8">
        <w:rPr>
          <w:rFonts w:cstheme="minorHAnsi"/>
          <w:sz w:val="20"/>
          <w:szCs w:val="20"/>
          <w:vertAlign w:val="superscript"/>
          <w:lang w:val="es-419"/>
        </w:rPr>
        <w:footnoteRef/>
      </w:r>
      <w:r w:rsidR="0CA7B020" w:rsidRPr="00CA29A8">
        <w:rPr>
          <w:rFonts w:cstheme="minorHAnsi"/>
          <w:sz w:val="20"/>
          <w:szCs w:val="20"/>
          <w:lang w:val="es-419"/>
        </w:rPr>
        <w:t xml:space="preserve"> Palomares, </w:t>
      </w:r>
      <w:r w:rsidR="0CA7B020" w:rsidRPr="00CA29A8">
        <w:rPr>
          <w:rFonts w:cstheme="minorHAnsi"/>
          <w:sz w:val="20"/>
          <w:szCs w:val="20"/>
          <w:highlight w:val="white"/>
          <w:lang w:val="es-419"/>
        </w:rPr>
        <w:t xml:space="preserve">M. Las seis barreras más grandes de los venezolanos en el país. </w:t>
      </w:r>
      <w:r w:rsidR="0CA7B020" w:rsidRPr="00CA29A8">
        <w:rPr>
          <w:rFonts w:cstheme="minorHAnsi"/>
          <w:i/>
          <w:iCs/>
          <w:sz w:val="20"/>
          <w:szCs w:val="20"/>
          <w:highlight w:val="white"/>
          <w:lang w:val="es-419"/>
        </w:rPr>
        <w:t>Revista Semana.</w:t>
      </w:r>
      <w:r w:rsidR="0CA7B020" w:rsidRPr="00CA29A8">
        <w:rPr>
          <w:rFonts w:cstheme="minorHAnsi"/>
          <w:sz w:val="20"/>
          <w:szCs w:val="20"/>
          <w:highlight w:val="white"/>
          <w:lang w:val="es-419"/>
        </w:rPr>
        <w:t xml:space="preserve"> Proyecto Migración Venezuela, 2020. </w:t>
      </w:r>
      <w:r w:rsidR="0CA7B020" w:rsidRPr="00CA29A8">
        <w:rPr>
          <w:rFonts w:cstheme="minorHAnsi"/>
          <w:sz w:val="20"/>
          <w:szCs w:val="20"/>
          <w:lang w:val="es-419"/>
        </w:rPr>
        <w:t>Accesible en</w:t>
      </w:r>
      <w:r w:rsidR="0CA7B020" w:rsidRPr="00CA29A8">
        <w:rPr>
          <w:rFonts w:cstheme="minorHAnsi"/>
          <w:sz w:val="20"/>
          <w:szCs w:val="20"/>
          <w:highlight w:val="white"/>
          <w:lang w:val="es-419"/>
        </w:rPr>
        <w:t xml:space="preserve">: </w:t>
      </w:r>
      <w:hyperlink r:id="rId10">
        <w:r w:rsidR="0CA7B020" w:rsidRPr="00CA29A8">
          <w:rPr>
            <w:rFonts w:cstheme="minorHAnsi"/>
            <w:sz w:val="20"/>
            <w:szCs w:val="20"/>
            <w:highlight w:val="white"/>
            <w:u w:val="single"/>
            <w:lang w:val="es-419"/>
          </w:rPr>
          <w:t>https://migravenezuela.com/web/articulo/las-seis-barreras-que-enfrentan-los-venezolanos-en-colombia/2243</w:t>
        </w:r>
      </w:hyperlink>
      <w:r w:rsidR="0CA7B020" w:rsidRPr="00CA29A8">
        <w:rPr>
          <w:rFonts w:cstheme="minorHAnsi"/>
          <w:sz w:val="20"/>
          <w:szCs w:val="20"/>
          <w:highlight w:val="white"/>
          <w:lang w:val="es-419"/>
        </w:rPr>
        <w:t>.</w:t>
      </w:r>
    </w:p>
  </w:footnote>
  <w:footnote w:id="20">
    <w:p w14:paraId="6B20BEF8" w14:textId="77777777" w:rsidR="00AA0779" w:rsidRPr="00CA29A8" w:rsidRDefault="00AA0779" w:rsidP="007225EC">
      <w:pPr>
        <w:spacing w:after="0" w:line="240" w:lineRule="auto"/>
        <w:mirrorIndents/>
        <w:jc w:val="both"/>
        <w:rPr>
          <w:rFonts w:cstheme="minorHAnsi"/>
          <w:sz w:val="20"/>
          <w:szCs w:val="20"/>
          <w:lang w:val="es-419"/>
        </w:rPr>
      </w:pPr>
      <w:r w:rsidRPr="00CA29A8">
        <w:rPr>
          <w:rFonts w:cstheme="minorHAnsi"/>
          <w:sz w:val="20"/>
          <w:szCs w:val="20"/>
          <w:vertAlign w:val="superscript"/>
          <w:lang w:val="es-419"/>
        </w:rPr>
        <w:footnoteRef/>
      </w:r>
      <w:r w:rsidRPr="00CA29A8">
        <w:rPr>
          <w:rFonts w:cstheme="minorHAnsi"/>
          <w:sz w:val="20"/>
          <w:szCs w:val="20"/>
          <w:lang w:val="es-419"/>
        </w:rPr>
        <w:t xml:space="preserve"> Ibíd.</w:t>
      </w:r>
    </w:p>
  </w:footnote>
  <w:footnote w:id="21">
    <w:p w14:paraId="4965DC5A" w14:textId="6546B75E" w:rsidR="00153E8F" w:rsidRPr="00CA29A8" w:rsidRDefault="00153E8F" w:rsidP="007225EC">
      <w:pPr>
        <w:spacing w:after="0" w:line="240" w:lineRule="auto"/>
        <w:mirrorIndents/>
        <w:jc w:val="both"/>
        <w:rPr>
          <w:rFonts w:cstheme="minorHAnsi"/>
          <w:sz w:val="20"/>
          <w:szCs w:val="20"/>
          <w:lang w:val="es-419"/>
        </w:rPr>
      </w:pPr>
      <w:r w:rsidRPr="00CA29A8">
        <w:rPr>
          <w:rFonts w:cstheme="minorHAnsi"/>
          <w:sz w:val="20"/>
          <w:szCs w:val="20"/>
          <w:vertAlign w:val="superscript"/>
          <w:lang w:val="es-419"/>
        </w:rPr>
        <w:footnoteRef/>
      </w:r>
      <w:r w:rsidR="13F68709" w:rsidRPr="00CA29A8">
        <w:rPr>
          <w:rFonts w:cstheme="minorHAnsi"/>
          <w:sz w:val="20"/>
          <w:szCs w:val="20"/>
          <w:lang w:val="es-419"/>
        </w:rPr>
        <w:t xml:space="preserve"> Este permiso tiene varias limitaciones, por ejemplo, no permite acumular tiempo de residencia en Colombia, el proceso se habilita cada 4 meses y en algunos casos no se activa, como lo fue en el 2019. No beneficia a los núcleos familiares sino únicamente de forma individual y se exige tener pasaporte sellado al pasar por un punto fronterizo habilitado de Migración Colombia. Tener pasaporte sellado es un procedimiento casi imposible porque el Servicio Administrativo de Identificación, Migración y Extranjería (Saime) de Venezuela suspendió su atención durante la pandemia y, no sella los pasaportes en sus oficinas.</w:t>
      </w:r>
    </w:p>
    <w:p w14:paraId="4D72B291" w14:textId="34B2C567" w:rsidR="00153E8F" w:rsidRPr="00CA29A8" w:rsidRDefault="0CA7B020" w:rsidP="007225EC">
      <w:pPr>
        <w:spacing w:after="0" w:line="240" w:lineRule="auto"/>
        <w:mirrorIndents/>
        <w:jc w:val="both"/>
        <w:rPr>
          <w:rFonts w:eastAsia="Open Sans" w:cstheme="minorHAnsi"/>
          <w:sz w:val="20"/>
          <w:szCs w:val="20"/>
          <w:lang w:val="es-419"/>
        </w:rPr>
      </w:pPr>
      <w:r w:rsidRPr="00CA29A8">
        <w:rPr>
          <w:rFonts w:cstheme="minorHAnsi"/>
          <w:sz w:val="20"/>
          <w:szCs w:val="20"/>
          <w:lang w:val="es-419"/>
        </w:rPr>
        <w:t xml:space="preserve">Váse: </w:t>
      </w:r>
      <w:r w:rsidRPr="00CA29A8">
        <w:rPr>
          <w:rFonts w:eastAsia="Open Sans" w:cstheme="minorHAnsi"/>
          <w:sz w:val="20"/>
          <w:szCs w:val="20"/>
          <w:lang w:val="es-419"/>
        </w:rPr>
        <w:t xml:space="preserve">Palomares, Milagros. "Las Seis Barreras Más Grandes De Los Venezolanos En El País". </w:t>
      </w:r>
      <w:r w:rsidRPr="00CA29A8">
        <w:rPr>
          <w:rFonts w:eastAsia="Open Sans" w:cstheme="minorHAnsi"/>
          <w:i/>
          <w:iCs/>
          <w:sz w:val="20"/>
          <w:szCs w:val="20"/>
          <w:lang w:val="es-419"/>
        </w:rPr>
        <w:t>Proyecto Migración Venezuela</w:t>
      </w:r>
      <w:r w:rsidRPr="00CA29A8">
        <w:rPr>
          <w:rFonts w:eastAsia="Open Sans" w:cstheme="minorHAnsi"/>
          <w:sz w:val="20"/>
          <w:szCs w:val="20"/>
          <w:lang w:val="es-419"/>
        </w:rPr>
        <w:t xml:space="preserve">, 2020, </w:t>
      </w:r>
      <w:r w:rsidRPr="00CA29A8">
        <w:rPr>
          <w:rFonts w:cstheme="minorHAnsi"/>
          <w:sz w:val="20"/>
          <w:szCs w:val="20"/>
          <w:lang w:val="es-419"/>
        </w:rPr>
        <w:t>Accesible en</w:t>
      </w:r>
      <w:r w:rsidRPr="00CA29A8">
        <w:rPr>
          <w:rFonts w:eastAsia="Open Sans" w:cstheme="minorHAnsi"/>
          <w:sz w:val="20"/>
          <w:szCs w:val="20"/>
          <w:lang w:val="es-419"/>
        </w:rPr>
        <w:t>: https://migravenezuela.com/web/articulo/las-seis-barreras-que-enfrentan-los-venezolanos-en-colombia/2243.</w:t>
      </w:r>
    </w:p>
  </w:footnote>
  <w:footnote w:id="22">
    <w:p w14:paraId="7179867E" w14:textId="06279138" w:rsidR="00153E8F" w:rsidRPr="00CA29A8" w:rsidRDefault="00153E8F" w:rsidP="007225EC">
      <w:pPr>
        <w:spacing w:after="0" w:line="240" w:lineRule="auto"/>
        <w:mirrorIndents/>
        <w:jc w:val="both"/>
        <w:rPr>
          <w:rFonts w:cstheme="minorHAnsi"/>
          <w:sz w:val="20"/>
          <w:szCs w:val="20"/>
          <w:highlight w:val="white"/>
          <w:lang w:val="es-419"/>
        </w:rPr>
      </w:pPr>
      <w:r w:rsidRPr="00CA29A8">
        <w:rPr>
          <w:rFonts w:cstheme="minorHAnsi"/>
          <w:sz w:val="20"/>
          <w:szCs w:val="20"/>
          <w:vertAlign w:val="superscript"/>
          <w:lang w:val="es-419"/>
        </w:rPr>
        <w:footnoteRef/>
      </w:r>
      <w:r w:rsidR="0CA7B020" w:rsidRPr="00CA29A8">
        <w:rPr>
          <w:rFonts w:cstheme="minorHAnsi"/>
          <w:sz w:val="20"/>
          <w:szCs w:val="20"/>
          <w:lang w:val="es-419"/>
        </w:rPr>
        <w:t xml:space="preserve"> </w:t>
      </w:r>
      <w:r w:rsidR="0CA7B020" w:rsidRPr="00CA29A8">
        <w:rPr>
          <w:rFonts w:cstheme="minorHAnsi"/>
          <w:sz w:val="20"/>
          <w:szCs w:val="20"/>
          <w:highlight w:val="white"/>
          <w:lang w:val="es-419"/>
        </w:rPr>
        <w:t>Es un “mecanismo jurídico de protección temporal dirigido a la población migrante venezolana [...], que contempla el registro de información como paso obligatorio para optar por el otorgamiento de un Permiso por Protección Temporal (PPT). No es un proceso automático de regularización”. En:</w:t>
      </w:r>
    </w:p>
    <w:p w14:paraId="44393A9E" w14:textId="13E652CA" w:rsidR="00153E8F" w:rsidRPr="00CA29A8" w:rsidRDefault="0CA7B020" w:rsidP="007225EC">
      <w:pPr>
        <w:spacing w:after="0" w:line="240" w:lineRule="auto"/>
        <w:mirrorIndents/>
        <w:jc w:val="both"/>
        <w:rPr>
          <w:rFonts w:cstheme="minorHAnsi"/>
          <w:sz w:val="20"/>
          <w:szCs w:val="20"/>
          <w:highlight w:val="white"/>
          <w:lang w:val="es-419"/>
        </w:rPr>
      </w:pPr>
      <w:r w:rsidRPr="00CA29A8">
        <w:rPr>
          <w:rFonts w:cstheme="minorHAnsi"/>
          <w:sz w:val="20"/>
          <w:szCs w:val="20"/>
          <w:highlight w:val="white"/>
          <w:lang w:val="es-419"/>
        </w:rPr>
        <w:t xml:space="preserve">Pelacani, G.; Moreno V., C.; Dib-Ayesta, L. y Tobón Ospino, M. “Estatuto temporal de protección para migrantes venezolanos: reflexiones de una política de regularización migratoria”. </w:t>
      </w:r>
      <w:r w:rsidRPr="00CA29A8">
        <w:rPr>
          <w:rFonts w:cstheme="minorHAnsi"/>
          <w:i/>
          <w:iCs/>
          <w:sz w:val="20"/>
          <w:szCs w:val="20"/>
          <w:highlight w:val="white"/>
          <w:lang w:val="es-419"/>
        </w:rPr>
        <w:t>Informes CEM</w:t>
      </w:r>
      <w:r w:rsidRPr="00CA29A8">
        <w:rPr>
          <w:rFonts w:cstheme="minorHAnsi"/>
          <w:sz w:val="20"/>
          <w:szCs w:val="20"/>
          <w:highlight w:val="white"/>
          <w:lang w:val="es-419"/>
        </w:rPr>
        <w:t xml:space="preserve">. Informe 3-2021. Centro de Estudios en Migración (CEM). 2021. Bogotá, Colombia: Universidad de los Andes. </w:t>
      </w:r>
      <w:r w:rsidRPr="00CA29A8">
        <w:rPr>
          <w:rFonts w:cstheme="minorHAnsi"/>
          <w:sz w:val="20"/>
          <w:szCs w:val="20"/>
          <w:lang w:val="es-419"/>
        </w:rPr>
        <w:t>Accesible en</w:t>
      </w:r>
      <w:r w:rsidRPr="00CA29A8">
        <w:rPr>
          <w:rFonts w:cstheme="minorHAnsi"/>
          <w:sz w:val="20"/>
          <w:szCs w:val="20"/>
          <w:highlight w:val="white"/>
          <w:lang w:val="es-419"/>
        </w:rPr>
        <w:t>: https://migracionderecho.uniandes.edu.co/wp-content/uploads/Informe-CEM-3-Estatuto-Temporal-de-Proteccion-para-Migrantes-Venezolanos-reflexiones-de-una-politica-de-regularizacion-migratoria-2.pdf</w:t>
      </w:r>
    </w:p>
  </w:footnote>
  <w:footnote w:id="23">
    <w:p w14:paraId="628AA659" w14:textId="77777777" w:rsidR="00153E8F" w:rsidRPr="00CA29A8" w:rsidRDefault="00153E8F" w:rsidP="007225EC">
      <w:pPr>
        <w:spacing w:after="0" w:line="240" w:lineRule="auto"/>
        <w:mirrorIndents/>
        <w:jc w:val="both"/>
        <w:rPr>
          <w:rFonts w:cstheme="minorHAnsi"/>
          <w:sz w:val="20"/>
          <w:szCs w:val="20"/>
          <w:lang w:val="es-419"/>
        </w:rPr>
      </w:pPr>
      <w:r w:rsidRPr="00CA29A8">
        <w:rPr>
          <w:rFonts w:cstheme="minorHAnsi"/>
          <w:sz w:val="20"/>
          <w:szCs w:val="20"/>
          <w:vertAlign w:val="superscript"/>
          <w:lang w:val="es-419"/>
        </w:rPr>
        <w:footnoteRef/>
      </w:r>
      <w:r w:rsidRPr="00CA29A8">
        <w:rPr>
          <w:rFonts w:cstheme="minorHAnsi"/>
          <w:sz w:val="20"/>
          <w:szCs w:val="20"/>
          <w:lang w:val="es-419"/>
        </w:rPr>
        <w:t xml:space="preserve"> Ibíd.</w:t>
      </w:r>
    </w:p>
  </w:footnote>
  <w:footnote w:id="24">
    <w:p w14:paraId="297AEF76" w14:textId="0602BCB8" w:rsidR="003C7BBF" w:rsidRPr="00CA29A8" w:rsidRDefault="003C7BBF" w:rsidP="007225EC">
      <w:pPr>
        <w:pStyle w:val="Textonotapie"/>
        <w:mirrorIndents/>
        <w:jc w:val="both"/>
        <w:rPr>
          <w:rFonts w:eastAsia="Open Sans" w:cstheme="minorHAnsi"/>
          <w:lang w:val="es-419"/>
        </w:rPr>
      </w:pPr>
      <w:r w:rsidRPr="00CA29A8">
        <w:rPr>
          <w:rStyle w:val="Refdenotaalpie"/>
          <w:rFonts w:cstheme="minorHAnsi"/>
          <w:lang w:val="es-419"/>
        </w:rPr>
        <w:footnoteRef/>
      </w:r>
      <w:r w:rsidR="0CA7B020" w:rsidRPr="00CA29A8">
        <w:rPr>
          <w:rFonts w:cstheme="minorHAnsi"/>
          <w:lang w:val="es-419"/>
        </w:rPr>
        <w:t xml:space="preserve"> </w:t>
      </w:r>
      <w:r w:rsidR="0CA7B020" w:rsidRPr="00CA29A8">
        <w:rPr>
          <w:rFonts w:eastAsia="Open Sans" w:cstheme="minorHAnsi"/>
          <w:lang w:val="es-419"/>
        </w:rPr>
        <w:t xml:space="preserve"> Newsroom Infobae. "Colombia Apela A La "Operación Muralla" Para Controlar La Frontera Con Venezuela". </w:t>
      </w:r>
      <w:r w:rsidR="0CA7B020" w:rsidRPr="00CA29A8">
        <w:rPr>
          <w:rFonts w:eastAsia="Open Sans" w:cstheme="minorHAnsi"/>
          <w:i/>
          <w:iCs/>
          <w:lang w:val="es-419"/>
        </w:rPr>
        <w:t>Infobae</w:t>
      </w:r>
      <w:r w:rsidR="0CA7B020" w:rsidRPr="00CA29A8">
        <w:rPr>
          <w:rFonts w:eastAsia="Open Sans" w:cstheme="minorHAnsi"/>
          <w:lang w:val="es-419"/>
        </w:rPr>
        <w:t xml:space="preserve">, 2020, </w:t>
      </w:r>
      <w:r w:rsidR="0CA7B020" w:rsidRPr="00CA29A8">
        <w:rPr>
          <w:rFonts w:cstheme="minorHAnsi"/>
          <w:lang w:val="es-419"/>
        </w:rPr>
        <w:t>Accesible en:</w:t>
      </w:r>
      <w:r w:rsidR="0CA7B020" w:rsidRPr="00CA29A8">
        <w:rPr>
          <w:rFonts w:eastAsia="Open Sans" w:cstheme="minorHAnsi"/>
          <w:lang w:val="es-419"/>
        </w:rPr>
        <w:t xml:space="preserve"> https://www.infobae.com/america/agencias/2020/10/17/colombia-apela-a-la-operacion-muralla-para-controlar-la-frontera-con-venezuela/.</w:t>
      </w:r>
    </w:p>
  </w:footnote>
  <w:footnote w:id="25">
    <w:p w14:paraId="2A253612" w14:textId="320E8E33" w:rsidR="006B0DD6" w:rsidRPr="00CA29A8" w:rsidRDefault="006B0DD6" w:rsidP="007225EC">
      <w:pPr>
        <w:pStyle w:val="Textonotapie"/>
        <w:mirrorIndents/>
        <w:jc w:val="both"/>
        <w:rPr>
          <w:rFonts w:eastAsia="Open Sans" w:cstheme="minorHAnsi"/>
          <w:lang w:val="es-419"/>
        </w:rPr>
      </w:pPr>
      <w:r w:rsidRPr="00CA29A8">
        <w:rPr>
          <w:rStyle w:val="Refdenotaalpie"/>
          <w:rFonts w:cstheme="minorHAnsi"/>
          <w:lang w:val="es-419"/>
        </w:rPr>
        <w:footnoteRef/>
      </w:r>
      <w:r w:rsidR="0CA7B020" w:rsidRPr="00CA29A8">
        <w:rPr>
          <w:rFonts w:cstheme="minorHAnsi"/>
          <w:lang w:val="es-419"/>
        </w:rPr>
        <w:t xml:space="preserve"> </w:t>
      </w:r>
      <w:r w:rsidR="0CA7B020" w:rsidRPr="00CA29A8">
        <w:rPr>
          <w:rFonts w:eastAsia="Open Sans" w:cstheme="minorHAnsi"/>
          <w:lang w:val="es-419"/>
        </w:rPr>
        <w:t xml:space="preserve"> Infobae. "Qué Son Las "Trochas", Los Pasos Fronterizos Donde Miles De Venezolanos Desafían A La Muerte Para Escapar Del Régimen De Maduro". </w:t>
      </w:r>
      <w:r w:rsidR="0CA7B020" w:rsidRPr="00CA29A8">
        <w:rPr>
          <w:rFonts w:eastAsia="Open Sans" w:cstheme="minorHAnsi"/>
          <w:i/>
          <w:iCs/>
          <w:lang w:val="es-419"/>
        </w:rPr>
        <w:t>Infobae</w:t>
      </w:r>
      <w:r w:rsidR="0CA7B020" w:rsidRPr="00CA29A8">
        <w:rPr>
          <w:rFonts w:eastAsia="Open Sans" w:cstheme="minorHAnsi"/>
          <w:lang w:val="es-419"/>
        </w:rPr>
        <w:t xml:space="preserve">, 2019, </w:t>
      </w:r>
      <w:r w:rsidR="0CA7B020" w:rsidRPr="00CA29A8">
        <w:rPr>
          <w:rFonts w:cstheme="minorHAnsi"/>
          <w:lang w:val="es-419"/>
        </w:rPr>
        <w:t>Accesible en</w:t>
      </w:r>
      <w:r w:rsidR="0CA7B020" w:rsidRPr="00CA29A8">
        <w:rPr>
          <w:rFonts w:eastAsia="Open Sans" w:cstheme="minorHAnsi"/>
          <w:lang w:val="es-419"/>
        </w:rPr>
        <w:t>: https://www.infobae.com/america/venezuela/2019/02/28/que-son-las-trochas-los-pasos-fronterizos-donde-miles-de-venezolanos-desafian-a-la-muerte-para-escapar-del-regimen-de-maduro/.</w:t>
      </w:r>
    </w:p>
  </w:footnote>
  <w:footnote w:id="26">
    <w:p w14:paraId="02DEB8D3" w14:textId="73720C92" w:rsidR="00A3034E" w:rsidRPr="00CA29A8" w:rsidRDefault="00A3034E" w:rsidP="007225EC">
      <w:pPr>
        <w:spacing w:after="0" w:line="240" w:lineRule="auto"/>
        <w:mirrorIndents/>
        <w:jc w:val="both"/>
        <w:rPr>
          <w:rFonts w:cstheme="minorHAnsi"/>
          <w:sz w:val="20"/>
          <w:szCs w:val="20"/>
          <w:lang w:val="es-419"/>
        </w:rPr>
      </w:pPr>
      <w:r w:rsidRPr="00CA29A8">
        <w:rPr>
          <w:rFonts w:cstheme="minorHAnsi"/>
          <w:sz w:val="20"/>
          <w:szCs w:val="20"/>
          <w:vertAlign w:val="superscript"/>
          <w:lang w:val="es-419"/>
        </w:rPr>
        <w:footnoteRef/>
      </w:r>
      <w:r w:rsidR="0CA7B020" w:rsidRPr="00CA29A8">
        <w:rPr>
          <w:rFonts w:cstheme="minorHAnsi"/>
          <w:sz w:val="20"/>
          <w:szCs w:val="20"/>
          <w:lang w:val="es-419"/>
        </w:rPr>
        <w:t xml:space="preserve">  Arroyave, L. Militarización de fronteras en América Latina, otra barrera para los migrantes. </w:t>
      </w:r>
      <w:r w:rsidR="0CA7B020" w:rsidRPr="00CA29A8">
        <w:rPr>
          <w:rFonts w:cstheme="minorHAnsi"/>
          <w:i/>
          <w:iCs/>
          <w:sz w:val="20"/>
          <w:szCs w:val="20"/>
          <w:lang w:val="es-419"/>
        </w:rPr>
        <w:t>Dejusticia.,</w:t>
      </w:r>
      <w:r w:rsidR="0CA7B020" w:rsidRPr="00CA29A8">
        <w:rPr>
          <w:rFonts w:cstheme="minorHAnsi"/>
          <w:sz w:val="20"/>
          <w:szCs w:val="20"/>
          <w:lang w:val="es-419"/>
        </w:rPr>
        <w:t xml:space="preserve">. 2021. Accesible en: </w:t>
      </w:r>
      <w:hyperlink r:id="rId11" w:history="1">
        <w:r w:rsidR="0CA7B020" w:rsidRPr="00CA29A8">
          <w:rPr>
            <w:rFonts w:cstheme="minorHAnsi"/>
            <w:sz w:val="20"/>
            <w:szCs w:val="20"/>
            <w:u w:val="single"/>
            <w:lang w:val="es-419"/>
          </w:rPr>
          <w:t>https://www.dejusticia.org/column/militarizacion-de-fronteras-en-america-latina-otra-barrera-para-los-migrantes/</w:t>
        </w:r>
      </w:hyperlink>
      <w:r w:rsidR="0CA7B020" w:rsidRPr="00CA29A8">
        <w:rPr>
          <w:rFonts w:cstheme="minorHAnsi"/>
          <w:sz w:val="20"/>
          <w:szCs w:val="20"/>
          <w:lang w:val="es-419"/>
        </w:rPr>
        <w:t>.</w:t>
      </w:r>
    </w:p>
  </w:footnote>
  <w:footnote w:id="27">
    <w:p w14:paraId="2C749D5D" w14:textId="2629A165" w:rsidR="000D7002" w:rsidRPr="00CA29A8" w:rsidRDefault="000D7002" w:rsidP="007225EC">
      <w:pPr>
        <w:spacing w:after="0" w:line="240" w:lineRule="auto"/>
        <w:mirrorIndents/>
        <w:jc w:val="both"/>
        <w:rPr>
          <w:rFonts w:cstheme="minorHAnsi"/>
          <w:sz w:val="20"/>
          <w:szCs w:val="20"/>
          <w:lang w:val="es-419"/>
        </w:rPr>
      </w:pPr>
      <w:r w:rsidRPr="00CA29A8">
        <w:rPr>
          <w:rFonts w:cstheme="minorHAnsi"/>
          <w:sz w:val="20"/>
          <w:szCs w:val="20"/>
          <w:vertAlign w:val="superscript"/>
          <w:lang w:val="es-419"/>
        </w:rPr>
        <w:footnoteRef/>
      </w:r>
      <w:r w:rsidR="0CA7B020" w:rsidRPr="00CA29A8">
        <w:rPr>
          <w:rFonts w:cstheme="minorHAnsi"/>
          <w:sz w:val="20"/>
          <w:szCs w:val="20"/>
          <w:lang w:val="es-419"/>
        </w:rPr>
        <w:t xml:space="preserve"> Defensoría del Pueblo de Colombia. Alerta Temprana No. 23 de 1 de octubre de 2021 sobre casco urbano, municipios Puerto Rondón y Cravo Norte, Arauca. </w:t>
      </w:r>
      <w:r w:rsidR="0CA7B020" w:rsidRPr="00CA29A8">
        <w:rPr>
          <w:rFonts w:cstheme="minorHAnsi"/>
          <w:i/>
          <w:iCs/>
          <w:sz w:val="20"/>
          <w:szCs w:val="20"/>
          <w:lang w:val="es-419"/>
        </w:rPr>
        <w:t xml:space="preserve">Defensoría del Pueblo de Colombia. </w:t>
      </w:r>
      <w:r w:rsidR="0CA7B020" w:rsidRPr="00CA29A8">
        <w:rPr>
          <w:rFonts w:cstheme="minorHAnsi"/>
          <w:sz w:val="20"/>
          <w:szCs w:val="20"/>
          <w:lang w:val="es-419"/>
        </w:rPr>
        <w:t>2021. Accesible en: https://alertasstg.blob.core.windows.net/alertas/025-21.pdf</w:t>
      </w:r>
    </w:p>
    <w:p w14:paraId="67EF1EE5" w14:textId="6645E172" w:rsidR="000D7002" w:rsidRPr="00CA29A8" w:rsidRDefault="0CA7B020" w:rsidP="007225EC">
      <w:pPr>
        <w:spacing w:after="0" w:line="240" w:lineRule="auto"/>
        <w:mirrorIndents/>
        <w:jc w:val="both"/>
        <w:rPr>
          <w:rFonts w:cstheme="minorHAnsi"/>
          <w:sz w:val="20"/>
          <w:szCs w:val="20"/>
          <w:lang w:val="es-419"/>
        </w:rPr>
      </w:pPr>
      <w:r w:rsidRPr="00CA29A8">
        <w:rPr>
          <w:rFonts w:cstheme="minorHAnsi"/>
          <w:sz w:val="20"/>
          <w:szCs w:val="20"/>
          <w:lang w:val="es-419"/>
        </w:rPr>
        <w:t xml:space="preserve">Defensoría del Pueblo de Colombia. Alerta Temprana No. 25 de 22 de octubre de 2021 sobre cabecera urbana de El Tarra y San Calixto, Norte de Santander. </w:t>
      </w:r>
      <w:r w:rsidRPr="00CA29A8">
        <w:rPr>
          <w:rFonts w:cstheme="minorHAnsi"/>
          <w:i/>
          <w:iCs/>
          <w:sz w:val="20"/>
          <w:szCs w:val="20"/>
          <w:lang w:val="es-419"/>
        </w:rPr>
        <w:t xml:space="preserve">Defensoría del Pueblo de Colombia. </w:t>
      </w:r>
      <w:r w:rsidRPr="00CA29A8">
        <w:rPr>
          <w:rFonts w:cstheme="minorHAnsi"/>
          <w:sz w:val="20"/>
          <w:szCs w:val="20"/>
          <w:lang w:val="es-419"/>
        </w:rPr>
        <w:t>2021. Accesible en: https://www.defensoria.gov.co/es/nube/comunicados/10523/Defensor%C3%ADa-del-Pueblo-emite-alerta-temprana-en-San-Calixto-y-El-Tarra-por-el-riesgo-que-generan-las-acciones-de-grupos-armados-ilegales-alerta-temprana-San-Calixto-El-Tarra.htm</w:t>
      </w:r>
    </w:p>
    <w:p w14:paraId="3E329406" w14:textId="39631F21" w:rsidR="000D7002" w:rsidRPr="00CA29A8" w:rsidRDefault="0CA7B020" w:rsidP="007225EC">
      <w:pPr>
        <w:spacing w:after="0" w:line="240" w:lineRule="auto"/>
        <w:mirrorIndents/>
        <w:jc w:val="both"/>
        <w:rPr>
          <w:rFonts w:cstheme="minorHAnsi"/>
          <w:sz w:val="20"/>
          <w:szCs w:val="20"/>
          <w:lang w:val="es-419"/>
        </w:rPr>
      </w:pPr>
      <w:r w:rsidRPr="00CA29A8">
        <w:rPr>
          <w:rFonts w:cstheme="minorHAnsi"/>
          <w:sz w:val="20"/>
          <w:szCs w:val="20"/>
          <w:lang w:val="es-419"/>
        </w:rPr>
        <w:t xml:space="preserve">Defensoría del Pueblo de Colombia. Alerta Temprana No. 28 de 10 de diciembre de 2021 sobre comunas 1-5, 9, 14 y 17 de Bucaramanga; comunas 4 y 8 de Floridablanca; Girón y Piedecuesta, Santander. </w:t>
      </w:r>
      <w:r w:rsidRPr="00CA29A8">
        <w:rPr>
          <w:rFonts w:cstheme="minorHAnsi"/>
          <w:i/>
          <w:iCs/>
          <w:sz w:val="20"/>
          <w:szCs w:val="20"/>
          <w:lang w:val="es-419"/>
        </w:rPr>
        <w:t xml:space="preserve">Defensoría del Pueblo de Colombia. </w:t>
      </w:r>
      <w:r w:rsidRPr="00CA29A8">
        <w:rPr>
          <w:rFonts w:cstheme="minorHAnsi"/>
          <w:sz w:val="20"/>
          <w:szCs w:val="20"/>
          <w:lang w:val="es-419"/>
        </w:rPr>
        <w:t>2021. Accesible en: https://www.defensoria.gov.co/es/nube/comunicados/10638/Defensor%C3%ADa-emite-alerta-temprana-para-Bucaramanga-ante-riesgo-de-acciones-de-grupos-armados-ilegales-y-delincuenciales-alerta-temprana-Defensor%C3%ADa-Bucaramanga.htm</w:t>
      </w:r>
    </w:p>
  </w:footnote>
  <w:footnote w:id="28">
    <w:p w14:paraId="35656D3E" w14:textId="6F0EB929" w:rsidR="000D7002" w:rsidRPr="00CA29A8" w:rsidRDefault="000D7002" w:rsidP="007225EC">
      <w:pPr>
        <w:spacing w:after="0" w:line="240" w:lineRule="auto"/>
        <w:mirrorIndents/>
        <w:jc w:val="both"/>
        <w:rPr>
          <w:rFonts w:eastAsia="Open Sans" w:cstheme="minorHAnsi"/>
          <w:sz w:val="20"/>
          <w:szCs w:val="20"/>
          <w:lang w:val="es-419"/>
        </w:rPr>
      </w:pPr>
      <w:r w:rsidRPr="00CA29A8">
        <w:rPr>
          <w:rFonts w:cstheme="minorHAnsi"/>
          <w:sz w:val="20"/>
          <w:szCs w:val="20"/>
          <w:vertAlign w:val="superscript"/>
          <w:lang w:val="es-419"/>
        </w:rPr>
        <w:footnoteRef/>
      </w:r>
      <w:r w:rsidR="0CA7B020" w:rsidRPr="00CA29A8">
        <w:rPr>
          <w:rFonts w:cstheme="minorHAnsi"/>
          <w:sz w:val="20"/>
          <w:szCs w:val="20"/>
          <w:vertAlign w:val="superscript"/>
          <w:lang w:val="es-419"/>
        </w:rPr>
        <w:t xml:space="preserve"> </w:t>
      </w:r>
      <w:r w:rsidR="0CA7B020" w:rsidRPr="00CA29A8">
        <w:rPr>
          <w:rFonts w:eastAsia="Open Sans" w:cstheme="minorHAnsi"/>
          <w:sz w:val="20"/>
          <w:szCs w:val="20"/>
          <w:lang w:val="es-419"/>
        </w:rPr>
        <w:t xml:space="preserve">Comunicación Sectorial - Ministerio de Defensa Nacional. "Incremento De Militares Y Botes De Combate Fluvial Para Reforzar Seguridad En La Frontera Con Venezuela". </w:t>
      </w:r>
      <w:r w:rsidR="0CA7B020" w:rsidRPr="00CA29A8">
        <w:rPr>
          <w:rFonts w:eastAsia="Open Sans" w:cstheme="minorHAnsi"/>
          <w:i/>
          <w:iCs/>
          <w:sz w:val="20"/>
          <w:szCs w:val="20"/>
          <w:lang w:val="es-419"/>
        </w:rPr>
        <w:t>Comando General De Las Fuerzas Militares De Colombia</w:t>
      </w:r>
      <w:r w:rsidR="0CA7B020" w:rsidRPr="00CA29A8">
        <w:rPr>
          <w:rFonts w:eastAsia="Open Sans" w:cstheme="minorHAnsi"/>
          <w:sz w:val="20"/>
          <w:szCs w:val="20"/>
          <w:lang w:val="es-419"/>
        </w:rPr>
        <w:t xml:space="preserve">, 2021, </w:t>
      </w:r>
      <w:r w:rsidR="0CA7B020" w:rsidRPr="00CA29A8">
        <w:rPr>
          <w:rFonts w:cstheme="minorHAnsi"/>
          <w:sz w:val="20"/>
          <w:szCs w:val="20"/>
          <w:lang w:val="es-419"/>
        </w:rPr>
        <w:t>Accesible en</w:t>
      </w:r>
      <w:r w:rsidR="0CA7B020" w:rsidRPr="00CA29A8">
        <w:rPr>
          <w:rFonts w:eastAsia="Open Sans" w:cstheme="minorHAnsi"/>
          <w:sz w:val="20"/>
          <w:szCs w:val="20"/>
          <w:lang w:val="es-419"/>
        </w:rPr>
        <w:t xml:space="preserve">: </w:t>
      </w:r>
      <w:hyperlink r:id="rId12" w:history="1">
        <w:r w:rsidR="0089059A" w:rsidRPr="00CA29A8">
          <w:rPr>
            <w:rStyle w:val="Hipervnculo"/>
            <w:rFonts w:cstheme="minorHAnsi"/>
            <w:color w:val="auto"/>
            <w:sz w:val="20"/>
            <w:szCs w:val="20"/>
            <w:lang w:val="es-419"/>
          </w:rPr>
          <w:t>https://www.cgfm.mil.co/es/blog/incremento-de-militares-y-botes-de-combate-fluvial-para-reforzar-seguridad-en-la-frontera-con</w:t>
        </w:r>
      </w:hyperlink>
      <w:r w:rsidR="0CA7B020" w:rsidRPr="00CA29A8">
        <w:rPr>
          <w:rFonts w:eastAsia="Open Sans" w:cstheme="minorHAnsi"/>
          <w:sz w:val="20"/>
          <w:szCs w:val="20"/>
          <w:lang w:val="es-419"/>
        </w:rPr>
        <w:t>.</w:t>
      </w:r>
    </w:p>
  </w:footnote>
  <w:footnote w:id="29">
    <w:p w14:paraId="5EB3D005" w14:textId="27A1A21E" w:rsidR="4EE62912" w:rsidRPr="00CA29A8" w:rsidRDefault="4EE62912" w:rsidP="007225EC">
      <w:pPr>
        <w:pStyle w:val="Textonotapie"/>
        <w:mirrorIndents/>
        <w:jc w:val="both"/>
        <w:rPr>
          <w:rFonts w:eastAsiaTheme="minorEastAsia" w:cstheme="minorHAnsi"/>
          <w:lang w:val="es-419"/>
        </w:rPr>
      </w:pPr>
      <w:r w:rsidRPr="00CA29A8">
        <w:rPr>
          <w:rStyle w:val="Refdenotaalpie"/>
          <w:rFonts w:eastAsiaTheme="minorEastAsia" w:cstheme="minorHAnsi"/>
          <w:lang w:val="es-419"/>
        </w:rPr>
        <w:footnoteRef/>
      </w:r>
      <w:r w:rsidRPr="00CA29A8">
        <w:rPr>
          <w:rFonts w:eastAsiaTheme="minorEastAsia" w:cstheme="minorHAnsi"/>
          <w:lang w:val="es-419"/>
        </w:rPr>
        <w:t xml:space="preserve"> Los estratos son definidos por el Departamento Administrativo Nacional de Estadísticas como: ” una clasificación en estratos de los inmuebles residenciales que deben recibir servicios públicos. Se realiza principalmente para cobrar de manera diferencial por estratos los servicios públicos domiciliarios permitiendo asignar subsidios y cobrar contribuciones en esta área”. Para un entendimiento más simplificado de este sistema, véase: Pardo, Daniel, Qué son los estratos, el sistema "solidario" que terminó profundizando el clasismo y la desigualdad en Colombia, </w:t>
      </w:r>
      <w:r w:rsidRPr="00CA29A8">
        <w:rPr>
          <w:rFonts w:eastAsiaTheme="minorEastAsia" w:cstheme="minorHAnsi"/>
          <w:i/>
          <w:iCs/>
          <w:lang w:val="es-419"/>
        </w:rPr>
        <w:t xml:space="preserve">BBC. </w:t>
      </w:r>
      <w:r w:rsidRPr="00CA29A8">
        <w:rPr>
          <w:rFonts w:eastAsiaTheme="minorEastAsia" w:cstheme="minorHAnsi"/>
          <w:lang w:val="es-419"/>
        </w:rPr>
        <w:t>2021,</w:t>
      </w:r>
      <w:r w:rsidRPr="00CA29A8">
        <w:rPr>
          <w:rFonts w:eastAsiaTheme="minorEastAsia" w:cstheme="minorHAnsi"/>
          <w:i/>
          <w:iCs/>
          <w:lang w:val="es-419"/>
        </w:rPr>
        <w:t xml:space="preserve"> </w:t>
      </w:r>
      <w:r w:rsidRPr="00CA29A8">
        <w:rPr>
          <w:rFonts w:eastAsiaTheme="minorEastAsia" w:cstheme="minorHAnsi"/>
          <w:lang w:val="es-419"/>
        </w:rPr>
        <w:t xml:space="preserve">Accesible en: </w:t>
      </w:r>
      <w:hyperlink r:id="rId13" w:anchor=":~:text=Creados%20en%201985%2C%20los%20estratos,b%C3%A1sicos%20como%20un%20derecho%20fundamental" w:history="1">
        <w:r w:rsidRPr="00CA29A8">
          <w:rPr>
            <w:rStyle w:val="Hipervnculo"/>
            <w:rFonts w:eastAsiaTheme="minorEastAsia" w:cstheme="minorHAnsi"/>
            <w:color w:val="auto"/>
            <w:lang w:val="es-419"/>
          </w:rPr>
          <w:t>https://www.bbc.com/mundo/noticias-america-latina-57264176#:~:text=Creados%20en%201985%2C%20los%20estratos,b%C3%A1sicos%20como%20un%20derecho%20fundamental</w:t>
        </w:r>
      </w:hyperlink>
      <w:r w:rsidRPr="00CA29A8">
        <w:rPr>
          <w:rFonts w:eastAsiaTheme="minorEastAsia" w:cstheme="minorHAnsi"/>
          <w:lang w:val="es-419"/>
        </w:rPr>
        <w:t>.</w:t>
      </w:r>
    </w:p>
    <w:p w14:paraId="582635FE" w14:textId="3F9B11B5" w:rsidR="4EE62912" w:rsidRPr="00CA29A8" w:rsidRDefault="4EE62912" w:rsidP="007225EC">
      <w:pPr>
        <w:pStyle w:val="Ttulo1"/>
        <w:spacing w:before="0" w:line="240" w:lineRule="auto"/>
        <w:mirrorIndents/>
        <w:jc w:val="both"/>
        <w:rPr>
          <w:rStyle w:val="Hipervnculo"/>
          <w:rFonts w:asciiTheme="minorHAnsi" w:eastAsiaTheme="minorEastAsia" w:hAnsiTheme="minorHAnsi" w:cstheme="minorHAnsi"/>
          <w:color w:val="auto"/>
          <w:sz w:val="20"/>
          <w:szCs w:val="20"/>
          <w:lang w:val="es-419"/>
        </w:rPr>
      </w:pPr>
      <w:r w:rsidRPr="00CA29A8">
        <w:rPr>
          <w:rFonts w:asciiTheme="minorHAnsi" w:eastAsiaTheme="minorEastAsia" w:hAnsiTheme="minorHAnsi" w:cstheme="minorHAnsi"/>
          <w:color w:val="auto"/>
          <w:sz w:val="20"/>
          <w:szCs w:val="20"/>
          <w:lang w:val="es-419"/>
        </w:rPr>
        <w:t>DANE, Estratificación Socioeconómica para Servicios Públicos domiciliarios</w:t>
      </w:r>
      <w:r w:rsidRPr="00CA29A8">
        <w:rPr>
          <w:rStyle w:val="Hipervnculo"/>
          <w:rFonts w:asciiTheme="minorHAnsi" w:eastAsiaTheme="minorEastAsia" w:hAnsiTheme="minorHAnsi" w:cstheme="minorHAnsi"/>
          <w:color w:val="auto"/>
          <w:sz w:val="20"/>
          <w:szCs w:val="20"/>
          <w:lang w:val="es-419"/>
        </w:rPr>
        <w:t>, Accesbile en: https://www.dane.gov.co/index.php/servicios-al-ciudadano/servicios-informacion/estratificacion-socioeconomica</w:t>
      </w:r>
    </w:p>
  </w:footnote>
  <w:footnote w:id="30">
    <w:p w14:paraId="5A1E2709" w14:textId="69A0B08A" w:rsidR="000D7002" w:rsidRPr="00CA29A8" w:rsidRDefault="000D7002" w:rsidP="007225EC">
      <w:pPr>
        <w:spacing w:after="0" w:line="240" w:lineRule="auto"/>
        <w:mirrorIndents/>
        <w:jc w:val="both"/>
        <w:rPr>
          <w:rFonts w:cstheme="minorHAnsi"/>
          <w:sz w:val="20"/>
          <w:szCs w:val="20"/>
          <w:lang w:val="es-419"/>
        </w:rPr>
      </w:pPr>
      <w:r w:rsidRPr="00CA29A8">
        <w:rPr>
          <w:rFonts w:cstheme="minorHAnsi"/>
          <w:sz w:val="20"/>
          <w:szCs w:val="20"/>
          <w:vertAlign w:val="superscript"/>
          <w:lang w:val="es-419"/>
        </w:rPr>
        <w:footnoteRef/>
      </w:r>
      <w:r w:rsidR="0CA7B020" w:rsidRPr="00CA29A8">
        <w:rPr>
          <w:rFonts w:cstheme="minorHAnsi"/>
          <w:sz w:val="20"/>
          <w:szCs w:val="20"/>
          <w:lang w:val="es-419"/>
        </w:rPr>
        <w:t xml:space="preserve"> Ver: </w:t>
      </w:r>
      <w:r w:rsidR="0CA7B020" w:rsidRPr="00CA29A8">
        <w:rPr>
          <w:rFonts w:eastAsia="Open Sans" w:cstheme="minorHAnsi"/>
          <w:sz w:val="20"/>
          <w:szCs w:val="20"/>
          <w:lang w:val="es-419"/>
        </w:rPr>
        <w:t xml:space="preserve">ICBF. "Estrategia De Estabilización, Integración Y Futuro De Niñas, Niños, Adolescentes, Jóvenes Migrantes Y Sus Familias Provenientes De Venezuela 2021". </w:t>
      </w:r>
      <w:r w:rsidR="0CA7B020" w:rsidRPr="00CA29A8">
        <w:rPr>
          <w:rFonts w:eastAsia="Open Sans" w:cstheme="minorHAnsi"/>
          <w:i/>
          <w:iCs/>
          <w:sz w:val="20"/>
          <w:szCs w:val="20"/>
          <w:lang w:val="es-419"/>
        </w:rPr>
        <w:t>ICBF</w:t>
      </w:r>
      <w:r w:rsidR="0CA7B020" w:rsidRPr="00CA29A8">
        <w:rPr>
          <w:rFonts w:eastAsia="Open Sans" w:cstheme="minorHAnsi"/>
          <w:sz w:val="20"/>
          <w:szCs w:val="20"/>
          <w:lang w:val="es-419"/>
        </w:rPr>
        <w:t xml:space="preserve">, 2021, </w:t>
      </w:r>
      <w:r w:rsidR="0CA7B020" w:rsidRPr="00CA29A8">
        <w:rPr>
          <w:rFonts w:cstheme="minorHAnsi"/>
          <w:sz w:val="20"/>
          <w:szCs w:val="20"/>
          <w:lang w:val="es-419"/>
        </w:rPr>
        <w:t>Accesible en</w:t>
      </w:r>
      <w:r w:rsidR="0CA7B020" w:rsidRPr="00CA29A8">
        <w:rPr>
          <w:rFonts w:eastAsia="Open Sans" w:cstheme="minorHAnsi"/>
          <w:sz w:val="20"/>
          <w:szCs w:val="20"/>
          <w:lang w:val="es-419"/>
        </w:rPr>
        <w:t xml:space="preserve">: </w:t>
      </w:r>
      <w:hyperlink r:id="rId14" w:history="1">
        <w:r w:rsidR="0CA7B020" w:rsidRPr="00CA29A8">
          <w:rPr>
            <w:rStyle w:val="Hipervnculo"/>
            <w:rFonts w:eastAsia="Open Sans" w:cstheme="minorHAnsi"/>
            <w:color w:val="auto"/>
            <w:sz w:val="20"/>
            <w:szCs w:val="20"/>
            <w:lang w:val="es-419"/>
          </w:rPr>
          <w:t>https://www.icbf.gov.co/sites/default/files/abc_estrategia_ninez_migrante.pdf</w:t>
        </w:r>
      </w:hyperlink>
      <w:r w:rsidR="0CA7B020" w:rsidRPr="00CA29A8">
        <w:rPr>
          <w:rFonts w:eastAsia="Open Sans" w:cstheme="minorHAnsi"/>
          <w:sz w:val="20"/>
          <w:szCs w:val="20"/>
          <w:lang w:val="es-419"/>
        </w:rPr>
        <w:t>.</w:t>
      </w:r>
      <w:r w:rsidR="00F7162E" w:rsidRPr="00CA29A8">
        <w:rPr>
          <w:rFonts w:eastAsia="Open Sans" w:cstheme="minorHAnsi"/>
          <w:sz w:val="20"/>
          <w:szCs w:val="20"/>
          <w:lang w:val="es-419"/>
        </w:rPr>
        <w:t>;</w:t>
      </w:r>
      <w:r w:rsidR="00F7162E" w:rsidRPr="00CA29A8">
        <w:rPr>
          <w:rFonts w:cstheme="minorHAnsi"/>
          <w:sz w:val="20"/>
          <w:szCs w:val="20"/>
          <w:lang w:val="es-419"/>
        </w:rPr>
        <w:t xml:space="preserve"> </w:t>
      </w:r>
      <w:r w:rsidR="0CA7B020" w:rsidRPr="00CA29A8">
        <w:rPr>
          <w:rFonts w:eastAsia="Open Sans" w:cstheme="minorHAnsi"/>
          <w:sz w:val="20"/>
          <w:szCs w:val="20"/>
          <w:lang w:val="es-419"/>
        </w:rPr>
        <w:t xml:space="preserve">Mendoza, Ana Karolina y Debbie Gámez. "Tardanza En Escolarizar A Niños Venezolanos Los Condena A La Calle En Colombia". </w:t>
      </w:r>
      <w:r w:rsidR="0CA7B020" w:rsidRPr="00CA29A8">
        <w:rPr>
          <w:rFonts w:eastAsia="Open Sans" w:cstheme="minorHAnsi"/>
          <w:i/>
          <w:iCs/>
          <w:sz w:val="20"/>
          <w:szCs w:val="20"/>
          <w:lang w:val="es-419"/>
        </w:rPr>
        <w:t>Proyecto Migración Venezuela</w:t>
      </w:r>
      <w:r w:rsidR="0CA7B020" w:rsidRPr="00CA29A8">
        <w:rPr>
          <w:rFonts w:eastAsia="Open Sans" w:cstheme="minorHAnsi"/>
          <w:sz w:val="20"/>
          <w:szCs w:val="20"/>
          <w:lang w:val="es-419"/>
        </w:rPr>
        <w:t xml:space="preserve">, 2021, </w:t>
      </w:r>
      <w:r w:rsidR="0CA7B020" w:rsidRPr="00CA29A8">
        <w:rPr>
          <w:rFonts w:cstheme="minorHAnsi"/>
          <w:sz w:val="20"/>
          <w:szCs w:val="20"/>
          <w:lang w:val="es-419"/>
        </w:rPr>
        <w:t>Accesible en</w:t>
      </w:r>
      <w:r w:rsidR="0CA7B020" w:rsidRPr="00CA29A8">
        <w:rPr>
          <w:rFonts w:eastAsia="Open Sans" w:cstheme="minorHAnsi"/>
          <w:sz w:val="20"/>
          <w:szCs w:val="20"/>
          <w:lang w:val="es-419"/>
        </w:rPr>
        <w:t>: https://migravenezuela.com/web/articulo/tardanza-en-escolarizar-a-ninos-venezolanos-los-condena-a-la-calle-en-colombia/2962.</w:t>
      </w:r>
    </w:p>
  </w:footnote>
  <w:footnote w:id="31">
    <w:p w14:paraId="51CC7A0E" w14:textId="49E49F10" w:rsidR="000D7002" w:rsidRPr="00CA29A8" w:rsidRDefault="000D7002" w:rsidP="007225EC">
      <w:pPr>
        <w:spacing w:after="0" w:line="240" w:lineRule="auto"/>
        <w:mirrorIndents/>
        <w:jc w:val="both"/>
        <w:rPr>
          <w:rFonts w:cstheme="minorHAnsi"/>
          <w:sz w:val="20"/>
          <w:szCs w:val="20"/>
          <w:lang w:val="es-419"/>
        </w:rPr>
      </w:pPr>
      <w:r w:rsidRPr="00CA29A8">
        <w:rPr>
          <w:rFonts w:cstheme="minorHAnsi"/>
          <w:sz w:val="20"/>
          <w:szCs w:val="20"/>
          <w:vertAlign w:val="superscript"/>
          <w:lang w:val="es-419"/>
        </w:rPr>
        <w:footnoteRef/>
      </w:r>
      <w:r w:rsidR="0CA7B020" w:rsidRPr="00CA29A8">
        <w:rPr>
          <w:rFonts w:cstheme="minorHAnsi"/>
          <w:sz w:val="20"/>
          <w:szCs w:val="20"/>
          <w:lang w:val="es-419"/>
        </w:rPr>
        <w:t xml:space="preserve">  Defensoría del Pueblo de Colombia. Alerta Temprana No. 28 de 10 de diciembre de 2021 sobre comunas 1-5, 9, 14 y 17 de Bucaramanga; comunas 4 y 8 de Floridablanca; Girón y Piedecuesta, Santander. </w:t>
      </w:r>
      <w:r w:rsidR="0CA7B020" w:rsidRPr="00CA29A8">
        <w:rPr>
          <w:rFonts w:cstheme="minorHAnsi"/>
          <w:i/>
          <w:iCs/>
          <w:sz w:val="20"/>
          <w:szCs w:val="20"/>
          <w:lang w:val="es-419"/>
        </w:rPr>
        <w:t xml:space="preserve">Defensoría del Pueblo de Colombia. pp. 27-28, </w:t>
      </w:r>
      <w:r w:rsidR="0CA7B020" w:rsidRPr="00CA29A8">
        <w:rPr>
          <w:rFonts w:cstheme="minorHAnsi"/>
          <w:sz w:val="20"/>
          <w:szCs w:val="20"/>
          <w:lang w:val="es-419"/>
        </w:rPr>
        <w:t>2021. Accesible en: https://www.defensoria.gov.co/es/nube/comunicados/10638/Defensor%C3%ADa-emite-alerta-temprana-para-Bucaramanga-ante-riesgo-de-acciones-de-grupos-armados-ilegales-y-delincuenciales-alerta-temprana-Defensor%C3%ADa-Bucaramanga.htm</w:t>
      </w:r>
    </w:p>
  </w:footnote>
  <w:footnote w:id="32">
    <w:p w14:paraId="34183DD9" w14:textId="5D8187D0" w:rsidR="000D7002" w:rsidRPr="0024638D" w:rsidRDefault="000D7002" w:rsidP="007225EC">
      <w:pPr>
        <w:spacing w:after="0" w:line="240" w:lineRule="auto"/>
        <w:mirrorIndents/>
        <w:jc w:val="both"/>
        <w:rPr>
          <w:rFonts w:cstheme="minorHAnsi"/>
          <w:sz w:val="20"/>
          <w:szCs w:val="20"/>
          <w:lang w:val="es-419"/>
        </w:rPr>
      </w:pPr>
      <w:r w:rsidRPr="00CA29A8">
        <w:rPr>
          <w:rFonts w:cstheme="minorHAnsi"/>
          <w:sz w:val="20"/>
          <w:szCs w:val="20"/>
          <w:vertAlign w:val="superscript"/>
          <w:lang w:val="es-419"/>
        </w:rPr>
        <w:footnoteRef/>
      </w:r>
      <w:r w:rsidR="0CA7B020" w:rsidRPr="00CA29A8">
        <w:rPr>
          <w:rFonts w:cstheme="minorHAnsi"/>
          <w:sz w:val="20"/>
          <w:szCs w:val="20"/>
          <w:lang w:val="es-419"/>
        </w:rPr>
        <w:t xml:space="preserve"> Ibíd., p. 17. Aunque esta situación también se ha visto en toda la frontera. Véase:</w:t>
      </w:r>
      <w:r w:rsidR="0024638D">
        <w:rPr>
          <w:rFonts w:cstheme="minorHAnsi"/>
          <w:sz w:val="20"/>
          <w:szCs w:val="20"/>
          <w:lang w:val="es-419"/>
        </w:rPr>
        <w:t xml:space="preserve"> </w:t>
      </w:r>
      <w:r w:rsidR="0CA7B020" w:rsidRPr="00CA29A8">
        <w:rPr>
          <w:rFonts w:eastAsia="Open Sans" w:cstheme="minorHAnsi"/>
          <w:sz w:val="20"/>
          <w:szCs w:val="20"/>
          <w:lang w:val="es-419"/>
        </w:rPr>
        <w:t xml:space="preserve">Blamnquicet, Jesús. "El Infierno De Las Menores Migrantes En Las Ciudades Fronterizas". </w:t>
      </w:r>
      <w:r w:rsidR="0CA7B020" w:rsidRPr="00CA29A8">
        <w:rPr>
          <w:rFonts w:eastAsia="Open Sans" w:cstheme="minorHAnsi"/>
          <w:i/>
          <w:iCs/>
          <w:sz w:val="20"/>
          <w:szCs w:val="20"/>
          <w:lang w:val="es-419"/>
        </w:rPr>
        <w:t>El Heraldo</w:t>
      </w:r>
      <w:r w:rsidR="0CA7B020" w:rsidRPr="00CA29A8">
        <w:rPr>
          <w:rFonts w:eastAsia="Open Sans" w:cstheme="minorHAnsi"/>
          <w:sz w:val="20"/>
          <w:szCs w:val="20"/>
          <w:lang w:val="es-419"/>
        </w:rPr>
        <w:t>, 2022, Accesible en: https://www.elheraldo.co/colombia/el-infierno-de-las-menores-migrantes-en-las-ciudades-fronterizas-856749.</w:t>
      </w:r>
    </w:p>
    <w:p w14:paraId="60416613" w14:textId="233FF497" w:rsidR="000D7002" w:rsidRPr="00CA29A8" w:rsidRDefault="0CA7B020" w:rsidP="007225EC">
      <w:pPr>
        <w:spacing w:after="0" w:line="240" w:lineRule="auto"/>
        <w:mirrorIndents/>
        <w:jc w:val="both"/>
        <w:rPr>
          <w:rFonts w:cstheme="minorHAnsi"/>
          <w:sz w:val="20"/>
          <w:szCs w:val="20"/>
          <w:lang w:val="es-419"/>
        </w:rPr>
      </w:pPr>
      <w:r w:rsidRPr="00CA29A8">
        <w:rPr>
          <w:rFonts w:cstheme="minorHAnsi"/>
          <w:sz w:val="20"/>
          <w:szCs w:val="20"/>
          <w:lang w:val="es-419"/>
        </w:rPr>
        <w:t xml:space="preserve">Y </w:t>
      </w:r>
      <w:r w:rsidRPr="00CA29A8">
        <w:rPr>
          <w:rFonts w:cstheme="minorHAnsi"/>
          <w:sz w:val="20"/>
          <w:szCs w:val="20"/>
          <w:highlight w:val="white"/>
          <w:lang w:val="es-419"/>
        </w:rPr>
        <w:t xml:space="preserve">"Hay más de 1.000 estudios webcam donde explotan a menores migrantes". Véase: </w:t>
      </w:r>
      <w:r w:rsidRPr="00CA29A8">
        <w:rPr>
          <w:rFonts w:eastAsia="Open Sans" w:cstheme="minorHAnsi"/>
          <w:sz w:val="20"/>
          <w:szCs w:val="20"/>
          <w:lang w:val="es-419"/>
        </w:rPr>
        <w:t xml:space="preserve">Proyecto Migración Venezuela. "Hay Más De 1.000 Estudios Webcam Donde Explotan A Menores Migrantes": ICBF". </w:t>
      </w:r>
      <w:r w:rsidRPr="00CA29A8">
        <w:rPr>
          <w:rFonts w:eastAsia="Open Sans" w:cstheme="minorHAnsi"/>
          <w:i/>
          <w:iCs/>
          <w:sz w:val="20"/>
          <w:szCs w:val="20"/>
          <w:lang w:val="es-419"/>
        </w:rPr>
        <w:t>Proyecto Migración Venezuela</w:t>
      </w:r>
      <w:r w:rsidRPr="00CA29A8">
        <w:rPr>
          <w:rFonts w:eastAsia="Open Sans" w:cstheme="minorHAnsi"/>
          <w:sz w:val="20"/>
          <w:szCs w:val="20"/>
          <w:lang w:val="es-419"/>
        </w:rPr>
        <w:t>, 2021, Accesible en: https://migravenezuela.com/web/articulo/hay-mas-de-1000-estudios-webcam-donde-explotan-a-menores-migrantes-icbf/2811.</w:t>
      </w:r>
      <w:r w:rsidRPr="00CA29A8">
        <w:rPr>
          <w:rFonts w:cstheme="minorHAnsi"/>
          <w:sz w:val="20"/>
          <w:szCs w:val="20"/>
          <w:highlight w:val="white"/>
          <w:lang w:val="es-419"/>
        </w:rPr>
        <w:t xml:space="preserve"> </w:t>
      </w:r>
    </w:p>
  </w:footnote>
  <w:footnote w:id="33">
    <w:p w14:paraId="37586F27" w14:textId="285F686B" w:rsidR="000D7002" w:rsidRPr="00CA29A8" w:rsidRDefault="000D7002" w:rsidP="007225EC">
      <w:pPr>
        <w:spacing w:after="0" w:line="240" w:lineRule="auto"/>
        <w:mirrorIndents/>
        <w:jc w:val="both"/>
        <w:rPr>
          <w:rFonts w:cstheme="minorHAnsi"/>
          <w:sz w:val="20"/>
          <w:szCs w:val="20"/>
          <w:lang w:val="es-419"/>
        </w:rPr>
      </w:pPr>
      <w:r w:rsidRPr="00CA29A8">
        <w:rPr>
          <w:rFonts w:cstheme="minorHAnsi"/>
          <w:sz w:val="20"/>
          <w:szCs w:val="20"/>
          <w:vertAlign w:val="superscript"/>
          <w:lang w:val="es-419"/>
        </w:rPr>
        <w:footnoteRef/>
      </w:r>
      <w:r w:rsidR="0CA7B020" w:rsidRPr="00CA29A8">
        <w:rPr>
          <w:rFonts w:cstheme="minorHAnsi"/>
          <w:sz w:val="20"/>
          <w:szCs w:val="20"/>
          <w:lang w:val="es-419"/>
        </w:rPr>
        <w:t xml:space="preserve">  Defensoría del Pueblo de Colombia. Alerta Temprana No. 25 de 22 de octubre de 2021 sobre cabecera urbana de El Tarra y San Calixto, Norte de Santander. </w:t>
      </w:r>
      <w:r w:rsidR="0CA7B020" w:rsidRPr="00CA29A8">
        <w:rPr>
          <w:rFonts w:cstheme="minorHAnsi"/>
          <w:i/>
          <w:iCs/>
          <w:sz w:val="20"/>
          <w:szCs w:val="20"/>
          <w:lang w:val="es-419"/>
        </w:rPr>
        <w:t xml:space="preserve">Defensoría del Pueblo de Colombia. pp. 19, </w:t>
      </w:r>
      <w:r w:rsidR="0CA7B020" w:rsidRPr="00CA29A8">
        <w:rPr>
          <w:rFonts w:cstheme="minorHAnsi"/>
          <w:sz w:val="20"/>
          <w:szCs w:val="20"/>
          <w:lang w:val="es-419"/>
        </w:rPr>
        <w:t>2021. Accesible en: https://www.defensoria.gov.co/es/nube/comunicados/10523/Defensor%C3%ADa-del-Pueblo-emite-alerta-temprana-en-San-Calixto-y-El-Tarra-por-el-riesgo-que-generan-las-acciones-de-grupos-armados-ilegales-alerta-temprana-San-Calixto-El-Tarra.htm</w:t>
      </w:r>
    </w:p>
  </w:footnote>
  <w:footnote w:id="34">
    <w:p w14:paraId="4E499691" w14:textId="56A79EC2" w:rsidR="00B0030A" w:rsidRPr="00CA29A8" w:rsidRDefault="00B0030A" w:rsidP="007225EC">
      <w:pPr>
        <w:pStyle w:val="Textonotapie"/>
        <w:jc w:val="both"/>
        <w:rPr>
          <w:rFonts w:cstheme="minorHAnsi"/>
          <w:lang w:val="es-419"/>
        </w:rPr>
      </w:pPr>
      <w:r w:rsidRPr="00CA29A8">
        <w:rPr>
          <w:rStyle w:val="Refdenotaalpie"/>
          <w:rFonts w:cstheme="minorHAnsi"/>
          <w:lang w:val="es-419"/>
        </w:rPr>
        <w:footnoteRef/>
      </w:r>
      <w:r w:rsidRPr="00CA29A8">
        <w:rPr>
          <w:rFonts w:cstheme="minorHAnsi"/>
          <w:lang w:val="es-419"/>
        </w:rPr>
        <w:t xml:space="preserve"> Defensoría del Pueblo de Colombia, La ruta de los migrantes ilegales en Urabá, </w:t>
      </w:r>
      <w:r w:rsidRPr="00CA29A8">
        <w:rPr>
          <w:rFonts w:cstheme="minorHAnsi"/>
          <w:i/>
          <w:iCs/>
          <w:lang w:val="es-419"/>
        </w:rPr>
        <w:t xml:space="preserve">Defensoría del Pueblo de Colombia. </w:t>
      </w:r>
      <w:r w:rsidRPr="00CA29A8">
        <w:rPr>
          <w:rFonts w:cstheme="minorHAnsi"/>
          <w:lang w:val="es-419"/>
        </w:rPr>
        <w:t xml:space="preserve">2018. Accesible en: </w:t>
      </w:r>
      <w:hyperlink r:id="rId15" w:history="1">
        <w:r w:rsidRPr="00CA29A8">
          <w:rPr>
            <w:rStyle w:val="Hipervnculo"/>
            <w:rFonts w:cstheme="minorHAnsi"/>
            <w:color w:val="auto"/>
            <w:lang w:val="es-419"/>
          </w:rPr>
          <w:t>https://www.defensoria.gov.co/public/especiales/uraba/cr%C3%B3nica---la-ruta-de-migrantes-ilegales.html</w:t>
        </w:r>
      </w:hyperlink>
      <w:r w:rsidRPr="00CA29A8">
        <w:rPr>
          <w:rFonts w:cstheme="minorHAnsi"/>
          <w:lang w:val="es-419"/>
        </w:rPr>
        <w:t>.</w:t>
      </w:r>
    </w:p>
  </w:footnote>
  <w:footnote w:id="35">
    <w:p w14:paraId="7FA8C36A" w14:textId="39357AA9" w:rsidR="00A36D73" w:rsidRPr="00CA29A8" w:rsidRDefault="00A36D73" w:rsidP="007225EC">
      <w:pPr>
        <w:pStyle w:val="Ttulo1"/>
        <w:shd w:val="clear" w:color="auto" w:fill="FFFFFF"/>
        <w:spacing w:before="0"/>
        <w:jc w:val="both"/>
        <w:rPr>
          <w:rFonts w:asciiTheme="minorHAnsi" w:hAnsiTheme="minorHAnsi" w:cstheme="minorHAnsi"/>
          <w:color w:val="auto"/>
          <w:sz w:val="20"/>
          <w:szCs w:val="20"/>
          <w:lang w:val="es-419"/>
        </w:rPr>
      </w:pPr>
      <w:r w:rsidRPr="00CA29A8">
        <w:rPr>
          <w:rStyle w:val="Refdenotaalpie"/>
          <w:rFonts w:asciiTheme="minorHAnsi" w:hAnsiTheme="minorHAnsi" w:cstheme="minorHAnsi"/>
          <w:color w:val="auto"/>
          <w:sz w:val="20"/>
          <w:szCs w:val="20"/>
          <w:lang w:val="es-419"/>
        </w:rPr>
        <w:footnoteRef/>
      </w:r>
      <w:r w:rsidRPr="00CA29A8">
        <w:rPr>
          <w:rFonts w:asciiTheme="minorHAnsi" w:hAnsiTheme="minorHAnsi" w:cstheme="minorHAnsi"/>
          <w:color w:val="auto"/>
          <w:sz w:val="20"/>
          <w:szCs w:val="20"/>
          <w:lang w:val="es-419"/>
        </w:rPr>
        <w:t xml:space="preserve"> Torrado, Santiago, “</w:t>
      </w:r>
      <w:r w:rsidR="00A315E4" w:rsidRPr="00CA29A8">
        <w:rPr>
          <w:rFonts w:asciiTheme="minorHAnsi" w:hAnsiTheme="minorHAnsi" w:cstheme="minorHAnsi"/>
          <w:color w:val="auto"/>
          <w:sz w:val="20"/>
          <w:szCs w:val="20"/>
          <w:lang w:val="es-419"/>
        </w:rPr>
        <w:t>Miles de migrantes haitianos permanecen varados en la frontera entre Colombia y Panamá</w:t>
      </w:r>
      <w:r w:rsidRPr="00CA29A8">
        <w:rPr>
          <w:rFonts w:asciiTheme="minorHAnsi" w:hAnsiTheme="minorHAnsi" w:cstheme="minorHAnsi"/>
          <w:color w:val="auto"/>
          <w:sz w:val="20"/>
          <w:szCs w:val="20"/>
          <w:lang w:val="es-419"/>
        </w:rPr>
        <w:t>”</w:t>
      </w:r>
      <w:r w:rsidR="00A315E4" w:rsidRPr="00CA29A8">
        <w:rPr>
          <w:rFonts w:asciiTheme="minorHAnsi" w:hAnsiTheme="minorHAnsi" w:cstheme="minorHAnsi"/>
          <w:color w:val="auto"/>
          <w:sz w:val="20"/>
          <w:szCs w:val="20"/>
          <w:lang w:val="es-419"/>
        </w:rPr>
        <w:t xml:space="preserve"> 28 de julio 2021. Accesible en: </w:t>
      </w:r>
      <w:hyperlink r:id="rId16" w:history="1">
        <w:r w:rsidR="00A315E4" w:rsidRPr="00CA29A8">
          <w:rPr>
            <w:rStyle w:val="Hipervnculo"/>
            <w:rFonts w:asciiTheme="minorHAnsi" w:hAnsiTheme="minorHAnsi" w:cstheme="minorHAnsi"/>
            <w:sz w:val="20"/>
            <w:szCs w:val="20"/>
            <w:lang w:val="es-419"/>
          </w:rPr>
          <w:t>https://elpais.com/internacional/2021-07-28/miles-de-migrantes-haitianos-permanecen-varados-en-el-pequeno-municipio-colombiano-de-necocli.html</w:t>
        </w:r>
      </w:hyperlink>
    </w:p>
  </w:footnote>
  <w:footnote w:id="36">
    <w:p w14:paraId="0F042738" w14:textId="6F35A922" w:rsidR="00CF405C" w:rsidRPr="00CA29A8" w:rsidRDefault="00CF405C" w:rsidP="007225EC">
      <w:pPr>
        <w:pStyle w:val="Textonotapie"/>
        <w:mirrorIndents/>
        <w:jc w:val="both"/>
        <w:rPr>
          <w:rFonts w:cstheme="minorHAnsi"/>
          <w:lang w:val="es-419"/>
        </w:rPr>
      </w:pPr>
      <w:r w:rsidRPr="00CA29A8">
        <w:rPr>
          <w:rStyle w:val="Refdenotaalpie"/>
          <w:rFonts w:cstheme="minorHAnsi"/>
          <w:lang w:val="es-419"/>
        </w:rPr>
        <w:footnoteRef/>
      </w:r>
      <w:r w:rsidR="0CA7B020" w:rsidRPr="00CA29A8">
        <w:rPr>
          <w:rFonts w:cstheme="minorHAnsi"/>
          <w:lang w:val="es-419"/>
        </w:rPr>
        <w:t xml:space="preserve"> Defensoría del Pueblo de Colombia, La ruta de los migrantes ilegales en Urabá, </w:t>
      </w:r>
      <w:r w:rsidR="0CA7B020" w:rsidRPr="00CA29A8">
        <w:rPr>
          <w:rFonts w:cstheme="minorHAnsi"/>
          <w:i/>
          <w:iCs/>
          <w:lang w:val="es-419"/>
        </w:rPr>
        <w:t xml:space="preserve">Defensoría del Pueblo de Colombia. </w:t>
      </w:r>
      <w:r w:rsidR="0CA7B020" w:rsidRPr="00CA29A8">
        <w:rPr>
          <w:rFonts w:cstheme="minorHAnsi"/>
          <w:lang w:val="es-419"/>
        </w:rPr>
        <w:t xml:space="preserve">2018. Accesible en: </w:t>
      </w:r>
      <w:hyperlink r:id="rId17" w:history="1">
        <w:r w:rsidR="0CA7B020" w:rsidRPr="00CA29A8">
          <w:rPr>
            <w:rStyle w:val="Hipervnculo"/>
            <w:rFonts w:cstheme="minorHAnsi"/>
            <w:color w:val="auto"/>
            <w:lang w:val="es-419"/>
          </w:rPr>
          <w:t>https://www.defensoria.gov.co/public/especiales/uraba/cr%C3%B3nica---la-ruta-de-migrantes-ilegales.html</w:t>
        </w:r>
      </w:hyperlink>
      <w:r w:rsidR="0CA7B020" w:rsidRPr="00CA29A8">
        <w:rPr>
          <w:rFonts w:cstheme="minorHAnsi"/>
          <w:lang w:val="es-419"/>
        </w:rPr>
        <w:t xml:space="preserve">. </w:t>
      </w:r>
    </w:p>
  </w:footnote>
  <w:footnote w:id="37">
    <w:p w14:paraId="01965A62" w14:textId="78A67C80" w:rsidR="00B50DF6" w:rsidRPr="00CA29A8" w:rsidRDefault="00B50DF6" w:rsidP="007225EC">
      <w:pPr>
        <w:pStyle w:val="Textonotapie"/>
        <w:mirrorIndents/>
        <w:jc w:val="both"/>
        <w:rPr>
          <w:rFonts w:cstheme="minorHAnsi"/>
          <w:lang w:val="es-419"/>
        </w:rPr>
      </w:pPr>
      <w:r w:rsidRPr="00CA29A8">
        <w:rPr>
          <w:rStyle w:val="Refdenotaalpie"/>
          <w:rFonts w:cstheme="minorHAnsi"/>
          <w:lang w:val="es-419"/>
        </w:rPr>
        <w:footnoteRef/>
      </w:r>
      <w:r w:rsidR="0CA7B020" w:rsidRPr="00CA29A8">
        <w:rPr>
          <w:rFonts w:cstheme="minorHAnsi"/>
          <w:lang w:val="es-419"/>
        </w:rPr>
        <w:t xml:space="preserve"> Oquendo, C., “Necoclí, el primer ‘muro’ para los migrantes haitianos”, </w:t>
      </w:r>
      <w:r w:rsidR="0CA7B020" w:rsidRPr="00CA29A8">
        <w:rPr>
          <w:rFonts w:cstheme="minorHAnsi"/>
          <w:i/>
          <w:iCs/>
          <w:lang w:val="es-419"/>
        </w:rPr>
        <w:t>El país</w:t>
      </w:r>
      <w:r w:rsidR="0CA7B020" w:rsidRPr="00CA29A8">
        <w:rPr>
          <w:rFonts w:cstheme="minorHAnsi"/>
          <w:lang w:val="es-419"/>
        </w:rPr>
        <w:t xml:space="preserve">, 2021, Accesible en </w:t>
      </w:r>
      <w:hyperlink r:id="rId18" w:history="1">
        <w:r w:rsidR="0CA7B020" w:rsidRPr="00CA29A8">
          <w:rPr>
            <w:rStyle w:val="Hipervnculo"/>
            <w:rFonts w:cstheme="minorHAnsi"/>
            <w:color w:val="auto"/>
            <w:lang w:val="es-419"/>
          </w:rPr>
          <w:t>https://elpais.com/internacional/2021-09-29/necocli-el-primer-muro-para-los-migrantes-haitianos.html</w:t>
        </w:r>
      </w:hyperlink>
      <w:r w:rsidR="0CA7B020" w:rsidRPr="00CA29A8">
        <w:rPr>
          <w:rFonts w:cstheme="minorHAnsi"/>
          <w:lang w:val="es-419"/>
        </w:rPr>
        <w:t xml:space="preserve">. </w:t>
      </w:r>
    </w:p>
  </w:footnote>
  <w:footnote w:id="38">
    <w:p w14:paraId="7C4D6272" w14:textId="2E77A5DF" w:rsidR="007A6DD0" w:rsidRPr="00CA29A8" w:rsidRDefault="007A6DD0" w:rsidP="007225EC">
      <w:pPr>
        <w:pStyle w:val="Textonotapie"/>
        <w:mirrorIndents/>
        <w:jc w:val="both"/>
        <w:rPr>
          <w:rFonts w:cstheme="minorHAnsi"/>
          <w:lang w:val="es-419"/>
        </w:rPr>
      </w:pPr>
      <w:r w:rsidRPr="00CA29A8">
        <w:rPr>
          <w:rStyle w:val="Refdenotaalpie"/>
          <w:rFonts w:cstheme="minorHAnsi"/>
          <w:lang w:val="es-419"/>
        </w:rPr>
        <w:footnoteRef/>
      </w:r>
      <w:r w:rsidRPr="00CA29A8">
        <w:rPr>
          <w:rFonts w:cstheme="minorHAnsi"/>
          <w:lang w:val="es-419"/>
        </w:rPr>
        <w:t xml:space="preserve"> Ibíd.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7346AB"/>
    <w:multiLevelType w:val="multilevel"/>
    <w:tmpl w:val="A150FEE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F997205"/>
    <w:multiLevelType w:val="multilevel"/>
    <w:tmpl w:val="F67C949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266F1C0D"/>
    <w:multiLevelType w:val="hybridMultilevel"/>
    <w:tmpl w:val="8494AAC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41C733CA"/>
    <w:multiLevelType w:val="hybridMultilevel"/>
    <w:tmpl w:val="F57640D2"/>
    <w:lvl w:ilvl="0" w:tplc="3D32EFBC">
      <w:start w:val="1"/>
      <w:numFmt w:val="decimal"/>
      <w:lvlText w:val="%1."/>
      <w:lvlJc w:val="left"/>
      <w:pPr>
        <w:ind w:left="720" w:hanging="360"/>
      </w:pPr>
    </w:lvl>
    <w:lvl w:ilvl="1" w:tplc="AECE84C4">
      <w:start w:val="1"/>
      <w:numFmt w:val="lowerLetter"/>
      <w:lvlText w:val="%2."/>
      <w:lvlJc w:val="left"/>
      <w:pPr>
        <w:ind w:left="1440" w:hanging="360"/>
      </w:pPr>
    </w:lvl>
    <w:lvl w:ilvl="2" w:tplc="B6F20C88">
      <w:start w:val="1"/>
      <w:numFmt w:val="lowerRoman"/>
      <w:lvlText w:val="%3."/>
      <w:lvlJc w:val="right"/>
      <w:pPr>
        <w:ind w:left="2160" w:hanging="180"/>
      </w:pPr>
    </w:lvl>
    <w:lvl w:ilvl="3" w:tplc="FB56B702">
      <w:start w:val="1"/>
      <w:numFmt w:val="decimal"/>
      <w:lvlText w:val="%4."/>
      <w:lvlJc w:val="left"/>
      <w:pPr>
        <w:ind w:left="2880" w:hanging="360"/>
      </w:pPr>
    </w:lvl>
    <w:lvl w:ilvl="4" w:tplc="3B48A954">
      <w:start w:val="1"/>
      <w:numFmt w:val="lowerLetter"/>
      <w:lvlText w:val="%5."/>
      <w:lvlJc w:val="left"/>
      <w:pPr>
        <w:ind w:left="3600" w:hanging="360"/>
      </w:pPr>
    </w:lvl>
    <w:lvl w:ilvl="5" w:tplc="9B466554">
      <w:start w:val="1"/>
      <w:numFmt w:val="lowerRoman"/>
      <w:lvlText w:val="%6."/>
      <w:lvlJc w:val="right"/>
      <w:pPr>
        <w:ind w:left="4320" w:hanging="180"/>
      </w:pPr>
    </w:lvl>
    <w:lvl w:ilvl="6" w:tplc="A6405F66">
      <w:start w:val="1"/>
      <w:numFmt w:val="decimal"/>
      <w:lvlText w:val="%7."/>
      <w:lvlJc w:val="left"/>
      <w:pPr>
        <w:ind w:left="5040" w:hanging="360"/>
      </w:pPr>
    </w:lvl>
    <w:lvl w:ilvl="7" w:tplc="232EEACC">
      <w:start w:val="1"/>
      <w:numFmt w:val="lowerLetter"/>
      <w:lvlText w:val="%8."/>
      <w:lvlJc w:val="left"/>
      <w:pPr>
        <w:ind w:left="5760" w:hanging="360"/>
      </w:pPr>
    </w:lvl>
    <w:lvl w:ilvl="8" w:tplc="2B884EB6">
      <w:start w:val="1"/>
      <w:numFmt w:val="lowerRoman"/>
      <w:lvlText w:val="%9."/>
      <w:lvlJc w:val="right"/>
      <w:pPr>
        <w:ind w:left="6480" w:hanging="180"/>
      </w:pPr>
    </w:lvl>
  </w:abstractNum>
  <w:abstractNum w:abstractNumId="4" w15:restartNumberingAfterBreak="0">
    <w:nsid w:val="79674552"/>
    <w:multiLevelType w:val="hybridMultilevel"/>
    <w:tmpl w:val="24D42F18"/>
    <w:lvl w:ilvl="0" w:tplc="2000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426389796">
    <w:abstractNumId w:val="3"/>
  </w:num>
  <w:num w:numId="2" w16cid:durableId="1727877658">
    <w:abstractNumId w:val="1"/>
  </w:num>
  <w:num w:numId="3" w16cid:durableId="2105372266">
    <w:abstractNumId w:val="0"/>
  </w:num>
  <w:num w:numId="4" w16cid:durableId="417140661">
    <w:abstractNumId w:val="2"/>
  </w:num>
  <w:num w:numId="5" w16cid:durableId="6302113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7FC"/>
    <w:rsid w:val="000159F1"/>
    <w:rsid w:val="00035F87"/>
    <w:rsid w:val="00041490"/>
    <w:rsid w:val="0004B11E"/>
    <w:rsid w:val="00055915"/>
    <w:rsid w:val="000646A6"/>
    <w:rsid w:val="00064745"/>
    <w:rsid w:val="000919EC"/>
    <w:rsid w:val="000C1D37"/>
    <w:rsid w:val="000D7002"/>
    <w:rsid w:val="000E5B04"/>
    <w:rsid w:val="000F6DB9"/>
    <w:rsid w:val="000F7D6A"/>
    <w:rsid w:val="00100389"/>
    <w:rsid w:val="001434D0"/>
    <w:rsid w:val="0014637C"/>
    <w:rsid w:val="00153E8F"/>
    <w:rsid w:val="0015442E"/>
    <w:rsid w:val="00157D22"/>
    <w:rsid w:val="0017621F"/>
    <w:rsid w:val="0019323E"/>
    <w:rsid w:val="001C0C39"/>
    <w:rsid w:val="001C20FA"/>
    <w:rsid w:val="001C6E49"/>
    <w:rsid w:val="001D6581"/>
    <w:rsid w:val="001E677E"/>
    <w:rsid w:val="00223028"/>
    <w:rsid w:val="0022788C"/>
    <w:rsid w:val="0024638D"/>
    <w:rsid w:val="00274F07"/>
    <w:rsid w:val="002A42A8"/>
    <w:rsid w:val="002D18C7"/>
    <w:rsid w:val="002D3266"/>
    <w:rsid w:val="002E070D"/>
    <w:rsid w:val="002E20E0"/>
    <w:rsid w:val="002E2761"/>
    <w:rsid w:val="003044AF"/>
    <w:rsid w:val="00310786"/>
    <w:rsid w:val="0031160E"/>
    <w:rsid w:val="00316204"/>
    <w:rsid w:val="00316F36"/>
    <w:rsid w:val="00320799"/>
    <w:rsid w:val="00344399"/>
    <w:rsid w:val="003A2B79"/>
    <w:rsid w:val="003C5050"/>
    <w:rsid w:val="003C7BBF"/>
    <w:rsid w:val="003D45A8"/>
    <w:rsid w:val="003D4B38"/>
    <w:rsid w:val="00406EC3"/>
    <w:rsid w:val="004110D9"/>
    <w:rsid w:val="00415936"/>
    <w:rsid w:val="00431EC6"/>
    <w:rsid w:val="00437813"/>
    <w:rsid w:val="0049720C"/>
    <w:rsid w:val="00497B46"/>
    <w:rsid w:val="004B508E"/>
    <w:rsid w:val="004D4971"/>
    <w:rsid w:val="004F3557"/>
    <w:rsid w:val="00502BAA"/>
    <w:rsid w:val="005226DB"/>
    <w:rsid w:val="005739BB"/>
    <w:rsid w:val="0057521B"/>
    <w:rsid w:val="00586E33"/>
    <w:rsid w:val="005A5837"/>
    <w:rsid w:val="005F6F8D"/>
    <w:rsid w:val="006057FC"/>
    <w:rsid w:val="00671B8C"/>
    <w:rsid w:val="00690142"/>
    <w:rsid w:val="006B0DD6"/>
    <w:rsid w:val="006B489D"/>
    <w:rsid w:val="006C0F11"/>
    <w:rsid w:val="006D4F99"/>
    <w:rsid w:val="006E133C"/>
    <w:rsid w:val="006F5871"/>
    <w:rsid w:val="006F7BBC"/>
    <w:rsid w:val="00722340"/>
    <w:rsid w:val="007225EC"/>
    <w:rsid w:val="00770CFD"/>
    <w:rsid w:val="00792637"/>
    <w:rsid w:val="00796DE7"/>
    <w:rsid w:val="007A57C3"/>
    <w:rsid w:val="007A6DD0"/>
    <w:rsid w:val="007C1CE9"/>
    <w:rsid w:val="00805431"/>
    <w:rsid w:val="00821EFE"/>
    <w:rsid w:val="00865D21"/>
    <w:rsid w:val="00887BF1"/>
    <w:rsid w:val="0089059A"/>
    <w:rsid w:val="00893DE1"/>
    <w:rsid w:val="008B2DD8"/>
    <w:rsid w:val="008C6614"/>
    <w:rsid w:val="008E5DD0"/>
    <w:rsid w:val="00904CE4"/>
    <w:rsid w:val="009132A8"/>
    <w:rsid w:val="00921F36"/>
    <w:rsid w:val="00924B6F"/>
    <w:rsid w:val="00930D60"/>
    <w:rsid w:val="0093128D"/>
    <w:rsid w:val="00953ADB"/>
    <w:rsid w:val="00970E7C"/>
    <w:rsid w:val="00976451"/>
    <w:rsid w:val="00976CC2"/>
    <w:rsid w:val="00983BA4"/>
    <w:rsid w:val="00987F74"/>
    <w:rsid w:val="00991B7F"/>
    <w:rsid w:val="009922D7"/>
    <w:rsid w:val="00997E77"/>
    <w:rsid w:val="009B78A3"/>
    <w:rsid w:val="009C04D6"/>
    <w:rsid w:val="009E4950"/>
    <w:rsid w:val="00A171CF"/>
    <w:rsid w:val="00A3034E"/>
    <w:rsid w:val="00A305DA"/>
    <w:rsid w:val="00A315E4"/>
    <w:rsid w:val="00A36D73"/>
    <w:rsid w:val="00A62102"/>
    <w:rsid w:val="00AA0779"/>
    <w:rsid w:val="00AD125D"/>
    <w:rsid w:val="00AF77E2"/>
    <w:rsid w:val="00B0030A"/>
    <w:rsid w:val="00B00CD9"/>
    <w:rsid w:val="00B12DA6"/>
    <w:rsid w:val="00B50DF6"/>
    <w:rsid w:val="00B95599"/>
    <w:rsid w:val="00BC6808"/>
    <w:rsid w:val="00BF584B"/>
    <w:rsid w:val="00C06688"/>
    <w:rsid w:val="00C16961"/>
    <w:rsid w:val="00C17D3F"/>
    <w:rsid w:val="00C42F25"/>
    <w:rsid w:val="00C518CB"/>
    <w:rsid w:val="00C9378E"/>
    <w:rsid w:val="00CA29A8"/>
    <w:rsid w:val="00CA5796"/>
    <w:rsid w:val="00CC2DA3"/>
    <w:rsid w:val="00CD0966"/>
    <w:rsid w:val="00CD14CF"/>
    <w:rsid w:val="00CF405C"/>
    <w:rsid w:val="00D26470"/>
    <w:rsid w:val="00D677A0"/>
    <w:rsid w:val="00D92029"/>
    <w:rsid w:val="00DA26D3"/>
    <w:rsid w:val="00DA3F28"/>
    <w:rsid w:val="00DA77C3"/>
    <w:rsid w:val="00DC26B8"/>
    <w:rsid w:val="00DC58E4"/>
    <w:rsid w:val="00DE5ABC"/>
    <w:rsid w:val="00DF743D"/>
    <w:rsid w:val="00E04AFC"/>
    <w:rsid w:val="00E216DE"/>
    <w:rsid w:val="00E314FE"/>
    <w:rsid w:val="00E43D7E"/>
    <w:rsid w:val="00E57541"/>
    <w:rsid w:val="00EA6C74"/>
    <w:rsid w:val="00EB67F3"/>
    <w:rsid w:val="00EE561C"/>
    <w:rsid w:val="00EF16D7"/>
    <w:rsid w:val="00EF1753"/>
    <w:rsid w:val="00F06563"/>
    <w:rsid w:val="00F7162E"/>
    <w:rsid w:val="00F71E67"/>
    <w:rsid w:val="00F847F4"/>
    <w:rsid w:val="00F86E70"/>
    <w:rsid w:val="00FA6BC3"/>
    <w:rsid w:val="00FB256D"/>
    <w:rsid w:val="00FB6A94"/>
    <w:rsid w:val="00FD5613"/>
    <w:rsid w:val="00FF737C"/>
    <w:rsid w:val="01497AD8"/>
    <w:rsid w:val="019A24EF"/>
    <w:rsid w:val="02ECA04C"/>
    <w:rsid w:val="0335F550"/>
    <w:rsid w:val="0386A7EC"/>
    <w:rsid w:val="07E911E2"/>
    <w:rsid w:val="08228ED0"/>
    <w:rsid w:val="09A536D4"/>
    <w:rsid w:val="0B410735"/>
    <w:rsid w:val="0C2B7E7D"/>
    <w:rsid w:val="0CA7B020"/>
    <w:rsid w:val="0DB83C75"/>
    <w:rsid w:val="13F68709"/>
    <w:rsid w:val="142B9EF7"/>
    <w:rsid w:val="1507E424"/>
    <w:rsid w:val="15BEB322"/>
    <w:rsid w:val="16031CEB"/>
    <w:rsid w:val="160BC696"/>
    <w:rsid w:val="161FA7C3"/>
    <w:rsid w:val="163E9818"/>
    <w:rsid w:val="169CE239"/>
    <w:rsid w:val="16FCCE34"/>
    <w:rsid w:val="175F542D"/>
    <w:rsid w:val="179EED4C"/>
    <w:rsid w:val="185FB19D"/>
    <w:rsid w:val="1AAF1D91"/>
    <w:rsid w:val="1C9593AB"/>
    <w:rsid w:val="1CFAE8E6"/>
    <w:rsid w:val="1D6BAE67"/>
    <w:rsid w:val="1EF30135"/>
    <w:rsid w:val="1F18C862"/>
    <w:rsid w:val="1F513DB5"/>
    <w:rsid w:val="2234F6B8"/>
    <w:rsid w:val="23914934"/>
    <w:rsid w:val="23CBAFF3"/>
    <w:rsid w:val="25BE4800"/>
    <w:rsid w:val="2761AC6F"/>
    <w:rsid w:val="292970FA"/>
    <w:rsid w:val="2962EE8E"/>
    <w:rsid w:val="29D96BEE"/>
    <w:rsid w:val="2CECC602"/>
    <w:rsid w:val="2E4E4E86"/>
    <w:rsid w:val="310B1F66"/>
    <w:rsid w:val="344F8BE3"/>
    <w:rsid w:val="3598A17F"/>
    <w:rsid w:val="35A32454"/>
    <w:rsid w:val="35E64E75"/>
    <w:rsid w:val="377FBDBF"/>
    <w:rsid w:val="38C48779"/>
    <w:rsid w:val="39E8DE5B"/>
    <w:rsid w:val="3A3493E0"/>
    <w:rsid w:val="3A769577"/>
    <w:rsid w:val="3E01CB10"/>
    <w:rsid w:val="3F9C3D4C"/>
    <w:rsid w:val="3FB6C3CE"/>
    <w:rsid w:val="436BAA23"/>
    <w:rsid w:val="460CDCF5"/>
    <w:rsid w:val="4898D8E1"/>
    <w:rsid w:val="48E5EF2C"/>
    <w:rsid w:val="4AA33C03"/>
    <w:rsid w:val="4AD3E262"/>
    <w:rsid w:val="4B7193AA"/>
    <w:rsid w:val="4C307728"/>
    <w:rsid w:val="4C7C1E79"/>
    <w:rsid w:val="4CF4D180"/>
    <w:rsid w:val="4E17EEDA"/>
    <w:rsid w:val="4EE62912"/>
    <w:rsid w:val="535E48DC"/>
    <w:rsid w:val="5561CAF4"/>
    <w:rsid w:val="55ACCE86"/>
    <w:rsid w:val="58996BB6"/>
    <w:rsid w:val="58C79AC9"/>
    <w:rsid w:val="5904670F"/>
    <w:rsid w:val="5FE1E9AB"/>
    <w:rsid w:val="60A47D9B"/>
    <w:rsid w:val="60AC6B21"/>
    <w:rsid w:val="62699478"/>
    <w:rsid w:val="62B90103"/>
    <w:rsid w:val="63051B2F"/>
    <w:rsid w:val="657F7DF4"/>
    <w:rsid w:val="66C817CE"/>
    <w:rsid w:val="68754B8B"/>
    <w:rsid w:val="6A2C3138"/>
    <w:rsid w:val="6A906409"/>
    <w:rsid w:val="6B5199D4"/>
    <w:rsid w:val="6C6D924B"/>
    <w:rsid w:val="6C978D66"/>
    <w:rsid w:val="6CAEFF0B"/>
    <w:rsid w:val="7041F1FA"/>
    <w:rsid w:val="725E5F4C"/>
    <w:rsid w:val="7487BAF9"/>
    <w:rsid w:val="75AB06C4"/>
    <w:rsid w:val="75B5FF6D"/>
    <w:rsid w:val="762745A0"/>
    <w:rsid w:val="76A80CB6"/>
    <w:rsid w:val="76B1F517"/>
    <w:rsid w:val="771F149A"/>
    <w:rsid w:val="7746D725"/>
    <w:rsid w:val="7843DD17"/>
    <w:rsid w:val="78E017D0"/>
    <w:rsid w:val="79EAA540"/>
    <w:rsid w:val="7A1900E7"/>
    <w:rsid w:val="7AFE1FBA"/>
    <w:rsid w:val="7B440BC7"/>
    <w:rsid w:val="7C9B7F52"/>
    <w:rsid w:val="7E88CB14"/>
    <w:rsid w:val="7F88E956"/>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FD19A"/>
  <w15:chartTrackingRefBased/>
  <w15:docId w15:val="{5D6869EE-499C-4A1A-9DE7-B0F1644B7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7225E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C6E49"/>
    <w:pPr>
      <w:ind w:left="720"/>
      <w:contextualSpacing/>
    </w:pPr>
  </w:style>
  <w:style w:type="paragraph" w:styleId="Textonotapie">
    <w:name w:val="footnote text"/>
    <w:basedOn w:val="Normal"/>
    <w:link w:val="TextonotapieCar"/>
    <w:uiPriority w:val="99"/>
    <w:unhideWhenUsed/>
    <w:rsid w:val="006B0DD6"/>
    <w:pPr>
      <w:spacing w:after="0" w:line="240" w:lineRule="auto"/>
    </w:pPr>
    <w:rPr>
      <w:sz w:val="20"/>
      <w:szCs w:val="20"/>
    </w:rPr>
  </w:style>
  <w:style w:type="character" w:customStyle="1" w:styleId="TextonotapieCar">
    <w:name w:val="Texto nota pie Car"/>
    <w:basedOn w:val="Fuentedeprrafopredeter"/>
    <w:link w:val="Textonotapie"/>
    <w:uiPriority w:val="99"/>
    <w:rsid w:val="006B0DD6"/>
    <w:rPr>
      <w:sz w:val="20"/>
      <w:szCs w:val="20"/>
    </w:rPr>
  </w:style>
  <w:style w:type="character" w:styleId="Refdenotaalpie">
    <w:name w:val="footnote reference"/>
    <w:basedOn w:val="Fuentedeprrafopredeter"/>
    <w:uiPriority w:val="99"/>
    <w:semiHidden/>
    <w:unhideWhenUsed/>
    <w:rsid w:val="006B0DD6"/>
    <w:rPr>
      <w:vertAlign w:val="superscript"/>
    </w:rPr>
  </w:style>
  <w:style w:type="character" w:styleId="Hipervnculo">
    <w:name w:val="Hyperlink"/>
    <w:basedOn w:val="Fuentedeprrafopredeter"/>
    <w:uiPriority w:val="99"/>
    <w:unhideWhenUsed/>
    <w:rsid w:val="002E070D"/>
    <w:rPr>
      <w:color w:val="0000FF"/>
      <w:u w:val="single"/>
    </w:rPr>
  </w:style>
  <w:style w:type="character" w:styleId="Refdecomentario">
    <w:name w:val="annotation reference"/>
    <w:basedOn w:val="Fuentedeprrafopredeter"/>
    <w:uiPriority w:val="99"/>
    <w:semiHidden/>
    <w:unhideWhenUsed/>
    <w:rsid w:val="00AA0779"/>
    <w:rPr>
      <w:sz w:val="16"/>
      <w:szCs w:val="16"/>
    </w:rPr>
  </w:style>
  <w:style w:type="paragraph" w:styleId="Textocomentario">
    <w:name w:val="annotation text"/>
    <w:basedOn w:val="Normal"/>
    <w:link w:val="TextocomentarioCar"/>
    <w:uiPriority w:val="99"/>
    <w:unhideWhenUsed/>
    <w:rsid w:val="00AA0779"/>
    <w:pPr>
      <w:spacing w:line="240" w:lineRule="auto"/>
    </w:pPr>
    <w:rPr>
      <w:sz w:val="20"/>
      <w:szCs w:val="20"/>
    </w:rPr>
  </w:style>
  <w:style w:type="character" w:customStyle="1" w:styleId="TextocomentarioCar">
    <w:name w:val="Texto comentario Car"/>
    <w:basedOn w:val="Fuentedeprrafopredeter"/>
    <w:link w:val="Textocomentario"/>
    <w:uiPriority w:val="99"/>
    <w:rsid w:val="00AA0779"/>
    <w:rPr>
      <w:sz w:val="20"/>
      <w:szCs w:val="20"/>
    </w:rPr>
  </w:style>
  <w:style w:type="paragraph" w:styleId="Asuntodelcomentario">
    <w:name w:val="annotation subject"/>
    <w:basedOn w:val="Textocomentario"/>
    <w:next w:val="Textocomentario"/>
    <w:link w:val="AsuntodelcomentarioCar"/>
    <w:uiPriority w:val="99"/>
    <w:semiHidden/>
    <w:unhideWhenUsed/>
    <w:rsid w:val="00AA0779"/>
    <w:rPr>
      <w:b/>
      <w:bCs/>
    </w:rPr>
  </w:style>
  <w:style w:type="character" w:customStyle="1" w:styleId="AsuntodelcomentarioCar">
    <w:name w:val="Asunto del comentario Car"/>
    <w:basedOn w:val="TextocomentarioCar"/>
    <w:link w:val="Asuntodelcomentario"/>
    <w:uiPriority w:val="99"/>
    <w:semiHidden/>
    <w:rsid w:val="00AA0779"/>
    <w:rPr>
      <w:b/>
      <w:bCs/>
      <w:sz w:val="20"/>
      <w:szCs w:val="20"/>
    </w:rPr>
  </w:style>
  <w:style w:type="character" w:styleId="Mencinsinresolver">
    <w:name w:val="Unresolved Mention"/>
    <w:basedOn w:val="Fuentedeprrafopredeter"/>
    <w:uiPriority w:val="99"/>
    <w:semiHidden/>
    <w:unhideWhenUsed/>
    <w:rsid w:val="00CF405C"/>
    <w:rPr>
      <w:color w:val="605E5C"/>
      <w:shd w:val="clear" w:color="auto" w:fill="E1DFDD"/>
    </w:rPr>
  </w:style>
  <w:style w:type="character" w:customStyle="1" w:styleId="Ttulo1Car">
    <w:name w:val="Título 1 Car"/>
    <w:basedOn w:val="Fuentedeprrafopredeter"/>
    <w:link w:val="Ttulo1"/>
    <w:uiPriority w:val="9"/>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rsid w:val="007225EC"/>
    <w:rPr>
      <w:rFonts w:asciiTheme="majorHAnsi" w:eastAsiaTheme="majorEastAsia" w:hAnsiTheme="majorHAnsi" w:cstheme="majorBidi"/>
      <w:color w:val="2F5496" w:themeColor="accent1" w:themeShade="BF"/>
      <w:sz w:val="26"/>
      <w:szCs w:val="26"/>
    </w:rPr>
  </w:style>
  <w:style w:type="paragraph" w:styleId="Encabezado">
    <w:name w:val="header"/>
    <w:basedOn w:val="Normal"/>
    <w:link w:val="EncabezadoCar"/>
    <w:uiPriority w:val="99"/>
    <w:unhideWhenUsed/>
    <w:rsid w:val="0019323E"/>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19323E"/>
  </w:style>
  <w:style w:type="paragraph" w:styleId="Piedepgina">
    <w:name w:val="footer"/>
    <w:basedOn w:val="Normal"/>
    <w:link w:val="PiedepginaCar"/>
    <w:uiPriority w:val="99"/>
    <w:unhideWhenUsed/>
    <w:rsid w:val="0019323E"/>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193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300791">
      <w:bodyDiv w:val="1"/>
      <w:marLeft w:val="0"/>
      <w:marRight w:val="0"/>
      <w:marTop w:val="0"/>
      <w:marBottom w:val="0"/>
      <w:divBdr>
        <w:top w:val="none" w:sz="0" w:space="0" w:color="auto"/>
        <w:left w:val="none" w:sz="0" w:space="0" w:color="auto"/>
        <w:bottom w:val="none" w:sz="0" w:space="0" w:color="auto"/>
        <w:right w:val="none" w:sz="0" w:space="0" w:color="auto"/>
      </w:divBdr>
    </w:div>
    <w:div w:id="688265207">
      <w:bodyDiv w:val="1"/>
      <w:marLeft w:val="0"/>
      <w:marRight w:val="0"/>
      <w:marTop w:val="0"/>
      <w:marBottom w:val="0"/>
      <w:divBdr>
        <w:top w:val="none" w:sz="0" w:space="0" w:color="auto"/>
        <w:left w:val="none" w:sz="0" w:space="0" w:color="auto"/>
        <w:bottom w:val="none" w:sz="0" w:space="0" w:color="auto"/>
        <w:right w:val="none" w:sz="0" w:space="0" w:color="auto"/>
      </w:divBdr>
    </w:div>
    <w:div w:id="1107693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igravenezuela.com/web/articulo/como-esta-colombia-en-terminos-de-refugio-comparada-con-los-paises-de-la-region-/1984"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dejusticia.org/column/militarizacion-de-fronteras-en-america-latina-otra-barrera-para-los-migrantes/" TargetMode="External"/><Relationship Id="rId13" Type="http://schemas.openxmlformats.org/officeDocument/2006/relationships/hyperlink" Target="https://www.bbc.com/mundo/noticias-america-latina-57264176" TargetMode="External"/><Relationship Id="rId18" Type="http://schemas.openxmlformats.org/officeDocument/2006/relationships/hyperlink" Target="https://elpais.com/internacional/2021-09-29/necocli-el-primer-muro-para-los-migrantes-haitianos.html" TargetMode="External"/><Relationship Id="rId3" Type="http://schemas.openxmlformats.org/officeDocument/2006/relationships/hyperlink" Target="https://www.laopinion.com.co/frontera/publicaciones-discriminatorias-en-redes-aumentan-347-tras-declaraciones-de-claudia-lopez" TargetMode="External"/><Relationship Id="rId7" Type="http://schemas.openxmlformats.org/officeDocument/2006/relationships/hyperlink" Target="https://www.mindefensa.gov.co/irj/go/km/docs/Mindefensa/Images/varios/organigrama2022g.jpg" TargetMode="External"/><Relationship Id="rId12" Type="http://schemas.openxmlformats.org/officeDocument/2006/relationships/hyperlink" Target="https://www.cgfm.mil.co/es/blog/incremento-de-militares-y-botes-de-combate-fluvial-para-reforzar-seguridad-en-la-frontera-con" TargetMode="External"/><Relationship Id="rId17" Type="http://schemas.openxmlformats.org/officeDocument/2006/relationships/hyperlink" Target="https://www.defensoria.gov.co/public/especiales/uraba/cr%C3%B3nica---la-ruta-de-migrantes-ilegales.html" TargetMode="External"/><Relationship Id="rId2" Type="http://schemas.openxmlformats.org/officeDocument/2006/relationships/hyperlink" Target="https://elpais.com/internacional/2021-03-18/la-alcaldesa-de-bogota-agita-la-bandera-de-la-xenofobia-contra-los-venezolanos-en-colombia.html" TargetMode="External"/><Relationship Id="rId16" Type="http://schemas.openxmlformats.org/officeDocument/2006/relationships/hyperlink" Target="https://elpais.com/internacional/2021-07-28/miles-de-migrantes-haitianos-permanecen-varados-en-el-pequeno-municipio-colombiano-de-necocli.html" TargetMode="External"/><Relationship Id="rId1" Type="http://schemas.openxmlformats.org/officeDocument/2006/relationships/hyperlink" Target="https://defensoria.gov.co/public/minisite/protestasocial/assets/informe-visita-cidh.pdf" TargetMode="External"/><Relationship Id="rId6" Type="http://schemas.openxmlformats.org/officeDocument/2006/relationships/hyperlink" Target="https://www.mindefensa.gov.co/irj/go/km/docs/Mindefensa/Images/varios/organigrama2022g.jpg" TargetMode="External"/><Relationship Id="rId11" Type="http://schemas.openxmlformats.org/officeDocument/2006/relationships/hyperlink" Target="https://www.dejusticia.org/column/militarizacion-de-fronteras-en-america-latina-otra-barrera-para-los-migrantes/" TargetMode="External"/><Relationship Id="rId5" Type="http://schemas.openxmlformats.org/officeDocument/2006/relationships/hyperlink" Target="https://www.mindefensa.gov.co/irj/go/km/docs/Mindefensa/Images/varios/organigrama2022g.jpg" TargetMode="External"/><Relationship Id="rId15" Type="http://schemas.openxmlformats.org/officeDocument/2006/relationships/hyperlink" Target="https://www.defensoria.gov.co/public/especiales/uraba/cr%C3%B3nica---la-ruta-de-migrantes-ilegales.html" TargetMode="External"/><Relationship Id="rId10" Type="http://schemas.openxmlformats.org/officeDocument/2006/relationships/hyperlink" Target="https://migravenezuela.com/web/articulo/las-seis-barreras-que-enfrentan-los-venezolanos-en-colombia/2243" TargetMode="External"/><Relationship Id="rId4" Type="http://schemas.openxmlformats.org/officeDocument/2006/relationships/hyperlink" Target="https://colaboracion.dnp.gov.co/CDT/Conpes/Econ%C3%B3micos/3950.pdf" TargetMode="External"/><Relationship Id="rId9" Type="http://schemas.openxmlformats.org/officeDocument/2006/relationships/hyperlink" Target="https://www.dejusticia.org/expulsiones-discrecionales-de-personas-migrantes-la-excepcion-que-se-convirtio-en-regla/" TargetMode="External"/><Relationship Id="rId14" Type="http://schemas.openxmlformats.org/officeDocument/2006/relationships/hyperlink" Target="https://www.icbf.gov.co/sites/default/files/abc_estrategia_ninez_migrant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715C93-0471-4D84-8A9C-BE6A6CAA3F44}">
  <ds:schemaRefs>
    <ds:schemaRef ds:uri="http://schemas.openxmlformats.org/officeDocument/2006/bibliography"/>
  </ds:schemaRefs>
</ds:datastoreItem>
</file>

<file path=customXml/itemProps2.xml><?xml version="1.0" encoding="utf-8"?>
<ds:datastoreItem xmlns:ds="http://schemas.openxmlformats.org/officeDocument/2006/customXml" ds:itemID="{8DB9D112-5FC6-4551-9E39-EA335B9468FB}"/>
</file>

<file path=customXml/itemProps3.xml><?xml version="1.0" encoding="utf-8"?>
<ds:datastoreItem xmlns:ds="http://schemas.openxmlformats.org/officeDocument/2006/customXml" ds:itemID="{4D0BAAF6-AA8E-4B21-9F6F-B872DA2A1AAA}">
  <ds:schemaRefs>
    <ds:schemaRef ds:uri="http://schemas.microsoft.com/sharepoint/v3/contenttype/forms"/>
  </ds:schemaRefs>
</ds:datastoreItem>
</file>

<file path=customXml/itemProps4.xml><?xml version="1.0" encoding="utf-8"?>
<ds:datastoreItem xmlns:ds="http://schemas.openxmlformats.org/officeDocument/2006/customXml" ds:itemID="{C32A0B9D-1610-41E5-9E46-D907AB360929}">
  <ds:schemaRefs>
    <ds:schemaRef ds:uri="http://schemas.microsoft.com/office/2006/metadata/properties"/>
    <ds:schemaRef ds:uri="http://schemas.microsoft.com/office/infopath/2007/PartnerControls"/>
    <ds:schemaRef ds:uri="http://schemas.microsoft.com/sharepoint/v3"/>
    <ds:schemaRef ds:uri="169b912a-3102-4fd4-bdd7-6339cee3bbc9"/>
    <ds:schemaRef ds:uri="63551598-73e7-4116-9c96-da7493a2a1ab"/>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2330</Words>
  <Characters>13287</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Ulises Quero</dc:creator>
  <cp:keywords/>
  <dc:description/>
  <cp:lastModifiedBy>Ulises Quero</cp:lastModifiedBy>
  <cp:revision>5</cp:revision>
  <dcterms:created xsi:type="dcterms:W3CDTF">2022-05-02T14:15:00Z</dcterms:created>
  <dcterms:modified xsi:type="dcterms:W3CDTF">2022-05-02T14:23:00Z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ies>
</file>