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COMITÉ DE PROTECCIÓN DE LOS DERECHOS DE TODOS LOS TRABAJADORES MIGRATORIOS Y DE SUS FAMILIARES</w:t>
        <w:tab/>
      </w:r>
    </w:p>
    <w:p w:rsidR="00000000" w:rsidDel="00000000" w:rsidP="00000000" w:rsidRDefault="00000000" w:rsidRPr="00000000" w14:paraId="00000002">
      <w:pPr>
        <w:spacing w:line="276"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Examen del segundo informe periódico de Marruecos</w:t>
      </w:r>
      <w:r w:rsidDel="00000000" w:rsidR="00000000" w:rsidRPr="00000000">
        <w:rPr>
          <w:rtl w:val="0"/>
        </w:rPr>
      </w:r>
    </w:p>
    <w:p w:rsidR="00000000" w:rsidDel="00000000" w:rsidP="00000000" w:rsidRDefault="00000000" w:rsidRPr="00000000" w14:paraId="00000003">
      <w:pPr>
        <w:spacing w:line="276" w:lineRule="auto"/>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Informe elaborado por las Federaciones Red Acoge y Andalucía Acoge</w:t>
      </w:r>
      <w:r w:rsidDel="00000000" w:rsidR="00000000" w:rsidRPr="00000000">
        <w:rPr>
          <w:rtl w:val="0"/>
        </w:rPr>
      </w:r>
    </w:p>
    <w:p w:rsidR="00000000" w:rsidDel="00000000" w:rsidP="00000000" w:rsidRDefault="00000000" w:rsidRPr="00000000" w14:paraId="00000004">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5">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 la atención del Comité de Protección de los Derechos de Todos los Trabajadores Migratorios y de Sus Familiares:</w:t>
      </w:r>
    </w:p>
    <w:p w:rsidR="00000000" w:rsidDel="00000000" w:rsidP="00000000" w:rsidRDefault="00000000" w:rsidRPr="00000000" w14:paraId="00000006">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 motivo del examen del segundo informe periódico de </w:t>
      </w:r>
      <w:r w:rsidDel="00000000" w:rsidR="00000000" w:rsidRPr="00000000">
        <w:rPr>
          <w:rFonts w:ascii="Arial" w:cs="Arial" w:eastAsia="Arial" w:hAnsi="Arial"/>
          <w:b w:val="1"/>
          <w:sz w:val="20"/>
          <w:szCs w:val="20"/>
          <w:rtl w:val="0"/>
        </w:rPr>
        <w:t xml:space="preserve">Marruecos</w:t>
      </w:r>
      <w:r w:rsidDel="00000000" w:rsidR="00000000" w:rsidRPr="00000000">
        <w:rPr>
          <w:rFonts w:ascii="Arial" w:cs="Arial" w:eastAsia="Arial" w:hAnsi="Arial"/>
          <w:sz w:val="20"/>
          <w:szCs w:val="20"/>
          <w:rtl w:val="0"/>
        </w:rPr>
        <w:t xml:space="preserve"> (CMW/C/MAR/2) las federaciones españolas </w:t>
      </w:r>
      <w:r w:rsidDel="00000000" w:rsidR="00000000" w:rsidRPr="00000000">
        <w:rPr>
          <w:rFonts w:ascii="Arial" w:cs="Arial" w:eastAsia="Arial" w:hAnsi="Arial"/>
          <w:b w:val="1"/>
          <w:sz w:val="20"/>
          <w:szCs w:val="20"/>
          <w:rtl w:val="0"/>
        </w:rPr>
        <w:t xml:space="preserve">Red Acoge</w:t>
      </w:r>
      <w:r w:rsidDel="00000000" w:rsidR="00000000" w:rsidRPr="00000000">
        <w:rPr>
          <w:rFonts w:ascii="Arial" w:cs="Arial" w:eastAsia="Arial" w:hAnsi="Arial"/>
          <w:sz w:val="20"/>
          <w:szCs w:val="20"/>
          <w:rtl w:val="0"/>
        </w:rPr>
        <w:t xml:space="preserve"> y </w:t>
      </w:r>
      <w:r w:rsidDel="00000000" w:rsidR="00000000" w:rsidRPr="00000000">
        <w:rPr>
          <w:rFonts w:ascii="Arial" w:cs="Arial" w:eastAsia="Arial" w:hAnsi="Arial"/>
          <w:b w:val="1"/>
          <w:sz w:val="20"/>
          <w:szCs w:val="20"/>
          <w:rtl w:val="0"/>
        </w:rPr>
        <w:t xml:space="preserve">Andalucía Acoge</w:t>
      </w:r>
      <w:r w:rsidDel="00000000" w:rsidR="00000000" w:rsidRPr="00000000">
        <w:rPr>
          <w:rFonts w:ascii="Arial" w:cs="Arial" w:eastAsia="Arial" w:hAnsi="Arial"/>
          <w:sz w:val="20"/>
          <w:szCs w:val="20"/>
          <w:rtl w:val="0"/>
        </w:rPr>
        <w:t xml:space="preserve"> presentamos nuestro análisis acerca del punto c) de las cuestiones previas, aportando las preocupaciones de la sociedad civil española por el impacto que tienen</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i w:val="1"/>
          <w:sz w:val="20"/>
          <w:szCs w:val="20"/>
          <w:rtl w:val="0"/>
        </w:rPr>
        <w:t xml:space="preserve">los acuerdos bilaterales que se han celebrado entre </w:t>
      </w:r>
      <w:r w:rsidDel="00000000" w:rsidR="00000000" w:rsidRPr="00000000">
        <w:rPr>
          <w:rFonts w:ascii="Arial" w:cs="Arial" w:eastAsia="Arial" w:hAnsi="Arial"/>
          <w:b w:val="1"/>
          <w:sz w:val="20"/>
          <w:szCs w:val="20"/>
          <w:rtl w:val="0"/>
        </w:rPr>
        <w:t xml:space="preserve">Marruecos y España</w:t>
      </w:r>
      <w:r w:rsidDel="00000000" w:rsidR="00000000" w:rsidRPr="00000000">
        <w:rPr>
          <w:rFonts w:ascii="Arial" w:cs="Arial" w:eastAsia="Arial" w:hAnsi="Arial"/>
          <w:i w:val="1"/>
          <w:sz w:val="20"/>
          <w:szCs w:val="20"/>
          <w:rtl w:val="0"/>
        </w:rPr>
        <w:t xml:space="preserve"> en relación con los derechos de los trabajadores migratorios y sus familiares previstos en la Convención, y su alcance, </w:t>
      </w:r>
      <w:r w:rsidDel="00000000" w:rsidR="00000000" w:rsidRPr="00000000">
        <w:rPr>
          <w:rFonts w:ascii="Arial" w:cs="Arial" w:eastAsia="Arial" w:hAnsi="Arial"/>
          <w:sz w:val="20"/>
          <w:szCs w:val="20"/>
          <w:rtl w:val="0"/>
        </w:rPr>
        <w:t xml:space="preserve">así como el impacto de estos acuerdos en</w:t>
      </w:r>
      <w:r w:rsidDel="00000000" w:rsidR="00000000" w:rsidRPr="00000000">
        <w:rPr>
          <w:rFonts w:ascii="Arial" w:cs="Arial" w:eastAsia="Arial" w:hAnsi="Arial"/>
          <w:i w:val="1"/>
          <w:sz w:val="20"/>
          <w:szCs w:val="20"/>
          <w:rtl w:val="0"/>
        </w:rPr>
        <w:t xml:space="preserve"> la vulneración de los derechos de los trabajadores migratorios en los países de tránsito y de destino, en particular en lo referente a los procedimientos de detención, repatriación, expulsión y reunificación familiar.</w:t>
      </w:r>
      <w:r w:rsidDel="00000000" w:rsidR="00000000" w:rsidRPr="00000000">
        <w:rPr>
          <w:rtl w:val="0"/>
        </w:rPr>
      </w:r>
    </w:p>
    <w:p w:rsidR="00000000" w:rsidDel="00000000" w:rsidP="00000000" w:rsidRDefault="00000000" w:rsidRPr="00000000" w14:paraId="00000007">
      <w:pPr>
        <w:spacing w:line="276" w:lineRule="auto"/>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Los acuerdos firmados por ambos países en materia migratoria desde 1992 se centran en reforzar la seguridad en la frontera y en impedir la inmigración irregular pero sin abrir vías de entrada legales y seguras para que las personas migrantes y refugiadas puedan acceder al territorio español. Así ha sido recogido por la </w:t>
      </w:r>
      <w:r w:rsidDel="00000000" w:rsidR="00000000" w:rsidRPr="00000000">
        <w:rPr>
          <w:rFonts w:ascii="Arial" w:cs="Arial" w:eastAsia="Arial" w:hAnsi="Arial"/>
          <w:i w:val="1"/>
          <w:sz w:val="20"/>
          <w:szCs w:val="20"/>
          <w:rtl w:val="0"/>
        </w:rPr>
        <w:t xml:space="preserve">Relatora Especial sobre las formas contemporáneas de racismo, discriminación  racial, xenofobia y formas conexas de intolerancia; del Grupo de Trabajo de Expertos sobre los  Afrodescendientes; del Relator Especial sobre ejecuciones extrajudiciales, sumarias o arbitrarias y del Relator Especial sobre los derechos humanos de los migrantes</w:t>
      </w:r>
      <w:r w:rsidDel="00000000" w:rsidR="00000000" w:rsidRPr="00000000">
        <w:rPr>
          <w:rFonts w:ascii="Arial" w:cs="Arial" w:eastAsia="Arial" w:hAnsi="Arial"/>
          <w:sz w:val="20"/>
          <w:szCs w:val="20"/>
          <w:rtl w:val="0"/>
        </w:rPr>
        <w:t xml:space="preserve"> en la comunicación de julio de 2022 (Ref.: AL ESP 7/2022) emitida con motivo de la brutal </w:t>
      </w:r>
      <w:r w:rsidDel="00000000" w:rsidR="00000000" w:rsidRPr="00000000">
        <w:rPr>
          <w:rFonts w:ascii="Arial" w:cs="Arial" w:eastAsia="Arial" w:hAnsi="Arial"/>
          <w:sz w:val="20"/>
          <w:szCs w:val="20"/>
          <w:highlight w:val="white"/>
          <w:rtl w:val="0"/>
        </w:rPr>
        <w:t xml:space="preserve">actuación de las fuerzas policiales marroquíes y españolas</w:t>
      </w:r>
      <w:r w:rsidDel="00000000" w:rsidR="00000000" w:rsidRPr="00000000">
        <w:rPr>
          <w:rFonts w:ascii="Arial" w:cs="Arial" w:eastAsia="Arial" w:hAnsi="Arial"/>
          <w:sz w:val="20"/>
          <w:szCs w:val="20"/>
          <w:rtl w:val="0"/>
        </w:rPr>
        <w:t xml:space="preserve"> en la valla fronteriza Nador-Melilla el 24 de junio de 2022, en la que</w:t>
      </w:r>
      <w:r w:rsidDel="00000000" w:rsidR="00000000" w:rsidRPr="00000000">
        <w:rPr>
          <w:rFonts w:ascii="Arial" w:cs="Arial" w:eastAsia="Arial" w:hAnsi="Arial"/>
          <w:sz w:val="20"/>
          <w:szCs w:val="20"/>
          <w:rtl w:val="0"/>
        </w:rPr>
        <w:t xml:space="preserve"> señalan que “</w:t>
      </w:r>
      <w:r w:rsidDel="00000000" w:rsidR="00000000" w:rsidRPr="00000000">
        <w:rPr>
          <w:rFonts w:ascii="Arial" w:cs="Arial" w:eastAsia="Arial" w:hAnsi="Arial"/>
          <w:i w:val="1"/>
          <w:sz w:val="20"/>
          <w:szCs w:val="20"/>
          <w:rtl w:val="0"/>
        </w:rPr>
        <w:t xml:space="preserve">las fronteras alrededor de Ceuta y Melilla, enclaves bajo la jurisdicción  española, se encontrarían entre las más fortificadas de Europa. A lo largo de los  años, y debido a la falta de canales de migración seguros y legales hacia la Unión  Europea, los migrantes africanos, incluidos refugiados y solicitantes de asilo, intentarían escalar, algunas veces en masa, las vallas que rodean estos enclaves. Adicionalmente, existiría una práctica de larga data referente a rechazos y expulsiones colectivas de Ceuta y Melilla a Marruecos, sin la debida  consideración de las solicitudes de protección internacional”. </w:t>
      </w:r>
    </w:p>
    <w:p w:rsidR="00000000" w:rsidDel="00000000" w:rsidP="00000000" w:rsidRDefault="00000000" w:rsidRPr="00000000" w14:paraId="00000008">
      <w:pPr>
        <w:widowControl w:val="0"/>
        <w:spacing w:after="0" w:before="271.920166015625" w:line="276" w:lineRule="auto"/>
        <w:ind w:left="0" w:right="-6.2957763671875" w:firstLine="0"/>
        <w:jc w:val="both"/>
        <w:rPr>
          <w:rFonts w:ascii="Arial" w:cs="Arial" w:eastAsia="Arial" w:hAnsi="Arial"/>
          <w:sz w:val="21"/>
          <w:szCs w:val="21"/>
          <w:highlight w:val="white"/>
        </w:rPr>
      </w:pPr>
      <w:r w:rsidDel="00000000" w:rsidR="00000000" w:rsidRPr="00000000">
        <w:rPr>
          <w:rFonts w:ascii="Arial" w:cs="Arial" w:eastAsia="Arial" w:hAnsi="Arial"/>
          <w:sz w:val="20"/>
          <w:szCs w:val="20"/>
          <w:rtl w:val="0"/>
        </w:rPr>
        <w:t xml:space="preserve">Es así que los acuerdos bilaterales entre ambos países han ido configurando un marco de desprotección y vulneración sistemática de los derechos de las personas migrantes, consolidando </w:t>
      </w:r>
      <w:r w:rsidDel="00000000" w:rsidR="00000000" w:rsidRPr="00000000">
        <w:rPr>
          <w:rFonts w:ascii="Arial" w:cs="Arial" w:eastAsia="Arial" w:hAnsi="Arial"/>
          <w:sz w:val="21"/>
          <w:szCs w:val="21"/>
          <w:highlight w:val="white"/>
          <w:rtl w:val="0"/>
        </w:rPr>
        <w:t xml:space="preserve">las detenciones y las deportaciones como una técnica de control rutinaria de los movimientos migratorios. En la misma línea están los acuerdos políticos multilaterales, como la primera Conferencia Ministerial Euroafricana sobre Migración y Desarrollo, celebrada en Rabat en julio de 2006 (Proceso de Rabat) cuyo Plan de Acción aún está vigente, que centran su atención en la lucha contra la migración irregular, mediante la cooperación para los retornos voluntarios o forzados de las personas que se encuentren en situación irregular al país de origen o de tránsito.</w:t>
      </w:r>
    </w:p>
    <w:p w:rsidR="00000000" w:rsidDel="00000000" w:rsidP="00000000" w:rsidRDefault="00000000" w:rsidRPr="00000000" w14:paraId="00000009">
      <w:pPr>
        <w:widowControl w:val="0"/>
        <w:spacing w:after="0" w:before="271.920166015625" w:line="276" w:lineRule="auto"/>
        <w:ind w:left="0" w:right="-6.2957763671875" w:firstLine="0"/>
        <w:jc w:val="both"/>
        <w:rPr>
          <w:rFonts w:ascii="Arial" w:cs="Arial" w:eastAsia="Arial" w:hAnsi="Arial"/>
          <w:sz w:val="21"/>
          <w:szCs w:val="21"/>
          <w:highlight w:val="white"/>
        </w:rPr>
      </w:pPr>
      <w:r w:rsidDel="00000000" w:rsidR="00000000" w:rsidRPr="00000000">
        <w:rPr>
          <w:rFonts w:ascii="Arial" w:cs="Arial" w:eastAsia="Arial" w:hAnsi="Arial"/>
          <w:sz w:val="21"/>
          <w:szCs w:val="21"/>
          <w:highlight w:val="white"/>
          <w:rtl w:val="0"/>
        </w:rPr>
        <w:t xml:space="preserve">El Relator Especial sobre los derechos humanos de los migrantes en su informe temático sobre el regreso y la reintegración de los migrantes (A/HRC/38/41 del 4 de mayo de 2018) señala que “</w:t>
      </w:r>
      <w:r w:rsidDel="00000000" w:rsidR="00000000" w:rsidRPr="00000000">
        <w:rPr>
          <w:rFonts w:ascii="Arial" w:cs="Arial" w:eastAsia="Arial" w:hAnsi="Arial"/>
          <w:i w:val="1"/>
          <w:sz w:val="21"/>
          <w:szCs w:val="21"/>
          <w:highlight w:val="white"/>
          <w:rtl w:val="0"/>
        </w:rPr>
        <w:t xml:space="preserve">En general, los términos “devolución”, “deportación”, “expulsión”, “repatriación” y “traslado” se utilizan indistintamente para describir el proceso de devolver o reenviar a personas a sus países de origen o de residencia habitual. Su denominador común es la falta de un verdadero consentimiento plenamente informado y válido, razón esta por la que no existe la voluntariedad</w:t>
      </w:r>
      <w:r w:rsidDel="00000000" w:rsidR="00000000" w:rsidRPr="00000000">
        <w:rPr>
          <w:rFonts w:ascii="Arial" w:cs="Arial" w:eastAsia="Arial" w:hAnsi="Arial"/>
          <w:sz w:val="21"/>
          <w:szCs w:val="21"/>
          <w:highlight w:val="white"/>
          <w:rtl w:val="0"/>
        </w:rPr>
        <w:t xml:space="preserve">”.</w:t>
      </w:r>
    </w:p>
    <w:p w:rsidR="00000000" w:rsidDel="00000000" w:rsidP="00000000" w:rsidRDefault="00000000" w:rsidRPr="00000000" w14:paraId="0000000A">
      <w:pPr>
        <w:widowControl w:val="0"/>
        <w:spacing w:after="0" w:before="271.920166015625" w:line="276" w:lineRule="auto"/>
        <w:ind w:left="0" w:right="-6.2957763671875" w:firstLine="0"/>
        <w:jc w:val="both"/>
        <w:rPr>
          <w:rFonts w:ascii="Arial" w:cs="Arial" w:eastAsia="Arial" w:hAnsi="Arial"/>
          <w:sz w:val="21"/>
          <w:szCs w:val="21"/>
          <w:highlight w:val="white"/>
        </w:rPr>
      </w:pPr>
      <w:r w:rsidDel="00000000" w:rsidR="00000000" w:rsidRPr="00000000">
        <w:rPr>
          <w:rFonts w:ascii="Arial" w:cs="Arial" w:eastAsia="Arial" w:hAnsi="Arial"/>
          <w:sz w:val="21"/>
          <w:szCs w:val="21"/>
          <w:highlight w:val="white"/>
          <w:rtl w:val="0"/>
        </w:rPr>
        <w:t xml:space="preserve">Además, dicho informe señala que “Todos los migrantes tienen derecho a la protección de sus derechos humanos, sin discriminación e independientemente de su situación. Los migrantes en situación irregular requieren procedimientos individuales de examen y evaluación, de manera que sean efectivamente detectadas sus circunstancias específicas de vulnerabilidad y puedan determinarse marcos de protección jurídica que respondan a sus necesidades, en particular con arreglo al derecho internacional de los derechos humanos. El hecho de que no se establezcan procedimientos de ese tipo constituye una violación de las debidas garantías procesales y los principios internacionales de la no devolución y el interés superior del niño, entre otros. Debe garantizarse la protección de los derechos económicos, sociales y culturales de los migrantes, como el acceso a un nivel de vida adecuado, a la alimentación, al agua, a la salud y a la educación, así como de sus derechos civiles y políticos, como el acceso a la justicia en los países de origen, de tránsito y de destino”.</w:t>
      </w:r>
    </w:p>
    <w:p w:rsidR="00000000" w:rsidDel="00000000" w:rsidP="00000000" w:rsidRDefault="00000000" w:rsidRPr="00000000" w14:paraId="0000000B">
      <w:pPr>
        <w:spacing w:line="276" w:lineRule="auto"/>
        <w:jc w:val="both"/>
        <w:rPr>
          <w:rFonts w:ascii="Arial" w:cs="Arial" w:eastAsia="Arial" w:hAnsi="Arial"/>
          <w:sz w:val="21"/>
          <w:szCs w:val="21"/>
          <w:highlight w:val="white"/>
        </w:rPr>
      </w:pPr>
      <w:r w:rsidDel="00000000" w:rsidR="00000000" w:rsidRPr="00000000">
        <w:rPr>
          <w:rtl w:val="0"/>
        </w:rPr>
      </w:r>
    </w:p>
    <w:p w:rsidR="00000000" w:rsidDel="00000000" w:rsidP="00000000" w:rsidRDefault="00000000" w:rsidRPr="00000000" w14:paraId="0000000C">
      <w:pPr>
        <w:spacing w:line="276" w:lineRule="auto"/>
        <w:jc w:val="both"/>
        <w:rPr>
          <w:rFonts w:ascii="Arial" w:cs="Arial" w:eastAsia="Arial" w:hAnsi="Arial"/>
          <w:sz w:val="20"/>
          <w:szCs w:val="20"/>
        </w:rPr>
      </w:pPr>
      <w:r w:rsidDel="00000000" w:rsidR="00000000" w:rsidRPr="00000000">
        <w:rPr>
          <w:rFonts w:ascii="Arial" w:cs="Arial" w:eastAsia="Arial" w:hAnsi="Arial"/>
          <w:sz w:val="21"/>
          <w:szCs w:val="21"/>
          <w:highlight w:val="white"/>
          <w:rtl w:val="0"/>
        </w:rPr>
        <w:t xml:space="preserve">Sin embargo, </w:t>
      </w:r>
      <w:r w:rsidDel="00000000" w:rsidR="00000000" w:rsidRPr="00000000">
        <w:rPr>
          <w:rFonts w:ascii="Arial" w:cs="Arial" w:eastAsia="Arial" w:hAnsi="Arial"/>
          <w:sz w:val="20"/>
          <w:szCs w:val="20"/>
          <w:rtl w:val="0"/>
        </w:rPr>
        <w:t xml:space="preserve">e</w:t>
      </w:r>
      <w:r w:rsidDel="00000000" w:rsidR="00000000" w:rsidRPr="00000000">
        <w:rPr>
          <w:rFonts w:ascii="Arial" w:cs="Arial" w:eastAsia="Arial" w:hAnsi="Arial"/>
          <w:sz w:val="20"/>
          <w:szCs w:val="20"/>
          <w:rtl w:val="0"/>
        </w:rPr>
        <w:t xml:space="preserve">l </w:t>
      </w:r>
      <w:r w:rsidDel="00000000" w:rsidR="00000000" w:rsidRPr="00000000">
        <w:rPr>
          <w:rFonts w:ascii="Arial" w:cs="Arial" w:eastAsia="Arial" w:hAnsi="Arial"/>
          <w:i w:val="1"/>
          <w:sz w:val="20"/>
          <w:szCs w:val="20"/>
          <w:rtl w:val="0"/>
        </w:rPr>
        <w:t xml:space="preserve">Acuerdo entre el Reino de España y el Reino de Marruecos relativo a la circulación de personas, el tránsito y la readmisión de extranjeros entrados ilegalmente,</w:t>
      </w:r>
      <w:r w:rsidDel="00000000" w:rsidR="00000000" w:rsidRPr="00000000">
        <w:rPr>
          <w:rFonts w:ascii="Arial" w:cs="Arial" w:eastAsia="Arial" w:hAnsi="Arial"/>
          <w:sz w:val="20"/>
          <w:szCs w:val="20"/>
          <w:rtl w:val="0"/>
        </w:rPr>
        <w:t xml:space="preserve"> firmado en Madrid el 13 de febrero de 1992, que fue aplicado provisionalmente desde abril de 1992 hasta su definitiva entrada en vigor el 21 de octubre de 2012, ha sido cuestionado por las organizaciones defensoras de derechos humanos por no garantizar los plazos para la correcta identificación y acreditación de las nacionalidades de origen o para la identificación de necesidades especiales o el acceso a la protección internacional; por la ausencia de referencia expresa sobre la obligación de respeto de los derechos humanos de las personas readmitidas; porque no se contemplan garantías procesales y tutela judicial efectiva en sentido amplio que pueden derivar en desamparo e indefensión de las personas migrantes. De hecho, en todas las ocasiones que se ha aplicado el Acuerdo ejecutando devoluciones inmediatas y colectivas se ha puesto en duda su legalidad por no seguir los procedimientos </w:t>
      </w:r>
      <w:r w:rsidDel="00000000" w:rsidR="00000000" w:rsidRPr="00000000">
        <w:rPr>
          <w:rFonts w:ascii="Arial" w:cs="Arial" w:eastAsia="Arial" w:hAnsi="Arial"/>
          <w:sz w:val="20"/>
          <w:szCs w:val="20"/>
          <w:rtl w:val="0"/>
        </w:rPr>
        <w:t xml:space="preserve">para determinar la legalidad de la devolución en cada caso individual</w:t>
      </w:r>
      <w:r w:rsidDel="00000000" w:rsidR="00000000" w:rsidRPr="00000000">
        <w:rPr>
          <w:rFonts w:ascii="Arial" w:cs="Arial" w:eastAsia="Arial" w:hAnsi="Arial"/>
          <w:sz w:val="20"/>
          <w:szCs w:val="20"/>
          <w:rtl w:val="0"/>
        </w:rPr>
        <w:t xml:space="preserve"> o para identificar a los solicitantes de asilo y examinar sus solicitudes. Además, las organizaciones sociales han denunciado reiteradamente el uso de fuerza ilegítima por las fuerzas policiales en estas actuaciones.</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tl w:val="0"/>
        </w:rPr>
      </w:r>
    </w:p>
    <w:p w:rsidR="00000000" w:rsidDel="00000000" w:rsidP="00000000" w:rsidRDefault="00000000" w:rsidRPr="00000000" w14:paraId="0000000D">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manera paralela, ha ido aumentando el presupuesto que la UE destina a Marruecos para la gestión de la frontera, multiplicándose en los momentos de llegadas masivas. Así, como respuesta al incremento de llegadas en el año 2018 se aprobó una ayuda de 140 millones de euros con este fin, así como otra de 36 millones de euros en concepto de ayuda de emergencia para asistir a España en la gestión de su frontera sur. </w:t>
      </w:r>
    </w:p>
    <w:p w:rsidR="00000000" w:rsidDel="00000000" w:rsidP="00000000" w:rsidRDefault="00000000" w:rsidRPr="00000000" w14:paraId="0000000E">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políticas llevadas a cabo por la Unión Europea en este ámbito también han sido objeto de preocupación por parte del Relator Especial de los derechos de los migrantes “Han surgido numerosas preocupaciones en materia de derechos humanos en relación con las prácticas seguidas en ciertos Estados miembros de la Unión Europea en el marco de sus procedimientos para devolver a migrantes indocumentados a sus países de origen. </w:t>
      </w:r>
    </w:p>
    <w:p w:rsidR="00000000" w:rsidDel="00000000" w:rsidP="00000000" w:rsidRDefault="00000000" w:rsidRPr="00000000" w14:paraId="0000000F">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Según un documento de posición sobre la Directiva, preparado por la Plataforma para la Cooperación Internacional para Inmigrantes Indocumentados (PICUM), esas prácticas incluyen el uso de la detención prolongada y sistemática, la detención de niños y sus familias, la violencia y la violación del principio de no devolución durante la tramitación de la deportación, la falta de acceso a la justicia y los mecanismos de reparación y la ineficacia de las políticas de retorno. A este respecto, la Agencia de los Derechos Fundamentales de la Unión Europea afirmó que, si bien los Estados tenían derecho a controlar la inmigración, determinadas medidas coercitivas, como la obligación de suministrar información, el intercambio de datos o la detención de migrantes frente a las escuelas, producían efectos negativos y a menudo desproporcionados en los derechos humanos de los migrantes en situación irregular”.</w:t>
      </w:r>
    </w:p>
    <w:p w:rsidR="00000000" w:rsidDel="00000000" w:rsidP="00000000" w:rsidRDefault="00000000" w:rsidRPr="00000000" w14:paraId="00000010">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mayo de 2021, después de la entrada de más de 6.000 de personas migrantes por la frontera de Ceuta cuando el Gobierno marroquí abrió las fronteras terrestres con la ciudad autónoma, España aprobó una partida de 30 millones de euros para Marruecos para frenar la migración ilegal y modificó su posición frente al Sahara Occidental apoyando la posición de Marruecos contraría al posicionamiento de las Naciones Unidas y del Derechos Internacional Humanitario. </w:t>
      </w:r>
    </w:p>
    <w:p w:rsidR="00000000" w:rsidDel="00000000" w:rsidP="00000000" w:rsidRDefault="00000000" w:rsidRPr="00000000" w14:paraId="00000011">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materia de salvamento y rescate, en febrero de 2019, se reforzó la cooperación española con Marruecos que en la práctica se tradujo en la retirada del servicio de Salvamento Marítimo más allá de la zona SAR española y en la posibilidad de devolver a las personas rescatadas a Marruecos.</w:t>
      </w:r>
    </w:p>
    <w:p w:rsidR="00000000" w:rsidDel="00000000" w:rsidP="00000000" w:rsidRDefault="00000000" w:rsidRPr="00000000" w14:paraId="00000012">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Así pues, las personas que migran por la frontera sur de España desde Marruecos, se convierten en moneda de cambio de los intereses geopolíticos y económicos de los Estados, mientras el respeto y protección de los derechos humanos pasa a un segundo plano. </w:t>
      </w:r>
    </w:p>
    <w:p w:rsidR="00000000" w:rsidDel="00000000" w:rsidP="00000000" w:rsidRDefault="00000000" w:rsidRPr="00000000" w14:paraId="00000013">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Destacamos especialmente:</w:t>
      </w:r>
    </w:p>
    <w:p w:rsidR="00000000" w:rsidDel="00000000" w:rsidP="00000000" w:rsidRDefault="00000000" w:rsidRPr="00000000" w14:paraId="00000014">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5">
      <w:pPr>
        <w:numPr>
          <w:ilvl w:val="0"/>
          <w:numId w:val="1"/>
        </w:numPr>
        <w:spacing w:line="276" w:lineRule="auto"/>
        <w:ind w:left="720" w:hanging="360"/>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Bloqueo a la posibilidad de solicitar protección internacional</w:t>
      </w:r>
      <w:r w:rsidDel="00000000" w:rsidR="00000000" w:rsidRPr="00000000">
        <w:rPr>
          <w:rtl w:val="0"/>
        </w:rPr>
      </w:r>
    </w:p>
    <w:p w:rsidR="00000000" w:rsidDel="00000000" w:rsidP="00000000" w:rsidRDefault="00000000" w:rsidRPr="00000000" w14:paraId="00000016">
      <w:pPr>
        <w:spacing w:line="276" w:lineRule="auto"/>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Los mecanismos para solicitar protección internacional en Marruecos y en los pasos fronterizos están bloqueados tanto por Marruecos como por España.</w:t>
      </w:r>
    </w:p>
    <w:p w:rsidR="00000000" w:rsidDel="00000000" w:rsidP="00000000" w:rsidRDefault="00000000" w:rsidRPr="00000000" w14:paraId="00000017">
      <w:pPr>
        <w:spacing w:line="276" w:lineRule="auto"/>
        <w:ind w:left="0" w:firstLine="0"/>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 pesar de que Marruecos ha ratificado los principales instrumentos internacionales en materia de protección internacional, no ha desarrollado un sistema de asilo efectivo que ofrezca protección a las personas refugiadas, siendo el Real Decreto 5-57-1256 sobre protección de los refugiados y la Ley 02-03 de inmigración insuficientes. Hasta la fecha ha sido ACNUR, el Alto Comisionado de las Naciones Unidas para los Refugiados, quien se ha encargado del acceso a los servicios básicos en colaboración con organizaciones locales y procediendo a la documentación de los solicitantes, documentos que no siempre son reconocidos por las autoridades marroquís.</w:t>
      </w:r>
    </w:p>
    <w:p w:rsidR="00000000" w:rsidDel="00000000" w:rsidP="00000000" w:rsidRDefault="00000000" w:rsidRPr="00000000" w14:paraId="00000018">
      <w:pPr>
        <w:spacing w:line="276" w:lineRule="auto"/>
        <w:ind w:left="0" w:firstLine="0"/>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Por otra parte, tenemos la inacción de la embajada y los consulados de España en Marruecos, que "eluden" tramitar solicitudes de protección internacional cuando lo solicitan personas extranjeras con nacionalidad distinta de la marroquí, a pesar de lo que establece la legislación española.</w:t>
      </w:r>
    </w:p>
    <w:p w:rsidR="00000000" w:rsidDel="00000000" w:rsidP="00000000" w:rsidRDefault="00000000" w:rsidRPr="00000000" w14:paraId="00000019">
      <w:pPr>
        <w:spacing w:line="276" w:lineRule="auto"/>
        <w:ind w:left="0" w:firstLine="0"/>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De hecho, es "casi imposible" acceder a las oficinas de asilo en las dependencias policiales de los puestos fronterizos de Ceuta y Melilla para quienes carecen de la documentación requerida: marroquíes sin visado Schengen </w:t>
      </w:r>
      <w:r w:rsidDel="00000000" w:rsidR="00000000" w:rsidRPr="00000000">
        <w:rPr>
          <w:rFonts w:ascii="Arial" w:cs="Arial" w:eastAsia="Arial" w:hAnsi="Arial"/>
          <w:color w:val="222222"/>
          <w:sz w:val="20"/>
          <w:szCs w:val="20"/>
          <w:highlight w:val="white"/>
          <w:rtl w:val="0"/>
        </w:rPr>
        <w:t xml:space="preserve">ni autorización como trabajadores transfronterizos, así como extranjeros de terceros Estados sin visado Schengen</w:t>
      </w:r>
      <w:r w:rsidDel="00000000" w:rsidR="00000000" w:rsidRPr="00000000">
        <w:rPr>
          <w:rFonts w:ascii="Arial" w:cs="Arial" w:eastAsia="Arial" w:hAnsi="Arial"/>
          <w:color w:val="222222"/>
          <w:sz w:val="20"/>
          <w:szCs w:val="20"/>
          <w:highlight w:val="white"/>
          <w:vertAlign w:val="superscript"/>
        </w:rPr>
        <w:footnoteReference w:customMarkFollows="0" w:id="1"/>
      </w:r>
      <w:r w:rsidDel="00000000" w:rsidR="00000000" w:rsidRPr="00000000">
        <w:rPr>
          <w:rFonts w:ascii="Arial" w:cs="Arial" w:eastAsia="Arial" w:hAnsi="Arial"/>
          <w:color w:val="222222"/>
          <w:sz w:val="20"/>
          <w:szCs w:val="20"/>
          <w:highlight w:val="white"/>
          <w:rtl w:val="0"/>
        </w:rPr>
        <w:t xml:space="preserve">.</w:t>
      </w:r>
      <w:r w:rsidDel="00000000" w:rsidR="00000000" w:rsidRPr="00000000">
        <w:rPr>
          <w:rtl w:val="0"/>
        </w:rPr>
      </w:r>
    </w:p>
    <w:p w:rsidR="00000000" w:rsidDel="00000000" w:rsidP="00000000" w:rsidRDefault="00000000" w:rsidRPr="00000000" w14:paraId="0000001A">
      <w:pPr>
        <w:spacing w:line="276" w:lineRule="auto"/>
        <w:jc w:val="both"/>
        <w:rPr>
          <w:rFonts w:ascii="Arial" w:cs="Arial" w:eastAsia="Arial" w:hAnsi="Arial"/>
          <w:b w:val="1"/>
          <w:sz w:val="20"/>
          <w:szCs w:val="20"/>
          <w:highlight w:val="white"/>
        </w:rPr>
      </w:pPr>
      <w:r w:rsidDel="00000000" w:rsidR="00000000" w:rsidRPr="00000000">
        <w:rPr>
          <w:rtl w:val="0"/>
        </w:rPr>
      </w:r>
    </w:p>
    <w:p w:rsidR="00000000" w:rsidDel="00000000" w:rsidP="00000000" w:rsidRDefault="00000000" w:rsidRPr="00000000" w14:paraId="0000001B">
      <w:pPr>
        <w:numPr>
          <w:ilvl w:val="0"/>
          <w:numId w:val="1"/>
        </w:numPr>
        <w:spacing w:line="276" w:lineRule="auto"/>
        <w:ind w:left="720" w:hanging="360"/>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Vulneración del principio de no devolución: las expulsiones sumarias</w:t>
      </w:r>
      <w:r w:rsidDel="00000000" w:rsidR="00000000" w:rsidRPr="00000000">
        <w:rPr>
          <w:rtl w:val="0"/>
        </w:rPr>
      </w:r>
    </w:p>
    <w:p w:rsidR="00000000" w:rsidDel="00000000" w:rsidP="00000000" w:rsidRDefault="00000000" w:rsidRPr="00000000" w14:paraId="0000001C">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Acuerdo con Marruecos del año 92 (art. 3, 4 y 5) no respeta el principio de no devolución al favorecer una política de repatriación contraria a lo establecido en la legislación internacional. </w:t>
      </w:r>
      <w:r w:rsidDel="00000000" w:rsidR="00000000" w:rsidRPr="00000000">
        <w:rPr>
          <w:rtl w:val="0"/>
        </w:rPr>
      </w:r>
    </w:p>
    <w:p w:rsidR="00000000" w:rsidDel="00000000" w:rsidP="00000000" w:rsidRDefault="00000000" w:rsidRPr="00000000" w14:paraId="0000001D">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práctica de las devoluciones en caliente, que lleva produciéndose desde el año 2005, y que fue reforzada por el Gobierno español mediante la introducción de la disposición adicional décima de la Ley de Protección de la Seguridad Ciudadana que regula el “rechazo en frontera”, fue recurrida ante el Tribunal Constitucional. Este órgano formuló una interpretación de la disposición que regula los rechazos en frontera en Ceuta y Melilla pero precisa </w:t>
      </w:r>
      <w:r w:rsidDel="00000000" w:rsidR="00000000" w:rsidRPr="00000000">
        <w:rPr>
          <w:rFonts w:ascii="Arial" w:cs="Arial" w:eastAsia="Arial" w:hAnsi="Arial"/>
          <w:sz w:val="20"/>
          <w:szCs w:val="20"/>
          <w:rtl w:val="0"/>
        </w:rPr>
        <w:t xml:space="preserve">que estos deben cumplir las garantías recogidas en los tratados internacionales de derechos humanos:</w:t>
      </w:r>
    </w:p>
    <w:p w:rsidR="00000000" w:rsidDel="00000000" w:rsidP="00000000" w:rsidRDefault="00000000" w:rsidRPr="00000000" w14:paraId="0000001E">
      <w:pPr>
        <w:spacing w:line="276" w:lineRule="auto"/>
        <w:ind w:left="425.1968503937008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entradas individualizadas, </w:t>
      </w:r>
    </w:p>
    <w:p w:rsidR="00000000" w:rsidDel="00000000" w:rsidP="00000000" w:rsidRDefault="00000000" w:rsidRPr="00000000" w14:paraId="0000001F">
      <w:pPr>
        <w:spacing w:line="276" w:lineRule="auto"/>
        <w:ind w:left="425.1968503937008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 control judicial, </w:t>
      </w:r>
    </w:p>
    <w:p w:rsidR="00000000" w:rsidDel="00000000" w:rsidP="00000000" w:rsidRDefault="00000000" w:rsidRPr="00000000" w14:paraId="00000020">
      <w:pPr>
        <w:spacing w:line="276" w:lineRule="auto"/>
        <w:ind w:left="425.1968503937008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atención a situaciones de especial vulnerabilidad</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21">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w:t>
      </w:r>
      <w:r w:rsidDel="00000000" w:rsidR="00000000" w:rsidRPr="00000000">
        <w:rPr>
          <w:rFonts w:ascii="Arial" w:cs="Arial" w:eastAsia="Arial" w:hAnsi="Arial"/>
          <w:sz w:val="20"/>
          <w:szCs w:val="20"/>
          <w:rtl w:val="0"/>
        </w:rPr>
        <w:t xml:space="preserve">rincipios que en el caso de devoluciones inmediatas y colectivas como las que se producen son imposibles de garantizar. </w:t>
      </w:r>
      <w:r w:rsidDel="00000000" w:rsidR="00000000" w:rsidRPr="00000000">
        <w:rPr>
          <w:rtl w:val="0"/>
        </w:rPr>
      </w:r>
    </w:p>
    <w:p w:rsidR="00000000" w:rsidDel="00000000" w:rsidP="00000000" w:rsidRDefault="00000000" w:rsidRPr="00000000" w14:paraId="00000022">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Relator Especial sobre los derechos humanos de los migrantes, Felipe González Morales, en el informe que presentó a la Asamblea General de las Naciones Unidas el 26 de abril de 2022, </w:t>
      </w:r>
      <w:r w:rsidDel="00000000" w:rsidR="00000000" w:rsidRPr="00000000">
        <w:rPr>
          <w:rFonts w:ascii="Arial" w:cs="Arial" w:eastAsia="Arial" w:hAnsi="Arial"/>
          <w:i w:val="1"/>
          <w:sz w:val="20"/>
          <w:szCs w:val="20"/>
          <w:rtl w:val="0"/>
        </w:rPr>
        <w:t xml:space="preserve">Violaciones de los derechos humanos en las fronteras internacionales: tendencias, prevención y rendición de cuentas</w:t>
      </w:r>
      <w:r w:rsidDel="00000000" w:rsidR="00000000" w:rsidRPr="00000000">
        <w:rPr>
          <w:rFonts w:ascii="Arial" w:cs="Arial" w:eastAsia="Arial" w:hAnsi="Arial"/>
          <w:sz w:val="20"/>
          <w:szCs w:val="20"/>
          <w:rtl w:val="0"/>
        </w:rPr>
        <w:t xml:space="preserve"> señala que “España siguió procediendo a expulsiones colectivas de migrantes a Marruecos en virtud de un acuerdo bilateral de readmisión de 1992 y de la ley de 2015 que permite llevar a cabo “rechazos en frontera” de los nacionales extranjeros que intentan entrar en España de forma irregular desde Marruecos. Se denunciaron casos de expulsiones colectivas a gran escala, a veces acompañadas de violencia, especialmente desde Ceuta, entre mayo y agosto de 2021, que afectaron a miles de migrantes, entre ellos al menos 45 menores no acompañados. En febrero de 2022, dos tribunales de Ceuta dictaminaron que las devoluciones de niños eran ilegales, ya que las autoridades no habían tomado ninguna medida para proteger su interés superior durante los procedimientos de retorno”</w:t>
      </w:r>
      <w:r w:rsidDel="00000000" w:rsidR="00000000" w:rsidRPr="00000000">
        <w:rPr>
          <w:rFonts w:ascii="Arial" w:cs="Arial" w:eastAsia="Arial" w:hAnsi="Arial"/>
          <w:sz w:val="20"/>
          <w:szCs w:val="20"/>
          <w:vertAlign w:val="superscript"/>
        </w:rPr>
        <w:footnoteReference w:customMarkFollows="0" w:id="2"/>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23">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4">
      <w:pPr>
        <w:numPr>
          <w:ilvl w:val="0"/>
          <w:numId w:val="1"/>
        </w:numPr>
        <w:spacing w:line="276" w:lineRule="auto"/>
        <w:ind w:left="720" w:hanging="36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Violencia en la frontera</w:t>
      </w:r>
    </w:p>
    <w:p w:rsidR="00000000" w:rsidDel="00000000" w:rsidP="00000000" w:rsidRDefault="00000000" w:rsidRPr="00000000" w14:paraId="00000025">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La Comisaria europea de Derechos Humanos del </w:t>
      </w:r>
      <w:hyperlink r:id="rId8">
        <w:r w:rsidDel="00000000" w:rsidR="00000000" w:rsidRPr="00000000">
          <w:rPr>
            <w:rFonts w:ascii="Arial" w:cs="Arial" w:eastAsia="Arial" w:hAnsi="Arial"/>
            <w:sz w:val="20"/>
            <w:szCs w:val="20"/>
            <w:highlight w:val="white"/>
            <w:rtl w:val="0"/>
          </w:rPr>
          <w:t xml:space="preserve">Consejo de Europa</w:t>
        </w:r>
      </w:hyperlink>
      <w:r w:rsidDel="00000000" w:rsidR="00000000" w:rsidRPr="00000000">
        <w:rPr>
          <w:rFonts w:ascii="Arial" w:cs="Arial" w:eastAsia="Arial" w:hAnsi="Arial"/>
          <w:sz w:val="20"/>
          <w:szCs w:val="20"/>
          <w:highlight w:val="white"/>
          <w:rtl w:val="0"/>
        </w:rPr>
        <w:t xml:space="preserve">, Dunja Mijatovic, en relación con los sucesos ocurridos en la valla fronteriza Nador-Melilla del 24 de junio de 2022 cuando cientos de personas intentaron saltar la valla, afirmó que </w:t>
      </w:r>
      <w:r w:rsidDel="00000000" w:rsidR="00000000" w:rsidRPr="00000000">
        <w:rPr>
          <w:rFonts w:ascii="Arial" w:cs="Arial" w:eastAsia="Arial" w:hAnsi="Arial"/>
          <w:b w:val="1"/>
          <w:sz w:val="20"/>
          <w:szCs w:val="20"/>
          <w:highlight w:val="white"/>
          <w:rtl w:val="0"/>
        </w:rPr>
        <w:t xml:space="preserve">"en la práctica, parece no haber otra vía de entrar en Melilla y solicitar protección ante las autoridades pertinentes que nadando o saltando la valla, arriesgando la vida"</w:t>
      </w:r>
      <w:r w:rsidDel="00000000" w:rsidR="00000000" w:rsidRPr="00000000">
        <w:rPr>
          <w:rFonts w:ascii="Arial" w:cs="Arial" w:eastAsia="Arial" w:hAnsi="Arial"/>
          <w:b w:val="1"/>
          <w:i w:val="1"/>
          <w:sz w:val="20"/>
          <w:szCs w:val="20"/>
          <w:highlight w:val="white"/>
          <w:rtl w:val="0"/>
        </w:rPr>
        <w:t xml:space="preserve">.</w:t>
      </w:r>
      <w:r w:rsidDel="00000000" w:rsidR="00000000" w:rsidRPr="00000000">
        <w:rPr>
          <w:rFonts w:ascii="Arial" w:cs="Arial" w:eastAsia="Arial" w:hAnsi="Arial"/>
          <w:i w:val="1"/>
          <w:sz w:val="20"/>
          <w:szCs w:val="20"/>
          <w:highlight w:val="white"/>
          <w:rtl w:val="0"/>
        </w:rPr>
        <w:t xml:space="preserve"> </w:t>
      </w:r>
      <w:r w:rsidDel="00000000" w:rsidR="00000000" w:rsidRPr="00000000">
        <w:rPr>
          <w:rFonts w:ascii="Arial" w:cs="Arial" w:eastAsia="Arial" w:hAnsi="Arial"/>
          <w:sz w:val="20"/>
          <w:szCs w:val="20"/>
          <w:highlight w:val="white"/>
          <w:rtl w:val="0"/>
        </w:rPr>
        <w:t xml:space="preserve">Tanto es así que a consecuencia de la brutal actuación de las fuerzas policiales marroquíes y españolas </w:t>
      </w:r>
      <w:r w:rsidDel="00000000" w:rsidR="00000000" w:rsidRPr="00000000">
        <w:rPr>
          <w:rFonts w:ascii="Arial" w:cs="Arial" w:eastAsia="Arial" w:hAnsi="Arial"/>
          <w:sz w:val="20"/>
          <w:szCs w:val="20"/>
          <w:rtl w:val="0"/>
        </w:rPr>
        <w:t xml:space="preserve">entre 23 y 37 personas perdieron la vida, al menos 70 están desaparecidas y hubo cientos de personas heridas. Además, según denuncia del Defensor del Pueblo español, se produjeron 470 rechazos en frontera sin contemplarse las previsiones legales tanto nacionales como internacionales </w:t>
      </w:r>
      <w:r w:rsidDel="00000000" w:rsidR="00000000" w:rsidRPr="00000000">
        <w:rPr>
          <w:rFonts w:ascii="Arial" w:cs="Arial" w:eastAsia="Arial" w:hAnsi="Arial"/>
          <w:color w:val="222222"/>
          <w:sz w:val="20"/>
          <w:szCs w:val="20"/>
          <w:highlight w:val="white"/>
          <w:rtl w:val="0"/>
        </w:rPr>
        <w:t xml:space="preserve">de protección y garantía de los derechos humanos</w:t>
      </w:r>
      <w:r w:rsidDel="00000000" w:rsidR="00000000" w:rsidRPr="00000000">
        <w:rPr>
          <w:rFonts w:ascii="Arial" w:cs="Arial" w:eastAsia="Arial" w:hAnsi="Arial"/>
          <w:color w:val="222222"/>
          <w:sz w:val="20"/>
          <w:szCs w:val="20"/>
          <w:highlight w:val="white"/>
          <w:vertAlign w:val="superscript"/>
        </w:rPr>
        <w:footnoteReference w:customMarkFollows="0" w:id="3"/>
      </w:r>
      <w:r w:rsidDel="00000000" w:rsidR="00000000" w:rsidRPr="00000000">
        <w:rPr>
          <w:rFonts w:ascii="Arial" w:cs="Arial" w:eastAsia="Arial" w:hAnsi="Arial"/>
          <w:color w:val="222222"/>
          <w:sz w:val="20"/>
          <w:szCs w:val="20"/>
          <w:highlight w:val="white"/>
          <w:rtl w:val="0"/>
        </w:rPr>
        <w:t xml:space="preserve">. </w:t>
      </w:r>
      <w:r w:rsidDel="00000000" w:rsidR="00000000" w:rsidRPr="00000000">
        <w:rPr>
          <w:rtl w:val="0"/>
        </w:rPr>
      </w:r>
    </w:p>
    <w:p w:rsidR="00000000" w:rsidDel="00000000" w:rsidP="00000000" w:rsidRDefault="00000000" w:rsidRPr="00000000" w14:paraId="00000026">
      <w:pPr>
        <w:widowControl w:val="0"/>
        <w:spacing w:after="0" w:line="276" w:lineRule="auto"/>
        <w:ind w:right="-6.32202148437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Estos sucesos constituyen el colofón de procedimientos que vulneran de manera sistemática los principios del derecho internacional de los derechos humanos y por ello lo recogemos como ejemplo ilustrativo.</w:t>
      </w:r>
    </w:p>
    <w:p w:rsidR="00000000" w:rsidDel="00000000" w:rsidP="00000000" w:rsidRDefault="00000000" w:rsidRPr="00000000" w14:paraId="00000027">
      <w:pPr>
        <w:widowControl w:val="0"/>
        <w:spacing w:after="0" w:line="276" w:lineRule="auto"/>
        <w:ind w:right="-6.32202148437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8">
      <w:pPr>
        <w:widowControl w:val="0"/>
        <w:spacing w:after="0" w:line="276" w:lineRule="auto"/>
        <w:ind w:right="-6.32202148437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Relatorías de NNUU, a propósito de la actuación de las fuerzas policiales marroquíes y españolas en este caso, señalaron que “el </w:t>
      </w:r>
      <w:r w:rsidDel="00000000" w:rsidR="00000000" w:rsidRPr="00000000">
        <w:rPr>
          <w:rFonts w:ascii="Arial" w:cs="Arial" w:eastAsia="Arial" w:hAnsi="Arial"/>
          <w:b w:val="1"/>
          <w:sz w:val="20"/>
          <w:szCs w:val="20"/>
          <w:rtl w:val="0"/>
        </w:rPr>
        <w:t xml:space="preserve">uso excesivo de la fuerza</w:t>
      </w:r>
      <w:r w:rsidDel="00000000" w:rsidR="00000000" w:rsidRPr="00000000">
        <w:rPr>
          <w:rFonts w:ascii="Arial" w:cs="Arial" w:eastAsia="Arial" w:hAnsi="Arial"/>
          <w:sz w:val="20"/>
          <w:szCs w:val="20"/>
          <w:rtl w:val="0"/>
        </w:rPr>
        <w:t xml:space="preserve"> habría incluido golpes y  lanzamiento de pelotas de goma y bombas de gas lacrimógeno contra los  migrantes. Estas agresiones habrían incluido patadas, puños y el uso de porras. Los heridos por estas agresiones no habrían recibido ningún tipo de asistencia.  A raíz del número masivo de víctimas resultado de este uso excesivo y letal de  la fuerza, las autoridades de Marruecos habrían comenzado a cavar fosas comunes cerca del cementerio de Sidi Salem, en las afueras de Nador.</w:t>
      </w:r>
    </w:p>
    <w:p w:rsidR="00000000" w:rsidDel="00000000" w:rsidP="00000000" w:rsidRDefault="00000000" w:rsidRPr="00000000" w14:paraId="00000029">
      <w:pPr>
        <w:widowControl w:val="0"/>
        <w:spacing w:after="0" w:line="276" w:lineRule="auto"/>
        <w:ind w:right="-6.32202148437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widowControl w:val="0"/>
        <w:spacing w:after="0" w:line="276" w:lineRule="auto"/>
        <w:ind w:right="-6.322021484375"/>
        <w:jc w:val="both"/>
        <w:rPr>
          <w:rFonts w:ascii="Arial" w:cs="Arial" w:eastAsia="Arial" w:hAnsi="Arial"/>
          <w:color w:val="262626"/>
          <w:sz w:val="20"/>
          <w:szCs w:val="20"/>
          <w:highlight w:val="white"/>
        </w:rPr>
      </w:pPr>
      <w:r w:rsidDel="00000000" w:rsidR="00000000" w:rsidRPr="00000000">
        <w:rPr>
          <w:rFonts w:ascii="Arial" w:cs="Arial" w:eastAsia="Arial" w:hAnsi="Arial"/>
          <w:color w:val="262626"/>
          <w:sz w:val="20"/>
          <w:szCs w:val="20"/>
          <w:highlight w:val="white"/>
          <w:rtl w:val="0"/>
        </w:rPr>
        <w:t xml:space="preserve">Ni las autoridades marroquíes ni las españolas prestaron asistencia médica rápida y adecuada a las personas heridas, e incluso negaron el acceso a la zona al equipo de una ambulancia de Cruz Roja, mientras decenas de personas quedaban desatendidas a pleno sol durante al menos ocho horas.</w:t>
      </w:r>
    </w:p>
    <w:p w:rsidR="00000000" w:rsidDel="00000000" w:rsidP="00000000" w:rsidRDefault="00000000" w:rsidRPr="00000000" w14:paraId="0000002B">
      <w:pPr>
        <w:widowControl w:val="0"/>
        <w:spacing w:after="0" w:line="276" w:lineRule="auto"/>
        <w:ind w:right="-6.322021484375"/>
        <w:jc w:val="both"/>
        <w:rPr>
          <w:rFonts w:ascii="Arial" w:cs="Arial" w:eastAsia="Arial" w:hAnsi="Arial"/>
          <w:color w:val="262626"/>
          <w:sz w:val="20"/>
          <w:szCs w:val="20"/>
          <w:highlight w:val="white"/>
        </w:rPr>
      </w:pPr>
      <w:r w:rsidDel="00000000" w:rsidR="00000000" w:rsidRPr="00000000">
        <w:rPr>
          <w:rtl w:val="0"/>
        </w:rPr>
      </w:r>
    </w:p>
    <w:p w:rsidR="00000000" w:rsidDel="00000000" w:rsidP="00000000" w:rsidRDefault="00000000" w:rsidRPr="00000000" w14:paraId="0000002C">
      <w:pPr>
        <w:widowControl w:val="0"/>
        <w:spacing w:after="0" w:line="276" w:lineRule="auto"/>
        <w:ind w:right="-6.322021484375"/>
        <w:jc w:val="both"/>
        <w:rPr>
          <w:rFonts w:ascii="Arial" w:cs="Arial" w:eastAsia="Arial" w:hAnsi="Arial"/>
          <w:color w:val="262626"/>
          <w:sz w:val="20"/>
          <w:szCs w:val="20"/>
          <w:highlight w:val="white"/>
        </w:rPr>
      </w:pPr>
      <w:r w:rsidDel="00000000" w:rsidR="00000000" w:rsidRPr="00000000">
        <w:rPr>
          <w:rFonts w:ascii="Arial" w:cs="Arial" w:eastAsia="Arial" w:hAnsi="Arial"/>
          <w:color w:val="262626"/>
          <w:sz w:val="20"/>
          <w:szCs w:val="20"/>
          <w:highlight w:val="white"/>
          <w:rtl w:val="0"/>
        </w:rPr>
        <w:t xml:space="preserve">Se calcula que unas 500 personas fueron trasladadas en autobuses a zonas remotas del país, donde las despojaron de sus posesiones y las abandonaron al borde de la carretera sin atención médica. Algunas personas dijeron a Amnistía Internacional que habían sido trasladadas por la fuerza a más de 1.000 kilómetros de la frontera”.</w:t>
      </w:r>
    </w:p>
    <w:p w:rsidR="00000000" w:rsidDel="00000000" w:rsidP="00000000" w:rsidRDefault="00000000" w:rsidRPr="00000000" w14:paraId="0000002D">
      <w:pPr>
        <w:widowControl w:val="0"/>
        <w:spacing w:after="0" w:before="282.01171875" w:line="276" w:lineRule="auto"/>
        <w:ind w:right="-6.29699707031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Además indican que estos hechos constituirían una</w:t>
      </w:r>
      <w:r w:rsidDel="00000000" w:rsidR="00000000" w:rsidRPr="00000000">
        <w:rPr>
          <w:rFonts w:ascii="Arial" w:cs="Arial" w:eastAsia="Arial" w:hAnsi="Arial"/>
          <w:b w:val="1"/>
          <w:sz w:val="20"/>
          <w:szCs w:val="20"/>
          <w:rtl w:val="0"/>
        </w:rPr>
        <w:t xml:space="preserve"> violación del derecho a la vida</w:t>
      </w:r>
      <w:r w:rsidDel="00000000" w:rsidR="00000000" w:rsidRPr="00000000">
        <w:rPr>
          <w:rFonts w:ascii="Arial" w:cs="Arial" w:eastAsia="Arial" w:hAnsi="Arial"/>
          <w:sz w:val="20"/>
          <w:szCs w:val="20"/>
          <w:rtl w:val="0"/>
        </w:rPr>
        <w:t xml:space="preserve">, consagrado en el artículo 3 de la Declaración Universal de Derechos  Humanos (DUDH) y en el artículo 6 del Pacto Internacional de Derechos Civiles y  Políticos (PIDCP), ratificado por España el 27 de abril de 1977 y por Marruecos el 3 de mayo de 1979. </w:t>
      </w:r>
    </w:p>
    <w:p w:rsidR="00000000" w:rsidDel="00000000" w:rsidP="00000000" w:rsidRDefault="00000000" w:rsidRPr="00000000" w14:paraId="0000002E">
      <w:pPr>
        <w:widowControl w:val="0"/>
        <w:spacing w:after="0" w:before="282.01171875" w:line="276" w:lineRule="auto"/>
        <w:ind w:right="-6.2969970703125"/>
        <w:jc w:val="both"/>
        <w:rPr>
          <w:rFonts w:ascii="Arial" w:cs="Arial" w:eastAsia="Arial" w:hAnsi="Arial"/>
          <w:color w:val="262626"/>
          <w:sz w:val="20"/>
          <w:szCs w:val="20"/>
          <w:highlight w:val="white"/>
        </w:rPr>
      </w:pPr>
      <w:r w:rsidDel="00000000" w:rsidR="00000000" w:rsidRPr="00000000">
        <w:rPr>
          <w:rFonts w:ascii="Arial" w:cs="Arial" w:eastAsia="Arial" w:hAnsi="Arial"/>
          <w:color w:val="262626"/>
          <w:sz w:val="20"/>
          <w:szCs w:val="20"/>
          <w:highlight w:val="white"/>
          <w:rtl w:val="0"/>
        </w:rPr>
        <w:t xml:space="preserve">Ninguno de los dos países ha abierto hasta la fecha investigaciones efectivas y transparentes para establecer la verdad de lo que ocurrió ese día, por el contrario, familias y organizaciones expertas que buscan a las personas desaparecidas se han visto obstaculizadas reiteradamente por las autoridades marroquíes.</w:t>
      </w:r>
    </w:p>
    <w:p w:rsidR="00000000" w:rsidDel="00000000" w:rsidP="00000000" w:rsidRDefault="00000000" w:rsidRPr="00000000" w14:paraId="0000002F">
      <w:pPr>
        <w:widowControl w:val="0"/>
        <w:spacing w:after="0" w:before="282.01171875" w:line="276" w:lineRule="auto"/>
        <w:ind w:right="-6.2969970703125"/>
        <w:jc w:val="both"/>
        <w:rPr>
          <w:rFonts w:ascii="Arial" w:cs="Arial" w:eastAsia="Arial" w:hAnsi="Arial"/>
          <w:color w:val="262626"/>
          <w:sz w:val="20"/>
          <w:szCs w:val="20"/>
          <w:highlight w:val="white"/>
        </w:rPr>
      </w:pPr>
      <w:r w:rsidDel="00000000" w:rsidR="00000000" w:rsidRPr="00000000">
        <w:rPr>
          <w:rFonts w:ascii="Arial" w:cs="Arial" w:eastAsia="Arial" w:hAnsi="Arial"/>
          <w:color w:val="262626"/>
          <w:sz w:val="20"/>
          <w:szCs w:val="20"/>
          <w:highlight w:val="white"/>
          <w:rtl w:val="0"/>
        </w:rPr>
        <w:t xml:space="preserve">El 1 de noviembre de 2022, la relatora especial de NNUU sobre las formas contemporáneas de racismo, discriminación racial, xenofobia y formas conexas de intolerancia afirmó que la violencia de Melilla “revela el </w:t>
      </w:r>
      <w:r w:rsidDel="00000000" w:rsidR="00000000" w:rsidRPr="00000000">
        <w:rPr>
          <w:rFonts w:ascii="Arial" w:cs="Arial" w:eastAsia="Arial" w:hAnsi="Arial"/>
          <w:i w:val="1"/>
          <w:color w:val="262626"/>
          <w:sz w:val="20"/>
          <w:szCs w:val="20"/>
          <w:highlight w:val="white"/>
          <w:rtl w:val="0"/>
        </w:rPr>
        <w:t xml:space="preserve">statu quo</w:t>
      </w:r>
      <w:r w:rsidDel="00000000" w:rsidR="00000000" w:rsidRPr="00000000">
        <w:rPr>
          <w:rFonts w:ascii="Arial" w:cs="Arial" w:eastAsia="Arial" w:hAnsi="Arial"/>
          <w:color w:val="262626"/>
          <w:sz w:val="20"/>
          <w:szCs w:val="20"/>
          <w:highlight w:val="white"/>
          <w:rtl w:val="0"/>
        </w:rPr>
        <w:t xml:space="preserve"> de las fronteras de la Unión Europea: utilización de exclusión racializada y violencia letal para impedir la entrada de personas de origen africano y de Oriente Medio y de otras poblaciones no blancas”.</w:t>
      </w:r>
    </w:p>
    <w:p w:rsidR="00000000" w:rsidDel="00000000" w:rsidP="00000000" w:rsidRDefault="00000000" w:rsidRPr="00000000" w14:paraId="00000030">
      <w:pPr>
        <w:widowControl w:val="0"/>
        <w:spacing w:after="0" w:before="282.01171875" w:line="229.90792751312256" w:lineRule="auto"/>
        <w:ind w:right="-6.2969970703125"/>
        <w:jc w:val="both"/>
        <w:rPr>
          <w:rFonts w:ascii="Arial" w:cs="Arial" w:eastAsia="Arial" w:hAnsi="Arial"/>
          <w:sz w:val="20"/>
          <w:szCs w:val="20"/>
        </w:rPr>
      </w:pPr>
      <w:r w:rsidDel="00000000" w:rsidR="00000000" w:rsidRPr="00000000">
        <w:rPr>
          <w:rtl w:val="0"/>
        </w:rPr>
        <w:t xml:space="preserve">A los hechos de violencia policial </w:t>
      </w:r>
      <w:r w:rsidDel="00000000" w:rsidR="00000000" w:rsidRPr="00000000">
        <w:rPr>
          <w:rtl w:val="0"/>
        </w:rPr>
        <w:t xml:space="preserve">en los rechazos en frontera practicados en las vallas y de devoluciones sumarias en las aguas c</w:t>
      </w:r>
      <w:r w:rsidDel="00000000" w:rsidR="00000000" w:rsidRPr="00000000">
        <w:rPr>
          <w:rFonts w:ascii="Arial" w:cs="Arial" w:eastAsia="Arial" w:hAnsi="Arial"/>
          <w:sz w:val="20"/>
          <w:szCs w:val="20"/>
          <w:rtl w:val="0"/>
        </w:rPr>
        <w:t xml:space="preserve">ontiguas a Melilla hay que sumar los obstáculos en la frontera terrestre y los medios de contención tienen carácter lesivo:</w:t>
      </w:r>
    </w:p>
    <w:p w:rsidR="00000000" w:rsidDel="00000000" w:rsidP="00000000" w:rsidRDefault="00000000" w:rsidRPr="00000000" w14:paraId="00000031">
      <w:pPr>
        <w:widowControl w:val="0"/>
        <w:spacing w:after="0" w:before="282.01171875" w:line="276" w:lineRule="auto"/>
        <w:ind w:right="-6.29699707031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vallas están coronadas con peines invertidos que dificultan extremadamente la escalada. De hecho, los saltos se han venido produciendo por los segmentos en los que aún no estaban instalados. Las vallas que se alzan en suelo marroquí siguen totalmente cubiertas de concertinas. Las fotografías de las personas rechazadas en frontera luego entrevistadas en Marruecos siguen mostrando profundos cortes en las manos y antebrazos. Todos los migrantes que habían tratado de saltar las vallas dentro de grupos numerosos acusan las pedradas que recibieron de las Fuerzas Auxiliares Militares marroquíes, lo que corroboran fotografías que muestran descalabros en la cabeza. Igualmente, las Fuerzas Auxiliares Militares la emprenden a bastonazos con quienes atrapan. El gas que disparan los Cuerpos y Fuerzas de Seguridad españolas aturde a quienes están escalando las vallas. Las caídas desde lo alto provocan fracturas en el cráneo (en la parte occipital, según las radiografías que aportan los migrantes entrevistados), piernas, tobillos y pies. Quienes son detenidos por los Cuerpos y Fuerzas de Seguridad española también sufren porrazos antes de ser entregados a los Cuerpos y Fuerzas de Seguridad marroquíes”.</w:t>
      </w:r>
      <w:r w:rsidDel="00000000" w:rsidR="00000000" w:rsidRPr="00000000">
        <w:rPr>
          <w:rFonts w:ascii="Arial" w:cs="Arial" w:eastAsia="Arial" w:hAnsi="Arial"/>
          <w:sz w:val="20"/>
          <w:szCs w:val="20"/>
          <w:vertAlign w:val="superscript"/>
        </w:rPr>
        <w:footnoteReference w:customMarkFollows="0" w:id="4"/>
      </w:r>
      <w:r w:rsidDel="00000000" w:rsidR="00000000" w:rsidRPr="00000000">
        <w:rPr>
          <w:rtl w:val="0"/>
        </w:rPr>
      </w:r>
    </w:p>
    <w:p w:rsidR="00000000" w:rsidDel="00000000" w:rsidP="00000000" w:rsidRDefault="00000000" w:rsidRPr="00000000" w14:paraId="00000032">
      <w:pPr>
        <w:widowControl w:val="0"/>
        <w:spacing w:after="0" w:before="282.01171875" w:line="229.90792751312256" w:lineRule="auto"/>
        <w:ind w:right="-6.296997070312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3">
      <w:pPr>
        <w:numPr>
          <w:ilvl w:val="0"/>
          <w:numId w:val="1"/>
        </w:numPr>
        <w:spacing w:line="276" w:lineRule="auto"/>
        <w:ind w:left="720" w:hanging="360"/>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rtl w:val="0"/>
        </w:rPr>
        <w:t xml:space="preserve">Desprotección y violación sistemática de derechos de las personas migrantes en tránsito</w:t>
      </w:r>
    </w:p>
    <w:p w:rsidR="00000000" w:rsidDel="00000000" w:rsidP="00000000" w:rsidRDefault="00000000" w:rsidRPr="00000000" w14:paraId="00000034">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Muchas son las organizaciones que denuncian el trato que las autoridades marroquíes dan a las personas migrantes, especialmente subsaharianas, que residen o transitan por su territorio, ya sea para su establecimiento o para la continuación de su trayecto migratorio.</w:t>
      </w:r>
    </w:p>
    <w:p w:rsidR="00000000" w:rsidDel="00000000" w:rsidP="00000000" w:rsidRDefault="00000000" w:rsidRPr="00000000" w14:paraId="00000035">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Está documentado por distintas organizaciones locales e internacionales cómo la población subsahariana sufre un creciente hostigamiento en la zona norte de Marruecos, con redadas policiales violentas que evidencia el cuestionamiento de que éste sea un país seguro.</w:t>
      </w:r>
    </w:p>
    <w:p w:rsidR="00000000" w:rsidDel="00000000" w:rsidP="00000000" w:rsidRDefault="00000000" w:rsidRPr="00000000" w14:paraId="00000036">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Así, está documentado que las Fuerzas de Seguridad Auxiliares marroquíes realizan  desalojos violentos de campamentos, edificios ocupados u otros asentamientos de personas subsaharianas ubicadas en diversas zonas del norte del país, dejándolas desamparadas sin ninguna alternativa habitacional, reteniéndolas en centros de internamiento o trasladándolas </w:t>
      </w:r>
      <w:r w:rsidDel="00000000" w:rsidR="00000000" w:rsidRPr="00000000">
        <w:rPr>
          <w:rFonts w:ascii="Arial" w:cs="Arial" w:eastAsia="Arial" w:hAnsi="Arial"/>
          <w:sz w:val="20"/>
          <w:szCs w:val="20"/>
          <w:rtl w:val="0"/>
        </w:rPr>
        <w:t xml:space="preserve">en autobuses esposadas al desierto y ciudades del sur de Marruecos</w:t>
      </w:r>
      <w:r w:rsidDel="00000000" w:rsidR="00000000" w:rsidRPr="00000000">
        <w:rPr>
          <w:rFonts w:ascii="Arial" w:cs="Arial" w:eastAsia="Arial" w:hAnsi="Arial"/>
          <w:sz w:val="20"/>
          <w:szCs w:val="20"/>
          <w:rtl w:val="0"/>
        </w:rPr>
        <w:t xml:space="preserve">. Actuaciones llevadas a cabo sin la existencia de procedimiento alguno, sin la asistencia de abogado y sin posibilidad de defensa.</w:t>
      </w:r>
    </w:p>
    <w:p w:rsidR="00000000" w:rsidDel="00000000" w:rsidP="00000000" w:rsidRDefault="00000000" w:rsidRPr="00000000" w14:paraId="00000037">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España por su parte no ha mostrado interés por hacer efectivos mecanismos de garantías en materia de derechos humanos en sus acuerdos de cooperación y colaboración con Marruecos en el caso de las</w:t>
      </w:r>
      <w:r w:rsidDel="00000000" w:rsidR="00000000" w:rsidRPr="00000000">
        <w:rPr>
          <w:rFonts w:ascii="Arial" w:cs="Arial" w:eastAsia="Arial" w:hAnsi="Arial"/>
          <w:sz w:val="20"/>
          <w:szCs w:val="20"/>
          <w:rtl w:val="0"/>
        </w:rPr>
        <w:t xml:space="preserve"> personas</w:t>
      </w:r>
      <w:r w:rsidDel="00000000" w:rsidR="00000000" w:rsidRPr="00000000">
        <w:rPr>
          <w:rFonts w:ascii="Arial" w:cs="Arial" w:eastAsia="Arial" w:hAnsi="Arial"/>
          <w:sz w:val="20"/>
          <w:szCs w:val="20"/>
          <w:rtl w:val="0"/>
        </w:rPr>
        <w:t xml:space="preserve"> que son devueltas a sus países de origen o aquellos en los que iniciasen su viaje y no existen, ni se piden, datos sobre la suerte que corren las personas readmitidas una vez se encuentran en territorio marroquí. </w:t>
      </w:r>
      <w:r w:rsidDel="00000000" w:rsidR="00000000" w:rsidRPr="00000000">
        <w:rPr>
          <w:rtl w:val="0"/>
        </w:rPr>
      </w:r>
    </w:p>
    <w:sectPr>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8">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Amnistía Internacional. España y Marruecos. Falla la protección de los derechos de las personas migrantes: Ceuta y Melilla un año después. Octubre 2006. </w:t>
      </w:r>
      <w:hyperlink r:id="rId1">
        <w:r w:rsidDel="00000000" w:rsidR="00000000" w:rsidRPr="00000000">
          <w:rPr>
            <w:color w:val="1155cc"/>
            <w:sz w:val="20"/>
            <w:szCs w:val="20"/>
            <w:u w:val="single"/>
            <w:rtl w:val="0"/>
          </w:rPr>
          <w:t xml:space="preserve">https://www.es.amnesty.org/fileadmin/noticias/Ceuta_y_Melilla_2006_01.pdf</w:t>
        </w:r>
      </w:hyperlink>
      <w:r w:rsidDel="00000000" w:rsidR="00000000" w:rsidRPr="00000000">
        <w:rPr>
          <w:rtl w:val="0"/>
        </w:rPr>
      </w:r>
    </w:p>
    <w:p w:rsidR="00000000" w:rsidDel="00000000" w:rsidP="00000000" w:rsidRDefault="00000000" w:rsidRPr="00000000" w14:paraId="00000039">
      <w:pPr>
        <w:spacing w:after="0" w:line="240" w:lineRule="auto"/>
        <w:rPr>
          <w:sz w:val="20"/>
          <w:szCs w:val="20"/>
        </w:rPr>
      </w:pPr>
      <w:r w:rsidDel="00000000" w:rsidR="00000000" w:rsidRPr="00000000">
        <w:rPr>
          <w:rtl w:val="0"/>
        </w:rPr>
      </w:r>
    </w:p>
    <w:p w:rsidR="00000000" w:rsidDel="00000000" w:rsidP="00000000" w:rsidRDefault="00000000" w:rsidRPr="00000000" w14:paraId="0000003A">
      <w:pPr>
        <w:spacing w:after="0" w:line="240" w:lineRule="auto"/>
        <w:rPr>
          <w:sz w:val="20"/>
          <w:szCs w:val="20"/>
        </w:rPr>
      </w:pPr>
      <w:r w:rsidDel="00000000" w:rsidR="00000000" w:rsidRPr="00000000">
        <w:rPr>
          <w:sz w:val="20"/>
          <w:szCs w:val="20"/>
          <w:rtl w:val="0"/>
        </w:rPr>
        <w:t xml:space="preserve">Comisión Española de Ayuda al Refugiado (CEAR). Externalización de fronteras España-Marruecos. </w:t>
      </w:r>
      <w:hyperlink r:id="rId2">
        <w:r w:rsidDel="00000000" w:rsidR="00000000" w:rsidRPr="00000000">
          <w:rPr>
            <w:color w:val="1155cc"/>
            <w:sz w:val="20"/>
            <w:szCs w:val="20"/>
            <w:u w:val="single"/>
            <w:rtl w:val="0"/>
          </w:rPr>
          <w:t xml:space="preserve">https://www.cear.es/wp-content/uploads/2021/04/FICHA_Externalizacion_Fronteras_Espana-Marruecos.pdf</w:t>
        </w:r>
      </w:hyperlink>
      <w:r w:rsidDel="00000000" w:rsidR="00000000" w:rsidRPr="00000000">
        <w:rPr>
          <w:rtl w:val="0"/>
        </w:rPr>
      </w:r>
    </w:p>
    <w:p w:rsidR="00000000" w:rsidDel="00000000" w:rsidP="00000000" w:rsidRDefault="00000000" w:rsidRPr="00000000" w14:paraId="0000003B">
      <w:pPr>
        <w:spacing w:after="0" w:line="240" w:lineRule="auto"/>
        <w:rPr>
          <w:sz w:val="20"/>
          <w:szCs w:val="20"/>
        </w:rPr>
      </w:pPr>
      <w:r w:rsidDel="00000000" w:rsidR="00000000" w:rsidRPr="00000000">
        <w:rPr>
          <w:rtl w:val="0"/>
        </w:rPr>
      </w:r>
    </w:p>
    <w:p w:rsidR="00000000" w:rsidDel="00000000" w:rsidP="00000000" w:rsidRDefault="00000000" w:rsidRPr="00000000" w14:paraId="0000003C">
      <w:pPr>
        <w:spacing w:after="0" w:line="240" w:lineRule="auto"/>
        <w:rPr>
          <w:sz w:val="20"/>
          <w:szCs w:val="20"/>
        </w:rPr>
      </w:pPr>
      <w:r w:rsidDel="00000000" w:rsidR="00000000" w:rsidRPr="00000000">
        <w:rPr>
          <w:sz w:val="20"/>
          <w:szCs w:val="20"/>
          <w:rtl w:val="0"/>
        </w:rPr>
        <w:t xml:space="preserve">Iridia - Centro de Defensa de Derecho Humanos. Informe “Vulneraciones de derechos humanos en la Frontera Sur: Canarias y Melilla” (2021)</w:t>
      </w:r>
    </w:p>
    <w:p w:rsidR="00000000" w:rsidDel="00000000" w:rsidP="00000000" w:rsidRDefault="00000000" w:rsidRPr="00000000" w14:paraId="0000003D">
      <w:pPr>
        <w:spacing w:after="0" w:line="240" w:lineRule="auto"/>
        <w:rPr>
          <w:sz w:val="20"/>
          <w:szCs w:val="20"/>
        </w:rPr>
      </w:pPr>
      <w:hyperlink r:id="rId3">
        <w:r w:rsidDel="00000000" w:rsidR="00000000" w:rsidRPr="00000000">
          <w:rPr>
            <w:color w:val="1155cc"/>
            <w:sz w:val="20"/>
            <w:szCs w:val="20"/>
            <w:u w:val="single"/>
            <w:rtl w:val="0"/>
          </w:rPr>
          <w:t xml:space="preserve">https://iridia.cat/es/Publicaciones/vulneracions-de-drets-humans-a-la-frontera-sud-canaries-i-melilla/</w:t>
        </w:r>
      </w:hyperlink>
      <w:r w:rsidDel="00000000" w:rsidR="00000000" w:rsidRPr="00000000">
        <w:rPr>
          <w:rtl w:val="0"/>
        </w:rPr>
      </w:r>
    </w:p>
    <w:p w:rsidR="00000000" w:rsidDel="00000000" w:rsidP="00000000" w:rsidRDefault="00000000" w:rsidRPr="00000000" w14:paraId="0000003E">
      <w:pPr>
        <w:spacing w:after="0" w:line="240" w:lineRule="auto"/>
        <w:rPr>
          <w:sz w:val="20"/>
          <w:szCs w:val="20"/>
        </w:rPr>
      </w:pPr>
      <w:r w:rsidDel="00000000" w:rsidR="00000000" w:rsidRPr="00000000">
        <w:rPr>
          <w:rtl w:val="0"/>
        </w:rPr>
      </w:r>
    </w:p>
    <w:p w:rsidR="00000000" w:rsidDel="00000000" w:rsidP="00000000" w:rsidRDefault="00000000" w:rsidRPr="00000000" w14:paraId="0000003F">
      <w:pPr>
        <w:spacing w:after="0" w:line="240" w:lineRule="auto"/>
        <w:rPr>
          <w:sz w:val="20"/>
          <w:szCs w:val="20"/>
        </w:rPr>
      </w:pPr>
      <w:r w:rsidDel="00000000" w:rsidR="00000000" w:rsidRPr="00000000">
        <w:rPr>
          <w:sz w:val="20"/>
          <w:szCs w:val="20"/>
          <w:rtl w:val="0"/>
        </w:rPr>
        <w:t xml:space="preserve">Servicio Jesuita a Migrantes (SJM) España.Donde habita el olvido. Informe Frontera Sur 2022. </w:t>
      </w:r>
      <w:hyperlink r:id="rId4">
        <w:r w:rsidDel="00000000" w:rsidR="00000000" w:rsidRPr="00000000">
          <w:rPr>
            <w:color w:val="1155cc"/>
            <w:sz w:val="20"/>
            <w:szCs w:val="20"/>
            <w:u w:val="single"/>
            <w:rtl w:val="0"/>
          </w:rPr>
          <w:t xml:space="preserve">https://sjme.org/wp-content/uploads/2022/12/INFORME-FRONTERA-SUR-2022.pdf</w:t>
        </w:r>
      </w:hyperlink>
      <w:r w:rsidDel="00000000" w:rsidR="00000000" w:rsidRPr="00000000">
        <w:rPr>
          <w:rtl w:val="0"/>
        </w:rPr>
      </w:r>
    </w:p>
    <w:p w:rsidR="00000000" w:rsidDel="00000000" w:rsidP="00000000" w:rsidRDefault="00000000" w:rsidRPr="00000000" w14:paraId="00000040">
      <w:pPr>
        <w:spacing w:after="0" w:line="240" w:lineRule="auto"/>
        <w:rPr>
          <w:sz w:val="20"/>
          <w:szCs w:val="20"/>
        </w:rPr>
      </w:pPr>
      <w:r w:rsidDel="00000000" w:rsidR="00000000" w:rsidRPr="00000000">
        <w:rPr>
          <w:rtl w:val="0"/>
        </w:rPr>
      </w:r>
    </w:p>
    <w:p w:rsidR="00000000" w:rsidDel="00000000" w:rsidP="00000000" w:rsidRDefault="00000000" w:rsidRPr="00000000" w14:paraId="00000041">
      <w:pPr>
        <w:spacing w:after="0" w:line="240" w:lineRule="auto"/>
        <w:rPr>
          <w:sz w:val="20"/>
          <w:szCs w:val="20"/>
        </w:rPr>
      </w:pPr>
      <w:r w:rsidDel="00000000" w:rsidR="00000000" w:rsidRPr="00000000">
        <w:rPr>
          <w:sz w:val="20"/>
          <w:szCs w:val="20"/>
          <w:rtl w:val="0"/>
        </w:rPr>
        <w:t xml:space="preserve">Comisión Española de Ayuda al Refugiado (CEAR). Las personas refugiadas en España y Europa. Capítulo 4 Situación en la frontera sur. </w:t>
      </w:r>
      <w:hyperlink r:id="rId5">
        <w:r w:rsidDel="00000000" w:rsidR="00000000" w:rsidRPr="00000000">
          <w:rPr>
            <w:color w:val="1155cc"/>
            <w:sz w:val="20"/>
            <w:szCs w:val="20"/>
            <w:u w:val="single"/>
            <w:rtl w:val="0"/>
          </w:rPr>
          <w:t xml:space="preserve">https://www.cear.es/wp-content/uploads/2022/06/Informe22_Cap4.pdf</w:t>
        </w:r>
      </w:hyperlink>
      <w:r w:rsidDel="00000000" w:rsidR="00000000" w:rsidRPr="00000000">
        <w:rPr>
          <w:rtl w:val="0"/>
        </w:rPr>
      </w:r>
    </w:p>
    <w:p w:rsidR="00000000" w:rsidDel="00000000" w:rsidP="00000000" w:rsidRDefault="00000000" w:rsidRPr="00000000" w14:paraId="00000042">
      <w:pPr>
        <w:spacing w:after="0" w:line="240" w:lineRule="auto"/>
        <w:rPr>
          <w:sz w:val="20"/>
          <w:szCs w:val="20"/>
        </w:rPr>
      </w:pPr>
      <w:r w:rsidDel="00000000" w:rsidR="00000000" w:rsidRPr="00000000">
        <w:rPr>
          <w:rtl w:val="0"/>
        </w:rPr>
      </w:r>
    </w:p>
    <w:p w:rsidR="00000000" w:rsidDel="00000000" w:rsidP="00000000" w:rsidRDefault="00000000" w:rsidRPr="00000000" w14:paraId="00000043">
      <w:pPr>
        <w:spacing w:after="0" w:line="240" w:lineRule="auto"/>
        <w:rPr>
          <w:sz w:val="20"/>
          <w:szCs w:val="20"/>
        </w:rPr>
      </w:pPr>
      <w:r w:rsidDel="00000000" w:rsidR="00000000" w:rsidRPr="00000000">
        <w:rPr>
          <w:sz w:val="20"/>
          <w:szCs w:val="20"/>
          <w:rtl w:val="0"/>
        </w:rPr>
        <w:t xml:space="preserve">Amnistía Internacional. “Lo golpearon en la cabeza para comprobar si estaba muerto”. Pruebas de crímenes de derecho internacional cometidos por España y Marruecos en la frontera de Melilla (2022)</w:t>
      </w:r>
    </w:p>
    <w:p w:rsidR="00000000" w:rsidDel="00000000" w:rsidP="00000000" w:rsidRDefault="00000000" w:rsidRPr="00000000" w14:paraId="00000044">
      <w:pPr>
        <w:spacing w:after="0" w:line="240" w:lineRule="auto"/>
        <w:rPr>
          <w:sz w:val="20"/>
          <w:szCs w:val="20"/>
        </w:rPr>
      </w:pPr>
      <w:r w:rsidDel="00000000" w:rsidR="00000000" w:rsidRPr="00000000">
        <w:rPr>
          <w:sz w:val="20"/>
          <w:szCs w:val="20"/>
          <w:rtl w:val="0"/>
        </w:rPr>
        <w:t xml:space="preserve">https://www.amnesty.org/en/wp-content/uploads/sites/4/2023/02/MDE2962492022SPANISH.pdf</w:t>
      </w:r>
    </w:p>
    <w:p w:rsidR="00000000" w:rsidDel="00000000" w:rsidP="00000000" w:rsidRDefault="00000000" w:rsidRPr="00000000" w14:paraId="00000045">
      <w:pPr>
        <w:spacing w:after="0" w:line="240" w:lineRule="auto"/>
        <w:rPr>
          <w:sz w:val="20"/>
          <w:szCs w:val="20"/>
        </w:rPr>
      </w:pPr>
      <w:r w:rsidDel="00000000" w:rsidR="00000000" w:rsidRPr="00000000">
        <w:rPr>
          <w:rtl w:val="0"/>
        </w:rPr>
      </w:r>
    </w:p>
    <w:p w:rsidR="00000000" w:rsidDel="00000000" w:rsidP="00000000" w:rsidRDefault="00000000" w:rsidRPr="00000000" w14:paraId="00000046">
      <w:pPr>
        <w:spacing w:after="0" w:line="240" w:lineRule="auto"/>
        <w:rPr>
          <w:sz w:val="20"/>
          <w:szCs w:val="20"/>
        </w:rPr>
      </w:pPr>
      <w:r w:rsidDel="00000000" w:rsidR="00000000" w:rsidRPr="00000000">
        <w:rPr>
          <w:rtl w:val="0"/>
        </w:rPr>
      </w:r>
    </w:p>
    <w:p w:rsidR="00000000" w:rsidDel="00000000" w:rsidP="00000000" w:rsidRDefault="00000000" w:rsidRPr="00000000" w14:paraId="00000047">
      <w:pPr>
        <w:spacing w:after="0" w:line="240" w:lineRule="auto"/>
        <w:rPr>
          <w:sz w:val="20"/>
          <w:szCs w:val="20"/>
        </w:rPr>
      </w:pPr>
      <w:r w:rsidDel="00000000" w:rsidR="00000000" w:rsidRPr="00000000">
        <w:rPr>
          <w:rtl w:val="0"/>
        </w:rPr>
      </w:r>
    </w:p>
  </w:footnote>
  <w:footnote w:id="1">
    <w:p w:rsidR="00000000" w:rsidDel="00000000" w:rsidP="00000000" w:rsidRDefault="00000000" w:rsidRPr="00000000" w14:paraId="00000048">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Servicio Jesuita a Migrantes (SJM España). Informe Frontera Sur 2022: ‘Donde habita el olvido’. </w:t>
      </w:r>
      <w:hyperlink r:id="rId6">
        <w:r w:rsidDel="00000000" w:rsidR="00000000" w:rsidRPr="00000000">
          <w:rPr>
            <w:color w:val="1155cc"/>
            <w:sz w:val="20"/>
            <w:szCs w:val="20"/>
            <w:highlight w:val="white"/>
            <w:u w:val="single"/>
            <w:rtl w:val="0"/>
          </w:rPr>
          <w:t xml:space="preserve">https://sjme.org/wp-content/uploads/2022/12/INFORME-FRONTERA-SUR-2022.pdf</w:t>
        </w:r>
      </w:hyperlink>
      <w:r w:rsidDel="00000000" w:rsidR="00000000" w:rsidRPr="00000000">
        <w:rPr>
          <w:rtl w:val="0"/>
        </w:rPr>
      </w:r>
    </w:p>
    <w:p w:rsidR="00000000" w:rsidDel="00000000" w:rsidP="00000000" w:rsidRDefault="00000000" w:rsidRPr="00000000" w14:paraId="00000049">
      <w:pPr>
        <w:spacing w:after="0" w:line="240" w:lineRule="auto"/>
        <w:rPr>
          <w:sz w:val="20"/>
          <w:szCs w:val="20"/>
        </w:rPr>
      </w:pPr>
      <w:r w:rsidDel="00000000" w:rsidR="00000000" w:rsidRPr="00000000">
        <w:rPr>
          <w:rtl w:val="0"/>
        </w:rPr>
      </w:r>
    </w:p>
  </w:footnote>
  <w:footnote w:id="3">
    <w:p w:rsidR="00000000" w:rsidDel="00000000" w:rsidP="00000000" w:rsidRDefault="00000000" w:rsidRPr="00000000" w14:paraId="0000004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El Defensor avanza sus primeras conclusiones sobre lo sucedido en el perímetro fronterizo de Melilla (14/10/2022)</w:t>
      </w:r>
      <w:r w:rsidDel="00000000" w:rsidR="00000000" w:rsidRPr="00000000">
        <w:rPr>
          <w:color w:val="404040"/>
          <w:sz w:val="20"/>
          <w:szCs w:val="20"/>
          <w:rtl w:val="0"/>
        </w:rPr>
        <w:t xml:space="preserve"> </w:t>
      </w:r>
      <w:hyperlink r:id="rId7">
        <w:r w:rsidDel="00000000" w:rsidR="00000000" w:rsidRPr="00000000">
          <w:rPr>
            <w:color w:val="1a73e8"/>
            <w:sz w:val="20"/>
            <w:szCs w:val="20"/>
            <w:u w:val="single"/>
            <w:rtl w:val="0"/>
          </w:rPr>
          <w:t xml:space="preserve">https://www.defensordelpueblo.es/noticias/sucesos-melilla/</w:t>
        </w:r>
      </w:hyperlink>
      <w:r w:rsidDel="00000000" w:rsidR="00000000" w:rsidRPr="00000000">
        <w:rPr>
          <w:rtl w:val="0"/>
        </w:rPr>
      </w:r>
    </w:p>
  </w:footnote>
  <w:footnote w:id="2">
    <w:p w:rsidR="00000000" w:rsidDel="00000000" w:rsidP="00000000" w:rsidRDefault="00000000" w:rsidRPr="00000000" w14:paraId="0000004B">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Informe accesible online (16/09/2022) en: </w:t>
      </w:r>
      <w:hyperlink r:id="rId8">
        <w:r w:rsidDel="00000000" w:rsidR="00000000" w:rsidRPr="00000000">
          <w:rPr>
            <w:color w:val="1155cc"/>
            <w:sz w:val="20"/>
            <w:szCs w:val="20"/>
            <w:u w:val="single"/>
            <w:rtl w:val="0"/>
          </w:rPr>
          <w:t xml:space="preserve">https://www.ohchr.org/es/documents/thematic-reports/ahrc5031-human-rights-violations-international-borders-trends-prevention</w:t>
        </w:r>
      </w:hyperlink>
      <w:r w:rsidDel="00000000" w:rsidR="00000000" w:rsidRPr="00000000">
        <w:rPr>
          <w:rtl w:val="0"/>
        </w:rPr>
      </w:r>
    </w:p>
    <w:p w:rsidR="00000000" w:rsidDel="00000000" w:rsidP="00000000" w:rsidRDefault="00000000" w:rsidRPr="00000000" w14:paraId="0000004C">
      <w:pPr>
        <w:spacing w:after="0" w:line="240" w:lineRule="auto"/>
        <w:rPr>
          <w:sz w:val="20"/>
          <w:szCs w:val="20"/>
        </w:rPr>
      </w:pPr>
      <w:r w:rsidDel="00000000" w:rsidR="00000000" w:rsidRPr="00000000">
        <w:rPr>
          <w:rtl w:val="0"/>
        </w:rPr>
      </w:r>
    </w:p>
  </w:footnote>
  <w:footnote w:id="4">
    <w:p w:rsidR="00000000" w:rsidDel="00000000" w:rsidP="00000000" w:rsidRDefault="00000000" w:rsidRPr="00000000" w14:paraId="0000004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Servicio Jesuita a Migrantes (SJM España). Informe Frontera Sur 2022: ‘Donde habita el olvido’. </w:t>
      </w:r>
      <w:hyperlink r:id="rId9">
        <w:r w:rsidDel="00000000" w:rsidR="00000000" w:rsidRPr="00000000">
          <w:rPr>
            <w:color w:val="1155cc"/>
            <w:sz w:val="20"/>
            <w:szCs w:val="20"/>
            <w:highlight w:val="white"/>
            <w:u w:val="single"/>
            <w:rtl w:val="0"/>
          </w:rPr>
          <w:t xml:space="preserve">https://sjme.org/wp-content/uploads/2022/12/INFORME-FRONTERA-SUR-2022.pdf</w:t>
        </w:r>
      </w:hyperlink>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E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Textonotapie">
    <w:name w:val="footnote text"/>
    <w:basedOn w:val="Normal"/>
    <w:link w:val="TextonotapieCar"/>
    <w:uiPriority w:val="99"/>
    <w:semiHidden w:val="1"/>
    <w:unhideWhenUsed w:val="1"/>
    <w:rsid w:val="00C6672F"/>
    <w:pPr>
      <w:spacing w:after="0" w:line="240" w:lineRule="auto"/>
    </w:pPr>
    <w:rPr>
      <w:sz w:val="20"/>
      <w:szCs w:val="20"/>
    </w:rPr>
  </w:style>
  <w:style w:type="character" w:styleId="TextonotapieCar" w:customStyle="1">
    <w:name w:val="Texto nota pie Car"/>
    <w:basedOn w:val="Fuentedeprrafopredeter"/>
    <w:link w:val="Textonotapie"/>
    <w:uiPriority w:val="99"/>
    <w:semiHidden w:val="1"/>
    <w:rsid w:val="00C6672F"/>
    <w:rPr>
      <w:sz w:val="20"/>
      <w:szCs w:val="20"/>
    </w:rPr>
  </w:style>
  <w:style w:type="character" w:styleId="Refdenotaalpie">
    <w:name w:val="footnote reference"/>
    <w:aliases w:val="4_G"/>
    <w:basedOn w:val="Fuentedeprrafopredeter"/>
    <w:rsid w:val="00C6672F"/>
    <w:rPr>
      <w:rFonts w:ascii="Times New Roman" w:hAnsi="Times New Roman"/>
      <w:sz w:val="18"/>
      <w:vertAlign w:val="superscript"/>
    </w:rPr>
  </w:style>
  <w:style w:type="paragraph" w:styleId="Prrafodelista">
    <w:name w:val="List Paragraph"/>
    <w:basedOn w:val="Normal"/>
    <w:uiPriority w:val="34"/>
    <w:qFormat w:val="1"/>
    <w:rsid w:val="00C6672F"/>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www.rtve.es/temas/consejo-europeo/2879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s.amnesty.org/fileadmin/noticias/Ceuta_y_Melilla_2006_01.pdf" TargetMode="External"/><Relationship Id="rId2" Type="http://schemas.openxmlformats.org/officeDocument/2006/relationships/hyperlink" Target="https://www.cear.es/wp-content/uploads/2021/04/FICHA_Externalizacion_Fronteras_Espana-Marruecos.pdf" TargetMode="External"/><Relationship Id="rId3" Type="http://schemas.openxmlformats.org/officeDocument/2006/relationships/hyperlink" Target="https://iridia.cat/es/Publicaciones/vulneracions-de-drets-humans-a-la-frontera-sud-canaries-i-melilla/" TargetMode="External"/><Relationship Id="rId4" Type="http://schemas.openxmlformats.org/officeDocument/2006/relationships/hyperlink" Target="https://sjme.org/wp-content/uploads/2022/12/INFORME-FRONTERA-SUR-2022.pdf" TargetMode="External"/><Relationship Id="rId9" Type="http://schemas.openxmlformats.org/officeDocument/2006/relationships/hyperlink" Target="https://sjme.org/wp-content/uploads/2022/12/INFORME-FRONTERA-SUR-2022.pdf" TargetMode="External"/><Relationship Id="rId5" Type="http://schemas.openxmlformats.org/officeDocument/2006/relationships/hyperlink" Target="https://www.cear.es/wp-content/uploads/2022/06/Informe22_Cap4.pdf" TargetMode="External"/><Relationship Id="rId6" Type="http://schemas.openxmlformats.org/officeDocument/2006/relationships/hyperlink" Target="https://sjme.org/wp-content/uploads/2022/12/INFORME-FRONTERA-SUR-2022.pdf" TargetMode="External"/><Relationship Id="rId7" Type="http://schemas.openxmlformats.org/officeDocument/2006/relationships/hyperlink" Target="https://www.defensordelpueblo.es/noticias/sucesos-melilla/" TargetMode="External"/><Relationship Id="rId8" Type="http://schemas.openxmlformats.org/officeDocument/2006/relationships/hyperlink" Target="https://www.ohchr.org/es/documents/thematic-reports/ahrc5031-human-rights-violations-international-borders-trends-preventi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DhEW/KcZqdrpTtIXFMTFXWIS0EQ==">AMUW2mUJu3sthKvW/mfte5ju5/BkxA5cj5V+/zEsQsFddAD5CZxrrkH5IsRUE7erV1HrMrFMaVJCaAZpzafOu8HKMjbMidm4dBNm87MzB5ruzNu0TOWcZr4y/8fP2Js3WdJxIBGjYXnqZit/LCqMPpGj3j+2Iw60gnlYgYCLzl4xDO684NyFwX0OHQpp3X7jyyu1xR+Je8aHnMeUMtZfxqdE+ZjmvUYbGKNVwKSS/a2WQRi2I3FYwaBjCbIUcgT/gL90nRbHOm2i5DLjMnnfULLR84vA26b4Coojm9v32zH0nkD3+PKNoKfXqT8D7drltKsob6rqOcv/+40ebWzRt+W6rW/w8fRrImRKt38qYEPjck/hIeWvQlE2GFZDWBb9ondYLzW7uV/H+adLc9ITY12wKudMIdWFvLcG9MNkrfgjRIfQOTKa+FOOwbw6JyMHw1aGV61qHqv1QHCLbPhTQbQmA+GYo8gS1uCsVMZGgI5U74mL2elb/qebbWdFjVB9sv7Dlrsw2eaDVh077SYK8gRWiBvBcTl9AQeWzUWQGyAuA8qAq9GGW4xLFdHZhkT4XKUFqDIQsbqggSJ13K0hTTXR/527avAdQEPLHNgoQek1yEORCBwoQ1q7otedWu4Fm7oOQXsL3vAClYfOTKgTqDgdbrTWa82aLsxvhw0vNmLDsHxeCtXyK6ppmwhJrFicq1Qhx9QaN6xjCS956HuMH7EKNTS00lqlwBT0nKchGptcQFjrPLjxo+GBvD0ozMvNTTygovqwaolJmAm/ooMFdPODB85YkQApZ5ADTT/mI1SDN2UnbIpHzgyHUs3BRbXDXKYqNjVvjN/tRGBcPs2CBeFaMa7bkpAnr3l7dj9/dahde0+ITFuz2VxXspMnFGmzQgniqFW8Tdx/To7VmmaDrnc1DpUjJwyi4E+dS9T12j9RHvDyOrCI8XhBLygsNCKnRh6o1dHbomnfd1ie8s0zFBpJ0vpxc2i0irvy2HMvLM5nREEa88MXCtBadKgwY0UGN+er//3mnhB2k58vlMAMFyUOaZrXP6gFpFdbTMIH2OsPkpxJC9tzpIhqJryqMEOacemB+mTbIphYWtkpfJOn3LWT7DehEo6bXe15hqrke7vb755xhU7ts05ndMXjvHTg/b1auiRz8CZz74trVXkeLmjxVgrj99sjX+5Wk0xj34Vgvb/11PYHNNLLZNxJ1czoepecOpXzn0sTJN5TFgwtCvKAJePSF23xyGV3EAhLZCA8W1jWyyrr7xkHur7f6i8GRm/AoEqw2CB3bMn3hsvCS7LiXw0/L2VxLDKftt7B0CLrE6lFy0niHONagpBbIglehnZc4lJIC3cuTozeqp7IbzOXHeQ1X3Pli3foaeKwR6Hl2CtxsntfBhpkjMkB4fv8ne6JH6zV4SgGIsAHM95uEkBj+6+3IHTMYqW9BvLBGOc5t5mECQT95cq7TuyKcgzi/L/taa60dg9FP6HhL6EKDiI6vrPaquxMvIl1xThZQKi0TZwNlJZHvK4UWGLG2XtqUwEECQ4FYnjdD6FgTyQb/A7qI7maQLSHsryysR5FhwKitqp8QzINXkIUlNpIePL2oT93L3Ri7rFGnWitCQfLHCMnHqlOfClVr3nPNw38CUmqedkKZSg6GI5D8lGTPta5eNylNYMkklQj40vee00PZTmawSpGdxSCcKO1TiBvgrJfrTxW5N+vp+CeUmpDXM3ishu/SMmaItAvpNMzb0tq9hU/4VFpJyTCGGYTEFskaFUXCqRYCffgT68/y7UzGIVcsWnNEbEoJfe5oaNCNRa+BYDCrgCx3tdw/UFe54sdx09cqdQhFgAnrs1eANI0gUv0qXOVw0jPZydrn8HTvtRgANA9Yl6WMwC+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2023-02-22T14:04:00Z</dcterms:created>
  <dc:creator>Elvira Pérez</dc:creator>
</cp:coreProperties>
</file>