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0C71DE56"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1A05E8">
        <w:rPr>
          <w:rFonts w:ascii="Proxima Nova Rg" w:hAnsi="Proxima Nova Rg" w:cstheme="minorHAnsi"/>
          <w:b/>
          <w:sz w:val="32"/>
          <w:szCs w:val="32"/>
          <w:u w:val="single"/>
          <w:lang w:val="fr-FR"/>
        </w:rPr>
        <w:t>MEXICO</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1A05E8">
        <w:rPr>
          <w:rFonts w:ascii="Proxima Nova Rg" w:hAnsi="Proxima Nova Rg" w:cstheme="minorHAnsi"/>
          <w:b/>
          <w:sz w:val="32"/>
          <w:szCs w:val="32"/>
          <w:lang w:val="fr-FR"/>
        </w:rPr>
        <w:t>7</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1A05E8">
        <w:rPr>
          <w:rFonts w:ascii="Proxima Nova Rg" w:hAnsi="Proxima Nova Rg" w:cstheme="minorHAnsi"/>
          <w:b/>
          <w:sz w:val="32"/>
          <w:szCs w:val="32"/>
          <w:u w:val="single"/>
        </w:rPr>
        <w:t>FEB</w:t>
      </w:r>
      <w:r w:rsidR="00A97A12">
        <w:rPr>
          <w:rFonts w:ascii="Proxima Nova Rg" w:hAnsi="Proxima Nova Rg" w:cstheme="minorHAnsi"/>
          <w:b/>
          <w:sz w:val="32"/>
          <w:szCs w:val="32"/>
          <w:u w:val="single"/>
        </w:rPr>
        <w:t>.</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1A05E8">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1225D534"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1A05E8">
        <w:rPr>
          <w:rFonts w:ascii="Proxima Nova Rg" w:hAnsi="Proxima Nova Rg" w:cstheme="minorHAnsi"/>
          <w:i/>
        </w:rPr>
        <w:t>Corporal Punishment</w:t>
      </w:r>
      <w:r w:rsidRPr="00E35A27">
        <w:rPr>
          <w:rFonts w:ascii="Proxima Nova Rg" w:hAnsi="Proxima Nova Rg" w:cstheme="minorHAnsi"/>
          <w:i/>
        </w:rPr>
        <w:t xml:space="preserve">, </w:t>
      </w:r>
      <w:r w:rsidR="001A05E8">
        <w:rPr>
          <w:rFonts w:ascii="Proxima Nova Rg" w:hAnsi="Proxima Nova Rg" w:cstheme="minorHAnsi"/>
          <w:i/>
        </w:rPr>
        <w:t>November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492FE5">
        <w:rPr>
          <w:rFonts w:ascii="Proxima Nova Rg" w:hAnsi="Proxima Nova Rg" w:cstheme="minorHAnsi"/>
          <w:i/>
        </w:rPr>
        <w:t>3</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3F783005"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1A05E8">
        <w:rPr>
          <w:rFonts w:ascii="Proxima Nova Rg" w:hAnsi="Proxima Nova Rg"/>
          <w:b/>
          <w:sz w:val="28"/>
          <w:szCs w:val="28"/>
        </w:rPr>
        <w:t>Mexico</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1A05E8">
        <w:rPr>
          <w:rFonts w:ascii="Proxima Nova Rg" w:hAnsi="Proxima Nova Rg"/>
          <w:b/>
          <w:sz w:val="28"/>
          <w:szCs w:val="28"/>
        </w:rPr>
        <w:t>8</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764F1525" w:rsidR="00486A01" w:rsidRPr="00E35A27"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1D690A" w:rsidRPr="00E35A27">
        <w:rPr>
          <w:rFonts w:ascii="Proxima Nova Rg" w:hAnsi="Proxima Nova Rg"/>
          <w:b/>
          <w:sz w:val="28"/>
          <w:szCs w:val="28"/>
        </w:rPr>
        <w:t xml:space="preserve">List of Issues for </w:t>
      </w:r>
      <w:r w:rsidR="001A05E8">
        <w:rPr>
          <w:rFonts w:ascii="Proxima Nova Rg" w:hAnsi="Proxima Nova Rg"/>
          <w:b/>
          <w:sz w:val="28"/>
          <w:szCs w:val="28"/>
        </w:rPr>
        <w:t>Mexico</w:t>
      </w:r>
      <w:r w:rsidR="001D690A" w:rsidRPr="00E35A27">
        <w:rPr>
          <w:rFonts w:ascii="Proxima Nova Rg" w:hAnsi="Proxima Nova Rg"/>
          <w:b/>
          <w:sz w:val="28"/>
          <w:szCs w:val="28"/>
        </w:rPr>
        <w:t xml:space="preserve">, raise the issue of corporal punishment </w:t>
      </w:r>
      <w:r w:rsidR="00486A01" w:rsidRPr="00E35A27">
        <w:rPr>
          <w:rFonts w:ascii="Proxima Nova Rg" w:hAnsi="Proxima Nova Rg"/>
          <w:b/>
          <w:sz w:val="28"/>
          <w:szCs w:val="28"/>
        </w:rPr>
        <w:t xml:space="preserve">of children, </w:t>
      </w:r>
      <w:proofErr w:type="gramStart"/>
      <w:r w:rsidR="00486A01" w:rsidRPr="00E35A27">
        <w:rPr>
          <w:rFonts w:ascii="Proxima Nova Rg" w:hAnsi="Proxima Nova Rg"/>
          <w:b/>
          <w:sz w:val="28"/>
          <w:szCs w:val="28"/>
        </w:rPr>
        <w:t>in particular asking</w:t>
      </w:r>
      <w:proofErr w:type="gramEnd"/>
      <w:r w:rsidR="00486A01" w:rsidRPr="00E35A27">
        <w:rPr>
          <w:rFonts w:ascii="Proxima Nova Rg" w:hAnsi="Proxima Nova Rg"/>
          <w:b/>
          <w:sz w:val="28"/>
          <w:szCs w:val="28"/>
        </w:rPr>
        <w:t xml:space="preserve"> what </w:t>
      </w:r>
      <w:r w:rsidR="0053743C">
        <w:rPr>
          <w:rFonts w:ascii="Proxima Nova Rg" w:hAnsi="Proxima Nova Rg"/>
          <w:b/>
          <w:sz w:val="28"/>
          <w:szCs w:val="28"/>
        </w:rPr>
        <w:t>steps are being taken</w:t>
      </w:r>
      <w:r w:rsidR="00410E4B" w:rsidRPr="00E35A27">
        <w:rPr>
          <w:rFonts w:ascii="Proxima Nova Rg" w:hAnsi="Proxima Nova Rg"/>
          <w:b/>
          <w:sz w:val="28"/>
          <w:szCs w:val="28"/>
        </w:rPr>
        <w:t xml:space="preserve"> </w:t>
      </w:r>
      <w:r w:rsidR="0053743C">
        <w:rPr>
          <w:rFonts w:ascii="Proxima Nova Rg" w:hAnsi="Proxima Nova Rg"/>
          <w:b/>
          <w:sz w:val="28"/>
          <w:szCs w:val="28"/>
        </w:rPr>
        <w:t>to enact legislation to</w:t>
      </w:r>
      <w:r w:rsidR="008C5CA7" w:rsidRPr="00E35A27">
        <w:rPr>
          <w:rFonts w:ascii="Proxima Nova Rg" w:hAnsi="Proxima Nova Rg"/>
          <w:b/>
          <w:sz w:val="28"/>
          <w:szCs w:val="28"/>
        </w:rPr>
        <w:t xml:space="preserve"> </w:t>
      </w:r>
      <w:r w:rsidR="00410E4B" w:rsidRPr="00E35A27">
        <w:rPr>
          <w:rFonts w:ascii="Proxima Nova Rg" w:hAnsi="Proxima Nova Rg"/>
          <w:b/>
          <w:sz w:val="28"/>
          <w:szCs w:val="28"/>
        </w:rPr>
        <w:t>explicitly</w:t>
      </w:r>
      <w:r w:rsidR="00486A01" w:rsidRPr="00E35A27">
        <w:rPr>
          <w:rFonts w:ascii="Proxima Nova Rg" w:hAnsi="Proxima Nova Rg"/>
          <w:b/>
          <w:sz w:val="28"/>
          <w:szCs w:val="28"/>
        </w:rPr>
        <w:t xml:space="preserve"> prohibit corporal punishment of children in all settings; and</w:t>
      </w:r>
      <w:r w:rsidR="00410E4B" w:rsidRPr="00E35A27">
        <w:rPr>
          <w:rFonts w:ascii="Proxima Nova Rg" w:hAnsi="Proxima Nova Rg"/>
          <w:b/>
          <w:sz w:val="28"/>
          <w:szCs w:val="28"/>
        </w:rPr>
        <w:t>,</w:t>
      </w:r>
    </w:p>
    <w:p w14:paraId="01D78E95" w14:textId="252B4668"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546A2A" w:rsidRPr="00E35A27">
        <w:rPr>
          <w:rFonts w:ascii="Proxima Nova Rg" w:hAnsi="Proxima Nova Rg"/>
          <w:b/>
          <w:sz w:val="28"/>
          <w:szCs w:val="28"/>
        </w:rPr>
        <w:t>sixth</w:t>
      </w:r>
      <w:r w:rsidR="001A05E8">
        <w:rPr>
          <w:rFonts w:ascii="Proxima Nova Rg" w:hAnsi="Proxima Nova Rg"/>
          <w:b/>
          <w:sz w:val="28"/>
          <w:szCs w:val="28"/>
        </w:rPr>
        <w:t>-seventh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1A05E8">
        <w:rPr>
          <w:rFonts w:ascii="Proxima Nova Rg" w:hAnsi="Proxima Nova Rg"/>
          <w:b/>
          <w:sz w:val="28"/>
          <w:szCs w:val="28"/>
        </w:rPr>
        <w:t>Mexico</w:t>
      </w:r>
      <w:r w:rsidRPr="00E35A27">
        <w:rPr>
          <w:rFonts w:ascii="Proxima Nova Rg" w:hAnsi="Proxima Nova Rg"/>
          <w:b/>
          <w:sz w:val="28"/>
          <w:szCs w:val="28"/>
        </w:rPr>
        <w:t xml:space="preserve">, recommend that </w:t>
      </w:r>
      <w:r w:rsidR="001A05E8">
        <w:rPr>
          <w:rFonts w:ascii="Proxima Nova Rg" w:hAnsi="Proxima Nova Rg"/>
          <w:b/>
          <w:sz w:val="28"/>
          <w:szCs w:val="28"/>
        </w:rPr>
        <w:t>a</w:t>
      </w:r>
      <w:r w:rsidR="006E7A39" w:rsidRPr="00E35A27">
        <w:rPr>
          <w:rFonts w:ascii="Proxima Nova Rg" w:hAnsi="Proxima Nova Rg"/>
          <w:b/>
          <w:sz w:val="28"/>
          <w:szCs w:val="28"/>
        </w:rPr>
        <w:t xml:space="preserve"> legislation</w:t>
      </w:r>
      <w:r w:rsidRPr="00E35A27">
        <w:rPr>
          <w:rFonts w:ascii="Proxima Nova Rg" w:hAnsi="Proxima Nova Rg"/>
          <w:b/>
          <w:sz w:val="28"/>
          <w:szCs w:val="28"/>
        </w:rPr>
        <w:t xml:space="preserve"> is enacted </w:t>
      </w:r>
      <w:r w:rsidR="001A05E8">
        <w:rPr>
          <w:rFonts w:ascii="Proxima Nova Rg" w:hAnsi="Proxima Nova Rg"/>
          <w:b/>
          <w:sz w:val="28"/>
          <w:szCs w:val="28"/>
        </w:rPr>
        <w:t xml:space="preserve">by all federal entities </w:t>
      </w:r>
      <w:r w:rsidRPr="00E35A27">
        <w:rPr>
          <w:rFonts w:ascii="Proxima Nova Rg" w:hAnsi="Proxima Nova Rg"/>
          <w:b/>
          <w:sz w:val="28"/>
          <w:szCs w:val="28"/>
        </w:rPr>
        <w:t xml:space="preserve">as a matter of priority to </w:t>
      </w:r>
      <w:r w:rsidR="006E7A39" w:rsidRPr="00E35A27">
        <w:rPr>
          <w:rFonts w:ascii="Proxima Nova Rg" w:hAnsi="Proxima Nova Rg"/>
          <w:b/>
          <w:sz w:val="28"/>
          <w:szCs w:val="28"/>
        </w:rPr>
        <w:t>explicitly prohibit corporal punishment of children, in all settings including the home</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60D59B79" w14:textId="653E606D" w:rsidR="001A05E8" w:rsidRPr="001A05E8" w:rsidRDefault="001A05E8" w:rsidP="001A05E8">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Pr>
          <w:rFonts w:ascii="Proxima Nova Rg" w:hAnsi="Proxima Nova Rg"/>
          <w:color w:val="1E3250"/>
        </w:rPr>
        <w:t>Mexico</w:t>
      </w:r>
      <w:r w:rsidR="0053743C" w:rsidRPr="00542E5B">
        <w:rPr>
          <w:rFonts w:ascii="Proxima Nova Rg" w:hAnsi="Proxima Nova Rg"/>
          <w:color w:val="1E3250"/>
        </w:rPr>
        <w:t>’s commitment to prohibiting corporal punishment</w:t>
      </w:r>
    </w:p>
    <w:p w14:paraId="013F393D" w14:textId="3D3333F8" w:rsidR="001A05E8" w:rsidRDefault="001A05E8" w:rsidP="0053743C">
      <w:pPr>
        <w:pBdr>
          <w:top w:val="single" w:sz="24" w:space="14" w:color="0096A3"/>
          <w:left w:val="single" w:sz="24" w:space="10" w:color="0096A3"/>
          <w:bottom w:val="single" w:sz="24" w:space="14" w:color="0096A3"/>
          <w:right w:val="single" w:sz="24" w:space="10" w:color="0096A3"/>
        </w:pBdr>
        <w:rPr>
          <w:rStyle w:val="normaltextrun"/>
          <w:rFonts w:ascii="Proxima Nova Rg" w:hAnsi="Proxima Nova Rg"/>
          <w:color w:val="000000"/>
          <w:shd w:val="clear" w:color="auto" w:fill="FFFFFF"/>
        </w:rPr>
      </w:pPr>
      <w:r>
        <w:rPr>
          <w:rStyle w:val="normaltextrun"/>
          <w:rFonts w:ascii="Proxima Nova Rg" w:hAnsi="Proxima Nova Rg"/>
          <w:color w:val="000000"/>
          <w:shd w:val="clear" w:color="auto" w:fill="FFFFFF"/>
        </w:rPr>
        <w:t>Mexico indicated its commitment to prohibiting corporal punishment when in 2011 the Government adopted the Central American Regional Roadmap on Violence against Children, which recommends full prohibition. Mexico’s commitment to prohibiting all corporal punishment of children was reaffirmed when it accepted recommendations to do so during its Universal Periodic Review of 2018. Bills have been introduced at federal and state levels to prohibit all corporal punishment of children. In December 2020, the General Law on the Rights of Children and Adolescents 2014 was amended to prohibit corporal punishment of children and adolescents in all settings. However, the Law will come into force only after it is adopted by all federal entities.</w:t>
      </w:r>
    </w:p>
    <w:p w14:paraId="6F47409B" w14:textId="65943196" w:rsidR="001A05E8" w:rsidRDefault="001A05E8" w:rsidP="0053743C">
      <w:pPr>
        <w:pBdr>
          <w:top w:val="single" w:sz="24" w:space="14" w:color="0096A3"/>
          <w:left w:val="single" w:sz="24" w:space="10" w:color="0096A3"/>
          <w:bottom w:val="single" w:sz="24" w:space="14" w:color="0096A3"/>
          <w:right w:val="single" w:sz="24" w:space="10" w:color="0096A3"/>
        </w:pBdr>
        <w:rPr>
          <w:rStyle w:val="eop"/>
          <w:rFonts w:ascii="Proxima Nova Rg" w:hAnsi="Proxima Nova Rg"/>
          <w:color w:val="000000"/>
          <w:shd w:val="clear" w:color="auto" w:fill="FFFFFF"/>
        </w:rPr>
      </w:pPr>
      <w:r>
        <w:rPr>
          <w:rStyle w:val="normaltextrun"/>
          <w:rFonts w:ascii="Proxima Nova Rg" w:hAnsi="Proxima Nova Rg"/>
          <w:color w:val="000000"/>
          <w:shd w:val="clear" w:color="auto" w:fill="FFFFFF"/>
        </w:rPr>
        <w:t> </w:t>
      </w:r>
      <w:r>
        <w:rPr>
          <w:rStyle w:val="eop"/>
          <w:rFonts w:ascii="Proxima Nova Rg" w:hAnsi="Proxima Nova Rg"/>
          <w:color w:val="000000"/>
          <w:shd w:val="clear" w:color="auto" w:fill="FFFFFF"/>
        </w:rPr>
        <w:t> </w:t>
      </w:r>
    </w:p>
    <w:p w14:paraId="6D64A1F7" w14:textId="77777777" w:rsidR="00D86650" w:rsidRPr="00542E5B" w:rsidRDefault="00D86650"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2D7FF2FF" w14:textId="77777777" w:rsidR="001A05E8" w:rsidRDefault="0053743C"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542E5B">
        <w:rPr>
          <w:rFonts w:ascii="Proxima Nova Rg" w:hAnsi="Proxima Nova Rg"/>
        </w:rPr>
        <w:t>Prohibition is still to be achieved in the hom</w:t>
      </w:r>
      <w:r w:rsidR="001A05E8">
        <w:rPr>
          <w:rFonts w:ascii="Proxima Nova Rg" w:hAnsi="Proxima Nova Rg"/>
        </w:rPr>
        <w:t>e, alternative care settings and day care</w:t>
      </w:r>
      <w:r w:rsidRPr="00542E5B">
        <w:rPr>
          <w:rFonts w:ascii="Proxima Nova Rg" w:hAnsi="Proxima Nova Rg"/>
        </w:rPr>
        <w:t xml:space="preserve">. </w:t>
      </w:r>
    </w:p>
    <w:p w14:paraId="48FDD7FF" w14:textId="289EB114" w:rsidR="0053743C" w:rsidRDefault="001A05E8"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r>
        <w:rPr>
          <w:rStyle w:val="normaltextrun"/>
          <w:rFonts w:ascii="Proxima Nova Rg" w:hAnsi="Proxima Nova Rg" w:cs="Segoe UI"/>
        </w:rPr>
        <w:t>Article 423 of the Federal Civil Code 1928 confirms the “right to correct” of persons with parental authority. This defence and similar provisions in state legislation should be repealed.</w:t>
      </w:r>
      <w:r w:rsidRPr="001A05E8">
        <w:rPr>
          <w:rStyle w:val="normaltextrun"/>
          <w:rFonts w:ascii="Proxima Nova Rg" w:hAnsi="Proxima Nova Rg" w:cs="Segoe UI"/>
        </w:rPr>
        <w:t xml:space="preserve"> </w:t>
      </w:r>
      <w:r>
        <w:rPr>
          <w:rStyle w:val="normaltextrun"/>
          <w:rFonts w:ascii="Proxima Nova Rg" w:hAnsi="Proxima Nova Rg" w:cs="Segoe UI"/>
        </w:rPr>
        <w:t>The near universal social acceptance of corporal punishment in childrearing necessitates clarity in law that no level of corporal punishment is acceptable. The law should prohibit all corporal punishment and other cruel or degrading forms of punishment, in the home and all other settings where adults have parental authority.</w:t>
      </w:r>
    </w:p>
    <w:p w14:paraId="1DFD094F" w14:textId="1712C4C2" w:rsidR="001A05E8" w:rsidRDefault="001A05E8"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r>
        <w:rPr>
          <w:rStyle w:val="normaltextrun"/>
          <w:rFonts w:ascii="Proxima Nova Rg" w:hAnsi="Proxima Nova Rg" w:cs="Segoe UI"/>
          <w:i/>
          <w:iCs/>
        </w:rPr>
        <w:t>Alternative care settings</w:t>
      </w:r>
      <w:r>
        <w:rPr>
          <w:rStyle w:val="normaltextrun"/>
          <w:rFonts w:ascii="Proxima Nova Rg" w:hAnsi="Proxima Nova Rg" w:cs="Segoe UI"/>
        </w:rPr>
        <w:t xml:space="preserve"> – Corporal punishment should be prohibited in all alternative care settings (foster care, institutions, places of safety, emergency care, etc.).</w:t>
      </w:r>
    </w:p>
    <w:p w14:paraId="643C3295" w14:textId="7E6468F6" w:rsidR="001A05E8" w:rsidRDefault="001A05E8" w:rsidP="0053743C">
      <w:pPr>
        <w:pBdr>
          <w:top w:val="single" w:sz="24" w:space="14" w:color="0096A3"/>
          <w:left w:val="single" w:sz="24" w:space="10" w:color="0096A3"/>
          <w:bottom w:val="single" w:sz="24" w:space="14" w:color="0096A3"/>
          <w:right w:val="single" w:sz="24" w:space="10" w:color="0096A3"/>
        </w:pBdr>
        <w:spacing w:before="120" w:after="120"/>
        <w:rPr>
          <w:rStyle w:val="normaltextrun"/>
          <w:rFonts w:ascii="Proxima Nova Rg" w:hAnsi="Proxima Nova Rg" w:cs="Segoe UI"/>
        </w:rPr>
      </w:pPr>
      <w:r>
        <w:rPr>
          <w:rStyle w:val="normaltextrun"/>
          <w:rFonts w:ascii="Proxima Nova Rg" w:hAnsi="Proxima Nova Rg" w:cs="Segoe UI"/>
          <w:i/>
          <w:iCs/>
        </w:rPr>
        <w:t>Day care</w:t>
      </w:r>
      <w:r>
        <w:rPr>
          <w:rStyle w:val="normaltextrun"/>
          <w:rFonts w:ascii="Proxima Nova Rg" w:hAnsi="Proxima Nova Rg" w:cs="Segoe UI"/>
        </w:rPr>
        <w:t xml:space="preserve"> – Corporal punishment should be prohibited in all early childhood care (nurseries, crèches, kindergartens, preschools, family centres, etc.</w:t>
      </w:r>
      <w:r w:rsidR="00D86650">
        <w:rPr>
          <w:rStyle w:val="normaltextrun"/>
          <w:rFonts w:ascii="Proxima Nova Rg" w:hAnsi="Proxima Nova Rg" w:cs="Segoe UI"/>
        </w:rPr>
        <w:t xml:space="preserve">) and </w:t>
      </w:r>
      <w:proofErr w:type="gramStart"/>
      <w:r w:rsidR="00D86650">
        <w:rPr>
          <w:rStyle w:val="normaltextrun"/>
          <w:rFonts w:ascii="Proxima Nova Rg" w:hAnsi="Proxima Nova Rg" w:cs="Segoe UI"/>
        </w:rPr>
        <w:t>all day</w:t>
      </w:r>
      <w:proofErr w:type="gramEnd"/>
      <w:r w:rsidR="00D86650">
        <w:rPr>
          <w:rStyle w:val="normaltextrun"/>
          <w:rFonts w:ascii="Proxima Nova Rg" w:hAnsi="Proxima Nova Rg" w:cs="Segoe UI"/>
        </w:rPr>
        <w:t xml:space="preserve"> care for older children (day centres, after-school childcare, childminding, etc.)</w:t>
      </w: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p w14:paraId="7005F77F" w14:textId="77777777" w:rsidR="00D86650" w:rsidRDefault="00D86650"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p w14:paraId="7456C2A8" w14:textId="3956B153" w:rsidR="00D86650" w:rsidRDefault="00D86650" w:rsidP="00D86650">
      <w:pPr>
        <w:pStyle w:val="BodyText1"/>
        <w:tabs>
          <w:tab w:val="left" w:pos="8244"/>
          <w:tab w:val="left" w:pos="9160"/>
          <w:tab w:val="left" w:pos="10076"/>
          <w:tab w:val="left" w:pos="10992"/>
          <w:tab w:val="left" w:pos="11908"/>
          <w:tab w:val="left" w:pos="12824"/>
          <w:tab w:val="left" w:pos="13740"/>
          <w:tab w:val="left" w:pos="14656"/>
        </w:tabs>
        <w:spacing w:after="120"/>
        <w:rPr>
          <w:rStyle w:val="eop"/>
          <w:rFonts w:ascii="Proxima Nova Rg" w:hAnsi="Proxima Nova Rg"/>
          <w:color w:val="000000"/>
          <w:sz w:val="22"/>
          <w:szCs w:val="22"/>
          <w:shd w:val="clear" w:color="auto" w:fill="FFFFFF"/>
        </w:rPr>
      </w:pPr>
      <w:r>
        <w:rPr>
          <w:rStyle w:val="normaltextrun"/>
          <w:rFonts w:ascii="Proxima Nova Rg" w:hAnsi="Proxima Nova Rg"/>
          <w:b/>
          <w:bCs/>
          <w:color w:val="000000"/>
          <w:sz w:val="22"/>
          <w:szCs w:val="22"/>
          <w:shd w:val="clear" w:color="auto" w:fill="FFFFFF"/>
        </w:rPr>
        <w:t>Note</w:t>
      </w:r>
      <w:r>
        <w:rPr>
          <w:rStyle w:val="normaltextrun"/>
          <w:rFonts w:ascii="Proxima Nova Rg" w:hAnsi="Proxima Nova Rg"/>
          <w:color w:val="000000"/>
          <w:sz w:val="22"/>
          <w:szCs w:val="22"/>
          <w:shd w:val="clear" w:color="auto" w:fill="FFFFFF"/>
        </w:rPr>
        <w:t>: Mexico is a federal republic consisting of 32 federal entities – 31 states and a Federal District, Mexico City, which is the seat of the federal Government. Each state is autonomous and has its own constitution.</w:t>
      </w:r>
      <w:r>
        <w:rPr>
          <w:rStyle w:val="eop"/>
          <w:rFonts w:ascii="Proxima Nova Rg" w:hAnsi="Proxima Nova Rg"/>
          <w:color w:val="000000"/>
          <w:sz w:val="22"/>
          <w:szCs w:val="22"/>
          <w:shd w:val="clear" w:color="auto" w:fill="FFFFFF"/>
        </w:rPr>
        <w:t> </w:t>
      </w:r>
    </w:p>
    <w:p w14:paraId="64D76EDF" w14:textId="77777777" w:rsidR="00D86650" w:rsidRPr="00E35A27" w:rsidRDefault="00D86650" w:rsidP="00D86650">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11BA9209" w14:textId="7B2E8818"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D86650">
        <w:rPr>
          <w:rFonts w:ascii="Proxima Nova Rg" w:hAnsi="Proxima Nova Rg" w:cstheme="minorHAnsi"/>
          <w:b/>
          <w:sz w:val="28"/>
          <w:szCs w:val="28"/>
        </w:rPr>
        <w:t>Mexico</w:t>
      </w:r>
    </w:p>
    <w:p w14:paraId="7174B519" w14:textId="59CCA706" w:rsidR="00D86650" w:rsidRPr="00D86650" w:rsidRDefault="00EE5054" w:rsidP="00D86650">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D86650" w:rsidRPr="00D86650">
        <w:rPr>
          <w:rStyle w:val="normaltextrun"/>
          <w:rFonts w:ascii="Proxima Nova Rg" w:hAnsi="Proxima Nova Rg"/>
          <w:color w:val="000000"/>
          <w:sz w:val="22"/>
          <w:szCs w:val="22"/>
          <w:shd w:val="clear" w:color="auto" w:fill="FFFFFF"/>
        </w:rPr>
        <w:t>The Government has signalled its commitment to prohibiting all corporal punishment of children. In 2009, the Government accepted recommendations to ensure that children are fully protected from corporal punishment made during the Universal Periodic Review (UPR).</w:t>
      </w:r>
      <w:r w:rsidR="00D86650">
        <w:rPr>
          <w:rStyle w:val="FootnoteReference"/>
          <w:rFonts w:ascii="Proxima Nova Rg" w:hAnsi="Proxima Nova Rg"/>
          <w:color w:val="000000"/>
          <w:sz w:val="22"/>
          <w:szCs w:val="22"/>
          <w:shd w:val="clear" w:color="auto" w:fill="FFFFFF"/>
        </w:rPr>
        <w:footnoteReference w:id="2"/>
      </w:r>
      <w:r w:rsidR="00D86650" w:rsidRPr="00D86650">
        <w:rPr>
          <w:rStyle w:val="normaltextrun"/>
          <w:rFonts w:ascii="Proxima Nova Rg" w:hAnsi="Proxima Nova Rg"/>
          <w:color w:val="000000"/>
          <w:sz w:val="22"/>
          <w:szCs w:val="22"/>
          <w:shd w:val="clear" w:color="auto" w:fill="FFFFFF"/>
        </w:rPr>
        <w:t xml:space="preserve"> At the second cycle UPR of Mexico in 2013, the Government noted its use of the Peaceful Resolution of Family Conflict Model as part of it System for the Comprehensive Development of the Family (SNDF)</w:t>
      </w:r>
      <w:r w:rsidR="00D86650">
        <w:rPr>
          <w:rStyle w:val="FootnoteReference"/>
          <w:rFonts w:ascii="Proxima Nova Rg" w:hAnsi="Proxima Nova Rg"/>
          <w:color w:val="000000"/>
          <w:sz w:val="22"/>
          <w:szCs w:val="22"/>
          <w:shd w:val="clear" w:color="auto" w:fill="FFFFFF"/>
        </w:rPr>
        <w:footnoteReference w:id="3"/>
      </w:r>
      <w:r w:rsidR="00D86650" w:rsidRPr="00D86650">
        <w:rPr>
          <w:rStyle w:val="normaltextrun"/>
          <w:rFonts w:ascii="Proxima Nova Rg" w:hAnsi="Proxima Nova Rg"/>
          <w:color w:val="000000"/>
          <w:sz w:val="22"/>
          <w:szCs w:val="22"/>
          <w:shd w:val="clear" w:color="auto" w:fill="FFFFFF"/>
        </w:rPr>
        <w:t xml:space="preserve"> but made no reference to law reform to prohibit all corporal punishment. In 2011, the Regional Roadmap on Violence against Children was adopted by the Central American Governments of Cuba, </w:t>
      </w:r>
      <w:proofErr w:type="gramStart"/>
      <w:r w:rsidR="00D86650" w:rsidRPr="00D86650">
        <w:rPr>
          <w:rStyle w:val="normaltextrun"/>
          <w:rFonts w:ascii="Proxima Nova Rg" w:hAnsi="Proxima Nova Rg"/>
          <w:color w:val="000000"/>
          <w:sz w:val="22"/>
          <w:szCs w:val="22"/>
          <w:shd w:val="clear" w:color="auto" w:fill="FFFFFF"/>
        </w:rPr>
        <w:t>Mexico</w:t>
      </w:r>
      <w:proofErr w:type="gramEnd"/>
      <w:r w:rsidR="00D86650" w:rsidRPr="00D86650">
        <w:rPr>
          <w:rStyle w:val="normaltextrun"/>
          <w:rFonts w:ascii="Proxima Nova Rg" w:hAnsi="Proxima Nova Rg"/>
          <w:color w:val="000000"/>
          <w:sz w:val="22"/>
          <w:szCs w:val="22"/>
          <w:shd w:val="clear" w:color="auto" w:fill="FFFFFF"/>
        </w:rPr>
        <w:t xml:space="preserve"> and the Dominican Republic: it includes a recommendation to adopt national legislation to explicitly prohibit all corporal punishment and to repeal provisions allowing for “moderate” punishment/correction.</w:t>
      </w:r>
      <w:r w:rsidR="00D86650">
        <w:rPr>
          <w:rStyle w:val="FootnoteReference"/>
          <w:rFonts w:ascii="Proxima Nova Rg" w:hAnsi="Proxima Nova Rg"/>
          <w:color w:val="000000"/>
          <w:sz w:val="22"/>
          <w:szCs w:val="22"/>
          <w:shd w:val="clear" w:color="auto" w:fill="FFFFFF"/>
        </w:rPr>
        <w:footnoteReference w:id="4"/>
      </w:r>
    </w:p>
    <w:p w14:paraId="6DB3F08B" w14:textId="3EB51892" w:rsidR="0053743C" w:rsidRPr="00935B2C" w:rsidRDefault="00D86650" w:rsidP="00935B2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935B2C">
        <w:rPr>
          <w:rStyle w:val="normaltextrun"/>
          <w:rFonts w:ascii="Proxima Nova Rg" w:hAnsi="Proxima Nova Rg"/>
          <w:color w:val="000000"/>
          <w:sz w:val="22"/>
          <w:szCs w:val="22"/>
          <w:shd w:val="clear" w:color="auto" w:fill="FFFFFF"/>
        </w:rPr>
        <w:t xml:space="preserve">Law reform to date has not yet achieved full prohibition across the country. </w:t>
      </w:r>
      <w:r w:rsidR="00935B2C" w:rsidRPr="00935B2C">
        <w:rPr>
          <w:rStyle w:val="normaltextrun"/>
          <w:rFonts w:ascii="Proxima Nova Rg" w:hAnsi="Proxima Nova Rg"/>
          <w:color w:val="000000"/>
          <w:sz w:val="22"/>
          <w:szCs w:val="22"/>
          <w:shd w:val="clear" w:color="auto" w:fill="FFFFFF"/>
          <w:lang w:val="en"/>
        </w:rPr>
        <w:t xml:space="preserve">In December 2020, </w:t>
      </w:r>
      <w:r w:rsidR="00935B2C" w:rsidRPr="00935B2C">
        <w:rPr>
          <w:rStyle w:val="normaltextrun"/>
          <w:rFonts w:ascii="Proxima Nova Rg" w:hAnsi="Proxima Nova Rg"/>
          <w:color w:val="000000"/>
          <w:sz w:val="22"/>
          <w:szCs w:val="22"/>
          <w:shd w:val="clear" w:color="auto" w:fill="FFFFFF"/>
        </w:rPr>
        <w:t>the General Law on the Rights of Children and Adolescents 2014 was amended to prohibit corporal punishment of children and adolescents in all settings. However, given that Mexico is a federal country, state congresses are now required to amend their local legislations to prohibit corporal and humiliating punishment. As of November 2023, 21 out of 32 states had local civil or family laws that prohibit the use of punishment against children or adolescents. The amended General Law on the Rights of Children and Adolescents will come into force only after the remaining 11 states have enacted laws prohibiting corporal punishment in all settings.</w:t>
      </w:r>
      <w:r w:rsidR="00935B2C" w:rsidRPr="00935B2C">
        <w:rPr>
          <w:rStyle w:val="eop"/>
          <w:rFonts w:ascii="Proxima Nova Rg" w:hAnsi="Proxima Nova Rg"/>
          <w:color w:val="000000"/>
          <w:sz w:val="22"/>
          <w:szCs w:val="22"/>
          <w:shd w:val="clear" w:color="auto" w:fill="FFFFFF"/>
        </w:rPr>
        <w:t> </w:t>
      </w:r>
      <w:r w:rsidR="0053743C" w:rsidRPr="00935B2C">
        <w:rPr>
          <w:rFonts w:ascii="Proxima Nova Rg" w:hAnsi="Proxima Nova Rg" w:cstheme="minorHAnsi"/>
          <w:sz w:val="22"/>
          <w:szCs w:val="22"/>
        </w:rPr>
        <w:t xml:space="preserve"> </w:t>
      </w:r>
    </w:p>
    <w:p w14:paraId="094F63B6" w14:textId="77777777" w:rsidR="003E745A" w:rsidRPr="003E745A" w:rsidRDefault="003E745A" w:rsidP="00F8547D">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p>
    <w:p w14:paraId="1951ACD1" w14:textId="4B485389" w:rsidR="00E35A27" w:rsidRPr="00935B2C" w:rsidRDefault="00016CB3"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935B2C" w:rsidRPr="00935B2C">
        <w:rPr>
          <w:rStyle w:val="normaltextrun"/>
          <w:rFonts w:ascii="Proxima Nova Rg" w:hAnsi="Proxima Nova Rg"/>
          <w:color w:val="000000"/>
          <w:sz w:val="22"/>
          <w:szCs w:val="22"/>
          <w:shd w:val="clear" w:color="auto" w:fill="FFFFFF"/>
        </w:rPr>
        <w:t>Corporal punishment is unlawful in institutional forms of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alternative care settings (e.g. private foster care arrangements) and that they are not undermined by the “right of correction” of those with parental authority (see under “Home”).</w:t>
      </w:r>
      <w:r w:rsidR="00935B2C" w:rsidRPr="00935B2C">
        <w:rPr>
          <w:rStyle w:val="eop"/>
          <w:rFonts w:ascii="Proxima Nova Rg" w:hAnsi="Proxima Nova Rg"/>
          <w:color w:val="000000"/>
          <w:sz w:val="22"/>
          <w:szCs w:val="22"/>
          <w:shd w:val="clear" w:color="auto" w:fill="FFFFFF"/>
        </w:rPr>
        <w:t> </w:t>
      </w:r>
    </w:p>
    <w:p w14:paraId="455903E2" w14:textId="7E1898CB" w:rsidR="00935B2C" w:rsidRPr="00935B2C" w:rsidRDefault="004A62CE"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Style w:val="eop"/>
          <w:rFonts w:ascii="Proxima Nova Rg" w:hAnsi="Proxima Nova Rg" w:cstheme="minorHAnsi"/>
          <w:sz w:val="22"/>
          <w:szCs w:val="22"/>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935B2C" w:rsidRPr="00935B2C">
        <w:rPr>
          <w:rStyle w:val="normaltextrun"/>
          <w:rFonts w:ascii="Proxima Nova Rg" w:hAnsi="Proxima Nova Rg" w:cs="Segoe UI"/>
          <w:sz w:val="22"/>
          <w:szCs w:val="22"/>
        </w:rPr>
        <w:t>Corporal punishment is unlawful in institutional day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day care arrangement (e.g. childminding) and that they are not undermined by the “right of correction” of those with parental authority (see under “Home”).</w:t>
      </w:r>
      <w:r w:rsidR="00935B2C" w:rsidRPr="00935B2C">
        <w:rPr>
          <w:rStyle w:val="eop"/>
          <w:rFonts w:ascii="Proxima Nova Rg" w:hAnsi="Proxima Nova Rg" w:cs="Segoe UI"/>
          <w:sz w:val="22"/>
          <w:szCs w:val="22"/>
        </w:rPr>
        <w:t> </w:t>
      </w:r>
    </w:p>
    <w:p w14:paraId="02F6C74D" w14:textId="77777777" w:rsidR="00935B2C" w:rsidRPr="00935B2C" w:rsidRDefault="00935B2C"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935B2C">
        <w:rPr>
          <w:rStyle w:val="normaltextrun"/>
          <w:rFonts w:ascii="Proxima Nova Rg" w:hAnsi="Proxima Nova Rg" w:cs="Segoe UI"/>
          <w:sz w:val="22"/>
          <w:szCs w:val="22"/>
        </w:rPr>
        <w:t>The Childcare Services Law 2011 states that providers of childcare services must “ensure the recognition of the dignity of children, the creation of the necessary conditions of respect, protection and full exercise of their rights” (art. 19, unofficial translation) but it does not explicitly prohibit corporal punishment.</w:t>
      </w:r>
    </w:p>
    <w:p w14:paraId="4D64E372"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6D3EEC62" w14:textId="61FBB485" w:rsidR="003E745A" w:rsidRPr="00935B2C" w:rsidRDefault="00EE5054"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bookmarkStart w:id="1" w:name="OLE_LINK44"/>
      <w:bookmarkStart w:id="2" w:name="OLE_LINK45"/>
      <w:r w:rsidR="00935B2C" w:rsidRPr="00935B2C">
        <w:rPr>
          <w:rStyle w:val="normaltextrun"/>
          <w:rFonts w:ascii="Proxima Nova Rg" w:hAnsi="Proxima Nova Rg"/>
          <w:color w:val="000000"/>
          <w:sz w:val="22"/>
          <w:szCs w:val="22"/>
          <w:shd w:val="clear" w:color="auto" w:fill="FFFFFF"/>
        </w:rPr>
        <w:t>Corporal punishment is unlawful in schools. Article 57 of the General Law on the Rights of Children and Adolescents 2014 states that authorities must establish mechanisms to prevent violence against children in schools, prepare protocols on school violence for staff and those exercising parental authority, ensure that “school discipline is administered in a manner compatible with human dignity, preventing the imposition of disciplinary measures that are not previously established, contrary to human dignity or threaten the life or physical or mental integrity of children and adolescents” and “eradicate discriminatory or exclusionary pedagogical practices that violate human dignity or integrity, especially humiliating and degrading treatment” (unofficial translation). It also refers to those exercising parental authority in education in relation to article 103 of the Law, which provides for the duty to create “an emotional, caring and non-violent environment”, to “protect against all forms of violence” and to “refrain from any attack on [children’s] physical and mental integrity”.</w:t>
      </w:r>
      <w:r w:rsidR="00935B2C" w:rsidRPr="00935B2C">
        <w:rPr>
          <w:rStyle w:val="eop"/>
          <w:rFonts w:ascii="Proxima Nova Rg" w:hAnsi="Proxima Nova Rg"/>
          <w:color w:val="000000"/>
          <w:sz w:val="22"/>
          <w:szCs w:val="22"/>
          <w:shd w:val="clear" w:color="auto" w:fill="FFFFFF"/>
        </w:rPr>
        <w:t> </w:t>
      </w:r>
    </w:p>
    <w:bookmarkEnd w:id="1"/>
    <w:bookmarkEnd w:id="2"/>
    <w:p w14:paraId="4AD8CDDA" w14:textId="7609F459" w:rsidR="00935B2C" w:rsidRPr="00935B2C" w:rsidRDefault="00935B2C"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Style w:val="eop"/>
          <w:rFonts w:ascii="Proxima Nova Rg" w:hAnsi="Proxima Nova Rg" w:cstheme="minorHAnsi"/>
          <w:sz w:val="22"/>
          <w:szCs w:val="22"/>
        </w:rPr>
      </w:pPr>
      <w:r w:rsidRPr="00935B2C">
        <w:rPr>
          <w:rStyle w:val="normaltextrun"/>
          <w:rFonts w:ascii="Proxima Nova Rg" w:hAnsi="Proxima Nova Rg"/>
          <w:color w:val="000000"/>
          <w:sz w:val="22"/>
          <w:szCs w:val="22"/>
          <w:shd w:val="clear" w:color="auto" w:fill="FFFFFF"/>
        </w:rPr>
        <w:t>Article 263(IX) of the National Law for a Comprehensive Juvenile Justice System 2016 puts an obligation on educational institutions to eliminate “severe disciplinary measures, in particular corporal punishment” (unofficial translation), as part of the social prevention of violence and crime.</w:t>
      </w:r>
      <w:r w:rsidRPr="00935B2C">
        <w:rPr>
          <w:rStyle w:val="eop"/>
          <w:rFonts w:ascii="Proxima Nova Rg" w:hAnsi="Proxima Nova Rg"/>
          <w:color w:val="000000"/>
          <w:sz w:val="22"/>
          <w:szCs w:val="22"/>
          <w:shd w:val="clear" w:color="auto" w:fill="FFFFFF"/>
        </w:rPr>
        <w:t> </w:t>
      </w:r>
    </w:p>
    <w:p w14:paraId="7E471F28" w14:textId="41EF8BEF" w:rsidR="00935B2C" w:rsidRPr="00035D65" w:rsidRDefault="00935B2C" w:rsidP="00935B2C">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Style w:val="eop"/>
          <w:rFonts w:ascii="Proxima Nova Rg" w:hAnsi="Proxima Nova Rg" w:cstheme="minorHAnsi"/>
          <w:sz w:val="22"/>
          <w:szCs w:val="22"/>
        </w:rPr>
      </w:pPr>
      <w:r w:rsidRPr="00935B2C">
        <w:rPr>
          <w:rStyle w:val="normaltextrun"/>
          <w:rFonts w:ascii="Proxima Nova Rg" w:hAnsi="Proxima Nova Rg"/>
          <w:color w:val="000000"/>
          <w:sz w:val="22"/>
          <w:szCs w:val="22"/>
          <w:shd w:val="clear" w:color="auto" w:fill="FFFFFF"/>
        </w:rPr>
        <w:t>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Similar provisions are found in state education laws (e.g. Hidalgo Law on Education 2011, Nayarit Law on Protection of the Rights of Children and Adolescents 2005, Michoacan de Ocampo Law on the Rights of Children and Adolescents 2011).</w:t>
      </w:r>
      <w:r w:rsidRPr="00935B2C">
        <w:rPr>
          <w:rStyle w:val="eop"/>
          <w:rFonts w:ascii="Proxima Nova Rg" w:hAnsi="Proxima Nova Rg"/>
          <w:color w:val="000000"/>
          <w:sz w:val="22"/>
          <w:szCs w:val="22"/>
          <w:shd w:val="clear" w:color="auto" w:fill="FFFFFF"/>
        </w:rPr>
        <w:t> </w:t>
      </w:r>
    </w:p>
    <w:p w14:paraId="25E3F806" w14:textId="77777777" w:rsidR="00035D65" w:rsidRPr="00935B2C" w:rsidRDefault="00035D65" w:rsidP="00035D65">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Style w:val="eop"/>
          <w:rFonts w:ascii="Proxima Nova Rg" w:hAnsi="Proxima Nova Rg" w:cstheme="minorHAnsi"/>
          <w:sz w:val="22"/>
          <w:szCs w:val="22"/>
        </w:rPr>
      </w:pPr>
    </w:p>
    <w:p w14:paraId="00F7A23B" w14:textId="3E6FBF56" w:rsidR="00035D65" w:rsidRPr="00035D65" w:rsidRDefault="00035D65" w:rsidP="00035D65">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035D65">
        <w:rPr>
          <w:rStyle w:val="eop"/>
          <w:rFonts w:ascii="Proxima Nova Rg" w:hAnsi="Proxima Nova Rg"/>
          <w:b/>
          <w:bCs/>
          <w:i/>
          <w:iCs/>
          <w:color w:val="000000"/>
          <w:shd w:val="clear" w:color="auto" w:fill="FFFFFF"/>
        </w:rPr>
        <w:t>Penal institutions</w:t>
      </w:r>
      <w:r>
        <w:rPr>
          <w:rStyle w:val="eop"/>
          <w:rFonts w:ascii="Proxima Nova Rg" w:hAnsi="Proxima Nova Rg"/>
          <w:color w:val="000000"/>
          <w:sz w:val="22"/>
          <w:szCs w:val="22"/>
          <w:shd w:val="clear" w:color="auto" w:fill="FFFFFF"/>
        </w:rPr>
        <w:t xml:space="preserve">: </w:t>
      </w:r>
      <w:r w:rsidRPr="00035D65">
        <w:rPr>
          <w:rStyle w:val="normaltextrun"/>
          <w:rFonts w:ascii="Proxima Nova Rg" w:hAnsi="Proxima Nova Rg" w:cs="Segoe UI"/>
          <w:sz w:val="22"/>
          <w:szCs w:val="22"/>
        </w:rPr>
        <w:t>Corporal punishment is unlawful as a disciplinary measure in penal institutions under the National Law for a Comprehensive Juvenile Justice System 2016, which repealed the federal Law for the Treatment of Juvenile Offenders 1991 as well as the provisions on juvenile justice in the various state laws. Article 15 of the Law explicitly prohibits “corporal punishment, imprisonment in a dark cell, and solitary confinement, as well as any other penalties or disciplinary measures contrary to the human rights of the adolescent person” (unofficial translation). Juveniles’ right to protection from corporal punishment and any “kind of measure that violates their rights or jeopardizes their physical or mental health” (unofficial translation) is also recognised in article 46(V).</w:t>
      </w:r>
      <w:r w:rsidRPr="00035D65">
        <w:rPr>
          <w:rStyle w:val="eop"/>
          <w:rFonts w:ascii="Proxima Nova Rg" w:hAnsi="Proxima Nova Rg" w:cs="Segoe UI"/>
          <w:sz w:val="22"/>
          <w:szCs w:val="22"/>
        </w:rPr>
        <w:t> </w:t>
      </w:r>
      <w:r>
        <w:rPr>
          <w:rStyle w:val="eop"/>
          <w:rFonts w:ascii="Proxima Nova Rg" w:hAnsi="Proxima Nova Rg" w:cs="Segoe UI"/>
          <w:sz w:val="22"/>
          <w:szCs w:val="22"/>
        </w:rPr>
        <w:t xml:space="preserve"> </w:t>
      </w:r>
      <w:r w:rsidRPr="00035D65">
        <w:rPr>
          <w:rStyle w:val="normaltextrun"/>
          <w:rFonts w:ascii="Proxima Nova Rg" w:hAnsi="Proxima Nova Rg" w:cs="Segoe UI"/>
          <w:sz w:val="22"/>
          <w:szCs w:val="22"/>
        </w:rPr>
        <w:t>The Federal Justice for Adolescents Act was promulgated in 2012 and c</w:t>
      </w:r>
      <w:r>
        <w:rPr>
          <w:rStyle w:val="normaltextrun"/>
          <w:rFonts w:ascii="Proxima Nova Rg" w:hAnsi="Proxima Nova Rg" w:cs="Segoe UI"/>
          <w:sz w:val="22"/>
          <w:szCs w:val="22"/>
        </w:rPr>
        <w:t xml:space="preserve">ame </w:t>
      </w:r>
      <w:r w:rsidRPr="00035D65">
        <w:rPr>
          <w:rStyle w:val="normaltextrun"/>
          <w:rFonts w:ascii="Proxima Nova Rg" w:hAnsi="Proxima Nova Rg" w:cs="Segoe UI"/>
          <w:sz w:val="22"/>
          <w:szCs w:val="22"/>
        </w:rPr>
        <w:t>into force in December 2014: it explicitly prohibits corporal punishment of children (art. 11). A new Code of Criminal Procedure was adopted in March 2014.</w:t>
      </w:r>
      <w:r w:rsidRPr="00035D65">
        <w:rPr>
          <w:rStyle w:val="eop"/>
          <w:rFonts w:ascii="Proxima Nova Rg" w:hAnsi="Proxima Nova Rg" w:cs="Segoe UI"/>
          <w:sz w:val="22"/>
          <w:szCs w:val="22"/>
        </w:rPr>
        <w:t> </w:t>
      </w:r>
    </w:p>
    <w:p w14:paraId="1AE2BC2D" w14:textId="77777777" w:rsidR="00C25807" w:rsidRPr="00E35A27" w:rsidRDefault="00C2580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6DAC1825" w14:textId="4D358BFB" w:rsidR="008549A7" w:rsidRPr="00035D65" w:rsidRDefault="00BB7DC3"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Style w:val="eop"/>
          <w:rFonts w:ascii="Proxima Nova Rg" w:hAnsi="Proxima Nova Rg" w:cstheme="minorHAnsi"/>
          <w:sz w:val="22"/>
          <w:szCs w:val="22"/>
        </w:rPr>
      </w:pPr>
      <w:r w:rsidRPr="00A36073">
        <w:rPr>
          <w:rFonts w:ascii="Proxima Nova Rg" w:hAnsi="Proxima Nova Rg" w:cstheme="minorHAnsi"/>
          <w:b/>
          <w:bCs/>
          <w:i/>
          <w:iCs/>
        </w:rPr>
        <w:t>Sentence for crime</w:t>
      </w:r>
      <w:r w:rsidR="00510BCC" w:rsidRPr="00A36073">
        <w:rPr>
          <w:rFonts w:ascii="Proxima Nova Rg" w:hAnsi="Proxima Nova Rg" w:cstheme="minorHAnsi"/>
          <w:b/>
          <w:bCs/>
          <w:i/>
          <w:iCs/>
        </w:rPr>
        <w:t>:</w:t>
      </w:r>
      <w:r w:rsidR="00510BCC" w:rsidRPr="00A36073">
        <w:rPr>
          <w:rFonts w:ascii="Proxima Nova Rg" w:hAnsi="Proxima Nova Rg" w:cstheme="minorHAnsi"/>
          <w:sz w:val="22"/>
          <w:szCs w:val="22"/>
        </w:rPr>
        <w:t xml:space="preserve"> </w:t>
      </w:r>
      <w:r w:rsidR="00035D65" w:rsidRPr="00035D65">
        <w:rPr>
          <w:rStyle w:val="normaltextrun"/>
          <w:rFonts w:ascii="Proxima Nova Rg" w:hAnsi="Proxima Nova Rg"/>
          <w:color w:val="000000"/>
          <w:sz w:val="22"/>
          <w:szCs w:val="22"/>
          <w:shd w:val="clear" w:color="auto" w:fill="FFFFFF"/>
        </w:rPr>
        <w:t>The federal Constitution 1917 explicitly prohibits corporal punishment (art. 22): “Punishment by mutilation and infamy, branding, flogging, beating with sticks, torture of any kind, excessive fines, confiscation of property and any other unusual or extreme penalties are prohibited.” There is no provision for judicial corporal punishment in federal or state criminal laws.</w:t>
      </w:r>
      <w:r w:rsidR="00035D65" w:rsidRPr="00035D65">
        <w:rPr>
          <w:rStyle w:val="eop"/>
          <w:rFonts w:ascii="Proxima Nova Rg" w:hAnsi="Proxima Nova Rg"/>
          <w:color w:val="000000"/>
          <w:sz w:val="22"/>
          <w:szCs w:val="22"/>
          <w:shd w:val="clear" w:color="auto" w:fill="FFFFFF"/>
        </w:rPr>
        <w:t> </w:t>
      </w:r>
    </w:p>
    <w:p w14:paraId="371B8B60" w14:textId="77777777" w:rsidR="00035D65" w:rsidRDefault="00035D65" w:rsidP="00035D65">
      <w:pPr>
        <w:pStyle w:val="ListParagraph"/>
        <w:rPr>
          <w:rFonts w:ascii="Proxima Nova Rg" w:hAnsi="Proxima Nova Rg" w:cstheme="minorHAnsi"/>
          <w:sz w:val="22"/>
          <w:szCs w:val="22"/>
        </w:rPr>
      </w:pPr>
    </w:p>
    <w:p w14:paraId="556E3915" w14:textId="77777777" w:rsidR="00035D65" w:rsidRPr="00035D65" w:rsidRDefault="00035D65" w:rsidP="00035D65">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sz w:val="22"/>
          <w:szCs w:val="22"/>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3" w:name="_Toc197483587"/>
      <w:r w:rsidRPr="00E35A27">
        <w:rPr>
          <w:rFonts w:ascii="Proxima Nova Rg" w:hAnsi="Proxima Nova Rg" w:cstheme="minorHAnsi"/>
          <w:sz w:val="28"/>
          <w:szCs w:val="28"/>
        </w:rPr>
        <w:t>Recommendations by human rights treaty bodies</w:t>
      </w:r>
      <w:bookmarkEnd w:id="3"/>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36C7710C" w14:textId="029C7684" w:rsidR="005254C8" w:rsidRPr="005254C8" w:rsidRDefault="00956A2B" w:rsidP="005254C8">
      <w:pPr>
        <w:pStyle w:val="ListParagraph"/>
        <w:numPr>
          <w:ilvl w:val="1"/>
          <w:numId w:val="18"/>
        </w:numPr>
        <w:spacing w:after="120"/>
        <w:ind w:left="360"/>
        <w:jc w:val="both"/>
        <w:rPr>
          <w:rFonts w:ascii="Proxima Nova Rg" w:hAnsi="Proxima Nova Rg" w:cstheme="minorHAnsi"/>
          <w:bCs/>
        </w:rPr>
      </w:pPr>
      <w:r w:rsidRPr="005254C8">
        <w:rPr>
          <w:rFonts w:ascii="Proxima Nova Rg" w:hAnsi="Proxima Nova Rg" w:cstheme="minorHAnsi"/>
          <w:b/>
          <w:bCs/>
          <w:i/>
        </w:rPr>
        <w:t>CRC</w:t>
      </w:r>
      <w:r w:rsidRPr="005254C8">
        <w:rPr>
          <w:rFonts w:ascii="Proxima Nova Rg" w:hAnsi="Proxima Nova Rg" w:cstheme="minorHAnsi"/>
          <w:bCs/>
        </w:rPr>
        <w:t xml:space="preserve">: </w:t>
      </w:r>
      <w:r w:rsidR="005254C8" w:rsidRPr="005254C8">
        <w:rPr>
          <w:rStyle w:val="normaltextrun"/>
          <w:rFonts w:ascii="Proxima Nova Rg" w:hAnsi="Proxima Nova Rg" w:cs="Calibri"/>
          <w:color w:val="000000"/>
          <w:sz w:val="22"/>
          <w:szCs w:val="22"/>
          <w:shd w:val="clear" w:color="auto" w:fill="FFFFFF"/>
        </w:rPr>
        <w:t>The Committee on the Rights of the Child has recommended to Mexico that corporal punishment of children be prohibited on four occasions – in concluding observations on the second report in 1999,</w:t>
      </w:r>
      <w:r w:rsidR="005254C8" w:rsidRPr="005254C8">
        <w:rPr>
          <w:rStyle w:val="FootnoteReference"/>
          <w:rFonts w:ascii="Proxima Nova Rg" w:hAnsi="Proxima Nova Rg"/>
          <w:color w:val="000000"/>
          <w:sz w:val="22"/>
          <w:szCs w:val="22"/>
          <w:shd w:val="clear" w:color="auto" w:fill="FFFFFF"/>
        </w:rPr>
        <w:footnoteReference w:id="5"/>
      </w:r>
      <w:r w:rsidR="005254C8" w:rsidRPr="005254C8">
        <w:rPr>
          <w:rStyle w:val="normaltextrun"/>
          <w:rFonts w:ascii="Proxima Nova Rg" w:hAnsi="Proxima Nova Rg" w:cs="Calibri"/>
          <w:color w:val="000000"/>
          <w:sz w:val="22"/>
          <w:szCs w:val="22"/>
          <w:shd w:val="clear" w:color="auto" w:fill="FFFFFF"/>
        </w:rPr>
        <w:t xml:space="preserve"> the third report in 2006,</w:t>
      </w:r>
      <w:r w:rsidR="005254C8" w:rsidRPr="005254C8">
        <w:rPr>
          <w:rStyle w:val="FootnoteReference"/>
          <w:rFonts w:ascii="Proxima Nova Rg" w:hAnsi="Proxima Nova Rg"/>
          <w:color w:val="000000"/>
          <w:sz w:val="22"/>
          <w:szCs w:val="22"/>
          <w:shd w:val="clear" w:color="auto" w:fill="FFFFFF"/>
        </w:rPr>
        <w:footnoteReference w:id="6"/>
      </w:r>
      <w:r w:rsidR="005254C8" w:rsidRPr="005254C8">
        <w:rPr>
          <w:rStyle w:val="normaltextrun"/>
          <w:rFonts w:ascii="Proxima Nova Rg" w:hAnsi="Proxima Nova Rg" w:cs="Calibri"/>
          <w:color w:val="000000"/>
          <w:sz w:val="22"/>
          <w:szCs w:val="22"/>
          <w:shd w:val="clear" w:color="auto" w:fill="FFFFFF"/>
        </w:rPr>
        <w:t xml:space="preserve"> the fourth/fifth report in 2015,</w:t>
      </w:r>
      <w:r w:rsidR="005254C8" w:rsidRPr="005254C8">
        <w:rPr>
          <w:rStyle w:val="FootnoteReference"/>
          <w:rFonts w:ascii="Proxima Nova Rg" w:hAnsi="Proxima Nova Rg"/>
          <w:color w:val="000000"/>
          <w:sz w:val="22"/>
          <w:szCs w:val="22"/>
          <w:shd w:val="clear" w:color="auto" w:fill="FFFFFF"/>
        </w:rPr>
        <w:footnoteReference w:id="7"/>
      </w:r>
      <w:r w:rsidR="005254C8" w:rsidRPr="005254C8">
        <w:rPr>
          <w:rStyle w:val="normaltextrun"/>
          <w:rFonts w:ascii="Proxima Nova Rg" w:hAnsi="Proxima Nova Rg" w:cs="Calibri"/>
          <w:color w:val="000000"/>
          <w:sz w:val="22"/>
          <w:szCs w:val="22"/>
          <w:shd w:val="clear" w:color="auto" w:fill="FFFFFF"/>
        </w:rPr>
        <w:t xml:space="preserve"> and in concluding observations on the initial report to OPAC in 2011.</w:t>
      </w:r>
      <w:r w:rsidR="005254C8" w:rsidRPr="005254C8">
        <w:rPr>
          <w:rStyle w:val="FootnoteReference"/>
          <w:rFonts w:ascii="Proxima Nova Rg" w:hAnsi="Proxima Nova Rg"/>
          <w:color w:val="000000"/>
          <w:sz w:val="22"/>
          <w:szCs w:val="22"/>
          <w:shd w:val="clear" w:color="auto" w:fill="FFFFFF"/>
        </w:rPr>
        <w:footnoteReference w:id="8"/>
      </w:r>
    </w:p>
    <w:p w14:paraId="747DA919" w14:textId="77777777" w:rsidR="00226B7E" w:rsidRPr="005254C8" w:rsidRDefault="00226B7E" w:rsidP="005254C8">
      <w:pPr>
        <w:jc w:val="both"/>
        <w:rPr>
          <w:rFonts w:ascii="Proxima Nova Rg" w:hAnsi="Proxima Nova Rg" w:cstheme="minorHAnsi"/>
          <w:bCs/>
        </w:rPr>
      </w:pPr>
    </w:p>
    <w:p w14:paraId="57D9B548" w14:textId="1DBBD576" w:rsidR="005254C8" w:rsidRPr="008735EF" w:rsidRDefault="00956A2B" w:rsidP="000C4C49">
      <w:pPr>
        <w:pStyle w:val="ListParagraph"/>
        <w:numPr>
          <w:ilvl w:val="1"/>
          <w:numId w:val="18"/>
        </w:numPr>
        <w:spacing w:after="60"/>
        <w:ind w:left="360"/>
        <w:jc w:val="both"/>
        <w:rPr>
          <w:rFonts w:ascii="Proxima Nova Rg" w:eastAsia="Calibri" w:hAnsi="Proxima Nova Rg" w:cstheme="minorHAnsi"/>
          <w:sz w:val="20"/>
          <w:szCs w:val="20"/>
          <w:lang w:val="en-US" w:eastAsia="en-GB"/>
        </w:rPr>
      </w:pPr>
      <w:r w:rsidRPr="00257FE2">
        <w:rPr>
          <w:rFonts w:ascii="Proxima Nova Rg" w:hAnsi="Proxima Nova Rg" w:cstheme="minorHAnsi"/>
          <w:b/>
          <w:bCs/>
          <w:i/>
        </w:rPr>
        <w:t>UPR:</w:t>
      </w:r>
      <w:r w:rsidRPr="00257FE2">
        <w:rPr>
          <w:rFonts w:ascii="Proxima Nova Rg" w:hAnsi="Proxima Nova Rg" w:cstheme="minorHAnsi"/>
          <w:b/>
          <w:bCs/>
        </w:rPr>
        <w:t xml:space="preserve"> </w:t>
      </w:r>
      <w:r w:rsidR="005254C8" w:rsidRPr="008735EF">
        <w:rPr>
          <w:rStyle w:val="normaltextrun"/>
          <w:rFonts w:ascii="Proxima Nova Rg" w:hAnsi="Proxima Nova Rg" w:cs="Calibri"/>
          <w:color w:val="000000"/>
          <w:sz w:val="22"/>
          <w:szCs w:val="22"/>
          <w:shd w:val="clear" w:color="auto" w:fill="FFFFFF"/>
        </w:rPr>
        <w:t>In 2009,</w:t>
      </w:r>
      <w:r w:rsidR="005254C8" w:rsidRPr="008735EF">
        <w:rPr>
          <w:rStyle w:val="normaltextrun"/>
          <w:rFonts w:ascii="Proxima Nova Rg" w:hAnsi="Proxima Nova Rg" w:cs="Calibri"/>
          <w:i/>
          <w:iCs/>
          <w:color w:val="000000"/>
          <w:sz w:val="22"/>
          <w:szCs w:val="22"/>
          <w:shd w:val="clear" w:color="auto" w:fill="FFFFFF"/>
        </w:rPr>
        <w:t xml:space="preserve"> </w:t>
      </w:r>
      <w:r w:rsidR="005254C8" w:rsidRPr="008735EF">
        <w:rPr>
          <w:rStyle w:val="normaltextrun"/>
          <w:rFonts w:ascii="Proxima Nova Rg" w:hAnsi="Proxima Nova Rg" w:cs="Calibri"/>
          <w:color w:val="000000"/>
          <w:sz w:val="22"/>
          <w:szCs w:val="22"/>
          <w:shd w:val="clear" w:color="auto" w:fill="FFFFFF"/>
        </w:rPr>
        <w:t>during</w:t>
      </w:r>
      <w:r w:rsidR="005254C8" w:rsidRPr="008735EF">
        <w:rPr>
          <w:rStyle w:val="normaltextrun"/>
          <w:rFonts w:ascii="Proxima Nova Rg" w:hAnsi="Proxima Nova Rg" w:cs="Calibri"/>
          <w:i/>
          <w:iCs/>
          <w:color w:val="000000"/>
          <w:sz w:val="22"/>
          <w:szCs w:val="22"/>
          <w:shd w:val="clear" w:color="auto" w:fill="FFFFFF"/>
        </w:rPr>
        <w:t xml:space="preserve"> </w:t>
      </w:r>
      <w:r w:rsidR="005254C8" w:rsidRPr="008735EF">
        <w:rPr>
          <w:rStyle w:val="normaltextrun"/>
          <w:rFonts w:ascii="Proxima Nova Rg" w:hAnsi="Proxima Nova Rg" w:cs="Calibri"/>
          <w:color w:val="000000"/>
          <w:sz w:val="22"/>
          <w:szCs w:val="22"/>
          <w:shd w:val="clear" w:color="auto" w:fill="FFFFFF"/>
        </w:rPr>
        <w:t>the first cycle of the</w:t>
      </w:r>
      <w:r w:rsidR="005254C8" w:rsidRPr="008735EF">
        <w:rPr>
          <w:rStyle w:val="normaltextrun"/>
          <w:rFonts w:ascii="Proxima Nova Rg" w:hAnsi="Proxima Nova Rg" w:cs="Calibri"/>
          <w:i/>
          <w:iCs/>
          <w:color w:val="000000"/>
          <w:sz w:val="22"/>
          <w:szCs w:val="22"/>
          <w:shd w:val="clear" w:color="auto" w:fill="FFFFFF"/>
        </w:rPr>
        <w:t xml:space="preserve"> </w:t>
      </w:r>
      <w:r w:rsidR="005254C8" w:rsidRPr="008735EF">
        <w:rPr>
          <w:rStyle w:val="normaltextrun"/>
          <w:rFonts w:ascii="Proxima Nova Rg" w:hAnsi="Proxima Nova Rg" w:cs="Calibri"/>
          <w:color w:val="000000"/>
          <w:sz w:val="22"/>
          <w:szCs w:val="22"/>
          <w:shd w:val="clear" w:color="auto" w:fill="FFFFFF"/>
        </w:rPr>
        <w:t>Universal Periodic Review,</w:t>
      </w:r>
      <w:r w:rsidR="005254C8" w:rsidRPr="008735EF">
        <w:rPr>
          <w:rStyle w:val="normaltextrun"/>
          <w:rFonts w:ascii="Proxima Nova Rg" w:hAnsi="Proxima Nova Rg" w:cs="Calibri"/>
          <w:i/>
          <w:iCs/>
          <w:color w:val="000000"/>
          <w:sz w:val="22"/>
          <w:szCs w:val="22"/>
          <w:shd w:val="clear" w:color="auto" w:fill="FFFFFF"/>
        </w:rPr>
        <w:t xml:space="preserve"> </w:t>
      </w:r>
      <w:r w:rsidR="005254C8" w:rsidRPr="008735EF">
        <w:rPr>
          <w:rStyle w:val="normaltextrun"/>
          <w:rFonts w:ascii="Proxima Nova Rg" w:hAnsi="Proxima Nova Rg" w:cs="Calibri"/>
          <w:color w:val="000000"/>
          <w:sz w:val="22"/>
          <w:szCs w:val="22"/>
          <w:shd w:val="clear" w:color="auto" w:fill="FFFFFF"/>
        </w:rPr>
        <w:t>Mexico accepted a recommendation to protect children from corporal punishment in 2009.</w:t>
      </w:r>
      <w:r w:rsidR="00B44F9F" w:rsidRPr="008735EF">
        <w:rPr>
          <w:rStyle w:val="FootnoteReference"/>
          <w:rFonts w:ascii="Proxima Nova Rg" w:hAnsi="Proxima Nova Rg"/>
          <w:color w:val="000000"/>
          <w:sz w:val="22"/>
          <w:szCs w:val="22"/>
          <w:shd w:val="clear" w:color="auto" w:fill="FFFFFF"/>
        </w:rPr>
        <w:footnoteReference w:id="9"/>
      </w:r>
      <w:r w:rsidR="005254C8" w:rsidRPr="008735EF">
        <w:rPr>
          <w:rStyle w:val="normaltextrun"/>
          <w:rFonts w:ascii="Proxima Nova Rg" w:hAnsi="Proxima Nova Rg" w:cs="Calibri"/>
          <w:color w:val="000000"/>
          <w:sz w:val="22"/>
          <w:szCs w:val="22"/>
          <w:shd w:val="clear" w:color="auto" w:fill="FFFFFF"/>
        </w:rPr>
        <w:t xml:space="preserve"> In the second cycle review in 2013, the Government accepted more general recommendations to ensure the protection of children’s rights.</w:t>
      </w:r>
      <w:r w:rsidR="00B44F9F" w:rsidRPr="008735EF">
        <w:rPr>
          <w:rStyle w:val="FootnoteReference"/>
          <w:rFonts w:ascii="Proxima Nova Rg" w:hAnsi="Proxima Nova Rg"/>
          <w:color w:val="000000"/>
          <w:sz w:val="22"/>
          <w:szCs w:val="22"/>
          <w:shd w:val="clear" w:color="auto" w:fill="FFFFFF"/>
        </w:rPr>
        <w:footnoteReference w:id="10"/>
      </w:r>
      <w:r w:rsidR="005254C8" w:rsidRPr="008735EF">
        <w:rPr>
          <w:rStyle w:val="normaltextrun"/>
          <w:rFonts w:ascii="Proxima Nova Rg" w:hAnsi="Proxima Nova Rg" w:cs="Calibri"/>
          <w:color w:val="000000"/>
          <w:sz w:val="22"/>
          <w:szCs w:val="22"/>
          <w:shd w:val="clear" w:color="auto" w:fill="FFFFFF"/>
        </w:rPr>
        <w:t xml:space="preserve"> During the third cycle examination in 2018, the Government received a recommendation to prohibit corporal punishment of children “in the General Act on the Rights of Children and Adolescents and the civil and family codes of the 32 federative entities” which it later accepted.</w:t>
      </w:r>
      <w:r w:rsidR="00B44F9F" w:rsidRPr="008735EF">
        <w:rPr>
          <w:rStyle w:val="FootnoteReference"/>
          <w:rFonts w:ascii="Proxima Nova Rg" w:hAnsi="Proxima Nova Rg"/>
          <w:color w:val="000000"/>
          <w:sz w:val="22"/>
          <w:szCs w:val="22"/>
          <w:shd w:val="clear" w:color="auto" w:fill="FFFFFF"/>
        </w:rPr>
        <w:footnoteReference w:id="11"/>
      </w:r>
    </w:p>
    <w:sectPr w:rsidR="005254C8" w:rsidRPr="008735EF" w:rsidSect="00BA270B">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019A8" w14:textId="77777777" w:rsidR="006E7641" w:rsidRDefault="006E7641" w:rsidP="00323C9D">
      <w:r>
        <w:separator/>
      </w:r>
    </w:p>
    <w:p w14:paraId="5BB52768" w14:textId="77777777" w:rsidR="006E7641" w:rsidRDefault="006E7641"/>
  </w:endnote>
  <w:endnote w:type="continuationSeparator" w:id="0">
    <w:p w14:paraId="0957C521" w14:textId="77777777" w:rsidR="006E7641" w:rsidRDefault="006E7641" w:rsidP="00323C9D">
      <w:r>
        <w:continuationSeparator/>
      </w:r>
    </w:p>
    <w:p w14:paraId="07323E2F" w14:textId="77777777" w:rsidR="006E7641" w:rsidRDefault="006E7641"/>
  </w:endnote>
  <w:endnote w:type="continuationNotice" w:id="1">
    <w:p w14:paraId="6294C60B" w14:textId="77777777" w:rsidR="006E7641" w:rsidRDefault="006E7641"/>
    <w:p w14:paraId="007E88D0" w14:textId="77777777" w:rsidR="006E7641" w:rsidRDefault="006E7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4D"/>
    <w:family w:val="auto"/>
    <w:pitch w:val="variable"/>
    <w:sig w:usb0="8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00"/>
    <w:family w:val="auto"/>
    <w:pitch w:val="variable"/>
    <w:sig w:usb0="A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1CE92" w14:textId="77777777" w:rsidR="006E7641" w:rsidRDefault="006E7641" w:rsidP="00323C9D">
      <w:r>
        <w:separator/>
      </w:r>
    </w:p>
    <w:p w14:paraId="167E9860" w14:textId="77777777" w:rsidR="006E7641" w:rsidRDefault="006E7641"/>
  </w:footnote>
  <w:footnote w:type="continuationSeparator" w:id="0">
    <w:p w14:paraId="008DA77A" w14:textId="77777777" w:rsidR="006E7641" w:rsidRDefault="006E7641" w:rsidP="00323C9D">
      <w:r>
        <w:continuationSeparator/>
      </w:r>
    </w:p>
    <w:p w14:paraId="555E9629" w14:textId="77777777" w:rsidR="006E7641" w:rsidRDefault="006E7641"/>
  </w:footnote>
  <w:footnote w:type="continuationNotice" w:id="1">
    <w:p w14:paraId="0B6E56C9" w14:textId="77777777" w:rsidR="006E7641" w:rsidRDefault="006E7641"/>
    <w:p w14:paraId="23041CC9" w14:textId="77777777" w:rsidR="006E7641" w:rsidRDefault="006E7641"/>
  </w:footnote>
  <w:footnote w:id="2">
    <w:p w14:paraId="7267A9CD" w14:textId="032700BA" w:rsidR="00D86650" w:rsidRPr="00D86650" w:rsidRDefault="00D86650">
      <w:pPr>
        <w:pStyle w:val="FootnoteText"/>
        <w:rPr>
          <w:lang w:val="en-US"/>
        </w:rPr>
      </w:pPr>
      <w:r>
        <w:rPr>
          <w:rStyle w:val="FootnoteReference"/>
        </w:rPr>
        <w:footnoteRef/>
      </w:r>
      <w:r>
        <w:t xml:space="preserve"> </w:t>
      </w:r>
      <w:r>
        <w:rPr>
          <w:rStyle w:val="normaltextrun"/>
          <w:rFonts w:ascii="Proxima Nova Rg" w:hAnsi="Proxima Nova Rg"/>
          <w:color w:val="000000"/>
          <w:sz w:val="18"/>
          <w:szCs w:val="18"/>
          <w:bdr w:val="none" w:sz="0" w:space="0" w:color="auto" w:frame="1"/>
        </w:rPr>
        <w:t>29 May 2009, A/HRC/11/27, Report of the working group, paras. 93(30)</w:t>
      </w:r>
    </w:p>
  </w:footnote>
  <w:footnote w:id="3">
    <w:p w14:paraId="554EC82E" w14:textId="70C7FD7D" w:rsidR="00D86650" w:rsidRPr="00D86650" w:rsidRDefault="00D86650">
      <w:pPr>
        <w:pStyle w:val="FootnoteText"/>
        <w:rPr>
          <w:lang w:val="en-US"/>
        </w:rPr>
      </w:pPr>
      <w:r>
        <w:rPr>
          <w:rStyle w:val="FootnoteReference"/>
        </w:rPr>
        <w:footnoteRef/>
      </w:r>
      <w:r>
        <w:t xml:space="preserve"> </w:t>
      </w:r>
      <w:r>
        <w:rPr>
          <w:rStyle w:val="normaltextrun"/>
          <w:rFonts w:ascii="Proxima Nova Rg" w:hAnsi="Proxima Nova Rg"/>
          <w:color w:val="000000"/>
          <w:sz w:val="18"/>
          <w:szCs w:val="18"/>
          <w:shd w:val="clear" w:color="auto" w:fill="FFFFFF"/>
        </w:rPr>
        <w:t>11 December 2013, A/HRC/25/7, Report of the working group, para. 142</w:t>
      </w:r>
      <w:r>
        <w:rPr>
          <w:rStyle w:val="eop"/>
          <w:rFonts w:ascii="Proxima Nova Rg" w:hAnsi="Proxima Nova Rg"/>
          <w:color w:val="000000"/>
          <w:sz w:val="18"/>
          <w:szCs w:val="18"/>
          <w:shd w:val="clear" w:color="auto" w:fill="FFFFFF"/>
        </w:rPr>
        <w:t> </w:t>
      </w:r>
    </w:p>
  </w:footnote>
  <w:footnote w:id="4">
    <w:p w14:paraId="1B3084A6" w14:textId="4A79BFB9" w:rsidR="00D86650" w:rsidRPr="00B44F9F" w:rsidRDefault="00D86650">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shd w:val="clear" w:color="auto" w:fill="FFFFFF"/>
        </w:rPr>
        <w:t>Regional Road Map on Violence against Children, adopted in 2011, 1 and 2 December in Santo Domingo, as a follow-up to the recommendations of the UN Study on Violence against Children, available at </w:t>
      </w:r>
      <w:hyperlink r:id="rId1" w:tgtFrame="_blank" w:history="1">
        <w:r w:rsidRPr="00B44F9F">
          <w:rPr>
            <w:rStyle w:val="normaltextrun"/>
            <w:rFonts w:ascii="Proxima Nova Rg" w:hAnsi="Proxima Nova Rg" w:cs="Segoe UI"/>
            <w:sz w:val="18"/>
            <w:szCs w:val="18"/>
            <w:u w:val="single"/>
            <w:shd w:val="clear" w:color="auto" w:fill="FFFFFF"/>
          </w:rPr>
          <w:t>http://srsg.violenceagainstchildren.org/sites/default/files/political_declarations/Hoja%20de%20Ruta%20Final%20EVCN%20Centroamericano%20Dic%202012.pdf</w:t>
        </w:r>
      </w:hyperlink>
      <w:r w:rsidRPr="00B44F9F">
        <w:rPr>
          <w:rStyle w:val="normaltextrun"/>
          <w:rFonts w:ascii="Proxima Nova Rg" w:hAnsi="Proxima Nova Rg"/>
          <w:color w:val="000000"/>
          <w:sz w:val="18"/>
          <w:szCs w:val="18"/>
          <w:shd w:val="clear" w:color="auto" w:fill="FFFFFF"/>
        </w:rPr>
        <w:t>, accessed 21 February 2015</w:t>
      </w:r>
    </w:p>
  </w:footnote>
  <w:footnote w:id="5">
    <w:p w14:paraId="12A31318" w14:textId="5C33BFC5" w:rsidR="005254C8" w:rsidRPr="00B44F9F" w:rsidRDefault="005254C8">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bdr w:val="none" w:sz="0" w:space="0" w:color="auto" w:frame="1"/>
        </w:rPr>
        <w:t>10 November 1999, CRC/C/15/Add.112, Concluding observations on second report, para. 25</w:t>
      </w:r>
    </w:p>
  </w:footnote>
  <w:footnote w:id="6">
    <w:p w14:paraId="046142CE" w14:textId="41E8160F" w:rsidR="005254C8" w:rsidRPr="00B44F9F" w:rsidRDefault="005254C8">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bdr w:val="none" w:sz="0" w:space="0" w:color="auto" w:frame="1"/>
        </w:rPr>
        <w:t>8 June 2006, CRC/C/MEX/CO/3, Concluding observations on third report, paras. 35, 36, 72 and 73</w:t>
      </w:r>
    </w:p>
  </w:footnote>
  <w:footnote w:id="7">
    <w:p w14:paraId="506139E1" w14:textId="79ED3124" w:rsidR="005254C8" w:rsidRPr="00B44F9F" w:rsidRDefault="005254C8">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bdr w:val="none" w:sz="0" w:space="0" w:color="auto" w:frame="1"/>
        </w:rPr>
        <w:t>8 June 2015, CRC/C/MEX/CO/4-5 Advance Unedited Version, Concluding observations on fourth/fifth report, paras. 31 and 32</w:t>
      </w:r>
    </w:p>
  </w:footnote>
  <w:footnote w:id="8">
    <w:p w14:paraId="559BFF32" w14:textId="77E00550" w:rsidR="005254C8" w:rsidRPr="00B44F9F" w:rsidRDefault="005254C8">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shd w:val="clear" w:color="auto" w:fill="FFFFFF"/>
        </w:rPr>
        <w:t>7 April 2011, CRC/C/OPAC/MEX/CO/1, Concluding observations on initial report (OPAC), para. 18</w:t>
      </w:r>
    </w:p>
  </w:footnote>
  <w:footnote w:id="9">
    <w:p w14:paraId="505F5BF8" w14:textId="5C3A8F37" w:rsidR="00B44F9F" w:rsidRPr="00B44F9F" w:rsidRDefault="00B44F9F">
      <w:pPr>
        <w:pStyle w:val="FootnoteText"/>
        <w:rPr>
          <w:rFonts w:ascii="Proxima Nova Rg" w:hAnsi="Proxima Nova Rg"/>
          <w:sz w:val="18"/>
          <w:szCs w:val="18"/>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bdr w:val="none" w:sz="0" w:space="0" w:color="auto" w:frame="1"/>
        </w:rPr>
        <w:t>29 May 2009, A/HRC/11/27, Report of the working group, para. 93(30)</w:t>
      </w:r>
    </w:p>
  </w:footnote>
  <w:footnote w:id="10">
    <w:p w14:paraId="2E6149B3" w14:textId="31B961E9" w:rsidR="00B44F9F" w:rsidRPr="00B44F9F" w:rsidRDefault="00B44F9F">
      <w:pPr>
        <w:pStyle w:val="FootnoteText"/>
        <w:rPr>
          <w:lang w:val="en-US"/>
        </w:rPr>
      </w:pPr>
      <w:r w:rsidRPr="00B44F9F">
        <w:rPr>
          <w:rStyle w:val="FootnoteReference"/>
          <w:rFonts w:ascii="Proxima Nova Rg" w:hAnsi="Proxima Nova Rg"/>
          <w:sz w:val="18"/>
          <w:szCs w:val="18"/>
        </w:rPr>
        <w:footnoteRef/>
      </w:r>
      <w:r w:rsidRPr="00B44F9F">
        <w:rPr>
          <w:rFonts w:ascii="Proxima Nova Rg" w:hAnsi="Proxima Nova Rg"/>
          <w:sz w:val="18"/>
          <w:szCs w:val="18"/>
        </w:rPr>
        <w:t xml:space="preserve"> </w:t>
      </w:r>
      <w:r w:rsidRPr="00B44F9F">
        <w:rPr>
          <w:rStyle w:val="normaltextrun"/>
          <w:rFonts w:ascii="Proxima Nova Rg" w:hAnsi="Proxima Nova Rg"/>
          <w:color w:val="000000"/>
          <w:sz w:val="18"/>
          <w:szCs w:val="18"/>
          <w:bdr w:val="none" w:sz="0" w:space="0" w:color="auto" w:frame="1"/>
        </w:rPr>
        <w:t>11 December 2013, A/HRC/25/7, Report of the working group, paras. 148(37), 148(41), 148(81) and 148(110); 14 March 2014, A/HRC/25/7/Add.1, Report of the working group: Addendum, paras. 16, 20, 33 and 42</w:t>
      </w:r>
    </w:p>
  </w:footnote>
  <w:footnote w:id="11">
    <w:p w14:paraId="415CD14E" w14:textId="6A9078D8" w:rsidR="00B44F9F" w:rsidRPr="00B44F9F" w:rsidRDefault="00B44F9F">
      <w:pPr>
        <w:pStyle w:val="FootnoteText"/>
        <w:rPr>
          <w:lang w:val="en-US"/>
        </w:rPr>
      </w:pPr>
      <w:r>
        <w:rPr>
          <w:rStyle w:val="FootnoteReference"/>
        </w:rPr>
        <w:footnoteRef/>
      </w:r>
      <w:r>
        <w:t xml:space="preserve"> </w:t>
      </w:r>
      <w:r>
        <w:rPr>
          <w:rStyle w:val="normaltextrun"/>
          <w:rFonts w:ascii="Proxima Nova Rg" w:hAnsi="Proxima Nova Rg"/>
          <w:color w:val="000000"/>
          <w:sz w:val="18"/>
          <w:szCs w:val="18"/>
          <w:bdr w:val="none" w:sz="0" w:space="0" w:color="auto" w:frame="1"/>
        </w:rPr>
        <w:t>12 February 2019, A/HRC/40/8/Add.1 Advance version, Report of the Working Group: 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56588743">
    <w:abstractNumId w:val="13"/>
  </w:num>
  <w:num w:numId="2" w16cid:durableId="1105616147">
    <w:abstractNumId w:val="8"/>
  </w:num>
  <w:num w:numId="3" w16cid:durableId="2037726468">
    <w:abstractNumId w:val="7"/>
  </w:num>
  <w:num w:numId="4" w16cid:durableId="342170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1704282">
    <w:abstractNumId w:val="14"/>
  </w:num>
  <w:num w:numId="6" w16cid:durableId="819469099">
    <w:abstractNumId w:val="0"/>
  </w:num>
  <w:num w:numId="7" w16cid:durableId="69277964">
    <w:abstractNumId w:val="4"/>
  </w:num>
  <w:num w:numId="8" w16cid:durableId="2017419164">
    <w:abstractNumId w:val="1"/>
  </w:num>
  <w:num w:numId="9" w16cid:durableId="268440076">
    <w:abstractNumId w:val="6"/>
  </w:num>
  <w:num w:numId="10" w16cid:durableId="2137333252">
    <w:abstractNumId w:val="2"/>
  </w:num>
  <w:num w:numId="11" w16cid:durableId="1559049171">
    <w:abstractNumId w:val="11"/>
  </w:num>
  <w:num w:numId="12" w16cid:durableId="169295052">
    <w:abstractNumId w:val="15"/>
  </w:num>
  <w:num w:numId="13" w16cid:durableId="1992101029">
    <w:abstractNumId w:val="17"/>
  </w:num>
  <w:num w:numId="14" w16cid:durableId="320234975">
    <w:abstractNumId w:val="18"/>
  </w:num>
  <w:num w:numId="15" w16cid:durableId="17314197">
    <w:abstractNumId w:val="9"/>
  </w:num>
  <w:num w:numId="16" w16cid:durableId="1281835542">
    <w:abstractNumId w:val="3"/>
  </w:num>
  <w:num w:numId="17" w16cid:durableId="1585217242">
    <w:abstractNumId w:val="12"/>
  </w:num>
  <w:num w:numId="18" w16cid:durableId="1537280107">
    <w:abstractNumId w:val="16"/>
  </w:num>
  <w:num w:numId="19" w16cid:durableId="2037345372">
    <w:abstractNumId w:val="5"/>
  </w:num>
  <w:num w:numId="20" w16cid:durableId="5743234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35D65"/>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5E8"/>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54C8"/>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641"/>
    <w:rsid w:val="006E7A39"/>
    <w:rsid w:val="006F0FB1"/>
    <w:rsid w:val="006F1AB7"/>
    <w:rsid w:val="006F2157"/>
    <w:rsid w:val="006F553D"/>
    <w:rsid w:val="00706843"/>
    <w:rsid w:val="007069FF"/>
    <w:rsid w:val="00707EFA"/>
    <w:rsid w:val="00712323"/>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735EF"/>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58B8"/>
    <w:rsid w:val="00935B2C"/>
    <w:rsid w:val="00951E40"/>
    <w:rsid w:val="009560D3"/>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4F9F"/>
    <w:rsid w:val="00B4688A"/>
    <w:rsid w:val="00B55607"/>
    <w:rsid w:val="00B612D8"/>
    <w:rsid w:val="00B64C3E"/>
    <w:rsid w:val="00B8659A"/>
    <w:rsid w:val="00B868B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65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1A05E8"/>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D86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356046">
      <w:bodyDiv w:val="1"/>
      <w:marLeft w:val="0"/>
      <w:marRight w:val="0"/>
      <w:marTop w:val="0"/>
      <w:marBottom w:val="0"/>
      <w:divBdr>
        <w:top w:val="none" w:sz="0" w:space="0" w:color="auto"/>
        <w:left w:val="none" w:sz="0" w:space="0" w:color="auto"/>
        <w:bottom w:val="none" w:sz="0" w:space="0" w:color="auto"/>
        <w:right w:val="none" w:sz="0" w:space="0" w:color="auto"/>
      </w:divBdr>
      <w:divsChild>
        <w:div w:id="32965346">
          <w:marLeft w:val="0"/>
          <w:marRight w:val="0"/>
          <w:marTop w:val="0"/>
          <w:marBottom w:val="0"/>
          <w:divBdr>
            <w:top w:val="none" w:sz="0" w:space="0" w:color="auto"/>
            <w:left w:val="none" w:sz="0" w:space="0" w:color="auto"/>
            <w:bottom w:val="none" w:sz="0" w:space="0" w:color="auto"/>
            <w:right w:val="none" w:sz="0" w:space="0" w:color="auto"/>
          </w:divBdr>
        </w:div>
        <w:div w:id="481430584">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501431704">
      <w:bodyDiv w:val="1"/>
      <w:marLeft w:val="0"/>
      <w:marRight w:val="0"/>
      <w:marTop w:val="0"/>
      <w:marBottom w:val="0"/>
      <w:divBdr>
        <w:top w:val="none" w:sz="0" w:space="0" w:color="auto"/>
        <w:left w:val="none" w:sz="0" w:space="0" w:color="auto"/>
        <w:bottom w:val="none" w:sz="0" w:space="0" w:color="auto"/>
        <w:right w:val="none" w:sz="0" w:space="0" w:color="auto"/>
      </w:divBdr>
      <w:divsChild>
        <w:div w:id="1482884522">
          <w:marLeft w:val="0"/>
          <w:marRight w:val="0"/>
          <w:marTop w:val="0"/>
          <w:marBottom w:val="0"/>
          <w:divBdr>
            <w:top w:val="none" w:sz="0" w:space="0" w:color="auto"/>
            <w:left w:val="none" w:sz="0" w:space="0" w:color="auto"/>
            <w:bottom w:val="none" w:sz="0" w:space="0" w:color="auto"/>
            <w:right w:val="none" w:sz="0" w:space="0" w:color="auto"/>
          </w:divBdr>
        </w:div>
        <w:div w:id="1710185588">
          <w:marLeft w:val="0"/>
          <w:marRight w:val="0"/>
          <w:marTop w:val="0"/>
          <w:marBottom w:val="0"/>
          <w:divBdr>
            <w:top w:val="none" w:sz="0" w:space="0" w:color="auto"/>
            <w:left w:val="none" w:sz="0" w:space="0" w:color="auto"/>
            <w:bottom w:val="none" w:sz="0" w:space="0" w:color="auto"/>
            <w:right w:val="none" w:sz="0" w:space="0" w:color="auto"/>
          </w:divBdr>
        </w:div>
        <w:div w:id="32774635">
          <w:marLeft w:val="0"/>
          <w:marRight w:val="0"/>
          <w:marTop w:val="0"/>
          <w:marBottom w:val="0"/>
          <w:divBdr>
            <w:top w:val="none" w:sz="0" w:space="0" w:color="auto"/>
            <w:left w:val="none" w:sz="0" w:space="0" w:color="auto"/>
            <w:bottom w:val="none" w:sz="0" w:space="0" w:color="auto"/>
            <w:right w:val="none" w:sz="0" w:space="0" w:color="auto"/>
          </w:divBdr>
        </w:div>
        <w:div w:id="1495998365">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 w:id="2132704864">
      <w:bodyDiv w:val="1"/>
      <w:marLeft w:val="0"/>
      <w:marRight w:val="0"/>
      <w:marTop w:val="0"/>
      <w:marBottom w:val="0"/>
      <w:divBdr>
        <w:top w:val="none" w:sz="0" w:space="0" w:color="auto"/>
        <w:left w:val="none" w:sz="0" w:space="0" w:color="auto"/>
        <w:bottom w:val="none" w:sz="0" w:space="0" w:color="auto"/>
        <w:right w:val="none" w:sz="0" w:space="0" w:color="auto"/>
      </w:divBdr>
      <w:divsChild>
        <w:div w:id="1578444634">
          <w:marLeft w:val="0"/>
          <w:marRight w:val="0"/>
          <w:marTop w:val="0"/>
          <w:marBottom w:val="0"/>
          <w:divBdr>
            <w:top w:val="none" w:sz="0" w:space="0" w:color="auto"/>
            <w:left w:val="none" w:sz="0" w:space="0" w:color="auto"/>
            <w:bottom w:val="none" w:sz="0" w:space="0" w:color="auto"/>
            <w:right w:val="none" w:sz="0" w:space="0" w:color="auto"/>
          </w:divBdr>
        </w:div>
        <w:div w:id="1207379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150C0F7A-4BCD-4629-B7D0-768A18063C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1714</Words>
  <Characters>9772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2023-12-07T08:46:00Z</dcterms:created>
  <dcterms:modified xsi:type="dcterms:W3CDTF">2023-12-07T08:46:00Z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