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A7DD1B3" w14:textId="7EC7407D" w:rsidR="007737F8" w:rsidRDefault="009E7F98">
      <w:pPr>
        <w:pStyle w:val="normal0"/>
        <w:jc w:val="both"/>
      </w:pPr>
      <w:r w:rsidRPr="007B4FBA">
        <w:rPr>
          <w:rFonts w:ascii="Times New Roman" w:eastAsia="Times New Roman" w:hAnsi="Times New Roman" w:cs="Times New Roman"/>
          <w:b/>
        </w:rPr>
        <w:t>COALICIÓN URUGUAYA DE ORGANIZACIONES DE LA SOCIEDAD CIVIL EN SEGUIMIENTO DE</w:t>
      </w:r>
      <w:r w:rsidR="00BF2399">
        <w:rPr>
          <w:rFonts w:ascii="Times New Roman" w:eastAsia="Times New Roman" w:hAnsi="Times New Roman" w:cs="Times New Roman"/>
          <w:b/>
        </w:rPr>
        <w:t>L</w:t>
      </w:r>
      <w:r w:rsidRPr="007B4FBA">
        <w:rPr>
          <w:rFonts w:ascii="Times New Roman" w:eastAsia="Times New Roman" w:hAnsi="Times New Roman" w:cs="Times New Roman"/>
          <w:b/>
        </w:rPr>
        <w:t xml:space="preserve"> </w:t>
      </w:r>
      <w:r w:rsidR="00BF2399">
        <w:rPr>
          <w:rFonts w:ascii="Times New Roman" w:eastAsia="Times New Roman" w:hAnsi="Times New Roman" w:cs="Times New Roman"/>
          <w:b/>
        </w:rPr>
        <w:t>PACTO DESC</w:t>
      </w:r>
      <w:r w:rsidR="001669AE">
        <w:rPr>
          <w:rFonts w:ascii="Times New Roman" w:eastAsia="Times New Roman" w:hAnsi="Times New Roman" w:cs="Times New Roman"/>
          <w:b/>
        </w:rPr>
        <w:t xml:space="preserve"> </w:t>
      </w:r>
      <w:r w:rsidR="001669AE">
        <w:rPr>
          <w:rStyle w:val="Refdenotaalpie"/>
          <w:rFonts w:ascii="Times New Roman" w:eastAsia="Times New Roman" w:hAnsi="Times New Roman" w:cs="Times New Roman"/>
          <w:b/>
        </w:rPr>
        <w:footnoteReference w:id="1"/>
      </w:r>
    </w:p>
    <w:p w14:paraId="77E2B80F" w14:textId="77777777" w:rsidR="007737F8" w:rsidRDefault="007737F8">
      <w:pPr>
        <w:pStyle w:val="normal0"/>
        <w:jc w:val="both"/>
      </w:pPr>
    </w:p>
    <w:p w14:paraId="4FBC1734" w14:textId="6A8D0B7C" w:rsidR="007737F8" w:rsidRDefault="009E7F98">
      <w:pPr>
        <w:pStyle w:val="normal0"/>
        <w:jc w:val="both"/>
      </w:pPr>
      <w:r>
        <w:rPr>
          <w:rFonts w:ascii="Times New Roman" w:eastAsia="Times New Roman" w:hAnsi="Times New Roman" w:cs="Times New Roman"/>
        </w:rPr>
        <w:t xml:space="preserve">Teniendo en cuenta que Uruguay será examinado por este Comité en </w:t>
      </w:r>
      <w:r w:rsidR="00BF2399">
        <w:rPr>
          <w:rFonts w:ascii="Times New Roman" w:eastAsia="Times New Roman" w:hAnsi="Times New Roman" w:cs="Times New Roman"/>
        </w:rPr>
        <w:t>mayo</w:t>
      </w:r>
      <w:r>
        <w:rPr>
          <w:rFonts w:ascii="Times New Roman" w:eastAsia="Times New Roman" w:hAnsi="Times New Roman" w:cs="Times New Roman"/>
        </w:rPr>
        <w:t xml:space="preserve"> de 201</w:t>
      </w:r>
      <w:r w:rsidR="00BF2399">
        <w:rPr>
          <w:rFonts w:ascii="Times New Roman" w:eastAsia="Times New Roman" w:hAnsi="Times New Roman" w:cs="Times New Roman"/>
        </w:rPr>
        <w:t>7</w:t>
      </w:r>
      <w:r>
        <w:rPr>
          <w:rFonts w:ascii="Times New Roman" w:eastAsia="Times New Roman" w:hAnsi="Times New Roman" w:cs="Times New Roman"/>
        </w:rPr>
        <w:t xml:space="preserve">, y en preparación de un Informe Sombra, señalamos temas relevantes, vinculados al cumplimiento del estado uruguayo con </w:t>
      </w:r>
      <w:r w:rsidR="00BF2399">
        <w:rPr>
          <w:rFonts w:ascii="Times New Roman" w:eastAsia="Times New Roman" w:hAnsi="Times New Roman" w:cs="Times New Roman"/>
        </w:rPr>
        <w:t>el Pacto Internacional de Derechos Económi</w:t>
      </w:r>
      <w:r w:rsidR="00914CEC">
        <w:rPr>
          <w:rFonts w:ascii="Times New Roman" w:eastAsia="Times New Roman" w:hAnsi="Times New Roman" w:cs="Times New Roman"/>
        </w:rPr>
        <w:t>cos</w:t>
      </w:r>
      <w:r w:rsidR="00BF2399">
        <w:rPr>
          <w:rFonts w:ascii="Times New Roman" w:eastAsia="Times New Roman" w:hAnsi="Times New Roman" w:cs="Times New Roman"/>
        </w:rPr>
        <w:t>, Sociales y Culturales</w:t>
      </w:r>
      <w:r>
        <w:rPr>
          <w:rFonts w:ascii="Times New Roman" w:eastAsia="Times New Roman" w:hAnsi="Times New Roman" w:cs="Times New Roman"/>
        </w:rPr>
        <w:t>, las Recomendaciones Generales y las Recomendaciones de este Comité a Uruguay en 201</w:t>
      </w:r>
      <w:r w:rsidR="00066F8A">
        <w:rPr>
          <w:rFonts w:ascii="Times New Roman" w:eastAsia="Times New Roman" w:hAnsi="Times New Roman" w:cs="Times New Roman"/>
        </w:rPr>
        <w:t>0</w:t>
      </w:r>
      <w:r>
        <w:rPr>
          <w:rFonts w:ascii="Times New Roman" w:eastAsia="Times New Roman" w:hAnsi="Times New Roman" w:cs="Times New Roman"/>
        </w:rPr>
        <w:t>, desde una perspectiva de género, diversidad religiosa, orientación sexual e identidad de género.</w:t>
      </w:r>
    </w:p>
    <w:p w14:paraId="7DD2F430" w14:textId="77777777" w:rsidR="007737F8" w:rsidRDefault="009E7F98">
      <w:pPr>
        <w:pStyle w:val="normal0"/>
        <w:jc w:val="both"/>
      </w:pPr>
      <w:r>
        <w:rPr>
          <w:rFonts w:ascii="Times New Roman" w:eastAsia="Times New Roman" w:hAnsi="Times New Roman" w:cs="Times New Roman"/>
        </w:rPr>
        <w:t xml:space="preserve"> </w:t>
      </w:r>
    </w:p>
    <w:p w14:paraId="20EECE86" w14:textId="7937EC6B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El Estado uruguayo no ha </w:t>
      </w:r>
      <w:r w:rsidR="00066F8A">
        <w:rPr>
          <w:rFonts w:ascii="Times New Roman" w:eastAsia="Times New Roman" w:hAnsi="Times New Roman" w:cs="Times New Roman"/>
        </w:rPr>
        <w:t>incorporado</w:t>
      </w:r>
      <w:r>
        <w:rPr>
          <w:rFonts w:ascii="Times New Roman" w:eastAsia="Times New Roman" w:hAnsi="Times New Roman" w:cs="Times New Roman"/>
        </w:rPr>
        <w:t xml:space="preserve"> expresamente </w:t>
      </w:r>
      <w:r w:rsidR="00066F8A"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</w:rPr>
        <w:t>l</w:t>
      </w:r>
      <w:r w:rsidR="00066F8A">
        <w:rPr>
          <w:rFonts w:ascii="Times New Roman" w:eastAsia="Times New Roman" w:hAnsi="Times New Roman" w:cs="Times New Roman"/>
        </w:rPr>
        <w:t xml:space="preserve"> Pacto en la legislación nacional ni </w:t>
      </w:r>
      <w:r w:rsidR="00DB4BDB">
        <w:rPr>
          <w:rFonts w:ascii="Times New Roman" w:eastAsia="Times New Roman" w:hAnsi="Times New Roman" w:cs="Times New Roman"/>
        </w:rPr>
        <w:t>disposiciones legales suficientes</w:t>
      </w:r>
      <w:r w:rsidR="00066F8A">
        <w:rPr>
          <w:rFonts w:ascii="Times New Roman" w:eastAsia="Times New Roman" w:hAnsi="Times New Roman" w:cs="Times New Roman"/>
        </w:rPr>
        <w:t xml:space="preserve"> para asegurar su </w:t>
      </w:r>
      <w:proofErr w:type="spellStart"/>
      <w:r w:rsidR="00066F8A">
        <w:rPr>
          <w:rFonts w:ascii="Times New Roman" w:eastAsia="Times New Roman" w:hAnsi="Times New Roman" w:cs="Times New Roman"/>
        </w:rPr>
        <w:t>justiciabilidad</w:t>
      </w:r>
      <w:proofErr w:type="spellEnd"/>
      <w:r w:rsidR="00066F8A">
        <w:rPr>
          <w:rFonts w:ascii="Times New Roman" w:eastAsia="Times New Roman" w:hAnsi="Times New Roman" w:cs="Times New Roman"/>
        </w:rPr>
        <w:t xml:space="preserve"> (Recomendación 1 de ese Comité)</w:t>
      </w:r>
      <w:r w:rsidR="00642529">
        <w:rPr>
          <w:rFonts w:ascii="Times New Roman" w:eastAsia="Times New Roman" w:hAnsi="Times New Roman" w:cs="Times New Roman"/>
        </w:rPr>
        <w:t>, especialmente en relación a los arts. 3, 7, 9, 10.inc.3, 12 y 15 del Pacto.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475B28A" w14:textId="6B3A9D56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La Comisión Interinstitucional para el Seguimiento del Cumplimiento de las Recomendaciones de los Comités y Tratados tiene escaso o nulo funcionamiento</w:t>
      </w:r>
      <w:r w:rsidR="00066F8A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175CB5D" w14:textId="31D6D004" w:rsidR="00DB4BDB" w:rsidRDefault="00DB4BDB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La Encuesta Nacional de Prevalencia sobre Violencia Basada en Género y Generaciones de 2013</w:t>
      </w:r>
      <w:r w:rsidR="00BC0795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en relación a la violencia de pareja o ex pareja registra que 7 de cada 10 mujeres declaro haber sufrido violencia en algún momento de sus vidas</w:t>
      </w:r>
      <w:r w:rsidR="00307B03">
        <w:rPr>
          <w:rFonts w:ascii="Times New Roman" w:eastAsia="Times New Roman" w:hAnsi="Times New Roman" w:cs="Times New Roman"/>
        </w:rPr>
        <w:t xml:space="preserve">. </w:t>
      </w:r>
      <w:r w:rsidR="00A543E3">
        <w:rPr>
          <w:rFonts w:ascii="Times New Roman" w:eastAsia="Times New Roman" w:hAnsi="Times New Roman" w:cs="Times New Roman"/>
        </w:rPr>
        <w:t xml:space="preserve">Los esfuerzos del Estado destinados </w:t>
      </w:r>
      <w:r w:rsidR="00BC0795">
        <w:rPr>
          <w:rFonts w:ascii="Times New Roman" w:eastAsia="Times New Roman" w:hAnsi="Times New Roman" w:cs="Times New Roman"/>
        </w:rPr>
        <w:t xml:space="preserve">en </w:t>
      </w:r>
      <w:r w:rsidR="00E404E3">
        <w:rPr>
          <w:rFonts w:ascii="Times New Roman" w:eastAsia="Times New Roman" w:hAnsi="Times New Roman" w:cs="Times New Roman"/>
        </w:rPr>
        <w:t xml:space="preserve">mayor </w:t>
      </w:r>
      <w:r w:rsidR="00C01806">
        <w:rPr>
          <w:rFonts w:ascii="Times New Roman" w:eastAsia="Times New Roman" w:hAnsi="Times New Roman" w:cs="Times New Roman"/>
        </w:rPr>
        <w:t xml:space="preserve">medida </w:t>
      </w:r>
      <w:r w:rsidR="00A543E3">
        <w:rPr>
          <w:rFonts w:ascii="Times New Roman" w:eastAsia="Times New Roman" w:hAnsi="Times New Roman" w:cs="Times New Roman"/>
        </w:rPr>
        <w:t>a violencia doméstica, no ha</w:t>
      </w:r>
      <w:r w:rsidR="00BC0795">
        <w:rPr>
          <w:rFonts w:ascii="Times New Roman" w:eastAsia="Times New Roman" w:hAnsi="Times New Roman" w:cs="Times New Roman"/>
        </w:rPr>
        <w:t>n</w:t>
      </w:r>
      <w:r w:rsidR="00A543E3">
        <w:rPr>
          <w:rFonts w:ascii="Times New Roman" w:eastAsia="Times New Roman" w:hAnsi="Times New Roman" w:cs="Times New Roman"/>
        </w:rPr>
        <w:t xml:space="preserve"> logrado abatir el número de mujeres muertas por esa causa</w:t>
      </w:r>
      <w:r w:rsidR="002B2A34">
        <w:rPr>
          <w:rFonts w:ascii="Times New Roman" w:eastAsia="Times New Roman" w:hAnsi="Times New Roman" w:cs="Times New Roman"/>
        </w:rPr>
        <w:t>: 30 en 2015; 10 al 8/3/2016</w:t>
      </w:r>
      <w:r w:rsidR="002B2A34">
        <w:rPr>
          <w:rStyle w:val="Refdenotaalpie"/>
          <w:rFonts w:ascii="Times New Roman" w:eastAsia="Times New Roman" w:hAnsi="Times New Roman" w:cs="Times New Roman"/>
        </w:rPr>
        <w:footnoteReference w:id="2"/>
      </w:r>
      <w:r w:rsidR="00307B03">
        <w:rPr>
          <w:rFonts w:ascii="Times New Roman" w:eastAsia="Times New Roman" w:hAnsi="Times New Roman" w:cs="Times New Roman"/>
        </w:rPr>
        <w:t xml:space="preserve"> </w:t>
      </w:r>
      <w:r w:rsidR="00E404E3">
        <w:rPr>
          <w:rFonts w:ascii="Times New Roman" w:eastAsia="Times New Roman" w:hAnsi="Times New Roman" w:cs="Times New Roman"/>
        </w:rPr>
        <w:t>.</w:t>
      </w:r>
      <w:r w:rsidR="00E71B05">
        <w:rPr>
          <w:rFonts w:ascii="Times New Roman" w:eastAsia="Times New Roman" w:hAnsi="Times New Roman" w:cs="Times New Roman"/>
        </w:rPr>
        <w:t xml:space="preserve"> Preocupa la ausencia de soluciones efectivas para el acceso a vivienda y empleo de las mujeres en situación de violencia.</w:t>
      </w:r>
    </w:p>
    <w:p w14:paraId="6A6A011B" w14:textId="45F00654" w:rsidR="00E404E3" w:rsidRDefault="00E404E3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 existe normativa legal </w:t>
      </w:r>
      <w:r w:rsidR="00C01806">
        <w:rPr>
          <w:rFonts w:ascii="Times New Roman" w:eastAsia="Times New Roman" w:hAnsi="Times New Roman" w:cs="Times New Roman"/>
        </w:rPr>
        <w:t xml:space="preserve">en relación a </w:t>
      </w:r>
      <w:r>
        <w:rPr>
          <w:rFonts w:ascii="Times New Roman" w:eastAsia="Times New Roman" w:hAnsi="Times New Roman" w:cs="Times New Roman"/>
        </w:rPr>
        <w:t xml:space="preserve">nuevas formas de violencia contra las mujeres, </w:t>
      </w:r>
      <w:r w:rsidR="00A0379C">
        <w:rPr>
          <w:rFonts w:ascii="Times New Roman" w:eastAsia="Times New Roman" w:hAnsi="Times New Roman" w:cs="Times New Roman"/>
        </w:rPr>
        <w:t xml:space="preserve">entre otras, </w:t>
      </w:r>
      <w:r>
        <w:rPr>
          <w:rFonts w:ascii="Times New Roman" w:eastAsia="Times New Roman" w:hAnsi="Times New Roman" w:cs="Times New Roman"/>
        </w:rPr>
        <w:t xml:space="preserve">el acoso callejero, </w:t>
      </w:r>
      <w:r w:rsidR="00E275E6">
        <w:rPr>
          <w:rFonts w:ascii="Times New Roman" w:eastAsia="Times New Roman" w:hAnsi="Times New Roman" w:cs="Times New Roman"/>
        </w:rPr>
        <w:t xml:space="preserve">acoso moral en el trabajo, </w:t>
      </w:r>
      <w:r>
        <w:rPr>
          <w:rFonts w:ascii="Times New Roman" w:eastAsia="Times New Roman" w:hAnsi="Times New Roman" w:cs="Times New Roman"/>
        </w:rPr>
        <w:t>a través de las redes sociales, obstétrica, simbólica</w:t>
      </w:r>
      <w:r w:rsidR="00A0379C">
        <w:rPr>
          <w:rFonts w:ascii="Times New Roman" w:eastAsia="Times New Roman" w:hAnsi="Times New Roman" w:cs="Times New Roman"/>
        </w:rPr>
        <w:t xml:space="preserve">. </w:t>
      </w:r>
      <w:r w:rsidR="00E275E6">
        <w:rPr>
          <w:rFonts w:ascii="Times New Roman" w:eastAsia="Times New Roman" w:hAnsi="Times New Roman" w:cs="Times New Roman"/>
        </w:rPr>
        <w:t>Las mujeres que sufren acoso sexual en el trabajo enfrentan serios obstáculos como: falta de capacitación de operadores judiciales, falta de información</w:t>
      </w:r>
      <w:r w:rsidR="00AB13E4">
        <w:rPr>
          <w:rFonts w:ascii="Times New Roman" w:eastAsia="Times New Roman" w:hAnsi="Times New Roman" w:cs="Times New Roman"/>
        </w:rPr>
        <w:t xml:space="preserve"> sobre sus derechos</w:t>
      </w:r>
      <w:r w:rsidR="00E275E6">
        <w:rPr>
          <w:rFonts w:ascii="Times New Roman" w:eastAsia="Times New Roman" w:hAnsi="Times New Roman" w:cs="Times New Roman"/>
        </w:rPr>
        <w:t>, complejos procedimientos administrativos y judiciales, entre otras,</w:t>
      </w:r>
    </w:p>
    <w:p w14:paraId="7C340D55" w14:textId="77777777" w:rsidR="00B874AA" w:rsidRDefault="00E404E3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Las mujeres enfrentan obstáculos para la interrupción voluntaria del embarazo no penalizado en las circunstancias establecidas por Ley No 18.987, tales como: acceso a la información, calidad de prestaciones, uso abusivo de la objeción de conciencia por personal médico. </w:t>
      </w:r>
    </w:p>
    <w:p w14:paraId="4B6BD9C9" w14:textId="73F06418" w:rsidR="00E404E3" w:rsidRDefault="00E404E3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 registra una alta tasa de embarazo adolescente de un 16% sumado a la irrupción de embarazo infantil (10 a 14 años)</w:t>
      </w:r>
      <w:r w:rsidR="00A0379C">
        <w:rPr>
          <w:rFonts w:ascii="Times New Roman" w:eastAsia="Times New Roman" w:hAnsi="Times New Roman" w:cs="Times New Roman"/>
        </w:rPr>
        <w:t xml:space="preserve"> que alcanza a 160 niñas</w:t>
      </w:r>
      <w:r w:rsidR="00A0379C">
        <w:rPr>
          <w:rStyle w:val="Refdenotaalpie"/>
          <w:rFonts w:ascii="Times New Roman" w:eastAsia="Times New Roman" w:hAnsi="Times New Roman" w:cs="Times New Roman"/>
        </w:rPr>
        <w:footnoteReference w:id="3"/>
      </w:r>
      <w:r>
        <w:rPr>
          <w:rFonts w:ascii="Times New Roman" w:eastAsia="Times New Roman" w:hAnsi="Times New Roman" w:cs="Times New Roman"/>
        </w:rPr>
        <w:t>.</w:t>
      </w:r>
    </w:p>
    <w:p w14:paraId="729450B4" w14:textId="3C0B041F" w:rsidR="00E404E3" w:rsidRDefault="00E404E3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Preocupa la ausencia de medidas para atender </w:t>
      </w:r>
      <w:r w:rsidR="00CB4E16">
        <w:rPr>
          <w:rFonts w:ascii="Times New Roman" w:eastAsia="Times New Roman" w:hAnsi="Times New Roman" w:cs="Times New Roman"/>
        </w:rPr>
        <w:t xml:space="preserve">las especificidades de mujeres, </w:t>
      </w:r>
      <w:r w:rsidR="00914CEC">
        <w:rPr>
          <w:rFonts w:ascii="Times New Roman" w:eastAsia="Times New Roman" w:hAnsi="Times New Roman" w:cs="Times New Roman"/>
        </w:rPr>
        <w:t xml:space="preserve">y </w:t>
      </w:r>
      <w:r w:rsidR="00CB4E16">
        <w:rPr>
          <w:rFonts w:ascii="Times New Roman" w:eastAsia="Times New Roman" w:hAnsi="Times New Roman" w:cs="Times New Roman"/>
        </w:rPr>
        <w:t xml:space="preserve">adolescentes </w:t>
      </w:r>
      <w:proofErr w:type="spellStart"/>
      <w:r w:rsidR="00CB4E16">
        <w:rPr>
          <w:rFonts w:ascii="Times New Roman" w:eastAsia="Times New Roman" w:hAnsi="Times New Roman" w:cs="Times New Roman"/>
        </w:rPr>
        <w:t>afrouruguayas</w:t>
      </w:r>
      <w:proofErr w:type="spellEnd"/>
      <w:r w:rsidR="00BC77C9">
        <w:rPr>
          <w:rFonts w:ascii="Times New Roman" w:eastAsia="Times New Roman" w:hAnsi="Times New Roman" w:cs="Times New Roman"/>
        </w:rPr>
        <w:t xml:space="preserve"> en el acceso a salud</w:t>
      </w:r>
      <w:r w:rsidR="00CB4E16">
        <w:rPr>
          <w:rFonts w:ascii="Times New Roman" w:eastAsia="Times New Roman" w:hAnsi="Times New Roman" w:cs="Times New Roman"/>
        </w:rPr>
        <w:t>.</w:t>
      </w:r>
    </w:p>
    <w:p w14:paraId="02B6FD62" w14:textId="6AF0A2DF" w:rsidR="001E2CE8" w:rsidRDefault="001E2CE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Las desigualdades en menoscabo de los derechos de las mujeres se profundiza respecto de mujeres rurales, </w:t>
      </w:r>
      <w:r w:rsidR="0033424B">
        <w:rPr>
          <w:rFonts w:ascii="Times New Roman" w:eastAsia="Times New Roman" w:hAnsi="Times New Roman" w:cs="Times New Roman"/>
        </w:rPr>
        <w:t xml:space="preserve">con discapacidad, </w:t>
      </w:r>
      <w:r>
        <w:rPr>
          <w:rFonts w:ascii="Times New Roman" w:eastAsia="Times New Roman" w:hAnsi="Times New Roman" w:cs="Times New Roman"/>
        </w:rPr>
        <w:t xml:space="preserve">en prisión o con otras </w:t>
      </w:r>
      <w:proofErr w:type="spellStart"/>
      <w:r>
        <w:rPr>
          <w:rFonts w:ascii="Times New Roman" w:eastAsia="Times New Roman" w:hAnsi="Times New Roman" w:cs="Times New Roman"/>
        </w:rPr>
        <w:t>interseccionalidades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="00722645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como raza etnia.</w:t>
      </w:r>
    </w:p>
    <w:p w14:paraId="331D1834" w14:textId="1B8E0935" w:rsidR="008E20E6" w:rsidRDefault="003149B0" w:rsidP="008E20E6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Preocupa la ausencia de paridad de mujeres y hombres en la vida política y pública. La Ley No. 18476 y </w:t>
      </w:r>
      <w:r w:rsidR="00722645">
        <w:rPr>
          <w:rFonts w:ascii="Times New Roman" w:eastAsia="Times New Roman" w:hAnsi="Times New Roman" w:cs="Times New Roman"/>
        </w:rPr>
        <w:t xml:space="preserve">Ley </w:t>
      </w:r>
      <w:r>
        <w:rPr>
          <w:rFonts w:ascii="Times New Roman" w:eastAsia="Times New Roman" w:hAnsi="Times New Roman" w:cs="Times New Roman"/>
        </w:rPr>
        <w:t xml:space="preserve">No 18487, relativas a la participación equitativa de personas de uno y otro sexo en integración de órganos colectivos nacionales y departamentales y de dirección de los partidos políticos, fijó un </w:t>
      </w:r>
      <w:r>
        <w:rPr>
          <w:rFonts w:ascii="Times New Roman" w:eastAsia="Times New Roman" w:hAnsi="Times New Roman" w:cs="Times New Roman"/>
        </w:rPr>
        <w:lastRenderedPageBreak/>
        <w:t>límite temporal en las elecciones parlamentarias y departament</w:t>
      </w:r>
      <w:r w:rsidR="00722645">
        <w:rPr>
          <w:rFonts w:ascii="Times New Roman" w:eastAsia="Times New Roman" w:hAnsi="Times New Roman" w:cs="Times New Roman"/>
        </w:rPr>
        <w:t xml:space="preserve">ales nacionales de 2014 y 2015 </w:t>
      </w:r>
      <w:r>
        <w:rPr>
          <w:rFonts w:ascii="Times New Roman" w:eastAsia="Times New Roman" w:hAnsi="Times New Roman" w:cs="Times New Roman"/>
        </w:rPr>
        <w:t xml:space="preserve">por única vez, no así para las elecciones internas de partidos políticos, menoscabando la igualdad de mujeres en ámbitos de decisión. </w:t>
      </w:r>
      <w:r w:rsidR="008E20E6">
        <w:rPr>
          <w:rFonts w:ascii="Times New Roman" w:eastAsia="Times New Roman" w:hAnsi="Times New Roman" w:cs="Times New Roman"/>
        </w:rPr>
        <w:t xml:space="preserve">Persiste la </w:t>
      </w:r>
      <w:proofErr w:type="spellStart"/>
      <w:r w:rsidR="008E20E6">
        <w:rPr>
          <w:rFonts w:ascii="Times New Roman" w:eastAsia="Times New Roman" w:hAnsi="Times New Roman" w:cs="Times New Roman"/>
        </w:rPr>
        <w:t>subrepresentación</w:t>
      </w:r>
      <w:proofErr w:type="spellEnd"/>
      <w:r w:rsidR="008E20E6">
        <w:rPr>
          <w:rFonts w:ascii="Times New Roman" w:eastAsia="Times New Roman" w:hAnsi="Times New Roman" w:cs="Times New Roman"/>
        </w:rPr>
        <w:t xml:space="preserve"> de las personas </w:t>
      </w:r>
      <w:proofErr w:type="spellStart"/>
      <w:r w:rsidR="008E20E6">
        <w:rPr>
          <w:rFonts w:ascii="Times New Roman" w:eastAsia="Times New Roman" w:hAnsi="Times New Roman" w:cs="Times New Roman"/>
        </w:rPr>
        <w:t>afrodescendientes</w:t>
      </w:r>
      <w:proofErr w:type="spellEnd"/>
      <w:r w:rsidR="008E20E6">
        <w:rPr>
          <w:rFonts w:ascii="Times New Roman" w:eastAsia="Times New Roman" w:hAnsi="Times New Roman" w:cs="Times New Roman"/>
        </w:rPr>
        <w:t xml:space="preserve"> e indígenas en la vida política y pública. No se han adoptado medidas especiales para revertir esta situación.</w:t>
      </w:r>
    </w:p>
    <w:p w14:paraId="292A92C8" w14:textId="06B8E997" w:rsidR="003149B0" w:rsidRDefault="003149B0" w:rsidP="008E20E6">
      <w:pPr>
        <w:pStyle w:val="normal0"/>
        <w:ind w:left="720"/>
        <w:contextualSpacing/>
        <w:jc w:val="both"/>
        <w:rPr>
          <w:rFonts w:ascii="Times New Roman" w:eastAsia="Times New Roman" w:hAnsi="Times New Roman" w:cs="Times New Roman"/>
        </w:rPr>
      </w:pPr>
    </w:p>
    <w:p w14:paraId="324F1307" w14:textId="087808E7" w:rsidR="007737F8" w:rsidRDefault="00066F8A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Persisten</w:t>
      </w:r>
      <w:r w:rsidR="009E7F98">
        <w:rPr>
          <w:rFonts w:ascii="Times New Roman" w:eastAsia="Times New Roman" w:hAnsi="Times New Roman" w:cs="Times New Roman"/>
        </w:rPr>
        <w:t xml:space="preserve"> las formas de racismo religioso existentes en el país. El racismo religioso y las prácticas de intolerancia contra las religiones de origen africano, a través de medios de comunicación e Internet, la </w:t>
      </w:r>
      <w:proofErr w:type="spellStart"/>
      <w:r w:rsidR="009E7F98">
        <w:rPr>
          <w:rFonts w:ascii="Times New Roman" w:eastAsia="Times New Roman" w:hAnsi="Times New Roman" w:cs="Times New Roman"/>
        </w:rPr>
        <w:t>vandalización</w:t>
      </w:r>
      <w:proofErr w:type="spellEnd"/>
      <w:r w:rsidR="009E7F98">
        <w:rPr>
          <w:rFonts w:ascii="Times New Roman" w:eastAsia="Times New Roman" w:hAnsi="Times New Roman" w:cs="Times New Roman"/>
        </w:rPr>
        <w:t xml:space="preserve"> de sus monumentos y la agresión a sus profesantes </w:t>
      </w:r>
      <w:r w:rsidR="009E7F98" w:rsidRPr="007B4FBA">
        <w:rPr>
          <w:rFonts w:ascii="Times New Roman" w:eastAsia="Times New Roman" w:hAnsi="Times New Roman" w:cs="Times New Roman"/>
        </w:rPr>
        <w:t>menoscaban el derecho de las personas a la libertad religiosa.</w:t>
      </w:r>
    </w:p>
    <w:p w14:paraId="18A288A6" w14:textId="4220642D" w:rsidR="0033424B" w:rsidRPr="007B4FBA" w:rsidRDefault="0033424B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Persisten los estereotipos que subordinan a las mujeres colocándolas en tareas de cuidado según sus “habilidades naturales” para esas tareas.</w:t>
      </w:r>
    </w:p>
    <w:p w14:paraId="1E99C48B" w14:textId="3E13E261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Estado uruguayo aún no ha adoptado legislación específica en armonización con los artículos 2 y 4 de la Convención</w:t>
      </w:r>
      <w:r w:rsidR="00066F8A">
        <w:rPr>
          <w:rFonts w:ascii="Times New Roman" w:eastAsia="Times New Roman" w:hAnsi="Times New Roman" w:cs="Times New Roman"/>
        </w:rPr>
        <w:t xml:space="preserve"> CERD</w:t>
      </w:r>
      <w:r>
        <w:rPr>
          <w:rFonts w:ascii="Times New Roman" w:eastAsia="Times New Roman" w:hAnsi="Times New Roman" w:cs="Times New Roman"/>
        </w:rPr>
        <w:t xml:space="preserve">, ni con el Convenio No 169 de la OIT. Esto tiene especial impacto en las mujeres y personas LGBTI </w:t>
      </w:r>
      <w:proofErr w:type="spellStart"/>
      <w:r>
        <w:rPr>
          <w:rFonts w:ascii="Times New Roman" w:eastAsia="Times New Roman" w:hAnsi="Times New Roman" w:cs="Times New Roman"/>
        </w:rPr>
        <w:t>afrodescendientes</w:t>
      </w:r>
      <w:proofErr w:type="spellEnd"/>
      <w:r>
        <w:rPr>
          <w:rFonts w:ascii="Times New Roman" w:eastAsia="Times New Roman" w:hAnsi="Times New Roman" w:cs="Times New Roman"/>
        </w:rPr>
        <w:t xml:space="preserve"> e indígenas, afectadas por múltiples niveles de discriminación.</w:t>
      </w:r>
    </w:p>
    <w:p w14:paraId="0C15C98A" w14:textId="4A2A1189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El abatimiento de la pobreza no ha alcanzado a la población </w:t>
      </w:r>
      <w:proofErr w:type="spellStart"/>
      <w:r>
        <w:rPr>
          <w:rFonts w:ascii="Times New Roman" w:eastAsia="Times New Roman" w:hAnsi="Times New Roman" w:cs="Times New Roman"/>
        </w:rPr>
        <w:t>afrouruguaya</w:t>
      </w:r>
      <w:proofErr w:type="spellEnd"/>
      <w:r>
        <w:rPr>
          <w:rFonts w:ascii="Times New Roman" w:eastAsia="Times New Roman" w:hAnsi="Times New Roman" w:cs="Times New Roman"/>
        </w:rPr>
        <w:t xml:space="preserve"> y de ascendencia indígena. Un 12,7% viven en asentamientos ante un 4,2% de otra población. La pobreza es mayor respecto de las mujeres </w:t>
      </w:r>
      <w:proofErr w:type="spellStart"/>
      <w:r>
        <w:rPr>
          <w:rFonts w:ascii="Times New Roman" w:eastAsia="Times New Roman" w:hAnsi="Times New Roman" w:cs="Times New Roman"/>
        </w:rPr>
        <w:t>afrouruguayas</w:t>
      </w:r>
      <w:proofErr w:type="spellEnd"/>
      <w:r>
        <w:rPr>
          <w:rFonts w:ascii="Times New Roman" w:eastAsia="Times New Roman" w:hAnsi="Times New Roman" w:cs="Times New Roman"/>
        </w:rPr>
        <w:t xml:space="preserve">; 30 de cada 100 mujeres </w:t>
      </w:r>
      <w:proofErr w:type="spellStart"/>
      <w:r>
        <w:rPr>
          <w:rFonts w:ascii="Times New Roman" w:eastAsia="Times New Roman" w:hAnsi="Times New Roman" w:cs="Times New Roman"/>
        </w:rPr>
        <w:t>afrouruguayas</w:t>
      </w:r>
      <w:proofErr w:type="spellEnd"/>
      <w:r>
        <w:rPr>
          <w:rFonts w:ascii="Times New Roman" w:eastAsia="Times New Roman" w:hAnsi="Times New Roman" w:cs="Times New Roman"/>
        </w:rPr>
        <w:t xml:space="preserve"> son pobres, ante 12 de cada 100 en otras poblaciones e incluso respecto de los varones </w:t>
      </w:r>
      <w:proofErr w:type="spellStart"/>
      <w:r>
        <w:rPr>
          <w:rFonts w:ascii="Times New Roman" w:eastAsia="Times New Roman" w:hAnsi="Times New Roman" w:cs="Times New Roman"/>
        </w:rPr>
        <w:t>aforuruguayos</w:t>
      </w:r>
      <w:proofErr w:type="spellEnd"/>
      <w:r>
        <w:rPr>
          <w:rFonts w:ascii="Times New Roman" w:eastAsia="Times New Roman" w:hAnsi="Times New Roman" w:cs="Times New Roman"/>
        </w:rPr>
        <w:t>.</w:t>
      </w:r>
      <w:r w:rsidR="00F12D4F">
        <w:rPr>
          <w:rStyle w:val="Refdenotaalpie"/>
          <w:rFonts w:ascii="Times New Roman" w:eastAsia="Times New Roman" w:hAnsi="Times New Roman" w:cs="Times New Roman"/>
        </w:rPr>
        <w:footnoteReference w:id="4"/>
      </w:r>
      <w:r>
        <w:rPr>
          <w:rFonts w:ascii="Times New Roman" w:eastAsia="Times New Roman" w:hAnsi="Times New Roman" w:cs="Times New Roman"/>
        </w:rPr>
        <w:t xml:space="preserve"> Esa desventaja y su relación con la práctica </w:t>
      </w:r>
      <w:proofErr w:type="spellStart"/>
      <w:r>
        <w:rPr>
          <w:rFonts w:ascii="Times New Roman" w:eastAsia="Times New Roman" w:hAnsi="Times New Roman" w:cs="Times New Roman"/>
        </w:rPr>
        <w:t>afrorreligiosa</w:t>
      </w:r>
      <w:proofErr w:type="spellEnd"/>
      <w:r>
        <w:rPr>
          <w:rFonts w:ascii="Times New Roman" w:eastAsia="Times New Roman" w:hAnsi="Times New Roman" w:cs="Times New Roman"/>
        </w:rPr>
        <w:t xml:space="preserve">, alcanza a un 58,3% de practicantes </w:t>
      </w:r>
      <w:proofErr w:type="spellStart"/>
      <w:r>
        <w:rPr>
          <w:rFonts w:ascii="Times New Roman" w:eastAsia="Times New Roman" w:hAnsi="Times New Roman" w:cs="Times New Roman"/>
        </w:rPr>
        <w:t>afroumbandistas</w:t>
      </w:r>
      <w:proofErr w:type="spellEnd"/>
      <w:r>
        <w:rPr>
          <w:rFonts w:ascii="Times New Roman" w:eastAsia="Times New Roman" w:hAnsi="Times New Roman" w:cs="Times New Roman"/>
        </w:rPr>
        <w:t xml:space="preserve"> en sectores bajos. </w:t>
      </w:r>
    </w:p>
    <w:p w14:paraId="3AE159B9" w14:textId="33F77C33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Persisten las graves brechas en el acceso a la educación</w:t>
      </w:r>
      <w:r w:rsidR="00722645">
        <w:rPr>
          <w:rFonts w:ascii="Times New Roman" w:eastAsia="Times New Roman" w:hAnsi="Times New Roman" w:cs="Times New Roman"/>
        </w:rPr>
        <w:t>.</w:t>
      </w:r>
      <w:r w:rsidR="008E20E6">
        <w:rPr>
          <w:rFonts w:ascii="Times New Roman" w:eastAsia="Times New Roman" w:hAnsi="Times New Roman" w:cs="Times New Roman"/>
        </w:rPr>
        <w:t xml:space="preserve"> </w:t>
      </w:r>
      <w:r w:rsidR="00722645">
        <w:rPr>
          <w:rFonts w:ascii="Times New Roman" w:eastAsia="Times New Roman" w:hAnsi="Times New Roman" w:cs="Times New Roman"/>
        </w:rPr>
        <w:t>Persisten los obstáculos para</w:t>
      </w:r>
      <w:r w:rsidR="008E20E6">
        <w:rPr>
          <w:rFonts w:ascii="Times New Roman" w:eastAsia="Times New Roman" w:hAnsi="Times New Roman" w:cs="Times New Roman"/>
        </w:rPr>
        <w:t xml:space="preserve"> implemen</w:t>
      </w:r>
      <w:r w:rsidR="00722645">
        <w:rPr>
          <w:rFonts w:ascii="Times New Roman" w:eastAsia="Times New Roman" w:hAnsi="Times New Roman" w:cs="Times New Roman"/>
        </w:rPr>
        <w:t>tar en la práctica educación en derechos sexuales y derechos reproductivos.</w:t>
      </w:r>
      <w:r>
        <w:rPr>
          <w:rFonts w:ascii="Times New Roman" w:eastAsia="Times New Roman" w:hAnsi="Times New Roman" w:cs="Times New Roman"/>
        </w:rPr>
        <w:t xml:space="preserve"> </w:t>
      </w:r>
      <w:r w:rsidR="00066F8A">
        <w:rPr>
          <w:rFonts w:ascii="Times New Roman" w:eastAsia="Times New Roman" w:hAnsi="Times New Roman" w:cs="Times New Roman"/>
        </w:rPr>
        <w:t>A pesar que las mujeres egresadas de la Universidad de la República es de un 60%, las brechas de género en los ingresos por hora no ha sido significativamente revertida por la mayor participación laboral y mayor educación de las mujeres</w:t>
      </w:r>
      <w:r w:rsidR="00D7121A">
        <w:rPr>
          <w:rFonts w:ascii="Times New Roman" w:eastAsia="Times New Roman" w:hAnsi="Times New Roman" w:cs="Times New Roman"/>
        </w:rPr>
        <w:t xml:space="preserve"> con un 26,3% menos de ingresos para las mujeres</w:t>
      </w:r>
      <w:r w:rsidR="00066F8A">
        <w:rPr>
          <w:rFonts w:ascii="Times New Roman" w:eastAsia="Times New Roman" w:hAnsi="Times New Roman" w:cs="Times New Roman"/>
        </w:rPr>
        <w:t>.</w:t>
      </w:r>
      <w:r w:rsidR="00D9372E">
        <w:rPr>
          <w:rFonts w:ascii="Times New Roman" w:eastAsia="Times New Roman" w:hAnsi="Times New Roman" w:cs="Times New Roman"/>
        </w:rPr>
        <w:t xml:space="preserve"> Estas brechas se profundizan en relación a mujeres en situación de mayor vulnerabilidad por raza etnia, pobreza, territorio.</w:t>
      </w:r>
    </w:p>
    <w:p w14:paraId="723BD696" w14:textId="77777777" w:rsidR="007737F8" w:rsidRDefault="009E7F98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La tasa de desocupación de las mujeres </w:t>
      </w:r>
      <w:proofErr w:type="spellStart"/>
      <w:r>
        <w:rPr>
          <w:rFonts w:ascii="Times New Roman" w:eastAsia="Times New Roman" w:hAnsi="Times New Roman" w:cs="Times New Roman"/>
        </w:rPr>
        <w:t>afrouruguayas</w:t>
      </w:r>
      <w:proofErr w:type="spellEnd"/>
      <w:r>
        <w:rPr>
          <w:rFonts w:ascii="Times New Roman" w:eastAsia="Times New Roman" w:hAnsi="Times New Roman" w:cs="Times New Roman"/>
        </w:rPr>
        <w:t xml:space="preserve"> casi duplica la tasa de los varones </w:t>
      </w:r>
      <w:proofErr w:type="spellStart"/>
      <w:r>
        <w:rPr>
          <w:rFonts w:ascii="Times New Roman" w:eastAsia="Times New Roman" w:hAnsi="Times New Roman" w:cs="Times New Roman"/>
        </w:rPr>
        <w:t>afrouruguayos</w:t>
      </w:r>
      <w:proofErr w:type="spellEnd"/>
      <w:r>
        <w:rPr>
          <w:rFonts w:ascii="Times New Roman" w:eastAsia="Times New Roman" w:hAnsi="Times New Roman" w:cs="Times New Roman"/>
        </w:rPr>
        <w:t>. 42% de mujeres desocupadas ante 23% de varones. Las mujeres enfrentan obstáculos para articular tiempos de cuidado con tiempos de trabajo remunerado</w:t>
      </w:r>
      <w:r>
        <w:rPr>
          <w:rFonts w:ascii="Times New Roman" w:eastAsia="Times New Roman" w:hAnsi="Times New Roman" w:cs="Times New Roman"/>
          <w:vertAlign w:val="superscript"/>
        </w:rPr>
        <w:footnoteReference w:id="5"/>
      </w:r>
    </w:p>
    <w:p w14:paraId="683CF469" w14:textId="3864704B" w:rsidR="00B874AA" w:rsidRDefault="00B874AA">
      <w:pPr>
        <w:pStyle w:val="normal0"/>
        <w:numPr>
          <w:ilvl w:val="0"/>
          <w:numId w:val="1"/>
        </w:numPr>
        <w:ind w:hanging="36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Preocupa que el 50% de mujeres que se desempeñan en tareas de servicio doméstico y </w:t>
      </w:r>
      <w:r w:rsidR="00722645">
        <w:rPr>
          <w:rFonts w:ascii="Times New Roman" w:eastAsia="Times New Roman" w:hAnsi="Times New Roman" w:cs="Times New Roman"/>
        </w:rPr>
        <w:t xml:space="preserve">de </w:t>
      </w:r>
      <w:r>
        <w:rPr>
          <w:rFonts w:ascii="Times New Roman" w:eastAsia="Times New Roman" w:hAnsi="Times New Roman" w:cs="Times New Roman"/>
        </w:rPr>
        <w:t xml:space="preserve">cuidado, no han sido incorporadas al sistema de seguridad social. Del total de mujeres que ocupan ese sector, 12.6% son </w:t>
      </w:r>
      <w:proofErr w:type="spellStart"/>
      <w:r>
        <w:rPr>
          <w:rFonts w:ascii="Times New Roman" w:eastAsia="Times New Roman" w:hAnsi="Times New Roman" w:cs="Times New Roman"/>
        </w:rPr>
        <w:t>afrouruguayas</w:t>
      </w:r>
      <w:proofErr w:type="spellEnd"/>
      <w:r>
        <w:rPr>
          <w:rFonts w:ascii="Times New Roman" w:eastAsia="Times New Roman" w:hAnsi="Times New Roman" w:cs="Times New Roman"/>
        </w:rPr>
        <w:t>.</w:t>
      </w:r>
      <w:r>
        <w:rPr>
          <w:rStyle w:val="Refdenotaalpie"/>
          <w:rFonts w:ascii="Times New Roman" w:eastAsia="Times New Roman" w:hAnsi="Times New Roman" w:cs="Times New Roman"/>
        </w:rPr>
        <w:footnoteReference w:id="6"/>
      </w:r>
    </w:p>
    <w:p w14:paraId="2CEC78B4" w14:textId="77777777" w:rsidR="00B874AA" w:rsidRDefault="00B874AA" w:rsidP="00B874AA">
      <w:pPr>
        <w:pStyle w:val="normal0"/>
        <w:ind w:left="720"/>
        <w:contextualSpacing/>
        <w:jc w:val="both"/>
        <w:rPr>
          <w:rFonts w:ascii="Times New Roman" w:eastAsia="Times New Roman" w:hAnsi="Times New Roman" w:cs="Times New Roman"/>
        </w:rPr>
      </w:pPr>
    </w:p>
    <w:p w14:paraId="7CA42429" w14:textId="77777777" w:rsidR="007737F8" w:rsidRDefault="007737F8">
      <w:pPr>
        <w:pStyle w:val="normal0"/>
        <w:jc w:val="both"/>
      </w:pPr>
    </w:p>
    <w:p w14:paraId="400C39D9" w14:textId="77777777" w:rsidR="007737F8" w:rsidRDefault="007737F8">
      <w:pPr>
        <w:pStyle w:val="normal0"/>
        <w:jc w:val="both"/>
      </w:pPr>
    </w:p>
    <w:p w14:paraId="227CB501" w14:textId="6FF3E575" w:rsidR="007737F8" w:rsidRDefault="009E7F98" w:rsidP="00DF2454">
      <w:pPr>
        <w:pStyle w:val="normal0"/>
        <w:jc w:val="both"/>
        <w:rPr>
          <w:rFonts w:ascii="Times New Roman" w:eastAsia="Times New Roman" w:hAnsi="Times New Roman" w:cs="Times New Roman"/>
        </w:rPr>
      </w:pPr>
      <w:r>
        <w:br w:type="page"/>
      </w:r>
      <w:r w:rsidR="00DF2454">
        <w:lastRenderedPageBreak/>
        <w:t xml:space="preserve">        17.-  </w:t>
      </w:r>
      <w:r>
        <w:rPr>
          <w:rFonts w:ascii="Times New Roman" w:eastAsia="Times New Roman" w:hAnsi="Times New Roman" w:cs="Times New Roman"/>
        </w:rPr>
        <w:t xml:space="preserve">La ley No 19122 por la que se estableció una cuota de cupos laborales </w:t>
      </w:r>
      <w:r w:rsidR="00722645">
        <w:rPr>
          <w:rFonts w:ascii="Times New Roman" w:eastAsia="Times New Roman" w:hAnsi="Times New Roman" w:cs="Times New Roman"/>
        </w:rPr>
        <w:t xml:space="preserve">para </w:t>
      </w:r>
      <w:proofErr w:type="spellStart"/>
      <w:r w:rsidR="00722645">
        <w:rPr>
          <w:rFonts w:ascii="Times New Roman" w:eastAsia="Times New Roman" w:hAnsi="Times New Roman" w:cs="Times New Roman"/>
        </w:rPr>
        <w:t>afrodescendientes</w:t>
      </w:r>
      <w:proofErr w:type="spellEnd"/>
      <w:r w:rsidR="00722645"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no se implementa en la práctica debido – entre otras razones- a la falta de igualdad de oportunidades en el acceso a la educación de la población </w:t>
      </w:r>
      <w:proofErr w:type="spellStart"/>
      <w:r>
        <w:rPr>
          <w:rFonts w:ascii="Times New Roman" w:eastAsia="Times New Roman" w:hAnsi="Times New Roman" w:cs="Times New Roman"/>
        </w:rPr>
        <w:t>afrouruguaya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60672499" w14:textId="77777777" w:rsidR="00DF2454" w:rsidRPr="00DF2454" w:rsidRDefault="00DF2454" w:rsidP="00DF2454">
      <w:pPr>
        <w:pStyle w:val="normal0"/>
      </w:pPr>
    </w:p>
    <w:p w14:paraId="2538A1BC" w14:textId="7AB6BE93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18.- </w:t>
      </w:r>
      <w:r w:rsidR="00DB4BDB">
        <w:rPr>
          <w:rFonts w:ascii="Times New Roman" w:eastAsia="Times New Roman" w:hAnsi="Times New Roman" w:cs="Times New Roman"/>
        </w:rPr>
        <w:t>E</w:t>
      </w:r>
      <w:r w:rsidR="009E7F98">
        <w:rPr>
          <w:rFonts w:ascii="Times New Roman" w:eastAsia="Times New Roman" w:hAnsi="Times New Roman" w:cs="Times New Roman"/>
        </w:rPr>
        <w:t xml:space="preserve">xisten múltiples oficinas en el estado uruguayo sin programas, planes o estrategias interinstitucionales. Se carece de información sobre los presupuestos específicos y las evaluaciones periódicas de su funcionamiento. </w:t>
      </w:r>
    </w:p>
    <w:p w14:paraId="08A16FE2" w14:textId="4FB9FE05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19.- </w:t>
      </w:r>
      <w:r w:rsidR="00DB4BDB">
        <w:rPr>
          <w:rFonts w:ascii="Times New Roman" w:eastAsia="Times New Roman" w:hAnsi="Times New Roman" w:cs="Times New Roman"/>
        </w:rPr>
        <w:t>E</w:t>
      </w:r>
      <w:r w:rsidR="009E7F98">
        <w:rPr>
          <w:rFonts w:ascii="Times New Roman" w:eastAsia="Times New Roman" w:hAnsi="Times New Roman" w:cs="Times New Roman"/>
        </w:rPr>
        <w:t>l Código Penal vigente en Uruguay desde 1934 carece de perspectiva de género</w:t>
      </w:r>
      <w:r w:rsidR="00D7010F">
        <w:rPr>
          <w:rFonts w:ascii="Times New Roman" w:eastAsia="Times New Roman" w:hAnsi="Times New Roman" w:cs="Times New Roman"/>
        </w:rPr>
        <w:t>,</w:t>
      </w:r>
      <w:r w:rsidR="009E7F98">
        <w:rPr>
          <w:rFonts w:ascii="Times New Roman" w:eastAsia="Times New Roman" w:hAnsi="Times New Roman" w:cs="Times New Roman"/>
        </w:rPr>
        <w:t xml:space="preserve"> de dimensión étnico-racial y aún está pendiente su reforma.</w:t>
      </w:r>
    </w:p>
    <w:p w14:paraId="2BE20C75" w14:textId="76825CD0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20.- </w:t>
      </w:r>
      <w:r w:rsidR="00DB4BDB">
        <w:rPr>
          <w:rFonts w:ascii="Times New Roman" w:eastAsia="Times New Roman" w:hAnsi="Times New Roman" w:cs="Times New Roman"/>
        </w:rPr>
        <w:t>E</w:t>
      </w:r>
      <w:r w:rsidR="009E7F98">
        <w:rPr>
          <w:rFonts w:ascii="Times New Roman" w:eastAsia="Times New Roman" w:hAnsi="Times New Roman" w:cs="Times New Roman"/>
        </w:rPr>
        <w:t>l Plan Estratégico 2014 del Poder Judicial uruguayo incluyó la violencia basada en género, pero no así la dimensión étnico-racial. Los magistrados judiciales y fiscales no reciben capacitación sistemática basada en derechos humanos, género, orientación e identidad sexual etnia, raza, ni acerca de cómo detectar discriminación racial o étnica. Son inexistentes las condenas por discriminación racial.</w:t>
      </w:r>
      <w:r w:rsidR="003B6BE3">
        <w:rPr>
          <w:rStyle w:val="Refdenotaalpie"/>
          <w:rFonts w:ascii="Times New Roman" w:eastAsia="Times New Roman" w:hAnsi="Times New Roman" w:cs="Times New Roman"/>
        </w:rPr>
        <w:footnoteReference w:id="7"/>
      </w:r>
    </w:p>
    <w:p w14:paraId="1A049F2D" w14:textId="022F7EBE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21.- </w:t>
      </w:r>
      <w:r w:rsidR="009E7F98">
        <w:rPr>
          <w:rFonts w:ascii="Times New Roman" w:eastAsia="Times New Roman" w:hAnsi="Times New Roman" w:cs="Times New Roman"/>
        </w:rPr>
        <w:t xml:space="preserve">No existen estadísticas sobre mujeres </w:t>
      </w:r>
      <w:proofErr w:type="spellStart"/>
      <w:r w:rsidR="009E7F98">
        <w:rPr>
          <w:rFonts w:ascii="Times New Roman" w:eastAsia="Times New Roman" w:hAnsi="Times New Roman" w:cs="Times New Roman"/>
        </w:rPr>
        <w:t>afrodescendientes</w:t>
      </w:r>
      <w:proofErr w:type="spellEnd"/>
      <w:r w:rsidR="009E7F98">
        <w:rPr>
          <w:rFonts w:ascii="Times New Roman" w:eastAsia="Times New Roman" w:hAnsi="Times New Roman" w:cs="Times New Roman"/>
        </w:rPr>
        <w:t xml:space="preserve"> en prisión, lo que incluye su orientación sexual, identidad de género y religiosidad.</w:t>
      </w:r>
      <w:r w:rsidR="00EE4EF1">
        <w:rPr>
          <w:rStyle w:val="Refdenotaalpie"/>
          <w:rFonts w:ascii="Times New Roman" w:eastAsia="Times New Roman" w:hAnsi="Times New Roman" w:cs="Times New Roman"/>
        </w:rPr>
        <w:footnoteReference w:id="8"/>
      </w:r>
      <w:r w:rsidR="009E7F98">
        <w:rPr>
          <w:rFonts w:ascii="Times New Roman" w:eastAsia="Times New Roman" w:hAnsi="Times New Roman" w:cs="Times New Roman"/>
        </w:rPr>
        <w:t xml:space="preserve"> Dado el retroceso en las condiciones de vida</w:t>
      </w:r>
      <w:r w:rsidR="003B6BE3">
        <w:rPr>
          <w:rFonts w:ascii="Times New Roman" w:eastAsia="Times New Roman" w:hAnsi="Times New Roman" w:cs="Times New Roman"/>
        </w:rPr>
        <w:t xml:space="preserve"> de las personas privadas de </w:t>
      </w:r>
      <w:r w:rsidR="009E7F98">
        <w:rPr>
          <w:rFonts w:ascii="Times New Roman" w:eastAsia="Times New Roman" w:hAnsi="Times New Roman" w:cs="Times New Roman"/>
        </w:rPr>
        <w:t>libertad, esto es muy preocupante. El nivel de violencia carcelaria es alto: solo desde enero 2016 han muerto 12 personas, de las cuales 4 se suicidaron, 4 murieron de forma “natural”, dos por “accidente”, y sobre una de ellas no hay datos</w:t>
      </w:r>
      <w:r w:rsidR="009E7F98">
        <w:rPr>
          <w:rFonts w:ascii="Times New Roman" w:eastAsia="Times New Roman" w:hAnsi="Times New Roman" w:cs="Times New Roman"/>
          <w:vertAlign w:val="superscript"/>
        </w:rPr>
        <w:footnoteReference w:id="9"/>
      </w:r>
    </w:p>
    <w:p w14:paraId="3E5B3D71" w14:textId="731DF724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22.- </w:t>
      </w:r>
      <w:r w:rsidR="009E7F98">
        <w:rPr>
          <w:rFonts w:ascii="Times New Roman" w:eastAsia="Times New Roman" w:hAnsi="Times New Roman" w:cs="Times New Roman"/>
        </w:rPr>
        <w:t>Persisten los estereotipos discriminatorios respecto de</w:t>
      </w:r>
      <w:r w:rsidR="00722645">
        <w:rPr>
          <w:rFonts w:ascii="Times New Roman" w:eastAsia="Times New Roman" w:hAnsi="Times New Roman" w:cs="Times New Roman"/>
        </w:rPr>
        <w:t xml:space="preserve"> las mujeres y sus roles tradicionales, agravándose respecto a estereotipos sobre</w:t>
      </w:r>
      <w:r w:rsidR="009E7F98">
        <w:rPr>
          <w:rFonts w:ascii="Times New Roman" w:eastAsia="Times New Roman" w:hAnsi="Times New Roman" w:cs="Times New Roman"/>
        </w:rPr>
        <w:t xml:space="preserve"> la población </w:t>
      </w:r>
      <w:proofErr w:type="spellStart"/>
      <w:r w:rsidR="009E7F98">
        <w:rPr>
          <w:rFonts w:ascii="Times New Roman" w:eastAsia="Times New Roman" w:hAnsi="Times New Roman" w:cs="Times New Roman"/>
        </w:rPr>
        <w:t>afrodescendiente</w:t>
      </w:r>
      <w:proofErr w:type="spellEnd"/>
      <w:r w:rsidR="009E7F98">
        <w:rPr>
          <w:rFonts w:ascii="Times New Roman" w:eastAsia="Times New Roman" w:hAnsi="Times New Roman" w:cs="Times New Roman"/>
        </w:rPr>
        <w:t>. Las denuncias judiciales – sin otras medidas del Estado –son insuficientes para erradicarlas.</w:t>
      </w:r>
    </w:p>
    <w:p w14:paraId="4D50E574" w14:textId="5F9F2228" w:rsidR="007737F8" w:rsidRDefault="00DF2454" w:rsidP="00DF2454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23.- </w:t>
      </w:r>
      <w:r w:rsidR="009E7F98">
        <w:rPr>
          <w:rFonts w:ascii="Times New Roman" w:eastAsia="Times New Roman" w:hAnsi="Times New Roman" w:cs="Times New Roman"/>
        </w:rPr>
        <w:t xml:space="preserve">No obstante el marco legal, no existe por parte del estado ninguna política pública dirigida a la población indígena. Según el último censo en 2011, 159.319 personas se </w:t>
      </w:r>
      <w:proofErr w:type="spellStart"/>
      <w:r w:rsidR="009E7F98">
        <w:rPr>
          <w:rFonts w:ascii="Times New Roman" w:eastAsia="Times New Roman" w:hAnsi="Times New Roman" w:cs="Times New Roman"/>
        </w:rPr>
        <w:t>autoidentifican</w:t>
      </w:r>
      <w:proofErr w:type="spellEnd"/>
      <w:r w:rsidR="009E7F98">
        <w:rPr>
          <w:rFonts w:ascii="Times New Roman" w:eastAsia="Times New Roman" w:hAnsi="Times New Roman" w:cs="Times New Roman"/>
        </w:rPr>
        <w:t xml:space="preserve"> como de ascendencia indígena, de las cuales casi un 55% son mujeres (87.162 personas)</w:t>
      </w:r>
      <w:r w:rsidR="002C5AAE">
        <w:rPr>
          <w:rStyle w:val="Refdenotaalpie"/>
          <w:rFonts w:ascii="Times New Roman" w:eastAsia="Times New Roman" w:hAnsi="Times New Roman" w:cs="Times New Roman"/>
        </w:rPr>
        <w:footnoteReference w:id="10"/>
      </w:r>
      <w:r w:rsidR="009E7F98">
        <w:rPr>
          <w:rFonts w:ascii="Times New Roman" w:eastAsia="Times New Roman" w:hAnsi="Times New Roman" w:cs="Times New Roman"/>
        </w:rPr>
        <w:t>.</w:t>
      </w:r>
    </w:p>
    <w:p w14:paraId="337F5EF8" w14:textId="0004588E" w:rsidR="007737F8" w:rsidRDefault="00ED2AA7" w:rsidP="00ED2AA7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24.- </w:t>
      </w:r>
      <w:r w:rsidR="009E7F98">
        <w:rPr>
          <w:rFonts w:ascii="Times New Roman" w:eastAsia="Times New Roman" w:hAnsi="Times New Roman" w:cs="Times New Roman"/>
        </w:rPr>
        <w:t>No hay representación de mujeres indígenas en los espacios institucionales del Instituto Nacional de las Mujeres (INMUJERES).</w:t>
      </w:r>
    </w:p>
    <w:p w14:paraId="386B230A" w14:textId="41C5E7E6" w:rsidR="007737F8" w:rsidRDefault="00ED2AA7" w:rsidP="00ED2AA7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25.- </w:t>
      </w:r>
      <w:r w:rsidR="009E7F98">
        <w:rPr>
          <w:rFonts w:ascii="Times New Roman" w:eastAsia="Times New Roman" w:hAnsi="Times New Roman" w:cs="Times New Roman"/>
        </w:rPr>
        <w:t>La Comisión Honoraria Contra el Racismo, la Xenofobia y Toda Otra Forma de Discriminación, creada por la ley 17817 “Lucha contra el racismo, la xenofobia y la discriminación” (2004) y designada directamente por el Presidente de la República, no tiene actualmente representación de personas de ascendencia indígena.</w:t>
      </w:r>
    </w:p>
    <w:p w14:paraId="012C1366" w14:textId="605E31C1" w:rsidR="007737F8" w:rsidRDefault="00ED2AA7" w:rsidP="00ED2AA7">
      <w:pPr>
        <w:pStyle w:val="normal0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26.- </w:t>
      </w:r>
      <w:bookmarkStart w:id="0" w:name="_GoBack"/>
      <w:bookmarkEnd w:id="0"/>
      <w:r w:rsidR="009E7F98">
        <w:rPr>
          <w:rFonts w:ascii="Times New Roman" w:eastAsia="Times New Roman" w:hAnsi="Times New Roman" w:cs="Times New Roman"/>
        </w:rPr>
        <w:t xml:space="preserve">El Estado ha incumplido el compromiso adquirido por la Ley No. 18.589 que declara  del 11 de Abril como Día de la Nación Charrúa y la Identidad Indígena. </w:t>
      </w:r>
    </w:p>
    <w:p w14:paraId="12F0DE97" w14:textId="77777777" w:rsidR="007737F8" w:rsidRDefault="007737F8">
      <w:pPr>
        <w:pStyle w:val="normal0"/>
        <w:jc w:val="both"/>
      </w:pPr>
    </w:p>
    <w:sectPr w:rsidR="007737F8">
      <w:pgSz w:w="11900" w:h="16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EE863B" w14:textId="77777777" w:rsidR="00DF2454" w:rsidRDefault="00DF2454">
      <w:r>
        <w:separator/>
      </w:r>
    </w:p>
  </w:endnote>
  <w:endnote w:type="continuationSeparator" w:id="0">
    <w:p w14:paraId="4AC72E5A" w14:textId="77777777" w:rsidR="00DF2454" w:rsidRDefault="00DF2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97F29E" w14:textId="77777777" w:rsidR="00DF2454" w:rsidRDefault="00DF2454">
      <w:r>
        <w:separator/>
      </w:r>
    </w:p>
  </w:footnote>
  <w:footnote w:type="continuationSeparator" w:id="0">
    <w:p w14:paraId="77C87C0F" w14:textId="77777777" w:rsidR="00DF2454" w:rsidRDefault="00DF2454">
      <w:r>
        <w:continuationSeparator/>
      </w:r>
    </w:p>
  </w:footnote>
  <w:footnote w:id="1">
    <w:p w14:paraId="3D01F0AC" w14:textId="2A5DC726" w:rsidR="00DF2454" w:rsidRPr="001669AE" w:rsidRDefault="00DF2454">
      <w:pPr>
        <w:pStyle w:val="Textonotapie"/>
        <w:rPr>
          <w:rFonts w:ascii="Times New Roman" w:hAnsi="Times New Roman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Colectiva Mujeres (organización feminista de mujeres </w:t>
      </w:r>
      <w:proofErr w:type="spellStart"/>
      <w:r>
        <w:rPr>
          <w:rFonts w:ascii="Times New Roman" w:hAnsi="Times New Roman" w:cs="Times New Roman"/>
          <w:sz w:val="20"/>
          <w:szCs w:val="20"/>
        </w:rPr>
        <w:t>afrouruguayas</w:t>
      </w:r>
      <w:proofErr w:type="spellEnd"/>
      <w:r>
        <w:rPr>
          <w:rFonts w:ascii="Times New Roman" w:hAnsi="Times New Roman" w:cs="Times New Roman"/>
          <w:sz w:val="20"/>
          <w:szCs w:val="20"/>
        </w:rPr>
        <w:t>), CLADEM (Comité de América Latina y el Caribe para la Defensa de los DDHH de las mujeres)</w:t>
      </w:r>
    </w:p>
  </w:footnote>
  <w:footnote w:id="2">
    <w:p w14:paraId="6A8EFB97" w14:textId="56804307" w:rsidR="00DF2454" w:rsidRDefault="00DF245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2A34">
        <w:rPr>
          <w:rFonts w:ascii="Times New Roman" w:hAnsi="Times New Roman" w:cs="Times New Roman"/>
          <w:sz w:val="20"/>
          <w:szCs w:val="20"/>
        </w:rPr>
        <w:t xml:space="preserve">Declaraciones </w:t>
      </w:r>
      <w:r>
        <w:rPr>
          <w:rFonts w:ascii="Times New Roman" w:hAnsi="Times New Roman" w:cs="Times New Roman"/>
          <w:sz w:val="20"/>
          <w:szCs w:val="20"/>
        </w:rPr>
        <w:t xml:space="preserve">de la Directora del Instituto Nacional de las Mujeres, 2016, disponible en internet </w:t>
      </w:r>
    </w:p>
  </w:footnote>
  <w:footnote w:id="3">
    <w:p w14:paraId="15719D4E" w14:textId="1AB5E4B7" w:rsidR="00DF2454" w:rsidRPr="00A0379C" w:rsidRDefault="00DF2454">
      <w:pPr>
        <w:pStyle w:val="Textonotapie"/>
        <w:rPr>
          <w:rFonts w:ascii="Times New Roman" w:hAnsi="Times New Roman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Declaraciones de la Sub Secretaria del Ministerio de Salud Pública, abril 2016</w:t>
      </w:r>
    </w:p>
  </w:footnote>
  <w:footnote w:id="4">
    <w:p w14:paraId="4AEF9F9E" w14:textId="7AF50B44" w:rsidR="00DF2454" w:rsidRPr="00F12D4F" w:rsidRDefault="00DF2454">
      <w:pPr>
        <w:pStyle w:val="Textonotapie"/>
        <w:rPr>
          <w:rFonts w:ascii="Times New Roman" w:hAnsi="Times New Roman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F12D4F">
        <w:rPr>
          <w:rFonts w:ascii="Times New Roman" w:hAnsi="Times New Roman" w:cs="Times New Roman"/>
          <w:bCs/>
          <w:sz w:val="20"/>
          <w:szCs w:val="20"/>
          <w:lang w:val="es-ES"/>
        </w:rPr>
        <w:t xml:space="preserve">"Situación socio económica y Mapa Político de liderazgo de la Población afro del Uruguay. PNUD 2013" </w:t>
      </w:r>
      <w:proofErr w:type="spellStart"/>
      <w:r w:rsidRPr="00F12D4F">
        <w:rPr>
          <w:rFonts w:ascii="Times New Roman" w:hAnsi="Times New Roman" w:cs="Times New Roman"/>
          <w:bCs/>
          <w:sz w:val="20"/>
          <w:szCs w:val="20"/>
          <w:lang w:val="es-ES"/>
        </w:rPr>
        <w:t>pag</w:t>
      </w:r>
      <w:proofErr w:type="spellEnd"/>
      <w:r w:rsidRPr="00F12D4F">
        <w:rPr>
          <w:rFonts w:ascii="Times New Roman" w:hAnsi="Times New Roman" w:cs="Times New Roman"/>
          <w:bCs/>
          <w:sz w:val="20"/>
          <w:szCs w:val="20"/>
          <w:lang w:val="es-ES"/>
        </w:rPr>
        <w:t xml:space="preserve"> 23</w:t>
      </w:r>
    </w:p>
  </w:footnote>
  <w:footnote w:id="5">
    <w:p w14:paraId="49F52519" w14:textId="77777777" w:rsidR="00DF2454" w:rsidRDefault="00DF2454">
      <w:pPr>
        <w:pStyle w:val="normal0"/>
      </w:pPr>
      <w:r>
        <w:rPr>
          <w:vertAlign w:val="superscript"/>
        </w:rPr>
        <w:footnoteRef/>
      </w:r>
      <w:r>
        <w:t xml:space="preserve"> </w:t>
      </w:r>
      <w:r>
        <w:rPr>
          <w:sz w:val="20"/>
          <w:szCs w:val="20"/>
        </w:rPr>
        <w:t>Situación socioeconómica y Mapa Político y de liderazgo de la Población Afro del Uruguay. PNUD 2013. (Población total del país: 3.407 millones)</w:t>
      </w:r>
    </w:p>
  </w:footnote>
  <w:footnote w:id="6">
    <w:p w14:paraId="1EE19ADF" w14:textId="582D21B5" w:rsidR="00DF2454" w:rsidRPr="00B874AA" w:rsidRDefault="00DF2454">
      <w:pPr>
        <w:pStyle w:val="Textonotapie"/>
        <w:rPr>
          <w:rFonts w:ascii="Times New Roman" w:hAnsi="Times New Roman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Atlas Socio demográfico de la Desigualdad, Investigación de la Universidad de la República, PNUD 2015</w:t>
      </w:r>
    </w:p>
  </w:footnote>
  <w:footnote w:id="7">
    <w:p w14:paraId="1B5CEC72" w14:textId="1B23579E" w:rsidR="00DF2454" w:rsidRPr="003B6BE3" w:rsidRDefault="00DF2454">
      <w:pPr>
        <w:pStyle w:val="Textonotapie"/>
        <w:rPr>
          <w:rFonts w:ascii="Times New Roman" w:hAnsi="Times New Roman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3B6BE3">
          <w:rPr>
            <w:rStyle w:val="Hipervnculo"/>
            <w:rFonts w:ascii="Times New Roman" w:hAnsi="Times New Roman" w:cs="Times New Roman"/>
            <w:sz w:val="20"/>
            <w:szCs w:val="20"/>
          </w:rPr>
          <w:t>www.poderjuducial.gub.uy</w:t>
        </w:r>
      </w:hyperlink>
      <w:r w:rsidRPr="003B6BE3">
        <w:rPr>
          <w:rFonts w:ascii="Times New Roman" w:hAnsi="Times New Roman" w:cs="Times New Roman"/>
          <w:sz w:val="20"/>
          <w:szCs w:val="20"/>
        </w:rPr>
        <w:t xml:space="preserve"> Anuario Estadístico</w:t>
      </w:r>
      <w:r>
        <w:rPr>
          <w:rFonts w:ascii="Times New Roman" w:hAnsi="Times New Roman" w:cs="Times New Roman"/>
          <w:sz w:val="20"/>
          <w:szCs w:val="20"/>
        </w:rPr>
        <w:t xml:space="preserve">. Plan Integral de lucha contra  la Violencia basada en Género. </w:t>
      </w:r>
    </w:p>
  </w:footnote>
  <w:footnote w:id="8">
    <w:p w14:paraId="56B42D68" w14:textId="230C574B" w:rsidR="00DF2454" w:rsidRDefault="00DF2454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2" w:history="1">
        <w:r w:rsidRPr="00DD16C7">
          <w:rPr>
            <w:rStyle w:val="Hipervnculo"/>
            <w:rFonts w:ascii="Times New Roman" w:hAnsi="Times New Roman" w:cs="Times New Roman"/>
            <w:sz w:val="20"/>
            <w:szCs w:val="20"/>
          </w:rPr>
          <w:t>www.minterior.gub.uy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Censo de Personas privadas de libertad, diciembre 2010.</w:t>
      </w:r>
    </w:p>
  </w:footnote>
  <w:footnote w:id="9">
    <w:p w14:paraId="5C9CFA8F" w14:textId="77777777" w:rsidR="00DF2454" w:rsidRDefault="00DF2454">
      <w:pPr>
        <w:pStyle w:val="normal0"/>
      </w:pPr>
      <w:r w:rsidRPr="003B6BE3">
        <w:rPr>
          <w:rFonts w:ascii="Times New Roman" w:hAnsi="Times New Roman" w:cs="Times New Roman"/>
          <w:sz w:val="20"/>
          <w:szCs w:val="20"/>
          <w:vertAlign w:val="superscript"/>
        </w:rPr>
        <w:footnoteRef/>
      </w:r>
      <w:r w:rsidRPr="003B6BE3">
        <w:rPr>
          <w:rFonts w:ascii="Times New Roman" w:hAnsi="Times New Roman" w:cs="Times New Roman"/>
          <w:sz w:val="20"/>
          <w:szCs w:val="20"/>
        </w:rPr>
        <w:t xml:space="preserve"> Comisionado Parlamentario, La Diaria 22.8.2016</w:t>
      </w:r>
    </w:p>
  </w:footnote>
  <w:footnote w:id="10">
    <w:p w14:paraId="1DEF1C9D" w14:textId="4ECA6BDF" w:rsidR="00DF2454" w:rsidRPr="002C5AAE" w:rsidRDefault="00DF2454">
      <w:pPr>
        <w:pStyle w:val="Textonotapie"/>
        <w:rPr>
          <w:rFonts w:ascii="Times New Roman" w:hAnsi="Times New Roman" w:cs="Times New Roman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Atlas Socio demográfico de la Desigualdad de Uruguay, PNUD. Fasc.2, Cabella, </w:t>
      </w:r>
      <w:proofErr w:type="spellStart"/>
      <w:r>
        <w:rPr>
          <w:rFonts w:ascii="Times New Roman" w:hAnsi="Times New Roman" w:cs="Times New Roman"/>
          <w:sz w:val="20"/>
          <w:szCs w:val="20"/>
        </w:rPr>
        <w:t>Nathan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y </w:t>
      </w:r>
      <w:proofErr w:type="spellStart"/>
      <w:r>
        <w:rPr>
          <w:rFonts w:ascii="Times New Roman" w:hAnsi="Times New Roman" w:cs="Times New Roman"/>
          <w:sz w:val="20"/>
          <w:szCs w:val="20"/>
        </w:rPr>
        <w:t>Tenenbaum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sobre Censo 2011.  </w:t>
      </w:r>
      <w:hyperlink r:id="rId3" w:history="1">
        <w:r w:rsidRPr="00DD16C7">
          <w:rPr>
            <w:rStyle w:val="Hipervnculo"/>
            <w:rFonts w:ascii="Times New Roman" w:hAnsi="Times New Roman" w:cs="Times New Roman"/>
            <w:sz w:val="20"/>
            <w:szCs w:val="20"/>
          </w:rPr>
          <w:t>www.ine.gub.uy/censos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2011/resultados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441E9"/>
    <w:multiLevelType w:val="multilevel"/>
    <w:tmpl w:val="997CAE5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737F8"/>
    <w:rsid w:val="00045C47"/>
    <w:rsid w:val="00066F8A"/>
    <w:rsid w:val="001669AE"/>
    <w:rsid w:val="001E2CE8"/>
    <w:rsid w:val="0029365D"/>
    <w:rsid w:val="002B2A34"/>
    <w:rsid w:val="002C5AAE"/>
    <w:rsid w:val="002D1EFE"/>
    <w:rsid w:val="00307B03"/>
    <w:rsid w:val="003149B0"/>
    <w:rsid w:val="0033424B"/>
    <w:rsid w:val="003B6BE3"/>
    <w:rsid w:val="005D757C"/>
    <w:rsid w:val="00633B47"/>
    <w:rsid w:val="00642529"/>
    <w:rsid w:val="00722645"/>
    <w:rsid w:val="007737F8"/>
    <w:rsid w:val="007B4FBA"/>
    <w:rsid w:val="0081378A"/>
    <w:rsid w:val="008548EF"/>
    <w:rsid w:val="008D61B1"/>
    <w:rsid w:val="008E20E6"/>
    <w:rsid w:val="00914CEC"/>
    <w:rsid w:val="009E7F98"/>
    <w:rsid w:val="00A0379C"/>
    <w:rsid w:val="00A543E3"/>
    <w:rsid w:val="00A7221A"/>
    <w:rsid w:val="00AB13E4"/>
    <w:rsid w:val="00B874AA"/>
    <w:rsid w:val="00BC0795"/>
    <w:rsid w:val="00BC77C9"/>
    <w:rsid w:val="00BE69A1"/>
    <w:rsid w:val="00BF2399"/>
    <w:rsid w:val="00C01806"/>
    <w:rsid w:val="00CB4E16"/>
    <w:rsid w:val="00D00EA2"/>
    <w:rsid w:val="00D7010F"/>
    <w:rsid w:val="00D7121A"/>
    <w:rsid w:val="00D9372E"/>
    <w:rsid w:val="00DB4BDB"/>
    <w:rsid w:val="00DF2454"/>
    <w:rsid w:val="00E275E6"/>
    <w:rsid w:val="00E404E3"/>
    <w:rsid w:val="00E71B05"/>
    <w:rsid w:val="00ED2AA7"/>
    <w:rsid w:val="00EE4EF1"/>
    <w:rsid w:val="00F12D4F"/>
    <w:rsid w:val="00F166A4"/>
    <w:rsid w:val="00FD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E669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color w:val="000000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unhideWhenUsed/>
    <w:rsid w:val="003B6BE3"/>
  </w:style>
  <w:style w:type="character" w:customStyle="1" w:styleId="TextonotapieCar">
    <w:name w:val="Texto nota pie Car"/>
    <w:basedOn w:val="Fuentedeprrafopredeter"/>
    <w:link w:val="Textonotapie"/>
    <w:uiPriority w:val="99"/>
    <w:rsid w:val="003B6BE3"/>
  </w:style>
  <w:style w:type="character" w:styleId="Refdenotaalpie">
    <w:name w:val="footnote reference"/>
    <w:basedOn w:val="Fuentedeprrafopredeter"/>
    <w:uiPriority w:val="99"/>
    <w:unhideWhenUsed/>
    <w:rsid w:val="003B6BE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B6BE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B6BE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color w:val="000000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0"/>
    <w:next w:val="normal0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0">
    <w:name w:val="normal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0"/>
    <w:next w:val="normal0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notapie">
    <w:name w:val="footnote text"/>
    <w:basedOn w:val="Normal"/>
    <w:link w:val="TextonotapieCar"/>
    <w:uiPriority w:val="99"/>
    <w:unhideWhenUsed/>
    <w:rsid w:val="003B6BE3"/>
  </w:style>
  <w:style w:type="character" w:customStyle="1" w:styleId="TextonotapieCar">
    <w:name w:val="Texto nota pie Car"/>
    <w:basedOn w:val="Fuentedeprrafopredeter"/>
    <w:link w:val="Textonotapie"/>
    <w:uiPriority w:val="99"/>
    <w:rsid w:val="003B6BE3"/>
  </w:style>
  <w:style w:type="character" w:styleId="Refdenotaalpie">
    <w:name w:val="footnote reference"/>
    <w:basedOn w:val="Fuentedeprrafopredeter"/>
    <w:uiPriority w:val="99"/>
    <w:unhideWhenUsed/>
    <w:rsid w:val="003B6BE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3B6BE3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B6BE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derjuducial.gub.uy" TargetMode="External"/><Relationship Id="rId2" Type="http://schemas.openxmlformats.org/officeDocument/2006/relationships/hyperlink" Target="http://www.minterior.gub.uy" TargetMode="External"/><Relationship Id="rId3" Type="http://schemas.openxmlformats.org/officeDocument/2006/relationships/hyperlink" Target="http://www.ine.gub.uy/cens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A32298-C9F0-4790-B532-28A72C73BD34}"/>
</file>

<file path=customXml/itemProps2.xml><?xml version="1.0" encoding="utf-8"?>
<ds:datastoreItem xmlns:ds="http://schemas.openxmlformats.org/officeDocument/2006/customXml" ds:itemID="{3E670D86-7652-440A-B35C-8F267719AD95}"/>
</file>

<file path=customXml/itemProps3.xml><?xml version="1.0" encoding="utf-8"?>
<ds:datastoreItem xmlns:ds="http://schemas.openxmlformats.org/officeDocument/2006/customXml" ds:itemID="{C5EA624D-48C1-6644-AF4D-96DC7795A587}"/>
</file>

<file path=customXml/itemProps4.xml><?xml version="1.0" encoding="utf-8"?>
<ds:datastoreItem xmlns:ds="http://schemas.openxmlformats.org/officeDocument/2006/customXml" ds:itemID="{DE0078C4-830A-4C59-B554-EF0C3C8F9B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1289</Words>
  <Characters>7091</Characters>
  <Application>Microsoft Macintosh Word</Application>
  <DocSecurity>0</DocSecurity>
  <Lines>59</Lines>
  <Paragraphs>16</Paragraphs>
  <ScaleCrop>false</ScaleCrop>
  <Company/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Lima</cp:lastModifiedBy>
  <cp:revision>25</cp:revision>
  <dcterms:created xsi:type="dcterms:W3CDTF">2016-08-29T14:18:00Z</dcterms:created>
  <dcterms:modified xsi:type="dcterms:W3CDTF">2016-08-29T17:43:00Z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