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D242B86" w14:textId="77777777" w:rsidR="00CB5C9E" w:rsidRPr="008C5A6E" w:rsidRDefault="00CB5C9E" w:rsidP="00CB5C9E">
      <w:pPr>
        <w:spacing w:before="240"/>
        <w:jc w:val="both"/>
        <w:rPr>
          <w:rFonts w:ascii="Arial" w:hAnsi="Arial" w:cs="Arial"/>
          <w:b/>
          <w:color w:val="009999"/>
          <w:sz w:val="32"/>
          <w:szCs w:val="32"/>
        </w:rPr>
      </w:pPr>
      <w:r w:rsidRPr="008C5A6E">
        <w:rPr>
          <w:rFonts w:ascii="Arial" w:hAnsi="Arial" w:cs="Arial"/>
          <w:b/>
          <w:color w:val="009999"/>
          <w:sz w:val="32"/>
          <w:szCs w:val="32"/>
        </w:rPr>
        <w:t xml:space="preserve">Response to the UN Committee on the Rights of the Child, </w:t>
      </w:r>
    </w:p>
    <w:p w14:paraId="1FA69311" w14:textId="77777777" w:rsidR="00CB5C9E" w:rsidRPr="008C5A6E" w:rsidRDefault="00CB5C9E" w:rsidP="00CB5C9E">
      <w:pPr>
        <w:spacing w:before="240"/>
        <w:jc w:val="center"/>
        <w:rPr>
          <w:rFonts w:ascii="Arial" w:hAnsi="Arial" w:cs="Arial"/>
          <w:b/>
          <w:color w:val="1D498A"/>
          <w:sz w:val="28"/>
          <w:szCs w:val="28"/>
        </w:rPr>
      </w:pPr>
      <w:r w:rsidRPr="008C5A6E">
        <w:rPr>
          <w:rFonts w:ascii="Arial" w:hAnsi="Arial" w:cs="Arial"/>
          <w:b/>
          <w:color w:val="1D498A"/>
          <w:sz w:val="28"/>
          <w:szCs w:val="28"/>
        </w:rPr>
        <w:t xml:space="preserve">Combined sixth and seventh periodic review of Ghana. </w:t>
      </w:r>
    </w:p>
    <w:p w14:paraId="5464AF7E" w14:textId="77777777" w:rsidR="00CB5C9E" w:rsidRPr="008C5A6E" w:rsidRDefault="00CB5C9E" w:rsidP="00CB5C9E">
      <w:pPr>
        <w:spacing w:before="240"/>
        <w:jc w:val="center"/>
        <w:rPr>
          <w:rFonts w:ascii="Arial" w:hAnsi="Arial" w:cs="Arial"/>
          <w:b/>
          <w:color w:val="009999"/>
          <w:sz w:val="36"/>
          <w:szCs w:val="36"/>
        </w:rPr>
      </w:pPr>
      <w:r w:rsidRPr="008C5A6E">
        <w:rPr>
          <w:rFonts w:ascii="Arial" w:hAnsi="Arial" w:cs="Arial"/>
          <w:b/>
          <w:color w:val="1D498A"/>
          <w:sz w:val="28"/>
          <w:szCs w:val="28"/>
        </w:rPr>
        <w:t>100 Pre-Sessional Working Group</w:t>
      </w:r>
      <w:r w:rsidRPr="008C5A6E">
        <w:rPr>
          <w:rFonts w:ascii="Arial" w:hAnsi="Arial" w:cs="Arial"/>
          <w:b/>
          <w:color w:val="009999"/>
          <w:sz w:val="36"/>
          <w:szCs w:val="36"/>
        </w:rPr>
        <w:t xml:space="preserve"> </w:t>
      </w:r>
    </w:p>
    <w:p w14:paraId="35AD5715" w14:textId="135DC40C" w:rsidR="00CB5C9E" w:rsidRPr="008C5A6E" w:rsidRDefault="00CB5C9E" w:rsidP="00CB5C9E">
      <w:pPr>
        <w:spacing w:before="240"/>
        <w:jc w:val="center"/>
        <w:rPr>
          <w:rFonts w:ascii="Arial" w:hAnsi="Arial" w:cs="Arial"/>
          <w:b/>
          <w:bCs/>
          <w:color w:val="009999"/>
          <w:sz w:val="32"/>
          <w:szCs w:val="32"/>
        </w:rPr>
      </w:pPr>
      <w:r w:rsidRPr="008C5A6E">
        <w:rPr>
          <w:rFonts w:ascii="Arial" w:hAnsi="Arial" w:cs="Arial"/>
          <w:b/>
          <w:bCs/>
          <w:color w:val="009999"/>
          <w:sz w:val="32"/>
          <w:szCs w:val="32"/>
        </w:rPr>
        <w:t xml:space="preserve">List Of Issues </w:t>
      </w:r>
      <w:r w:rsidR="00986482">
        <w:rPr>
          <w:rFonts w:ascii="Arial" w:hAnsi="Arial" w:cs="Arial"/>
          <w:b/>
          <w:bCs/>
          <w:color w:val="009999"/>
          <w:sz w:val="32"/>
          <w:szCs w:val="32"/>
        </w:rPr>
        <w:t>o</w:t>
      </w:r>
      <w:r w:rsidRPr="008C5A6E">
        <w:rPr>
          <w:rFonts w:ascii="Arial" w:hAnsi="Arial" w:cs="Arial"/>
          <w:b/>
          <w:bCs/>
          <w:color w:val="009999"/>
          <w:sz w:val="32"/>
          <w:szCs w:val="32"/>
        </w:rPr>
        <w:t xml:space="preserve">n Early Childhood Care </w:t>
      </w:r>
      <w:r w:rsidR="00986482">
        <w:rPr>
          <w:rFonts w:ascii="Arial" w:hAnsi="Arial" w:cs="Arial"/>
          <w:b/>
          <w:bCs/>
          <w:color w:val="009999"/>
          <w:sz w:val="32"/>
          <w:szCs w:val="32"/>
        </w:rPr>
        <w:t>a</w:t>
      </w:r>
      <w:r w:rsidRPr="008C5A6E">
        <w:rPr>
          <w:rFonts w:ascii="Arial" w:hAnsi="Arial" w:cs="Arial"/>
          <w:b/>
          <w:bCs/>
          <w:color w:val="009999"/>
          <w:sz w:val="32"/>
          <w:szCs w:val="32"/>
        </w:rPr>
        <w:t>nd Education In Ghana</w:t>
      </w:r>
    </w:p>
    <w:p w14:paraId="55F28018" w14:textId="77777777" w:rsidR="00CB5C9E" w:rsidRPr="008C5A6E" w:rsidRDefault="00CB5C9E" w:rsidP="00CB5C9E">
      <w:pPr>
        <w:spacing w:before="240"/>
        <w:ind w:left="2880" w:firstLine="720"/>
        <w:jc w:val="both"/>
        <w:rPr>
          <w:rFonts w:ascii="Arial" w:hAnsi="Arial" w:cs="Arial"/>
          <w:b/>
          <w:color w:val="009999"/>
          <w:sz w:val="28"/>
          <w:szCs w:val="28"/>
        </w:rPr>
      </w:pPr>
      <w:r w:rsidRPr="008C5A6E">
        <w:rPr>
          <w:rFonts w:ascii="Arial" w:hAnsi="Arial" w:cs="Arial"/>
          <w:b/>
          <w:color w:val="009999"/>
          <w:sz w:val="28"/>
          <w:szCs w:val="28"/>
        </w:rPr>
        <w:t xml:space="preserve"> Submitted by</w:t>
      </w:r>
    </w:p>
    <w:p w14:paraId="5328ECCA" w14:textId="77777777" w:rsidR="00CB5C9E" w:rsidRPr="008C5A6E" w:rsidRDefault="00CB5C9E" w:rsidP="00CB5C9E">
      <w:pPr>
        <w:spacing w:before="240"/>
        <w:jc w:val="center"/>
        <w:rPr>
          <w:rFonts w:ascii="Arial" w:hAnsi="Arial" w:cs="Arial"/>
          <w:b/>
          <w:color w:val="1F497D"/>
        </w:rPr>
      </w:pPr>
      <w:r w:rsidRPr="008C5A6E">
        <w:rPr>
          <w:rFonts w:ascii="Arial" w:hAnsi="Arial" w:cs="Arial"/>
          <w:b/>
          <w:color w:val="1F497D"/>
        </w:rPr>
        <w:t>EARLY CHILDHOOD NETWORK GHANA</w:t>
      </w:r>
    </w:p>
    <w:p w14:paraId="6410D394" w14:textId="77777777" w:rsidR="00CB5C9E" w:rsidRPr="008C5A6E" w:rsidRDefault="00CB5C9E" w:rsidP="00CB5C9E">
      <w:pPr>
        <w:spacing w:before="240"/>
        <w:jc w:val="center"/>
        <w:rPr>
          <w:rFonts w:ascii="Arial" w:hAnsi="Arial" w:cs="Arial"/>
          <w:b/>
          <w:color w:val="1F497D"/>
        </w:rPr>
      </w:pPr>
      <w:r w:rsidRPr="008C5A6E">
        <w:rPr>
          <w:rFonts w:ascii="Arial" w:hAnsi="Arial" w:cs="Arial"/>
          <w:b/>
          <w:color w:val="1F497D"/>
        </w:rPr>
        <w:t>AFRICA EARLY CHILDHOOD NETWORK</w:t>
      </w:r>
    </w:p>
    <w:p w14:paraId="7491B891" w14:textId="77777777" w:rsidR="00CB5C9E" w:rsidRPr="008C5A6E" w:rsidRDefault="00CB5C9E" w:rsidP="00CB5C9E">
      <w:pPr>
        <w:spacing w:before="240"/>
        <w:jc w:val="center"/>
        <w:rPr>
          <w:rFonts w:ascii="Arial" w:hAnsi="Arial" w:cs="Arial"/>
          <w:b/>
          <w:color w:val="1F497D"/>
        </w:rPr>
      </w:pPr>
      <w:r w:rsidRPr="008C5A6E">
        <w:rPr>
          <w:rFonts w:ascii="Arial" w:hAnsi="Arial" w:cs="Arial"/>
          <w:b/>
          <w:color w:val="1F497D"/>
        </w:rPr>
        <w:t xml:space="preserve"> RIGHT TO EDUCATION INITIATIVE</w:t>
      </w:r>
    </w:p>
    <w:p w14:paraId="156290C8" w14:textId="77777777" w:rsidR="00CB5C9E" w:rsidRPr="008C5A6E" w:rsidRDefault="00CB5C9E" w:rsidP="00CB5C9E">
      <w:pPr>
        <w:spacing w:before="240"/>
        <w:jc w:val="center"/>
        <w:rPr>
          <w:rFonts w:ascii="Arial" w:hAnsi="Arial" w:cs="Arial"/>
          <w:b/>
          <w:color w:val="1F497D"/>
        </w:rPr>
      </w:pPr>
      <w:r w:rsidRPr="008C5A6E">
        <w:rPr>
          <w:rFonts w:ascii="Arial" w:hAnsi="Arial" w:cs="Arial"/>
          <w:b/>
          <w:color w:val="1F497D"/>
        </w:rPr>
        <w:t>OXFORD HUMAN RIGHTS HUB</w:t>
      </w:r>
    </w:p>
    <w:p w14:paraId="0159171C" w14:textId="77777777" w:rsidR="00CB5C9E" w:rsidRPr="008C5A6E" w:rsidRDefault="00CB5C9E" w:rsidP="00CB5C9E">
      <w:pPr>
        <w:spacing w:before="240"/>
        <w:jc w:val="center"/>
        <w:rPr>
          <w:rFonts w:ascii="Arial" w:hAnsi="Arial" w:cs="Arial"/>
          <w:b/>
          <w:color w:val="1F497D"/>
        </w:rPr>
      </w:pPr>
    </w:p>
    <w:tbl>
      <w:tblPr>
        <w:tblW w:w="10629" w:type="dxa"/>
        <w:jc w:val="center"/>
        <w:tblBorders>
          <w:top w:val="nil"/>
          <w:left w:val="nil"/>
          <w:bottom w:val="nil"/>
          <w:right w:val="nil"/>
          <w:insideH w:val="nil"/>
          <w:insideV w:val="nil"/>
        </w:tblBorders>
        <w:tblLayout w:type="fixed"/>
        <w:tblLook w:val="0400" w:firstRow="0" w:lastRow="0" w:firstColumn="0" w:lastColumn="0" w:noHBand="0" w:noVBand="1"/>
      </w:tblPr>
      <w:tblGrid>
        <w:gridCol w:w="10629"/>
      </w:tblGrid>
      <w:tr w:rsidR="00CB5C9E" w:rsidRPr="008C5A6E" w14:paraId="713A8635" w14:textId="77777777" w:rsidTr="00DE376F">
        <w:trPr>
          <w:trHeight w:val="2294"/>
          <w:jc w:val="center"/>
        </w:trPr>
        <w:tc>
          <w:tcPr>
            <w:tcW w:w="10629" w:type="dxa"/>
          </w:tcPr>
          <w:p w14:paraId="51D84777" w14:textId="77777777" w:rsidR="00CB5C9E" w:rsidRPr="008C5A6E" w:rsidRDefault="00CB5C9E" w:rsidP="00DE376F">
            <w:pPr>
              <w:spacing w:before="240"/>
              <w:rPr>
                <w:rFonts w:ascii="Arial" w:hAnsi="Arial" w:cs="Arial"/>
                <w:b/>
                <w:color w:val="009999"/>
              </w:rPr>
            </w:pPr>
            <w:r w:rsidRPr="008C5A6E">
              <w:rPr>
                <w:rFonts w:ascii="Arial" w:hAnsi="Arial" w:cs="Arial"/>
                <w:b/>
                <w:noProof/>
                <w:color w:val="1F497D"/>
              </w:rPr>
              <w:drawing>
                <wp:inline distT="0" distB="0" distL="0" distR="0" wp14:anchorId="20927D96" wp14:editId="0F34B482">
                  <wp:extent cx="2666849" cy="1828800"/>
                  <wp:effectExtent l="0" t="0" r="635" b="0"/>
                  <wp:docPr id="11" name="image1.png" descr="A logo for a child development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11" name="image1.png" descr="A logo for a child development company&#10;&#10;AI-generated content may be incorrect."/>
                          <pic:cNvPicPr preferRelativeResize="0"/>
                        </pic:nvPicPr>
                        <pic:blipFill>
                          <a:blip r:embed="rId8"/>
                          <a:srcRect/>
                          <a:stretch>
                            <a:fillRect/>
                          </a:stretch>
                        </pic:blipFill>
                        <pic:spPr>
                          <a:xfrm>
                            <a:off x="0" y="0"/>
                            <a:ext cx="2669838" cy="1830849"/>
                          </a:xfrm>
                          <a:prstGeom prst="rect">
                            <a:avLst/>
                          </a:prstGeom>
                          <a:ln/>
                        </pic:spPr>
                      </pic:pic>
                    </a:graphicData>
                  </a:graphic>
                </wp:inline>
              </w:drawing>
            </w:r>
            <w:r w:rsidRPr="008C5A6E">
              <w:rPr>
                <w:rFonts w:ascii="Arial" w:hAnsi="Arial" w:cs="Arial"/>
                <w:noProof/>
              </w:rPr>
              <w:t xml:space="preserve">          </w:t>
            </w:r>
            <w:r w:rsidRPr="008C5A6E">
              <w:rPr>
                <w:rFonts w:ascii="Arial" w:hAnsi="Arial" w:cs="Arial"/>
                <w:noProof/>
              </w:rPr>
              <w:drawing>
                <wp:inline distT="0" distB="0" distL="0" distR="0" wp14:anchorId="2C1CB7F5" wp14:editId="51AFAF80">
                  <wp:extent cx="2581275" cy="1443990"/>
                  <wp:effectExtent l="0" t="0" r="9525" b="3810"/>
                  <wp:docPr id="13" name="image3.jpg" descr="A logo for a child's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image3.jpg" descr="A logo for a child's program&#10;&#10;AI-generated content may be incorrect."/>
                          <pic:cNvPicPr preferRelativeResize="0"/>
                        </pic:nvPicPr>
                        <pic:blipFill>
                          <a:blip r:embed="rId9"/>
                          <a:srcRect/>
                          <a:stretch>
                            <a:fillRect/>
                          </a:stretch>
                        </pic:blipFill>
                        <pic:spPr>
                          <a:xfrm>
                            <a:off x="0" y="0"/>
                            <a:ext cx="2581788" cy="1444277"/>
                          </a:xfrm>
                          <a:prstGeom prst="rect">
                            <a:avLst/>
                          </a:prstGeom>
                          <a:ln/>
                        </pic:spPr>
                      </pic:pic>
                    </a:graphicData>
                  </a:graphic>
                </wp:inline>
              </w:drawing>
            </w:r>
            <w:r w:rsidRPr="008C5A6E">
              <w:rPr>
                <w:rFonts w:ascii="Arial" w:eastAsia="Times New Roman" w:hAnsi="Arial" w:cs="Arial"/>
                <w:color w:val="000000"/>
                <w:sz w:val="2"/>
                <w:szCs w:val="2"/>
                <w:highlight w:val="black"/>
              </w:rPr>
              <w:t xml:space="preserve">    </w:t>
            </w:r>
            <w:r w:rsidRPr="008C5A6E">
              <w:rPr>
                <w:rFonts w:ascii="Arial" w:eastAsia="Times New Roman" w:hAnsi="Arial" w:cs="Arial"/>
                <w:color w:val="000000"/>
                <w:sz w:val="2"/>
                <w:szCs w:val="2"/>
              </w:rPr>
              <w:t xml:space="preserve">  </w:t>
            </w:r>
          </w:p>
        </w:tc>
      </w:tr>
    </w:tbl>
    <w:p w14:paraId="6D3B8CB9" w14:textId="4F87CEFC" w:rsidR="00CB5C9E" w:rsidRPr="008C5A6E" w:rsidRDefault="006E42A4" w:rsidP="006E42A4">
      <w:pPr>
        <w:spacing w:before="240"/>
        <w:rPr>
          <w:rFonts w:ascii="Arial" w:hAnsi="Arial" w:cs="Arial"/>
          <w:b/>
          <w:color w:val="009999"/>
        </w:rPr>
      </w:pPr>
      <w:r>
        <w:rPr>
          <w:rFonts w:ascii="Arial" w:hAnsi="Arial" w:cs="Arial"/>
          <w:b/>
          <w:color w:val="009999"/>
        </w:rPr>
        <w:t xml:space="preserve">                                </w:t>
      </w:r>
      <w:r w:rsidR="00CB5C9E" w:rsidRPr="008C5A6E">
        <w:rPr>
          <w:rFonts w:ascii="Arial" w:eastAsia="Times New Roman" w:hAnsi="Arial" w:cs="Arial"/>
          <w:noProof/>
          <w:color w:val="000000"/>
          <w:sz w:val="2"/>
          <w:szCs w:val="2"/>
          <w:highlight w:val="black"/>
        </w:rPr>
        <w:drawing>
          <wp:inline distT="0" distB="0" distL="0" distR="0" wp14:anchorId="23B5814A" wp14:editId="0E5AF743">
            <wp:extent cx="1927225" cy="1428750"/>
            <wp:effectExtent l="0" t="0" r="0" b="0"/>
            <wp:docPr id="14" name="image2.jpg" descr="C:\Users\Alienware\Pictures\unnamed (1)2.jpg"/>
            <wp:cNvGraphicFramePr/>
            <a:graphic xmlns:a="http://schemas.openxmlformats.org/drawingml/2006/main">
              <a:graphicData uri="http://schemas.openxmlformats.org/drawingml/2006/picture">
                <pic:pic xmlns:pic="http://schemas.openxmlformats.org/drawingml/2006/picture">
                  <pic:nvPicPr>
                    <pic:cNvPr id="0" name="image2.jpg" descr="C:\Users\Alienware\Pictures\unnamed (1)2.jpg"/>
                    <pic:cNvPicPr preferRelativeResize="0"/>
                  </pic:nvPicPr>
                  <pic:blipFill>
                    <a:blip r:embed="rId10"/>
                    <a:srcRect/>
                    <a:stretch>
                      <a:fillRect/>
                    </a:stretch>
                  </pic:blipFill>
                  <pic:spPr>
                    <a:xfrm>
                      <a:off x="0" y="0"/>
                      <a:ext cx="1942673" cy="1440202"/>
                    </a:xfrm>
                    <a:prstGeom prst="rect">
                      <a:avLst/>
                    </a:prstGeom>
                    <a:ln/>
                  </pic:spPr>
                </pic:pic>
              </a:graphicData>
            </a:graphic>
          </wp:inline>
        </w:drawing>
      </w:r>
    </w:p>
    <w:p w14:paraId="7C6BBCA9" w14:textId="77777777" w:rsidR="00CB5C9E" w:rsidRPr="008C5A6E" w:rsidRDefault="00CB5C9E" w:rsidP="003A5EED">
      <w:pPr>
        <w:pStyle w:val="Heading1"/>
        <w:spacing w:before="120" w:after="120" w:line="360" w:lineRule="auto"/>
        <w:rPr>
          <w:rFonts w:ascii="Arial" w:eastAsia="Times New Roman" w:hAnsi="Arial" w:cs="Arial"/>
          <w:color w:val="000000"/>
          <w:lang w:val="en"/>
        </w:rPr>
      </w:pPr>
    </w:p>
    <w:p w14:paraId="251275C9" w14:textId="77777777" w:rsidR="00CB5C9E" w:rsidRPr="008C5A6E" w:rsidRDefault="00CB5C9E" w:rsidP="003A5EED">
      <w:pPr>
        <w:pStyle w:val="Heading1"/>
        <w:spacing w:before="120" w:after="120" w:line="360" w:lineRule="auto"/>
        <w:rPr>
          <w:rFonts w:ascii="Arial" w:eastAsia="Times New Roman" w:hAnsi="Arial" w:cs="Arial"/>
          <w:color w:val="000000"/>
          <w:lang w:val="en"/>
        </w:rPr>
      </w:pPr>
    </w:p>
    <w:p w14:paraId="5CEC92F8" w14:textId="77777777" w:rsidR="00CB5C9E" w:rsidRPr="008C5A6E" w:rsidRDefault="00CB5C9E" w:rsidP="003A5EED">
      <w:pPr>
        <w:pStyle w:val="Heading1"/>
        <w:spacing w:before="120" w:after="120" w:line="360" w:lineRule="auto"/>
        <w:rPr>
          <w:rFonts w:ascii="Arial" w:eastAsia="Times New Roman" w:hAnsi="Arial" w:cs="Arial"/>
          <w:color w:val="000000"/>
          <w:lang w:val="en"/>
        </w:rPr>
      </w:pPr>
    </w:p>
    <w:p w14:paraId="772D9AC6" w14:textId="7A1EA9A4" w:rsidR="00CB5C9E" w:rsidRPr="008C5A6E" w:rsidRDefault="00DA262F" w:rsidP="003A5EED">
      <w:pPr>
        <w:pStyle w:val="Heading1"/>
        <w:spacing w:before="120" w:after="120" w:line="360" w:lineRule="auto"/>
        <w:rPr>
          <w:rFonts w:ascii="Arial" w:eastAsia="Times New Roman" w:hAnsi="Arial" w:cs="Arial"/>
          <w:color w:val="000000"/>
          <w:lang w:val="en"/>
        </w:rPr>
      </w:pPr>
      <w:r>
        <w:rPr>
          <w:rFonts w:ascii="Arial" w:eastAsia="Times New Roman" w:hAnsi="Arial" w:cs="Arial"/>
          <w:color w:val="000000"/>
          <w:lang w:val="en"/>
        </w:rPr>
        <w:t>December 15, 2025</w:t>
      </w:r>
    </w:p>
    <w:p w14:paraId="71865C83" w14:textId="77777777" w:rsidR="00CB5C9E" w:rsidRPr="008C5A6E" w:rsidRDefault="00CB5C9E" w:rsidP="003A5EED">
      <w:pPr>
        <w:pStyle w:val="Heading1"/>
        <w:spacing w:before="120" w:after="120" w:line="360" w:lineRule="auto"/>
        <w:rPr>
          <w:rFonts w:ascii="Arial" w:eastAsia="Times New Roman" w:hAnsi="Arial" w:cs="Arial"/>
          <w:color w:val="000000"/>
          <w:lang w:val="en"/>
        </w:rPr>
      </w:pPr>
    </w:p>
    <w:p w14:paraId="435C38B0" w14:textId="77777777" w:rsidR="00CB5C9E" w:rsidRPr="008C5A6E" w:rsidRDefault="00CB5C9E" w:rsidP="003A5EED">
      <w:pPr>
        <w:pStyle w:val="Heading1"/>
        <w:spacing w:before="120" w:after="120" w:line="360" w:lineRule="auto"/>
        <w:rPr>
          <w:rFonts w:ascii="Arial" w:eastAsia="Times New Roman" w:hAnsi="Arial" w:cs="Arial"/>
          <w:color w:val="000000"/>
          <w:lang w:val="en"/>
        </w:rPr>
      </w:pPr>
    </w:p>
    <w:p w14:paraId="30879398" w14:textId="4A97F9F0" w:rsidR="00571DBD" w:rsidRPr="008C5A6E" w:rsidRDefault="00571DBD" w:rsidP="003A5EED">
      <w:pPr>
        <w:pStyle w:val="Heading1"/>
        <w:spacing w:before="120" w:after="120" w:line="360" w:lineRule="auto"/>
        <w:rPr>
          <w:rFonts w:ascii="Arial" w:eastAsia="Times New Roman" w:hAnsi="Arial" w:cs="Arial"/>
          <w:color w:val="000000"/>
          <w:lang w:val="en"/>
        </w:rPr>
      </w:pPr>
      <w:r w:rsidRPr="008C5A6E">
        <w:rPr>
          <w:rFonts w:ascii="Arial" w:eastAsia="Times New Roman" w:hAnsi="Arial" w:cs="Arial"/>
          <w:color w:val="000000"/>
          <w:lang w:val="en"/>
        </w:rPr>
        <w:t>INTRODUCTION</w:t>
      </w:r>
    </w:p>
    <w:p w14:paraId="5C360B34" w14:textId="5D1F39B5" w:rsidR="00571DBD" w:rsidRPr="008C5A6E" w:rsidRDefault="00C03D04" w:rsidP="003A5EED">
      <w:pPr>
        <w:pStyle w:val="NormalWeb"/>
        <w:spacing w:before="120" w:after="120" w:line="360" w:lineRule="auto"/>
        <w:rPr>
          <w:rFonts w:ascii="Arial" w:hAnsi="Arial" w:cs="Arial"/>
          <w:color w:val="000000"/>
          <w:sz w:val="22"/>
          <w:szCs w:val="22"/>
        </w:rPr>
      </w:pPr>
      <w:r w:rsidRPr="00C03D04">
        <w:rPr>
          <w:rFonts w:ascii="Arial" w:hAnsi="Arial" w:cs="Arial"/>
          <w:color w:val="000000"/>
          <w:sz w:val="22"/>
          <w:szCs w:val="22"/>
        </w:rPr>
        <w:t>This report provides additional information on the List of Issues raised by the Committee on the Rights of the Child on Ghana’s combined sixth and seventh periodic reports, particularly concerning Ghana's early childhood care and education (ECCE) system.</w:t>
      </w:r>
      <w:r w:rsidRPr="008C5A6E">
        <w:rPr>
          <w:rFonts w:ascii="Arial" w:hAnsi="Arial" w:cs="Arial"/>
          <w:color w:val="000000"/>
          <w:sz w:val="22"/>
          <w:szCs w:val="22"/>
          <w:lang w:val="en"/>
        </w:rPr>
        <w:t xml:space="preserve"> </w:t>
      </w:r>
      <w:r w:rsidR="00571DBD" w:rsidRPr="008C5A6E">
        <w:rPr>
          <w:rFonts w:ascii="Arial" w:hAnsi="Arial" w:cs="Arial"/>
          <w:color w:val="000000"/>
          <w:sz w:val="22"/>
          <w:szCs w:val="22"/>
          <w:lang w:val="en"/>
        </w:rPr>
        <w:t>While Ghana has made progress in primary education access, critical deficits persist in the early years sector, particularly for children aged 0-3 who remain largely invisible in national planning and resource allocation.</w:t>
      </w:r>
      <w:r w:rsidR="00C75E46">
        <w:rPr>
          <w:rStyle w:val="EndnoteReference"/>
          <w:rFonts w:ascii="Arial" w:hAnsi="Arial" w:cs="Arial"/>
          <w:color w:val="000000"/>
          <w:sz w:val="22"/>
          <w:szCs w:val="22"/>
          <w:lang w:val="en"/>
        </w:rPr>
        <w:endnoteReference w:id="1"/>
      </w:r>
      <w:r w:rsidR="00C75E46" w:rsidRPr="008C5A6E">
        <w:rPr>
          <w:rFonts w:ascii="Arial" w:hAnsi="Arial" w:cs="Arial"/>
          <w:color w:val="000000"/>
          <w:sz w:val="22"/>
          <w:szCs w:val="22"/>
          <w:lang w:val="en"/>
        </w:rPr>
        <w:t xml:space="preserve"> </w:t>
      </w:r>
      <w:r w:rsidR="00571DBD" w:rsidRPr="008C5A6E">
        <w:rPr>
          <w:rFonts w:ascii="Arial" w:hAnsi="Arial" w:cs="Arial"/>
          <w:color w:val="000000"/>
          <w:sz w:val="22"/>
          <w:szCs w:val="22"/>
          <w:lang w:val="en"/>
        </w:rPr>
        <w:t>This report highlights five critical areas of concern: the absence of comprehensive regulation for the 0-3 age group; significant infrastructure deficits preventing universal access; a crisis in teacher qualification with only 31% of primary teachers certified in ECE;</w:t>
      </w:r>
      <w:r w:rsidR="00C75E46">
        <w:rPr>
          <w:rStyle w:val="EndnoteReference"/>
          <w:rFonts w:ascii="Arial" w:hAnsi="Arial" w:cs="Arial"/>
          <w:color w:val="000000"/>
          <w:sz w:val="22"/>
          <w:szCs w:val="22"/>
          <w:lang w:val="en"/>
        </w:rPr>
        <w:endnoteReference w:id="2"/>
      </w:r>
      <w:r w:rsidR="00571DBD" w:rsidRPr="008C5A6E">
        <w:rPr>
          <w:rFonts w:ascii="Arial" w:hAnsi="Arial" w:cs="Arial"/>
          <w:color w:val="000000"/>
          <w:sz w:val="22"/>
          <w:szCs w:val="22"/>
          <w:lang w:val="en"/>
        </w:rPr>
        <w:t xml:space="preserve"> inadequate and declining budget allocations for ECCE; and weak implementation of inclusive education for young children with disabilities. The evidence presented herein demonstrates that despite the launch of the 2024 Early Childhood Education Policy Framework</w:t>
      </w:r>
      <w:r w:rsidR="00C75E46">
        <w:rPr>
          <w:rStyle w:val="EndnoteReference"/>
          <w:rFonts w:ascii="Arial" w:hAnsi="Arial" w:cs="Arial"/>
          <w:color w:val="000000"/>
          <w:sz w:val="22"/>
          <w:szCs w:val="22"/>
          <w:lang w:val="en"/>
        </w:rPr>
        <w:endnoteReference w:id="3"/>
      </w:r>
      <w:r w:rsidR="00571DBD" w:rsidRPr="008C5A6E">
        <w:rPr>
          <w:rFonts w:ascii="Arial" w:hAnsi="Arial" w:cs="Arial"/>
          <w:color w:val="000000"/>
          <w:sz w:val="22"/>
          <w:szCs w:val="22"/>
          <w:lang w:val="en"/>
        </w:rPr>
        <w:t xml:space="preserve">, implementation remains fragmented and under-resourced. The analysis specifically addresses the List of Issues raised by the Committee, identifying concrete gaps and proposing targeted recommendations to ensure the rights of Ghana's youngest citizens are realized. </w:t>
      </w:r>
    </w:p>
    <w:p w14:paraId="2058B3B1" w14:textId="77777777" w:rsidR="00571DBD" w:rsidRPr="008C5A6E" w:rsidRDefault="00571DBD" w:rsidP="003A5EED">
      <w:pPr>
        <w:pStyle w:val="Heading1"/>
        <w:pageBreakBefore/>
        <w:spacing w:before="120" w:after="120" w:line="360" w:lineRule="auto"/>
        <w:rPr>
          <w:rFonts w:ascii="Arial" w:eastAsia="Times New Roman" w:hAnsi="Arial" w:cs="Arial"/>
          <w:color w:val="000000"/>
          <w:lang w:val="en"/>
        </w:rPr>
      </w:pPr>
      <w:r w:rsidRPr="008C5A6E">
        <w:rPr>
          <w:rFonts w:ascii="Arial" w:eastAsia="Times New Roman" w:hAnsi="Arial" w:cs="Arial"/>
          <w:color w:val="000000"/>
          <w:lang w:val="en"/>
        </w:rPr>
        <w:lastRenderedPageBreak/>
        <w:t>SECTION 1: COORDINATION AND OVERSIGHT FOR ECCE</w:t>
      </w:r>
    </w:p>
    <w:p w14:paraId="05F25310" w14:textId="77777777" w:rsidR="00571DBD" w:rsidRPr="008C5A6E" w:rsidRDefault="00571DBD" w:rsidP="003A5EED">
      <w:pPr>
        <w:pStyle w:val="NormalWeb"/>
        <w:spacing w:before="120" w:after="120" w:line="360" w:lineRule="auto"/>
        <w:rPr>
          <w:rFonts w:ascii="Arial" w:hAnsi="Arial" w:cs="Arial"/>
          <w:color w:val="000000"/>
          <w:sz w:val="22"/>
          <w:szCs w:val="22"/>
          <w:lang w:val="en"/>
        </w:rPr>
      </w:pPr>
      <w:r w:rsidRPr="008C5A6E">
        <w:rPr>
          <w:rStyle w:val="Strong"/>
          <w:rFonts w:ascii="Arial" w:hAnsi="Arial" w:cs="Arial"/>
          <w:color w:val="000000"/>
          <w:sz w:val="22"/>
          <w:szCs w:val="22"/>
          <w:lang w:val="en"/>
        </w:rPr>
        <w:t>Response to Questions 2(a), 2(b), 2(c)</w:t>
      </w:r>
    </w:p>
    <w:p w14:paraId="3C694469" w14:textId="617DD456" w:rsidR="00571DBD" w:rsidRPr="008C5A6E" w:rsidRDefault="00571DBD" w:rsidP="00C03D04">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 xml:space="preserve">While Ghana has established governance structures for education, effective coordination for ECCE remains fragmented, particularly for the critical 0-3 age group. A significant oversight gap exists where no single </w:t>
      </w:r>
      <w:r w:rsidR="00C03D04" w:rsidRPr="008C5A6E">
        <w:rPr>
          <w:rFonts w:ascii="Arial" w:hAnsi="Arial" w:cs="Arial"/>
          <w:color w:val="000000"/>
          <w:sz w:val="22"/>
          <w:szCs w:val="22"/>
          <w:lang w:val="en"/>
        </w:rPr>
        <w:t>M</w:t>
      </w:r>
      <w:r w:rsidRPr="008C5A6E">
        <w:rPr>
          <w:rFonts w:ascii="Arial" w:hAnsi="Arial" w:cs="Arial"/>
          <w:color w:val="000000"/>
          <w:sz w:val="22"/>
          <w:szCs w:val="22"/>
          <w:lang w:val="en"/>
        </w:rPr>
        <w:t>inistry has clear, operational responsibility for the regulation and quality assurance of crèches and daycares.</w:t>
      </w:r>
      <w:r w:rsidR="00B823A2">
        <w:rPr>
          <w:rStyle w:val="EndnoteReference"/>
          <w:rFonts w:ascii="Arial" w:hAnsi="Arial" w:cs="Arial"/>
          <w:color w:val="000000"/>
          <w:sz w:val="22"/>
          <w:szCs w:val="22"/>
          <w:lang w:val="en"/>
        </w:rPr>
        <w:endnoteReference w:id="4"/>
      </w:r>
      <w:r w:rsidRPr="008C5A6E">
        <w:rPr>
          <w:rFonts w:ascii="Arial" w:hAnsi="Arial" w:cs="Arial"/>
          <w:color w:val="000000"/>
          <w:sz w:val="22"/>
          <w:szCs w:val="22"/>
          <w:lang w:val="en"/>
        </w:rPr>
        <w:t xml:space="preserve"> Although the Ministry of Gender, Children and Social Protection (</w:t>
      </w:r>
      <w:proofErr w:type="spellStart"/>
      <w:r w:rsidRPr="008C5A6E">
        <w:rPr>
          <w:rFonts w:ascii="Arial" w:hAnsi="Arial" w:cs="Arial"/>
          <w:color w:val="000000"/>
          <w:sz w:val="22"/>
          <w:szCs w:val="22"/>
          <w:lang w:val="en"/>
        </w:rPr>
        <w:t>MoGCSP</w:t>
      </w:r>
      <w:proofErr w:type="spellEnd"/>
      <w:r w:rsidRPr="008C5A6E">
        <w:rPr>
          <w:rFonts w:ascii="Arial" w:hAnsi="Arial" w:cs="Arial"/>
          <w:color w:val="000000"/>
          <w:sz w:val="22"/>
          <w:szCs w:val="22"/>
          <w:lang w:val="en"/>
        </w:rPr>
        <w:t>) holds a mandate for child protection, and the Ministry of Education (</w:t>
      </w:r>
      <w:proofErr w:type="spellStart"/>
      <w:r w:rsidRPr="008C5A6E">
        <w:rPr>
          <w:rFonts w:ascii="Arial" w:hAnsi="Arial" w:cs="Arial"/>
          <w:color w:val="000000"/>
          <w:sz w:val="22"/>
          <w:szCs w:val="22"/>
          <w:lang w:val="en"/>
        </w:rPr>
        <w:t>MoE</w:t>
      </w:r>
      <w:proofErr w:type="spellEnd"/>
      <w:r w:rsidRPr="008C5A6E">
        <w:rPr>
          <w:rFonts w:ascii="Arial" w:hAnsi="Arial" w:cs="Arial"/>
          <w:color w:val="000000"/>
          <w:sz w:val="22"/>
          <w:szCs w:val="22"/>
          <w:lang w:val="en"/>
        </w:rPr>
        <w:t xml:space="preserve">) for education, the coordination between these entities for early childhood development is weak, leading to regulatory voids for the youngest children. </w:t>
      </w:r>
    </w:p>
    <w:p w14:paraId="2D724171" w14:textId="2480C65B" w:rsidR="00571DBD" w:rsidRPr="008C5A6E" w:rsidRDefault="00571DBD" w:rsidP="00C03D04">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The recently launched Early Childhood Education Policy Framework (202</w:t>
      </w:r>
      <w:r w:rsidR="00A43239" w:rsidRPr="008C5A6E">
        <w:rPr>
          <w:rFonts w:ascii="Arial" w:hAnsi="Arial" w:cs="Arial"/>
          <w:color w:val="000000"/>
          <w:sz w:val="22"/>
          <w:szCs w:val="22"/>
          <w:lang w:val="en"/>
        </w:rPr>
        <w:t>1</w:t>
      </w:r>
      <w:r w:rsidRPr="008C5A6E">
        <w:rPr>
          <w:rFonts w:ascii="Arial" w:hAnsi="Arial" w:cs="Arial"/>
          <w:color w:val="000000"/>
          <w:sz w:val="22"/>
          <w:szCs w:val="22"/>
          <w:lang w:val="en"/>
        </w:rPr>
        <w:t>) provides a roadmap, yet implementation mechanisms remain nascent.</w:t>
      </w:r>
      <w:r w:rsidR="00B823A2">
        <w:rPr>
          <w:rStyle w:val="EndnoteReference"/>
          <w:rFonts w:ascii="Arial" w:hAnsi="Arial" w:cs="Arial"/>
          <w:color w:val="000000"/>
          <w:sz w:val="22"/>
          <w:szCs w:val="22"/>
          <w:lang w:val="en"/>
        </w:rPr>
        <w:endnoteReference w:id="5"/>
      </w:r>
      <w:r w:rsidRPr="008C5A6E">
        <w:rPr>
          <w:rFonts w:ascii="Arial" w:hAnsi="Arial" w:cs="Arial"/>
          <w:color w:val="000000"/>
          <w:sz w:val="22"/>
          <w:szCs w:val="22"/>
          <w:lang w:val="en"/>
        </w:rPr>
        <w:t xml:space="preserve"> The policy's potential impact is undermined by a lack of inter-sectoral cohesion at the district level, where health, education, and social protection services operate in silos rather than as an integrated support system for early childhood development. This fragmentation results in inefficient resource utilization and service delivery gaps, particularly in rural areas where administrative presence is minimal.</w:t>
      </w:r>
      <w:r w:rsidR="00B823A2">
        <w:rPr>
          <w:rStyle w:val="EndnoteReference"/>
          <w:rFonts w:ascii="Arial" w:hAnsi="Arial" w:cs="Arial"/>
          <w:color w:val="000000"/>
          <w:sz w:val="22"/>
          <w:szCs w:val="22"/>
          <w:lang w:val="en"/>
        </w:rPr>
        <w:endnoteReference w:id="6"/>
      </w:r>
      <w:r w:rsidR="00B823A2" w:rsidRPr="008C5A6E">
        <w:rPr>
          <w:rFonts w:ascii="Arial" w:hAnsi="Arial" w:cs="Arial"/>
          <w:color w:val="000000"/>
          <w:sz w:val="22"/>
          <w:szCs w:val="22"/>
          <w:lang w:val="en"/>
        </w:rPr>
        <w:t xml:space="preserve"> </w:t>
      </w:r>
    </w:p>
    <w:p w14:paraId="134568F7" w14:textId="79781321" w:rsidR="00571DBD" w:rsidRPr="008C5A6E" w:rsidRDefault="00571DBD" w:rsidP="00A43239">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Furthermore, budgetary trends indicate a de</w:t>
      </w:r>
      <w:r w:rsidR="00A43239" w:rsidRPr="008C5A6E">
        <w:rPr>
          <w:rFonts w:ascii="Arial" w:hAnsi="Arial" w:cs="Arial"/>
          <w:color w:val="000000"/>
          <w:sz w:val="22"/>
          <w:szCs w:val="22"/>
          <w:lang w:val="en"/>
        </w:rPr>
        <w:t>-</w:t>
      </w:r>
      <w:r w:rsidRPr="008C5A6E">
        <w:rPr>
          <w:rFonts w:ascii="Arial" w:hAnsi="Arial" w:cs="Arial"/>
          <w:color w:val="000000"/>
          <w:sz w:val="22"/>
          <w:szCs w:val="22"/>
          <w:lang w:val="en"/>
        </w:rPr>
        <w:t>prioritization of the education sector which directly impacts ECCE coordination capacity. National education spending as a percentage of GDP has declined from 3.72% in 2019 to 3.12% in 2024.</w:t>
      </w:r>
      <w:r w:rsidR="00B823A2">
        <w:rPr>
          <w:rStyle w:val="EndnoteReference"/>
          <w:rFonts w:ascii="Arial" w:hAnsi="Arial" w:cs="Arial"/>
          <w:color w:val="000000"/>
          <w:sz w:val="22"/>
          <w:szCs w:val="22"/>
          <w:lang w:val="en"/>
        </w:rPr>
        <w:endnoteReference w:id="7"/>
      </w:r>
      <w:r w:rsidRPr="008C5A6E">
        <w:rPr>
          <w:rFonts w:ascii="Arial" w:hAnsi="Arial" w:cs="Arial"/>
          <w:color w:val="000000"/>
          <w:sz w:val="22"/>
          <w:szCs w:val="22"/>
          <w:lang w:val="en"/>
        </w:rPr>
        <w:t xml:space="preserve"> This fiscal contraction limits the government's ability to fund necessary oversight bodies and coordination mechanisms. The Ministry of Gender, Children and Social Protection's budget allocation for child protection programmes, though increased to GHS 1.63 billion in 2024, remains insufficient given the scope of need.</w:t>
      </w:r>
      <w:r w:rsidR="00B823A2">
        <w:rPr>
          <w:rStyle w:val="EndnoteReference"/>
          <w:rFonts w:ascii="Arial" w:hAnsi="Arial" w:cs="Arial"/>
          <w:color w:val="000000"/>
          <w:sz w:val="22"/>
          <w:szCs w:val="22"/>
          <w:lang w:val="en"/>
        </w:rPr>
        <w:endnoteReference w:id="8"/>
      </w:r>
      <w:r w:rsidRPr="008C5A6E">
        <w:rPr>
          <w:rFonts w:ascii="Arial" w:hAnsi="Arial" w:cs="Arial"/>
          <w:color w:val="000000"/>
          <w:sz w:val="22"/>
          <w:szCs w:val="22"/>
          <w:lang w:val="en"/>
        </w:rPr>
        <w:t xml:space="preserve"> Without dedicated resources for monitoring and inter-ministerial collaboration, the ambitious goals set forth in the ECCE policy cannot be operationalized effectively.</w:t>
      </w:r>
    </w:p>
    <w:p w14:paraId="68D88832" w14:textId="6429E3E1" w:rsidR="00571DBD" w:rsidRPr="008C5A6E" w:rsidRDefault="00571DBD" w:rsidP="008900CB">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The absence of a unified, well-resourced ECCE oversight body with authority across all relevant ministries creates a situation where accountability is diffused. The National Coordination Mechanism (NCM), launched in November 2023, aims to strengthen governance but lacks specific ECCE implementation guidelines.</w:t>
      </w:r>
      <w:r w:rsidR="00B823A2">
        <w:rPr>
          <w:rStyle w:val="EndnoteReference"/>
          <w:rFonts w:ascii="Arial" w:hAnsi="Arial" w:cs="Arial"/>
          <w:color w:val="000000"/>
          <w:sz w:val="22"/>
          <w:szCs w:val="22"/>
          <w:lang w:val="en"/>
        </w:rPr>
        <w:endnoteReference w:id="9"/>
      </w:r>
      <w:r w:rsidR="00B823A2" w:rsidRPr="008C5A6E">
        <w:rPr>
          <w:rFonts w:ascii="Arial" w:hAnsi="Arial" w:cs="Arial"/>
          <w:color w:val="000000"/>
          <w:sz w:val="22"/>
          <w:szCs w:val="22"/>
          <w:lang w:val="en"/>
        </w:rPr>
        <w:t xml:space="preserve"> </w:t>
      </w:r>
      <w:r w:rsidRPr="008C5A6E">
        <w:rPr>
          <w:rFonts w:ascii="Arial" w:hAnsi="Arial" w:cs="Arial"/>
          <w:color w:val="000000"/>
          <w:sz w:val="22"/>
          <w:szCs w:val="22"/>
          <w:lang w:val="en"/>
        </w:rPr>
        <w:t xml:space="preserve">Consequently, private providers operate with minimal supervision, and varying standards of care persist unchecked. Strengthening inter-sectoral coordination mechanisms is not merely an administrative necessity but a fundamental prerequisite for ensuring equitable access to quality early childhood services for all children in Ghana. </w:t>
      </w:r>
    </w:p>
    <w:p w14:paraId="55EDD668" w14:textId="77777777" w:rsidR="00571DBD" w:rsidRPr="008C5A6E" w:rsidRDefault="00571DBD" w:rsidP="003A5EED">
      <w:pPr>
        <w:pStyle w:val="Heading1"/>
        <w:pageBreakBefore/>
        <w:spacing w:before="120" w:after="120" w:line="360" w:lineRule="auto"/>
        <w:rPr>
          <w:rFonts w:ascii="Arial" w:eastAsia="Times New Roman" w:hAnsi="Arial" w:cs="Arial"/>
          <w:color w:val="000000"/>
          <w:lang w:val="en"/>
        </w:rPr>
      </w:pPr>
      <w:r w:rsidRPr="008C5A6E">
        <w:rPr>
          <w:rFonts w:ascii="Arial" w:eastAsia="Times New Roman" w:hAnsi="Arial" w:cs="Arial"/>
          <w:color w:val="000000"/>
          <w:lang w:val="en"/>
        </w:rPr>
        <w:lastRenderedPageBreak/>
        <w:t>SECTION 2: REGULATION OF PRIVATE ECCE PROVIDERS</w:t>
      </w:r>
    </w:p>
    <w:p w14:paraId="2047315E" w14:textId="77777777" w:rsidR="00571DBD" w:rsidRPr="008C5A6E" w:rsidRDefault="00571DBD" w:rsidP="003A5EED">
      <w:pPr>
        <w:pStyle w:val="NormalWeb"/>
        <w:spacing w:before="120" w:after="120" w:line="360" w:lineRule="auto"/>
        <w:rPr>
          <w:rFonts w:ascii="Arial" w:hAnsi="Arial" w:cs="Arial"/>
          <w:color w:val="000000"/>
          <w:sz w:val="22"/>
          <w:szCs w:val="22"/>
          <w:lang w:val="en"/>
        </w:rPr>
      </w:pPr>
      <w:r w:rsidRPr="008C5A6E">
        <w:rPr>
          <w:rStyle w:val="Strong"/>
          <w:rFonts w:ascii="Arial" w:hAnsi="Arial" w:cs="Arial"/>
          <w:color w:val="000000"/>
          <w:sz w:val="22"/>
          <w:szCs w:val="22"/>
          <w:lang w:val="en"/>
        </w:rPr>
        <w:t>Response to Question 12(b)</w:t>
      </w:r>
    </w:p>
    <w:p w14:paraId="663DB7F7" w14:textId="4EF00330" w:rsidR="00571DBD" w:rsidRPr="008C5A6E" w:rsidRDefault="00571DBD" w:rsidP="008900CB">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The proliferation of private ECCE providers in Ghana has outpaced the State's capacity for effective regulation, creating significant risks for children, particularly those aged 0-3. A critical regulatory gap exists in the absence of a standardized national curriculum for this age group.</w:t>
      </w:r>
      <w:r w:rsidR="00B823A2">
        <w:rPr>
          <w:rStyle w:val="EndnoteReference"/>
          <w:rFonts w:ascii="Arial" w:hAnsi="Arial" w:cs="Arial"/>
          <w:color w:val="000000"/>
          <w:sz w:val="22"/>
          <w:szCs w:val="22"/>
          <w:lang w:val="en"/>
        </w:rPr>
        <w:endnoteReference w:id="10"/>
      </w:r>
      <w:r w:rsidRPr="008C5A6E">
        <w:rPr>
          <w:rFonts w:ascii="Arial" w:hAnsi="Arial" w:cs="Arial"/>
          <w:color w:val="000000"/>
          <w:sz w:val="22"/>
          <w:szCs w:val="22"/>
          <w:lang w:val="en"/>
        </w:rPr>
        <w:t xml:space="preserve"> While Kindergarten (ages 4-5) benefits from a standard-based curriculum revised in 2019, crèches and nurseries operate without unified learning and development standards, leading to inconsistent quality and developmental outcomes.</w:t>
      </w:r>
      <w:r w:rsidR="00B823A2">
        <w:rPr>
          <w:rStyle w:val="EndnoteReference"/>
          <w:rFonts w:ascii="Arial" w:hAnsi="Arial" w:cs="Arial"/>
          <w:color w:val="000000"/>
          <w:sz w:val="22"/>
          <w:szCs w:val="22"/>
          <w:lang w:val="en"/>
        </w:rPr>
        <w:endnoteReference w:id="11"/>
      </w:r>
      <w:r w:rsidR="00B823A2" w:rsidRPr="008C5A6E">
        <w:rPr>
          <w:rFonts w:ascii="Arial" w:hAnsi="Arial" w:cs="Arial"/>
          <w:color w:val="000000"/>
          <w:sz w:val="22"/>
          <w:szCs w:val="22"/>
          <w:lang w:val="en"/>
        </w:rPr>
        <w:t xml:space="preserve"> </w:t>
      </w:r>
      <w:r w:rsidR="00112B5C" w:rsidRPr="008C5A6E">
        <w:rPr>
          <w:rFonts w:ascii="Arial" w:hAnsi="Arial" w:cs="Arial"/>
          <w:color w:val="000000"/>
          <w:sz w:val="22"/>
          <w:szCs w:val="22"/>
          <w:lang w:val="en"/>
        </w:rPr>
        <w:t>That said, at the time of preparing this report, the Ministry of Gender, Children and Social Protection (</w:t>
      </w:r>
      <w:proofErr w:type="spellStart"/>
      <w:r w:rsidR="00112B5C" w:rsidRPr="008C5A6E">
        <w:rPr>
          <w:rFonts w:ascii="Arial" w:hAnsi="Arial" w:cs="Arial"/>
          <w:color w:val="000000"/>
          <w:sz w:val="22"/>
          <w:szCs w:val="22"/>
          <w:lang w:val="en"/>
        </w:rPr>
        <w:t>MoGCSP</w:t>
      </w:r>
      <w:proofErr w:type="spellEnd"/>
      <w:r w:rsidR="00112B5C" w:rsidRPr="008C5A6E">
        <w:rPr>
          <w:rFonts w:ascii="Arial" w:hAnsi="Arial" w:cs="Arial"/>
          <w:color w:val="000000"/>
          <w:sz w:val="22"/>
          <w:szCs w:val="22"/>
          <w:lang w:val="en"/>
        </w:rPr>
        <w:t>), has engaged consultants to develop the standards for</w:t>
      </w:r>
      <w:r w:rsidR="00184074" w:rsidRPr="008C5A6E">
        <w:rPr>
          <w:rFonts w:ascii="Arial" w:hAnsi="Arial" w:cs="Arial"/>
          <w:color w:val="000000"/>
          <w:sz w:val="22"/>
          <w:szCs w:val="22"/>
          <w:lang w:val="en"/>
        </w:rPr>
        <w:t xml:space="preserve"> children 0-3</w:t>
      </w:r>
      <w:r w:rsidR="002E1CBB" w:rsidRPr="008C5A6E">
        <w:rPr>
          <w:rFonts w:ascii="Arial" w:hAnsi="Arial" w:cs="Arial"/>
          <w:color w:val="000000"/>
          <w:sz w:val="22"/>
          <w:szCs w:val="22"/>
          <w:lang w:val="en"/>
        </w:rPr>
        <w:t>.5</w:t>
      </w:r>
      <w:r w:rsidR="00184074" w:rsidRPr="008C5A6E">
        <w:rPr>
          <w:rFonts w:ascii="Arial" w:hAnsi="Arial" w:cs="Arial"/>
          <w:color w:val="000000"/>
          <w:sz w:val="22"/>
          <w:szCs w:val="22"/>
          <w:lang w:val="en"/>
        </w:rPr>
        <w:t xml:space="preserve"> year</w:t>
      </w:r>
      <w:r w:rsidR="002E1CBB" w:rsidRPr="008C5A6E">
        <w:rPr>
          <w:rFonts w:ascii="Arial" w:hAnsi="Arial" w:cs="Arial"/>
          <w:color w:val="000000"/>
          <w:sz w:val="22"/>
          <w:szCs w:val="22"/>
          <w:lang w:val="en"/>
        </w:rPr>
        <w:t>s</w:t>
      </w:r>
      <w:r w:rsidR="00112B5C" w:rsidRPr="008C5A6E">
        <w:rPr>
          <w:rFonts w:ascii="Arial" w:hAnsi="Arial" w:cs="Arial"/>
          <w:color w:val="000000"/>
          <w:sz w:val="22"/>
          <w:szCs w:val="22"/>
          <w:lang w:val="en"/>
        </w:rPr>
        <w:t>, which this group has sighted.</w:t>
      </w:r>
    </w:p>
    <w:p w14:paraId="68C7703F" w14:textId="1732A4B9" w:rsidR="00571DBD" w:rsidRPr="008C5A6E" w:rsidRDefault="00571DBD" w:rsidP="002E1CBB">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Although the National Schools Inspectorate Authority (NaSIA) began enforcing compliance requirements for private school operators in January 2024 under the Education Regulatory Bodies Act 2020 (Act 1023)</w:t>
      </w:r>
      <w:r w:rsidR="00B823A2">
        <w:rPr>
          <w:rStyle w:val="EndnoteReference"/>
          <w:rFonts w:ascii="Arial" w:hAnsi="Arial" w:cs="Arial"/>
          <w:color w:val="000000"/>
          <w:sz w:val="22"/>
          <w:szCs w:val="22"/>
          <w:lang w:val="en"/>
        </w:rPr>
        <w:endnoteReference w:id="12"/>
      </w:r>
      <w:r w:rsidRPr="008C5A6E">
        <w:rPr>
          <w:rFonts w:ascii="Arial" w:hAnsi="Arial" w:cs="Arial"/>
          <w:color w:val="000000"/>
          <w:sz w:val="22"/>
          <w:szCs w:val="22"/>
          <w:lang w:val="en"/>
        </w:rPr>
        <w:t xml:space="preserve">, the agency lacks </w:t>
      </w:r>
      <w:r w:rsidR="002E1CBB" w:rsidRPr="008C5A6E">
        <w:rPr>
          <w:rFonts w:ascii="Arial" w:hAnsi="Arial" w:cs="Arial"/>
          <w:color w:val="000000"/>
          <w:sz w:val="22"/>
          <w:szCs w:val="22"/>
          <w:lang w:val="en"/>
        </w:rPr>
        <w:t xml:space="preserve">adequate </w:t>
      </w:r>
      <w:r w:rsidRPr="008C5A6E">
        <w:rPr>
          <w:rFonts w:ascii="Arial" w:hAnsi="Arial" w:cs="Arial"/>
          <w:color w:val="000000"/>
          <w:sz w:val="22"/>
          <w:szCs w:val="22"/>
          <w:lang w:val="en"/>
        </w:rPr>
        <w:t>human and financial resources required for systematic, nationwide monitoring. Current enforcement efforts are sporadic and primarily concentrated in urban centers, leaving vast numbers of private facilities, particularly in peri-urban and rural areas, operating without oversight.</w:t>
      </w:r>
      <w:r w:rsidR="00B823A2">
        <w:rPr>
          <w:rStyle w:val="EndnoteReference"/>
          <w:rFonts w:ascii="Arial" w:hAnsi="Arial" w:cs="Arial"/>
          <w:color w:val="000000"/>
          <w:sz w:val="22"/>
          <w:szCs w:val="22"/>
          <w:lang w:val="en"/>
        </w:rPr>
        <w:endnoteReference w:id="13"/>
      </w:r>
      <w:r w:rsidRPr="008C5A6E">
        <w:rPr>
          <w:rFonts w:ascii="Arial" w:hAnsi="Arial" w:cs="Arial"/>
          <w:color w:val="000000"/>
          <w:sz w:val="22"/>
          <w:szCs w:val="22"/>
          <w:lang w:val="en"/>
        </w:rPr>
        <w:t xml:space="preserve"> This regulatory vacuum allows substandard facilities to persist, where safety, hygiene, and learning environments often fail to meet minimum requirements established in the National Minimum Guidelines for KG (2016).</w:t>
      </w:r>
      <w:r w:rsidR="00253CD4">
        <w:rPr>
          <w:rStyle w:val="EndnoteReference"/>
          <w:rFonts w:ascii="Arial" w:hAnsi="Arial" w:cs="Arial"/>
          <w:color w:val="000000"/>
          <w:sz w:val="22"/>
          <w:szCs w:val="22"/>
          <w:lang w:val="en"/>
        </w:rPr>
        <w:endnoteReference w:id="14"/>
      </w:r>
      <w:r w:rsidR="00253CD4" w:rsidRPr="008C5A6E">
        <w:rPr>
          <w:rFonts w:ascii="Arial" w:hAnsi="Arial" w:cs="Arial"/>
          <w:color w:val="000000"/>
          <w:sz w:val="22"/>
          <w:szCs w:val="22"/>
          <w:lang w:val="en"/>
        </w:rPr>
        <w:t xml:space="preserve"> </w:t>
      </w:r>
    </w:p>
    <w:p w14:paraId="462A01D8" w14:textId="23DA3A76" w:rsidR="00571DBD" w:rsidRPr="008C5A6E" w:rsidRDefault="00571DBD" w:rsidP="002E1CBB">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A major indicator of poor quality regulation is the low qualification of personnel in ECCE settings. Evidence from the Thrive Ghana Study (2024) reveals that only 31% of teachers in early childhood settings are ECE-certified as of November 2022.</w:t>
      </w:r>
      <w:r w:rsidR="00253CD4">
        <w:rPr>
          <w:rStyle w:val="EndnoteReference"/>
          <w:rFonts w:ascii="Arial" w:hAnsi="Arial" w:cs="Arial"/>
          <w:color w:val="000000"/>
          <w:sz w:val="22"/>
          <w:szCs w:val="22"/>
          <w:lang w:val="en"/>
        </w:rPr>
        <w:endnoteReference w:id="15"/>
      </w:r>
      <w:r w:rsidRPr="008C5A6E">
        <w:rPr>
          <w:rFonts w:ascii="Arial" w:hAnsi="Arial" w:cs="Arial"/>
          <w:color w:val="000000"/>
          <w:sz w:val="22"/>
          <w:szCs w:val="22"/>
          <w:lang w:val="en"/>
        </w:rPr>
        <w:t xml:space="preserve"> This lack of professional qualification is particularly acute in the private sector for ages 0-3, where caregivers are often untrained. The disparity in teacher qualification is further exacerbated by geography, creating a two-tier system of early education. Training coverage shows only 51% of primary school teachers receiving training compared to 66% at Junior High School level.</w:t>
      </w:r>
      <w:r w:rsidR="00253CD4">
        <w:rPr>
          <w:rStyle w:val="EndnoteReference"/>
          <w:rFonts w:ascii="Arial" w:hAnsi="Arial" w:cs="Arial"/>
          <w:color w:val="000000"/>
          <w:sz w:val="22"/>
          <w:szCs w:val="22"/>
          <w:lang w:val="en"/>
        </w:rPr>
        <w:endnoteReference w:id="16"/>
      </w:r>
      <w:r w:rsidRPr="008C5A6E">
        <w:rPr>
          <w:rFonts w:ascii="Arial" w:hAnsi="Arial" w:cs="Arial"/>
          <w:color w:val="000000"/>
          <w:sz w:val="22"/>
          <w:szCs w:val="22"/>
          <w:lang w:val="en"/>
        </w:rPr>
        <w:t xml:space="preserve"> </w:t>
      </w:r>
    </w:p>
    <w:p w14:paraId="549596F5" w14:textId="77777777" w:rsidR="00571DBD" w:rsidRPr="008C5A6E" w:rsidRDefault="00571DBD" w:rsidP="003A5EED">
      <w:pPr>
        <w:pStyle w:val="NormalWeb"/>
        <w:spacing w:before="120" w:after="120" w:line="360" w:lineRule="auto"/>
        <w:rPr>
          <w:rFonts w:ascii="Arial" w:hAnsi="Arial" w:cs="Arial"/>
          <w:color w:val="000000"/>
          <w:sz w:val="22"/>
          <w:szCs w:val="22"/>
          <w:lang w:val="en"/>
        </w:rPr>
      </w:pPr>
      <w:r w:rsidRPr="008C5A6E">
        <w:rPr>
          <w:rStyle w:val="Strong"/>
          <w:rFonts w:ascii="Arial" w:hAnsi="Arial" w:cs="Arial"/>
          <w:color w:val="000000"/>
          <w:sz w:val="22"/>
          <w:szCs w:val="22"/>
          <w:lang w:val="en"/>
        </w:rPr>
        <w:t>Table 1: Urban-Rural Disparities in Teacher Qualification</w:t>
      </w:r>
    </w:p>
    <w:tbl>
      <w:tblPr>
        <w:tblStyle w:val="GridTable1Light-Accent2"/>
        <w:tblW w:w="5000" w:type="pct"/>
        <w:tblLook w:val="04A0" w:firstRow="1" w:lastRow="0" w:firstColumn="1" w:lastColumn="0" w:noHBand="0" w:noVBand="1"/>
      </w:tblPr>
      <w:tblGrid>
        <w:gridCol w:w="3021"/>
        <w:gridCol w:w="1866"/>
        <w:gridCol w:w="1622"/>
        <w:gridCol w:w="2507"/>
      </w:tblGrid>
      <w:tr w:rsidR="009E0366" w:rsidRPr="008C5A6E" w14:paraId="48F8F315" w14:textId="77777777" w:rsidTr="003B71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D0688" w14:textId="77777777" w:rsidR="00571DBD" w:rsidRPr="008C5A6E" w:rsidRDefault="00571DBD" w:rsidP="003A5EED">
            <w:pPr>
              <w:spacing w:before="120" w:after="120" w:line="360" w:lineRule="auto"/>
              <w:rPr>
                <w:rFonts w:ascii="Arial" w:eastAsia="Times New Roman" w:hAnsi="Arial" w:cs="Arial"/>
                <w:b w:val="0"/>
                <w:bCs w:val="0"/>
                <w:color w:val="000000"/>
                <w:sz w:val="15"/>
                <w:szCs w:val="15"/>
              </w:rPr>
            </w:pPr>
            <w:r w:rsidRPr="008C5A6E">
              <w:rPr>
                <w:rFonts w:ascii="Arial" w:eastAsia="Times New Roman" w:hAnsi="Arial" w:cs="Arial"/>
                <w:color w:val="000000"/>
                <w:sz w:val="15"/>
                <w:szCs w:val="15"/>
              </w:rPr>
              <w:t>Indicator</w:t>
            </w:r>
          </w:p>
        </w:tc>
        <w:tc>
          <w:tcPr>
            <w:tcW w:w="0" w:type="auto"/>
            <w:hideMark/>
          </w:tcPr>
          <w:p w14:paraId="19803480" w14:textId="77777777" w:rsidR="00571DBD" w:rsidRPr="008C5A6E" w:rsidRDefault="00571DBD" w:rsidP="003A5EED">
            <w:pPr>
              <w:spacing w:before="120" w:after="120"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5"/>
                <w:szCs w:val="15"/>
              </w:rPr>
            </w:pPr>
            <w:r w:rsidRPr="008C5A6E">
              <w:rPr>
                <w:rFonts w:ascii="Arial" w:eastAsia="Times New Roman" w:hAnsi="Arial" w:cs="Arial"/>
                <w:color w:val="000000"/>
                <w:sz w:val="15"/>
                <w:szCs w:val="15"/>
              </w:rPr>
              <w:t>Urban Areas</w:t>
            </w:r>
          </w:p>
        </w:tc>
        <w:tc>
          <w:tcPr>
            <w:tcW w:w="0" w:type="auto"/>
            <w:hideMark/>
          </w:tcPr>
          <w:p w14:paraId="666AC29A" w14:textId="77777777" w:rsidR="00571DBD" w:rsidRPr="008C5A6E" w:rsidRDefault="00571DBD" w:rsidP="003A5EED">
            <w:pPr>
              <w:spacing w:before="120" w:after="120"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5"/>
                <w:szCs w:val="15"/>
              </w:rPr>
            </w:pPr>
            <w:r w:rsidRPr="008C5A6E">
              <w:rPr>
                <w:rFonts w:ascii="Arial" w:eastAsia="Times New Roman" w:hAnsi="Arial" w:cs="Arial"/>
                <w:color w:val="000000"/>
                <w:sz w:val="15"/>
                <w:szCs w:val="15"/>
              </w:rPr>
              <w:t>Rural Areas</w:t>
            </w:r>
          </w:p>
        </w:tc>
        <w:tc>
          <w:tcPr>
            <w:tcW w:w="0" w:type="auto"/>
            <w:hideMark/>
          </w:tcPr>
          <w:p w14:paraId="28B87F50" w14:textId="77777777" w:rsidR="00571DBD" w:rsidRPr="008C5A6E" w:rsidRDefault="00571DBD" w:rsidP="003A5EED">
            <w:pPr>
              <w:spacing w:before="120" w:after="120"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5"/>
                <w:szCs w:val="15"/>
              </w:rPr>
            </w:pPr>
            <w:r w:rsidRPr="008C5A6E">
              <w:rPr>
                <w:rFonts w:ascii="Arial" w:eastAsia="Times New Roman" w:hAnsi="Arial" w:cs="Arial"/>
                <w:color w:val="000000"/>
                <w:sz w:val="15"/>
                <w:szCs w:val="15"/>
              </w:rPr>
              <w:t>Source</w:t>
            </w:r>
          </w:p>
        </w:tc>
      </w:tr>
      <w:tr w:rsidR="009E0366" w:rsidRPr="008C5A6E" w14:paraId="09092B61" w14:textId="77777777" w:rsidTr="003B7149">
        <w:tc>
          <w:tcPr>
            <w:cnfStyle w:val="001000000000" w:firstRow="0" w:lastRow="0" w:firstColumn="1" w:lastColumn="0" w:oddVBand="0" w:evenVBand="0" w:oddHBand="0" w:evenHBand="0" w:firstRowFirstColumn="0" w:firstRowLastColumn="0" w:lastRowFirstColumn="0" w:lastRowLastColumn="0"/>
            <w:tcW w:w="0" w:type="auto"/>
            <w:hideMark/>
          </w:tcPr>
          <w:p w14:paraId="1192505D" w14:textId="77777777" w:rsidR="00571DBD" w:rsidRPr="008C5A6E" w:rsidRDefault="00571DBD" w:rsidP="003A5EED">
            <w:pPr>
              <w:spacing w:before="120" w:after="120" w:line="360" w:lineRule="auto"/>
              <w:rPr>
                <w:rFonts w:ascii="Arial" w:eastAsia="Times New Roman" w:hAnsi="Arial" w:cs="Arial"/>
                <w:color w:val="000000"/>
                <w:sz w:val="15"/>
                <w:szCs w:val="15"/>
              </w:rPr>
            </w:pPr>
            <w:r w:rsidRPr="008C5A6E">
              <w:rPr>
                <w:rFonts w:ascii="Arial" w:eastAsia="Times New Roman" w:hAnsi="Arial" w:cs="Arial"/>
                <w:color w:val="000000"/>
                <w:sz w:val="15"/>
                <w:szCs w:val="15"/>
              </w:rPr>
              <w:t>Access to qualified ECE teachers</w:t>
            </w:r>
          </w:p>
        </w:tc>
        <w:tc>
          <w:tcPr>
            <w:tcW w:w="0" w:type="auto"/>
            <w:hideMark/>
          </w:tcPr>
          <w:p w14:paraId="3521AA32" w14:textId="77777777" w:rsidR="00571DBD" w:rsidRPr="008C5A6E" w:rsidRDefault="00571DBD" w:rsidP="003A5EE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8C5A6E">
              <w:rPr>
                <w:rFonts w:ascii="Arial" w:eastAsia="Times New Roman" w:hAnsi="Arial" w:cs="Arial"/>
                <w:color w:val="000000"/>
                <w:sz w:val="15"/>
                <w:szCs w:val="15"/>
              </w:rPr>
              <w:t>90% coverage</w:t>
            </w:r>
          </w:p>
        </w:tc>
        <w:tc>
          <w:tcPr>
            <w:tcW w:w="0" w:type="auto"/>
            <w:hideMark/>
          </w:tcPr>
          <w:p w14:paraId="678B12A8" w14:textId="77777777" w:rsidR="00571DBD" w:rsidRPr="008C5A6E" w:rsidRDefault="00571DBD" w:rsidP="003A5EE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8C5A6E">
              <w:rPr>
                <w:rFonts w:ascii="Arial" w:eastAsia="Times New Roman" w:hAnsi="Arial" w:cs="Arial"/>
                <w:color w:val="000000"/>
                <w:sz w:val="15"/>
                <w:szCs w:val="15"/>
              </w:rPr>
              <w:t>29-64% coverage</w:t>
            </w:r>
          </w:p>
        </w:tc>
        <w:tc>
          <w:tcPr>
            <w:tcW w:w="0" w:type="auto"/>
            <w:hideMark/>
          </w:tcPr>
          <w:p w14:paraId="5D57B6B5" w14:textId="77777777" w:rsidR="00571DBD" w:rsidRPr="008C5A6E" w:rsidRDefault="00571DBD" w:rsidP="003A5EE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8C5A6E">
              <w:rPr>
                <w:rFonts w:ascii="Arial" w:eastAsia="Times New Roman" w:hAnsi="Arial" w:cs="Arial"/>
                <w:color w:val="000000"/>
                <w:sz w:val="15"/>
                <w:szCs w:val="15"/>
              </w:rPr>
              <w:t>Oxford Business Group 2024</w:t>
            </w:r>
          </w:p>
        </w:tc>
      </w:tr>
      <w:tr w:rsidR="009E0366" w:rsidRPr="008C5A6E" w14:paraId="32DF6C06" w14:textId="77777777" w:rsidTr="003B7149">
        <w:tc>
          <w:tcPr>
            <w:cnfStyle w:val="001000000000" w:firstRow="0" w:lastRow="0" w:firstColumn="1" w:lastColumn="0" w:oddVBand="0" w:evenVBand="0" w:oddHBand="0" w:evenHBand="0" w:firstRowFirstColumn="0" w:firstRowLastColumn="0" w:lastRowFirstColumn="0" w:lastRowLastColumn="0"/>
            <w:tcW w:w="0" w:type="auto"/>
            <w:hideMark/>
          </w:tcPr>
          <w:p w14:paraId="3FD1D1C0" w14:textId="77777777" w:rsidR="00571DBD" w:rsidRPr="008C5A6E" w:rsidRDefault="00571DBD" w:rsidP="003A5EED">
            <w:pPr>
              <w:spacing w:before="120" w:after="120" w:line="360" w:lineRule="auto"/>
              <w:rPr>
                <w:rFonts w:ascii="Arial" w:eastAsia="Times New Roman" w:hAnsi="Arial" w:cs="Arial"/>
                <w:color w:val="000000"/>
                <w:sz w:val="15"/>
                <w:szCs w:val="15"/>
              </w:rPr>
            </w:pPr>
            <w:r w:rsidRPr="008C5A6E">
              <w:rPr>
                <w:rFonts w:ascii="Arial" w:eastAsia="Times New Roman" w:hAnsi="Arial" w:cs="Arial"/>
                <w:color w:val="000000"/>
                <w:sz w:val="15"/>
                <w:szCs w:val="15"/>
              </w:rPr>
              <w:t>ECE Certification Rate</w:t>
            </w:r>
          </w:p>
        </w:tc>
        <w:tc>
          <w:tcPr>
            <w:tcW w:w="0" w:type="auto"/>
            <w:hideMark/>
          </w:tcPr>
          <w:p w14:paraId="6F687E5A" w14:textId="77777777" w:rsidR="00571DBD" w:rsidRPr="008C5A6E" w:rsidRDefault="00571DBD" w:rsidP="003A5EE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8C5A6E">
              <w:rPr>
                <w:rFonts w:ascii="Arial" w:eastAsia="Times New Roman" w:hAnsi="Arial" w:cs="Arial"/>
                <w:color w:val="000000"/>
                <w:sz w:val="15"/>
                <w:szCs w:val="15"/>
              </w:rPr>
              <w:t>Higher concentration</w:t>
            </w:r>
          </w:p>
        </w:tc>
        <w:tc>
          <w:tcPr>
            <w:tcW w:w="0" w:type="auto"/>
            <w:hideMark/>
          </w:tcPr>
          <w:p w14:paraId="16C4271A" w14:textId="77777777" w:rsidR="00571DBD" w:rsidRPr="008C5A6E" w:rsidRDefault="00571DBD" w:rsidP="003A5EE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8C5A6E">
              <w:rPr>
                <w:rFonts w:ascii="Arial" w:eastAsia="Times New Roman" w:hAnsi="Arial" w:cs="Arial"/>
                <w:color w:val="000000"/>
                <w:sz w:val="15"/>
                <w:szCs w:val="15"/>
              </w:rPr>
              <w:t>Limited coverage</w:t>
            </w:r>
          </w:p>
        </w:tc>
        <w:tc>
          <w:tcPr>
            <w:tcW w:w="0" w:type="auto"/>
            <w:hideMark/>
          </w:tcPr>
          <w:p w14:paraId="7E1CD334" w14:textId="77777777" w:rsidR="00571DBD" w:rsidRPr="008C5A6E" w:rsidRDefault="00571DBD" w:rsidP="003A5EE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8C5A6E">
              <w:rPr>
                <w:rFonts w:ascii="Arial" w:eastAsia="Times New Roman" w:hAnsi="Arial" w:cs="Arial"/>
                <w:color w:val="000000"/>
                <w:sz w:val="15"/>
                <w:szCs w:val="15"/>
              </w:rPr>
              <w:t>Thrive Ghana Study 2024</w:t>
            </w:r>
          </w:p>
        </w:tc>
      </w:tr>
    </w:tbl>
    <w:p w14:paraId="403FFEDE" w14:textId="07BDA3B6" w:rsidR="00571DBD" w:rsidRPr="008C5A6E" w:rsidRDefault="00571DBD" w:rsidP="003B7149">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The regulatory failure is starkest in rural areas, where only 29-64% of facilities have access to qualified teachers compared to 90% in urban areas.</w:t>
      </w:r>
      <w:r w:rsidR="00253CD4">
        <w:rPr>
          <w:rStyle w:val="EndnoteReference"/>
          <w:rFonts w:ascii="Arial" w:hAnsi="Arial" w:cs="Arial"/>
          <w:color w:val="000000"/>
          <w:sz w:val="22"/>
          <w:szCs w:val="22"/>
          <w:lang w:val="en"/>
        </w:rPr>
        <w:endnoteReference w:id="17"/>
      </w:r>
      <w:r w:rsidR="00253CD4" w:rsidRPr="008C5A6E">
        <w:rPr>
          <w:rFonts w:ascii="Arial" w:hAnsi="Arial" w:cs="Arial"/>
          <w:color w:val="000000"/>
          <w:sz w:val="22"/>
          <w:szCs w:val="22"/>
          <w:lang w:val="en"/>
        </w:rPr>
        <w:t xml:space="preserve"> </w:t>
      </w:r>
      <w:r w:rsidRPr="008C5A6E">
        <w:rPr>
          <w:rFonts w:ascii="Arial" w:hAnsi="Arial" w:cs="Arial"/>
          <w:color w:val="000000"/>
          <w:sz w:val="22"/>
          <w:szCs w:val="22"/>
          <w:lang w:val="en"/>
        </w:rPr>
        <w:t xml:space="preserve">Many rural kindergartens, </w:t>
      </w:r>
      <w:r w:rsidRPr="008C5A6E">
        <w:rPr>
          <w:rFonts w:ascii="Arial" w:hAnsi="Arial" w:cs="Arial"/>
          <w:color w:val="000000"/>
          <w:sz w:val="22"/>
          <w:szCs w:val="22"/>
          <w:lang w:val="en"/>
        </w:rPr>
        <w:lastRenderedPageBreak/>
        <w:t>especially in Northern regions, lack qualified professional KG teachers, with capacity-building largely dependent on NGO interventions.</w:t>
      </w:r>
      <w:r w:rsidR="00253CD4">
        <w:rPr>
          <w:rStyle w:val="EndnoteReference"/>
          <w:rFonts w:ascii="Arial" w:hAnsi="Arial" w:cs="Arial"/>
          <w:color w:val="000000"/>
          <w:sz w:val="22"/>
          <w:szCs w:val="22"/>
          <w:lang w:val="en"/>
        </w:rPr>
        <w:endnoteReference w:id="18"/>
      </w:r>
      <w:r w:rsidRPr="008C5A6E">
        <w:rPr>
          <w:rFonts w:ascii="Arial" w:hAnsi="Arial" w:cs="Arial"/>
          <w:color w:val="000000"/>
          <w:sz w:val="22"/>
          <w:szCs w:val="22"/>
          <w:lang w:val="en"/>
        </w:rPr>
        <w:t xml:space="preserve"> Without mandatory licensing linked to quality standards and teacher certification, private provision will continue to reinforce inequality rather than expand access to quality education. The State must urgently implement a comprehensive regulatory framework that includes regular inspections for all private ECCE providers. </w:t>
      </w:r>
    </w:p>
    <w:p w14:paraId="72215892" w14:textId="77777777" w:rsidR="00571DBD" w:rsidRPr="008C5A6E" w:rsidRDefault="00571DBD" w:rsidP="003A5EED">
      <w:pPr>
        <w:pStyle w:val="Heading1"/>
        <w:pageBreakBefore/>
        <w:spacing w:before="120" w:after="120" w:line="360" w:lineRule="auto"/>
        <w:rPr>
          <w:rFonts w:ascii="Arial" w:eastAsia="Times New Roman" w:hAnsi="Arial" w:cs="Arial"/>
          <w:color w:val="000000"/>
          <w:lang w:val="en"/>
        </w:rPr>
      </w:pPr>
      <w:r w:rsidRPr="008C5A6E">
        <w:rPr>
          <w:rFonts w:ascii="Arial" w:eastAsia="Times New Roman" w:hAnsi="Arial" w:cs="Arial"/>
          <w:color w:val="000000"/>
          <w:lang w:val="en"/>
        </w:rPr>
        <w:lastRenderedPageBreak/>
        <w:t>SECTION 3: ECCE FUNDING AND BUDGET ALLOCATION</w:t>
      </w:r>
    </w:p>
    <w:p w14:paraId="044FD5A6" w14:textId="77777777" w:rsidR="00571DBD" w:rsidRPr="008C5A6E" w:rsidRDefault="00571DBD" w:rsidP="003A5EED">
      <w:pPr>
        <w:pStyle w:val="NormalWeb"/>
        <w:spacing w:before="120" w:after="120" w:line="360" w:lineRule="auto"/>
        <w:rPr>
          <w:rFonts w:ascii="Arial" w:hAnsi="Arial" w:cs="Arial"/>
          <w:color w:val="000000"/>
          <w:sz w:val="22"/>
          <w:szCs w:val="22"/>
          <w:lang w:val="en"/>
        </w:rPr>
      </w:pPr>
      <w:r w:rsidRPr="008C5A6E">
        <w:rPr>
          <w:rStyle w:val="Strong"/>
          <w:rFonts w:ascii="Arial" w:hAnsi="Arial" w:cs="Arial"/>
          <w:color w:val="000000"/>
          <w:sz w:val="22"/>
          <w:szCs w:val="22"/>
          <w:lang w:val="en"/>
        </w:rPr>
        <w:t>Response to Question 2(d)</w:t>
      </w:r>
    </w:p>
    <w:p w14:paraId="05C3F77B" w14:textId="58084D83" w:rsidR="00571DBD" w:rsidRPr="008C5A6E" w:rsidRDefault="00571DBD" w:rsidP="00255DC7">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 xml:space="preserve">Funding for Early Childhood Care and Education in Ghana is critically inadequate, unstable, and inequitably distributed. A major systemic failure is the complete lack of public funding for children aged 0-3 in crèches and nurseries. The Capitation Grant and School Feeding </w:t>
      </w:r>
      <w:proofErr w:type="spellStart"/>
      <w:r w:rsidRPr="008C5A6E">
        <w:rPr>
          <w:rFonts w:ascii="Arial" w:hAnsi="Arial" w:cs="Arial"/>
          <w:color w:val="000000"/>
          <w:sz w:val="22"/>
          <w:szCs w:val="22"/>
          <w:lang w:val="en"/>
        </w:rPr>
        <w:t>Programme</w:t>
      </w:r>
      <w:proofErr w:type="spellEnd"/>
      <w:r w:rsidRPr="008C5A6E">
        <w:rPr>
          <w:rFonts w:ascii="Arial" w:hAnsi="Arial" w:cs="Arial"/>
          <w:color w:val="000000"/>
          <w:sz w:val="22"/>
          <w:szCs w:val="22"/>
          <w:lang w:val="en"/>
        </w:rPr>
        <w:t>, which are the primary vehicles for public education financing, strictly exclude this age group</w:t>
      </w:r>
      <w:r w:rsidR="00253CD4">
        <w:rPr>
          <w:rStyle w:val="EndnoteReference"/>
          <w:rFonts w:ascii="Arial" w:hAnsi="Arial" w:cs="Arial"/>
          <w:color w:val="000000"/>
          <w:sz w:val="22"/>
          <w:szCs w:val="22"/>
          <w:lang w:val="en"/>
        </w:rPr>
        <w:endnoteReference w:id="19"/>
      </w:r>
      <w:r w:rsidRPr="008C5A6E">
        <w:rPr>
          <w:rFonts w:ascii="Arial" w:hAnsi="Arial" w:cs="Arial"/>
          <w:color w:val="000000"/>
          <w:sz w:val="22"/>
          <w:szCs w:val="22"/>
          <w:lang w:val="en"/>
        </w:rPr>
        <w:t xml:space="preserve">, placing the full financial burden on parents and effectively excluding the poorest families from accessing early childcare services. </w:t>
      </w:r>
    </w:p>
    <w:p w14:paraId="4117FA5D" w14:textId="36B7EE99" w:rsidR="00C962FF" w:rsidRPr="00C962FF" w:rsidRDefault="00C962FF" w:rsidP="00C962FF">
      <w:pPr>
        <w:pStyle w:val="NormalWeb"/>
        <w:spacing w:before="120" w:after="120" w:line="360" w:lineRule="auto"/>
        <w:ind w:firstLine="720"/>
        <w:rPr>
          <w:rFonts w:ascii="Arial" w:hAnsi="Arial" w:cs="Arial"/>
          <w:color w:val="000000"/>
          <w:sz w:val="22"/>
          <w:szCs w:val="22"/>
          <w:lang w:val="en"/>
        </w:rPr>
      </w:pPr>
      <w:r w:rsidRPr="00C962FF">
        <w:rPr>
          <w:rFonts w:ascii="Arial" w:hAnsi="Arial" w:cs="Arial"/>
          <w:color w:val="000000"/>
          <w:sz w:val="22"/>
          <w:szCs w:val="22"/>
          <w:lang w:val="en"/>
        </w:rPr>
        <w:t>For children in Kindergarten (ages 4-5) who do benefit from public funding, allocations have historically been insufficient. The Capitation Grant was set at GHS 9 per child per term through 2025, representing a 100% increase from GHS 4.50 but eroded by high inflation.</w:t>
      </w:r>
      <w:r w:rsidR="00253CD4">
        <w:rPr>
          <w:rStyle w:val="EndnoteReference"/>
          <w:rFonts w:ascii="Arial" w:hAnsi="Arial" w:cs="Arial"/>
          <w:color w:val="000000"/>
          <w:sz w:val="22"/>
          <w:szCs w:val="22"/>
          <w:lang w:val="en"/>
        </w:rPr>
        <w:endnoteReference w:id="20"/>
      </w:r>
      <w:r w:rsidRPr="00C962FF">
        <w:rPr>
          <w:rFonts w:ascii="Arial" w:hAnsi="Arial" w:cs="Arial"/>
          <w:color w:val="000000"/>
          <w:sz w:val="22"/>
          <w:szCs w:val="22"/>
          <w:lang w:val="en"/>
        </w:rPr>
        <w:t xml:space="preserve"> The 2026 budget allocates GHS 157 million for Capitation Grant</w:t>
      </w:r>
      <w:r w:rsidR="00253CD4">
        <w:rPr>
          <w:rStyle w:val="EndnoteReference"/>
          <w:rFonts w:ascii="Arial" w:hAnsi="Arial" w:cs="Arial"/>
          <w:color w:val="000000"/>
          <w:sz w:val="22"/>
          <w:szCs w:val="22"/>
          <w:lang w:val="en"/>
        </w:rPr>
        <w:endnoteReference w:id="21"/>
      </w:r>
      <w:r w:rsidRPr="00C962FF">
        <w:rPr>
          <w:rFonts w:ascii="Arial" w:hAnsi="Arial" w:cs="Arial"/>
          <w:color w:val="000000"/>
          <w:sz w:val="22"/>
          <w:szCs w:val="22"/>
          <w:lang w:val="en"/>
        </w:rPr>
        <w:t xml:space="preserve">, though the per-child amount remains inadequate for covering operational costs. The School Feeding </w:t>
      </w:r>
      <w:proofErr w:type="spellStart"/>
      <w:r w:rsidRPr="00C962FF">
        <w:rPr>
          <w:rFonts w:ascii="Arial" w:hAnsi="Arial" w:cs="Arial"/>
          <w:color w:val="000000"/>
          <w:sz w:val="22"/>
          <w:szCs w:val="22"/>
          <w:lang w:val="en"/>
        </w:rPr>
        <w:t>Programme</w:t>
      </w:r>
      <w:proofErr w:type="spellEnd"/>
      <w:r w:rsidRPr="00C962FF">
        <w:rPr>
          <w:rFonts w:ascii="Arial" w:hAnsi="Arial" w:cs="Arial"/>
          <w:color w:val="000000"/>
          <w:sz w:val="22"/>
          <w:szCs w:val="22"/>
          <w:lang w:val="en"/>
        </w:rPr>
        <w:t xml:space="preserve"> received a substantial increase to GHS 1.98 billion in 2026</w:t>
      </w:r>
      <w:r w:rsidR="00253CD4">
        <w:rPr>
          <w:rStyle w:val="EndnoteReference"/>
          <w:rFonts w:ascii="Arial" w:hAnsi="Arial" w:cs="Arial"/>
          <w:color w:val="000000"/>
          <w:sz w:val="22"/>
          <w:szCs w:val="22"/>
          <w:lang w:val="en"/>
        </w:rPr>
        <w:endnoteReference w:id="22"/>
      </w:r>
      <w:r w:rsidRPr="00C962FF">
        <w:rPr>
          <w:rFonts w:ascii="Arial" w:hAnsi="Arial" w:cs="Arial"/>
          <w:color w:val="000000"/>
          <w:sz w:val="22"/>
          <w:szCs w:val="22"/>
          <w:lang w:val="en"/>
        </w:rPr>
        <w:t>, up from previous years, yet the per-child daily allocation remains insufficient to provide nutritionally adequate meals, compromising children's health and learning capacity.</w:t>
      </w:r>
      <w:r w:rsidR="00EE460C">
        <w:rPr>
          <w:rStyle w:val="EndnoteReference"/>
          <w:rFonts w:ascii="Arial" w:hAnsi="Arial" w:cs="Arial"/>
          <w:color w:val="000000"/>
          <w:sz w:val="22"/>
          <w:szCs w:val="22"/>
          <w:lang w:val="en"/>
        </w:rPr>
        <w:endnoteReference w:id="23"/>
      </w:r>
      <w:r w:rsidRPr="00C962FF">
        <w:rPr>
          <w:rFonts w:ascii="Arial" w:hAnsi="Arial" w:cs="Arial"/>
          <w:color w:val="000000"/>
          <w:sz w:val="22"/>
          <w:szCs w:val="22"/>
          <w:lang w:val="en"/>
        </w:rPr>
        <w:t xml:space="preserve"> Historical disbursement patterns have been chronically irregular, arriving late or in arrears, disrupting school operations.</w:t>
      </w:r>
      <w:r w:rsidR="00EE460C">
        <w:rPr>
          <w:rStyle w:val="EndnoteReference"/>
          <w:rFonts w:ascii="Arial" w:hAnsi="Arial" w:cs="Arial"/>
          <w:color w:val="000000"/>
          <w:sz w:val="22"/>
          <w:szCs w:val="22"/>
          <w:lang w:val="en"/>
        </w:rPr>
        <w:endnoteReference w:id="24"/>
      </w:r>
      <w:r w:rsidRPr="00C962FF">
        <w:rPr>
          <w:rFonts w:ascii="Arial" w:hAnsi="Arial" w:cs="Arial"/>
          <w:color w:val="000000"/>
          <w:sz w:val="22"/>
          <w:szCs w:val="22"/>
          <w:lang w:val="en"/>
        </w:rPr>
        <w:t xml:space="preserve"> </w:t>
      </w:r>
    </w:p>
    <w:p w14:paraId="4FEC9C00" w14:textId="4AC418BA" w:rsidR="00C962FF" w:rsidRPr="00C962FF" w:rsidRDefault="00C962FF" w:rsidP="00C962FF">
      <w:pPr>
        <w:pStyle w:val="NormalWeb"/>
        <w:spacing w:before="120" w:after="120" w:line="360" w:lineRule="auto"/>
        <w:ind w:firstLine="720"/>
        <w:rPr>
          <w:rFonts w:ascii="Arial" w:hAnsi="Arial" w:cs="Arial"/>
          <w:color w:val="000000"/>
          <w:sz w:val="22"/>
          <w:szCs w:val="22"/>
          <w:lang w:val="en"/>
        </w:rPr>
      </w:pPr>
      <w:r w:rsidRPr="00C962FF">
        <w:rPr>
          <w:rFonts w:ascii="Arial" w:hAnsi="Arial" w:cs="Arial"/>
          <w:color w:val="000000"/>
          <w:sz w:val="22"/>
          <w:szCs w:val="22"/>
          <w:lang w:val="en"/>
        </w:rPr>
        <w:t>Budgetary trends between 2024-2025 showed a concerning disinvestment in education, with the Ministry of Education's budget declining by 5.5% from GHS 33.6 billion in 2024 to GHS 31.8 billion in 2025.</w:t>
      </w:r>
      <w:r w:rsidR="00EE460C">
        <w:rPr>
          <w:rStyle w:val="EndnoteReference"/>
          <w:rFonts w:ascii="Arial" w:hAnsi="Arial" w:cs="Arial"/>
          <w:color w:val="000000"/>
          <w:sz w:val="22"/>
          <w:szCs w:val="22"/>
          <w:lang w:val="en"/>
        </w:rPr>
        <w:endnoteReference w:id="25"/>
      </w:r>
      <w:r w:rsidRPr="00C962FF">
        <w:rPr>
          <w:rFonts w:ascii="Arial" w:hAnsi="Arial" w:cs="Arial"/>
          <w:color w:val="000000"/>
          <w:sz w:val="22"/>
          <w:szCs w:val="22"/>
          <w:lang w:val="en"/>
        </w:rPr>
        <w:t xml:space="preserve"> However, the 2026 budget announced a significant reversal with education allocation increasing to GHS 33.3 billion for the Ministry of Education, plus GHS 9.9 billion for </w:t>
      </w:r>
      <w:proofErr w:type="spellStart"/>
      <w:r w:rsidRPr="00C962FF">
        <w:rPr>
          <w:rFonts w:ascii="Arial" w:hAnsi="Arial" w:cs="Arial"/>
          <w:color w:val="000000"/>
          <w:sz w:val="22"/>
          <w:szCs w:val="22"/>
          <w:lang w:val="en"/>
        </w:rPr>
        <w:t>GETFund</w:t>
      </w:r>
      <w:proofErr w:type="spellEnd"/>
      <w:r w:rsidRPr="00C962FF">
        <w:rPr>
          <w:rFonts w:ascii="Arial" w:hAnsi="Arial" w:cs="Arial"/>
          <w:color w:val="000000"/>
          <w:sz w:val="22"/>
          <w:szCs w:val="22"/>
          <w:lang w:val="en"/>
        </w:rPr>
        <w:t xml:space="preserve">, </w:t>
      </w:r>
      <w:r w:rsidRPr="008C5A6E">
        <w:rPr>
          <w:rFonts w:ascii="Arial" w:hAnsi="Arial" w:cs="Arial"/>
          <w:color w:val="000000"/>
          <w:sz w:val="22"/>
          <w:szCs w:val="22"/>
          <w:lang w:val="en"/>
        </w:rPr>
        <w:t>totaling</w:t>
      </w:r>
      <w:r w:rsidRPr="00C962FF">
        <w:rPr>
          <w:rFonts w:ascii="Arial" w:hAnsi="Arial" w:cs="Arial"/>
          <w:color w:val="000000"/>
          <w:sz w:val="22"/>
          <w:szCs w:val="22"/>
          <w:lang w:val="en"/>
        </w:rPr>
        <w:t xml:space="preserve"> at least GHS 43.2 billion for the education sector.</w:t>
      </w:r>
      <w:r w:rsidR="00EE460C">
        <w:rPr>
          <w:rStyle w:val="EndnoteReference"/>
          <w:rFonts w:ascii="Arial" w:hAnsi="Arial" w:cs="Arial"/>
          <w:color w:val="000000"/>
          <w:sz w:val="22"/>
          <w:szCs w:val="22"/>
          <w:lang w:val="en"/>
        </w:rPr>
        <w:endnoteReference w:id="26"/>
      </w:r>
      <w:r w:rsidRPr="00C962FF">
        <w:rPr>
          <w:rFonts w:ascii="Arial" w:hAnsi="Arial" w:cs="Arial"/>
          <w:color w:val="000000"/>
          <w:sz w:val="22"/>
          <w:szCs w:val="22"/>
          <w:lang w:val="en"/>
        </w:rPr>
        <w:t xml:space="preserve"> This represents approximately 14.3% of total projected government expenditure, though still below UNESCO's recommended 20% of national budget allocation.</w:t>
      </w:r>
      <w:r w:rsidR="00EE460C">
        <w:rPr>
          <w:rStyle w:val="EndnoteReference"/>
          <w:rFonts w:ascii="Arial" w:hAnsi="Arial" w:cs="Arial"/>
          <w:color w:val="000000"/>
          <w:sz w:val="22"/>
          <w:szCs w:val="22"/>
          <w:lang w:val="en"/>
        </w:rPr>
        <w:endnoteReference w:id="27"/>
      </w:r>
      <w:r w:rsidRPr="00C962FF">
        <w:rPr>
          <w:rFonts w:ascii="Arial" w:hAnsi="Arial" w:cs="Arial"/>
          <w:color w:val="000000"/>
          <w:sz w:val="22"/>
          <w:szCs w:val="22"/>
          <w:lang w:val="en"/>
        </w:rPr>
        <w:t xml:space="preserve"> Despite this increase, specific ring-fenced allocations for ECCE ages 0-3 remain absent, and ECCE continues to receive a disproportionately small share compared to secondary and tertiary education levels, contradicting the global evidence on the high returns of early investment. </w:t>
      </w:r>
    </w:p>
    <w:p w14:paraId="43297A26" w14:textId="77777777" w:rsidR="00C962FF" w:rsidRPr="00C962FF" w:rsidRDefault="00C962FF" w:rsidP="00C962FF">
      <w:pPr>
        <w:pStyle w:val="NormalWeb"/>
        <w:spacing w:before="120" w:after="120" w:line="360" w:lineRule="auto"/>
        <w:rPr>
          <w:rFonts w:ascii="Arial" w:hAnsi="Arial" w:cs="Arial"/>
          <w:color w:val="000000"/>
          <w:sz w:val="22"/>
          <w:szCs w:val="22"/>
          <w:lang w:val="en"/>
        </w:rPr>
      </w:pPr>
      <w:r w:rsidRPr="00C962FF">
        <w:rPr>
          <w:rFonts w:ascii="Arial" w:hAnsi="Arial" w:cs="Arial"/>
          <w:b/>
          <w:bCs/>
          <w:color w:val="000000"/>
          <w:sz w:val="22"/>
          <w:szCs w:val="22"/>
          <w:lang w:val="en"/>
        </w:rPr>
        <w:t>Table 2: Education Budget Trends Affecting ECCE (2019-2026)</w:t>
      </w:r>
    </w:p>
    <w:tbl>
      <w:tblPr>
        <w:tblStyle w:val="GridTable1Light-Accent2"/>
        <w:tblW w:w="5000" w:type="pct"/>
        <w:tblLook w:val="04A0" w:firstRow="1" w:lastRow="0" w:firstColumn="1" w:lastColumn="0" w:noHBand="0" w:noVBand="1"/>
      </w:tblPr>
      <w:tblGrid>
        <w:gridCol w:w="2283"/>
        <w:gridCol w:w="1580"/>
        <w:gridCol w:w="1534"/>
        <w:gridCol w:w="1625"/>
        <w:gridCol w:w="1994"/>
      </w:tblGrid>
      <w:tr w:rsidR="00C962FF" w:rsidRPr="008C5A6E" w14:paraId="53B09217" w14:textId="77777777" w:rsidTr="00C962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FEEF4" w14:textId="77777777" w:rsidR="00C962FF" w:rsidRPr="00C962FF" w:rsidRDefault="00C962FF" w:rsidP="00C962FF">
            <w:pPr>
              <w:pStyle w:val="NormalWeb"/>
              <w:spacing w:before="120" w:after="120" w:line="360" w:lineRule="auto"/>
              <w:ind w:firstLine="720"/>
              <w:rPr>
                <w:rFonts w:ascii="Arial" w:hAnsi="Arial" w:cs="Arial"/>
                <w:color w:val="000000"/>
              </w:rPr>
            </w:pPr>
            <w:r w:rsidRPr="00C962FF">
              <w:rPr>
                <w:rFonts w:ascii="Arial" w:hAnsi="Arial" w:cs="Arial"/>
                <w:color w:val="000000"/>
              </w:rPr>
              <w:t>Indicator</w:t>
            </w:r>
          </w:p>
        </w:tc>
        <w:tc>
          <w:tcPr>
            <w:tcW w:w="0" w:type="auto"/>
            <w:hideMark/>
          </w:tcPr>
          <w:p w14:paraId="14BED6BE" w14:textId="77777777" w:rsidR="00C962FF" w:rsidRPr="00C962FF" w:rsidRDefault="00C962FF" w:rsidP="00C962FF">
            <w:pPr>
              <w:pStyle w:val="NormalWeb"/>
              <w:spacing w:before="120" w:after="12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2019/2024 Baseline</w:t>
            </w:r>
          </w:p>
        </w:tc>
        <w:tc>
          <w:tcPr>
            <w:tcW w:w="0" w:type="auto"/>
            <w:hideMark/>
          </w:tcPr>
          <w:p w14:paraId="7840F12A" w14:textId="77777777" w:rsidR="00C962FF" w:rsidRPr="00C962FF" w:rsidRDefault="00C962FF" w:rsidP="00C962FF">
            <w:pPr>
              <w:pStyle w:val="NormalWeb"/>
              <w:spacing w:before="120" w:after="12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2025 Low Point</w:t>
            </w:r>
          </w:p>
        </w:tc>
        <w:tc>
          <w:tcPr>
            <w:tcW w:w="0" w:type="auto"/>
            <w:hideMark/>
          </w:tcPr>
          <w:p w14:paraId="6E70D6A9" w14:textId="77777777" w:rsidR="00C962FF" w:rsidRPr="00C962FF" w:rsidRDefault="00C962FF" w:rsidP="00C962FF">
            <w:pPr>
              <w:pStyle w:val="NormalWeb"/>
              <w:spacing w:before="120" w:after="12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2026 Allocation</w:t>
            </w:r>
          </w:p>
        </w:tc>
        <w:tc>
          <w:tcPr>
            <w:tcW w:w="0" w:type="auto"/>
            <w:hideMark/>
          </w:tcPr>
          <w:p w14:paraId="79E7FBB7" w14:textId="77777777" w:rsidR="00C962FF" w:rsidRPr="00C962FF" w:rsidRDefault="00C962FF" w:rsidP="00C962FF">
            <w:pPr>
              <w:pStyle w:val="NormalWeb"/>
              <w:spacing w:before="120" w:after="120" w:line="360" w:lineRule="auto"/>
              <w:ind w:firstLine="720"/>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Trend</w:t>
            </w:r>
          </w:p>
        </w:tc>
      </w:tr>
      <w:tr w:rsidR="00C962FF" w:rsidRPr="008C5A6E" w14:paraId="6A819B78" w14:textId="77777777" w:rsidTr="00C962FF">
        <w:tc>
          <w:tcPr>
            <w:cnfStyle w:val="001000000000" w:firstRow="0" w:lastRow="0" w:firstColumn="1" w:lastColumn="0" w:oddVBand="0" w:evenVBand="0" w:oddHBand="0" w:evenHBand="0" w:firstRowFirstColumn="0" w:firstRowLastColumn="0" w:lastRowFirstColumn="0" w:lastRowLastColumn="0"/>
            <w:tcW w:w="0" w:type="auto"/>
            <w:hideMark/>
          </w:tcPr>
          <w:p w14:paraId="37E16AE0" w14:textId="77777777" w:rsidR="00C962FF" w:rsidRPr="00C962FF" w:rsidRDefault="00C962FF" w:rsidP="00C962FF">
            <w:pPr>
              <w:pStyle w:val="NormalWeb"/>
              <w:spacing w:before="120" w:after="120" w:line="360" w:lineRule="auto"/>
              <w:rPr>
                <w:rFonts w:ascii="Arial" w:hAnsi="Arial" w:cs="Arial"/>
                <w:color w:val="000000"/>
              </w:rPr>
            </w:pPr>
            <w:r w:rsidRPr="00C962FF">
              <w:rPr>
                <w:rFonts w:ascii="Arial" w:hAnsi="Arial" w:cs="Arial"/>
                <w:color w:val="000000"/>
              </w:rPr>
              <w:t>Education Budget as % of GDP</w:t>
            </w:r>
          </w:p>
        </w:tc>
        <w:tc>
          <w:tcPr>
            <w:tcW w:w="0" w:type="auto"/>
            <w:hideMark/>
          </w:tcPr>
          <w:p w14:paraId="5DCDEA24"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3.72% (2019)</w:t>
            </w:r>
          </w:p>
        </w:tc>
        <w:tc>
          <w:tcPr>
            <w:tcW w:w="0" w:type="auto"/>
            <w:hideMark/>
          </w:tcPr>
          <w:p w14:paraId="3F9C4DF4"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3.12% (2024)</w:t>
            </w:r>
          </w:p>
        </w:tc>
        <w:tc>
          <w:tcPr>
            <w:tcW w:w="0" w:type="auto"/>
            <w:hideMark/>
          </w:tcPr>
          <w:p w14:paraId="6A67728A" w14:textId="04470126"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14.3% of govt expenditure</w:t>
            </w:r>
          </w:p>
        </w:tc>
        <w:tc>
          <w:tcPr>
            <w:tcW w:w="0" w:type="auto"/>
            <w:hideMark/>
          </w:tcPr>
          <w:p w14:paraId="1DA1FD5D"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Recovering but below UNESCO 20%</w:t>
            </w:r>
          </w:p>
        </w:tc>
      </w:tr>
      <w:tr w:rsidR="00C962FF" w:rsidRPr="008C5A6E" w14:paraId="326E363A" w14:textId="77777777" w:rsidTr="00C962FF">
        <w:tc>
          <w:tcPr>
            <w:cnfStyle w:val="001000000000" w:firstRow="0" w:lastRow="0" w:firstColumn="1" w:lastColumn="0" w:oddVBand="0" w:evenVBand="0" w:oddHBand="0" w:evenHBand="0" w:firstRowFirstColumn="0" w:firstRowLastColumn="0" w:lastRowFirstColumn="0" w:lastRowLastColumn="0"/>
            <w:tcW w:w="0" w:type="auto"/>
            <w:hideMark/>
          </w:tcPr>
          <w:p w14:paraId="09363DC3" w14:textId="77777777" w:rsidR="00C962FF" w:rsidRPr="00C962FF" w:rsidRDefault="00C962FF" w:rsidP="00C962FF">
            <w:pPr>
              <w:pStyle w:val="NormalWeb"/>
              <w:spacing w:before="120" w:after="120" w:line="360" w:lineRule="auto"/>
              <w:rPr>
                <w:rFonts w:ascii="Arial" w:hAnsi="Arial" w:cs="Arial"/>
                <w:color w:val="000000"/>
              </w:rPr>
            </w:pPr>
            <w:proofErr w:type="spellStart"/>
            <w:r w:rsidRPr="00C962FF">
              <w:rPr>
                <w:rFonts w:ascii="Arial" w:hAnsi="Arial" w:cs="Arial"/>
                <w:color w:val="000000"/>
              </w:rPr>
              <w:t>MoE</w:t>
            </w:r>
            <w:proofErr w:type="spellEnd"/>
            <w:r w:rsidRPr="00C962FF">
              <w:rPr>
                <w:rFonts w:ascii="Arial" w:hAnsi="Arial" w:cs="Arial"/>
                <w:color w:val="000000"/>
              </w:rPr>
              <w:t xml:space="preserve"> Total Allocation</w:t>
            </w:r>
          </w:p>
        </w:tc>
        <w:tc>
          <w:tcPr>
            <w:tcW w:w="0" w:type="auto"/>
            <w:hideMark/>
          </w:tcPr>
          <w:p w14:paraId="00EC1C4A"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33.6 Billion (2024)</w:t>
            </w:r>
          </w:p>
        </w:tc>
        <w:tc>
          <w:tcPr>
            <w:tcW w:w="0" w:type="auto"/>
            <w:hideMark/>
          </w:tcPr>
          <w:p w14:paraId="7D05EA11"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31.8 Billion (2025)</w:t>
            </w:r>
          </w:p>
        </w:tc>
        <w:tc>
          <w:tcPr>
            <w:tcW w:w="0" w:type="auto"/>
            <w:hideMark/>
          </w:tcPr>
          <w:p w14:paraId="66F18E4D"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33.3 Billion</w:t>
            </w:r>
          </w:p>
        </w:tc>
        <w:tc>
          <w:tcPr>
            <w:tcW w:w="0" w:type="auto"/>
            <w:hideMark/>
          </w:tcPr>
          <w:p w14:paraId="5BED1C94"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Recovering (+4.7% from 2025)</w:t>
            </w:r>
          </w:p>
        </w:tc>
      </w:tr>
      <w:tr w:rsidR="00C962FF" w:rsidRPr="008C5A6E" w14:paraId="49E147CA" w14:textId="77777777" w:rsidTr="00C962FF">
        <w:tc>
          <w:tcPr>
            <w:cnfStyle w:val="001000000000" w:firstRow="0" w:lastRow="0" w:firstColumn="1" w:lastColumn="0" w:oddVBand="0" w:evenVBand="0" w:oddHBand="0" w:evenHBand="0" w:firstRowFirstColumn="0" w:firstRowLastColumn="0" w:lastRowFirstColumn="0" w:lastRowLastColumn="0"/>
            <w:tcW w:w="0" w:type="auto"/>
            <w:hideMark/>
          </w:tcPr>
          <w:p w14:paraId="49232E74" w14:textId="77777777" w:rsidR="00C962FF" w:rsidRPr="00C962FF" w:rsidRDefault="00C962FF" w:rsidP="00C962FF">
            <w:pPr>
              <w:pStyle w:val="NormalWeb"/>
              <w:spacing w:before="120" w:after="120" w:line="360" w:lineRule="auto"/>
              <w:rPr>
                <w:rFonts w:ascii="Arial" w:hAnsi="Arial" w:cs="Arial"/>
                <w:color w:val="000000"/>
              </w:rPr>
            </w:pPr>
            <w:r w:rsidRPr="00C962FF">
              <w:rPr>
                <w:rFonts w:ascii="Arial" w:hAnsi="Arial" w:cs="Arial"/>
                <w:color w:val="000000"/>
              </w:rPr>
              <w:lastRenderedPageBreak/>
              <w:t xml:space="preserve">Education Sector Total (incl. </w:t>
            </w:r>
            <w:proofErr w:type="spellStart"/>
            <w:r w:rsidRPr="00C962FF">
              <w:rPr>
                <w:rFonts w:ascii="Arial" w:hAnsi="Arial" w:cs="Arial"/>
                <w:color w:val="000000"/>
              </w:rPr>
              <w:t>GETFund</w:t>
            </w:r>
            <w:proofErr w:type="spellEnd"/>
            <w:r w:rsidRPr="00C962FF">
              <w:rPr>
                <w:rFonts w:ascii="Arial" w:hAnsi="Arial" w:cs="Arial"/>
                <w:color w:val="000000"/>
              </w:rPr>
              <w:t>)</w:t>
            </w:r>
          </w:p>
        </w:tc>
        <w:tc>
          <w:tcPr>
            <w:tcW w:w="0" w:type="auto"/>
            <w:hideMark/>
          </w:tcPr>
          <w:p w14:paraId="65B9FABF"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Limited data</w:t>
            </w:r>
          </w:p>
        </w:tc>
        <w:tc>
          <w:tcPr>
            <w:tcW w:w="0" w:type="auto"/>
            <w:hideMark/>
          </w:tcPr>
          <w:p w14:paraId="2AD54CBA"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Limited data</w:t>
            </w:r>
          </w:p>
        </w:tc>
        <w:tc>
          <w:tcPr>
            <w:tcW w:w="0" w:type="auto"/>
            <w:hideMark/>
          </w:tcPr>
          <w:p w14:paraId="53ED3F28"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43.2 Billion+</w:t>
            </w:r>
          </w:p>
        </w:tc>
        <w:tc>
          <w:tcPr>
            <w:tcW w:w="0" w:type="auto"/>
            <w:hideMark/>
          </w:tcPr>
          <w:p w14:paraId="4F9CB53A"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Significant increase</w:t>
            </w:r>
          </w:p>
        </w:tc>
      </w:tr>
      <w:tr w:rsidR="00C962FF" w:rsidRPr="008C5A6E" w14:paraId="1B187995" w14:textId="77777777" w:rsidTr="00C962FF">
        <w:tc>
          <w:tcPr>
            <w:cnfStyle w:val="001000000000" w:firstRow="0" w:lastRow="0" w:firstColumn="1" w:lastColumn="0" w:oddVBand="0" w:evenVBand="0" w:oddHBand="0" w:evenHBand="0" w:firstRowFirstColumn="0" w:firstRowLastColumn="0" w:lastRowFirstColumn="0" w:lastRowLastColumn="0"/>
            <w:tcW w:w="0" w:type="auto"/>
            <w:hideMark/>
          </w:tcPr>
          <w:p w14:paraId="628BE26D" w14:textId="77777777" w:rsidR="00C962FF" w:rsidRPr="00C962FF" w:rsidRDefault="00C962FF" w:rsidP="00C962FF">
            <w:pPr>
              <w:pStyle w:val="NormalWeb"/>
              <w:spacing w:before="120" w:after="120" w:line="360" w:lineRule="auto"/>
              <w:rPr>
                <w:rFonts w:ascii="Arial" w:hAnsi="Arial" w:cs="Arial"/>
                <w:color w:val="000000"/>
              </w:rPr>
            </w:pPr>
            <w:r w:rsidRPr="00C962FF">
              <w:rPr>
                <w:rFonts w:ascii="Arial" w:hAnsi="Arial" w:cs="Arial"/>
                <w:color w:val="000000"/>
              </w:rPr>
              <w:t>Capitation Grant</w:t>
            </w:r>
          </w:p>
        </w:tc>
        <w:tc>
          <w:tcPr>
            <w:tcW w:w="0" w:type="auto"/>
            <w:hideMark/>
          </w:tcPr>
          <w:p w14:paraId="2B7A6BD5"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9/child/term</w:t>
            </w:r>
          </w:p>
        </w:tc>
        <w:tc>
          <w:tcPr>
            <w:tcW w:w="0" w:type="auto"/>
            <w:hideMark/>
          </w:tcPr>
          <w:p w14:paraId="12878400"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9/child/term</w:t>
            </w:r>
          </w:p>
        </w:tc>
        <w:tc>
          <w:tcPr>
            <w:tcW w:w="0" w:type="auto"/>
            <w:hideMark/>
          </w:tcPr>
          <w:p w14:paraId="73DFC19F"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157 million total</w:t>
            </w:r>
          </w:p>
        </w:tc>
        <w:tc>
          <w:tcPr>
            <w:tcW w:w="0" w:type="auto"/>
            <w:hideMark/>
          </w:tcPr>
          <w:p w14:paraId="6A13F7DB"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Increased total allocation</w:t>
            </w:r>
          </w:p>
        </w:tc>
      </w:tr>
      <w:tr w:rsidR="00C962FF" w:rsidRPr="008C5A6E" w14:paraId="34260FC0" w14:textId="77777777" w:rsidTr="00C962FF">
        <w:tc>
          <w:tcPr>
            <w:cnfStyle w:val="001000000000" w:firstRow="0" w:lastRow="0" w:firstColumn="1" w:lastColumn="0" w:oddVBand="0" w:evenVBand="0" w:oddHBand="0" w:evenHBand="0" w:firstRowFirstColumn="0" w:firstRowLastColumn="0" w:lastRowFirstColumn="0" w:lastRowLastColumn="0"/>
            <w:tcW w:w="0" w:type="auto"/>
            <w:hideMark/>
          </w:tcPr>
          <w:p w14:paraId="14FD079F" w14:textId="77777777" w:rsidR="00C962FF" w:rsidRPr="00C962FF" w:rsidRDefault="00C962FF" w:rsidP="00C962FF">
            <w:pPr>
              <w:pStyle w:val="NormalWeb"/>
              <w:spacing w:before="120" w:after="120" w:line="360" w:lineRule="auto"/>
              <w:rPr>
                <w:rFonts w:ascii="Arial" w:hAnsi="Arial" w:cs="Arial"/>
                <w:color w:val="000000"/>
              </w:rPr>
            </w:pPr>
            <w:r w:rsidRPr="00C962FF">
              <w:rPr>
                <w:rFonts w:ascii="Arial" w:hAnsi="Arial" w:cs="Arial"/>
                <w:color w:val="000000"/>
              </w:rPr>
              <w:t xml:space="preserve">School Feeding </w:t>
            </w:r>
            <w:proofErr w:type="spellStart"/>
            <w:r w:rsidRPr="00C962FF">
              <w:rPr>
                <w:rFonts w:ascii="Arial" w:hAnsi="Arial" w:cs="Arial"/>
                <w:color w:val="000000"/>
              </w:rPr>
              <w:t>Programme</w:t>
            </w:r>
            <w:proofErr w:type="spellEnd"/>
          </w:p>
        </w:tc>
        <w:tc>
          <w:tcPr>
            <w:tcW w:w="0" w:type="auto"/>
            <w:hideMark/>
          </w:tcPr>
          <w:p w14:paraId="4A1A24F8"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1.50/child/day</w:t>
            </w:r>
          </w:p>
        </w:tc>
        <w:tc>
          <w:tcPr>
            <w:tcW w:w="0" w:type="auto"/>
            <w:hideMark/>
          </w:tcPr>
          <w:p w14:paraId="68091F80"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1.50/child/day</w:t>
            </w:r>
          </w:p>
        </w:tc>
        <w:tc>
          <w:tcPr>
            <w:tcW w:w="0" w:type="auto"/>
            <w:hideMark/>
          </w:tcPr>
          <w:p w14:paraId="410A506F"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GHS 1.98 billion total</w:t>
            </w:r>
          </w:p>
        </w:tc>
        <w:tc>
          <w:tcPr>
            <w:tcW w:w="0" w:type="auto"/>
            <w:hideMark/>
          </w:tcPr>
          <w:p w14:paraId="43BC917C"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Substantial increase</w:t>
            </w:r>
          </w:p>
        </w:tc>
      </w:tr>
      <w:tr w:rsidR="00C962FF" w:rsidRPr="008C5A6E" w14:paraId="38019864" w14:textId="77777777" w:rsidTr="00C962FF">
        <w:tc>
          <w:tcPr>
            <w:cnfStyle w:val="001000000000" w:firstRow="0" w:lastRow="0" w:firstColumn="1" w:lastColumn="0" w:oddVBand="0" w:evenVBand="0" w:oddHBand="0" w:evenHBand="0" w:firstRowFirstColumn="0" w:firstRowLastColumn="0" w:lastRowFirstColumn="0" w:lastRowLastColumn="0"/>
            <w:tcW w:w="0" w:type="auto"/>
            <w:hideMark/>
          </w:tcPr>
          <w:p w14:paraId="3336FA17" w14:textId="77777777" w:rsidR="00C962FF" w:rsidRPr="00C962FF" w:rsidRDefault="00C962FF" w:rsidP="00C962FF">
            <w:pPr>
              <w:pStyle w:val="NormalWeb"/>
              <w:spacing w:before="120" w:after="120" w:line="360" w:lineRule="auto"/>
              <w:rPr>
                <w:rFonts w:ascii="Arial" w:hAnsi="Arial" w:cs="Arial"/>
                <w:color w:val="000000"/>
              </w:rPr>
            </w:pPr>
            <w:r w:rsidRPr="00C962FF">
              <w:rPr>
                <w:rFonts w:ascii="Arial" w:hAnsi="Arial" w:cs="Arial"/>
                <w:color w:val="000000"/>
              </w:rPr>
              <w:t>KG Infrastructure (New Construction)</w:t>
            </w:r>
          </w:p>
        </w:tc>
        <w:tc>
          <w:tcPr>
            <w:tcW w:w="0" w:type="auto"/>
            <w:hideMark/>
          </w:tcPr>
          <w:p w14:paraId="5F2506D1"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90 of 1,171 (8% by 2018)</w:t>
            </w:r>
          </w:p>
        </w:tc>
        <w:tc>
          <w:tcPr>
            <w:tcW w:w="0" w:type="auto"/>
            <w:hideMark/>
          </w:tcPr>
          <w:p w14:paraId="2A835E30"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No new allocation</w:t>
            </w:r>
          </w:p>
        </w:tc>
        <w:tc>
          <w:tcPr>
            <w:tcW w:w="0" w:type="auto"/>
            <w:hideMark/>
          </w:tcPr>
          <w:p w14:paraId="0CC11E40"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200 new KGs (GHS 2.0 billion)</w:t>
            </w:r>
          </w:p>
        </w:tc>
        <w:tc>
          <w:tcPr>
            <w:tcW w:w="0" w:type="auto"/>
            <w:hideMark/>
          </w:tcPr>
          <w:p w14:paraId="67B22350" w14:textId="77777777" w:rsidR="00C962FF" w:rsidRPr="00C962FF" w:rsidRDefault="00C962FF" w:rsidP="00C962FF">
            <w:pPr>
              <w:pStyle w:val="NormalWeb"/>
              <w:spacing w:before="120" w:after="12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62FF">
              <w:rPr>
                <w:rFonts w:ascii="Arial" w:hAnsi="Arial" w:cs="Arial"/>
                <w:color w:val="000000"/>
              </w:rPr>
              <w:t>Major policy shift</w:t>
            </w:r>
          </w:p>
        </w:tc>
      </w:tr>
    </w:tbl>
    <w:p w14:paraId="3040167C" w14:textId="41FAD0A9" w:rsidR="00C962FF" w:rsidRPr="00C962FF" w:rsidRDefault="00C962FF" w:rsidP="00C962FF">
      <w:pPr>
        <w:pStyle w:val="NormalWeb"/>
        <w:spacing w:before="120" w:after="120" w:line="360" w:lineRule="auto"/>
        <w:ind w:firstLine="720"/>
        <w:rPr>
          <w:rFonts w:ascii="Arial" w:hAnsi="Arial" w:cs="Arial"/>
          <w:color w:val="000000"/>
          <w:sz w:val="22"/>
          <w:szCs w:val="22"/>
          <w:lang w:val="en"/>
        </w:rPr>
      </w:pPr>
      <w:r w:rsidRPr="00C962FF">
        <w:rPr>
          <w:rFonts w:ascii="Arial" w:hAnsi="Arial" w:cs="Arial"/>
          <w:color w:val="000000"/>
          <w:sz w:val="22"/>
          <w:szCs w:val="22"/>
          <w:lang w:val="en"/>
        </w:rPr>
        <w:t>The decline in funding for birth registration services by 43% between 2020-2025 further jeopardizes children's access to rights and services from the start of life.</w:t>
      </w:r>
      <w:r w:rsidR="00EE460C">
        <w:rPr>
          <w:rStyle w:val="EndnoteReference"/>
          <w:rFonts w:ascii="Arial" w:hAnsi="Arial" w:cs="Arial"/>
          <w:color w:val="000000"/>
          <w:sz w:val="22"/>
          <w:szCs w:val="22"/>
          <w:lang w:val="en"/>
        </w:rPr>
        <w:endnoteReference w:id="28"/>
      </w:r>
      <w:r w:rsidRPr="00C962FF">
        <w:rPr>
          <w:rFonts w:ascii="Arial" w:hAnsi="Arial" w:cs="Arial"/>
          <w:color w:val="000000"/>
          <w:sz w:val="22"/>
          <w:szCs w:val="22"/>
          <w:lang w:val="en"/>
        </w:rPr>
        <w:t xml:space="preserve"> Child protection budget projections show a concerning reduction from GHS 12 million in 2020 to GHS 7 million projected for 2025, a 42% decline.</w:t>
      </w:r>
      <w:r w:rsidR="00EE460C">
        <w:rPr>
          <w:rStyle w:val="EndnoteReference"/>
          <w:rFonts w:ascii="Arial" w:hAnsi="Arial" w:cs="Arial"/>
          <w:color w:val="000000"/>
          <w:sz w:val="22"/>
          <w:szCs w:val="22"/>
          <w:lang w:val="en"/>
        </w:rPr>
        <w:endnoteReference w:id="29"/>
      </w:r>
      <w:r w:rsidRPr="00C962FF">
        <w:rPr>
          <w:rFonts w:ascii="Arial" w:hAnsi="Arial" w:cs="Arial"/>
          <w:color w:val="000000"/>
          <w:sz w:val="22"/>
          <w:szCs w:val="22"/>
          <w:lang w:val="en"/>
        </w:rPr>
        <w:t xml:space="preserve"> While the 2026 budget demonstrates improved commitment to education infrastructure and program funding, a critical gap persists: no specific allocations extend to children aged 0-3 in crèches and nurseries. The Capitation Grant and School Feeding </w:t>
      </w:r>
      <w:proofErr w:type="spellStart"/>
      <w:r w:rsidRPr="00C962FF">
        <w:rPr>
          <w:rFonts w:ascii="Arial" w:hAnsi="Arial" w:cs="Arial"/>
          <w:color w:val="000000"/>
          <w:sz w:val="22"/>
          <w:szCs w:val="22"/>
          <w:lang w:val="en"/>
        </w:rPr>
        <w:t>Programme</w:t>
      </w:r>
      <w:proofErr w:type="spellEnd"/>
      <w:r w:rsidRPr="00C962FF">
        <w:rPr>
          <w:rFonts w:ascii="Arial" w:hAnsi="Arial" w:cs="Arial"/>
          <w:color w:val="000000"/>
          <w:sz w:val="22"/>
          <w:szCs w:val="22"/>
          <w:lang w:val="en"/>
        </w:rPr>
        <w:t xml:space="preserve"> continue to exclude this vulnerable age group.</w:t>
      </w:r>
      <w:r w:rsidR="00EE460C">
        <w:rPr>
          <w:rStyle w:val="EndnoteReference"/>
          <w:rFonts w:ascii="Arial" w:hAnsi="Arial" w:cs="Arial"/>
          <w:color w:val="000000"/>
          <w:sz w:val="22"/>
          <w:szCs w:val="22"/>
          <w:lang w:val="en"/>
        </w:rPr>
        <w:endnoteReference w:id="30"/>
      </w:r>
      <w:r w:rsidRPr="00C962FF">
        <w:rPr>
          <w:rFonts w:ascii="Arial" w:hAnsi="Arial" w:cs="Arial"/>
          <w:color w:val="000000"/>
          <w:sz w:val="22"/>
          <w:szCs w:val="22"/>
          <w:lang w:val="en"/>
        </w:rPr>
        <w:t xml:space="preserve"> To fully implement the ECCE Policy Framework, the government must ring-fence ECCE funding, ensuring it constitutes at least 15% of the total education budget as targeted</w:t>
      </w:r>
      <w:r w:rsidR="00EE460C">
        <w:rPr>
          <w:rStyle w:val="EndnoteReference"/>
          <w:rFonts w:ascii="Arial" w:hAnsi="Arial" w:cs="Arial"/>
          <w:color w:val="000000"/>
          <w:sz w:val="22"/>
          <w:szCs w:val="22"/>
          <w:lang w:val="en"/>
        </w:rPr>
        <w:endnoteReference w:id="31"/>
      </w:r>
      <w:r w:rsidRPr="00C962FF">
        <w:rPr>
          <w:rFonts w:ascii="Arial" w:hAnsi="Arial" w:cs="Arial"/>
          <w:color w:val="000000"/>
          <w:sz w:val="22"/>
          <w:szCs w:val="22"/>
          <w:lang w:val="en"/>
        </w:rPr>
        <w:t xml:space="preserve">, and urgently extend public financing mechanisms to cover the 0-3 age cohort. </w:t>
      </w:r>
    </w:p>
    <w:p w14:paraId="19F6C38A" w14:textId="77777777" w:rsidR="00C962FF" w:rsidRPr="008C5A6E" w:rsidRDefault="00C962FF" w:rsidP="00413A4F">
      <w:pPr>
        <w:pStyle w:val="NormalWeb"/>
        <w:spacing w:before="120" w:after="120" w:line="360" w:lineRule="auto"/>
        <w:ind w:firstLine="720"/>
        <w:rPr>
          <w:rFonts w:ascii="Arial" w:hAnsi="Arial" w:cs="Arial"/>
          <w:color w:val="000000"/>
          <w:sz w:val="22"/>
          <w:szCs w:val="22"/>
          <w:lang w:val="en"/>
        </w:rPr>
      </w:pPr>
    </w:p>
    <w:p w14:paraId="37608470" w14:textId="77777777" w:rsidR="00571DBD" w:rsidRPr="008C5A6E" w:rsidRDefault="00571DBD" w:rsidP="003A5EED">
      <w:pPr>
        <w:pStyle w:val="Heading1"/>
        <w:pageBreakBefore/>
        <w:spacing w:before="120" w:after="120" w:line="360" w:lineRule="auto"/>
        <w:rPr>
          <w:rFonts w:ascii="Arial" w:eastAsia="Times New Roman" w:hAnsi="Arial" w:cs="Arial"/>
          <w:color w:val="000000"/>
          <w:lang w:val="en"/>
        </w:rPr>
      </w:pPr>
      <w:r w:rsidRPr="008C5A6E">
        <w:rPr>
          <w:rFonts w:ascii="Arial" w:eastAsia="Times New Roman" w:hAnsi="Arial" w:cs="Arial"/>
          <w:color w:val="000000"/>
          <w:lang w:val="en"/>
        </w:rPr>
        <w:lastRenderedPageBreak/>
        <w:t>SECTION 4: ECCE INFRASTRUCTURE AND TEACHER QUALITY</w:t>
      </w:r>
    </w:p>
    <w:p w14:paraId="0CC5873F" w14:textId="77777777" w:rsidR="00571DBD" w:rsidRPr="008C5A6E" w:rsidRDefault="00571DBD" w:rsidP="003A5EED">
      <w:pPr>
        <w:pStyle w:val="NormalWeb"/>
        <w:spacing w:before="120" w:after="120" w:line="360" w:lineRule="auto"/>
        <w:rPr>
          <w:rFonts w:ascii="Arial" w:hAnsi="Arial" w:cs="Arial"/>
          <w:color w:val="000000"/>
          <w:sz w:val="22"/>
          <w:szCs w:val="22"/>
          <w:lang w:val="en"/>
        </w:rPr>
      </w:pPr>
      <w:r w:rsidRPr="008C5A6E">
        <w:rPr>
          <w:rStyle w:val="Strong"/>
          <w:rFonts w:ascii="Arial" w:hAnsi="Arial" w:cs="Arial"/>
          <w:color w:val="000000"/>
          <w:sz w:val="22"/>
          <w:szCs w:val="22"/>
          <w:lang w:val="en"/>
        </w:rPr>
        <w:t>Response to Question 12(d)</w:t>
      </w:r>
    </w:p>
    <w:p w14:paraId="11C3A421" w14:textId="1D33F454" w:rsidR="000B1ED8" w:rsidRPr="000B1ED8" w:rsidRDefault="000B1ED8" w:rsidP="000B1ED8">
      <w:pPr>
        <w:pStyle w:val="NormalWeb"/>
        <w:spacing w:before="120" w:after="120" w:line="360" w:lineRule="auto"/>
        <w:ind w:firstLine="720"/>
        <w:rPr>
          <w:rFonts w:ascii="Arial" w:hAnsi="Arial" w:cs="Arial"/>
          <w:color w:val="000000"/>
          <w:sz w:val="22"/>
          <w:szCs w:val="22"/>
          <w:lang w:val="en"/>
        </w:rPr>
      </w:pPr>
      <w:r w:rsidRPr="000B1ED8">
        <w:rPr>
          <w:rFonts w:ascii="Arial" w:hAnsi="Arial" w:cs="Arial"/>
          <w:color w:val="000000"/>
          <w:sz w:val="22"/>
          <w:szCs w:val="22"/>
          <w:lang w:val="en"/>
        </w:rPr>
        <w:t>Ghana has faced an acute infrastructure crisis in early childhood education that fundamentally denies access to thousands of children. National data indicates a deficit of 5,491 Kindergarten classroom blocks needed to achieve universal access.</w:t>
      </w:r>
      <w:r w:rsidR="00EE460C">
        <w:rPr>
          <w:rStyle w:val="EndnoteReference"/>
          <w:rFonts w:ascii="Arial" w:hAnsi="Arial" w:cs="Arial"/>
          <w:color w:val="000000"/>
          <w:sz w:val="22"/>
          <w:szCs w:val="22"/>
          <w:lang w:val="en"/>
        </w:rPr>
        <w:endnoteReference w:id="32"/>
      </w:r>
      <w:r w:rsidRPr="000B1ED8">
        <w:rPr>
          <w:rFonts w:ascii="Arial" w:hAnsi="Arial" w:cs="Arial"/>
          <w:color w:val="000000"/>
          <w:sz w:val="22"/>
          <w:szCs w:val="22"/>
          <w:lang w:val="en"/>
        </w:rPr>
        <w:t xml:space="preserve"> Government efforts to bridge this gap have been historically negligible; of the 1,171 KG classrooms planned under the Ministry of Education's program, only 90 were completed by 2018, representing a completion rate of less than 8%.</w:t>
      </w:r>
      <w:r w:rsidR="00EE460C">
        <w:rPr>
          <w:rStyle w:val="EndnoteReference"/>
          <w:rFonts w:ascii="Arial" w:hAnsi="Arial" w:cs="Arial"/>
          <w:color w:val="000000"/>
          <w:sz w:val="22"/>
          <w:szCs w:val="22"/>
          <w:lang w:val="en"/>
        </w:rPr>
        <w:endnoteReference w:id="33"/>
      </w:r>
      <w:r w:rsidRPr="000B1ED8">
        <w:rPr>
          <w:rFonts w:ascii="Arial" w:hAnsi="Arial" w:cs="Arial"/>
          <w:color w:val="000000"/>
          <w:sz w:val="22"/>
          <w:szCs w:val="22"/>
          <w:lang w:val="en"/>
        </w:rPr>
        <w:t>Rehabilitation efforts were similarly stalled, with only 52 of 8,286 dilapidated basic school structures rehabilitated by 2018</w:t>
      </w:r>
      <w:r w:rsidR="00F00C4F" w:rsidRPr="008C5A6E">
        <w:rPr>
          <w:rFonts w:ascii="Arial" w:hAnsi="Arial" w:cs="Arial"/>
          <w:color w:val="000000"/>
          <w:sz w:val="22"/>
          <w:szCs w:val="22"/>
          <w:lang w:val="en"/>
        </w:rPr>
        <w:t xml:space="preserve">, </w:t>
      </w:r>
      <w:r w:rsidRPr="000B1ED8">
        <w:rPr>
          <w:rFonts w:ascii="Arial" w:hAnsi="Arial" w:cs="Arial"/>
          <w:color w:val="000000"/>
          <w:sz w:val="22"/>
          <w:szCs w:val="22"/>
          <w:lang w:val="en"/>
        </w:rPr>
        <w:t>less than 1% of the identified need.</w:t>
      </w:r>
      <w:r w:rsidR="00EE460C">
        <w:rPr>
          <w:rStyle w:val="EndnoteReference"/>
          <w:rFonts w:ascii="Arial" w:hAnsi="Arial" w:cs="Arial"/>
          <w:color w:val="000000"/>
          <w:sz w:val="22"/>
          <w:szCs w:val="22"/>
          <w:lang w:val="en"/>
        </w:rPr>
        <w:endnoteReference w:id="34"/>
      </w:r>
      <w:r w:rsidRPr="000B1ED8">
        <w:rPr>
          <w:rFonts w:ascii="Arial" w:hAnsi="Arial" w:cs="Arial"/>
          <w:color w:val="000000"/>
          <w:sz w:val="22"/>
          <w:szCs w:val="22"/>
          <w:lang w:val="en"/>
        </w:rPr>
        <w:t xml:space="preserve"> The 2026 budget signals a policy shift with allocation of GHS 2.0 billion specifically for construction of 200 new kindergartens, alongside 200 primary schools and 200 Junior High Schools, plus 400 places of convenience in underserved communities.</w:t>
      </w:r>
      <w:r w:rsidR="00EE460C">
        <w:rPr>
          <w:rStyle w:val="EndnoteReference"/>
          <w:rFonts w:ascii="Arial" w:hAnsi="Arial" w:cs="Arial"/>
          <w:color w:val="000000"/>
          <w:sz w:val="22"/>
          <w:szCs w:val="22"/>
          <w:lang w:val="en"/>
        </w:rPr>
        <w:endnoteReference w:id="35"/>
      </w:r>
      <w:r w:rsidRPr="000B1ED8">
        <w:rPr>
          <w:rFonts w:ascii="Arial" w:hAnsi="Arial" w:cs="Arial"/>
          <w:color w:val="000000"/>
          <w:sz w:val="22"/>
          <w:szCs w:val="22"/>
          <w:lang w:val="en"/>
        </w:rPr>
        <w:t xml:space="preserve"> However, even with this allocation, the 200 new KG classrooms represent only 3.6% of the total 5,491 classroom deficit, indicating that achieving universal access will require sustained multi-year investment. Additionally, 40% of public basic schools continue to experience overcrowded classrooms, affecting learning quality.</w:t>
      </w:r>
      <w:r w:rsidR="00EE460C">
        <w:rPr>
          <w:rStyle w:val="EndnoteReference"/>
          <w:rFonts w:ascii="Arial" w:hAnsi="Arial" w:cs="Arial"/>
          <w:color w:val="000000"/>
          <w:sz w:val="22"/>
          <w:szCs w:val="22"/>
          <w:lang w:val="en"/>
        </w:rPr>
        <w:endnoteReference w:id="36"/>
      </w:r>
      <w:r w:rsidR="00EE460C" w:rsidRPr="000B1ED8">
        <w:rPr>
          <w:rFonts w:ascii="Arial" w:hAnsi="Arial" w:cs="Arial"/>
          <w:color w:val="000000"/>
          <w:sz w:val="22"/>
          <w:szCs w:val="22"/>
          <w:lang w:val="en"/>
        </w:rPr>
        <w:t xml:space="preserve"> </w:t>
      </w:r>
    </w:p>
    <w:p w14:paraId="197C4FB8" w14:textId="7B8397F8" w:rsidR="000B1ED8" w:rsidRPr="000B1ED8" w:rsidRDefault="000B1ED8" w:rsidP="000B1ED8">
      <w:pPr>
        <w:pStyle w:val="NormalWeb"/>
        <w:spacing w:before="120" w:after="120" w:line="360" w:lineRule="auto"/>
        <w:ind w:firstLine="720"/>
        <w:rPr>
          <w:rFonts w:ascii="Arial" w:hAnsi="Arial" w:cs="Arial"/>
          <w:color w:val="000000"/>
          <w:sz w:val="22"/>
          <w:szCs w:val="22"/>
          <w:lang w:val="en"/>
        </w:rPr>
      </w:pPr>
      <w:r w:rsidRPr="000B1ED8">
        <w:rPr>
          <w:rFonts w:ascii="Arial" w:hAnsi="Arial" w:cs="Arial"/>
          <w:color w:val="000000"/>
          <w:sz w:val="22"/>
          <w:szCs w:val="22"/>
          <w:lang w:val="en"/>
        </w:rPr>
        <w:t>The quality of existing infrastructure is often poor, lacking essential Water, Sanitation, and Hygiene (WASH) facilities. Over 3,800 schools lack access to potable water, and more than 6,700 operate without functional toilets, creating unsafe and unhygienic environments for young children.</w:t>
      </w:r>
      <w:r w:rsidR="00EE460C">
        <w:rPr>
          <w:rStyle w:val="EndnoteReference"/>
          <w:rFonts w:ascii="Arial" w:hAnsi="Arial" w:cs="Arial"/>
          <w:color w:val="000000"/>
          <w:sz w:val="22"/>
          <w:szCs w:val="22"/>
          <w:lang w:val="en"/>
        </w:rPr>
        <w:endnoteReference w:id="37"/>
      </w:r>
      <w:r w:rsidRPr="000B1ED8">
        <w:rPr>
          <w:rFonts w:ascii="Arial" w:hAnsi="Arial" w:cs="Arial"/>
          <w:color w:val="000000"/>
          <w:sz w:val="22"/>
          <w:szCs w:val="22"/>
          <w:lang w:val="en"/>
        </w:rPr>
        <w:t xml:space="preserve"> Regional disparities are profound; the North East Region alone requires 150 KG classrooms and 5,000 pieces of age-appropriate furniture to meet minimum standards.</w:t>
      </w:r>
      <w:r w:rsidR="00EE460C">
        <w:rPr>
          <w:rStyle w:val="EndnoteReference"/>
          <w:rFonts w:ascii="Arial" w:hAnsi="Arial" w:cs="Arial"/>
          <w:color w:val="000000"/>
          <w:sz w:val="22"/>
          <w:szCs w:val="22"/>
          <w:lang w:val="en"/>
        </w:rPr>
        <w:endnoteReference w:id="38"/>
      </w:r>
      <w:r w:rsidRPr="000B1ED8">
        <w:rPr>
          <w:rFonts w:ascii="Arial" w:hAnsi="Arial" w:cs="Arial"/>
          <w:color w:val="000000"/>
          <w:sz w:val="22"/>
          <w:szCs w:val="22"/>
          <w:lang w:val="en"/>
        </w:rPr>
        <w:t xml:space="preserve"> There is a huge infrastructure gap between urban/rural and Northern/Southern regions when it comes to ECCE.</w:t>
      </w:r>
      <w:r w:rsidR="00AB2F70">
        <w:rPr>
          <w:rStyle w:val="EndnoteReference"/>
          <w:rFonts w:ascii="Arial" w:hAnsi="Arial" w:cs="Arial"/>
          <w:color w:val="000000"/>
          <w:sz w:val="22"/>
          <w:szCs w:val="22"/>
          <w:lang w:val="en"/>
        </w:rPr>
        <w:endnoteReference w:id="39"/>
      </w:r>
      <w:r w:rsidR="00AB2F70" w:rsidRPr="000B1ED8">
        <w:rPr>
          <w:rFonts w:ascii="Arial" w:hAnsi="Arial" w:cs="Arial"/>
          <w:color w:val="000000"/>
          <w:sz w:val="22"/>
          <w:szCs w:val="22"/>
          <w:lang w:val="en"/>
        </w:rPr>
        <w:t xml:space="preserve"> </w:t>
      </w:r>
      <w:r w:rsidRPr="000B1ED8">
        <w:rPr>
          <w:rFonts w:ascii="Arial" w:hAnsi="Arial" w:cs="Arial"/>
          <w:color w:val="000000"/>
          <w:sz w:val="22"/>
          <w:szCs w:val="22"/>
          <w:lang w:val="en"/>
        </w:rPr>
        <w:t xml:space="preserve">For the 0-3 age group, there is a complete absence of data on infrastructure, reflecting their invisibility in national planning. </w:t>
      </w:r>
    </w:p>
    <w:p w14:paraId="510B157E" w14:textId="7ED668DA" w:rsidR="000B1ED8" w:rsidRPr="000B1ED8" w:rsidRDefault="000B1ED8" w:rsidP="000B1ED8">
      <w:pPr>
        <w:pStyle w:val="NormalWeb"/>
        <w:spacing w:before="120" w:after="120" w:line="360" w:lineRule="auto"/>
        <w:ind w:firstLine="720"/>
        <w:rPr>
          <w:rFonts w:ascii="Arial" w:hAnsi="Arial" w:cs="Arial"/>
          <w:color w:val="000000"/>
          <w:sz w:val="22"/>
          <w:szCs w:val="22"/>
          <w:lang w:val="en"/>
        </w:rPr>
      </w:pPr>
      <w:r w:rsidRPr="000B1ED8">
        <w:rPr>
          <w:rFonts w:ascii="Arial" w:hAnsi="Arial" w:cs="Arial"/>
          <w:color w:val="000000"/>
          <w:sz w:val="22"/>
          <w:szCs w:val="22"/>
          <w:lang w:val="en"/>
        </w:rPr>
        <w:t>Simultaneously, the ECCE sector faces a teacher qualification crisis. As of November 2022, only 31% of primary level teachers (including KG) were certified in Early Childhood Education.</w:t>
      </w:r>
      <w:r w:rsidR="00AB2F70">
        <w:rPr>
          <w:rStyle w:val="EndnoteReference"/>
          <w:rFonts w:ascii="Arial" w:hAnsi="Arial" w:cs="Arial"/>
          <w:color w:val="000000"/>
          <w:sz w:val="22"/>
          <w:szCs w:val="22"/>
          <w:lang w:val="en"/>
        </w:rPr>
        <w:endnoteReference w:id="40"/>
      </w:r>
      <w:r w:rsidRPr="000B1ED8">
        <w:rPr>
          <w:rFonts w:ascii="Arial" w:hAnsi="Arial" w:cs="Arial"/>
          <w:color w:val="000000"/>
          <w:sz w:val="22"/>
          <w:szCs w:val="22"/>
          <w:lang w:val="en"/>
        </w:rPr>
        <w:t xml:space="preserve"> Critically, no substantial efforts or strategies have been implemented since 2022 to improve this ECE certification rate, indicating stagnation in addressing this fundamental quality issue.</w:t>
      </w:r>
      <w:r w:rsidR="00AB2F70">
        <w:rPr>
          <w:rStyle w:val="EndnoteReference"/>
          <w:rFonts w:ascii="Arial" w:hAnsi="Arial" w:cs="Arial"/>
          <w:color w:val="000000"/>
          <w:sz w:val="22"/>
          <w:szCs w:val="22"/>
          <w:lang w:val="en"/>
        </w:rPr>
        <w:endnoteReference w:id="41"/>
      </w:r>
      <w:r w:rsidRPr="000B1ED8">
        <w:rPr>
          <w:rFonts w:ascii="Arial" w:hAnsi="Arial" w:cs="Arial"/>
          <w:color w:val="000000"/>
          <w:sz w:val="22"/>
          <w:szCs w:val="22"/>
          <w:lang w:val="en"/>
        </w:rPr>
        <w:t xml:space="preserve"> This low certification rate is compounded by a high attrition rate of 7% annually, driven by poor remuneration and delayed salaries.</w:t>
      </w:r>
      <w:r w:rsidR="00AB2F70">
        <w:rPr>
          <w:rStyle w:val="EndnoteReference"/>
          <w:rFonts w:ascii="Arial" w:hAnsi="Arial" w:cs="Arial"/>
          <w:color w:val="000000"/>
          <w:sz w:val="22"/>
          <w:szCs w:val="22"/>
          <w:lang w:val="en"/>
        </w:rPr>
        <w:endnoteReference w:id="42"/>
      </w:r>
      <w:r w:rsidRPr="000B1ED8">
        <w:rPr>
          <w:rFonts w:ascii="Arial" w:hAnsi="Arial" w:cs="Arial"/>
          <w:color w:val="000000"/>
          <w:sz w:val="22"/>
          <w:szCs w:val="22"/>
          <w:lang w:val="en"/>
        </w:rPr>
        <w:t xml:space="preserve"> Training opportunities are limited and generic; of the 10,000 teachers who received in-service training in 2024, the focus was primarily on English, Mathematics, and Science rather than specialized ECCE pedagogy.</w:t>
      </w:r>
      <w:r w:rsidR="00AB2F70">
        <w:rPr>
          <w:rStyle w:val="EndnoteReference"/>
          <w:rFonts w:ascii="Arial" w:hAnsi="Arial" w:cs="Arial"/>
          <w:color w:val="000000"/>
          <w:sz w:val="22"/>
          <w:szCs w:val="22"/>
          <w:lang w:val="en"/>
        </w:rPr>
        <w:endnoteReference w:id="43"/>
      </w:r>
      <w:r w:rsidRPr="000B1ED8">
        <w:rPr>
          <w:rFonts w:ascii="Arial" w:hAnsi="Arial" w:cs="Arial"/>
          <w:color w:val="000000"/>
          <w:sz w:val="22"/>
          <w:szCs w:val="22"/>
          <w:lang w:val="en"/>
        </w:rPr>
        <w:t xml:space="preserve"> Despite the review of the Kindergarten and Primary 1-6 Curriculum in 2019, teachers have not been provided with regular opportunities to build their capacities to understand and effectively implement the standard curriculum.</w:t>
      </w:r>
      <w:r w:rsidR="00AB2F70">
        <w:rPr>
          <w:rStyle w:val="EndnoteReference"/>
          <w:rFonts w:ascii="Arial" w:hAnsi="Arial" w:cs="Arial"/>
          <w:color w:val="000000"/>
          <w:sz w:val="22"/>
          <w:szCs w:val="22"/>
          <w:lang w:val="en"/>
        </w:rPr>
        <w:endnoteReference w:id="44"/>
      </w:r>
      <w:r w:rsidR="00AB2F70" w:rsidRPr="000B1ED8">
        <w:rPr>
          <w:rFonts w:ascii="Arial" w:hAnsi="Arial" w:cs="Arial"/>
          <w:color w:val="000000"/>
          <w:sz w:val="22"/>
          <w:szCs w:val="22"/>
          <w:lang w:val="en"/>
        </w:rPr>
        <w:t xml:space="preserve"> </w:t>
      </w:r>
    </w:p>
    <w:p w14:paraId="233DB7DF" w14:textId="3B2C30B0" w:rsidR="000B1ED8" w:rsidRPr="008C5A6E" w:rsidRDefault="000B1ED8" w:rsidP="000B1ED8">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lastRenderedPageBreak/>
        <w:t>A severe deployment imbalance exists, with qualified teachers concentrated in urban centers while rural schools rely heavily on untrained community volunteers or attendants. The teacher-pupil ratio stands at 1:30 nationally but varies significantly by region.</w:t>
      </w:r>
      <w:r w:rsidR="00AB2F70">
        <w:rPr>
          <w:rStyle w:val="EndnoteReference"/>
          <w:rFonts w:ascii="Arial" w:hAnsi="Arial" w:cs="Arial"/>
          <w:color w:val="000000"/>
          <w:sz w:val="22"/>
          <w:szCs w:val="22"/>
          <w:lang w:val="en"/>
        </w:rPr>
        <w:endnoteReference w:id="45"/>
      </w:r>
      <w:r w:rsidRPr="008C5A6E">
        <w:rPr>
          <w:rFonts w:ascii="Arial" w:hAnsi="Arial" w:cs="Arial"/>
          <w:color w:val="000000"/>
          <w:sz w:val="22"/>
          <w:szCs w:val="22"/>
          <w:lang w:val="en"/>
        </w:rPr>
        <w:t xml:space="preserve"> The State lacks a comprehensive pre-service training plan specifically for ECCE, and in-service training is sporadic and often donor-dependent.</w:t>
      </w:r>
      <w:r w:rsidR="00AB2F70">
        <w:rPr>
          <w:rStyle w:val="EndnoteReference"/>
          <w:rFonts w:ascii="Arial" w:hAnsi="Arial" w:cs="Arial"/>
          <w:color w:val="000000"/>
          <w:sz w:val="22"/>
          <w:szCs w:val="22"/>
          <w:lang w:val="en"/>
        </w:rPr>
        <w:endnoteReference w:id="46"/>
      </w:r>
      <w:r w:rsidRPr="008C5A6E">
        <w:rPr>
          <w:rFonts w:ascii="Arial" w:hAnsi="Arial" w:cs="Arial"/>
          <w:color w:val="000000"/>
          <w:sz w:val="22"/>
          <w:szCs w:val="22"/>
          <w:lang w:val="en"/>
        </w:rPr>
        <w:t xml:space="preserve"> An ICT Competency Framework was launched in June 2023 to enhance digital skills, though implementation remains limited by infrastructure constraints.</w:t>
      </w:r>
      <w:r w:rsidR="00AB2F70">
        <w:rPr>
          <w:rStyle w:val="EndnoteReference"/>
          <w:rFonts w:ascii="Arial" w:hAnsi="Arial" w:cs="Arial"/>
          <w:color w:val="000000"/>
          <w:sz w:val="22"/>
          <w:szCs w:val="22"/>
          <w:lang w:val="en"/>
        </w:rPr>
        <w:endnoteReference w:id="47"/>
      </w:r>
      <w:r w:rsidRPr="008C5A6E">
        <w:rPr>
          <w:rFonts w:ascii="Arial" w:hAnsi="Arial" w:cs="Arial"/>
          <w:color w:val="000000"/>
          <w:sz w:val="22"/>
          <w:szCs w:val="22"/>
          <w:lang w:val="en"/>
        </w:rPr>
        <w:t xml:space="preserve"> Improving ECCE quality requires a twin-track approach: an accelerated infrastructure development plan to close the classroom deficit within five years, and a mandatory certification and incentive program to ensure every ECCE classroom is staffed by a qualified professional, regardless of location.</w:t>
      </w:r>
    </w:p>
    <w:p w14:paraId="30182313" w14:textId="77777777" w:rsidR="00571DBD" w:rsidRPr="008C5A6E" w:rsidRDefault="00571DBD" w:rsidP="003A5EED">
      <w:pPr>
        <w:pStyle w:val="Heading1"/>
        <w:pageBreakBefore/>
        <w:spacing w:before="120" w:after="120" w:line="360" w:lineRule="auto"/>
        <w:rPr>
          <w:rFonts w:ascii="Arial" w:eastAsia="Times New Roman" w:hAnsi="Arial" w:cs="Arial"/>
          <w:color w:val="000000"/>
          <w:lang w:val="en"/>
        </w:rPr>
      </w:pPr>
      <w:r w:rsidRPr="008C5A6E">
        <w:rPr>
          <w:rFonts w:ascii="Arial" w:eastAsia="Times New Roman" w:hAnsi="Arial" w:cs="Arial"/>
          <w:color w:val="000000"/>
          <w:lang w:val="en"/>
        </w:rPr>
        <w:lastRenderedPageBreak/>
        <w:t>SECTION 5: INCLUSIVE ECCE</w:t>
      </w:r>
    </w:p>
    <w:p w14:paraId="29064BEC" w14:textId="77777777" w:rsidR="00571DBD" w:rsidRPr="008C5A6E" w:rsidRDefault="00571DBD" w:rsidP="003A5EED">
      <w:pPr>
        <w:pStyle w:val="NormalWeb"/>
        <w:spacing w:before="120" w:after="120" w:line="360" w:lineRule="auto"/>
        <w:rPr>
          <w:rFonts w:ascii="Arial" w:hAnsi="Arial" w:cs="Arial"/>
          <w:color w:val="000000"/>
          <w:sz w:val="22"/>
          <w:szCs w:val="22"/>
          <w:lang w:val="en"/>
        </w:rPr>
      </w:pPr>
      <w:r w:rsidRPr="008C5A6E">
        <w:rPr>
          <w:rStyle w:val="Strong"/>
          <w:rFonts w:ascii="Arial" w:hAnsi="Arial" w:cs="Arial"/>
          <w:color w:val="000000"/>
          <w:sz w:val="22"/>
          <w:szCs w:val="22"/>
          <w:lang w:val="en"/>
        </w:rPr>
        <w:t>Response to Question 12(c)</w:t>
      </w:r>
    </w:p>
    <w:p w14:paraId="7E5499C0" w14:textId="077F3CB4" w:rsidR="007A689F" w:rsidRPr="007A689F" w:rsidRDefault="007A689F" w:rsidP="007A689F">
      <w:pPr>
        <w:pStyle w:val="NormalWeb"/>
        <w:spacing w:before="120" w:after="120" w:line="360" w:lineRule="auto"/>
        <w:ind w:firstLine="720"/>
        <w:rPr>
          <w:rFonts w:ascii="Arial" w:hAnsi="Arial" w:cs="Arial"/>
          <w:color w:val="000000"/>
          <w:sz w:val="22"/>
          <w:szCs w:val="22"/>
          <w:lang w:val="en"/>
        </w:rPr>
      </w:pPr>
      <w:r w:rsidRPr="007A689F">
        <w:rPr>
          <w:rFonts w:ascii="Arial" w:hAnsi="Arial" w:cs="Arial"/>
          <w:color w:val="000000"/>
          <w:sz w:val="22"/>
          <w:szCs w:val="22"/>
          <w:lang w:val="en"/>
        </w:rPr>
        <w:t>Implementation of inclusive education for young children with disabilities is severely lagging, characterized by minimal funding and limited coverage. The allocation of only 0.02% of the education budget to inclusive education in 2023 is grossly insufficient to meet the needs of the estimated 21% of children aged 5-17 who have functional difficulties.</w:t>
      </w:r>
      <w:r w:rsidR="00AB2F70">
        <w:rPr>
          <w:rStyle w:val="EndnoteReference"/>
          <w:rFonts w:ascii="Arial" w:hAnsi="Arial" w:cs="Arial"/>
          <w:color w:val="000000"/>
          <w:sz w:val="22"/>
          <w:szCs w:val="22"/>
          <w:lang w:val="en"/>
        </w:rPr>
        <w:endnoteReference w:id="48"/>
      </w:r>
      <w:r w:rsidR="00AB2F70" w:rsidRPr="007A689F">
        <w:rPr>
          <w:rFonts w:ascii="Arial" w:hAnsi="Arial" w:cs="Arial"/>
          <w:color w:val="000000"/>
          <w:sz w:val="22"/>
          <w:szCs w:val="22"/>
          <w:lang w:val="en"/>
        </w:rPr>
        <w:t xml:space="preserve"> </w:t>
      </w:r>
      <w:r w:rsidRPr="007A689F">
        <w:rPr>
          <w:rFonts w:ascii="Arial" w:hAnsi="Arial" w:cs="Arial"/>
          <w:color w:val="000000"/>
          <w:sz w:val="22"/>
          <w:szCs w:val="22"/>
          <w:lang w:val="en"/>
        </w:rPr>
        <w:t>The 2026 budget, while allocating GHS 25 million for Free Tertiary Education for Persons Living with Disabilities and increasing the District Assembly Common Fund disability allocation from 3% to 5%</w:t>
      </w:r>
      <w:r w:rsidR="00AB2F70">
        <w:rPr>
          <w:rStyle w:val="EndnoteReference"/>
          <w:rFonts w:ascii="Arial" w:hAnsi="Arial" w:cs="Arial"/>
          <w:color w:val="000000"/>
          <w:sz w:val="22"/>
          <w:szCs w:val="22"/>
          <w:lang w:val="en"/>
        </w:rPr>
        <w:endnoteReference w:id="49"/>
      </w:r>
      <w:r w:rsidRPr="007A689F">
        <w:rPr>
          <w:rFonts w:ascii="Arial" w:hAnsi="Arial" w:cs="Arial"/>
          <w:color w:val="000000"/>
          <w:sz w:val="22"/>
          <w:szCs w:val="22"/>
          <w:lang w:val="en"/>
        </w:rPr>
        <w:t>, contains no specific budget line for inclusive ECCE for children aged 0-8. There are no dedicated allocations for assistive devices for young children, accessible ECCE infrastructure, teacher training in inclusive practices for early childhood, or early screening and assessment programs.</w:t>
      </w:r>
      <w:r w:rsidR="00AB2F70">
        <w:rPr>
          <w:rStyle w:val="EndnoteReference"/>
          <w:rFonts w:ascii="Arial" w:hAnsi="Arial" w:cs="Arial"/>
          <w:color w:val="000000"/>
          <w:sz w:val="22"/>
          <w:szCs w:val="22"/>
          <w:lang w:val="en"/>
        </w:rPr>
        <w:endnoteReference w:id="50"/>
      </w:r>
      <w:r w:rsidRPr="007A689F">
        <w:rPr>
          <w:rFonts w:ascii="Arial" w:hAnsi="Arial" w:cs="Arial"/>
          <w:color w:val="000000"/>
          <w:sz w:val="22"/>
          <w:szCs w:val="22"/>
          <w:lang w:val="en"/>
        </w:rPr>
        <w:t xml:space="preserve"> This tokenistic funding at the tertiary level while completely neglecting early childhood precludes the provision of essential early intervention support services, assistive devices, and accessible infrastructure where they are most impactful. The Inclusive Education Policy adopted in 2015 has faced major implementation challenges due to inadequate funding and lack of political will.</w:t>
      </w:r>
      <w:r w:rsidR="00AB2F70">
        <w:rPr>
          <w:rStyle w:val="EndnoteReference"/>
          <w:rFonts w:ascii="Arial" w:hAnsi="Arial" w:cs="Arial"/>
          <w:color w:val="000000"/>
          <w:sz w:val="22"/>
          <w:szCs w:val="22"/>
          <w:lang w:val="en"/>
        </w:rPr>
        <w:endnoteReference w:id="51"/>
      </w:r>
      <w:r w:rsidR="00AB2F70" w:rsidRPr="007A689F">
        <w:rPr>
          <w:rFonts w:ascii="Arial" w:hAnsi="Arial" w:cs="Arial"/>
          <w:color w:val="000000"/>
          <w:sz w:val="22"/>
          <w:szCs w:val="22"/>
          <w:lang w:val="en"/>
        </w:rPr>
        <w:t xml:space="preserve"> </w:t>
      </w:r>
    </w:p>
    <w:p w14:paraId="72F174B7" w14:textId="1A8973BD" w:rsidR="00571DBD" w:rsidRPr="008C5A6E" w:rsidRDefault="00571DBD" w:rsidP="009B5F76">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Access gaps are evident in attendance data. While primary school attendance is 82% for children without difficulties, it drops to 80% for those with difficulties, and the gap widens significantly at the secondary level (44% vs 36%).</w:t>
      </w:r>
      <w:r w:rsidR="00AB2F70">
        <w:rPr>
          <w:rStyle w:val="EndnoteReference"/>
          <w:rFonts w:ascii="Arial" w:hAnsi="Arial" w:cs="Arial"/>
          <w:color w:val="000000"/>
          <w:sz w:val="22"/>
          <w:szCs w:val="22"/>
          <w:lang w:val="en"/>
        </w:rPr>
        <w:endnoteReference w:id="52"/>
      </w:r>
      <w:r w:rsidRPr="008C5A6E">
        <w:rPr>
          <w:rFonts w:ascii="Arial" w:hAnsi="Arial" w:cs="Arial"/>
          <w:color w:val="000000"/>
          <w:sz w:val="22"/>
          <w:szCs w:val="22"/>
          <w:lang w:val="en"/>
        </w:rPr>
        <w:t xml:space="preserve"> This suggests that the education system fails to retain children with disabilities as they progress, highlighting a lack of supportive environments in early years foundation. Currently, only 379 schools nationwide are piloting inclusive education programs</w:t>
      </w:r>
      <w:r w:rsidR="00AB2F70">
        <w:rPr>
          <w:rStyle w:val="EndnoteReference"/>
          <w:rFonts w:ascii="Arial" w:hAnsi="Arial" w:cs="Arial"/>
          <w:color w:val="000000"/>
          <w:sz w:val="22"/>
          <w:szCs w:val="22"/>
          <w:lang w:val="en"/>
        </w:rPr>
        <w:endnoteReference w:id="53"/>
      </w:r>
      <w:r w:rsidRPr="008C5A6E">
        <w:rPr>
          <w:rFonts w:ascii="Arial" w:hAnsi="Arial" w:cs="Arial"/>
          <w:color w:val="000000"/>
          <w:sz w:val="22"/>
          <w:szCs w:val="22"/>
          <w:lang w:val="en"/>
        </w:rPr>
        <w:t>, leaving the vast majority of children with disabilities without access to inclusive settings. Only 16 child welfare courts have been established out of the required coverage for all 16 regions.</w:t>
      </w:r>
      <w:r w:rsidR="00AB2F70">
        <w:rPr>
          <w:rStyle w:val="EndnoteReference"/>
          <w:rFonts w:ascii="Arial" w:hAnsi="Arial" w:cs="Arial"/>
          <w:color w:val="000000"/>
          <w:sz w:val="22"/>
          <w:szCs w:val="22"/>
          <w:lang w:val="en"/>
        </w:rPr>
        <w:endnoteReference w:id="54"/>
      </w:r>
      <w:r w:rsidR="00AB2F70" w:rsidRPr="008C5A6E">
        <w:rPr>
          <w:rFonts w:ascii="Arial" w:hAnsi="Arial" w:cs="Arial"/>
          <w:color w:val="000000"/>
          <w:sz w:val="22"/>
          <w:szCs w:val="22"/>
          <w:lang w:val="en"/>
        </w:rPr>
        <w:t xml:space="preserve"> </w:t>
      </w:r>
    </w:p>
    <w:p w14:paraId="341789CA" w14:textId="59DB9BBD" w:rsidR="00571DBD" w:rsidRPr="008C5A6E" w:rsidRDefault="00571DBD" w:rsidP="009B5F76">
      <w:pPr>
        <w:pStyle w:val="NormalWeb"/>
        <w:spacing w:before="120" w:after="120" w:line="360" w:lineRule="auto"/>
        <w:ind w:firstLine="720"/>
        <w:rPr>
          <w:rFonts w:ascii="Arial" w:hAnsi="Arial" w:cs="Arial"/>
          <w:color w:val="000000"/>
          <w:sz w:val="22"/>
          <w:szCs w:val="22"/>
          <w:lang w:val="en"/>
        </w:rPr>
      </w:pPr>
      <w:r w:rsidRPr="008C5A6E">
        <w:rPr>
          <w:rFonts w:ascii="Arial" w:hAnsi="Arial" w:cs="Arial"/>
          <w:color w:val="000000"/>
          <w:sz w:val="22"/>
          <w:szCs w:val="22"/>
          <w:lang w:val="en"/>
        </w:rPr>
        <w:t>Crucially, there is no systematic early identification and assessment mechanism for children aged 0-8. The lack of coordination between health and education sectors means developmental delays are often identified too late for effective early intervention.</w:t>
      </w:r>
      <w:r w:rsidR="00AB2F70">
        <w:rPr>
          <w:rStyle w:val="EndnoteReference"/>
          <w:rFonts w:ascii="Arial" w:hAnsi="Arial" w:cs="Arial"/>
          <w:color w:val="000000"/>
          <w:sz w:val="22"/>
          <w:szCs w:val="22"/>
          <w:lang w:val="en"/>
        </w:rPr>
        <w:endnoteReference w:id="55"/>
      </w:r>
      <w:r w:rsidRPr="008C5A6E">
        <w:rPr>
          <w:rFonts w:ascii="Arial" w:hAnsi="Arial" w:cs="Arial"/>
          <w:color w:val="000000"/>
          <w:sz w:val="22"/>
          <w:szCs w:val="22"/>
          <w:lang w:val="en"/>
        </w:rPr>
        <w:t xml:space="preserve"> Although the revised Inclusive Education Policy (2024) was in progress during the OHCHR dialogue in August 2024, with launch planned for the end of 2024</w:t>
      </w:r>
      <w:r w:rsidR="00AB2F70">
        <w:rPr>
          <w:rStyle w:val="EndnoteReference"/>
          <w:rFonts w:ascii="Arial" w:hAnsi="Arial" w:cs="Arial"/>
          <w:color w:val="000000"/>
          <w:sz w:val="22"/>
          <w:szCs w:val="22"/>
          <w:lang w:val="en"/>
        </w:rPr>
        <w:endnoteReference w:id="56"/>
      </w:r>
      <w:r w:rsidRPr="008C5A6E">
        <w:rPr>
          <w:rFonts w:ascii="Arial" w:hAnsi="Arial" w:cs="Arial"/>
          <w:color w:val="000000"/>
          <w:sz w:val="22"/>
          <w:szCs w:val="22"/>
          <w:lang w:val="en"/>
        </w:rPr>
        <w:t>, its implementation has been delayed. The new Persons with Disabilities Act 2025 includes provisions requiring schools to provide inclusive education, accessible materials, and reasonable accommodations.</w:t>
      </w:r>
      <w:r w:rsidR="00AF5590">
        <w:rPr>
          <w:rStyle w:val="EndnoteReference"/>
          <w:rFonts w:ascii="Arial" w:hAnsi="Arial" w:cs="Arial"/>
          <w:color w:val="000000"/>
          <w:sz w:val="22"/>
          <w:szCs w:val="22"/>
          <w:lang w:val="en"/>
        </w:rPr>
        <w:endnoteReference w:id="57"/>
      </w:r>
      <w:r w:rsidRPr="008C5A6E">
        <w:rPr>
          <w:rFonts w:ascii="Arial" w:hAnsi="Arial" w:cs="Arial"/>
          <w:color w:val="000000"/>
          <w:sz w:val="22"/>
          <w:szCs w:val="22"/>
          <w:lang w:val="en"/>
        </w:rPr>
        <w:t xml:space="preserve"> Furthermore, assistive technologies and accessible infrastructure for young children are virtually non-existent in mainstream ECCE centers. Limited availability of sign language interpreters, Braille materials primarily in specialized schools, and inadequate wheelchair accessibility constrain access.</w:t>
      </w:r>
      <w:r w:rsidR="00AF5590">
        <w:rPr>
          <w:rStyle w:val="EndnoteReference"/>
          <w:rFonts w:ascii="Arial" w:hAnsi="Arial" w:cs="Arial"/>
          <w:color w:val="000000"/>
          <w:sz w:val="22"/>
          <w:szCs w:val="22"/>
          <w:lang w:val="en"/>
        </w:rPr>
        <w:endnoteReference w:id="58"/>
      </w:r>
      <w:r w:rsidR="00AF5590" w:rsidRPr="008C5A6E">
        <w:rPr>
          <w:rFonts w:ascii="Arial" w:hAnsi="Arial" w:cs="Arial"/>
          <w:color w:val="000000"/>
          <w:sz w:val="22"/>
          <w:szCs w:val="22"/>
          <w:lang w:val="en"/>
        </w:rPr>
        <w:t xml:space="preserve"> </w:t>
      </w:r>
      <w:r w:rsidRPr="008C5A6E">
        <w:rPr>
          <w:rFonts w:ascii="Arial" w:hAnsi="Arial" w:cs="Arial"/>
          <w:color w:val="000000"/>
          <w:sz w:val="22"/>
          <w:szCs w:val="22"/>
          <w:lang w:val="en"/>
        </w:rPr>
        <w:t xml:space="preserve">To realize the right to education for all children, the government must scale inclusive </w:t>
      </w:r>
      <w:r w:rsidRPr="008C5A6E">
        <w:rPr>
          <w:rFonts w:ascii="Arial" w:hAnsi="Arial" w:cs="Arial"/>
          <w:color w:val="000000"/>
          <w:sz w:val="22"/>
          <w:szCs w:val="22"/>
          <w:lang w:val="en"/>
        </w:rPr>
        <w:lastRenderedPageBreak/>
        <w:t xml:space="preserve">ECCE programs beyond pilot phases to universal coverage and increase the specific budget allocation to at least 2% of the education budget. </w:t>
      </w:r>
    </w:p>
    <w:p w14:paraId="060DE739" w14:textId="77777777" w:rsidR="00571DBD" w:rsidRPr="008C5A6E" w:rsidRDefault="00571DBD" w:rsidP="003A5EED">
      <w:pPr>
        <w:pStyle w:val="Heading1"/>
        <w:pageBreakBefore/>
        <w:spacing w:before="120" w:after="120" w:line="360" w:lineRule="auto"/>
        <w:rPr>
          <w:rFonts w:ascii="Arial" w:eastAsia="Times New Roman" w:hAnsi="Arial" w:cs="Arial"/>
          <w:color w:val="000000"/>
          <w:lang w:val="en"/>
        </w:rPr>
      </w:pPr>
      <w:r w:rsidRPr="008C5A6E">
        <w:rPr>
          <w:rFonts w:ascii="Arial" w:eastAsia="Times New Roman" w:hAnsi="Arial" w:cs="Arial"/>
          <w:color w:val="000000"/>
          <w:lang w:val="en"/>
        </w:rPr>
        <w:lastRenderedPageBreak/>
        <w:t>SECTION 6: RECOMMENDATIONS</w:t>
      </w:r>
    </w:p>
    <w:p w14:paraId="5809C099" w14:textId="77777777" w:rsidR="00617318" w:rsidRDefault="00F71065" w:rsidP="00617318">
      <w:pPr>
        <w:pStyle w:val="NormalWeb"/>
        <w:numPr>
          <w:ilvl w:val="0"/>
          <w:numId w:val="6"/>
        </w:numPr>
        <w:spacing w:before="120" w:after="120" w:line="360" w:lineRule="auto"/>
        <w:rPr>
          <w:rFonts w:ascii="Arial" w:hAnsi="Arial" w:cs="Arial"/>
          <w:color w:val="000000"/>
          <w:sz w:val="22"/>
          <w:szCs w:val="22"/>
          <w:lang w:val="en"/>
        </w:rPr>
      </w:pPr>
      <w:r w:rsidRPr="00F71065">
        <w:rPr>
          <w:rFonts w:ascii="Arial" w:hAnsi="Arial" w:cs="Arial"/>
          <w:color w:val="000000"/>
          <w:sz w:val="22"/>
          <w:szCs w:val="22"/>
          <w:lang w:val="en"/>
        </w:rPr>
        <w:t>Develop and operationalize a comprehensive regulatory framework specifically for the 0-3 age group to close the current oversight gap</w:t>
      </w:r>
      <w:r w:rsidR="00617318">
        <w:rPr>
          <w:rFonts w:ascii="Arial" w:hAnsi="Arial" w:cs="Arial"/>
          <w:color w:val="000000"/>
          <w:sz w:val="22"/>
          <w:szCs w:val="22"/>
          <w:lang w:val="en"/>
        </w:rPr>
        <w:t xml:space="preserve"> that would have a cross-ministerial ECCE Coordination Unit.</w:t>
      </w:r>
    </w:p>
    <w:p w14:paraId="5E26F61E" w14:textId="77777777" w:rsidR="003E43EA" w:rsidRDefault="00F71065" w:rsidP="003E43EA">
      <w:pPr>
        <w:pStyle w:val="NormalWeb"/>
        <w:numPr>
          <w:ilvl w:val="0"/>
          <w:numId w:val="6"/>
        </w:numPr>
        <w:spacing w:before="120" w:after="120" w:line="360" w:lineRule="auto"/>
        <w:rPr>
          <w:rFonts w:ascii="Arial" w:hAnsi="Arial" w:cs="Arial"/>
          <w:color w:val="000000"/>
          <w:sz w:val="22"/>
          <w:szCs w:val="22"/>
          <w:lang w:val="en"/>
        </w:rPr>
      </w:pPr>
      <w:r w:rsidRPr="00617318">
        <w:rPr>
          <w:rFonts w:ascii="Arial" w:hAnsi="Arial" w:cs="Arial"/>
          <w:color w:val="000000"/>
          <w:sz w:val="22"/>
          <w:szCs w:val="22"/>
          <w:lang w:val="en"/>
        </w:rPr>
        <w:t xml:space="preserve">Ring-fence a minimum of 15% of the total education budget specifically for ECCE, consistent with the target set in the Early Childhood Education Policy. While the 2026 budget shows positive trajectory with GHS 43.2 billion for education sector, specific ECCE earmarking remains essential. </w:t>
      </w:r>
    </w:p>
    <w:p w14:paraId="13126585" w14:textId="77777777" w:rsidR="003E43EA" w:rsidRDefault="00F71065" w:rsidP="003E43EA">
      <w:pPr>
        <w:pStyle w:val="NormalWeb"/>
        <w:numPr>
          <w:ilvl w:val="0"/>
          <w:numId w:val="6"/>
        </w:numPr>
        <w:spacing w:before="120" w:after="120" w:line="360" w:lineRule="auto"/>
        <w:rPr>
          <w:rFonts w:ascii="Arial" w:hAnsi="Arial" w:cs="Arial"/>
          <w:color w:val="000000"/>
          <w:sz w:val="22"/>
          <w:szCs w:val="22"/>
          <w:lang w:val="en"/>
        </w:rPr>
      </w:pPr>
      <w:r w:rsidRPr="003E43EA">
        <w:rPr>
          <w:rFonts w:ascii="Arial" w:hAnsi="Arial" w:cs="Arial"/>
          <w:color w:val="000000"/>
          <w:sz w:val="22"/>
          <w:szCs w:val="22"/>
          <w:lang w:val="en"/>
        </w:rPr>
        <w:t xml:space="preserve">Sustain and accelerate the infrastructure development momentum demonstrated in the 2026 budget (200 new KGs with GHS 2.0 billion) to construct the remaining 5,291 required KG classroom blocks within a five-year timeline, requiring continued annual commitments. </w:t>
      </w:r>
    </w:p>
    <w:p w14:paraId="068F11B1" w14:textId="77777777" w:rsidR="003E43EA" w:rsidRDefault="00F71065" w:rsidP="003E43EA">
      <w:pPr>
        <w:pStyle w:val="NormalWeb"/>
        <w:numPr>
          <w:ilvl w:val="0"/>
          <w:numId w:val="6"/>
        </w:numPr>
        <w:spacing w:before="120" w:after="120" w:line="360" w:lineRule="auto"/>
        <w:rPr>
          <w:rFonts w:ascii="Arial" w:hAnsi="Arial" w:cs="Arial"/>
          <w:color w:val="000000"/>
          <w:sz w:val="22"/>
          <w:szCs w:val="22"/>
          <w:lang w:val="en"/>
        </w:rPr>
      </w:pPr>
      <w:r w:rsidRPr="003E43EA">
        <w:rPr>
          <w:rFonts w:ascii="Arial" w:hAnsi="Arial" w:cs="Arial"/>
          <w:color w:val="000000"/>
          <w:sz w:val="22"/>
          <w:szCs w:val="22"/>
          <w:lang w:val="en"/>
        </w:rPr>
        <w:t xml:space="preserve">Prioritize the installation of child-appropriate WASH facilities in all ECCE settings, building on the 2026 allocation for 400 places of convenience, to ensure comprehensive health and safety coverage. </w:t>
      </w:r>
    </w:p>
    <w:p w14:paraId="3E5825D6" w14:textId="53B5F544" w:rsidR="00F71065" w:rsidRPr="003E43EA" w:rsidRDefault="008C5A6E" w:rsidP="003E43EA">
      <w:pPr>
        <w:pStyle w:val="NormalWeb"/>
        <w:numPr>
          <w:ilvl w:val="0"/>
          <w:numId w:val="6"/>
        </w:numPr>
        <w:spacing w:before="120" w:after="120" w:line="360" w:lineRule="auto"/>
        <w:rPr>
          <w:rFonts w:ascii="Arial" w:hAnsi="Arial" w:cs="Arial"/>
          <w:color w:val="000000"/>
          <w:sz w:val="22"/>
          <w:szCs w:val="22"/>
          <w:lang w:val="en"/>
        </w:rPr>
      </w:pPr>
      <w:r w:rsidRPr="003E43EA">
        <w:rPr>
          <w:rFonts w:ascii="Arial" w:hAnsi="Arial" w:cs="Arial"/>
          <w:color w:val="000000"/>
          <w:sz w:val="22"/>
          <w:szCs w:val="22"/>
          <w:lang w:val="en"/>
        </w:rPr>
        <w:t>Establish and fund a systematic, nationwide early screening and intervention referral system for children aged 0-8, linking health and education sectors for timely identification and support.</w:t>
      </w:r>
      <w:r w:rsidR="003E43EA" w:rsidRPr="003E43EA">
        <w:rPr>
          <w:rFonts w:ascii="Arial" w:hAnsi="Arial" w:cs="Arial"/>
          <w:color w:val="000000"/>
          <w:sz w:val="22"/>
          <w:szCs w:val="22"/>
          <w:lang w:val="en"/>
        </w:rPr>
        <w:t xml:space="preserve"> This should include teacher training in inclusive practices and special need identification for all ECCE practitioners.</w:t>
      </w:r>
    </w:p>
    <w:p w14:paraId="2BB48425" w14:textId="12D61A0E" w:rsidR="008C5A6E" w:rsidRPr="008C5A6E" w:rsidRDefault="003E43EA" w:rsidP="003A5EED">
      <w:pPr>
        <w:pStyle w:val="Heading3"/>
        <w:spacing w:before="120" w:after="120" w:line="360" w:lineRule="auto"/>
        <w:divId w:val="404953684"/>
        <w:rPr>
          <w:rFonts w:ascii="Arial" w:eastAsia="Times New Roman" w:hAnsi="Arial" w:cs="Arial"/>
          <w:color w:val="000000"/>
          <w:lang w:val="en"/>
        </w:rPr>
      </w:pPr>
      <w:r>
        <w:rPr>
          <w:rFonts w:ascii="Arial" w:eastAsia="Times New Roman" w:hAnsi="Arial" w:cs="Arial"/>
          <w:color w:val="000000"/>
          <w:lang w:val="en"/>
        </w:rPr>
        <w:t>.</w:t>
      </w:r>
    </w:p>
    <w:p w14:paraId="2A5C8E99"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50362942"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62DFFFB9"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41C01085"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31BD8BE2"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19AE1F2D"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2DEED98E"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53B975B1"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473E69FA"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507EF2CC"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66153E1C" w14:textId="77777777" w:rsidR="008C5A6E" w:rsidRPr="008C5A6E" w:rsidRDefault="008C5A6E" w:rsidP="003A5EED">
      <w:pPr>
        <w:pStyle w:val="Heading3"/>
        <w:spacing w:before="120" w:after="120" w:line="360" w:lineRule="auto"/>
        <w:divId w:val="404953684"/>
        <w:rPr>
          <w:rFonts w:ascii="Arial" w:eastAsia="Times New Roman" w:hAnsi="Arial" w:cs="Arial"/>
          <w:color w:val="000000"/>
          <w:lang w:val="en"/>
        </w:rPr>
      </w:pPr>
    </w:p>
    <w:p w14:paraId="4C4872AB" w14:textId="77777777" w:rsidR="00C75E46" w:rsidRDefault="00C75E46" w:rsidP="003A5EED">
      <w:pPr>
        <w:pStyle w:val="Heading3"/>
        <w:spacing w:before="120" w:after="120" w:line="360" w:lineRule="auto"/>
        <w:divId w:val="404953684"/>
        <w:rPr>
          <w:rFonts w:ascii="Arial" w:eastAsia="Times New Roman" w:hAnsi="Arial" w:cs="Arial"/>
          <w:color w:val="000000"/>
          <w:lang w:val="en"/>
        </w:rPr>
      </w:pPr>
    </w:p>
    <w:p w14:paraId="73DE168E" w14:textId="79946959" w:rsidR="00571DBD" w:rsidRPr="00AF5590" w:rsidRDefault="00AF5590" w:rsidP="006E42A4">
      <w:pPr>
        <w:spacing w:before="120" w:after="120" w:line="360" w:lineRule="auto"/>
        <w:ind w:left="630" w:hanging="630"/>
        <w:divId w:val="708838428"/>
        <w:rPr>
          <w:rFonts w:ascii="Arial" w:eastAsia="Times New Roman" w:hAnsi="Arial" w:cs="Arial"/>
          <w:b/>
          <w:bCs/>
          <w:color w:val="000000"/>
          <w:sz w:val="22"/>
          <w:szCs w:val="22"/>
          <w:lang w:val="en"/>
        </w:rPr>
      </w:pPr>
      <w:r w:rsidRPr="00AF5590">
        <w:rPr>
          <w:rFonts w:ascii="Arial" w:eastAsia="Times New Roman" w:hAnsi="Arial" w:cs="Arial"/>
          <w:b/>
          <w:bCs/>
          <w:color w:val="000000"/>
          <w:sz w:val="22"/>
          <w:szCs w:val="22"/>
          <w:lang w:val="en"/>
        </w:rPr>
        <w:lastRenderedPageBreak/>
        <w:t>ENDNOTES</w:t>
      </w:r>
      <w:r w:rsidR="00DA262F" w:rsidRPr="00AF5590">
        <w:rPr>
          <w:rFonts w:ascii="Arial" w:eastAsia="Times New Roman" w:hAnsi="Arial" w:cs="Arial"/>
          <w:b/>
          <w:bCs/>
          <w:color w:val="000000"/>
          <w:sz w:val="22"/>
          <w:szCs w:val="22"/>
          <w:lang w:val="en"/>
        </w:rPr>
        <w:t xml:space="preserve"> </w:t>
      </w:r>
    </w:p>
    <w:sectPr w:rsidR="00571DBD" w:rsidRPr="00AF5590">
      <w:headerReference w:type="even" r:id="rId11"/>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FEA5A" w14:textId="77777777" w:rsidR="002F2CAC" w:rsidRDefault="002F2CAC" w:rsidP="003A5EED">
      <w:r>
        <w:separator/>
      </w:r>
    </w:p>
  </w:endnote>
  <w:endnote w:type="continuationSeparator" w:id="0">
    <w:p w14:paraId="14592E28" w14:textId="77777777" w:rsidR="002F2CAC" w:rsidRDefault="002F2CAC" w:rsidP="003A5EED">
      <w:r>
        <w:continuationSeparator/>
      </w:r>
    </w:p>
  </w:endnote>
  <w:endnote w:id="1">
    <w:p w14:paraId="64FEA901" w14:textId="5292F856" w:rsidR="00C75E46" w:rsidRDefault="00C75E46"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The right to Early Childhood Care and Education in Ghana. Early Childhood Network Ghana. November 2024</w:t>
      </w:r>
    </w:p>
    <w:p w14:paraId="2627BEF4" w14:textId="77777777" w:rsidR="00C75E46" w:rsidRPr="00C75E46" w:rsidRDefault="00C75E46" w:rsidP="00AF5590">
      <w:pPr>
        <w:pStyle w:val="EndnoteText"/>
        <w:spacing w:line="360" w:lineRule="auto"/>
        <w:rPr>
          <w:lang w:val="en-GB"/>
        </w:rPr>
      </w:pPr>
    </w:p>
  </w:endnote>
  <w:endnote w:id="2">
    <w:p w14:paraId="5FECF47E" w14:textId="06EF3E38" w:rsidR="00C75E46" w:rsidRPr="00C75E46" w:rsidRDefault="00C75E46"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 xml:space="preserve">Thrive Ghana Study. (2024). Children with disabilities in Ghanaian kindergartens: Headteachers' perspectives. December 2024. Retrieved from </w:t>
      </w:r>
      <w:hyperlink r:id="rId1" w:history="1">
        <w:r w:rsidR="00EE460C" w:rsidRPr="00502729">
          <w:rPr>
            <w:rStyle w:val="Hyperlink"/>
            <w:rFonts w:ascii="Arial" w:eastAsia="Times New Roman" w:hAnsi="Arial" w:cs="Arial"/>
            <w:sz w:val="22"/>
            <w:szCs w:val="22"/>
            <w:lang w:val="en"/>
          </w:rPr>
          <w:t>https://thrivechildevidence.org/wp-content/uploads/2024/12/Thrive_Children-with-disabilities-in-Ghanaian-kindergartens_Headteachers-perspectives_Dec-2024.pdf</w:t>
        </w:r>
      </w:hyperlink>
      <w:r w:rsidR="00EE460C">
        <w:rPr>
          <w:rFonts w:ascii="Arial" w:eastAsia="Times New Roman" w:hAnsi="Arial" w:cs="Arial"/>
          <w:color w:val="000000"/>
          <w:sz w:val="22"/>
          <w:szCs w:val="22"/>
          <w:lang w:val="en"/>
        </w:rPr>
        <w:t xml:space="preserve">. </w:t>
      </w:r>
    </w:p>
  </w:endnote>
  <w:endnote w:id="3">
    <w:p w14:paraId="11F5AB86" w14:textId="337EE4FB" w:rsidR="00C75E46" w:rsidRPr="00253CD4" w:rsidRDefault="00C75E46"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Ghana Education Service. (2024). Early Childhood Education Policy Framework. Ministry of Education. Retrieved from </w:t>
      </w:r>
      <w:hyperlink r:id="rId2" w:history="1">
        <w:r w:rsidR="00EE460C" w:rsidRPr="00502729">
          <w:rPr>
            <w:rStyle w:val="Hyperlink"/>
            <w:rFonts w:ascii="Arial" w:eastAsia="Times New Roman" w:hAnsi="Arial" w:cs="Arial"/>
            <w:sz w:val="22"/>
            <w:szCs w:val="22"/>
            <w:lang w:val="en"/>
          </w:rPr>
          <w:t>https://ges.gov.gh/wp-content/uploads/2024/02/Main-ECE-Policy_Final-Camera-Ready.pdf</w:t>
        </w:r>
      </w:hyperlink>
      <w:r w:rsidR="00EE460C">
        <w:rPr>
          <w:rFonts w:ascii="Arial" w:eastAsia="Times New Roman" w:hAnsi="Arial" w:cs="Arial"/>
          <w:color w:val="000000"/>
          <w:sz w:val="22"/>
          <w:szCs w:val="22"/>
          <w:lang w:val="en"/>
        </w:rPr>
        <w:t xml:space="preserve">. </w:t>
      </w:r>
    </w:p>
  </w:endnote>
  <w:endnote w:id="4">
    <w:p w14:paraId="3347C4AE" w14:textId="2D1472C3" w:rsidR="00B823A2" w:rsidRPr="00B823A2" w:rsidRDefault="00B823A2"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2.</w:t>
      </w:r>
    </w:p>
  </w:endnote>
  <w:endnote w:id="5">
    <w:p w14:paraId="13F07466" w14:textId="0AC57464" w:rsidR="00B823A2" w:rsidRPr="00253CD4" w:rsidRDefault="00B823A2"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Ghana Education Service. (2024). Early Childhood Education Policy Framework. Ministry of Education, Ghana.</w:t>
      </w:r>
    </w:p>
  </w:endnote>
  <w:endnote w:id="6">
    <w:p w14:paraId="7B4659BC" w14:textId="39917CEE" w:rsidR="00B823A2" w:rsidRPr="00B823A2" w:rsidRDefault="00B823A2"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2-3.</w:t>
      </w:r>
    </w:p>
  </w:endnote>
  <w:endnote w:id="7">
    <w:p w14:paraId="345D3171" w14:textId="6D532896" w:rsidR="00B823A2" w:rsidRPr="00B823A2" w:rsidRDefault="00B823A2"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 xml:space="preserve">UNICEF. (2024). Education Budget Brief 2024. UNICEF Ghana Country Office. Retrieved from </w:t>
      </w:r>
      <w:hyperlink r:id="rId3" w:history="1">
        <w:r w:rsidR="00EE460C" w:rsidRPr="00502729">
          <w:rPr>
            <w:rStyle w:val="Hyperlink"/>
            <w:rFonts w:ascii="Arial" w:eastAsia="Times New Roman" w:hAnsi="Arial" w:cs="Arial"/>
            <w:sz w:val="22"/>
            <w:szCs w:val="22"/>
            <w:lang w:val="en"/>
          </w:rPr>
          <w:t>https://www.unicef.org/ghana/media/6391/file/EDUCATION%20BUDGET%20BRIEF%202024.pdf</w:t>
        </w:r>
      </w:hyperlink>
      <w:r w:rsidR="00EE460C">
        <w:rPr>
          <w:rFonts w:ascii="Arial" w:eastAsia="Times New Roman" w:hAnsi="Arial" w:cs="Arial"/>
          <w:color w:val="000000"/>
          <w:sz w:val="22"/>
          <w:szCs w:val="22"/>
          <w:lang w:val="en"/>
        </w:rPr>
        <w:t xml:space="preserve">. </w:t>
      </w:r>
    </w:p>
  </w:endnote>
  <w:endnote w:id="8">
    <w:p w14:paraId="24DA8D47" w14:textId="566AA852" w:rsidR="00B823A2" w:rsidRPr="00253CD4" w:rsidRDefault="00B823A2" w:rsidP="00AF5590">
      <w:pPr>
        <w:spacing w:before="120" w:after="120"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Ministry of Gender, Children and Social Protection. (2024). Budget Estimates 2024-2025. Government of Ghana.</w:t>
      </w:r>
    </w:p>
  </w:endnote>
  <w:endnote w:id="9">
    <w:p w14:paraId="36182739" w14:textId="161799C4" w:rsidR="00B823A2" w:rsidRPr="00B823A2" w:rsidRDefault="00B823A2"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UN Migration Network. (2024). National Coordination Mechanism Ghana Launch Documentation. November 2023.</w:t>
      </w:r>
    </w:p>
  </w:endnote>
  <w:endnote w:id="10">
    <w:p w14:paraId="1AE4BF67" w14:textId="06925F62" w:rsidR="00B823A2" w:rsidRPr="00253CD4" w:rsidRDefault="00B823A2"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5.</w:t>
      </w:r>
    </w:p>
  </w:endnote>
  <w:endnote w:id="11">
    <w:p w14:paraId="68B73A54" w14:textId="6120F2A8" w:rsidR="00B823A2" w:rsidRPr="00B823A2" w:rsidRDefault="00B823A2"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Ghana Statistical Service. (2017). Multiple Indicators Cluster Survey (MICS). Cited in Alternative Report to CRC, 2024, p. 5</w:t>
      </w:r>
    </w:p>
  </w:endnote>
  <w:endnote w:id="12">
    <w:p w14:paraId="33A13F2B" w14:textId="6C647603" w:rsidR="00B823A2" w:rsidRPr="00B823A2" w:rsidRDefault="00B823A2"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National Schools Inspectorate Authority. (2023). Licensing Private Schools: NaSIA to enforce compliance from January. October 4, 2023. Retrieved from https://www.nasia.gov.gh/licensing-private-schools-nasia-to-enforce-compliance-from-january/</w:t>
      </w:r>
    </w:p>
  </w:endnote>
  <w:endnote w:id="13">
    <w:p w14:paraId="6D4A8423" w14:textId="098F0B8A" w:rsidR="00B823A2" w:rsidRPr="00AF5590" w:rsidRDefault="00B823A2"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National Schools Inspectorate Authority. (2024). FAQ - Education Regulatory Bodies Act 2020. Ghana.</w:t>
      </w:r>
    </w:p>
  </w:endnote>
  <w:endnote w:id="14">
    <w:p w14:paraId="0CE60E06" w14:textId="3FC8EB9D" w:rsidR="00253CD4" w:rsidRPr="00253CD4" w:rsidRDefault="00253CD4"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rsidRPr="008C5A6E">
        <w:rPr>
          <w:rFonts w:ascii="Arial" w:eastAsia="Times New Roman" w:hAnsi="Arial" w:cs="Arial"/>
          <w:color w:val="000000"/>
          <w:sz w:val="22"/>
          <w:szCs w:val="22"/>
          <w:lang w:val="en"/>
        </w:rPr>
        <w:t xml:space="preserve"> Ministry of Education. (2016). National Minimum Guidelines for the establishment of KG. Ghana.</w:t>
      </w:r>
    </w:p>
  </w:endnote>
  <w:endnote w:id="15">
    <w:p w14:paraId="583F3574" w14:textId="12B758E2" w:rsidR="00253CD4" w:rsidRDefault="00253CD4"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Thrive Ghana Study. (2024). Teacher Qualification Analysis. December 2024</w:t>
      </w:r>
      <w:r>
        <w:rPr>
          <w:rFonts w:ascii="Arial" w:eastAsia="Times New Roman" w:hAnsi="Arial" w:cs="Arial"/>
          <w:color w:val="000000"/>
          <w:sz w:val="22"/>
          <w:szCs w:val="22"/>
          <w:lang w:val="en"/>
        </w:rPr>
        <w:t>.</w:t>
      </w:r>
    </w:p>
    <w:p w14:paraId="198E4F4E" w14:textId="77777777" w:rsidR="00253CD4" w:rsidRPr="00253CD4" w:rsidRDefault="00253CD4" w:rsidP="00AF5590">
      <w:pPr>
        <w:pStyle w:val="EndnoteText"/>
        <w:spacing w:line="360" w:lineRule="auto"/>
        <w:rPr>
          <w:lang w:val="en-GB"/>
        </w:rPr>
      </w:pPr>
    </w:p>
  </w:endnote>
  <w:endnote w:id="16">
    <w:p w14:paraId="06018189" w14:textId="4EB5A1AE" w:rsidR="00253CD4" w:rsidRDefault="00253CD4"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Ghana Education Service. (2024). EMIS Data 2024. Ministry of Education</w:t>
      </w:r>
    </w:p>
    <w:p w14:paraId="4620A0A2" w14:textId="77777777" w:rsidR="00253CD4" w:rsidRPr="00253CD4" w:rsidRDefault="00253CD4" w:rsidP="00AF5590">
      <w:pPr>
        <w:pStyle w:val="EndnoteText"/>
        <w:spacing w:line="360" w:lineRule="auto"/>
        <w:rPr>
          <w:lang w:val="en-GB"/>
        </w:rPr>
      </w:pPr>
    </w:p>
  </w:endnote>
  <w:endnote w:id="17">
    <w:p w14:paraId="7B2D524F" w14:textId="049A9D40" w:rsidR="00253CD4" w:rsidRPr="00253CD4" w:rsidRDefault="00253CD4"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Oxford Business Group. (2024). Ghana Education Sector Analysis. Country Report.</w:t>
      </w:r>
    </w:p>
  </w:endnote>
  <w:endnote w:id="18">
    <w:p w14:paraId="113E3684" w14:textId="4E1B54BF" w:rsidR="00253CD4" w:rsidRPr="00AF5590" w:rsidRDefault="00253CD4"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6.</w:t>
      </w:r>
    </w:p>
  </w:endnote>
  <w:endnote w:id="19">
    <w:p w14:paraId="519272B4" w14:textId="1D34D0EB" w:rsidR="00253CD4" w:rsidRPr="00253CD4" w:rsidRDefault="00253CD4"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4.</w:t>
      </w:r>
    </w:p>
  </w:endnote>
  <w:endnote w:id="20">
    <w:p w14:paraId="676DE2D4" w14:textId="07EB2AFE" w:rsidR="00253CD4" w:rsidRPr="008C5A6E" w:rsidRDefault="00253CD4"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4.</w:t>
      </w:r>
    </w:p>
    <w:p w14:paraId="7DA3C55D" w14:textId="6591B03C" w:rsidR="00253CD4" w:rsidRPr="008C5A6E" w:rsidRDefault="00253CD4" w:rsidP="00AF5590">
      <w:pPr>
        <w:spacing w:before="120" w:after="120" w:line="360" w:lineRule="auto"/>
        <w:ind w:left="630" w:hanging="630"/>
        <w:rPr>
          <w:rFonts w:ascii="Arial" w:eastAsia="Times New Roman" w:hAnsi="Arial" w:cs="Arial"/>
          <w:color w:val="000000"/>
          <w:sz w:val="22"/>
          <w:szCs w:val="22"/>
          <w:lang w:val="en"/>
        </w:rPr>
      </w:pPr>
      <w:r w:rsidRPr="008C5A6E">
        <w:rPr>
          <w:rFonts w:ascii="Arial" w:eastAsia="Times New Roman" w:hAnsi="Arial" w:cs="Arial"/>
          <w:color w:val="000000"/>
          <w:sz w:val="22"/>
          <w:szCs w:val="22"/>
          <w:lang w:val="en"/>
        </w:rPr>
        <w:t xml:space="preserve">23. UNICEF. (2025). Education Budget Brief 2025. UNICEF Ghana Country Office. Retrieved from </w:t>
      </w:r>
      <w:hyperlink r:id="rId4" w:history="1">
        <w:r w:rsidR="00EE460C" w:rsidRPr="00502729">
          <w:rPr>
            <w:rStyle w:val="Hyperlink"/>
            <w:rFonts w:ascii="Arial" w:eastAsia="Times New Roman" w:hAnsi="Arial" w:cs="Arial"/>
            <w:sz w:val="22"/>
            <w:szCs w:val="22"/>
            <w:lang w:val="en"/>
          </w:rPr>
          <w:t>https://www.unicef.org/ghana/media/8671/file/EDUCATION%20BUDGET%20BRIEF%202025.pdf</w:t>
        </w:r>
      </w:hyperlink>
      <w:r w:rsidR="00EE460C">
        <w:rPr>
          <w:rFonts w:ascii="Arial" w:eastAsia="Times New Roman" w:hAnsi="Arial" w:cs="Arial"/>
          <w:color w:val="000000"/>
          <w:sz w:val="22"/>
          <w:szCs w:val="22"/>
          <w:lang w:val="en"/>
        </w:rPr>
        <w:t xml:space="preserve">. </w:t>
      </w:r>
      <w:r w:rsidRPr="008C5A6E">
        <w:rPr>
          <w:rFonts w:ascii="Arial" w:eastAsia="Times New Roman" w:hAnsi="Arial" w:cs="Arial"/>
          <w:color w:val="000000"/>
          <w:sz w:val="22"/>
          <w:szCs w:val="22"/>
          <w:lang w:val="en"/>
        </w:rPr>
        <w:t xml:space="preserve"> </w:t>
      </w:r>
    </w:p>
    <w:p w14:paraId="0ED785A3" w14:textId="6FF9F35C" w:rsidR="00253CD4" w:rsidRPr="008C5A6E" w:rsidRDefault="00253CD4" w:rsidP="00AF5590">
      <w:pPr>
        <w:spacing w:before="120" w:after="120" w:line="360" w:lineRule="auto"/>
        <w:ind w:left="630" w:hanging="630"/>
        <w:rPr>
          <w:rFonts w:ascii="Arial" w:eastAsia="Times New Roman" w:hAnsi="Arial" w:cs="Arial"/>
          <w:color w:val="000000"/>
          <w:sz w:val="22"/>
          <w:szCs w:val="22"/>
          <w:lang w:val="en"/>
        </w:rPr>
      </w:pPr>
      <w:r w:rsidRPr="008C5A6E">
        <w:rPr>
          <w:rFonts w:ascii="Arial" w:eastAsia="Times New Roman" w:hAnsi="Arial" w:cs="Arial"/>
          <w:color w:val="000000"/>
          <w:sz w:val="22"/>
          <w:szCs w:val="22"/>
          <w:lang w:val="en"/>
        </w:rPr>
        <w:t xml:space="preserve">24. Africa Education Watch. (2024). </w:t>
      </w:r>
      <w:r w:rsidRPr="008C5A6E">
        <w:rPr>
          <w:rFonts w:ascii="Arial" w:eastAsia="Times New Roman" w:hAnsi="Arial" w:cs="Arial"/>
          <w:color w:val="000000"/>
          <w:sz w:val="22"/>
          <w:szCs w:val="22"/>
          <w:lang w:val="en"/>
        </w:rPr>
        <w:t xml:space="preserve">EduNews Volume 24: Ghana Education Budget Analysis. Retrieved from </w:t>
      </w:r>
      <w:hyperlink r:id="rId5" w:history="1">
        <w:r w:rsidR="00EE460C" w:rsidRPr="00502729">
          <w:rPr>
            <w:rStyle w:val="Hyperlink"/>
            <w:rFonts w:ascii="Arial" w:eastAsia="Times New Roman" w:hAnsi="Arial" w:cs="Arial"/>
            <w:sz w:val="22"/>
            <w:szCs w:val="22"/>
            <w:lang w:val="en"/>
          </w:rPr>
          <w:t>https://africaeducationwatch.org/edunews/volume-24</w:t>
        </w:r>
      </w:hyperlink>
      <w:r w:rsidR="00EE460C">
        <w:rPr>
          <w:rFonts w:ascii="Arial" w:eastAsia="Times New Roman" w:hAnsi="Arial" w:cs="Arial"/>
          <w:color w:val="000000"/>
          <w:sz w:val="22"/>
          <w:szCs w:val="22"/>
          <w:lang w:val="en"/>
        </w:rPr>
        <w:t xml:space="preserve">. </w:t>
      </w:r>
      <w:r w:rsidRPr="008C5A6E">
        <w:rPr>
          <w:rFonts w:ascii="Arial" w:eastAsia="Times New Roman" w:hAnsi="Arial" w:cs="Arial"/>
          <w:color w:val="000000"/>
          <w:sz w:val="22"/>
          <w:szCs w:val="22"/>
          <w:lang w:val="en"/>
        </w:rPr>
        <w:t xml:space="preserve"> </w:t>
      </w:r>
    </w:p>
    <w:p w14:paraId="5419A7A2" w14:textId="77777777" w:rsidR="00253CD4" w:rsidRPr="00253CD4" w:rsidRDefault="00253CD4" w:rsidP="00AF5590">
      <w:pPr>
        <w:pStyle w:val="EndnoteText"/>
        <w:spacing w:line="360" w:lineRule="auto"/>
        <w:rPr>
          <w:lang w:val="en-GB"/>
        </w:rPr>
      </w:pPr>
    </w:p>
  </w:endnote>
  <w:endnote w:id="21">
    <w:p w14:paraId="5C8CA813" w14:textId="31AC80A8" w:rsidR="00253CD4" w:rsidRDefault="00253CD4"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F71065">
        <w:rPr>
          <w:rFonts w:ascii="Arial" w:eastAsia="Times New Roman" w:hAnsi="Arial" w:cs="Arial"/>
          <w:color w:val="000000"/>
          <w:sz w:val="22"/>
          <w:szCs w:val="22"/>
          <w:lang w:val="en"/>
        </w:rPr>
        <w:t>Ministry of Finance. (2026). 2026 Budget Speech. Paragraph 470. "To improve learning outcomes, we have allocated GH¢157 million for Capitation Grant."</w:t>
      </w:r>
    </w:p>
    <w:p w14:paraId="748010F6" w14:textId="77777777" w:rsidR="00253CD4" w:rsidRPr="00253CD4" w:rsidRDefault="00253CD4" w:rsidP="00AF5590">
      <w:pPr>
        <w:pStyle w:val="EndnoteText"/>
        <w:spacing w:line="360" w:lineRule="auto"/>
        <w:rPr>
          <w:lang w:val="en-GB"/>
        </w:rPr>
      </w:pPr>
    </w:p>
  </w:endnote>
  <w:endnote w:id="22">
    <w:p w14:paraId="4B3FFE7B" w14:textId="38A51FA0" w:rsidR="00253CD4" w:rsidRDefault="00253CD4"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F71065">
        <w:rPr>
          <w:rFonts w:ascii="Arial" w:eastAsia="Times New Roman" w:hAnsi="Arial" w:cs="Arial"/>
          <w:color w:val="000000"/>
          <w:sz w:val="22"/>
          <w:szCs w:val="22"/>
          <w:lang w:val="en"/>
        </w:rPr>
        <w:t xml:space="preserve">Ministry of Finance. (2026). 2026 Budget Speech. Paragraph 471. "We have allocated GH¢1.98 billion for the School Feeding </w:t>
      </w:r>
      <w:r w:rsidRPr="00F71065">
        <w:rPr>
          <w:rFonts w:ascii="Arial" w:eastAsia="Times New Roman" w:hAnsi="Arial" w:cs="Arial"/>
          <w:color w:val="000000"/>
          <w:sz w:val="22"/>
          <w:szCs w:val="22"/>
          <w:lang w:val="en"/>
        </w:rPr>
        <w:t>Programme."</w:t>
      </w:r>
    </w:p>
    <w:p w14:paraId="6E1439F0" w14:textId="77777777" w:rsidR="00253CD4" w:rsidRPr="00253CD4" w:rsidRDefault="00253CD4" w:rsidP="00AF5590">
      <w:pPr>
        <w:pStyle w:val="EndnoteText"/>
        <w:spacing w:line="360" w:lineRule="auto"/>
        <w:rPr>
          <w:lang w:val="en-GB"/>
        </w:rPr>
      </w:pPr>
    </w:p>
  </w:endnote>
  <w:endnote w:id="23">
    <w:p w14:paraId="3A3E2F4D" w14:textId="00AF26EC" w:rsidR="00EE460C" w:rsidRPr="00EE460C" w:rsidRDefault="00EE460C"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4.</w:t>
      </w:r>
    </w:p>
  </w:endnote>
  <w:endnote w:id="24">
    <w:p w14:paraId="4949310F" w14:textId="5A64254C" w:rsidR="00EE460C" w:rsidRPr="00EE460C" w:rsidRDefault="00EE460C"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Alternative Report to CRC. (2024). Early Childhood Network Ghana. November 2024, p. 4. </w:t>
      </w:r>
    </w:p>
  </w:endnote>
  <w:endnote w:id="25">
    <w:p w14:paraId="3C46B4A2" w14:textId="44615C2B" w:rsidR="00EE460C" w:rsidRPr="00EE460C" w:rsidRDefault="00EE460C"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 xml:space="preserve">UNICEF. (2025). Education Budget Brief 2025. UNICEF Ghana Country Office. Retrieved from </w:t>
      </w:r>
      <w:hyperlink r:id="rId6" w:history="1">
        <w:r w:rsidRPr="00502729">
          <w:rPr>
            <w:rStyle w:val="Hyperlink"/>
            <w:rFonts w:ascii="Arial" w:eastAsia="Times New Roman" w:hAnsi="Arial" w:cs="Arial"/>
            <w:sz w:val="22"/>
            <w:szCs w:val="22"/>
            <w:lang w:val="en"/>
          </w:rPr>
          <w:t>https://www.unicef.org/ghana/media/8671/file/EDUCATION%20BUDGET%20BRIEF%202025.pdf</w:t>
        </w:r>
      </w:hyperlink>
      <w:r>
        <w:rPr>
          <w:rFonts w:ascii="Arial" w:eastAsia="Times New Roman" w:hAnsi="Arial" w:cs="Arial"/>
          <w:color w:val="000000"/>
          <w:sz w:val="22"/>
          <w:szCs w:val="22"/>
          <w:lang w:val="en"/>
        </w:rPr>
        <w:t xml:space="preserve">. </w:t>
      </w:r>
    </w:p>
  </w:endnote>
  <w:endnote w:id="26">
    <w:p w14:paraId="3E9E9CAA" w14:textId="773C485D" w:rsidR="00EE460C" w:rsidRPr="00EE460C" w:rsidRDefault="00EE460C" w:rsidP="00AF5590">
      <w:pPr>
        <w:pStyle w:val="EndnoteText"/>
        <w:spacing w:line="360" w:lineRule="auto"/>
        <w:rPr>
          <w:lang w:val="en-GB"/>
        </w:rPr>
      </w:pPr>
      <w:r>
        <w:rPr>
          <w:rStyle w:val="EndnoteReference"/>
        </w:rPr>
        <w:endnoteRef/>
      </w:r>
      <w:r>
        <w:t xml:space="preserve"> </w:t>
      </w:r>
      <w:r w:rsidRPr="00F71065">
        <w:rPr>
          <w:rFonts w:ascii="Arial" w:eastAsia="Times New Roman" w:hAnsi="Arial" w:cs="Arial"/>
          <w:color w:val="000000"/>
          <w:sz w:val="22"/>
          <w:szCs w:val="22"/>
          <w:lang w:val="en"/>
        </w:rPr>
        <w:t xml:space="preserve">Ministry of Finance. (2026). 2026 Budget Speech: Resetting for Growth, Jobs, and Economic Transformation. Presented by Dr. Cassiel Ato Forson (MP), Minister for Finance. Paragraphs 462-463. Ghana allocates GH¢33.3 billion to Ministry of Education and GH¢9.9 billion to </w:t>
      </w:r>
      <w:r w:rsidRPr="00F71065">
        <w:rPr>
          <w:rFonts w:ascii="Arial" w:eastAsia="Times New Roman" w:hAnsi="Arial" w:cs="Arial"/>
          <w:color w:val="000000"/>
          <w:sz w:val="22"/>
          <w:szCs w:val="22"/>
          <w:lang w:val="en"/>
        </w:rPr>
        <w:t>GETFund.</w:t>
      </w:r>
    </w:p>
  </w:endnote>
  <w:endnote w:id="27">
    <w:p w14:paraId="5FF56D23" w14:textId="2CB63522" w:rsidR="00EE460C"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Africa Education Watch. (2024). </w:t>
      </w:r>
      <w:r w:rsidRPr="008C5A6E">
        <w:rPr>
          <w:rFonts w:ascii="Arial" w:eastAsia="Times New Roman" w:hAnsi="Arial" w:cs="Arial"/>
          <w:color w:val="000000"/>
          <w:sz w:val="22"/>
          <w:szCs w:val="22"/>
          <w:lang w:val="en"/>
        </w:rPr>
        <w:t xml:space="preserve">EduNews Volume 24: Ghana Education Budget Analysis. Retrieved from </w:t>
      </w:r>
      <w:hyperlink r:id="rId7" w:history="1">
        <w:r w:rsidRPr="00502729">
          <w:rPr>
            <w:rStyle w:val="Hyperlink"/>
            <w:rFonts w:ascii="Arial" w:eastAsia="Times New Roman" w:hAnsi="Arial" w:cs="Arial"/>
            <w:sz w:val="22"/>
            <w:szCs w:val="22"/>
            <w:lang w:val="en"/>
          </w:rPr>
          <w:t>https://africaeducationwatch.org/edunews/volume-24</w:t>
        </w:r>
      </w:hyperlink>
    </w:p>
    <w:p w14:paraId="4EF82163" w14:textId="77777777" w:rsidR="00EE460C" w:rsidRPr="00EE460C" w:rsidRDefault="00EE460C" w:rsidP="00AF5590">
      <w:pPr>
        <w:pStyle w:val="EndnoteText"/>
        <w:spacing w:line="360" w:lineRule="auto"/>
        <w:rPr>
          <w:lang w:val="en-GB"/>
        </w:rPr>
      </w:pPr>
    </w:p>
  </w:endnote>
  <w:endnote w:id="28">
    <w:p w14:paraId="29B9EF91" w14:textId="347BBF59" w:rsidR="00EE460C" w:rsidRPr="00EE460C" w:rsidRDefault="00EE460C"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UNICEF. (2025). Child Protection Budget Brief 2025. Ghana Country Office.</w:t>
      </w:r>
    </w:p>
  </w:endnote>
  <w:endnote w:id="29">
    <w:p w14:paraId="2A7F0D3B" w14:textId="05123F95" w:rsidR="00EE460C" w:rsidRPr="00EE460C" w:rsidRDefault="00EE460C" w:rsidP="00AF5590">
      <w:pPr>
        <w:pStyle w:val="EndnoteText"/>
        <w:spacing w:line="360" w:lineRule="auto"/>
        <w:rPr>
          <w:lang w:val="en-GB"/>
        </w:rPr>
      </w:pPr>
      <w:r>
        <w:rPr>
          <w:rStyle w:val="EndnoteReference"/>
        </w:rPr>
        <w:endnoteRef/>
      </w:r>
      <w:r>
        <w:t xml:space="preserve"> </w:t>
      </w:r>
      <w:r w:rsidRPr="008C5A6E">
        <w:rPr>
          <w:rFonts w:ascii="Arial" w:eastAsia="Times New Roman" w:hAnsi="Arial" w:cs="Arial"/>
          <w:color w:val="000000"/>
          <w:sz w:val="22"/>
          <w:szCs w:val="22"/>
          <w:lang w:val="en"/>
        </w:rPr>
        <w:t>UNICEF. (2025). Child Protection Budget Brief 2025. Ghana Country Office</w:t>
      </w:r>
      <w:r>
        <w:rPr>
          <w:rFonts w:ascii="Arial" w:eastAsia="Times New Roman" w:hAnsi="Arial" w:cs="Arial"/>
          <w:color w:val="000000"/>
          <w:sz w:val="22"/>
          <w:szCs w:val="22"/>
          <w:lang w:val="en"/>
        </w:rPr>
        <w:t xml:space="preserve">. </w:t>
      </w:r>
    </w:p>
  </w:endnote>
  <w:endnote w:id="30">
    <w:p w14:paraId="471D8A5A" w14:textId="6F1D1780" w:rsidR="00EE460C"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F71065">
        <w:rPr>
          <w:rFonts w:ascii="Arial" w:eastAsia="Times New Roman" w:hAnsi="Arial" w:cs="Arial"/>
          <w:color w:val="000000"/>
          <w:sz w:val="22"/>
          <w:szCs w:val="22"/>
          <w:lang w:val="en"/>
        </w:rPr>
        <w:t xml:space="preserve">Ministry of Finance. (2026). 2026 Budget Speech shows no specific provisions extending Capitation Grant or School Feeding </w:t>
      </w:r>
      <w:r w:rsidRPr="00F71065">
        <w:rPr>
          <w:rFonts w:ascii="Arial" w:eastAsia="Times New Roman" w:hAnsi="Arial" w:cs="Arial"/>
          <w:color w:val="000000"/>
          <w:sz w:val="22"/>
          <w:szCs w:val="22"/>
          <w:lang w:val="en"/>
        </w:rPr>
        <w:t>Programme to ages 0-3 in crèches and nurseries, despite substantial increases for KG-level programs.</w:t>
      </w:r>
    </w:p>
    <w:p w14:paraId="19A77C5F" w14:textId="77777777" w:rsidR="00EE460C" w:rsidRPr="00EE460C" w:rsidRDefault="00EE460C" w:rsidP="00AF5590">
      <w:pPr>
        <w:pStyle w:val="EndnoteText"/>
        <w:spacing w:line="360" w:lineRule="auto"/>
        <w:rPr>
          <w:lang w:val="en-GB"/>
        </w:rPr>
      </w:pPr>
    </w:p>
  </w:endnote>
  <w:endnote w:id="31">
    <w:p w14:paraId="4E23BEA8" w14:textId="0C1C01A2" w:rsidR="00EE460C"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Ghana Education Service. (2024). Early Childhood Education Policy Framework. Ministry of Education, p. 12.</w:t>
      </w:r>
    </w:p>
    <w:p w14:paraId="6289213F" w14:textId="77777777" w:rsidR="00EE460C" w:rsidRPr="00EE460C" w:rsidRDefault="00EE460C" w:rsidP="00AF5590">
      <w:pPr>
        <w:pStyle w:val="EndnoteText"/>
        <w:spacing w:line="360" w:lineRule="auto"/>
        <w:rPr>
          <w:lang w:val="en-GB"/>
        </w:rPr>
      </w:pPr>
    </w:p>
  </w:endnote>
  <w:endnote w:id="32">
    <w:p w14:paraId="707E2B36" w14:textId="77777777" w:rsidR="00EE460C" w:rsidRPr="008C5A6E" w:rsidRDefault="00EE460C"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Alternative Report to CRC. (2024). Early Childhood Network Ghana. November 2024, p. 4-5. </w:t>
      </w:r>
    </w:p>
    <w:p w14:paraId="56D204CF" w14:textId="334CAB0F" w:rsidR="00EE460C" w:rsidRPr="00EE460C" w:rsidRDefault="00EE460C" w:rsidP="00AF5590">
      <w:pPr>
        <w:pStyle w:val="EndnoteText"/>
        <w:spacing w:line="360" w:lineRule="auto"/>
        <w:rPr>
          <w:lang w:val="en-GB"/>
        </w:rPr>
      </w:pPr>
    </w:p>
  </w:endnote>
  <w:endnote w:id="33">
    <w:p w14:paraId="48B8999E" w14:textId="56A5ED8D" w:rsidR="00EE460C"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4.</w:t>
      </w:r>
    </w:p>
    <w:p w14:paraId="5DF4CF75" w14:textId="77777777" w:rsidR="00EE460C" w:rsidRPr="00EE460C" w:rsidRDefault="00EE460C" w:rsidP="00AF5590">
      <w:pPr>
        <w:pStyle w:val="EndnoteText"/>
        <w:spacing w:line="360" w:lineRule="auto"/>
        <w:rPr>
          <w:lang w:val="en-GB"/>
        </w:rPr>
      </w:pPr>
    </w:p>
  </w:endnote>
  <w:endnote w:id="34">
    <w:p w14:paraId="21922B3C" w14:textId="3EDC3288" w:rsidR="00EE460C" w:rsidRPr="00AF5590"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Alternative Report to CRC. (2024). Early Childhood Network Ghana. November 2024, p. 4.</w:t>
      </w:r>
    </w:p>
  </w:endnote>
  <w:endnote w:id="35">
    <w:p w14:paraId="0339215F" w14:textId="576BBFA1" w:rsidR="00EE460C" w:rsidRPr="00AF5590" w:rsidRDefault="00EE460C"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F71065">
        <w:rPr>
          <w:rFonts w:ascii="Arial" w:eastAsia="Times New Roman" w:hAnsi="Arial" w:cs="Arial"/>
          <w:color w:val="000000"/>
          <w:sz w:val="22"/>
          <w:szCs w:val="22"/>
          <w:lang w:val="en"/>
        </w:rPr>
        <w:t xml:space="preserve">Ministry of Finance. (2026). 2026 Budget Speech. Paragraph 468. "We have allocated an amount of GH¢2.0 billion for the construction of 200 new Junior High Schools, 200 new primary schools, 200 kindergartens, 400 4-unit teachers' bungalows and 400 places of convenience in underserved communities." </w:t>
      </w:r>
    </w:p>
  </w:endnote>
  <w:endnote w:id="36">
    <w:p w14:paraId="6D30FF99" w14:textId="52966BB8" w:rsidR="00EE460C"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Ministry of Education. (2024). </w:t>
      </w:r>
      <w:r w:rsidRPr="008C5A6E">
        <w:rPr>
          <w:rFonts w:ascii="Arial" w:eastAsia="Times New Roman" w:hAnsi="Arial" w:cs="Arial"/>
          <w:color w:val="000000"/>
          <w:sz w:val="22"/>
          <w:szCs w:val="22"/>
          <w:lang w:val="en"/>
        </w:rPr>
        <w:t>Programme Based Budget Estimates 2024-2025. Ghana.</w:t>
      </w:r>
    </w:p>
    <w:p w14:paraId="363EA47C" w14:textId="77777777" w:rsidR="00EE460C" w:rsidRPr="00EE460C" w:rsidRDefault="00EE460C" w:rsidP="00AF5590">
      <w:pPr>
        <w:pStyle w:val="EndnoteText"/>
        <w:spacing w:line="360" w:lineRule="auto"/>
        <w:rPr>
          <w:lang w:val="en-GB"/>
        </w:rPr>
      </w:pPr>
    </w:p>
  </w:endnote>
  <w:endnote w:id="37">
    <w:p w14:paraId="7746FD18" w14:textId="559C422D" w:rsidR="00EE460C"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Ministry of Education. (2024). </w:t>
      </w:r>
      <w:r w:rsidRPr="008C5A6E">
        <w:rPr>
          <w:rFonts w:ascii="Arial" w:eastAsia="Times New Roman" w:hAnsi="Arial" w:cs="Arial"/>
          <w:color w:val="000000"/>
          <w:sz w:val="22"/>
          <w:szCs w:val="22"/>
          <w:lang w:val="en"/>
        </w:rPr>
        <w:t>Programme Based Budget Estimates 2024-2025. Ghana.</w:t>
      </w:r>
    </w:p>
    <w:p w14:paraId="2F9305ED" w14:textId="77777777" w:rsidR="00EE460C" w:rsidRPr="00EE460C" w:rsidRDefault="00EE460C" w:rsidP="00AF5590">
      <w:pPr>
        <w:pStyle w:val="EndnoteText"/>
        <w:spacing w:line="360" w:lineRule="auto"/>
        <w:rPr>
          <w:lang w:val="en-GB"/>
        </w:rPr>
      </w:pPr>
    </w:p>
  </w:endnote>
  <w:endnote w:id="38">
    <w:p w14:paraId="66E09720" w14:textId="4FBA730A" w:rsidR="00AB2F70" w:rsidRPr="00AF5590" w:rsidRDefault="00EE460C"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00AB2F70" w:rsidRPr="008C5A6E">
        <w:rPr>
          <w:rFonts w:ascii="Arial" w:eastAsia="Times New Roman" w:hAnsi="Arial" w:cs="Arial"/>
          <w:color w:val="000000"/>
          <w:sz w:val="22"/>
          <w:szCs w:val="22"/>
          <w:lang w:val="en"/>
        </w:rPr>
        <w:t>North East Regional Education Office. (2024). Infrastructure Needs Assessment. Ghana Education Service.</w:t>
      </w:r>
    </w:p>
  </w:endnote>
  <w:endnote w:id="39">
    <w:p w14:paraId="62512104" w14:textId="6A18D880" w:rsidR="00AB2F70" w:rsidRPr="00AB2F70" w:rsidRDefault="00AB2F70"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Alternative Report to CRC. (2024). Early Childhood Network Ghana. November 2024, p. 5. </w:t>
      </w:r>
    </w:p>
  </w:endnote>
  <w:endnote w:id="40">
    <w:p w14:paraId="24B8B3CA" w14:textId="663A583C"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Thrive Ghana Study. (2024). Teacher Qualification Analysis. December 2024</w:t>
      </w:r>
      <w:r>
        <w:rPr>
          <w:rFonts w:ascii="Arial" w:eastAsia="Times New Roman" w:hAnsi="Arial" w:cs="Arial"/>
          <w:color w:val="000000"/>
          <w:sz w:val="22"/>
          <w:szCs w:val="22"/>
          <w:lang w:val="en"/>
        </w:rPr>
        <w:t>.</w:t>
      </w:r>
    </w:p>
    <w:p w14:paraId="3167627E" w14:textId="77777777" w:rsidR="00AB2F70" w:rsidRPr="00AB2F70" w:rsidRDefault="00AB2F70" w:rsidP="00AF5590">
      <w:pPr>
        <w:pStyle w:val="EndnoteText"/>
        <w:spacing w:line="360" w:lineRule="auto"/>
        <w:rPr>
          <w:lang w:val="en-GB"/>
        </w:rPr>
      </w:pPr>
    </w:p>
  </w:endnote>
  <w:endnote w:id="41">
    <w:p w14:paraId="480986C3" w14:textId="53215283"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F71065">
        <w:rPr>
          <w:rFonts w:ascii="Arial" w:eastAsia="Times New Roman" w:hAnsi="Arial" w:cs="Arial"/>
          <w:color w:val="000000"/>
          <w:sz w:val="22"/>
          <w:szCs w:val="22"/>
          <w:lang w:val="en"/>
        </w:rPr>
        <w:t xml:space="preserve">Ghana Education Service. (2024). </w:t>
      </w:r>
      <w:r w:rsidRPr="00F71065">
        <w:rPr>
          <w:rFonts w:ascii="Arial" w:eastAsia="Times New Roman" w:hAnsi="Arial" w:cs="Arial"/>
          <w:color w:val="000000"/>
          <w:sz w:val="22"/>
          <w:szCs w:val="22"/>
          <w:lang w:val="en"/>
        </w:rPr>
        <w:t>Programme Based Budget Estimates 2024-2025 and EMIS Data 2024 show no specific ECE teacher certification improvement programs implemented since 2022 baseline. Ministry of Education, Ghana.</w:t>
      </w:r>
    </w:p>
    <w:p w14:paraId="545284F8" w14:textId="77777777" w:rsidR="00AB2F70" w:rsidRPr="00AB2F70" w:rsidRDefault="00AB2F70" w:rsidP="00AF5590">
      <w:pPr>
        <w:pStyle w:val="EndnoteText"/>
        <w:spacing w:line="360" w:lineRule="auto"/>
        <w:rPr>
          <w:lang w:val="en-GB"/>
        </w:rPr>
      </w:pPr>
    </w:p>
  </w:endnote>
  <w:endnote w:id="42">
    <w:p w14:paraId="11C06904" w14:textId="77777777"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rsidRPr="008C5A6E">
        <w:rPr>
          <w:rFonts w:ascii="Arial" w:eastAsia="Times New Roman" w:hAnsi="Arial" w:cs="Arial"/>
          <w:color w:val="000000"/>
          <w:sz w:val="22"/>
          <w:szCs w:val="22"/>
          <w:lang w:val="en"/>
        </w:rPr>
        <w:t xml:space="preserve">Ghana Education Service. (2024). Teacher Retention Strategy. Policy Brief. </w:t>
      </w:r>
    </w:p>
    <w:p w14:paraId="318A067F" w14:textId="43F10E5A" w:rsidR="00AB2F70" w:rsidRPr="00AB2F70" w:rsidRDefault="00AB2F70" w:rsidP="00AF5590">
      <w:pPr>
        <w:pStyle w:val="EndnoteText"/>
        <w:spacing w:line="360" w:lineRule="auto"/>
        <w:rPr>
          <w:lang w:val="en-GB"/>
        </w:rPr>
      </w:pPr>
      <w:r>
        <w:t xml:space="preserve"> </w:t>
      </w:r>
    </w:p>
  </w:endnote>
  <w:endnote w:id="43">
    <w:p w14:paraId="49A2A8BF" w14:textId="0D0EE710"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Ministry of Education. (2024). </w:t>
      </w:r>
      <w:r w:rsidRPr="008C5A6E">
        <w:rPr>
          <w:rFonts w:ascii="Arial" w:eastAsia="Times New Roman" w:hAnsi="Arial" w:cs="Arial"/>
          <w:color w:val="000000"/>
          <w:sz w:val="22"/>
          <w:szCs w:val="22"/>
          <w:lang w:val="en"/>
        </w:rPr>
        <w:t>Programme Based Budget Estimates 2024-2025. Ghana</w:t>
      </w:r>
      <w:r>
        <w:rPr>
          <w:rFonts w:ascii="Arial" w:eastAsia="Times New Roman" w:hAnsi="Arial" w:cs="Arial"/>
          <w:color w:val="000000"/>
          <w:sz w:val="22"/>
          <w:szCs w:val="22"/>
          <w:lang w:val="en"/>
        </w:rPr>
        <w:t>.</w:t>
      </w:r>
    </w:p>
    <w:p w14:paraId="45B0F1C4" w14:textId="77777777" w:rsidR="00AB2F70" w:rsidRPr="00AB2F70" w:rsidRDefault="00AB2F70" w:rsidP="00AF5590">
      <w:pPr>
        <w:pStyle w:val="EndnoteText"/>
        <w:spacing w:line="360" w:lineRule="auto"/>
        <w:rPr>
          <w:lang w:val="en-GB"/>
        </w:rPr>
      </w:pPr>
    </w:p>
  </w:endnote>
  <w:endnote w:id="44">
    <w:p w14:paraId="02817A25" w14:textId="6A3D3237" w:rsidR="00AB2F70" w:rsidRPr="00AB2F70" w:rsidRDefault="00AB2F70"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Alternative Report to CRC. (2024). Early Childhood Network Ghana. November 2024, p. 5. </w:t>
      </w:r>
    </w:p>
  </w:endnote>
  <w:endnote w:id="45">
    <w:p w14:paraId="3DE463A5" w14:textId="407BD8E9"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Ghana Education Service. (2024). EMIS Data 2024. Ministry of Education.</w:t>
      </w:r>
    </w:p>
    <w:p w14:paraId="7E65EB35" w14:textId="77777777" w:rsidR="00AB2F70" w:rsidRPr="00AB2F70" w:rsidRDefault="00AB2F70" w:rsidP="00AF5590">
      <w:pPr>
        <w:pStyle w:val="EndnoteText"/>
        <w:spacing w:line="360" w:lineRule="auto"/>
        <w:rPr>
          <w:lang w:val="en-GB"/>
        </w:rPr>
      </w:pPr>
    </w:p>
  </w:endnote>
  <w:endnote w:id="46">
    <w:p w14:paraId="5CA472C1" w14:textId="7336B211" w:rsidR="00AB2F70" w:rsidRPr="00AB2F70" w:rsidRDefault="00AB2F70"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Alternative Report to CRC. (2024). Early Childhood Network Ghana. November 2024, p. 6. </w:t>
      </w:r>
    </w:p>
  </w:endnote>
  <w:endnote w:id="47">
    <w:p w14:paraId="2954B252" w14:textId="2225243F"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Ghana Education Service. (2023). ICT Competency Framework Launch. June 2023.</w:t>
      </w:r>
    </w:p>
    <w:p w14:paraId="56236C73" w14:textId="77777777" w:rsidR="00AB2F70" w:rsidRPr="00AB2F70" w:rsidRDefault="00AB2F70" w:rsidP="00AF5590">
      <w:pPr>
        <w:pStyle w:val="EndnoteText"/>
        <w:spacing w:line="360" w:lineRule="auto"/>
        <w:rPr>
          <w:lang w:val="en-GB"/>
        </w:rPr>
      </w:pPr>
    </w:p>
  </w:endnote>
  <w:endnote w:id="48">
    <w:p w14:paraId="62364F3A" w14:textId="7FBF4EA9"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Ghana News Agency. (2023). Government allocation for inclusive education. International Day of Education Report.</w:t>
      </w:r>
    </w:p>
    <w:p w14:paraId="64E13C41" w14:textId="77777777" w:rsidR="00AB2F70" w:rsidRPr="00AB2F70" w:rsidRDefault="00AB2F70" w:rsidP="00AF5590">
      <w:pPr>
        <w:pStyle w:val="EndnoteText"/>
        <w:spacing w:line="360" w:lineRule="auto"/>
        <w:rPr>
          <w:lang w:val="en-GB"/>
        </w:rPr>
      </w:pPr>
    </w:p>
  </w:endnote>
  <w:endnote w:id="49">
    <w:p w14:paraId="3B71F443" w14:textId="46AE1176"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DA262F">
        <w:rPr>
          <w:rFonts w:ascii="Arial" w:eastAsia="Times New Roman" w:hAnsi="Arial" w:cs="Arial"/>
          <w:color w:val="000000"/>
          <w:sz w:val="22"/>
          <w:szCs w:val="22"/>
          <w:lang w:val="en"/>
        </w:rPr>
        <w:t>Ministry of Finance. (2026). 2026 Budget Speech. Paragraph 467: "We have allocated GH¢25 million for Free Tertiary Education for Persons Living with Disabilities." Paragraph 409: "In 2026, government will increase allocation in the District Assembly Common Fund for people living with disability from 3 to 5 percent."</w:t>
      </w:r>
    </w:p>
    <w:p w14:paraId="2BE7469A" w14:textId="77777777" w:rsidR="00AB2F70" w:rsidRPr="00AB2F70" w:rsidRDefault="00AB2F70" w:rsidP="00AF5590">
      <w:pPr>
        <w:pStyle w:val="EndnoteText"/>
        <w:spacing w:line="360" w:lineRule="auto"/>
        <w:rPr>
          <w:lang w:val="en-GB"/>
        </w:rPr>
      </w:pPr>
    </w:p>
  </w:endnote>
  <w:endnote w:id="50">
    <w:p w14:paraId="040DC9A6" w14:textId="2EC514BC"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DA262F">
        <w:rPr>
          <w:rFonts w:ascii="Arial" w:eastAsia="Times New Roman" w:hAnsi="Arial" w:cs="Arial"/>
          <w:color w:val="000000"/>
          <w:sz w:val="22"/>
          <w:szCs w:val="22"/>
          <w:lang w:val="en"/>
        </w:rPr>
        <w:t>Ministry of Finance. (2026). 2026 Budget Speech. Paragraph 467: "We have allocated GH¢25 million for Free Tertiary Education for Persons Living with Disabilities." Paragraph 409: "In 2026, government will increase allocation in the District Assembly Common Fund for people living with disability from 3 to 5 percent."</w:t>
      </w:r>
    </w:p>
    <w:p w14:paraId="350D4A80" w14:textId="77777777" w:rsidR="00AB2F70" w:rsidRPr="00AB2F70" w:rsidRDefault="00AB2F70" w:rsidP="00AF5590">
      <w:pPr>
        <w:pStyle w:val="EndnoteText"/>
        <w:spacing w:line="360" w:lineRule="auto"/>
        <w:rPr>
          <w:lang w:val="en-GB"/>
        </w:rPr>
      </w:pPr>
    </w:p>
  </w:endnote>
  <w:endnote w:id="51">
    <w:p w14:paraId="37487F16" w14:textId="7ED9D623"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DA262F">
        <w:rPr>
          <w:rFonts w:ascii="Arial" w:eastAsia="Times New Roman" w:hAnsi="Arial" w:cs="Arial"/>
          <w:color w:val="000000"/>
          <w:sz w:val="22"/>
          <w:szCs w:val="22"/>
          <w:lang w:val="en"/>
        </w:rPr>
        <w:t>Ministry of Finance. (2026). 2026 Budget Speech. Paragraph 467: "We have allocated GH¢25 million for Free Tertiary Education for Persons Living with Disabilities." Paragraph 409: "In 2026, government will increase allocation in the District Assembly Common Fund for people living with disability from 3 to 5 percent."</w:t>
      </w:r>
    </w:p>
    <w:p w14:paraId="256647B6" w14:textId="77777777" w:rsidR="00AB2F70" w:rsidRPr="00AB2F70" w:rsidRDefault="00AB2F70" w:rsidP="00AF5590">
      <w:pPr>
        <w:pStyle w:val="EndnoteText"/>
        <w:spacing w:line="360" w:lineRule="auto"/>
        <w:rPr>
          <w:lang w:val="en-GB"/>
        </w:rPr>
      </w:pPr>
    </w:p>
  </w:endnote>
  <w:endnote w:id="52">
    <w:p w14:paraId="2973A3E6" w14:textId="78A5519F"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DA262F">
        <w:rPr>
          <w:rFonts w:ascii="Arial" w:eastAsia="Times New Roman" w:hAnsi="Arial" w:cs="Arial"/>
          <w:color w:val="000000"/>
          <w:sz w:val="22"/>
          <w:szCs w:val="22"/>
          <w:lang w:val="en"/>
        </w:rPr>
        <w:t>Ministry of Finance. (2026). 2026 Budget Speech. Paragraph 467: "We have allocated GH¢25 million for Free Tertiary Education for Persons Living with Disabilities." Paragraph 409: "In 2026, government will increase allocation in the District Assembly Common Fund for people living with disability from 3 to 5 percent."</w:t>
      </w:r>
    </w:p>
    <w:p w14:paraId="4685C18E" w14:textId="77777777" w:rsidR="00AB2F70" w:rsidRPr="00AB2F70" w:rsidRDefault="00AB2F70" w:rsidP="00AF5590">
      <w:pPr>
        <w:pStyle w:val="EndnoteText"/>
        <w:spacing w:line="360" w:lineRule="auto"/>
        <w:rPr>
          <w:lang w:val="en-GB"/>
        </w:rPr>
      </w:pPr>
    </w:p>
  </w:endnote>
  <w:endnote w:id="53">
    <w:p w14:paraId="2F822E87" w14:textId="795DBE9A" w:rsidR="00AB2F70" w:rsidRDefault="00AB2F70" w:rsidP="00AF5590">
      <w:pPr>
        <w:pStyle w:val="EndnoteText"/>
        <w:spacing w:line="360" w:lineRule="auto"/>
      </w:pPr>
      <w:r>
        <w:rPr>
          <w:rStyle w:val="EndnoteReference"/>
        </w:rPr>
        <w:endnoteRef/>
      </w:r>
      <w:r w:rsidRPr="00DA262F">
        <w:rPr>
          <w:rFonts w:ascii="Arial" w:eastAsia="Times New Roman" w:hAnsi="Arial" w:cs="Arial"/>
          <w:color w:val="000000"/>
          <w:sz w:val="22"/>
          <w:szCs w:val="22"/>
          <w:lang w:val="en"/>
        </w:rPr>
        <w:t xml:space="preserve">Ministry of Finance. (2026). 2026 Budget Speech. Paragraph 467: "We have allocated GH¢25 million for Free Tertiary Education for Persons Living with Disabilities." Paragraph 409: "In 2026, government will increase allocation in the District Assembly Common Fund for people living with disability from 3 to 5 percent." </w:t>
      </w:r>
      <w:r>
        <w:t xml:space="preserve"> </w:t>
      </w:r>
    </w:p>
    <w:p w14:paraId="18FDB7B1" w14:textId="77777777" w:rsidR="00AB2F70" w:rsidRPr="00AB2F70" w:rsidRDefault="00AB2F70" w:rsidP="00AF5590">
      <w:pPr>
        <w:pStyle w:val="EndnoteText"/>
        <w:spacing w:line="360" w:lineRule="auto"/>
        <w:rPr>
          <w:lang w:val="en-GB"/>
        </w:rPr>
      </w:pPr>
    </w:p>
  </w:endnote>
  <w:endnote w:id="54">
    <w:p w14:paraId="42771473" w14:textId="5BA35BC1" w:rsidR="00AB2F70" w:rsidRPr="00AF559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UNICEF. (2025). Child Protection Budget Brief 2025. Ghana Country Office.</w:t>
      </w:r>
    </w:p>
  </w:endnote>
  <w:endnote w:id="55">
    <w:p w14:paraId="02F5F79C" w14:textId="208B5477" w:rsidR="00AB2F70" w:rsidRPr="00AF5590" w:rsidRDefault="00AB2F70"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Thrive Ghana Study. (2024). Children with disabilities in Ghanaian kindergartens: Headteachers' perspectives. December 2024. </w:t>
      </w:r>
    </w:p>
  </w:endnote>
  <w:endnote w:id="56">
    <w:p w14:paraId="7993A6DB" w14:textId="4C9EBF45" w:rsidR="00AB2F70" w:rsidRDefault="00AB2F7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OHCHR. (2024). Experts of the Committee on the Rights of Persons with Disabilities Ghana Dialogue. August 20, 2024.</w:t>
      </w:r>
    </w:p>
    <w:p w14:paraId="2D5A9D6B" w14:textId="77777777" w:rsidR="00AF5590" w:rsidRPr="00AB2F70" w:rsidRDefault="00AF5590" w:rsidP="00AF5590">
      <w:pPr>
        <w:pStyle w:val="EndnoteText"/>
        <w:spacing w:line="360" w:lineRule="auto"/>
        <w:rPr>
          <w:lang w:val="en-GB"/>
        </w:rPr>
      </w:pPr>
    </w:p>
  </w:endnote>
  <w:endnote w:id="57">
    <w:p w14:paraId="39CB3B43" w14:textId="2503D3E8" w:rsidR="00AF5590" w:rsidRPr="00AF5590" w:rsidRDefault="00AF5590" w:rsidP="00AF5590">
      <w:pPr>
        <w:pStyle w:val="EndnoteText"/>
        <w:spacing w:line="360" w:lineRule="auto"/>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LinkedIn. (2025). Ghana Persons with Disabilities Act 2025. Legal Analysis.</w:t>
      </w:r>
    </w:p>
  </w:endnote>
  <w:endnote w:id="58">
    <w:p w14:paraId="7918D15F" w14:textId="77777777" w:rsidR="00AF5590" w:rsidRPr="008C5A6E" w:rsidRDefault="00AF5590" w:rsidP="00AF5590">
      <w:pPr>
        <w:spacing w:before="120" w:after="120" w:line="360" w:lineRule="auto"/>
        <w:ind w:left="630" w:hanging="630"/>
        <w:rPr>
          <w:rFonts w:ascii="Arial" w:eastAsia="Times New Roman" w:hAnsi="Arial" w:cs="Arial"/>
          <w:color w:val="000000"/>
          <w:sz w:val="22"/>
          <w:szCs w:val="22"/>
          <w:lang w:val="en"/>
        </w:rPr>
      </w:pPr>
      <w:r>
        <w:rPr>
          <w:rStyle w:val="EndnoteReference"/>
        </w:rPr>
        <w:endnoteRef/>
      </w:r>
      <w:r>
        <w:t xml:space="preserve"> </w:t>
      </w:r>
      <w:r w:rsidRPr="008C5A6E">
        <w:rPr>
          <w:rFonts w:ascii="Arial" w:eastAsia="Times New Roman" w:hAnsi="Arial" w:cs="Arial"/>
          <w:color w:val="000000"/>
          <w:sz w:val="22"/>
          <w:szCs w:val="22"/>
          <w:lang w:val="en"/>
        </w:rPr>
        <w:t xml:space="preserve">Alternative Report to CRC. (2024). Early Childhood Network Ghana. November 2024, p. 6-7. </w:t>
      </w:r>
    </w:p>
    <w:p w14:paraId="58F27CEC" w14:textId="4825114A" w:rsidR="00AF5590" w:rsidRPr="00AF5590" w:rsidRDefault="00AF5590" w:rsidP="00AF5590">
      <w:pPr>
        <w:pStyle w:val="EndnoteText"/>
        <w:spacing w:line="360" w:lineRule="auto"/>
        <w:rPr>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75722" w14:textId="77777777" w:rsidR="002F2CAC" w:rsidRDefault="002F2CAC" w:rsidP="003A5EED">
      <w:r>
        <w:separator/>
      </w:r>
    </w:p>
  </w:footnote>
  <w:footnote w:type="continuationSeparator" w:id="0">
    <w:p w14:paraId="20B1A0B9" w14:textId="77777777" w:rsidR="002F2CAC" w:rsidRDefault="002F2CAC" w:rsidP="003A5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5906627"/>
      <w:docPartObj>
        <w:docPartGallery w:val="Page Numbers (Top of Page)"/>
        <w:docPartUnique/>
      </w:docPartObj>
    </w:sdtPr>
    <w:sdtEndPr>
      <w:rPr>
        <w:rStyle w:val="PageNumber"/>
      </w:rPr>
    </w:sdtEndPr>
    <w:sdtContent>
      <w:p w14:paraId="1244923F" w14:textId="2506CA74" w:rsidR="00DA262F" w:rsidRDefault="00DA262F" w:rsidP="00EE563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1FC9664" w14:textId="77777777" w:rsidR="003A5EED" w:rsidRDefault="003A5EED" w:rsidP="00DA262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3408605"/>
      <w:docPartObj>
        <w:docPartGallery w:val="Page Numbers (Top of Page)"/>
        <w:docPartUnique/>
      </w:docPartObj>
    </w:sdtPr>
    <w:sdtEndPr>
      <w:rPr>
        <w:rStyle w:val="PageNumber"/>
      </w:rPr>
    </w:sdtEndPr>
    <w:sdtContent>
      <w:p w14:paraId="1B815809" w14:textId="1BC42588" w:rsidR="00DA262F" w:rsidRDefault="00DA262F" w:rsidP="00EE563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399F42D3" w14:textId="77777777" w:rsidR="003A5EED" w:rsidRDefault="003A5EED" w:rsidP="00DA262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3385D"/>
    <w:multiLevelType w:val="multilevel"/>
    <w:tmpl w:val="0812E2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5545A"/>
    <w:multiLevelType w:val="multilevel"/>
    <w:tmpl w:val="963043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9411FD"/>
    <w:multiLevelType w:val="multilevel"/>
    <w:tmpl w:val="9B58026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DE3575"/>
    <w:multiLevelType w:val="multilevel"/>
    <w:tmpl w:val="F1503B3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CF6C82"/>
    <w:multiLevelType w:val="multilevel"/>
    <w:tmpl w:val="EA44DD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EF7981"/>
    <w:multiLevelType w:val="multilevel"/>
    <w:tmpl w:val="2596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2F48A0"/>
    <w:multiLevelType w:val="multilevel"/>
    <w:tmpl w:val="BEEAA8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4D764F"/>
    <w:multiLevelType w:val="multilevel"/>
    <w:tmpl w:val="1546975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F06666"/>
    <w:multiLevelType w:val="multilevel"/>
    <w:tmpl w:val="27986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E46C97"/>
    <w:multiLevelType w:val="multilevel"/>
    <w:tmpl w:val="5F2459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BD60DC"/>
    <w:multiLevelType w:val="multilevel"/>
    <w:tmpl w:val="366AF81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7714557">
    <w:abstractNumId w:val="5"/>
  </w:num>
  <w:num w:numId="2" w16cid:durableId="2105950199">
    <w:abstractNumId w:val="9"/>
  </w:num>
  <w:num w:numId="3" w16cid:durableId="1227567490">
    <w:abstractNumId w:val="2"/>
  </w:num>
  <w:num w:numId="4" w16cid:durableId="401106036">
    <w:abstractNumId w:val="0"/>
  </w:num>
  <w:num w:numId="5" w16cid:durableId="1808085175">
    <w:abstractNumId w:val="10"/>
  </w:num>
  <w:num w:numId="6" w16cid:durableId="1159082304">
    <w:abstractNumId w:val="8"/>
  </w:num>
  <w:num w:numId="7" w16cid:durableId="1410007987">
    <w:abstractNumId w:val="4"/>
  </w:num>
  <w:num w:numId="8" w16cid:durableId="1986544211">
    <w:abstractNumId w:val="1"/>
  </w:num>
  <w:num w:numId="9" w16cid:durableId="1234391009">
    <w:abstractNumId w:val="6"/>
  </w:num>
  <w:num w:numId="10" w16cid:durableId="1662192521">
    <w:abstractNumId w:val="3"/>
  </w:num>
  <w:num w:numId="11" w16cid:durableId="10966806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BD"/>
    <w:rsid w:val="00033DD2"/>
    <w:rsid w:val="000B1ED8"/>
    <w:rsid w:val="00112B5C"/>
    <w:rsid w:val="00184074"/>
    <w:rsid w:val="001F02A2"/>
    <w:rsid w:val="001F4DE7"/>
    <w:rsid w:val="00253CD4"/>
    <w:rsid w:val="00255DC7"/>
    <w:rsid w:val="002E1CBB"/>
    <w:rsid w:val="002F2CAC"/>
    <w:rsid w:val="003A5EED"/>
    <w:rsid w:val="003B7149"/>
    <w:rsid w:val="003E43EA"/>
    <w:rsid w:val="00413A4F"/>
    <w:rsid w:val="004423C2"/>
    <w:rsid w:val="00571DBD"/>
    <w:rsid w:val="00593B34"/>
    <w:rsid w:val="00617318"/>
    <w:rsid w:val="0067083D"/>
    <w:rsid w:val="006E42A4"/>
    <w:rsid w:val="007A689F"/>
    <w:rsid w:val="008427B8"/>
    <w:rsid w:val="00886736"/>
    <w:rsid w:val="008900CB"/>
    <w:rsid w:val="008C5A6E"/>
    <w:rsid w:val="00971445"/>
    <w:rsid w:val="00986482"/>
    <w:rsid w:val="009B5F76"/>
    <w:rsid w:val="009E0366"/>
    <w:rsid w:val="00A43239"/>
    <w:rsid w:val="00AB2F70"/>
    <w:rsid w:val="00AE6783"/>
    <w:rsid w:val="00AF5590"/>
    <w:rsid w:val="00B823A2"/>
    <w:rsid w:val="00C03D04"/>
    <w:rsid w:val="00C75E46"/>
    <w:rsid w:val="00C84D17"/>
    <w:rsid w:val="00C962FF"/>
    <w:rsid w:val="00CB5C9E"/>
    <w:rsid w:val="00D533A1"/>
    <w:rsid w:val="00D84BAF"/>
    <w:rsid w:val="00DA262F"/>
    <w:rsid w:val="00DD7CC8"/>
    <w:rsid w:val="00EB19E8"/>
    <w:rsid w:val="00EE460C"/>
    <w:rsid w:val="00EF7C4A"/>
    <w:rsid w:val="00F00C4F"/>
    <w:rsid w:val="00F32A88"/>
    <w:rsid w:val="00F71065"/>
    <w:rsid w:val="00FB6B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11EA40"/>
  <w15:chartTrackingRefBased/>
  <w15:docId w15:val="{364231B7-2227-4EC2-8544-0D39ED7C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450" w:after="300"/>
      <w:jc w:val="center"/>
      <w:outlineLvl w:val="0"/>
    </w:pPr>
    <w:rPr>
      <w:b/>
      <w:bCs/>
      <w:caps/>
      <w:kern w:val="36"/>
    </w:rPr>
  </w:style>
  <w:style w:type="paragraph" w:styleId="Heading2">
    <w:name w:val="heading 2"/>
    <w:basedOn w:val="Normal"/>
    <w:link w:val="Heading2Char"/>
    <w:uiPriority w:val="9"/>
    <w:qFormat/>
    <w:pPr>
      <w:spacing w:before="375" w:after="225"/>
      <w:outlineLvl w:val="1"/>
    </w:pPr>
    <w:rPr>
      <w:b/>
      <w:bCs/>
      <w:caps/>
      <w:sz w:val="21"/>
      <w:szCs w:val="21"/>
    </w:rPr>
  </w:style>
  <w:style w:type="paragraph" w:styleId="Heading3">
    <w:name w:val="heading 3"/>
    <w:basedOn w:val="Normal"/>
    <w:link w:val="Heading3Char"/>
    <w:uiPriority w:val="9"/>
    <w:qFormat/>
    <w:pPr>
      <w:spacing w:before="300" w:after="150"/>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2F5496" w:themeColor="accent1" w:themeShade="BF"/>
      <w:sz w:val="28"/>
      <w:szCs w:val="28"/>
    </w:rPr>
  </w:style>
  <w:style w:type="paragraph" w:customStyle="1" w:styleId="msonormal0">
    <w:name w:val="msonormal"/>
    <w:basedOn w:val="Normal"/>
    <w:pPr>
      <w:spacing w:before="150" w:after="150"/>
      <w:jc w:val="both"/>
    </w:pPr>
    <w:rPr>
      <w:sz w:val="17"/>
      <w:szCs w:val="17"/>
    </w:rPr>
  </w:style>
  <w:style w:type="paragraph" w:styleId="NormalWeb">
    <w:name w:val="Normal (Web)"/>
    <w:basedOn w:val="Normal"/>
    <w:uiPriority w:val="99"/>
    <w:semiHidden/>
    <w:unhideWhenUsed/>
    <w:pPr>
      <w:spacing w:before="150" w:after="150"/>
      <w:jc w:val="both"/>
    </w:pPr>
    <w:rPr>
      <w:sz w:val="17"/>
      <w:szCs w:val="17"/>
    </w:rPr>
  </w:style>
  <w:style w:type="paragraph" w:customStyle="1" w:styleId="title-page">
    <w:name w:val="title-page"/>
    <w:basedOn w:val="Normal"/>
    <w:pPr>
      <w:spacing w:before="75" w:after="600"/>
      <w:jc w:val="center"/>
    </w:pPr>
    <w:rPr>
      <w:sz w:val="17"/>
      <w:szCs w:val="17"/>
    </w:rPr>
  </w:style>
  <w:style w:type="paragraph" w:customStyle="1" w:styleId="footnote-ref">
    <w:name w:val="footnote-ref"/>
    <w:basedOn w:val="Normal"/>
    <w:pPr>
      <w:spacing w:before="75" w:after="75"/>
    </w:pPr>
    <w:rPr>
      <w:sz w:val="12"/>
      <w:szCs w:val="12"/>
      <w:vertAlign w:val="superscript"/>
    </w:rPr>
  </w:style>
  <w:style w:type="paragraph" w:customStyle="1" w:styleId="footnotes">
    <w:name w:val="footnotes"/>
    <w:basedOn w:val="Normal"/>
    <w:pPr>
      <w:pBdr>
        <w:top w:val="single" w:sz="6" w:space="15" w:color="000000"/>
      </w:pBdr>
      <w:spacing w:before="600" w:after="75"/>
    </w:pPr>
    <w:rPr>
      <w:sz w:val="17"/>
      <w:szCs w:val="17"/>
    </w:rPr>
  </w:style>
  <w:style w:type="paragraph" w:customStyle="1" w:styleId="footnote">
    <w:name w:val="footnote"/>
    <w:basedOn w:val="Normal"/>
    <w:pPr>
      <w:spacing w:before="75" w:after="120"/>
    </w:pPr>
    <w:rPr>
      <w:sz w:val="14"/>
      <w:szCs w:val="14"/>
    </w:rPr>
  </w:style>
  <w:style w:type="paragraph" w:customStyle="1" w:styleId="section-break">
    <w:name w:val="section-break"/>
    <w:basedOn w:val="Normal"/>
    <w:pPr>
      <w:pageBreakBefore/>
      <w:spacing w:before="75" w:after="75"/>
    </w:pPr>
    <w:rPr>
      <w:sz w:val="17"/>
      <w:szCs w:val="17"/>
    </w:rPr>
  </w:style>
  <w:style w:type="paragraph" w:customStyle="1" w:styleId="executive-summary">
    <w:name w:val="executive-summary"/>
    <w:basedOn w:val="Normal"/>
    <w:pPr>
      <w:pBdr>
        <w:top w:val="single" w:sz="6" w:space="15" w:color="DDDDDD"/>
        <w:left w:val="single" w:sz="6" w:space="15" w:color="DDDDDD"/>
        <w:bottom w:val="single" w:sz="6" w:space="15" w:color="DDDDDD"/>
        <w:right w:val="single" w:sz="6" w:space="15" w:color="DDDDDD"/>
      </w:pBdr>
      <w:shd w:val="clear" w:color="auto" w:fill="F9F9F9"/>
      <w:spacing w:before="300" w:after="300"/>
    </w:pPr>
    <w:rPr>
      <w:sz w:val="17"/>
      <w:szCs w:val="17"/>
    </w:rPr>
  </w:style>
  <w:style w:type="paragraph" w:customStyle="1" w:styleId="references">
    <w:name w:val="references"/>
    <w:basedOn w:val="Normal"/>
    <w:pPr>
      <w:spacing w:before="600" w:after="75"/>
    </w:pPr>
    <w:rPr>
      <w:sz w:val="17"/>
      <w:szCs w:val="17"/>
    </w:rPr>
  </w:style>
  <w:style w:type="paragraph" w:customStyle="1" w:styleId="reference-item">
    <w:name w:val="reference-item"/>
    <w:basedOn w:val="Normal"/>
    <w:pPr>
      <w:spacing w:before="75" w:after="150"/>
      <w:ind w:left="300" w:hanging="300"/>
    </w:pPr>
    <w:rPr>
      <w:sz w:val="15"/>
      <w:szCs w:val="15"/>
    </w:rPr>
  </w:style>
  <w:style w:type="paragraph" w:customStyle="1" w:styleId="Subtitle1">
    <w:name w:val="Subtitle1"/>
    <w:basedOn w:val="Normal"/>
    <w:pPr>
      <w:spacing w:before="75" w:after="75"/>
    </w:pPr>
    <w:rPr>
      <w:sz w:val="17"/>
      <w:szCs w:val="17"/>
    </w:rPr>
  </w:style>
  <w:style w:type="paragraph" w:customStyle="1" w:styleId="submission-info">
    <w:name w:val="submission-info"/>
    <w:basedOn w:val="Normal"/>
    <w:pPr>
      <w:spacing w:before="75" w:after="75"/>
    </w:pPr>
    <w:rPr>
      <w:sz w:val="17"/>
      <w:szCs w:val="17"/>
    </w:rPr>
  </w:style>
  <w:style w:type="paragraph" w:customStyle="1" w:styleId="subtitle10">
    <w:name w:val="subtitle1"/>
    <w:basedOn w:val="Normal"/>
    <w:pPr>
      <w:spacing w:before="150" w:after="450"/>
      <w:jc w:val="both"/>
    </w:pPr>
    <w:rPr>
      <w:sz w:val="21"/>
      <w:szCs w:val="21"/>
    </w:rPr>
  </w:style>
  <w:style w:type="paragraph" w:customStyle="1" w:styleId="submission-info1">
    <w:name w:val="submission-info1"/>
    <w:basedOn w:val="Normal"/>
    <w:pPr>
      <w:spacing w:before="150" w:after="450"/>
      <w:jc w:val="both"/>
    </w:pPr>
    <w:rPr>
      <w:sz w:val="18"/>
      <w:szCs w:val="18"/>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Header">
    <w:name w:val="header"/>
    <w:basedOn w:val="Normal"/>
    <w:link w:val="HeaderChar"/>
    <w:uiPriority w:val="99"/>
    <w:unhideWhenUsed/>
    <w:rsid w:val="003A5EED"/>
    <w:pPr>
      <w:tabs>
        <w:tab w:val="center" w:pos="4680"/>
        <w:tab w:val="right" w:pos="9360"/>
      </w:tabs>
    </w:pPr>
  </w:style>
  <w:style w:type="character" w:customStyle="1" w:styleId="HeaderChar">
    <w:name w:val="Header Char"/>
    <w:basedOn w:val="DefaultParagraphFont"/>
    <w:link w:val="Header"/>
    <w:uiPriority w:val="99"/>
    <w:rsid w:val="003A5EED"/>
    <w:rPr>
      <w:rFonts w:eastAsiaTheme="minorEastAsia"/>
      <w:sz w:val="24"/>
      <w:szCs w:val="24"/>
    </w:rPr>
  </w:style>
  <w:style w:type="paragraph" w:styleId="Footer">
    <w:name w:val="footer"/>
    <w:basedOn w:val="Normal"/>
    <w:link w:val="FooterChar"/>
    <w:uiPriority w:val="99"/>
    <w:unhideWhenUsed/>
    <w:rsid w:val="003A5EED"/>
    <w:pPr>
      <w:tabs>
        <w:tab w:val="center" w:pos="4680"/>
        <w:tab w:val="right" w:pos="9360"/>
      </w:tabs>
    </w:pPr>
  </w:style>
  <w:style w:type="character" w:customStyle="1" w:styleId="FooterChar">
    <w:name w:val="Footer Char"/>
    <w:basedOn w:val="DefaultParagraphFont"/>
    <w:link w:val="Footer"/>
    <w:uiPriority w:val="99"/>
    <w:rsid w:val="003A5EED"/>
    <w:rPr>
      <w:rFonts w:eastAsiaTheme="minorEastAsia"/>
      <w:sz w:val="24"/>
      <w:szCs w:val="24"/>
    </w:rPr>
  </w:style>
  <w:style w:type="table" w:styleId="GridTable1Light-Accent2">
    <w:name w:val="Grid Table 1 Light Accent 2"/>
    <w:basedOn w:val="TableNormal"/>
    <w:uiPriority w:val="46"/>
    <w:rsid w:val="003B714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D533A1"/>
    <w:rPr>
      <w:color w:val="605E5C"/>
      <w:shd w:val="clear" w:color="auto" w:fill="E1DFDD"/>
    </w:rPr>
  </w:style>
  <w:style w:type="character" w:styleId="PageNumber">
    <w:name w:val="page number"/>
    <w:basedOn w:val="DefaultParagraphFont"/>
    <w:uiPriority w:val="99"/>
    <w:semiHidden/>
    <w:unhideWhenUsed/>
    <w:rsid w:val="00DA262F"/>
  </w:style>
  <w:style w:type="paragraph" w:styleId="EndnoteText">
    <w:name w:val="endnote text"/>
    <w:basedOn w:val="Normal"/>
    <w:link w:val="EndnoteTextChar"/>
    <w:uiPriority w:val="99"/>
    <w:unhideWhenUsed/>
    <w:rsid w:val="003E43EA"/>
    <w:rPr>
      <w:sz w:val="20"/>
      <w:szCs w:val="20"/>
    </w:rPr>
  </w:style>
  <w:style w:type="character" w:customStyle="1" w:styleId="EndnoteTextChar">
    <w:name w:val="Endnote Text Char"/>
    <w:basedOn w:val="DefaultParagraphFont"/>
    <w:link w:val="EndnoteText"/>
    <w:uiPriority w:val="99"/>
    <w:rsid w:val="003E43EA"/>
    <w:rPr>
      <w:rFonts w:eastAsiaTheme="minorEastAsia"/>
    </w:rPr>
  </w:style>
  <w:style w:type="character" w:styleId="EndnoteReference">
    <w:name w:val="endnote reference"/>
    <w:basedOn w:val="DefaultParagraphFont"/>
    <w:uiPriority w:val="99"/>
    <w:semiHidden/>
    <w:unhideWhenUsed/>
    <w:rsid w:val="003E43EA"/>
    <w:rPr>
      <w:vertAlign w:val="superscript"/>
    </w:rPr>
  </w:style>
  <w:style w:type="paragraph" w:styleId="FootnoteText">
    <w:name w:val="footnote text"/>
    <w:basedOn w:val="Normal"/>
    <w:link w:val="FootnoteTextChar"/>
    <w:uiPriority w:val="99"/>
    <w:semiHidden/>
    <w:unhideWhenUsed/>
    <w:rsid w:val="00C75E46"/>
    <w:rPr>
      <w:sz w:val="20"/>
      <w:szCs w:val="20"/>
    </w:rPr>
  </w:style>
  <w:style w:type="character" w:customStyle="1" w:styleId="FootnoteTextChar">
    <w:name w:val="Footnote Text Char"/>
    <w:basedOn w:val="DefaultParagraphFont"/>
    <w:link w:val="FootnoteText"/>
    <w:uiPriority w:val="99"/>
    <w:semiHidden/>
    <w:rsid w:val="00C75E46"/>
    <w:rPr>
      <w:rFonts w:eastAsiaTheme="minorEastAsia"/>
    </w:rPr>
  </w:style>
  <w:style w:type="character" w:styleId="FootnoteReference">
    <w:name w:val="footnote reference"/>
    <w:basedOn w:val="DefaultParagraphFont"/>
    <w:uiPriority w:val="99"/>
    <w:semiHidden/>
    <w:unhideWhenUsed/>
    <w:rsid w:val="00C75E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953684">
      <w:marLeft w:val="0"/>
      <w:marRight w:val="0"/>
      <w:marTop w:val="600"/>
      <w:marBottom w:val="0"/>
      <w:divBdr>
        <w:top w:val="none" w:sz="0" w:space="0" w:color="auto"/>
        <w:left w:val="none" w:sz="0" w:space="0" w:color="auto"/>
        <w:bottom w:val="none" w:sz="0" w:space="0" w:color="auto"/>
        <w:right w:val="none" w:sz="0" w:space="0" w:color="auto"/>
      </w:divBdr>
      <w:divsChild>
        <w:div w:id="1027173891">
          <w:marLeft w:val="0"/>
          <w:marRight w:val="0"/>
          <w:marTop w:val="600"/>
          <w:marBottom w:val="0"/>
          <w:divBdr>
            <w:top w:val="single" w:sz="6" w:space="15" w:color="000000"/>
            <w:left w:val="none" w:sz="0" w:space="0" w:color="auto"/>
            <w:bottom w:val="none" w:sz="0" w:space="0" w:color="auto"/>
            <w:right w:val="none" w:sz="0" w:space="0" w:color="auto"/>
          </w:divBdr>
          <w:divsChild>
            <w:div w:id="7088384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12435298">
      <w:marLeft w:val="0"/>
      <w:marRight w:val="0"/>
      <w:marTop w:val="0"/>
      <w:marBottom w:val="600"/>
      <w:divBdr>
        <w:top w:val="none" w:sz="0" w:space="0" w:color="auto"/>
        <w:left w:val="none" w:sz="0" w:space="0" w:color="auto"/>
        <w:bottom w:val="none" w:sz="0" w:space="0" w:color="auto"/>
        <w:right w:val="none" w:sz="0" w:space="0" w:color="auto"/>
      </w:divBdr>
      <w:divsChild>
        <w:div w:id="407381892">
          <w:marLeft w:val="0"/>
          <w:marRight w:val="0"/>
          <w:marTop w:val="0"/>
          <w:marBottom w:val="45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unicef.org/ghana/media/6391/file/EDUCATION%20BUDGET%20BRIEF%202024.pdf" TargetMode="External"/><Relationship Id="rId7" Type="http://schemas.openxmlformats.org/officeDocument/2006/relationships/hyperlink" Target="https://africaeducationwatch.org/edunews/volume-24" TargetMode="External"/><Relationship Id="rId2" Type="http://schemas.openxmlformats.org/officeDocument/2006/relationships/hyperlink" Target="https://ges.gov.gh/wp-content/uploads/2024/02/Main-ECE-Policy_Final-Camera-Ready.pdf" TargetMode="External"/><Relationship Id="rId1" Type="http://schemas.openxmlformats.org/officeDocument/2006/relationships/hyperlink" Target="https://thrivechildevidence.org/wp-content/uploads/2024/12/Thrive_Children-with-disabilities-in-Ghanaian-kindergartens_Headteachers-perspectives_Dec-2024.pdf" TargetMode="External"/><Relationship Id="rId6" Type="http://schemas.openxmlformats.org/officeDocument/2006/relationships/hyperlink" Target="https://www.unicef.org/ghana/media/8671/file/EDUCATION%20BUDGET%20BRIEF%202025.pdf" TargetMode="External"/><Relationship Id="rId5" Type="http://schemas.openxmlformats.org/officeDocument/2006/relationships/hyperlink" Target="https://africaeducationwatch.org/edunews/volume-24" TargetMode="External"/><Relationship Id="rId4" Type="http://schemas.openxmlformats.org/officeDocument/2006/relationships/hyperlink" Target="https://www.unicef.org/ghana/media/8671/file/EDUCATION%20BUDGET%20BRIEF%20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78BA5-62C4-4EF8-A7B2-E6C96996850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2598</Words>
  <Characters>17020</Characters>
  <Application>Microsoft Office Word</Application>
  <DocSecurity>0</DocSecurity>
  <Lines>327</Lines>
  <Paragraphs>140</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Response to the UN Committee on the Rights of the Child - Ghana ECCE Report</vt:lpstr>
      <vt:lpstr/>
      <vt:lpstr/>
      <vt:lpstr/>
      <vt:lpstr>December 15, 2025</vt:lpstr>
      <vt:lpstr/>
      <vt:lpstr/>
      <vt:lpstr>INTRODUCTION</vt:lpstr>
      <vt:lpstr>SECTION 1: COORDINATION AND OVERSIGHT FOR ECCE</vt:lpstr>
      <vt:lpstr>SECTION 2: REGULATION OF PRIVATE ECCE PROVIDERS</vt:lpstr>
      <vt:lpstr>SECTION 3: ECCE FUNDING AND BUDGET ALLOCATION</vt:lpstr>
      <vt:lpstr>SECTION 4: ECCE INFRASTRUCTURE AND TEACHER QUALITY</vt:lpstr>
      <vt:lpstr>SECTION 5: INCLUSIVE ECCE</vt:lpstr>
      <vt:lpstr>SECTION 6: RECOMMENDATIONS</vt:lpstr>
      <vt:lpstr>        .</vt:lpstr>
      <vt:lpstr>        </vt:lpstr>
      <vt:lpstr>        </vt:lpstr>
      <vt:lpstr>        </vt:lpstr>
      <vt:lpstr>        </vt:lpstr>
      <vt:lpstr>        </vt:lpstr>
      <vt:lpstr>        </vt:lpstr>
      <vt:lpstr>        </vt:lpstr>
      <vt:lpstr>        </vt:lpstr>
      <vt:lpstr>        </vt:lpstr>
      <vt:lpstr>        </vt:lpstr>
      <vt:lpstr>        </vt:lpstr>
      <vt:lpstr>        </vt:lpstr>
      <vt:lpstr>        REFERENCES</vt:lpstr>
    </vt:vector>
  </TitlesOfParts>
  <Company/>
  <LinksUpToDate>false</LinksUpToDate>
  <CharactersWithSpaces>19478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the UN Committee on the Rights of the Child - Ghana ECCE Report</dc:title>
  <dc:subject/>
  <dc:creator>CARA-USER</dc:creator>
  <cp:keywords/>
  <dc:description/>
  <cp:lastModifiedBy>Isabelle Fleche</cp:lastModifiedBy>
  <cp:revision>2</cp:revision>
  <dcterms:created xsi:type="dcterms:W3CDTF">2026-01-07T10:36:00Z</dcterms:created>
  <dcterms:modified xsi:type="dcterms:W3CDTF">2026-01-07T10:36:00Z</dcterms:modified>
</cp:coreProperties>
</file>