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1F1C4" w14:textId="77777777" w:rsidR="000E35DC" w:rsidRDefault="000E35DC"/>
    <w:tbl>
      <w:tblPr>
        <w:tblW w:w="9680" w:type="dxa"/>
        <w:tblInd w:w="-99" w:type="dxa"/>
        <w:tblLayout w:type="fixed"/>
        <w:tblCellMar>
          <w:top w:w="80" w:type="dxa"/>
          <w:left w:w="80" w:type="dxa"/>
          <w:bottom w:w="80" w:type="dxa"/>
          <w:right w:w="80" w:type="dxa"/>
        </w:tblCellMar>
        <w:tblLook w:val="00A0" w:firstRow="1" w:lastRow="0" w:firstColumn="1" w:lastColumn="0" w:noHBand="0" w:noVBand="0"/>
      </w:tblPr>
      <w:tblGrid>
        <w:gridCol w:w="5710"/>
        <w:gridCol w:w="3970"/>
      </w:tblGrid>
      <w:tr w:rsidR="000E35DC" w14:paraId="324F484A" w14:textId="77777777">
        <w:trPr>
          <w:trHeight w:val="2055"/>
        </w:trPr>
        <w:tc>
          <w:tcPr>
            <w:tcW w:w="5709" w:type="dxa"/>
            <w:shd w:val="clear" w:color="auto" w:fill="auto"/>
          </w:tcPr>
          <w:p w14:paraId="37A4E045" w14:textId="58CD6A67" w:rsidR="000E35DC" w:rsidRDefault="00BE0C32">
            <w:pPr>
              <w:widowControl w:val="0"/>
              <w:rPr>
                <w:rFonts w:asciiTheme="minorHAnsi" w:eastAsia="Arial Unicode MS" w:hAnsiTheme="minorHAnsi" w:cstheme="minorHAnsi"/>
                <w:u w:color="000000"/>
                <w:lang w:val="en-US"/>
              </w:rPr>
            </w:pPr>
            <w:r>
              <w:rPr>
                <w:rFonts w:eastAsia="Arial Unicode MS" w:cstheme="minorHAnsi"/>
                <w:u w:color="000000"/>
                <w:lang w:val="en-US"/>
              </w:rPr>
              <w:t xml:space="preserve">Berlin, </w:t>
            </w:r>
            <w:r w:rsidR="00E16A5F">
              <w:rPr>
                <w:rFonts w:eastAsia="Arial Unicode MS" w:cstheme="minorHAnsi"/>
                <w:u w:color="000000"/>
                <w:lang w:val="en-US"/>
              </w:rPr>
              <w:t>04/</w:t>
            </w:r>
            <w:r w:rsidR="00D25549">
              <w:rPr>
                <w:rFonts w:eastAsia="Arial Unicode MS" w:cstheme="minorHAnsi"/>
                <w:u w:color="000000"/>
                <w:lang w:val="en-US"/>
              </w:rPr>
              <w:t>24</w:t>
            </w:r>
            <w:r w:rsidR="00E16A5F">
              <w:rPr>
                <w:rFonts w:eastAsia="Arial Unicode MS" w:cstheme="minorHAnsi"/>
                <w:u w:color="000000"/>
                <w:lang w:val="en-US"/>
              </w:rPr>
              <w:t>/</w:t>
            </w:r>
            <w:r>
              <w:rPr>
                <w:rFonts w:eastAsia="Arial Unicode MS" w:cstheme="minorHAnsi"/>
                <w:u w:color="000000"/>
                <w:lang w:val="en-US"/>
              </w:rPr>
              <w:t>2023</w:t>
            </w:r>
          </w:p>
          <w:p w14:paraId="4B3C787A" w14:textId="77777777" w:rsidR="000E35DC" w:rsidRDefault="00BE0C32">
            <w:pPr>
              <w:pStyle w:val="berschrift1"/>
              <w:widowControl w:val="0"/>
              <w:rPr>
                <w:rFonts w:eastAsia="Arial Unicode MS"/>
                <w:highlight w:val="yellow"/>
                <w:lang w:val="en-US"/>
              </w:rPr>
            </w:pPr>
            <w:r>
              <w:rPr>
                <w:lang w:val="en-US"/>
              </w:rPr>
              <w:t>CONTRIBUTION</w:t>
            </w:r>
          </w:p>
        </w:tc>
        <w:tc>
          <w:tcPr>
            <w:tcW w:w="3970" w:type="dxa"/>
            <w:shd w:val="clear" w:color="auto" w:fill="auto"/>
          </w:tcPr>
          <w:p w14:paraId="69E6D01C" w14:textId="77777777" w:rsidR="000E35DC" w:rsidRDefault="000E35DC">
            <w:pPr>
              <w:widowControl w:val="0"/>
              <w:jc w:val="right"/>
              <w:rPr>
                <w:rFonts w:ascii="Arial" w:eastAsia="Arial Unicode MS" w:hAnsi="Arial" w:cs="Arial"/>
                <w:color w:val="000000"/>
                <w:spacing w:val="20"/>
                <w:sz w:val="12"/>
                <w:szCs w:val="12"/>
                <w:highlight w:val="yellow"/>
                <w:u w:color="000000"/>
              </w:rPr>
            </w:pPr>
          </w:p>
          <w:p w14:paraId="56CAC2AC" w14:textId="77777777" w:rsidR="000E35DC" w:rsidRDefault="00BE0C32">
            <w:pPr>
              <w:keepNext/>
              <w:widowControl w:val="0"/>
              <w:spacing w:after="0"/>
              <w:jc w:val="left"/>
              <w:outlineLvl w:val="4"/>
              <w:rPr>
                <w:rFonts w:ascii="Calibri Light" w:eastAsia="Arial Unicode MS" w:hAnsi="Calibri Light" w:cs="Calibri Light"/>
                <w:color w:val="006699"/>
                <w:spacing w:val="7"/>
                <w:sz w:val="20"/>
                <w:u w:color="0099CC"/>
              </w:rPr>
            </w:pPr>
            <w:r>
              <w:rPr>
                <w:rFonts w:ascii="Calibri Light" w:eastAsia="Arial Unicode MS" w:hAnsi="Calibri Light" w:cs="Calibri Light"/>
                <w:color w:val="006699"/>
                <w:spacing w:val="7"/>
                <w:sz w:val="20"/>
                <w:u w:color="0099CC"/>
              </w:rPr>
              <w:t>Deutscher Juristinnenbund e.V.</w:t>
            </w:r>
          </w:p>
          <w:p w14:paraId="3B9B2E08" w14:textId="77777777" w:rsidR="000E35DC" w:rsidRDefault="00BE0C32">
            <w:pPr>
              <w:widowControl w:val="0"/>
              <w:spacing w:before="40" w:after="0"/>
              <w:jc w:val="left"/>
              <w:rPr>
                <w:rFonts w:eastAsia="Arial Unicode MS" w:cs="Calibri"/>
                <w:color w:val="000000"/>
                <w:sz w:val="16"/>
                <w:szCs w:val="16"/>
                <w:u w:color="000000"/>
              </w:rPr>
            </w:pPr>
            <w:r>
              <w:rPr>
                <w:rFonts w:eastAsia="Arial Unicode MS" w:cs="Calibri"/>
                <w:color w:val="000000"/>
                <w:sz w:val="16"/>
                <w:szCs w:val="16"/>
                <w:u w:color="000000"/>
              </w:rPr>
              <w:t xml:space="preserve">Vereinigung der Juristinnen, </w:t>
            </w:r>
            <w:r>
              <w:rPr>
                <w:rFonts w:eastAsia="Arial Unicode MS" w:cs="Calibri"/>
                <w:color w:val="000000"/>
                <w:sz w:val="16"/>
                <w:szCs w:val="16"/>
                <w:u w:color="000000"/>
              </w:rPr>
              <w:br/>
              <w:t>Volkswirtinnen und Betriebswirtinnen</w:t>
            </w:r>
          </w:p>
          <w:p w14:paraId="4B41B1D0" w14:textId="77777777" w:rsidR="000E35DC" w:rsidRDefault="00BE0C32">
            <w:pPr>
              <w:widowControl w:val="0"/>
              <w:tabs>
                <w:tab w:val="left" w:pos="8222"/>
              </w:tabs>
              <w:spacing w:before="40" w:after="0"/>
              <w:jc w:val="left"/>
              <w:rPr>
                <w:highlight w:val="yellow"/>
              </w:rPr>
            </w:pPr>
            <w:r>
              <w:rPr>
                <w:rFonts w:eastAsia="Arial Unicode MS" w:cs="Calibri"/>
                <w:color w:val="000000"/>
                <w:sz w:val="16"/>
                <w:szCs w:val="16"/>
                <w:u w:color="000000"/>
              </w:rPr>
              <w:t>Geschäftsstelle / Office:</w:t>
            </w:r>
            <w:r>
              <w:rPr>
                <w:rFonts w:eastAsia="Arial Unicode MS" w:cs="Calibri"/>
                <w:color w:val="000000"/>
                <w:sz w:val="16"/>
                <w:szCs w:val="16"/>
                <w:u w:color="000000"/>
              </w:rPr>
              <w:br/>
              <w:t xml:space="preserve">Kronenstraße 73 </w:t>
            </w:r>
            <w:r>
              <w:rPr>
                <w:rFonts w:eastAsia="Arial Unicode MS" w:cs="Calibri"/>
                <w:color w:val="000000"/>
                <w:sz w:val="14"/>
                <w:szCs w:val="14"/>
                <w:u w:color="000000"/>
              </w:rPr>
              <w:t>●</w:t>
            </w:r>
            <w:r>
              <w:rPr>
                <w:rFonts w:eastAsia="Arial Unicode MS" w:cs="Calibri"/>
                <w:color w:val="000000"/>
                <w:sz w:val="16"/>
                <w:szCs w:val="16"/>
                <w:u w:color="000000"/>
              </w:rPr>
              <w:t xml:space="preserve"> D-10117 Berlin</w:t>
            </w:r>
            <w:r>
              <w:rPr>
                <w:rFonts w:eastAsia="Arial Unicode MS" w:cs="Calibri"/>
                <w:color w:val="000000"/>
                <w:sz w:val="16"/>
                <w:szCs w:val="16"/>
                <w:u w:color="000000"/>
              </w:rPr>
              <w:br/>
              <w:t xml:space="preserve">Telefon: +49 30 4432700 </w:t>
            </w:r>
            <w:r>
              <w:rPr>
                <w:rFonts w:eastAsia="Arial Unicode MS" w:cs="Calibri"/>
                <w:color w:val="000000"/>
                <w:sz w:val="16"/>
                <w:szCs w:val="16"/>
                <w:u w:color="000000"/>
              </w:rPr>
              <w:br/>
            </w:r>
            <w:hyperlink r:id="rId8">
              <w:r>
                <w:rPr>
                  <w:rStyle w:val="Hyperlink"/>
                  <w:rFonts w:eastAsia="Arial Unicode MS" w:cs="Calibri"/>
                  <w:color w:val="000000"/>
                  <w:sz w:val="16"/>
                  <w:szCs w:val="16"/>
                  <w:u w:val="none" w:color="000000"/>
                  <w:lang w:eastAsia="x-none"/>
                </w:rPr>
                <w:t>geschaeftsstelle@djb.de</w:t>
              </w:r>
            </w:hyperlink>
            <w:r>
              <w:rPr>
                <w:rFonts w:eastAsia="Arial Unicode MS" w:cs="Calibri"/>
                <w:b/>
                <w:color w:val="000000"/>
                <w:sz w:val="16"/>
                <w:szCs w:val="16"/>
                <w:u w:color="000000"/>
              </w:rPr>
              <w:t xml:space="preserve"> </w:t>
            </w:r>
            <w:r>
              <w:rPr>
                <w:rFonts w:eastAsia="Arial Unicode MS" w:cs="Calibri"/>
                <w:color w:val="000000"/>
                <w:sz w:val="14"/>
                <w:szCs w:val="14"/>
                <w:u w:color="000000"/>
              </w:rPr>
              <w:t xml:space="preserve">● </w:t>
            </w:r>
            <w:r>
              <w:rPr>
                <w:rFonts w:eastAsia="Arial Unicode MS" w:cs="Calibri"/>
                <w:color w:val="000000"/>
                <w:sz w:val="16"/>
                <w:szCs w:val="16"/>
                <w:u w:color="000000"/>
              </w:rPr>
              <w:t>https://www.djb.de</w:t>
            </w:r>
          </w:p>
        </w:tc>
      </w:tr>
    </w:tbl>
    <w:p w14:paraId="2694FC8D" w14:textId="77777777" w:rsidR="000E35DC" w:rsidRDefault="00BE0C32">
      <w:pPr>
        <w:pStyle w:val="berschrift1"/>
        <w:rPr>
          <w:lang w:val="en-US"/>
        </w:rPr>
      </w:pPr>
      <w:r>
        <w:rPr>
          <w:lang w:val="en-GB"/>
        </w:rPr>
        <w:t>to the CEDAW Committee on the information provided in the Ninth periodic report submitted by Germany (CEDAW/C/DEU/QPR/9, 9 March 2020)</w:t>
      </w:r>
    </w:p>
    <w:p w14:paraId="3CA97382" w14:textId="77777777" w:rsidR="000E35DC" w:rsidRDefault="000E35DC">
      <w:pPr>
        <w:rPr>
          <w:lang w:val="en-US"/>
        </w:rPr>
      </w:pPr>
    </w:p>
    <w:p w14:paraId="4BC1043D" w14:textId="77777777" w:rsidR="000E35DC" w:rsidRDefault="00BE0C32">
      <w:pPr>
        <w:rPr>
          <w:lang w:val="en-US"/>
        </w:rPr>
      </w:pPr>
      <w:r>
        <w:rPr>
          <w:lang w:val="en-GB"/>
        </w:rPr>
        <w:t xml:space="preserve">The German Women Lawyers’ Association (djb) brings together women from all legal professions and aims to achieve substantive equality for women in all areas of society and to help realize women’s human rights. </w:t>
      </w:r>
    </w:p>
    <w:p w14:paraId="46CC72F9" w14:textId="77777777" w:rsidR="000E35DC" w:rsidRDefault="00BE0C32">
      <w:pPr>
        <w:pStyle w:val="berschrift3"/>
        <w:rPr>
          <w:lang w:val="en-US"/>
        </w:rPr>
      </w:pPr>
      <w:r>
        <w:rPr>
          <w:lang w:val="en-US"/>
        </w:rPr>
        <w:t>Women, peace, security (para.6)</w:t>
      </w:r>
    </w:p>
    <w:p w14:paraId="2C6399FE" w14:textId="086D7F12" w:rsidR="000E35DC" w:rsidRDefault="00BE0C32">
      <w:pPr>
        <w:rPr>
          <w:lang w:val="en-US"/>
        </w:rPr>
      </w:pPr>
      <w:r>
        <w:rPr>
          <w:lang w:val="en-GB"/>
        </w:rPr>
        <w:t>Art</w:t>
      </w:r>
      <w:r>
        <w:rPr>
          <w:lang w:val="en-US"/>
        </w:rPr>
        <w:t>.</w:t>
      </w:r>
      <w:r>
        <w:rPr>
          <w:lang w:val="en-GB"/>
        </w:rPr>
        <w:t xml:space="preserve">7(4) </w:t>
      </w:r>
      <w:r>
        <w:rPr>
          <w:lang w:val="en-US"/>
        </w:rPr>
        <w:t>Arms Trade Treaty (</w:t>
      </w:r>
      <w:r>
        <w:rPr>
          <w:lang w:val="en-GB"/>
        </w:rPr>
        <w:t>ATT</w:t>
      </w:r>
      <w:r>
        <w:rPr>
          <w:lang w:val="en-US"/>
        </w:rPr>
        <w:t>)</w:t>
      </w:r>
      <w:r>
        <w:rPr>
          <w:lang w:val="en-GB"/>
        </w:rPr>
        <w:t xml:space="preserve"> prescribes a risk assessment </w:t>
      </w:r>
      <w:r>
        <w:rPr>
          <w:lang w:val="en-US"/>
        </w:rPr>
        <w:t xml:space="preserve">regarding </w:t>
      </w:r>
      <w:r>
        <w:rPr>
          <w:lang w:val="en-GB"/>
        </w:rPr>
        <w:t xml:space="preserve">gender-based violence which has not been adequately implemented. The guidelines for licensing arms exports are laid down in the “Political Principles Adopted by the Government of the Federal Republic of Germany for the Export of War Weapons and Other Military Equipment”. While these principles stipulate respect for human rights and international humanitarian law by the country of final destination as a decisive criterion, they are legally non-binding. Moreover, there is no explicit reference to the gender dimension. </w:t>
      </w:r>
      <w:r>
        <w:rPr>
          <w:lang w:val="en-US"/>
        </w:rPr>
        <w:t xml:space="preserve">The Government’s </w:t>
      </w:r>
      <w:r>
        <w:rPr>
          <w:lang w:val="en-GB"/>
        </w:rPr>
        <w:t>export figures and practice regarding licensing arms exports show important principles are not being complied with, such as not supplying war weapons and small arms to third countries (</w:t>
      </w:r>
      <w:r>
        <w:rPr>
          <w:lang w:val="en-US"/>
        </w:rPr>
        <w:t>Non-</w:t>
      </w:r>
      <w:r>
        <w:rPr>
          <w:lang w:val="en-GB"/>
        </w:rPr>
        <w:t xml:space="preserve">EU </w:t>
      </w:r>
      <w:r>
        <w:rPr>
          <w:lang w:val="en-US"/>
        </w:rPr>
        <w:t xml:space="preserve">countries </w:t>
      </w:r>
      <w:r>
        <w:rPr>
          <w:lang w:val="en-GB"/>
        </w:rPr>
        <w:t>that are not NATO countries or countries with NATO-equivalent status) and observing human rights in the country of destination and end-use.</w:t>
      </w:r>
      <w:r>
        <w:rPr>
          <w:rStyle w:val="Funotenzeichen"/>
          <w:lang w:val="en-US"/>
        </w:rPr>
        <w:footnoteReference w:id="1"/>
      </w:r>
      <w:r>
        <w:rPr>
          <w:lang w:val="en-GB"/>
        </w:rPr>
        <w:t xml:space="preserve"> </w:t>
      </w:r>
    </w:p>
    <w:p w14:paraId="04176F75" w14:textId="024D5EA2" w:rsidR="000E35DC" w:rsidRDefault="00BE0C32">
      <w:pPr>
        <w:rPr>
          <w:lang w:val="en-US"/>
        </w:rPr>
      </w:pPr>
      <w:r>
        <w:rPr>
          <w:lang w:val="en-GB"/>
        </w:rPr>
        <w:t>Lacking a legal basis, the former Government could not list any measures that explicitly assess the impact of small arms and light weapons misuse o</w:t>
      </w:r>
      <w:r w:rsidR="00862D13">
        <w:rPr>
          <w:lang w:val="en-GB"/>
        </w:rPr>
        <w:t>n</w:t>
      </w:r>
      <w:r>
        <w:rPr>
          <w:lang w:val="en-GB"/>
        </w:rPr>
        <w:t xml:space="preserve"> women in the country of destination before issuing export licenses.</w:t>
      </w:r>
    </w:p>
    <w:p w14:paraId="121B883D" w14:textId="77777777" w:rsidR="000E35DC" w:rsidRDefault="00BE0C32">
      <w:pPr>
        <w:pStyle w:val="berschrift3"/>
        <w:rPr>
          <w:lang w:val="en-US"/>
        </w:rPr>
      </w:pPr>
      <w:r>
        <w:rPr>
          <w:lang w:val="en-US"/>
        </w:rPr>
        <w:t>We urge the Federal Government to:</w:t>
      </w:r>
    </w:p>
    <w:p w14:paraId="4546507F" w14:textId="419B7B50" w:rsidR="000E35DC" w:rsidRDefault="00BE0C32">
      <w:pPr>
        <w:pStyle w:val="Listenabsatz"/>
        <w:numPr>
          <w:ilvl w:val="0"/>
          <w:numId w:val="2"/>
        </w:numPr>
        <w:jc w:val="both"/>
        <w:rPr>
          <w:lang w:val="en-US"/>
        </w:rPr>
      </w:pPr>
      <w:r>
        <w:rPr>
          <w:lang w:val="en-GB"/>
        </w:rPr>
        <w:t>implement a uniform Arms Export Control Act that explicitly prohibits export of war weapons and small arms to third countries where human rights are being violated;</w:t>
      </w:r>
    </w:p>
    <w:p w14:paraId="358AE4CA" w14:textId="365CEF43" w:rsidR="000E35DC" w:rsidRDefault="00BE0C32">
      <w:pPr>
        <w:pStyle w:val="Listenabsatz"/>
        <w:numPr>
          <w:ilvl w:val="0"/>
          <w:numId w:val="2"/>
        </w:numPr>
        <w:jc w:val="both"/>
        <w:rPr>
          <w:lang w:val="en-US"/>
        </w:rPr>
      </w:pPr>
      <w:r>
        <w:rPr>
          <w:lang w:val="en-GB"/>
        </w:rPr>
        <w:lastRenderedPageBreak/>
        <w:t>explicitly prohibit export of military equipment used to perpetrate or facilitate serious acts of gender-based violence or serious acts of violence against women and children and implement a risk assessment to that effect.</w:t>
      </w:r>
    </w:p>
    <w:p w14:paraId="2C77EC41" w14:textId="77777777" w:rsidR="000E35DC" w:rsidRDefault="000E35DC">
      <w:pPr>
        <w:rPr>
          <w:lang w:val="en-US"/>
        </w:rPr>
      </w:pPr>
    </w:p>
    <w:p w14:paraId="0FAF4F69" w14:textId="2653A798" w:rsidR="000E35DC" w:rsidRDefault="00BE0C32">
      <w:pPr>
        <w:pStyle w:val="berschrift3"/>
        <w:rPr>
          <w:lang w:val="en-US"/>
        </w:rPr>
      </w:pPr>
      <w:r>
        <w:rPr>
          <w:lang w:val="en-US"/>
        </w:rPr>
        <w:t>Digit</w:t>
      </w:r>
      <w:r w:rsidR="00922811">
        <w:rPr>
          <w:lang w:val="en-US"/>
        </w:rPr>
        <w:t>al</w:t>
      </w:r>
      <w:r>
        <w:rPr>
          <w:lang w:val="en-US"/>
        </w:rPr>
        <w:t>ization (para.11(g))</w:t>
      </w:r>
    </w:p>
    <w:p w14:paraId="538621CC" w14:textId="5E8F75DF" w:rsidR="000E35DC" w:rsidRDefault="00BE0C32">
      <w:pPr>
        <w:spacing w:after="240"/>
        <w:rPr>
          <w:lang w:val="en-US"/>
        </w:rPr>
      </w:pPr>
      <w:r>
        <w:rPr>
          <w:lang w:val="en-US"/>
        </w:rPr>
        <w:t xml:space="preserve">While we </w:t>
      </w:r>
      <w:r>
        <w:rPr>
          <w:lang w:val="en-GB"/>
        </w:rPr>
        <w:t>welcome the Third Equality Report</w:t>
      </w:r>
      <w:r w:rsidR="00B70502">
        <w:rPr>
          <w:lang w:val="en-GB"/>
        </w:rPr>
        <w:t>’s</w:t>
      </w:r>
      <w:r>
        <w:rPr>
          <w:lang w:val="en-GB"/>
        </w:rPr>
        <w:t xml:space="preserve"> comprehensive analysis and demands</w:t>
      </w:r>
      <w:r>
        <w:rPr>
          <w:lang w:val="en-US"/>
        </w:rPr>
        <w:t>,</w:t>
      </w:r>
      <w:r>
        <w:rPr>
          <w:lang w:val="en-GB"/>
        </w:rPr>
        <w:t xml:space="preserve"> we do not consider the measures set out </w:t>
      </w:r>
      <w:r w:rsidRPr="00922811">
        <w:rPr>
          <w:lang w:val="en-GB"/>
        </w:rPr>
        <w:t>as adequate. The programs are underfunded and the amendments to the Network Enforcement Act (</w:t>
      </w:r>
      <w:proofErr w:type="spellStart"/>
      <w:r w:rsidRPr="00922811">
        <w:rPr>
          <w:i/>
          <w:iCs/>
          <w:lang w:val="en-GB"/>
        </w:rPr>
        <w:t>NetzDG</w:t>
      </w:r>
      <w:proofErr w:type="spellEnd"/>
      <w:r w:rsidRPr="00922811">
        <w:rPr>
          <w:lang w:val="en-GB"/>
        </w:rPr>
        <w:t xml:space="preserve">) are not sufficient. </w:t>
      </w:r>
      <w:r w:rsidR="00E9548C">
        <w:rPr>
          <w:lang w:val="en-GB"/>
        </w:rPr>
        <w:t xml:space="preserve">In </w:t>
      </w:r>
      <w:r w:rsidRPr="00922811">
        <w:rPr>
          <w:lang w:val="en-GB"/>
        </w:rPr>
        <w:t xml:space="preserve">2024, the </w:t>
      </w:r>
      <w:proofErr w:type="spellStart"/>
      <w:r w:rsidRPr="00922811">
        <w:rPr>
          <w:lang w:val="en-GB"/>
        </w:rPr>
        <w:t>NetzDG</w:t>
      </w:r>
      <w:proofErr w:type="spellEnd"/>
      <w:r w:rsidRPr="00922811">
        <w:rPr>
          <w:lang w:val="en-GB"/>
        </w:rPr>
        <w:t xml:space="preserve"> will be replaced by the European Digital Services Act (</w:t>
      </w:r>
      <w:r w:rsidRPr="00922811">
        <w:rPr>
          <w:i/>
          <w:iCs/>
          <w:lang w:val="en-GB"/>
        </w:rPr>
        <w:t>DSA</w:t>
      </w:r>
      <w:r w:rsidRPr="00922811">
        <w:rPr>
          <w:lang w:val="en-GB"/>
        </w:rPr>
        <w:t xml:space="preserve">) which will loosen the deletion periods. When enacting the Digital Violence Protection Act, Germany should fully exploit the margin afforded under the DSA. </w:t>
      </w:r>
    </w:p>
    <w:p w14:paraId="5BCB60DB" w14:textId="1F913C65" w:rsidR="000E35DC" w:rsidRDefault="00BE0C32">
      <w:pPr>
        <w:spacing w:after="240"/>
        <w:rPr>
          <w:lang w:val="en-US"/>
        </w:rPr>
      </w:pPr>
      <w:r w:rsidRPr="00922811">
        <w:rPr>
          <w:lang w:val="en-GB"/>
        </w:rPr>
        <w:t xml:space="preserve">The Government's </w:t>
      </w:r>
      <w:r w:rsidR="00E9548C">
        <w:rPr>
          <w:lang w:val="en-GB"/>
        </w:rPr>
        <w:t xml:space="preserve">2022 </w:t>
      </w:r>
      <w:r w:rsidRPr="00922811">
        <w:rPr>
          <w:lang w:val="en-GB"/>
        </w:rPr>
        <w:t>digital strategy lack</w:t>
      </w:r>
      <w:r>
        <w:rPr>
          <w:lang w:val="en-US"/>
        </w:rPr>
        <w:t>s</w:t>
      </w:r>
      <w:r w:rsidRPr="00922811">
        <w:rPr>
          <w:lang w:val="en-GB"/>
        </w:rPr>
        <w:t xml:space="preserve"> an equality perspective.</w:t>
      </w:r>
      <w:r>
        <w:rPr>
          <w:rStyle w:val="Funotenzeichen"/>
          <w:lang w:val="en-US"/>
        </w:rPr>
        <w:footnoteReference w:id="2"/>
      </w:r>
      <w:r w:rsidRPr="00922811">
        <w:rPr>
          <w:lang w:val="en-GB"/>
        </w:rPr>
        <w:t xml:space="preserve"> Digital projects should ensure specific socio-technical </w:t>
      </w:r>
      <w:r w:rsidR="009553C7">
        <w:rPr>
          <w:lang w:val="en-GB"/>
        </w:rPr>
        <w:t xml:space="preserve">as well as gender </w:t>
      </w:r>
      <w:r w:rsidRPr="00922811">
        <w:rPr>
          <w:lang w:val="en-GB"/>
        </w:rPr>
        <w:t xml:space="preserve">competence and a comprehensive technology assessment to avert discrimination and digitized gender-based violence. </w:t>
      </w:r>
      <w:r>
        <w:rPr>
          <w:lang w:val="en-US"/>
        </w:rPr>
        <w:t>I</w:t>
      </w:r>
      <w:proofErr w:type="spellStart"/>
      <w:r w:rsidRPr="00922811">
        <w:rPr>
          <w:lang w:val="en-GB"/>
        </w:rPr>
        <w:t>t</w:t>
      </w:r>
      <w:proofErr w:type="spellEnd"/>
      <w:r w:rsidRPr="00922811">
        <w:rPr>
          <w:lang w:val="en-GB"/>
        </w:rPr>
        <w:t xml:space="preserve"> is essential to include equal representation in authorities, agencies and bodies and to create organizational units incorporating the recommendations for action of the Third Equality Report. Adequate funds for implementing the Government's digital strategy are necessary. A digital department equipped for this purpose</w:t>
      </w:r>
      <w:r w:rsidR="001E44C0">
        <w:rPr>
          <w:lang w:val="en-GB"/>
        </w:rPr>
        <w:t xml:space="preserve"> </w:t>
      </w:r>
      <w:r w:rsidRPr="00922811">
        <w:rPr>
          <w:lang w:val="en-GB"/>
        </w:rPr>
        <w:t xml:space="preserve">should be established and obligatorily involved in digital projects. Gender aspects need to be mainstreamed in the Data Institute for Germany and in the Government's Digital Council. </w:t>
      </w:r>
      <w:r>
        <w:rPr>
          <w:lang w:val="en-US"/>
        </w:rPr>
        <w:t>T</w:t>
      </w:r>
      <w:r w:rsidRPr="00922811">
        <w:rPr>
          <w:lang w:val="en-GB"/>
        </w:rPr>
        <w:t>he digital strategy should address the lack of data on women (“gender data gap”) leading to systems and products geared exclusively to a male standard.</w:t>
      </w:r>
    </w:p>
    <w:p w14:paraId="244F91EB" w14:textId="6E5E554E" w:rsidR="000E35DC" w:rsidRDefault="00BE0C32">
      <w:pPr>
        <w:spacing w:after="240"/>
        <w:rPr>
          <w:lang w:val="en-US"/>
        </w:rPr>
      </w:pPr>
      <w:r w:rsidRPr="00922811">
        <w:rPr>
          <w:lang w:val="en-GB"/>
        </w:rPr>
        <w:t xml:space="preserve">We call for a regulatory framework of algorithms and autonomous systems graded according to risks, value-based and committed to non-discrimination. </w:t>
      </w:r>
    </w:p>
    <w:p w14:paraId="1B9DAE7A" w14:textId="67DE6FE3" w:rsidR="000E35DC" w:rsidRDefault="00BE0C32">
      <w:pPr>
        <w:spacing w:after="240"/>
        <w:rPr>
          <w:lang w:val="en-US"/>
        </w:rPr>
      </w:pPr>
      <w:r w:rsidRPr="00922811">
        <w:rPr>
          <w:lang w:val="en-GB"/>
        </w:rPr>
        <w:t>An Act on Protection Against Digital Violence is needed enabling deletion and/or (temporary) blocking of accounts, without a real-name requirement, within a few hours by means of temporary injunction proceedings before specialized courts.</w:t>
      </w:r>
      <w:r>
        <w:rPr>
          <w:rStyle w:val="Funotenzeichen"/>
          <w:lang w:val="en-US"/>
        </w:rPr>
        <w:footnoteReference w:id="3"/>
      </w:r>
      <w:r w:rsidRPr="00922811">
        <w:rPr>
          <w:lang w:val="en-GB"/>
        </w:rPr>
        <w:t xml:space="preserve"> </w:t>
      </w:r>
    </w:p>
    <w:p w14:paraId="0B3B4A73" w14:textId="7C4C67FB" w:rsidR="000E35DC" w:rsidRDefault="00BE0C32">
      <w:pPr>
        <w:spacing w:after="240"/>
        <w:rPr>
          <w:lang w:val="en-US"/>
        </w:rPr>
      </w:pPr>
      <w:r>
        <w:rPr>
          <w:lang w:val="en-US"/>
        </w:rPr>
        <w:t>R</w:t>
      </w:r>
      <w:proofErr w:type="spellStart"/>
      <w:r w:rsidRPr="00922811">
        <w:rPr>
          <w:lang w:val="en-GB"/>
        </w:rPr>
        <w:t>egulations</w:t>
      </w:r>
      <w:proofErr w:type="spellEnd"/>
      <w:r w:rsidRPr="00922811">
        <w:rPr>
          <w:lang w:val="en-GB"/>
        </w:rPr>
        <w:t xml:space="preserve"> on digitization-related interests of women in paid work should be created. The impact of digital developments on gender equality should be assessed</w:t>
      </w:r>
      <w:r>
        <w:rPr>
          <w:lang w:val="en-US"/>
        </w:rPr>
        <w:t>.</w:t>
      </w:r>
    </w:p>
    <w:p w14:paraId="7CA3E63B" w14:textId="77777777" w:rsidR="000E35DC" w:rsidRDefault="00BE0C32">
      <w:pPr>
        <w:pStyle w:val="berschrift3"/>
        <w:rPr>
          <w:lang w:val="en-US"/>
        </w:rPr>
      </w:pPr>
      <w:r>
        <w:rPr>
          <w:lang w:val="en-US"/>
        </w:rPr>
        <w:t>We urge the Federal Government to:</w:t>
      </w:r>
    </w:p>
    <w:p w14:paraId="36C45813" w14:textId="1A3E1461" w:rsidR="000E35DC" w:rsidRDefault="00BE0C32">
      <w:pPr>
        <w:pStyle w:val="Listenabsatz"/>
        <w:numPr>
          <w:ilvl w:val="0"/>
          <w:numId w:val="2"/>
        </w:numPr>
        <w:jc w:val="both"/>
        <w:rPr>
          <w:lang w:val="en-US"/>
        </w:rPr>
      </w:pPr>
      <w:r w:rsidRPr="00922811">
        <w:rPr>
          <w:lang w:val="en-GB"/>
        </w:rPr>
        <w:t>institutionally secure the gender-equitable design of digitization;</w:t>
      </w:r>
    </w:p>
    <w:p w14:paraId="2573A772" w14:textId="5AA07B05" w:rsidR="000E35DC" w:rsidRDefault="00BE0C32">
      <w:pPr>
        <w:pStyle w:val="Listenabsatz"/>
        <w:numPr>
          <w:ilvl w:val="0"/>
          <w:numId w:val="2"/>
        </w:numPr>
        <w:jc w:val="both"/>
        <w:rPr>
          <w:lang w:val="en-US"/>
        </w:rPr>
      </w:pPr>
      <w:r w:rsidRPr="00922811">
        <w:rPr>
          <w:lang w:val="en-GB"/>
        </w:rPr>
        <w:t>overcome discriminatory algorithms and the gender-data gap;</w:t>
      </w:r>
    </w:p>
    <w:p w14:paraId="60EB9262" w14:textId="599C47FB" w:rsidR="000E35DC" w:rsidRDefault="00BE0C32">
      <w:pPr>
        <w:pStyle w:val="Listenabsatz"/>
        <w:numPr>
          <w:ilvl w:val="0"/>
          <w:numId w:val="2"/>
        </w:numPr>
        <w:jc w:val="both"/>
        <w:rPr>
          <w:lang w:val="en-US"/>
        </w:rPr>
      </w:pPr>
      <w:r w:rsidRPr="00922811">
        <w:rPr>
          <w:lang w:val="en-GB"/>
        </w:rPr>
        <w:t>combat digital violence effectively;</w:t>
      </w:r>
    </w:p>
    <w:p w14:paraId="485BAEDD" w14:textId="5B8247DE" w:rsidR="000E35DC" w:rsidRDefault="00BE0C32">
      <w:pPr>
        <w:pStyle w:val="Listenabsatz"/>
        <w:numPr>
          <w:ilvl w:val="0"/>
          <w:numId w:val="2"/>
        </w:numPr>
        <w:jc w:val="both"/>
        <w:rPr>
          <w:lang w:val="en-US"/>
        </w:rPr>
      </w:pPr>
      <w:r w:rsidRPr="00922811">
        <w:rPr>
          <w:lang w:val="en-GB"/>
        </w:rPr>
        <w:t>avoid disadvantages of digital developments for gender equality.</w:t>
      </w:r>
    </w:p>
    <w:p w14:paraId="00503865" w14:textId="77777777" w:rsidR="000E35DC" w:rsidRDefault="000E35DC">
      <w:pPr>
        <w:rPr>
          <w:lang w:val="en-US"/>
        </w:rPr>
      </w:pPr>
    </w:p>
    <w:p w14:paraId="20902195" w14:textId="77777777" w:rsidR="000E35DC" w:rsidRDefault="00BE0C32">
      <w:pPr>
        <w:pStyle w:val="berschrift3"/>
        <w:rPr>
          <w:lang w:val="en-US"/>
        </w:rPr>
      </w:pPr>
      <w:r>
        <w:rPr>
          <w:lang w:val="en-US"/>
        </w:rPr>
        <w:t>Gender-based violence against women (paras.11(b), 11(f))</w:t>
      </w:r>
    </w:p>
    <w:p w14:paraId="54650F05" w14:textId="7C347A16" w:rsidR="000E35DC" w:rsidRDefault="00BE0C32">
      <w:pPr>
        <w:spacing w:after="240"/>
        <w:rPr>
          <w:lang w:val="en-US"/>
        </w:rPr>
      </w:pPr>
      <w:r>
        <w:rPr>
          <w:lang w:val="en-US"/>
        </w:rPr>
        <w:t xml:space="preserve">Deficiencies persist </w:t>
      </w:r>
      <w:r w:rsidR="006B7308">
        <w:rPr>
          <w:lang w:val="en-US"/>
        </w:rPr>
        <w:t>particularly</w:t>
      </w:r>
      <w:r>
        <w:rPr>
          <w:lang w:val="en-US"/>
        </w:rPr>
        <w:t xml:space="preserve"> in the application of the law and in law enforcement. </w:t>
      </w:r>
    </w:p>
    <w:p w14:paraId="43FE1C64" w14:textId="77777777" w:rsidR="000E35DC" w:rsidRDefault="00BE0C32">
      <w:pPr>
        <w:spacing w:after="240"/>
        <w:rPr>
          <w:lang w:val="en-US"/>
        </w:rPr>
      </w:pPr>
      <w:r>
        <w:rPr>
          <w:lang w:val="en-US"/>
        </w:rPr>
        <w:t>There is inconsistency in the application of the law in cases of both sexualized and fatal intimate partner violence. A current or previous sexual relationship between perpetrator and victim or a separation preceding the crime initiated by the victim are often mistakenly considered as a mitigating instead of an aggravating factor by the courts. In 2022, the Government has proposed a bill to explicitly list "gender-specific motives" as well as "motives directed against sexual orientation" as potential aggravating factors in the general sentencing norm.</w:t>
      </w:r>
      <w:r>
        <w:rPr>
          <w:rStyle w:val="Funotenzeichen"/>
          <w:lang w:val="en-US"/>
        </w:rPr>
        <w:footnoteReference w:id="4"/>
      </w:r>
      <w:r>
        <w:rPr>
          <w:lang w:val="en-US"/>
        </w:rPr>
        <w:t xml:space="preserve"> </w:t>
      </w:r>
    </w:p>
    <w:p w14:paraId="0693FF8C" w14:textId="2807B5F4" w:rsidR="000E35DC" w:rsidRDefault="00BE0C32">
      <w:pPr>
        <w:spacing w:after="240"/>
        <w:rPr>
          <w:lang w:val="en-US"/>
        </w:rPr>
      </w:pPr>
      <w:r>
        <w:rPr>
          <w:lang w:val="en-US"/>
        </w:rPr>
        <w:t>In law enforcement, victims of intimate partner violence lack access and support. Legal entitlement to psychosocial trial support is still lacking although victims are exposed to massive stress and risk (re)traumatization in criminal proceedings. Currently, such legal entitlement exists only in narrowly defined constellations, some of which are at the courts’ discretion. Legal aid in representation of private accessory prosecution should be secured. Both free psychosocial support during the trial and free representation of private accessory prosecutors (</w:t>
      </w:r>
      <w:proofErr w:type="spellStart"/>
      <w:r>
        <w:rPr>
          <w:i/>
          <w:iCs/>
          <w:lang w:val="en-US"/>
        </w:rPr>
        <w:t>Nebenklage</w:t>
      </w:r>
      <w:proofErr w:type="spellEnd"/>
      <w:r>
        <w:rPr>
          <w:lang w:val="en-US"/>
        </w:rPr>
        <w:t>) are currently only granted to certain groups of victims,</w:t>
      </w:r>
      <w:r>
        <w:rPr>
          <w:rStyle w:val="Funotenzeichen"/>
          <w:lang w:val="en-US"/>
        </w:rPr>
        <w:footnoteReference w:id="5"/>
      </w:r>
      <w:r>
        <w:rPr>
          <w:lang w:val="en-US"/>
        </w:rPr>
        <w:t xml:space="preserve"> leaving out a large number of cases. Expanding the victim groups covered is urgently needed to avoid gaps in protection.</w:t>
      </w:r>
    </w:p>
    <w:p w14:paraId="76BF61D1" w14:textId="4C2044B9" w:rsidR="000E35DC" w:rsidRDefault="00BE0C32">
      <w:pPr>
        <w:spacing w:after="240"/>
        <w:rPr>
          <w:lang w:val="en-US"/>
        </w:rPr>
      </w:pPr>
      <w:r>
        <w:rPr>
          <w:lang w:val="en-US"/>
        </w:rPr>
        <w:t>The measures listed in para.11(f) are not sufficient to implement the obligations under CEDAW. The former Government has not indicated any plans to take further measures. Additional training of judges and public prosecutors should be mandatory. Such an obligation could be anchored in the German Judiciary Act (</w:t>
      </w:r>
      <w:proofErr w:type="spellStart"/>
      <w:r>
        <w:rPr>
          <w:i/>
          <w:iCs/>
          <w:lang w:val="en-US"/>
        </w:rPr>
        <w:t>Deutsches</w:t>
      </w:r>
      <w:proofErr w:type="spellEnd"/>
      <w:r>
        <w:rPr>
          <w:i/>
          <w:iCs/>
          <w:lang w:val="en-US"/>
        </w:rPr>
        <w:t xml:space="preserve"> </w:t>
      </w:r>
      <w:proofErr w:type="spellStart"/>
      <w:r>
        <w:rPr>
          <w:i/>
          <w:iCs/>
          <w:lang w:val="en-US"/>
        </w:rPr>
        <w:t>Richtergesetz</w:t>
      </w:r>
      <w:proofErr w:type="spellEnd"/>
      <w:r>
        <w:rPr>
          <w:lang w:val="en-US"/>
        </w:rPr>
        <w:t>), taking judicial independence into account. If judges and prosecutors are not sufficiently sensitized to the psychological effects of such violence and the risks of secondary victimization, psychological effects caused by the crime could worsen during criminal proceedings. The same risk applies to police officers. As officers regularly serve as first point of contact for victims of gender-based violence, they must be able to assess risks and initiate steps to stabilize the victim’s situation. Training measures must be expanded. They should address causes and effects of gender-based violence, examination of gender stereotypes and sexuality myths. CEDAW oblige</w:t>
      </w:r>
      <w:r w:rsidR="0035790C">
        <w:rPr>
          <w:lang w:val="en-US"/>
        </w:rPr>
        <w:t>s</w:t>
      </w:r>
      <w:r>
        <w:rPr>
          <w:lang w:val="en-US"/>
        </w:rPr>
        <w:t xml:space="preserve"> Germany to provide appropriate educational and training measures.</w:t>
      </w:r>
      <w:r w:rsidR="00922811">
        <w:rPr>
          <w:lang w:val="en-US"/>
        </w:rPr>
        <w:t xml:space="preserve"> </w:t>
      </w:r>
      <w:r>
        <w:rPr>
          <w:lang w:val="en-US"/>
        </w:rPr>
        <w:t>Existing risk assessment instruments should be expanded to improve the recognition of warning signals and the prevention of domestic violence. The information on individual threats known to counseling centers, women’s shelters, police and judiciary, among others, have to be compiled. An inter-institutional case management system should be established throughout Germany.</w:t>
      </w:r>
    </w:p>
    <w:p w14:paraId="27188577" w14:textId="0CF94EEB" w:rsidR="000E35DC" w:rsidRDefault="00BE0C32">
      <w:pPr>
        <w:spacing w:after="240"/>
        <w:rPr>
          <w:lang w:val="en-US"/>
        </w:rPr>
      </w:pPr>
      <w:r>
        <w:rPr>
          <w:lang w:val="en-US"/>
        </w:rPr>
        <w:t xml:space="preserve">Apart from police crime statistics, empirical data and statistical surveys on violence against women are lacking. The last representative study examining violence against women dates from 2004. Thorough research on gender-based violence is necessary to break down common </w:t>
      </w:r>
      <w:r>
        <w:rPr>
          <w:lang w:val="en-US"/>
        </w:rPr>
        <w:lastRenderedPageBreak/>
        <w:t xml:space="preserve">stereotypes and myths. Empirical findings should form the basis for preventive risk assessments and for monitoring the effectiveness of legal regulations in the long term. </w:t>
      </w:r>
    </w:p>
    <w:p w14:paraId="72C4E77E" w14:textId="77777777" w:rsidR="000E35DC" w:rsidRDefault="00BE0C32">
      <w:pPr>
        <w:pStyle w:val="berschrift3"/>
        <w:rPr>
          <w:lang w:val="en-US"/>
        </w:rPr>
      </w:pPr>
      <w:r>
        <w:rPr>
          <w:lang w:val="en-US"/>
        </w:rPr>
        <w:t>We urge the Federal Government to:</w:t>
      </w:r>
    </w:p>
    <w:p w14:paraId="06F1AEA2" w14:textId="07D69FD2" w:rsidR="000E35DC" w:rsidRDefault="00BE0C32">
      <w:pPr>
        <w:pStyle w:val="Listenabsatz"/>
        <w:numPr>
          <w:ilvl w:val="0"/>
          <w:numId w:val="2"/>
        </w:numPr>
        <w:jc w:val="both"/>
        <w:rPr>
          <w:lang w:val="en-US"/>
        </w:rPr>
      </w:pPr>
      <w:r>
        <w:rPr>
          <w:lang w:val="en-US"/>
        </w:rPr>
        <w:t>introduce mandatory participation in training courses for public prosecutors</w:t>
      </w:r>
      <w:r w:rsidR="00E34424">
        <w:rPr>
          <w:lang w:val="en-US"/>
        </w:rPr>
        <w:t>,</w:t>
      </w:r>
      <w:r>
        <w:rPr>
          <w:lang w:val="en-US"/>
        </w:rPr>
        <w:t xml:space="preserve"> judges </w:t>
      </w:r>
      <w:r w:rsidR="00E34424">
        <w:rPr>
          <w:lang w:val="en-US"/>
        </w:rPr>
        <w:t>and</w:t>
      </w:r>
      <w:r>
        <w:rPr>
          <w:lang w:val="en-US"/>
        </w:rPr>
        <w:t xml:space="preserve"> police officers on gender-based violence to ensure consistent application of the law;</w:t>
      </w:r>
    </w:p>
    <w:p w14:paraId="00C53906" w14:textId="77777777" w:rsidR="000E35DC" w:rsidRDefault="00BE0C32">
      <w:pPr>
        <w:pStyle w:val="Listenabsatz"/>
        <w:numPr>
          <w:ilvl w:val="0"/>
          <w:numId w:val="2"/>
        </w:numPr>
        <w:jc w:val="both"/>
        <w:rPr>
          <w:lang w:val="en-US"/>
        </w:rPr>
      </w:pPr>
      <w:r>
        <w:rPr>
          <w:lang w:val="en-US"/>
        </w:rPr>
        <w:t>sanction inappropriately imposed sexuality in a separate criminal offense or as a misdemeanor;</w:t>
      </w:r>
    </w:p>
    <w:p w14:paraId="29294930" w14:textId="77777777" w:rsidR="000E35DC" w:rsidRDefault="00BE0C32">
      <w:pPr>
        <w:pStyle w:val="Listenabsatz"/>
        <w:numPr>
          <w:ilvl w:val="0"/>
          <w:numId w:val="2"/>
        </w:numPr>
        <w:jc w:val="both"/>
        <w:rPr>
          <w:lang w:val="en-US"/>
        </w:rPr>
      </w:pPr>
      <w:r>
        <w:rPr>
          <w:lang w:val="en-US"/>
        </w:rPr>
        <w:t>systematically and fully protect adults against the unauthorized production and use of images that depict another person in a sexually explicit manner (under criminal law);</w:t>
      </w:r>
    </w:p>
    <w:p w14:paraId="2FE97E25" w14:textId="77777777" w:rsidR="000E35DC" w:rsidRDefault="00BE0C32">
      <w:pPr>
        <w:pStyle w:val="Listenabsatz"/>
        <w:numPr>
          <w:ilvl w:val="0"/>
          <w:numId w:val="2"/>
        </w:numPr>
        <w:jc w:val="both"/>
        <w:rPr>
          <w:lang w:val="en-US"/>
        </w:rPr>
      </w:pPr>
      <w:r>
        <w:rPr>
          <w:lang w:val="en-US"/>
        </w:rPr>
        <w:t>expand risk assessment tools already in place to make them available to individuals and institutions dealing with risk cases;</w:t>
      </w:r>
    </w:p>
    <w:p w14:paraId="2B993044" w14:textId="77777777" w:rsidR="000E35DC" w:rsidRDefault="00BE0C32">
      <w:pPr>
        <w:pStyle w:val="Listenabsatz"/>
        <w:numPr>
          <w:ilvl w:val="0"/>
          <w:numId w:val="2"/>
        </w:numPr>
        <w:jc w:val="both"/>
        <w:rPr>
          <w:lang w:val="en-US"/>
        </w:rPr>
      </w:pPr>
      <w:r>
        <w:rPr>
          <w:lang w:val="en-US"/>
        </w:rPr>
        <w:t xml:space="preserve">expand and fund empirical research for a thorough root cause analysis as a basis for risk assessments and prevention. </w:t>
      </w:r>
    </w:p>
    <w:p w14:paraId="2EDD623B" w14:textId="77777777" w:rsidR="000E35DC" w:rsidRDefault="000E35DC">
      <w:pPr>
        <w:spacing w:after="0"/>
        <w:rPr>
          <w:lang w:val="en-US"/>
        </w:rPr>
      </w:pPr>
    </w:p>
    <w:p w14:paraId="7E0E3221" w14:textId="77777777" w:rsidR="000E35DC" w:rsidRDefault="00BE0C32">
      <w:pPr>
        <w:pStyle w:val="berschrift3"/>
        <w:rPr>
          <w:lang w:val="en-US"/>
        </w:rPr>
      </w:pPr>
      <w:r>
        <w:rPr>
          <w:lang w:val="en-GB"/>
        </w:rPr>
        <w:t xml:space="preserve">Female refugees (paras.11(d), 16(b), </w:t>
      </w:r>
      <w:r>
        <w:rPr>
          <w:lang w:val="en-US"/>
        </w:rPr>
        <w:t>21</w:t>
      </w:r>
      <w:r>
        <w:rPr>
          <w:lang w:val="en-GB"/>
        </w:rPr>
        <w:t>(a)</w:t>
      </w:r>
      <w:r>
        <w:rPr>
          <w:lang w:val="en-US"/>
        </w:rPr>
        <w:t xml:space="preserve">, </w:t>
      </w:r>
      <w:r>
        <w:rPr>
          <w:lang w:val="en-GB"/>
        </w:rPr>
        <w:t>(b))</w:t>
      </w:r>
    </w:p>
    <w:p w14:paraId="01A6297F" w14:textId="42E5793D" w:rsidR="000E35DC" w:rsidRDefault="00BE0C32">
      <w:pPr>
        <w:rPr>
          <w:lang w:val="en-US"/>
        </w:rPr>
      </w:pPr>
      <w:r>
        <w:rPr>
          <w:lang w:val="en-GB"/>
        </w:rPr>
        <w:t xml:space="preserve">All forms of gender-specific persecution must be identified in asylum procedures and accepted as grounds for granting refugee status. </w:t>
      </w:r>
      <w:r>
        <w:rPr>
          <w:lang w:val="en-US"/>
        </w:rPr>
        <w:t xml:space="preserve">While </w:t>
      </w:r>
      <w:r>
        <w:rPr>
          <w:lang w:val="en-GB"/>
        </w:rPr>
        <w:t xml:space="preserve">decision-makers in official hearings of refugees are trained to deal with gender-based violence, binding guidelines on how to identify and acknowledge gender-based persecution are still lacking. The legal institution of </w:t>
      </w:r>
      <w:r w:rsidR="005D01A4">
        <w:rPr>
          <w:lang w:val="en-GB"/>
        </w:rPr>
        <w:t>“</w:t>
      </w:r>
      <w:r>
        <w:rPr>
          <w:lang w:val="en-GB"/>
        </w:rPr>
        <w:t>safe countries of origin</w:t>
      </w:r>
      <w:r w:rsidR="005D01A4">
        <w:rPr>
          <w:lang w:val="en-GB"/>
        </w:rPr>
        <w:t>”</w:t>
      </w:r>
      <w:r>
        <w:rPr>
          <w:lang w:val="en-GB"/>
        </w:rPr>
        <w:t xml:space="preserve"> which places the burden of proof on women also prevents gender-based violence from being </w:t>
      </w:r>
      <w:r>
        <w:rPr>
          <w:lang w:val="en-US"/>
        </w:rPr>
        <w:t>considered</w:t>
      </w:r>
      <w:r>
        <w:rPr>
          <w:lang w:val="en-GB"/>
        </w:rPr>
        <w:t xml:space="preserve">. </w:t>
      </w:r>
    </w:p>
    <w:p w14:paraId="5E928EA1" w14:textId="7868FC4A" w:rsidR="000E35DC" w:rsidRDefault="00BE0C32">
      <w:pPr>
        <w:rPr>
          <w:lang w:val="en-US"/>
        </w:rPr>
      </w:pPr>
      <w:r>
        <w:rPr>
          <w:lang w:val="en-GB"/>
        </w:rPr>
        <w:t>Restrictions on freedom of movement (</w:t>
      </w:r>
      <w:r>
        <w:rPr>
          <w:i/>
          <w:iCs/>
          <w:lang w:val="en-GB"/>
        </w:rPr>
        <w:t>Residenzpflicht</w:t>
      </w:r>
      <w:r>
        <w:rPr>
          <w:lang w:val="en-GB"/>
        </w:rPr>
        <w:t>)</w:t>
      </w:r>
      <w:r>
        <w:rPr>
          <w:rStyle w:val="Funotenzeichen"/>
          <w:lang w:val="en-US"/>
        </w:rPr>
        <w:footnoteReference w:id="6"/>
      </w:r>
      <w:r>
        <w:rPr>
          <w:lang w:val="en-GB"/>
        </w:rPr>
        <w:t xml:space="preserve"> during asylum procedures are an obstacle in accessing effective protection against violence. Female refugees who </w:t>
      </w:r>
      <w:r>
        <w:rPr>
          <w:lang w:val="en-US"/>
        </w:rPr>
        <w:t xml:space="preserve">have been </w:t>
      </w:r>
      <w:r>
        <w:rPr>
          <w:lang w:val="en-GB"/>
        </w:rPr>
        <w:t xml:space="preserve">victims of violence </w:t>
      </w:r>
      <w:r>
        <w:rPr>
          <w:lang w:val="en-US"/>
        </w:rPr>
        <w:t>by</w:t>
      </w:r>
      <w:r>
        <w:rPr>
          <w:lang w:val="en-GB"/>
        </w:rPr>
        <w:t xml:space="preserve"> family members, social or security staff or other refugees are generally not allowed to leave</w:t>
      </w:r>
      <w:r>
        <w:rPr>
          <w:lang w:val="en-US"/>
        </w:rPr>
        <w:t xml:space="preserve"> their</w:t>
      </w:r>
      <w:r>
        <w:rPr>
          <w:lang w:val="en-GB"/>
        </w:rPr>
        <w:t xml:space="preserve"> assigned accommodation without a permit. Although the law provides for exceptions, gender-based violence is not </w:t>
      </w:r>
      <w:r>
        <w:rPr>
          <w:lang w:val="en-US"/>
        </w:rPr>
        <w:t>among them</w:t>
      </w:r>
      <w:r>
        <w:rPr>
          <w:lang w:val="en-GB"/>
        </w:rPr>
        <w:t>. The often short-term need to seek protection in a women</w:t>
      </w:r>
      <w:r w:rsidR="005D01A4">
        <w:rPr>
          <w:lang w:val="en-GB"/>
        </w:rPr>
        <w:t>’</w:t>
      </w:r>
      <w:r>
        <w:rPr>
          <w:lang w:val="en-GB"/>
        </w:rPr>
        <w:t>s shelter leaves no time for a permit procedure. Without a permit</w:t>
      </w:r>
      <w:r w:rsidR="005D01A4">
        <w:rPr>
          <w:lang w:val="en-GB"/>
        </w:rPr>
        <w:t>,</w:t>
      </w:r>
      <w:r>
        <w:rPr>
          <w:lang w:val="en-US"/>
        </w:rPr>
        <w:t xml:space="preserve"> moving to a </w:t>
      </w:r>
      <w:r>
        <w:rPr>
          <w:lang w:val="en-GB"/>
        </w:rPr>
        <w:t>shelter is considered an administrative offence and leads to women's shelters refusing admission because funding is not secured.</w:t>
      </w:r>
    </w:p>
    <w:p w14:paraId="377697BF" w14:textId="77777777" w:rsidR="000E35DC" w:rsidRDefault="00BE0C32">
      <w:pPr>
        <w:rPr>
          <w:lang w:val="en-US"/>
        </w:rPr>
      </w:pPr>
      <w:r>
        <w:rPr>
          <w:lang w:val="en-GB"/>
        </w:rPr>
        <w:t>Women without residence papers also have no access to protection against violence without risking their deportation. In most cases, women's shelters are obliged to inform the cost units about the names of the women they have taken in, which in turn are obliged to pass on the data to the immigration office</w:t>
      </w:r>
      <w:r>
        <w:rPr>
          <w:lang w:val="en-US"/>
        </w:rPr>
        <w:t>.</w:t>
      </w:r>
      <w:r>
        <w:rPr>
          <w:rStyle w:val="Funotenzeichen"/>
          <w:lang w:val="en-US"/>
        </w:rPr>
        <w:footnoteReference w:id="7"/>
      </w:r>
    </w:p>
    <w:p w14:paraId="5BA856D9" w14:textId="12BDA278" w:rsidR="000E35DC" w:rsidRDefault="00BE0C32">
      <w:pPr>
        <w:rPr>
          <w:lang w:val="en-US"/>
        </w:rPr>
      </w:pPr>
      <w:r>
        <w:rPr>
          <w:lang w:val="en-US"/>
        </w:rPr>
        <w:t>O</w:t>
      </w:r>
      <w:proofErr w:type="spellStart"/>
      <w:r>
        <w:rPr>
          <w:lang w:val="en-GB"/>
        </w:rPr>
        <w:t>bligatory</w:t>
      </w:r>
      <w:proofErr w:type="spellEnd"/>
      <w:r>
        <w:rPr>
          <w:lang w:val="en-GB"/>
        </w:rPr>
        <w:t xml:space="preserve"> violence protection measures are still lacking in all federal states (</w:t>
      </w:r>
      <w:r>
        <w:rPr>
          <w:i/>
          <w:iCs/>
          <w:lang w:val="en-GB"/>
        </w:rPr>
        <w:t>Länder)</w:t>
      </w:r>
      <w:r>
        <w:rPr>
          <w:lang w:val="en-GB"/>
        </w:rPr>
        <w:t xml:space="preserve">. The newly introduced </w:t>
      </w:r>
      <w:r>
        <w:rPr>
          <w:lang w:val="en-US"/>
        </w:rPr>
        <w:t>Sec.</w:t>
      </w:r>
      <w:r>
        <w:rPr>
          <w:lang w:val="en-GB"/>
        </w:rPr>
        <w:t xml:space="preserve">44(2a) </w:t>
      </w:r>
      <w:r>
        <w:rPr>
          <w:lang w:val="en-US"/>
        </w:rPr>
        <w:t>Asylum Act (</w:t>
      </w:r>
      <w:proofErr w:type="spellStart"/>
      <w:r>
        <w:rPr>
          <w:i/>
          <w:iCs/>
          <w:lang w:val="en-GB"/>
        </w:rPr>
        <w:t>AsylG</w:t>
      </w:r>
      <w:proofErr w:type="spellEnd"/>
      <w:r>
        <w:rPr>
          <w:lang w:val="en-US"/>
        </w:rPr>
        <w:t>)</w:t>
      </w:r>
      <w:r>
        <w:rPr>
          <w:lang w:val="en-GB"/>
        </w:rPr>
        <w:t xml:space="preserve"> merely obliges to ensure </w:t>
      </w:r>
      <w:r w:rsidR="005173C6">
        <w:rPr>
          <w:lang w:val="en-GB"/>
        </w:rPr>
        <w:t>“</w:t>
      </w:r>
      <w:r>
        <w:rPr>
          <w:lang w:val="en-GB"/>
        </w:rPr>
        <w:t xml:space="preserve">appropriate </w:t>
      </w:r>
      <w:r>
        <w:rPr>
          <w:lang w:val="en-GB"/>
        </w:rPr>
        <w:lastRenderedPageBreak/>
        <w:t>measures</w:t>
      </w:r>
      <w:r w:rsidR="005173C6">
        <w:rPr>
          <w:lang w:val="en-GB"/>
        </w:rPr>
        <w:t>”</w:t>
      </w:r>
      <w:r>
        <w:rPr>
          <w:lang w:val="en-GB"/>
        </w:rPr>
        <w:t xml:space="preserve"> to guarantee protection of women during accommodation, without specifying them or setting binding minimum standards.</w:t>
      </w:r>
    </w:p>
    <w:p w14:paraId="6418A237" w14:textId="77777777" w:rsidR="000E35DC" w:rsidRDefault="00BE0C32">
      <w:pPr>
        <w:rPr>
          <w:lang w:val="en-US"/>
        </w:rPr>
      </w:pPr>
      <w:r>
        <w:rPr>
          <w:lang w:val="en-US"/>
        </w:rPr>
        <w:t>E</w:t>
      </w:r>
      <w:proofErr w:type="spellStart"/>
      <w:r>
        <w:rPr>
          <w:lang w:val="en-GB"/>
        </w:rPr>
        <w:t>xisting</w:t>
      </w:r>
      <w:proofErr w:type="spellEnd"/>
      <w:r>
        <w:rPr>
          <w:lang w:val="en-GB"/>
        </w:rPr>
        <w:t xml:space="preserve"> regulations in the Residence Act (</w:t>
      </w:r>
      <w:proofErr w:type="spellStart"/>
      <w:r>
        <w:rPr>
          <w:i/>
          <w:iCs/>
          <w:lang w:val="en-GB"/>
        </w:rPr>
        <w:t>AufenthG</w:t>
      </w:r>
      <w:proofErr w:type="spellEnd"/>
      <w:r>
        <w:rPr>
          <w:lang w:val="en-GB"/>
        </w:rPr>
        <w:t>) do not guarantee sufficient protection for women affected by violence. Even if the existence of violence in marriage theoretically justifies an independent residence title,</w:t>
      </w:r>
      <w:r>
        <w:rPr>
          <w:rStyle w:val="Funotenzeichen"/>
          <w:lang w:val="en-US"/>
        </w:rPr>
        <w:footnoteReference w:id="8"/>
      </w:r>
      <w:r>
        <w:rPr>
          <w:lang w:val="en-GB"/>
        </w:rPr>
        <w:t xml:space="preserve"> such a title often is withheld in practice.</w:t>
      </w:r>
    </w:p>
    <w:p w14:paraId="2013FA97" w14:textId="77777777" w:rsidR="000E35DC" w:rsidRDefault="00BE0C32">
      <w:pPr>
        <w:pStyle w:val="berschrift3"/>
        <w:rPr>
          <w:lang w:val="en-US"/>
        </w:rPr>
      </w:pPr>
      <w:r>
        <w:rPr>
          <w:lang w:val="en-US"/>
        </w:rPr>
        <w:t>We urge the Federal Government to:</w:t>
      </w:r>
    </w:p>
    <w:p w14:paraId="398127D5" w14:textId="77777777" w:rsidR="000E35DC" w:rsidRDefault="00BE0C32">
      <w:pPr>
        <w:pStyle w:val="Listenabsatz"/>
        <w:numPr>
          <w:ilvl w:val="0"/>
          <w:numId w:val="2"/>
        </w:numPr>
        <w:jc w:val="both"/>
        <w:rPr>
          <w:lang w:val="en-US"/>
        </w:rPr>
      </w:pPr>
      <w:r>
        <w:rPr>
          <w:lang w:val="en-GB"/>
        </w:rPr>
        <w:t>introduce guidelines for determining gender-specific persecution and protection needs due to gender-specific threats;</w:t>
      </w:r>
    </w:p>
    <w:p w14:paraId="2AE1D9F7" w14:textId="77777777" w:rsidR="000E35DC" w:rsidRDefault="00BE0C32">
      <w:pPr>
        <w:pStyle w:val="Listenabsatz"/>
        <w:numPr>
          <w:ilvl w:val="0"/>
          <w:numId w:val="2"/>
        </w:numPr>
        <w:jc w:val="both"/>
        <w:rPr>
          <w:lang w:val="en-US"/>
        </w:rPr>
      </w:pPr>
      <w:r>
        <w:rPr>
          <w:lang w:val="en-GB"/>
        </w:rPr>
        <w:t>amend existing laws to ensure that female refugees and other migrants have unrestricted access to women’s shelters and all other forms of support in cases of domestic and sexual violence, and full autonomy to decide on the safest place for them to stay;</w:t>
      </w:r>
    </w:p>
    <w:p w14:paraId="3573AC6D" w14:textId="77777777" w:rsidR="000E35DC" w:rsidRDefault="00BE0C32">
      <w:pPr>
        <w:pStyle w:val="Listenabsatz"/>
        <w:numPr>
          <w:ilvl w:val="0"/>
          <w:numId w:val="2"/>
        </w:numPr>
        <w:jc w:val="both"/>
        <w:rPr>
          <w:lang w:val="en-US"/>
        </w:rPr>
      </w:pPr>
      <w:r>
        <w:rPr>
          <w:lang w:val="en-GB"/>
        </w:rPr>
        <w:t>introduce comprehensive binding guidelines on minimum standards of protection for the accommodation of female refugees;</w:t>
      </w:r>
    </w:p>
    <w:p w14:paraId="31AAA751" w14:textId="77777777" w:rsidR="000E35DC" w:rsidRDefault="00BE0C32">
      <w:pPr>
        <w:pStyle w:val="Listenabsatz"/>
        <w:numPr>
          <w:ilvl w:val="0"/>
          <w:numId w:val="2"/>
        </w:numPr>
        <w:jc w:val="both"/>
        <w:rPr>
          <w:lang w:val="en-US"/>
        </w:rPr>
      </w:pPr>
      <w:r>
        <w:rPr>
          <w:lang w:val="en-GB"/>
        </w:rPr>
        <w:t xml:space="preserve">introduce binding guidelines and facilitation of evidence for the effective implementation of the protection standard laid down in </w:t>
      </w:r>
      <w:r>
        <w:rPr>
          <w:lang w:val="en-US"/>
        </w:rPr>
        <w:t>Sec.</w:t>
      </w:r>
      <w:r>
        <w:rPr>
          <w:lang w:val="en-GB"/>
        </w:rPr>
        <w:t xml:space="preserve">31(2) </w:t>
      </w:r>
      <w:proofErr w:type="spellStart"/>
      <w:r>
        <w:rPr>
          <w:i/>
          <w:iCs/>
          <w:lang w:val="en-US"/>
        </w:rPr>
        <w:t>AufenthG</w:t>
      </w:r>
      <w:proofErr w:type="spellEnd"/>
      <w:r>
        <w:rPr>
          <w:lang w:val="en-GB"/>
        </w:rPr>
        <w:t>;</w:t>
      </w:r>
    </w:p>
    <w:p w14:paraId="7AE1A078" w14:textId="77777777" w:rsidR="000E35DC" w:rsidRDefault="00BE0C32">
      <w:pPr>
        <w:pStyle w:val="Listenabsatz"/>
        <w:numPr>
          <w:ilvl w:val="0"/>
          <w:numId w:val="2"/>
        </w:numPr>
        <w:jc w:val="both"/>
        <w:rPr>
          <w:lang w:val="en-US"/>
        </w:rPr>
      </w:pPr>
      <w:r>
        <w:rPr>
          <w:lang w:val="en-GB"/>
        </w:rPr>
        <w:t xml:space="preserve">abolish the obligation to pass on data from social authorities to the immigration office in cases of protection against violence. </w:t>
      </w:r>
    </w:p>
    <w:p w14:paraId="3CD617D3" w14:textId="77777777" w:rsidR="000E35DC" w:rsidRDefault="000E35DC">
      <w:pPr>
        <w:pStyle w:val="Listenabsatz"/>
        <w:rPr>
          <w:lang w:val="en-US"/>
        </w:rPr>
      </w:pPr>
    </w:p>
    <w:p w14:paraId="7C5CD9C8" w14:textId="77777777" w:rsidR="000E35DC" w:rsidRDefault="00BE0C32">
      <w:pPr>
        <w:pStyle w:val="berschrift3"/>
        <w:rPr>
          <w:lang w:val="en-US"/>
        </w:rPr>
      </w:pPr>
      <w:r>
        <w:rPr>
          <w:lang w:val="en-GB"/>
        </w:rPr>
        <w:t>Political participation of women (para.13)</w:t>
      </w:r>
    </w:p>
    <w:p w14:paraId="111BCF96" w14:textId="77777777" w:rsidR="000E35DC" w:rsidRDefault="00BE0C32">
      <w:pPr>
        <w:rPr>
          <w:lang w:val="en-US"/>
        </w:rPr>
      </w:pPr>
      <w:r>
        <w:rPr>
          <w:lang w:val="en-GB"/>
        </w:rPr>
        <w:t>While the percentage of female members of the Federal Parliament (</w:t>
      </w:r>
      <w:r>
        <w:rPr>
          <w:i/>
          <w:iCs/>
          <w:lang w:val="en-GB"/>
        </w:rPr>
        <w:t>Bundestag</w:t>
      </w:r>
      <w:r>
        <w:rPr>
          <w:lang w:val="en-GB"/>
        </w:rPr>
        <w:t xml:space="preserve">) rose to 34.8% with the elections 2021, for about 25 years the percentage has stagnated at around one-third. In the parliaments of </w:t>
      </w:r>
      <w:r>
        <w:rPr>
          <w:lang w:val="en-US"/>
        </w:rPr>
        <w:t xml:space="preserve">the </w:t>
      </w:r>
      <w:r>
        <w:rPr>
          <w:i/>
          <w:iCs/>
          <w:lang w:val="en-GB"/>
        </w:rPr>
        <w:t>Länder</w:t>
      </w:r>
      <w:r>
        <w:rPr>
          <w:lang w:val="en-GB"/>
        </w:rPr>
        <w:t>, the average is 33.1%. The percentage of women in municipal councils (</w:t>
      </w:r>
      <w:proofErr w:type="spellStart"/>
      <w:r>
        <w:rPr>
          <w:i/>
          <w:iCs/>
          <w:lang w:val="en-GB"/>
        </w:rPr>
        <w:t>Kommunalvertretungen</w:t>
      </w:r>
      <w:proofErr w:type="spellEnd"/>
      <w:r>
        <w:rPr>
          <w:lang w:val="en-GB"/>
        </w:rPr>
        <w:t>) reaches 30.3%, and that of female mayors, 13.5%.</w:t>
      </w:r>
      <w:r>
        <w:rPr>
          <w:rStyle w:val="Funotenzeichen"/>
          <w:lang w:val="en-US"/>
        </w:rPr>
        <w:footnoteReference w:id="9"/>
      </w:r>
      <w:r>
        <w:rPr>
          <w:lang w:val="en-GB"/>
        </w:rPr>
        <w:t xml:space="preserve"> </w:t>
      </w:r>
    </w:p>
    <w:p w14:paraId="72F75FC4" w14:textId="77777777" w:rsidR="000E35DC" w:rsidRDefault="00BE0C32">
      <w:pPr>
        <w:rPr>
          <w:lang w:val="en-US"/>
        </w:rPr>
      </w:pPr>
      <w:r>
        <w:rPr>
          <w:lang w:val="en-GB"/>
        </w:rPr>
        <w:t xml:space="preserve">The former Government has not taken any legal measures to reduce the under-representation of women in political office during the reporting period. The adopted electoral law reform also does not contain any measures ensuring political participation of women. </w:t>
      </w:r>
    </w:p>
    <w:p w14:paraId="1721DDD6" w14:textId="211DD557" w:rsidR="000E35DC" w:rsidRDefault="00BE0C32">
      <w:pPr>
        <w:rPr>
          <w:lang w:val="en-US"/>
        </w:rPr>
      </w:pPr>
      <w:r>
        <w:rPr>
          <w:lang w:val="en-US"/>
        </w:rPr>
        <w:t>W</w:t>
      </w:r>
      <w:proofErr w:type="spellStart"/>
      <w:r>
        <w:rPr>
          <w:lang w:val="en-GB"/>
        </w:rPr>
        <w:t>hile</w:t>
      </w:r>
      <w:proofErr w:type="spellEnd"/>
      <w:r>
        <w:rPr>
          <w:lang w:val="en-GB"/>
        </w:rPr>
        <w:t xml:space="preserve"> various non-statutory measures, including empowerment workshops</w:t>
      </w:r>
      <w:r w:rsidR="009A2EDF">
        <w:rPr>
          <w:lang w:val="en-GB"/>
        </w:rPr>
        <w:t xml:space="preserve"> and</w:t>
      </w:r>
      <w:r>
        <w:rPr>
          <w:lang w:val="en-GB"/>
        </w:rPr>
        <w:t xml:space="preserve"> mentoring programmes have been introduced, they are overall insufficient. </w:t>
      </w:r>
      <w:r>
        <w:rPr>
          <w:lang w:val="en-US"/>
        </w:rPr>
        <w:t>T</w:t>
      </w:r>
      <w:r>
        <w:rPr>
          <w:lang w:val="en-GB"/>
        </w:rPr>
        <w:t>he awareness-raising and leadership programmes are not sufficiently targeted towards ensuring the general public’s understanding that equal representation of women is a prerequisite for effective implementation of women</w:t>
      </w:r>
      <w:r w:rsidR="00E72AB3">
        <w:rPr>
          <w:lang w:val="en-GB"/>
        </w:rPr>
        <w:t>’</w:t>
      </w:r>
      <w:r>
        <w:rPr>
          <w:lang w:val="en-GB"/>
        </w:rPr>
        <w:t>s human rights.</w:t>
      </w:r>
    </w:p>
    <w:p w14:paraId="0948297F" w14:textId="77777777" w:rsidR="000E35DC" w:rsidRDefault="00BE0C32">
      <w:pPr>
        <w:pStyle w:val="berschrift3"/>
        <w:rPr>
          <w:lang w:val="en-US"/>
        </w:rPr>
      </w:pPr>
      <w:r>
        <w:rPr>
          <w:lang w:val="en-US"/>
        </w:rPr>
        <w:lastRenderedPageBreak/>
        <w:t>We urge the Federal Government to:</w:t>
      </w:r>
    </w:p>
    <w:p w14:paraId="306C9CF1" w14:textId="77777777" w:rsidR="000E35DC" w:rsidRDefault="00BE0C32">
      <w:pPr>
        <w:pStyle w:val="Listenabsatz"/>
        <w:numPr>
          <w:ilvl w:val="0"/>
          <w:numId w:val="2"/>
        </w:numPr>
        <w:jc w:val="both"/>
        <w:rPr>
          <w:lang w:val="en-US"/>
        </w:rPr>
      </w:pPr>
      <w:r>
        <w:rPr>
          <w:lang w:val="en-GB"/>
        </w:rPr>
        <w:t>adopt legal measures that ensure equal participation of women at all levels of political representation, including drafting constitutional parity laws;</w:t>
      </w:r>
    </w:p>
    <w:p w14:paraId="51CD9F0B" w14:textId="77777777" w:rsidR="000E35DC" w:rsidRDefault="00BE0C32">
      <w:pPr>
        <w:pStyle w:val="Listenabsatz"/>
        <w:numPr>
          <w:ilvl w:val="0"/>
          <w:numId w:val="2"/>
        </w:numPr>
        <w:jc w:val="both"/>
        <w:rPr>
          <w:lang w:val="en-US"/>
        </w:rPr>
      </w:pPr>
      <w:r>
        <w:rPr>
          <w:lang w:val="en-GB"/>
        </w:rPr>
        <w:t>introduce special measures to strengthen women’s representation in federal elections and political offices at the federal level;</w:t>
      </w:r>
    </w:p>
    <w:p w14:paraId="585B4C80" w14:textId="77777777" w:rsidR="000E35DC" w:rsidRDefault="00BE0C32">
      <w:pPr>
        <w:pStyle w:val="Listenabsatz"/>
        <w:numPr>
          <w:ilvl w:val="0"/>
          <w:numId w:val="2"/>
        </w:numPr>
        <w:jc w:val="both"/>
        <w:rPr>
          <w:lang w:val="en-US"/>
        </w:rPr>
      </w:pPr>
      <w:r>
        <w:rPr>
          <w:lang w:val="en-GB"/>
        </w:rPr>
        <w:t xml:space="preserve">raise awareness and introduce leadership programmes at all levels of political representation to increase general understanding of the need to address women’s under-representation in political office and political life to promote women’s human rights. </w:t>
      </w:r>
    </w:p>
    <w:p w14:paraId="4192ACBB" w14:textId="77777777" w:rsidR="000E35DC" w:rsidRDefault="000E35DC">
      <w:pPr>
        <w:pStyle w:val="Listenabsatz"/>
        <w:jc w:val="both"/>
        <w:rPr>
          <w:lang w:val="en-US"/>
        </w:rPr>
      </w:pPr>
    </w:p>
    <w:p w14:paraId="32F960CB" w14:textId="77777777" w:rsidR="000E35DC" w:rsidRDefault="00BE0C32">
      <w:pPr>
        <w:pStyle w:val="berschrift3"/>
        <w:rPr>
          <w:lang w:val="en-US"/>
        </w:rPr>
      </w:pPr>
      <w:r>
        <w:rPr>
          <w:lang w:val="en-GB"/>
        </w:rPr>
        <w:t>Employment (para.15(a)-(i))</w:t>
      </w:r>
    </w:p>
    <w:p w14:paraId="240323F0" w14:textId="0B177FDF" w:rsidR="000E35DC" w:rsidRDefault="00BE0C32">
      <w:pPr>
        <w:rPr>
          <w:lang w:val="en-US"/>
        </w:rPr>
      </w:pPr>
      <w:r>
        <w:rPr>
          <w:lang w:val="en-GB"/>
        </w:rPr>
        <w:t xml:space="preserve">The former Government indicates various measures have been taken to reduce the </w:t>
      </w:r>
      <w:r w:rsidRPr="00922811">
        <w:rPr>
          <w:lang w:val="en-GB"/>
        </w:rPr>
        <w:t>gender pay gap</w:t>
      </w:r>
      <w:r>
        <w:rPr>
          <w:lang w:val="en-GB"/>
        </w:rPr>
        <w:t>. Nevertheless, 75% of the employees in the health and care</w:t>
      </w:r>
      <w:r>
        <w:rPr>
          <w:lang w:val="en-US"/>
        </w:rPr>
        <w:t xml:space="preserve"> professions, where </w:t>
      </w:r>
      <w:r>
        <w:rPr>
          <w:lang w:val="en-GB"/>
        </w:rPr>
        <w:t>precarious working conditions prevail, are still women (2022</w:t>
      </w:r>
      <w:r>
        <w:rPr>
          <w:rStyle w:val="Funotenzeichen"/>
          <w:lang w:val="en-US"/>
        </w:rPr>
        <w:footnoteReference w:id="10"/>
      </w:r>
      <w:r>
        <w:rPr>
          <w:lang w:val="en-GB"/>
        </w:rPr>
        <w:t xml:space="preserve">). </w:t>
      </w:r>
      <w:r>
        <w:rPr>
          <w:color w:val="000000"/>
          <w:lang w:val="en-US"/>
        </w:rPr>
        <w:t>T</w:t>
      </w:r>
      <w:r>
        <w:rPr>
          <w:color w:val="000000"/>
          <w:lang w:val="en-GB"/>
        </w:rPr>
        <w:t>he Transparency in Wage Structures Act (</w:t>
      </w:r>
      <w:proofErr w:type="spellStart"/>
      <w:r>
        <w:rPr>
          <w:i/>
          <w:iCs/>
          <w:color w:val="000000"/>
          <w:lang w:val="en-GB"/>
        </w:rPr>
        <w:t>Entgelttransparenzgesetz</w:t>
      </w:r>
      <w:proofErr w:type="spellEnd"/>
      <w:r>
        <w:rPr>
          <w:color w:val="000000"/>
          <w:lang w:val="en-GB"/>
        </w:rPr>
        <w:t>) was criticized</w:t>
      </w:r>
      <w:r>
        <w:rPr>
          <w:rStyle w:val="Funotenzeichen"/>
          <w:lang w:val="en-US"/>
        </w:rPr>
        <w:footnoteReference w:id="11"/>
      </w:r>
      <w:r>
        <w:rPr>
          <w:lang w:val="en-US"/>
        </w:rPr>
        <w:t xml:space="preserve"> </w:t>
      </w:r>
      <w:r>
        <w:rPr>
          <w:color w:val="000000"/>
          <w:lang w:val="en-GB"/>
        </w:rPr>
        <w:t xml:space="preserve">in its 2019 evaluation and, given the low take-up of the right to disclosure, ways to improve awareness and application of the Act were suggested. </w:t>
      </w:r>
      <w:r>
        <w:rPr>
          <w:lang w:val="en-GB"/>
        </w:rPr>
        <w:t>The EU Pay Transparency Directive</w:t>
      </w:r>
      <w:r>
        <w:rPr>
          <w:i/>
          <w:lang w:val="en-GB"/>
        </w:rPr>
        <w:t xml:space="preserve"> </w:t>
      </w:r>
      <w:r>
        <w:rPr>
          <w:lang w:val="en-GB"/>
        </w:rPr>
        <w:t xml:space="preserve">should be taken as an opportunity to swiftly introduce a comprehensive new regulation. Required are a broad understanding of the </w:t>
      </w:r>
      <w:r w:rsidRPr="00D25549">
        <w:rPr>
          <w:lang w:val="en-GB"/>
        </w:rPr>
        <w:t>comparators within the disclosure right</w:t>
      </w:r>
      <w:r w:rsidR="00151E93" w:rsidRPr="00D25549">
        <w:rPr>
          <w:lang w:val="en-GB"/>
        </w:rPr>
        <w:t>,</w:t>
      </w:r>
      <w:r w:rsidR="00D25549">
        <w:rPr>
          <w:lang w:val="en-GB"/>
        </w:rPr>
        <w:t xml:space="preserve"> </w:t>
      </w:r>
      <w:r w:rsidRPr="00D25549">
        <w:rPr>
          <w:lang w:val="en-GB"/>
        </w:rPr>
        <w:t xml:space="preserve">the introduction of </w:t>
      </w:r>
      <w:r w:rsidR="006A76C2" w:rsidRPr="00D25549">
        <w:rPr>
          <w:lang w:val="en-GB"/>
        </w:rPr>
        <w:t xml:space="preserve">a </w:t>
      </w:r>
      <w:r w:rsidRPr="00D25549">
        <w:rPr>
          <w:lang w:val="en-GB"/>
        </w:rPr>
        <w:t>right to bring collective claims and an obligation for companies to review company remuneration systems. Legal developments of the Federal Labour Court and the European Court of Justice should be enshrined in law.</w:t>
      </w:r>
    </w:p>
    <w:p w14:paraId="27868003" w14:textId="77777777" w:rsidR="000E35DC" w:rsidRDefault="00BE0C32">
      <w:pPr>
        <w:rPr>
          <w:lang w:val="en-US"/>
        </w:rPr>
      </w:pPr>
      <w:r>
        <w:rPr>
          <w:lang w:val="en-GB"/>
        </w:rPr>
        <w:t xml:space="preserve">No sufficient measures have been taken to counteract the existing men-women-segregation in the public and private sectors as well as the digital gap. Training opportunities cited by the Government will not bring about any change in this regard: Neither the career guidance nor the Social Partner Directive are aimed at specifically providing incentives for women’s non-traditional career choices. </w:t>
      </w:r>
    </w:p>
    <w:p w14:paraId="6DE9B40D" w14:textId="3E6385F9" w:rsidR="000E35DC" w:rsidRDefault="00BE0C32">
      <w:pPr>
        <w:rPr>
          <w:lang w:val="en-US"/>
        </w:rPr>
      </w:pPr>
      <w:r>
        <w:rPr>
          <w:lang w:val="en-GB"/>
        </w:rPr>
        <w:t xml:space="preserve">Regarding </w:t>
      </w:r>
      <w:r w:rsidRPr="00922811">
        <w:rPr>
          <w:bCs/>
          <w:lang w:val="en-GB"/>
        </w:rPr>
        <w:t>legal remedies for victims of sexual harassment</w:t>
      </w:r>
      <w:r>
        <w:rPr>
          <w:bCs/>
          <w:lang w:val="en-GB"/>
        </w:rPr>
        <w:t xml:space="preserve"> </w:t>
      </w:r>
      <w:r>
        <w:rPr>
          <w:lang w:val="en-GB"/>
        </w:rPr>
        <w:t>at the workplace</w:t>
      </w:r>
      <w:r>
        <w:rPr>
          <w:lang w:val="en-US"/>
        </w:rPr>
        <w:t xml:space="preserve"> (para.15(d))</w:t>
      </w:r>
      <w:r>
        <w:rPr>
          <w:lang w:val="en-GB"/>
        </w:rPr>
        <w:t>, the General Act on Equal Treatment (</w:t>
      </w:r>
      <w:r>
        <w:rPr>
          <w:i/>
          <w:iCs/>
          <w:lang w:val="en-GB"/>
        </w:rPr>
        <w:t>AGG</w:t>
      </w:r>
      <w:r>
        <w:rPr>
          <w:lang w:val="en-GB"/>
        </w:rPr>
        <w:t>) contains a general organisational obligation of companies to prevent harassment,</w:t>
      </w:r>
      <w:r>
        <w:rPr>
          <w:rStyle w:val="Funotenzeichen"/>
          <w:lang w:val="en-US"/>
        </w:rPr>
        <w:footnoteReference w:id="12"/>
      </w:r>
      <w:r>
        <w:rPr>
          <w:lang w:val="en-GB"/>
        </w:rPr>
        <w:t xml:space="preserve"> </w:t>
      </w:r>
      <w:r>
        <w:rPr>
          <w:lang w:val="en-US"/>
        </w:rPr>
        <w:t xml:space="preserve">but </w:t>
      </w:r>
      <w:r>
        <w:rPr>
          <w:lang w:val="en-GB"/>
        </w:rPr>
        <w:t xml:space="preserve">still leaves too much discretion. </w:t>
      </w:r>
      <w:r>
        <w:rPr>
          <w:i/>
          <w:iCs/>
          <w:lang w:val="en-GB"/>
        </w:rPr>
        <w:t>De jure</w:t>
      </w:r>
      <w:r>
        <w:rPr>
          <w:lang w:val="en-GB"/>
        </w:rPr>
        <w:t>, it obliges employers to set up internal complaints centres,</w:t>
      </w:r>
      <w:r>
        <w:rPr>
          <w:rStyle w:val="Funotenzeichen"/>
          <w:lang w:val="en-US"/>
        </w:rPr>
        <w:footnoteReference w:id="13"/>
      </w:r>
      <w:r>
        <w:rPr>
          <w:lang w:val="en-GB"/>
        </w:rPr>
        <w:t xml:space="preserve"> of which</w:t>
      </w:r>
      <w:r>
        <w:rPr>
          <w:lang w:val="en-US"/>
        </w:rPr>
        <w:t xml:space="preserve"> </w:t>
      </w:r>
      <w:r>
        <w:rPr>
          <w:lang w:val="en-GB"/>
        </w:rPr>
        <w:t>more than 40</w:t>
      </w:r>
      <w:r>
        <w:rPr>
          <w:lang w:val="en-US"/>
        </w:rPr>
        <w:t>%</w:t>
      </w:r>
      <w:r>
        <w:rPr>
          <w:lang w:val="en-GB"/>
        </w:rPr>
        <w:t xml:space="preserve"> of employees are unaware.</w:t>
      </w:r>
      <w:r>
        <w:rPr>
          <w:rStyle w:val="Funotenzeichen"/>
          <w:lang w:val="en-US"/>
        </w:rPr>
        <w:footnoteReference w:id="14"/>
      </w:r>
      <w:r>
        <w:rPr>
          <w:lang w:val="en-GB"/>
        </w:rPr>
        <w:t xml:space="preserve"> </w:t>
      </w:r>
      <w:r>
        <w:rPr>
          <w:lang w:val="en-US"/>
        </w:rPr>
        <w:t>C</w:t>
      </w:r>
      <w:proofErr w:type="spellStart"/>
      <w:r>
        <w:rPr>
          <w:lang w:val="en-GB"/>
        </w:rPr>
        <w:t>ompensation</w:t>
      </w:r>
      <w:proofErr w:type="spellEnd"/>
      <w:r>
        <w:rPr>
          <w:lang w:val="en-GB"/>
        </w:rPr>
        <w:t xml:space="preserve"> and damages</w:t>
      </w:r>
      <w:r w:rsidR="00D652FC">
        <w:rPr>
          <w:lang w:val="en-GB"/>
        </w:rPr>
        <w:t xml:space="preserve"> (Sec</w:t>
      </w:r>
      <w:r w:rsidR="00CA3722">
        <w:rPr>
          <w:lang w:val="en-GB"/>
        </w:rPr>
        <w:t>.</w:t>
      </w:r>
      <w:r w:rsidR="00D652FC">
        <w:rPr>
          <w:lang w:val="en-GB"/>
        </w:rPr>
        <w:t>15 AGG)</w:t>
      </w:r>
      <w:r>
        <w:rPr>
          <w:lang w:val="en-GB"/>
        </w:rPr>
        <w:t xml:space="preserve"> are only claimed by less than </w:t>
      </w:r>
      <w:r>
        <w:rPr>
          <w:lang w:val="en-US"/>
        </w:rPr>
        <w:t xml:space="preserve">1% </w:t>
      </w:r>
      <w:r>
        <w:rPr>
          <w:lang w:val="en-GB"/>
        </w:rPr>
        <w:t>of all harassed persons.</w:t>
      </w:r>
      <w:r>
        <w:rPr>
          <w:rStyle w:val="Funotenzeichen"/>
          <w:lang w:val="en-US"/>
        </w:rPr>
        <w:footnoteReference w:id="15"/>
      </w:r>
      <w:r>
        <w:rPr>
          <w:lang w:val="en-GB"/>
        </w:rPr>
        <w:t xml:space="preserve"> Reference to the AGG </w:t>
      </w:r>
      <w:r>
        <w:rPr>
          <w:lang w:val="en-US"/>
        </w:rPr>
        <w:t xml:space="preserve">thus </w:t>
      </w:r>
      <w:r>
        <w:rPr>
          <w:lang w:val="en-GB"/>
        </w:rPr>
        <w:t xml:space="preserve">fails to recognise structural implementation deficits in practice. The forthcoming ratification of ILO Convention No.190 gains particular </w:t>
      </w:r>
      <w:r>
        <w:rPr>
          <w:lang w:val="en-GB"/>
        </w:rPr>
        <w:lastRenderedPageBreak/>
        <w:t xml:space="preserve">significance here, as it provides for collective labour law solutions, especially preventive measures. </w:t>
      </w:r>
    </w:p>
    <w:p w14:paraId="39AD4312" w14:textId="40E51130" w:rsidR="000E35DC" w:rsidRDefault="00BE0C32">
      <w:pPr>
        <w:rPr>
          <w:lang w:val="en-US"/>
        </w:rPr>
      </w:pPr>
      <w:r>
        <w:rPr>
          <w:lang w:val="en-US"/>
        </w:rPr>
        <w:t xml:space="preserve">The program </w:t>
      </w:r>
      <w:r w:rsidR="00B418C6">
        <w:rPr>
          <w:lang w:val="en-US"/>
        </w:rPr>
        <w:t>“</w:t>
      </w:r>
      <w:r>
        <w:rPr>
          <w:lang w:val="en-US"/>
        </w:rPr>
        <w:t xml:space="preserve">Stark </w:t>
      </w:r>
      <w:proofErr w:type="spellStart"/>
      <w:r>
        <w:rPr>
          <w:lang w:val="en-US"/>
        </w:rPr>
        <w:t>im</w:t>
      </w:r>
      <w:proofErr w:type="spellEnd"/>
      <w:r>
        <w:rPr>
          <w:lang w:val="en-US"/>
        </w:rPr>
        <w:t xml:space="preserve"> </w:t>
      </w:r>
      <w:proofErr w:type="spellStart"/>
      <w:r>
        <w:rPr>
          <w:lang w:val="en-US"/>
        </w:rPr>
        <w:t>Beruf</w:t>
      </w:r>
      <w:proofErr w:type="spellEnd"/>
      <w:r w:rsidR="00B418C6">
        <w:rPr>
          <w:lang w:val="en-US"/>
        </w:rPr>
        <w:t>”</w:t>
      </w:r>
      <w:r>
        <w:rPr>
          <w:lang w:val="en-US"/>
        </w:rPr>
        <w:t xml:space="preserve"> (para.</w:t>
      </w:r>
      <w:r>
        <w:rPr>
          <w:lang w:val="en-GB"/>
        </w:rPr>
        <w:t xml:space="preserve">15(e)), which expired </w:t>
      </w:r>
      <w:r>
        <w:rPr>
          <w:lang w:val="en-US"/>
        </w:rPr>
        <w:t xml:space="preserve">in </w:t>
      </w:r>
      <w:r>
        <w:rPr>
          <w:lang w:val="en-GB"/>
        </w:rPr>
        <w:t xml:space="preserve">2022, has achieved considerable successes, but further measures are necessary. Despite </w:t>
      </w:r>
      <w:r w:rsidRPr="00922811">
        <w:rPr>
          <w:lang w:val="en-GB"/>
        </w:rPr>
        <w:t>female refugees’</w:t>
      </w:r>
      <w:r>
        <w:rPr>
          <w:lang w:val="en-GB"/>
        </w:rPr>
        <w:t xml:space="preserve"> strong desire to work (78.8% would like to work), their integration into the labour market is far less successful than that of male refugees (2021: 28% compared to 60% for men).</w:t>
      </w:r>
      <w:r>
        <w:rPr>
          <w:rStyle w:val="Funotenzeichen"/>
          <w:lang w:val="en-US"/>
        </w:rPr>
        <w:footnoteReference w:id="16"/>
      </w:r>
      <w:r>
        <w:rPr>
          <w:lang w:val="en-GB"/>
        </w:rPr>
        <w:t xml:space="preserve"> </w:t>
      </w:r>
      <w:r>
        <w:rPr>
          <w:lang w:val="en-US"/>
        </w:rPr>
        <w:t>M</w:t>
      </w:r>
      <w:proofErr w:type="spellStart"/>
      <w:r>
        <w:rPr>
          <w:lang w:val="en-GB"/>
        </w:rPr>
        <w:t>igrant</w:t>
      </w:r>
      <w:proofErr w:type="spellEnd"/>
      <w:r>
        <w:rPr>
          <w:lang w:val="en-GB"/>
        </w:rPr>
        <w:t xml:space="preserve"> women are exposed to considerable discrimination in </w:t>
      </w:r>
      <w:r>
        <w:rPr>
          <w:lang w:val="en-US"/>
        </w:rPr>
        <w:t xml:space="preserve">the </w:t>
      </w:r>
      <w:r>
        <w:rPr>
          <w:lang w:val="en-GB"/>
        </w:rPr>
        <w:t>job search.</w:t>
      </w:r>
      <w:r>
        <w:rPr>
          <w:rStyle w:val="Funotenzeichen"/>
          <w:lang w:val="en-US"/>
        </w:rPr>
        <w:footnoteReference w:id="17"/>
      </w:r>
      <w:r>
        <w:rPr>
          <w:lang w:val="en-GB"/>
        </w:rPr>
        <w:t xml:space="preserve"> </w:t>
      </w:r>
      <w:r>
        <w:rPr>
          <w:lang w:val="en-US"/>
        </w:rPr>
        <w:t>Generally</w:t>
      </w:r>
      <w:r>
        <w:rPr>
          <w:lang w:val="en-GB"/>
        </w:rPr>
        <w:t xml:space="preserve">, the proportion of employees with very low weekly working hours is significantly higher among women with a migrant background than among women </w:t>
      </w:r>
      <w:r>
        <w:rPr>
          <w:lang w:val="en-US"/>
        </w:rPr>
        <w:t>in general</w:t>
      </w:r>
      <w:r>
        <w:rPr>
          <w:lang w:val="en-GB"/>
        </w:rPr>
        <w:t xml:space="preserve">. </w:t>
      </w:r>
    </w:p>
    <w:p w14:paraId="6D0FE8AB" w14:textId="2ED12A7E" w:rsidR="000E35DC" w:rsidRDefault="00BE0C32">
      <w:pPr>
        <w:rPr>
          <w:lang w:val="en-US"/>
        </w:rPr>
      </w:pPr>
      <w:r>
        <w:rPr>
          <w:lang w:val="en-GB"/>
        </w:rPr>
        <w:t xml:space="preserve">Regarding </w:t>
      </w:r>
      <w:r w:rsidRPr="00922811">
        <w:rPr>
          <w:bCs/>
          <w:lang w:val="en-GB"/>
        </w:rPr>
        <w:t>women with disabilities</w:t>
      </w:r>
      <w:r>
        <w:rPr>
          <w:lang w:val="en-GB"/>
        </w:rPr>
        <w:t xml:space="preserve"> (para.15(f)), intersectional discrimination risks are currently not sufficiently addressed. These women are more affected by </w:t>
      </w:r>
      <w:r>
        <w:rPr>
          <w:rFonts w:cs="Calibri"/>
          <w:lang w:val="en-GB"/>
        </w:rPr>
        <w:t>discrimination in the labour market than women without disabilities.</w:t>
      </w:r>
      <w:r>
        <w:rPr>
          <w:rStyle w:val="Funotenzeichen"/>
          <w:rFonts w:cs="Calibri"/>
          <w:lang w:val="en-US"/>
        </w:rPr>
        <w:footnoteReference w:id="18"/>
      </w:r>
      <w:r>
        <w:rPr>
          <w:rFonts w:cs="Calibri"/>
          <w:lang w:val="en-US"/>
        </w:rPr>
        <w:t xml:space="preserve"> </w:t>
      </w:r>
      <w:r>
        <w:rPr>
          <w:rFonts w:cs="Calibri"/>
          <w:lang w:val="en-GB"/>
        </w:rPr>
        <w:t xml:space="preserve">Regarding </w:t>
      </w:r>
      <w:r w:rsidRPr="00922811">
        <w:rPr>
          <w:rFonts w:cs="Calibri"/>
          <w:bCs/>
          <w:lang w:val="en-GB"/>
        </w:rPr>
        <w:t>childcare</w:t>
      </w:r>
      <w:r>
        <w:rPr>
          <w:rFonts w:cs="Calibri"/>
          <w:lang w:val="en-GB"/>
        </w:rPr>
        <w:t xml:space="preserve"> (para.15(h)), the implementation of legal entitlement must be ensured and flanked by quality-assurance measures.</w:t>
      </w:r>
      <w:r>
        <w:rPr>
          <w:rStyle w:val="Funotenzeichen"/>
          <w:rFonts w:cs="Calibri"/>
          <w:lang w:val="en-US"/>
        </w:rPr>
        <w:footnoteReference w:id="19"/>
      </w:r>
      <w:r w:rsidR="00CA3722">
        <w:rPr>
          <w:rFonts w:cs="Calibri"/>
          <w:lang w:val="en-GB"/>
        </w:rPr>
        <w:t xml:space="preserve"> </w:t>
      </w:r>
      <w:r>
        <w:rPr>
          <w:lang w:val="en-GB"/>
        </w:rPr>
        <w:t xml:space="preserve">We criticize the </w:t>
      </w:r>
      <w:r>
        <w:rPr>
          <w:rFonts w:cs="Calibri"/>
          <w:lang w:val="en-US"/>
        </w:rPr>
        <w:t xml:space="preserve">refusal to ratify </w:t>
      </w:r>
      <w:r w:rsidRPr="00922811">
        <w:rPr>
          <w:rFonts w:cs="Calibri"/>
          <w:lang w:val="en-US"/>
        </w:rPr>
        <w:t>ILO Convention No.156;</w:t>
      </w:r>
      <w:r>
        <w:rPr>
          <w:rFonts w:cs="Calibri"/>
          <w:lang w:val="en-US"/>
        </w:rPr>
        <w:t xml:space="preserve"> it contrasts with the vast majority of EU-States. </w:t>
      </w:r>
      <w:r>
        <w:rPr>
          <w:lang w:val="en-GB"/>
        </w:rPr>
        <w:t>We call for the implementation of the provision that family responsibilities as such may not constitute grounds for dismissal (cf. Art.8) in German labour law.</w:t>
      </w:r>
    </w:p>
    <w:p w14:paraId="165DE448" w14:textId="77777777" w:rsidR="000E35DC" w:rsidRDefault="00BE0C32">
      <w:pPr>
        <w:pStyle w:val="Default"/>
        <w:jc w:val="both"/>
        <w:rPr>
          <w:rFonts w:ascii="Calibri" w:eastAsia="Times New Roman" w:hAnsi="Calibri" w:cs="Times New Roman"/>
          <w:iCs/>
          <w:color w:val="00000A"/>
          <w:szCs w:val="20"/>
          <w:lang w:val="en-US"/>
        </w:rPr>
      </w:pPr>
      <w:r>
        <w:rPr>
          <w:rFonts w:ascii="Calibri" w:hAnsi="Calibri" w:cs="Calibri"/>
          <w:lang w:val="en-GB"/>
        </w:rPr>
        <w:t>The Supply Chain Act (</w:t>
      </w:r>
      <w:proofErr w:type="spellStart"/>
      <w:r>
        <w:rPr>
          <w:rFonts w:ascii="Calibri" w:hAnsi="Calibri" w:cs="Calibri"/>
          <w:i/>
          <w:iCs/>
          <w:lang w:val="en-GB"/>
        </w:rPr>
        <w:t>Lieferkettensorgfaltspflichtengesetz</w:t>
      </w:r>
      <w:proofErr w:type="spellEnd"/>
      <w:r>
        <w:rPr>
          <w:rFonts w:ascii="Calibri" w:hAnsi="Calibri" w:cs="Calibri"/>
          <w:lang w:val="en-GB"/>
        </w:rPr>
        <w:t>) does not refer to women-specific protection instruments, such as CEDAW, when defining protected legal positions</w:t>
      </w:r>
      <w:r>
        <w:rPr>
          <w:rFonts w:ascii="Calibri" w:hAnsi="Calibri" w:cs="Calibri"/>
          <w:lang w:val="en-US"/>
        </w:rPr>
        <w:t xml:space="preserve"> and thus leaves serious gaps in protection of </w:t>
      </w:r>
      <w:r w:rsidRPr="0013567B">
        <w:rPr>
          <w:rFonts w:ascii="Calibri" w:hAnsi="Calibri" w:cs="Calibri"/>
          <w:lang w:val="en-US"/>
        </w:rPr>
        <w:t>women’s rights in global supply chains</w:t>
      </w:r>
      <w:r>
        <w:rPr>
          <w:rFonts w:ascii="Calibri" w:hAnsi="Calibri" w:cs="Calibri"/>
          <w:lang w:val="en-GB"/>
        </w:rPr>
        <w:t>.</w:t>
      </w:r>
      <w:r>
        <w:rPr>
          <w:rStyle w:val="Funotenzeichen"/>
          <w:rFonts w:ascii="Calibri" w:hAnsi="Calibri" w:cs="Calibri"/>
          <w:lang w:val="en-US"/>
        </w:rPr>
        <w:footnoteReference w:id="20"/>
      </w:r>
    </w:p>
    <w:p w14:paraId="2B0B50E2" w14:textId="77777777" w:rsidR="000E35DC" w:rsidRDefault="00BE0C32">
      <w:pPr>
        <w:pStyle w:val="berschrift3"/>
        <w:rPr>
          <w:lang w:val="en-US"/>
        </w:rPr>
      </w:pPr>
      <w:r>
        <w:rPr>
          <w:lang w:val="en-US"/>
        </w:rPr>
        <w:t>We urge the Federal Government to:</w:t>
      </w:r>
    </w:p>
    <w:p w14:paraId="6C2AC6D0" w14:textId="77777777" w:rsidR="000E35DC" w:rsidRDefault="00BE0C32">
      <w:pPr>
        <w:pStyle w:val="Listenabsatz"/>
        <w:numPr>
          <w:ilvl w:val="0"/>
          <w:numId w:val="2"/>
        </w:numPr>
        <w:jc w:val="both"/>
        <w:rPr>
          <w:lang w:val="en-US"/>
        </w:rPr>
      </w:pPr>
      <w:r>
        <w:rPr>
          <w:lang w:val="en-GB"/>
        </w:rPr>
        <w:t>adopt concrete measured to eliminate the pronounced gender segregation of the labour market;</w:t>
      </w:r>
    </w:p>
    <w:p w14:paraId="401A1C2A" w14:textId="77777777" w:rsidR="000E35DC" w:rsidRDefault="00BE0C32">
      <w:pPr>
        <w:pStyle w:val="Listenabsatz"/>
        <w:numPr>
          <w:ilvl w:val="0"/>
          <w:numId w:val="2"/>
        </w:numPr>
        <w:jc w:val="both"/>
        <w:rPr>
          <w:lang w:val="en-US"/>
        </w:rPr>
      </w:pPr>
      <w:r>
        <w:rPr>
          <w:lang w:val="en-GB"/>
        </w:rPr>
        <w:t>pass an Equality Act for the private sector that obliges large, small and medium-sized enterprises to identify discrimination structures, analyse their reasons and determine and exhaust potential for change;</w:t>
      </w:r>
    </w:p>
    <w:p w14:paraId="44B741D0" w14:textId="77777777" w:rsidR="000E35DC" w:rsidRDefault="00BE0C32">
      <w:pPr>
        <w:pStyle w:val="Listenabsatz"/>
        <w:numPr>
          <w:ilvl w:val="0"/>
          <w:numId w:val="2"/>
        </w:numPr>
        <w:jc w:val="both"/>
        <w:rPr>
          <w:lang w:val="en-US"/>
        </w:rPr>
      </w:pPr>
      <w:r>
        <w:rPr>
          <w:lang w:val="en-GB"/>
        </w:rPr>
        <w:t>introduce a legal obligation to carry out corporate audit procedures with regard to corporate pay practices and the pay regulations applicable in a company;</w:t>
      </w:r>
    </w:p>
    <w:p w14:paraId="45649823" w14:textId="77777777" w:rsidR="000E35DC" w:rsidRDefault="00BE0C32">
      <w:pPr>
        <w:pStyle w:val="Listenabsatz"/>
        <w:numPr>
          <w:ilvl w:val="0"/>
          <w:numId w:val="2"/>
        </w:numPr>
        <w:jc w:val="both"/>
        <w:rPr>
          <w:lang w:val="en-US"/>
        </w:rPr>
      </w:pPr>
      <w:r>
        <w:rPr>
          <w:lang w:val="en-GB"/>
        </w:rPr>
        <w:t>adopt concrete measures to end discrimination and stereotyping of women with disabilities and women from a migrant background in the labour market;</w:t>
      </w:r>
    </w:p>
    <w:p w14:paraId="3F2D4CCF" w14:textId="77777777" w:rsidR="000E35DC" w:rsidRDefault="00BE0C32">
      <w:pPr>
        <w:pStyle w:val="Listenabsatz"/>
        <w:numPr>
          <w:ilvl w:val="0"/>
          <w:numId w:val="2"/>
        </w:numPr>
        <w:jc w:val="both"/>
        <w:rPr>
          <w:lang w:val="en-US"/>
        </w:rPr>
      </w:pPr>
      <w:r>
        <w:rPr>
          <w:lang w:val="en-GB"/>
        </w:rPr>
        <w:lastRenderedPageBreak/>
        <w:t>develop strategies for a more successful labour market integration of refugee women, including through the participation of refugee women in language courses, also providing childcare;</w:t>
      </w:r>
    </w:p>
    <w:p w14:paraId="47E86FB9" w14:textId="77777777" w:rsidR="000E35DC" w:rsidRDefault="00BE0C32">
      <w:pPr>
        <w:pStyle w:val="Listenabsatz"/>
        <w:numPr>
          <w:ilvl w:val="0"/>
          <w:numId w:val="2"/>
        </w:numPr>
        <w:jc w:val="both"/>
        <w:rPr>
          <w:lang w:val="en-US"/>
        </w:rPr>
      </w:pPr>
      <w:r>
        <w:rPr>
          <w:lang w:val="en-GB"/>
        </w:rPr>
        <w:t>take measures to combat discrimination against women in employment and in particular intersectional discrimination;</w:t>
      </w:r>
    </w:p>
    <w:p w14:paraId="3B12F3D5" w14:textId="77777777" w:rsidR="000E35DC" w:rsidRDefault="00BE0C32">
      <w:pPr>
        <w:pStyle w:val="Listenabsatz"/>
        <w:numPr>
          <w:ilvl w:val="0"/>
          <w:numId w:val="2"/>
        </w:numPr>
        <w:jc w:val="both"/>
        <w:rPr>
          <w:lang w:val="en-US"/>
        </w:rPr>
      </w:pPr>
      <w:r>
        <w:rPr>
          <w:lang w:val="en-GB"/>
        </w:rPr>
        <w:t>introduce monitoring mechanisms through public control and implementation measures (e.g. collective action), and to introduce positive and negative sanctions in case of compliance or non-compliance with legal obligations;</w:t>
      </w:r>
    </w:p>
    <w:p w14:paraId="6121143C" w14:textId="77777777" w:rsidR="000E35DC" w:rsidRDefault="00BE0C32">
      <w:pPr>
        <w:pStyle w:val="Listenabsatz"/>
        <w:numPr>
          <w:ilvl w:val="0"/>
          <w:numId w:val="2"/>
        </w:numPr>
        <w:jc w:val="both"/>
        <w:rPr>
          <w:lang w:val="en-US"/>
        </w:rPr>
      </w:pPr>
      <w:r>
        <w:rPr>
          <w:lang w:val="en-GB"/>
        </w:rPr>
        <w:t xml:space="preserve">implement swiftly and comprehensively the forthcoming EU Pay Transparency Directive. </w:t>
      </w:r>
    </w:p>
    <w:p w14:paraId="4D12242D" w14:textId="77777777" w:rsidR="000E35DC" w:rsidRDefault="000E35DC">
      <w:pPr>
        <w:pStyle w:val="Listenabsatz"/>
        <w:jc w:val="both"/>
        <w:rPr>
          <w:lang w:val="en-US"/>
        </w:rPr>
      </w:pPr>
    </w:p>
    <w:p w14:paraId="4C02BF25" w14:textId="77777777" w:rsidR="000E35DC" w:rsidRDefault="00BE0C32">
      <w:pPr>
        <w:pStyle w:val="berschrift3"/>
        <w:rPr>
          <w:lang w:val="en-US"/>
        </w:rPr>
      </w:pPr>
      <w:r>
        <w:rPr>
          <w:lang w:val="en-GB"/>
        </w:rPr>
        <w:t>Tax law and policy (para.15(g))</w:t>
      </w:r>
    </w:p>
    <w:p w14:paraId="206BBE64" w14:textId="77777777" w:rsidR="000E35DC" w:rsidRDefault="00BE0C32">
      <w:pPr>
        <w:rPr>
          <w:rFonts w:cstheme="minorHAnsi"/>
          <w:lang w:val="en-US"/>
        </w:rPr>
      </w:pPr>
      <w:r>
        <w:rPr>
          <w:rFonts w:cstheme="minorHAnsi"/>
          <w:lang w:val="en-US"/>
        </w:rPr>
        <w:t>The announced abolition of income tax class V has not yet been implemented. The marital splitting system remains in place – despite national and international recommendations for individual taxation.</w:t>
      </w:r>
      <w:r w:rsidRPr="00D25549">
        <w:rPr>
          <w:rStyle w:val="Funotenzeichen"/>
          <w:lang w:val="en-US"/>
        </w:rPr>
        <w:footnoteReference w:id="21"/>
      </w:r>
    </w:p>
    <w:p w14:paraId="6073D4E6" w14:textId="2957E543" w:rsidR="000E35DC" w:rsidRDefault="00BE0C32">
      <w:pPr>
        <w:rPr>
          <w:rFonts w:cstheme="minorHAnsi"/>
          <w:lang w:val="en-US"/>
        </w:rPr>
      </w:pPr>
      <w:r>
        <w:rPr>
          <w:rFonts w:cstheme="minorHAnsi"/>
          <w:lang w:val="en-US"/>
        </w:rPr>
        <w:t>Consideration for an equality-oriented calculation of wage replacement benefits, such as short-time workers</w:t>
      </w:r>
      <w:r w:rsidR="006418A6">
        <w:rPr>
          <w:rFonts w:cstheme="minorHAnsi"/>
          <w:lang w:val="en-US"/>
        </w:rPr>
        <w:t>’</w:t>
      </w:r>
      <w:r>
        <w:rPr>
          <w:rFonts w:cstheme="minorHAnsi"/>
          <w:lang w:val="en-US"/>
        </w:rPr>
        <w:t xml:space="preserve"> or unemployment benefits, is lacking. The alignment with the wage tax classes leads to unjustified distortions in this area, which will not be eliminated by the abolition of tax classes III and V either.</w:t>
      </w:r>
      <w:r>
        <w:rPr>
          <w:rStyle w:val="Funotenzeichen"/>
          <w:rFonts w:cstheme="minorHAnsi"/>
          <w:lang w:val="en-US"/>
        </w:rPr>
        <w:footnoteReference w:id="22"/>
      </w:r>
    </w:p>
    <w:p w14:paraId="56BB5BD6" w14:textId="2C030BBD" w:rsidR="000E35DC" w:rsidRDefault="00BE0C32">
      <w:pPr>
        <w:rPr>
          <w:rFonts w:cstheme="minorHAnsi"/>
          <w:lang w:val="en-US"/>
        </w:rPr>
      </w:pPr>
      <w:r>
        <w:rPr>
          <w:rFonts w:cstheme="minorHAnsi"/>
          <w:lang w:val="en-US"/>
        </w:rPr>
        <w:t>The limit for marginal employment, which has risen due to the increase in minimum wage, has rather aggravated the existing problems. Marital splitting and mini-jobs are among the central causes of unjust distribution of care work and paid work, and the resulting disadvantages for women</w:t>
      </w:r>
      <w:r w:rsidR="00B35703">
        <w:rPr>
          <w:rFonts w:cstheme="minorHAnsi"/>
          <w:lang w:val="en-US"/>
        </w:rPr>
        <w:t>’</w:t>
      </w:r>
      <w:r>
        <w:rPr>
          <w:rFonts w:cstheme="minorHAnsi"/>
          <w:lang w:val="en-US"/>
        </w:rPr>
        <w:t xml:space="preserve">s financial security, especially after parental leave. As long as the Government upholds marginal employment, it must at least ensure that social security benefits also apply to precarious and atypical forms of employment. </w:t>
      </w:r>
    </w:p>
    <w:p w14:paraId="6CBF0A3D" w14:textId="5EC92074" w:rsidR="000E35DC" w:rsidRDefault="00BE0C32">
      <w:pPr>
        <w:rPr>
          <w:rFonts w:cstheme="minorHAnsi"/>
          <w:lang w:val="en-US"/>
        </w:rPr>
      </w:pPr>
      <w:r>
        <w:rPr>
          <w:rFonts w:cstheme="minorHAnsi"/>
          <w:lang w:val="en-US"/>
        </w:rPr>
        <w:t>The increasing taxation of consumption, the decreasing taxation of capital income and high incomes lead to a shift of tax burden from men to women.</w:t>
      </w:r>
      <w:r>
        <w:rPr>
          <w:rStyle w:val="Funotenzeichen"/>
          <w:rFonts w:cstheme="minorHAnsi"/>
          <w:lang w:val="en-US"/>
        </w:rPr>
        <w:footnoteReference w:id="23"/>
      </w:r>
      <w:r>
        <w:rPr>
          <w:rFonts w:cstheme="minorHAnsi"/>
          <w:lang w:val="en-US"/>
        </w:rPr>
        <w:t xml:space="preserve"> Introduction of a wealth tax, raising tax rates for high income groups and appropriate taxation of capital income could contribute to cushion the costs of the current crises. Simultaneously, the progression of the tax system would be strengthened and social and gender inequality counteracted. The tax volume of the tax-free allowance for care, education and training, which mainly benefits single-income families with high incomes, should flow into the financing of the basic child allowance (</w:t>
      </w:r>
      <w:proofErr w:type="spellStart"/>
      <w:r>
        <w:rPr>
          <w:rFonts w:cstheme="minorHAnsi"/>
          <w:i/>
          <w:iCs/>
          <w:lang w:val="en-US"/>
        </w:rPr>
        <w:t>Kindergrundsicherung</w:t>
      </w:r>
      <w:proofErr w:type="spellEnd"/>
      <w:r>
        <w:rPr>
          <w:rFonts w:cstheme="minorHAnsi"/>
          <w:lang w:val="en-US"/>
        </w:rPr>
        <w:t>) to promote fair needs-based support for families.</w:t>
      </w:r>
    </w:p>
    <w:p w14:paraId="77F8BCC5" w14:textId="77777777" w:rsidR="000E35DC" w:rsidRDefault="00BE0C32">
      <w:pPr>
        <w:pStyle w:val="berschrift3"/>
        <w:rPr>
          <w:lang w:val="en-US"/>
        </w:rPr>
      </w:pPr>
      <w:r>
        <w:rPr>
          <w:lang w:val="en-US"/>
        </w:rPr>
        <w:lastRenderedPageBreak/>
        <w:t>We urge the Federal Government to:</w:t>
      </w:r>
    </w:p>
    <w:p w14:paraId="1C6EC017" w14:textId="77777777" w:rsidR="000E35DC" w:rsidRDefault="00BE0C32">
      <w:pPr>
        <w:pStyle w:val="Listenabsatz"/>
        <w:numPr>
          <w:ilvl w:val="0"/>
          <w:numId w:val="2"/>
        </w:numPr>
        <w:jc w:val="both"/>
        <w:rPr>
          <w:lang w:val="en-US"/>
        </w:rPr>
      </w:pPr>
      <w:r>
        <w:rPr>
          <w:lang w:val="en-GB"/>
        </w:rPr>
        <w:t>abolish barriers to employment caused by the tax and social security system;</w:t>
      </w:r>
    </w:p>
    <w:p w14:paraId="5FCBE2D5" w14:textId="77777777" w:rsidR="000E35DC" w:rsidRDefault="00BE0C32">
      <w:pPr>
        <w:pStyle w:val="Listenabsatz"/>
        <w:numPr>
          <w:ilvl w:val="0"/>
          <w:numId w:val="2"/>
        </w:numPr>
        <w:jc w:val="both"/>
        <w:rPr>
          <w:lang w:val="en-US"/>
        </w:rPr>
      </w:pPr>
      <w:r>
        <w:rPr>
          <w:lang w:val="en-GB"/>
        </w:rPr>
        <w:t>ensure gender-related effects of the tax and social security system are examined and disadvantages eliminated.</w:t>
      </w:r>
    </w:p>
    <w:p w14:paraId="2BC9F33A" w14:textId="77777777" w:rsidR="000E35DC" w:rsidRDefault="000E35DC">
      <w:pPr>
        <w:pStyle w:val="Listenabsatz"/>
        <w:jc w:val="both"/>
        <w:rPr>
          <w:lang w:val="en-US"/>
        </w:rPr>
      </w:pPr>
    </w:p>
    <w:p w14:paraId="7D84B67B" w14:textId="77777777" w:rsidR="000E35DC" w:rsidRDefault="00BE0C32">
      <w:pPr>
        <w:pStyle w:val="berschrift3"/>
        <w:rPr>
          <w:lang w:val="en-US"/>
        </w:rPr>
      </w:pPr>
      <w:r>
        <w:rPr>
          <w:lang w:val="en-GB"/>
        </w:rPr>
        <w:t>Abortion (para.16(b))</w:t>
      </w:r>
    </w:p>
    <w:p w14:paraId="675998A6" w14:textId="77777777" w:rsidR="000E35DC" w:rsidRDefault="00BE0C32">
      <w:pPr>
        <w:rPr>
          <w:bCs/>
          <w:lang w:val="en-US"/>
        </w:rPr>
      </w:pPr>
      <w:bookmarkStart w:id="0" w:name="_Hlk131615726"/>
      <w:r>
        <w:rPr>
          <w:bCs/>
          <w:lang w:val="en-US"/>
        </w:rPr>
        <w:t>We welcome the current Government setting up a commission to consider a new regulation of abortion outside the German Criminal Code (</w:t>
      </w:r>
      <w:proofErr w:type="spellStart"/>
      <w:r>
        <w:rPr>
          <w:bCs/>
          <w:i/>
          <w:iCs/>
          <w:lang w:val="en-US"/>
        </w:rPr>
        <w:t>StGB</w:t>
      </w:r>
      <w:proofErr w:type="spellEnd"/>
      <w:r>
        <w:rPr>
          <w:bCs/>
          <w:lang w:val="en-US"/>
        </w:rPr>
        <w:t xml:space="preserve">). </w:t>
      </w:r>
      <w:bookmarkStart w:id="1" w:name="_Hlk131609806"/>
      <w:r>
        <w:rPr>
          <w:bCs/>
          <w:lang w:val="en-US"/>
        </w:rPr>
        <w:t xml:space="preserve">It is crucial to promptly implement a new regulation which respects the reproductive right to self-determination and physical integrity of pregnant </w:t>
      </w:r>
      <w:bookmarkEnd w:id="0"/>
      <w:r>
        <w:rPr>
          <w:bCs/>
          <w:lang w:val="en-US"/>
        </w:rPr>
        <w:t>persons.</w:t>
      </w:r>
      <w:r>
        <w:rPr>
          <w:rStyle w:val="Funotenzeichen"/>
          <w:bCs/>
          <w:lang w:val="en-US"/>
        </w:rPr>
        <w:footnoteReference w:id="24"/>
      </w:r>
      <w:bookmarkEnd w:id="1"/>
    </w:p>
    <w:p w14:paraId="7341FDD4" w14:textId="0BE627AE" w:rsidR="000E35DC" w:rsidRDefault="00BE0C32">
      <w:pPr>
        <w:rPr>
          <w:bCs/>
          <w:lang w:val="en-US"/>
        </w:rPr>
      </w:pPr>
      <w:r>
        <w:rPr>
          <w:bCs/>
          <w:lang w:val="en-US"/>
        </w:rPr>
        <w:t xml:space="preserve">Concerning accessibility and availability of abortion services, the former Government attributes responsibility to </w:t>
      </w:r>
      <w:r>
        <w:rPr>
          <w:bCs/>
          <w:i/>
          <w:iCs/>
          <w:lang w:val="en-US"/>
        </w:rPr>
        <w:t xml:space="preserve">Länder </w:t>
      </w:r>
      <w:r>
        <w:rPr>
          <w:bCs/>
          <w:lang w:val="en-US"/>
        </w:rPr>
        <w:t xml:space="preserve">to ensure sufficient inpatient and outpatient facilities for the performance of abortions in accordance with Sec.13(2) of the Act on Pregnancies in Conflict Situations. However, the </w:t>
      </w:r>
      <w:r>
        <w:rPr>
          <w:bCs/>
          <w:i/>
          <w:iCs/>
          <w:lang w:val="en-US"/>
        </w:rPr>
        <w:t>Länder</w:t>
      </w:r>
      <w:r>
        <w:rPr>
          <w:bCs/>
          <w:lang w:val="en-US"/>
        </w:rPr>
        <w:t xml:space="preserve"> fail to fulfil this obligation. We draw attention to the steadily decreasing number of doctors and clinics performing abortions.</w:t>
      </w:r>
      <w:r>
        <w:rPr>
          <w:rStyle w:val="Funotenzeichen"/>
          <w:lang w:val="en-US"/>
        </w:rPr>
        <w:footnoteReference w:id="25"/>
      </w:r>
      <w:r>
        <w:rPr>
          <w:bCs/>
          <w:lang w:val="en-US"/>
        </w:rPr>
        <w:t xml:space="preserve"> It is for the federal legislature to take appropriate measures to implement the </w:t>
      </w:r>
      <w:r>
        <w:rPr>
          <w:bCs/>
          <w:i/>
          <w:iCs/>
          <w:lang w:val="en-US"/>
        </w:rPr>
        <w:t>Länder</w:t>
      </w:r>
      <w:r w:rsidR="00867316">
        <w:rPr>
          <w:bCs/>
          <w:i/>
          <w:iCs/>
          <w:lang w:val="en-US"/>
        </w:rPr>
        <w:t>’</w:t>
      </w:r>
      <w:r>
        <w:rPr>
          <w:bCs/>
          <w:i/>
          <w:iCs/>
          <w:lang w:val="en-US"/>
        </w:rPr>
        <w:t>s</w:t>
      </w:r>
      <w:r>
        <w:rPr>
          <w:bCs/>
          <w:lang w:val="en-US"/>
        </w:rPr>
        <w:t xml:space="preserve"> mandate to ensure that every pregnant person has effective access to abortion </w:t>
      </w:r>
      <w:r w:rsidRPr="00C85FF6">
        <w:rPr>
          <w:bCs/>
          <w:lang w:val="en-US"/>
        </w:rPr>
        <w:t>as a regular part of health care</w:t>
      </w:r>
      <w:r>
        <w:rPr>
          <w:bCs/>
          <w:lang w:val="en-US"/>
        </w:rPr>
        <w:t>.</w:t>
      </w:r>
      <w:r>
        <w:rPr>
          <w:rStyle w:val="Funotenzeichen"/>
          <w:lang w:val="en-US"/>
        </w:rPr>
        <w:footnoteReference w:id="26"/>
      </w:r>
      <w:r>
        <w:rPr>
          <w:bCs/>
          <w:lang w:val="en-US"/>
        </w:rPr>
        <w:t xml:space="preserve"> Performance of abortion should become a mandatory part of medical training at university as well as of gynecological specialist training.</w:t>
      </w:r>
    </w:p>
    <w:p w14:paraId="45B3B2F0" w14:textId="77777777" w:rsidR="000E35DC" w:rsidRDefault="00BE0C32">
      <w:pPr>
        <w:pStyle w:val="berschrift3"/>
        <w:rPr>
          <w:lang w:val="en-US"/>
        </w:rPr>
      </w:pPr>
      <w:r>
        <w:rPr>
          <w:lang w:val="en-US"/>
        </w:rPr>
        <w:t>We urge the Federal Government to:</w:t>
      </w:r>
    </w:p>
    <w:p w14:paraId="19E48405" w14:textId="77777777" w:rsidR="000E35DC" w:rsidRDefault="00BE0C32">
      <w:pPr>
        <w:pStyle w:val="Listenabsatz"/>
        <w:numPr>
          <w:ilvl w:val="0"/>
          <w:numId w:val="2"/>
        </w:numPr>
        <w:jc w:val="both"/>
        <w:rPr>
          <w:lang w:val="en-US"/>
        </w:rPr>
      </w:pPr>
      <w:r>
        <w:rPr>
          <w:lang w:val="en-GB"/>
        </w:rPr>
        <w:t xml:space="preserve">abolish </w:t>
      </w:r>
      <w:r>
        <w:rPr>
          <w:lang w:val="en-US"/>
        </w:rPr>
        <w:t>Sec.</w:t>
      </w:r>
      <w:r>
        <w:rPr>
          <w:lang w:val="en-GB"/>
        </w:rPr>
        <w:t xml:space="preserve">218-219b </w:t>
      </w:r>
      <w:proofErr w:type="spellStart"/>
      <w:r>
        <w:rPr>
          <w:i/>
          <w:iCs/>
          <w:lang w:val="en-GB"/>
        </w:rPr>
        <w:t>StGB</w:t>
      </w:r>
      <w:proofErr w:type="spellEnd"/>
      <w:r>
        <w:rPr>
          <w:lang w:val="en-GB"/>
        </w:rPr>
        <w:t>;</w:t>
      </w:r>
    </w:p>
    <w:p w14:paraId="6EA97DB1" w14:textId="77777777" w:rsidR="000E35DC" w:rsidRDefault="00BE0C32">
      <w:pPr>
        <w:pStyle w:val="Listenabsatz"/>
        <w:numPr>
          <w:ilvl w:val="0"/>
          <w:numId w:val="2"/>
        </w:numPr>
        <w:jc w:val="both"/>
        <w:rPr>
          <w:lang w:val="en-US"/>
        </w:rPr>
      </w:pPr>
      <w:r>
        <w:rPr>
          <w:lang w:val="en-GB"/>
        </w:rPr>
        <w:t xml:space="preserve">implement a new regulation of abortion outside the </w:t>
      </w:r>
      <w:proofErr w:type="spellStart"/>
      <w:r>
        <w:rPr>
          <w:i/>
          <w:iCs/>
          <w:lang w:val="en-GB"/>
        </w:rPr>
        <w:t>StGB</w:t>
      </w:r>
      <w:proofErr w:type="spellEnd"/>
      <w:r>
        <w:rPr>
          <w:lang w:val="en-GB"/>
        </w:rPr>
        <w:t>, abolishing mandatory counselling;</w:t>
      </w:r>
    </w:p>
    <w:p w14:paraId="7747F33F" w14:textId="77777777" w:rsidR="000E35DC" w:rsidRDefault="00BE0C32">
      <w:pPr>
        <w:pStyle w:val="Listenabsatz"/>
        <w:numPr>
          <w:ilvl w:val="0"/>
          <w:numId w:val="2"/>
        </w:numPr>
        <w:jc w:val="both"/>
        <w:rPr>
          <w:lang w:val="en-US"/>
        </w:rPr>
      </w:pPr>
      <w:r>
        <w:rPr>
          <w:lang w:val="en-GB"/>
        </w:rPr>
        <w:t>improve availability and accessibility of abortion care;</w:t>
      </w:r>
    </w:p>
    <w:p w14:paraId="1E4BB325" w14:textId="77777777" w:rsidR="000E35DC" w:rsidRDefault="00BE0C32">
      <w:pPr>
        <w:pStyle w:val="Listenabsatz"/>
        <w:numPr>
          <w:ilvl w:val="0"/>
          <w:numId w:val="2"/>
        </w:numPr>
        <w:jc w:val="both"/>
        <w:rPr>
          <w:lang w:val="en-US"/>
        </w:rPr>
      </w:pPr>
      <w:r>
        <w:rPr>
          <w:lang w:val="en-GB"/>
        </w:rPr>
        <w:t>ensure reimbursement of costs incurred for abortion procedure by statutory health insurance;</w:t>
      </w:r>
    </w:p>
    <w:p w14:paraId="592464A3" w14:textId="77777777" w:rsidR="000E35DC" w:rsidRDefault="00BE0C32">
      <w:pPr>
        <w:pStyle w:val="Listenabsatz"/>
        <w:numPr>
          <w:ilvl w:val="0"/>
          <w:numId w:val="2"/>
        </w:numPr>
        <w:jc w:val="both"/>
        <w:rPr>
          <w:lang w:val="en-US"/>
        </w:rPr>
      </w:pPr>
      <w:r>
        <w:rPr>
          <w:lang w:val="en-GB"/>
        </w:rPr>
        <w:t xml:space="preserve">ensure abortion as a mandatory part of medical education and training. </w:t>
      </w:r>
    </w:p>
    <w:p w14:paraId="7908888E" w14:textId="77777777" w:rsidR="000E35DC" w:rsidRDefault="000E35DC">
      <w:pPr>
        <w:rPr>
          <w:lang w:val="en-US"/>
        </w:rPr>
      </w:pPr>
    </w:p>
    <w:tbl>
      <w:tblPr>
        <w:tblW w:w="9070" w:type="dxa"/>
        <w:tblInd w:w="100" w:type="dxa"/>
        <w:tblLayout w:type="fixed"/>
        <w:tblCellMar>
          <w:top w:w="100" w:type="dxa"/>
          <w:left w:w="100" w:type="dxa"/>
          <w:bottom w:w="100" w:type="dxa"/>
          <w:right w:w="100" w:type="dxa"/>
        </w:tblCellMar>
        <w:tblLook w:val="04A0" w:firstRow="1" w:lastRow="0" w:firstColumn="1" w:lastColumn="0" w:noHBand="0" w:noVBand="1"/>
      </w:tblPr>
      <w:tblGrid>
        <w:gridCol w:w="3542"/>
        <w:gridCol w:w="5528"/>
      </w:tblGrid>
      <w:tr w:rsidR="000E35DC" w:rsidRPr="00D25549" w14:paraId="2BD02AF2" w14:textId="77777777" w:rsidTr="00D25549">
        <w:trPr>
          <w:trHeight w:val="1134"/>
        </w:trPr>
        <w:tc>
          <w:tcPr>
            <w:tcW w:w="3542" w:type="dxa"/>
          </w:tcPr>
          <w:p w14:paraId="576BA453" w14:textId="77777777" w:rsidR="000E35DC" w:rsidRDefault="00BE0C32">
            <w:pPr>
              <w:widowControl w:val="0"/>
              <w:jc w:val="left"/>
              <w:rPr>
                <w:lang w:val="en-US"/>
              </w:rPr>
            </w:pPr>
            <w:r>
              <w:rPr>
                <w:lang w:val="en-GB"/>
              </w:rPr>
              <w:t xml:space="preserve">Prof. </w:t>
            </w:r>
            <w:proofErr w:type="spellStart"/>
            <w:r>
              <w:rPr>
                <w:lang w:val="en-GB"/>
              </w:rPr>
              <w:t>Dr.</w:t>
            </w:r>
            <w:proofErr w:type="spellEnd"/>
            <w:r>
              <w:rPr>
                <w:lang w:val="en-GB"/>
              </w:rPr>
              <w:t xml:space="preserve"> Maria Wersig</w:t>
            </w:r>
            <w:r>
              <w:rPr>
                <w:lang w:val="en-GB"/>
              </w:rPr>
              <w:br/>
              <w:t>President of the djb</w:t>
            </w:r>
          </w:p>
        </w:tc>
        <w:tc>
          <w:tcPr>
            <w:tcW w:w="5528" w:type="dxa"/>
          </w:tcPr>
          <w:p w14:paraId="578BDDFE" w14:textId="77777777" w:rsidR="000E35DC" w:rsidRDefault="00BE0C32">
            <w:pPr>
              <w:widowControl w:val="0"/>
              <w:jc w:val="left"/>
              <w:rPr>
                <w:lang w:val="en-US"/>
              </w:rPr>
            </w:pPr>
            <w:r>
              <w:rPr>
                <w:lang w:val="en-GB"/>
              </w:rPr>
              <w:t xml:space="preserve">Prof. </w:t>
            </w:r>
            <w:proofErr w:type="spellStart"/>
            <w:r>
              <w:rPr>
                <w:lang w:val="en-GB"/>
              </w:rPr>
              <w:t>Dr.</w:t>
            </w:r>
            <w:proofErr w:type="spellEnd"/>
            <w:r>
              <w:rPr>
                <w:lang w:val="en-GB"/>
              </w:rPr>
              <w:t xml:space="preserve"> Anna Katharina Mangold</w:t>
            </w:r>
            <w:r>
              <w:rPr>
                <w:lang w:val="en-GB"/>
              </w:rPr>
              <w:br/>
              <w:t>Chairwoman of the Commission European and International Law</w:t>
            </w:r>
          </w:p>
        </w:tc>
      </w:tr>
    </w:tbl>
    <w:p w14:paraId="01830128" w14:textId="77777777" w:rsidR="000E35DC" w:rsidRDefault="000E35DC">
      <w:pPr>
        <w:tabs>
          <w:tab w:val="left" w:pos="3402"/>
        </w:tabs>
        <w:jc w:val="left"/>
        <w:rPr>
          <w:lang w:val="en-GB"/>
        </w:rPr>
      </w:pPr>
    </w:p>
    <w:sectPr w:rsidR="000E35DC">
      <w:footerReference w:type="default" r:id="rId9"/>
      <w:headerReference w:type="first" r:id="rId10"/>
      <w:footerReference w:type="first" r:id="rId11"/>
      <w:pgSz w:w="11906" w:h="16838"/>
      <w:pgMar w:top="1701" w:right="1418" w:bottom="1134" w:left="1418" w:header="1134" w:footer="284"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10189" w14:textId="77777777" w:rsidR="00FF7CF7" w:rsidRDefault="00FF7CF7">
      <w:pPr>
        <w:spacing w:after="0"/>
      </w:pPr>
      <w:r>
        <w:separator/>
      </w:r>
    </w:p>
  </w:endnote>
  <w:endnote w:type="continuationSeparator" w:id="0">
    <w:p w14:paraId="4838C891" w14:textId="77777777" w:rsidR="00FF7CF7" w:rsidRDefault="00FF7C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Soleil Lt">
    <w:altName w:val="Cambria"/>
    <w:panose1 w:val="020B0604020202020204"/>
    <w:charset w:val="01"/>
    <w:family w:val="roman"/>
    <w:pitch w:val="variable"/>
  </w:font>
  <w:font w:name="Segoe UI">
    <w:panose1 w:val="020B0604020202020204"/>
    <w:charset w:val="00"/>
    <w:family w:val="swiss"/>
    <w:pitch w:val="variable"/>
    <w:sig w:usb0="E4002EFF" w:usb1="C000E47F" w:usb2="00000009" w:usb3="00000000" w:csb0="000001FF" w:csb1="00000000"/>
  </w:font>
  <w:font w:name="Liberation Sans">
    <w:altName w:val="Arial"/>
    <w:panose1 w:val="020B0604020202020204"/>
    <w:charset w:val="01"/>
    <w:family w:val="roman"/>
    <w:pitch w:val="variable"/>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Noto Sans Devanagari">
    <w:panose1 w:val="020B0502040504020204"/>
    <w:charset w:val="00"/>
    <w:family w:val="swiss"/>
    <w:pitch w:val="variable"/>
    <w:sig w:usb0="80008023" w:usb1="00002046"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1985" w14:textId="583103C2" w:rsidR="000E35DC" w:rsidRDefault="00BE0C32">
    <w:pPr>
      <w:pStyle w:val="Kopfzeile1"/>
      <w:jc w:val="center"/>
    </w:pPr>
    <w:r>
      <w:rPr>
        <w:rStyle w:val="Seitenzahl"/>
        <w:color w:val="006699"/>
        <w:sz w:val="20"/>
      </w:rPr>
      <w:t xml:space="preserve">Deutscher Juristinnenbund e.V. (djb) ● st23-11 ● </w:t>
    </w:r>
    <w:r w:rsidR="00D25549">
      <w:rPr>
        <w:rStyle w:val="Seitenzahl"/>
        <w:color w:val="006699"/>
        <w:sz w:val="20"/>
      </w:rPr>
      <w:t>24</w:t>
    </w:r>
    <w:r>
      <w:rPr>
        <w:rStyle w:val="Seitenzahl"/>
        <w:color w:val="006699"/>
        <w:sz w:val="20"/>
      </w:rPr>
      <w:t xml:space="preserve">.04.2023 ● </w:t>
    </w:r>
    <w:proofErr w:type="spellStart"/>
    <w:r>
      <w:rPr>
        <w:rStyle w:val="Seitenzahl"/>
        <w:color w:val="006699"/>
        <w:sz w:val="20"/>
      </w:rPr>
      <w:t>page</w:t>
    </w:r>
    <w:proofErr w:type="spellEnd"/>
    <w:r>
      <w:rPr>
        <w:rStyle w:val="Seitenzahl"/>
        <w:color w:val="006699"/>
        <w:sz w:val="20"/>
      </w:rPr>
      <w:t xml:space="preserve"> </w:t>
    </w:r>
    <w:r>
      <w:rPr>
        <w:color w:val="006699"/>
        <w:sz w:val="20"/>
      </w:rPr>
      <w:fldChar w:fldCharType="begin"/>
    </w:r>
    <w:r>
      <w:rPr>
        <w:color w:val="006699"/>
        <w:sz w:val="20"/>
      </w:rPr>
      <w:instrText xml:space="preserve"> PAGE </w:instrText>
    </w:r>
    <w:r>
      <w:rPr>
        <w:color w:val="006699"/>
        <w:sz w:val="20"/>
      </w:rPr>
      <w:fldChar w:fldCharType="separate"/>
    </w:r>
    <w:r>
      <w:rPr>
        <w:color w:val="006699"/>
        <w:sz w:val="20"/>
      </w:rPr>
      <w:t>10</w:t>
    </w:r>
    <w:r>
      <w:rPr>
        <w:color w:val="006699"/>
        <w:sz w:val="20"/>
      </w:rPr>
      <w:fldChar w:fldCharType="end"/>
    </w:r>
    <w:r>
      <w:rPr>
        <w:rStyle w:val="Seitenzahl"/>
        <w:color w:val="006699"/>
        <w:sz w:val="20"/>
      </w:rPr>
      <w:t>/</w:t>
    </w:r>
    <w:r>
      <w:rPr>
        <w:color w:val="006699"/>
        <w:sz w:val="20"/>
      </w:rPr>
      <w:fldChar w:fldCharType="begin"/>
    </w:r>
    <w:r>
      <w:rPr>
        <w:color w:val="006699"/>
        <w:sz w:val="20"/>
      </w:rPr>
      <w:instrText xml:space="preserve"> NUMPAGES </w:instrText>
    </w:r>
    <w:r>
      <w:rPr>
        <w:color w:val="006699"/>
        <w:sz w:val="20"/>
      </w:rPr>
      <w:fldChar w:fldCharType="separate"/>
    </w:r>
    <w:r>
      <w:rPr>
        <w:color w:val="006699"/>
        <w:sz w:val="20"/>
      </w:rPr>
      <w:t>10</w:t>
    </w:r>
    <w:r>
      <w:rPr>
        <w:color w:val="006699"/>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E04BC" w14:textId="5FAEDE7B" w:rsidR="000E35DC" w:rsidRDefault="00BE0C32">
    <w:pPr>
      <w:pStyle w:val="Kopfzeile1"/>
      <w:jc w:val="center"/>
    </w:pPr>
    <w:r>
      <w:rPr>
        <w:rStyle w:val="Seitenzahl"/>
        <w:color w:val="006699"/>
        <w:sz w:val="20"/>
      </w:rPr>
      <w:t xml:space="preserve">Deutscher Juristinnenbund e.V. (djb) ● st23-11 ● </w:t>
    </w:r>
    <w:r w:rsidR="00D25549">
      <w:rPr>
        <w:rStyle w:val="Seitenzahl"/>
        <w:color w:val="006699"/>
        <w:sz w:val="20"/>
      </w:rPr>
      <w:t>24</w:t>
    </w:r>
    <w:r>
      <w:rPr>
        <w:rStyle w:val="Seitenzahl"/>
        <w:color w:val="006699"/>
        <w:sz w:val="20"/>
      </w:rPr>
      <w:t xml:space="preserve">.04.2023 ● </w:t>
    </w:r>
    <w:proofErr w:type="spellStart"/>
    <w:r>
      <w:rPr>
        <w:rStyle w:val="Seitenzahl"/>
        <w:color w:val="006699"/>
        <w:sz w:val="20"/>
      </w:rPr>
      <w:t>page</w:t>
    </w:r>
    <w:proofErr w:type="spellEnd"/>
    <w:r>
      <w:rPr>
        <w:rStyle w:val="Seitenzahl"/>
        <w:color w:val="006699"/>
        <w:sz w:val="20"/>
      </w:rPr>
      <w:t xml:space="preserve"> </w:t>
    </w:r>
    <w:r>
      <w:rPr>
        <w:color w:val="006699"/>
        <w:sz w:val="20"/>
      </w:rPr>
      <w:fldChar w:fldCharType="begin"/>
    </w:r>
    <w:r>
      <w:rPr>
        <w:color w:val="006699"/>
        <w:sz w:val="20"/>
      </w:rPr>
      <w:instrText xml:space="preserve"> PAGE </w:instrText>
    </w:r>
    <w:r>
      <w:rPr>
        <w:color w:val="006699"/>
        <w:sz w:val="20"/>
      </w:rPr>
      <w:fldChar w:fldCharType="separate"/>
    </w:r>
    <w:r>
      <w:rPr>
        <w:color w:val="006699"/>
        <w:sz w:val="20"/>
      </w:rPr>
      <w:t>1</w:t>
    </w:r>
    <w:r>
      <w:rPr>
        <w:color w:val="006699"/>
        <w:sz w:val="20"/>
      </w:rPr>
      <w:fldChar w:fldCharType="end"/>
    </w:r>
    <w:r>
      <w:rPr>
        <w:rStyle w:val="Seitenzahl"/>
        <w:color w:val="006699"/>
        <w:sz w:val="20"/>
      </w:rPr>
      <w:t>/</w:t>
    </w:r>
    <w:r>
      <w:rPr>
        <w:color w:val="006699"/>
        <w:sz w:val="20"/>
      </w:rPr>
      <w:fldChar w:fldCharType="begin"/>
    </w:r>
    <w:r>
      <w:rPr>
        <w:color w:val="006699"/>
        <w:sz w:val="20"/>
      </w:rPr>
      <w:instrText xml:space="preserve"> NUMPAGES </w:instrText>
    </w:r>
    <w:r>
      <w:rPr>
        <w:color w:val="006699"/>
        <w:sz w:val="20"/>
      </w:rPr>
      <w:fldChar w:fldCharType="separate"/>
    </w:r>
    <w:r>
      <w:rPr>
        <w:color w:val="006699"/>
        <w:sz w:val="20"/>
      </w:rPr>
      <w:t>10</w:t>
    </w:r>
    <w:r>
      <w:rPr>
        <w:color w:val="006699"/>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F0978" w14:textId="77777777" w:rsidR="00FF7CF7" w:rsidRDefault="00FF7CF7">
      <w:pPr>
        <w:rPr>
          <w:sz w:val="12"/>
        </w:rPr>
      </w:pPr>
      <w:r>
        <w:separator/>
      </w:r>
    </w:p>
  </w:footnote>
  <w:footnote w:type="continuationSeparator" w:id="0">
    <w:p w14:paraId="1CC20B5B" w14:textId="77777777" w:rsidR="00FF7CF7" w:rsidRDefault="00FF7CF7">
      <w:pPr>
        <w:rPr>
          <w:sz w:val="12"/>
        </w:rPr>
      </w:pPr>
      <w:r>
        <w:continuationSeparator/>
      </w:r>
    </w:p>
  </w:footnote>
  <w:footnote w:id="1">
    <w:p w14:paraId="07349B51" w14:textId="0FB8EA42" w:rsidR="000E35DC" w:rsidRDefault="00BE0C32">
      <w:pPr>
        <w:pStyle w:val="Funotentext"/>
      </w:pPr>
      <w:r>
        <w:rPr>
          <w:rStyle w:val="Funotenzeichen"/>
        </w:rPr>
        <w:footnoteRef/>
      </w:r>
      <w:r>
        <w:t xml:space="preserve"> Greenpeace, Entwurf für ein Rüstungsexportkontrollgesetz, </w:t>
      </w:r>
      <w:r w:rsidR="00C00ADD">
        <w:t>04/01/</w:t>
      </w:r>
      <w:r>
        <w:t xml:space="preserve">2021, </w:t>
      </w:r>
      <w:hyperlink r:id="rId1">
        <w:r>
          <w:rPr>
            <w:rStyle w:val="Hyperlink"/>
            <w:color w:val="006699"/>
            <w:u w:val="none"/>
          </w:rPr>
          <w:t>https://www.greenpeace.de/publikationen/greenpeace-entwurf-ruestungsexportkontrollgesetz</w:t>
        </w:r>
      </w:hyperlink>
      <w:r w:rsidR="005E0CC3">
        <w:rPr>
          <w:rStyle w:val="Hyperlink"/>
          <w:color w:val="006699"/>
          <w:u w:val="none"/>
        </w:rPr>
        <w:t>.</w:t>
      </w:r>
      <w:r>
        <w:t xml:space="preserve"> </w:t>
      </w:r>
    </w:p>
  </w:footnote>
  <w:footnote w:id="2">
    <w:p w14:paraId="083716FF" w14:textId="1771E264" w:rsidR="000E35DC" w:rsidRPr="00D25549" w:rsidRDefault="00BE0C32">
      <w:pPr>
        <w:pStyle w:val="Funotentext"/>
        <w:rPr>
          <w:highlight w:val="green"/>
        </w:rPr>
      </w:pPr>
      <w:r>
        <w:rPr>
          <w:rStyle w:val="Funotenzeichen"/>
        </w:rPr>
        <w:footnoteRef/>
      </w:r>
      <w:r w:rsidRPr="00D25549">
        <w:t xml:space="preserve"> Cf. </w:t>
      </w:r>
      <w:proofErr w:type="spellStart"/>
      <w:r w:rsidR="00E97634" w:rsidRPr="00D25549">
        <w:t>D</w:t>
      </w:r>
      <w:r w:rsidRPr="00D25549">
        <w:t>jb</w:t>
      </w:r>
      <w:proofErr w:type="spellEnd"/>
      <w:r w:rsidRPr="00D25549">
        <w:t>, Stellungnahme 22-22</w:t>
      </w:r>
      <w:r w:rsidR="00AD024F" w:rsidRPr="00D25549">
        <w:t>,</w:t>
      </w:r>
      <w:r w:rsidRPr="00D25549">
        <w:t xml:space="preserve"> </w:t>
      </w:r>
      <w:r w:rsidR="00C00ADD" w:rsidRPr="00D25549">
        <w:t>08/30/</w:t>
      </w:r>
      <w:r w:rsidRPr="00D25549">
        <w:t xml:space="preserve">2022, </w:t>
      </w:r>
      <w:hyperlink r:id="rId2">
        <w:r w:rsidRPr="00D25549">
          <w:rPr>
            <w:rStyle w:val="Hyperlink"/>
            <w:color w:val="006699"/>
            <w:u w:val="none"/>
          </w:rPr>
          <w:t>https://www.djb.de/presse/pressemitteilungen/detail/st22-22</w:t>
        </w:r>
      </w:hyperlink>
      <w:r w:rsidRPr="00D25549">
        <w:t>.</w:t>
      </w:r>
    </w:p>
  </w:footnote>
  <w:footnote w:id="3">
    <w:p w14:paraId="11B98A02" w14:textId="4ED7E7E9" w:rsidR="000E35DC" w:rsidRDefault="00BE0C32">
      <w:pPr>
        <w:pStyle w:val="Funotentext"/>
      </w:pPr>
      <w:r>
        <w:rPr>
          <w:rStyle w:val="Funotenzeichen"/>
        </w:rPr>
        <w:footnoteRef/>
      </w:r>
      <w:r>
        <w:t xml:space="preserve"> Cf. </w:t>
      </w:r>
      <w:r w:rsidR="0047244A">
        <w:t>Gesellschaft für Freiheitsrechte</w:t>
      </w:r>
      <w:r>
        <w:t xml:space="preserve">, Eckpunkte zum Digitalen Gewaltschutzgesetz, </w:t>
      </w:r>
      <w:r w:rsidR="00C00ADD">
        <w:t>12/22/</w:t>
      </w:r>
      <w:r>
        <w:t xml:space="preserve">2022, </w:t>
      </w:r>
      <w:hyperlink r:id="rId3">
        <w:r>
          <w:rPr>
            <w:rStyle w:val="Hyperlink"/>
            <w:color w:val="006699"/>
            <w:u w:val="none"/>
          </w:rPr>
          <w:t>https://freiheitsrechte.org/uploads/documents/Demokratie/Marie-Munk-Initiative/Eckpunkte-Marie-Munk-Initiative.pdf</w:t>
        </w:r>
      </w:hyperlink>
      <w:r>
        <w:t>.</w:t>
      </w:r>
    </w:p>
  </w:footnote>
  <w:footnote w:id="4">
    <w:p w14:paraId="36F2C6DC" w14:textId="4BE8A1FF" w:rsidR="000E35DC" w:rsidRDefault="00BE0C32">
      <w:pPr>
        <w:pStyle w:val="Funotentext"/>
        <w:rPr>
          <w:lang w:val="en-GB"/>
        </w:rPr>
      </w:pPr>
      <w:r>
        <w:rPr>
          <w:rStyle w:val="Funotenzeichen"/>
        </w:rPr>
        <w:footnoteRef/>
      </w:r>
      <w:r>
        <w:rPr>
          <w:lang w:val="en-GB"/>
        </w:rPr>
        <w:t xml:space="preserve"> Sec</w:t>
      </w:r>
      <w:r w:rsidR="00E16A5F">
        <w:rPr>
          <w:lang w:val="en-GB"/>
        </w:rPr>
        <w:t>.</w:t>
      </w:r>
      <w:r>
        <w:rPr>
          <w:lang w:val="en-GB"/>
        </w:rPr>
        <w:t>46 German Criminal Code.</w:t>
      </w:r>
    </w:p>
  </w:footnote>
  <w:footnote w:id="5">
    <w:p w14:paraId="1AC3AD7B" w14:textId="5C4F0883" w:rsidR="000E35DC" w:rsidRDefault="00BE0C32">
      <w:pPr>
        <w:pStyle w:val="Funotentext"/>
        <w:rPr>
          <w:lang w:val="en-GB"/>
        </w:rPr>
      </w:pPr>
      <w:r>
        <w:rPr>
          <w:rStyle w:val="Funotenzeichen"/>
        </w:rPr>
        <w:footnoteRef/>
      </w:r>
      <w:r>
        <w:rPr>
          <w:lang w:val="en-GB"/>
        </w:rPr>
        <w:t xml:space="preserve"> Sec</w:t>
      </w:r>
      <w:r w:rsidR="00E16A5F">
        <w:rPr>
          <w:lang w:val="en-GB"/>
        </w:rPr>
        <w:t>.</w:t>
      </w:r>
      <w:r>
        <w:rPr>
          <w:lang w:val="en-GB"/>
        </w:rPr>
        <w:t>397a(1), Sec</w:t>
      </w:r>
      <w:r w:rsidR="00E16A5F">
        <w:rPr>
          <w:lang w:val="en-GB"/>
        </w:rPr>
        <w:t>.</w:t>
      </w:r>
      <w:r>
        <w:rPr>
          <w:lang w:val="en-GB"/>
        </w:rPr>
        <w:t>406g(3) s</w:t>
      </w:r>
      <w:r w:rsidR="00E16A5F">
        <w:rPr>
          <w:lang w:val="en-GB"/>
        </w:rPr>
        <w:t>.</w:t>
      </w:r>
      <w:r>
        <w:rPr>
          <w:lang w:val="en-GB"/>
        </w:rPr>
        <w:t xml:space="preserve">1 German Code of Criminal Procedure. </w:t>
      </w:r>
    </w:p>
  </w:footnote>
  <w:footnote w:id="6">
    <w:p w14:paraId="5FE30D11" w14:textId="14F5CF8E" w:rsidR="000E35DC" w:rsidRDefault="00BE0C32">
      <w:pPr>
        <w:pStyle w:val="Funotentext"/>
        <w:rPr>
          <w:highlight w:val="green"/>
          <w:lang w:val="en-GB"/>
        </w:rPr>
      </w:pPr>
      <w:r>
        <w:rPr>
          <w:rStyle w:val="Funotenzeichen"/>
        </w:rPr>
        <w:footnoteRef/>
      </w:r>
      <w:r>
        <w:rPr>
          <w:lang w:val="en-GB"/>
        </w:rPr>
        <w:t xml:space="preserve"> Sec</w:t>
      </w:r>
      <w:r w:rsidR="00E16A5F">
        <w:rPr>
          <w:lang w:val="en-GB"/>
        </w:rPr>
        <w:t>.</w:t>
      </w:r>
      <w:r>
        <w:rPr>
          <w:lang w:val="en-GB"/>
        </w:rPr>
        <w:t>56, 60 Asylum Act; Se</w:t>
      </w:r>
      <w:r w:rsidR="00E16A5F">
        <w:rPr>
          <w:lang w:val="en-GB"/>
        </w:rPr>
        <w:t>c.</w:t>
      </w:r>
      <w:r>
        <w:rPr>
          <w:lang w:val="en-GB"/>
        </w:rPr>
        <w:t>12a, 61 Residence Act.</w:t>
      </w:r>
    </w:p>
  </w:footnote>
  <w:footnote w:id="7">
    <w:p w14:paraId="247926A9" w14:textId="3528406C" w:rsidR="000E35DC" w:rsidRDefault="00BE0C32">
      <w:pPr>
        <w:pStyle w:val="Funotentext"/>
        <w:rPr>
          <w:lang w:val="en-GB"/>
        </w:rPr>
      </w:pPr>
      <w:r>
        <w:rPr>
          <w:rStyle w:val="Funotenzeichen"/>
        </w:rPr>
        <w:footnoteRef/>
      </w:r>
      <w:r>
        <w:rPr>
          <w:lang w:val="en-GB"/>
        </w:rPr>
        <w:t xml:space="preserve"> Sec</w:t>
      </w:r>
      <w:r w:rsidR="00E16A5F">
        <w:rPr>
          <w:lang w:val="en-GB"/>
        </w:rPr>
        <w:t>.</w:t>
      </w:r>
      <w:r>
        <w:rPr>
          <w:lang w:val="en-GB"/>
        </w:rPr>
        <w:t>87(2) Residence Act.</w:t>
      </w:r>
    </w:p>
  </w:footnote>
  <w:footnote w:id="8">
    <w:p w14:paraId="56CCE0EF" w14:textId="643C2DCC" w:rsidR="000E35DC" w:rsidRDefault="00BE0C32">
      <w:pPr>
        <w:pStyle w:val="Funotentext"/>
        <w:rPr>
          <w:lang w:val="en-GB"/>
        </w:rPr>
      </w:pPr>
      <w:r>
        <w:rPr>
          <w:rStyle w:val="Funotenzeichen"/>
        </w:rPr>
        <w:footnoteRef/>
      </w:r>
      <w:r>
        <w:rPr>
          <w:lang w:val="en-GB"/>
        </w:rPr>
        <w:t xml:space="preserve"> Sec</w:t>
      </w:r>
      <w:r w:rsidR="00E16A5F">
        <w:rPr>
          <w:lang w:val="en-GB"/>
        </w:rPr>
        <w:t>.</w:t>
      </w:r>
      <w:r>
        <w:rPr>
          <w:lang w:val="en-GB"/>
        </w:rPr>
        <w:t>31(2) Residence Act.</w:t>
      </w:r>
    </w:p>
  </w:footnote>
  <w:footnote w:id="9">
    <w:p w14:paraId="0CDE0BDE" w14:textId="5298773D" w:rsidR="000E35DC" w:rsidRDefault="00BE0C32">
      <w:pPr>
        <w:pStyle w:val="Funotentext"/>
        <w:rPr>
          <w:highlight w:val="green"/>
          <w:lang w:val="en-GB"/>
        </w:rPr>
      </w:pPr>
      <w:r>
        <w:rPr>
          <w:rStyle w:val="Funotenzeichen"/>
        </w:rPr>
        <w:footnoteRef/>
      </w:r>
      <w:r>
        <w:rPr>
          <w:lang w:val="en-GB"/>
        </w:rPr>
        <w:t xml:space="preserve"> Federal Ministry for Families, Senior Citizens, Women and Youth</w:t>
      </w:r>
      <w:r w:rsidR="00CA3722">
        <w:rPr>
          <w:lang w:val="en-GB"/>
        </w:rPr>
        <w:t xml:space="preserve"> (BMFSFJ)</w:t>
      </w:r>
      <w:r>
        <w:rPr>
          <w:lang w:val="en-GB"/>
        </w:rPr>
        <w:t xml:space="preserve">, Participation, </w:t>
      </w:r>
      <w:r w:rsidR="00C00ADD">
        <w:rPr>
          <w:lang w:val="en-GB"/>
        </w:rPr>
        <w:t>02/23/</w:t>
      </w:r>
      <w:r>
        <w:rPr>
          <w:lang w:val="en-GB"/>
        </w:rPr>
        <w:t xml:space="preserve">2023, </w:t>
      </w:r>
      <w:hyperlink r:id="rId4">
        <w:r>
          <w:rPr>
            <w:rStyle w:val="Hyperlink"/>
            <w:color w:val="006699"/>
            <w:u w:val="none"/>
            <w:lang w:val="en-GB"/>
          </w:rPr>
          <w:t>https://www.bmfsfj.de/bmfsfj/themen/gleichstellung/gleichstellungsatlas?view</w:t>
        </w:r>
      </w:hyperlink>
      <w:r>
        <w:rPr>
          <w:lang w:val="en-GB"/>
        </w:rPr>
        <w:t>.</w:t>
      </w:r>
    </w:p>
  </w:footnote>
  <w:footnote w:id="10">
    <w:p w14:paraId="3D79EB5C" w14:textId="0E460054" w:rsidR="000E35DC" w:rsidRPr="00D25549" w:rsidRDefault="00BE0C32">
      <w:pPr>
        <w:pStyle w:val="Funotentext"/>
      </w:pPr>
      <w:r>
        <w:rPr>
          <w:rStyle w:val="Funotenzeichen"/>
        </w:rPr>
        <w:footnoteRef/>
      </w:r>
      <w:r w:rsidRPr="00D25549">
        <w:t xml:space="preserve"> Destatis, Gesundheitspersonal, </w:t>
      </w:r>
      <w:hyperlink r:id="rId5" w:history="1">
        <w:r w:rsidR="00C00ADD" w:rsidRPr="00D25549">
          <w:rPr>
            <w:rStyle w:val="Hyperlink"/>
          </w:rPr>
          <w:t>https://www.destatis.de/DE/Themen/Gesellschaft-Umwelt/Gesundheit/Gesundheitspersonal/_inhalt.html</w:t>
        </w:r>
      </w:hyperlink>
      <w:r w:rsidRPr="00D25549">
        <w:t xml:space="preserve">. </w:t>
      </w:r>
    </w:p>
  </w:footnote>
  <w:footnote w:id="11">
    <w:p w14:paraId="09470C9B" w14:textId="0AA8598F" w:rsidR="000E35DC" w:rsidRPr="00C00ADD" w:rsidRDefault="00BE0C32">
      <w:pPr>
        <w:pStyle w:val="Funotentext"/>
      </w:pPr>
      <w:r>
        <w:rPr>
          <w:rStyle w:val="Funotenzeichen"/>
        </w:rPr>
        <w:footnoteRef/>
      </w:r>
      <w:r w:rsidRPr="00C00ADD">
        <w:t xml:space="preserve"> </w:t>
      </w:r>
      <w:proofErr w:type="spellStart"/>
      <w:r w:rsidR="00CD4BE6" w:rsidRPr="00C00ADD">
        <w:t>D</w:t>
      </w:r>
      <w:r w:rsidRPr="00C00ADD">
        <w:t>jb</w:t>
      </w:r>
      <w:proofErr w:type="spellEnd"/>
      <w:r w:rsidRPr="00C00ADD">
        <w:t>, Stellungnahme 19-18</w:t>
      </w:r>
      <w:r w:rsidR="00DA7A17" w:rsidRPr="00C00ADD">
        <w:t>,</w:t>
      </w:r>
      <w:r w:rsidRPr="00C00ADD">
        <w:t xml:space="preserve"> </w:t>
      </w:r>
      <w:r w:rsidR="00C00ADD" w:rsidRPr="00D25549">
        <w:t>08/07/</w:t>
      </w:r>
      <w:r w:rsidRPr="00C00ADD">
        <w:t>2019,</w:t>
      </w:r>
      <w:r w:rsidR="00C00ADD" w:rsidRPr="00D25549">
        <w:t xml:space="preserve"> </w:t>
      </w:r>
      <w:hyperlink r:id="rId6">
        <w:r w:rsidRPr="00C00ADD">
          <w:rPr>
            <w:rStyle w:val="Hyperlink"/>
            <w:color w:val="006699"/>
            <w:u w:val="none"/>
          </w:rPr>
          <w:t>https://www.djb.de/presse/pressemitteilungen/detail/st19-18</w:t>
        </w:r>
      </w:hyperlink>
      <w:r w:rsidRPr="00C00ADD">
        <w:t xml:space="preserve">. </w:t>
      </w:r>
    </w:p>
  </w:footnote>
  <w:footnote w:id="12">
    <w:p w14:paraId="05BB442B" w14:textId="77807A78" w:rsidR="000E35DC" w:rsidRPr="00D25549" w:rsidRDefault="00BE0C32">
      <w:pPr>
        <w:pStyle w:val="Funotentext"/>
      </w:pPr>
      <w:r>
        <w:rPr>
          <w:rStyle w:val="Funotenzeichen"/>
        </w:rPr>
        <w:footnoteRef/>
      </w:r>
      <w:r w:rsidRPr="00D25549">
        <w:t xml:space="preserve"> Sec</w:t>
      </w:r>
      <w:r w:rsidR="00E16A5F" w:rsidRPr="00D25549">
        <w:t>.</w:t>
      </w:r>
      <w:r w:rsidRPr="00D25549">
        <w:t xml:space="preserve">12 </w:t>
      </w:r>
      <w:r w:rsidRPr="00CA3722">
        <w:t>AGG.</w:t>
      </w:r>
    </w:p>
  </w:footnote>
  <w:footnote w:id="13">
    <w:p w14:paraId="7C32DF63" w14:textId="16E73E4A" w:rsidR="000E35DC" w:rsidRPr="00CA3722" w:rsidRDefault="00BE0C32">
      <w:pPr>
        <w:pStyle w:val="Funotentext"/>
      </w:pPr>
      <w:r>
        <w:rPr>
          <w:rStyle w:val="Funotenzeichen"/>
        </w:rPr>
        <w:footnoteRef/>
      </w:r>
      <w:r w:rsidRPr="00D25549">
        <w:t xml:space="preserve"> Sec</w:t>
      </w:r>
      <w:r w:rsidR="00E16A5F" w:rsidRPr="00D25549">
        <w:t>.</w:t>
      </w:r>
      <w:r w:rsidRPr="00D25549">
        <w:t xml:space="preserve">13 </w:t>
      </w:r>
      <w:r w:rsidRPr="00CA3722">
        <w:t>AGG.</w:t>
      </w:r>
    </w:p>
  </w:footnote>
  <w:footnote w:id="14">
    <w:p w14:paraId="46B0DAE4" w14:textId="109B911B" w:rsidR="000E35DC" w:rsidRPr="00D25549" w:rsidRDefault="00BE0C32">
      <w:pPr>
        <w:pStyle w:val="Funotentext"/>
      </w:pPr>
      <w:r>
        <w:rPr>
          <w:rStyle w:val="Funotenzeichen"/>
        </w:rPr>
        <w:footnoteRef/>
      </w:r>
      <w:r w:rsidRPr="00D25549">
        <w:t xml:space="preserve"> Cf. Federal Anti-</w:t>
      </w:r>
      <w:proofErr w:type="spellStart"/>
      <w:r w:rsidRPr="00D25549">
        <w:t>Discrimination</w:t>
      </w:r>
      <w:proofErr w:type="spellEnd"/>
      <w:r w:rsidRPr="00D25549">
        <w:t xml:space="preserve"> Office, Umgang mit sexueller Belästigung am Arbeitsplatz, 2019, p.11, </w:t>
      </w:r>
      <w:hyperlink r:id="rId7">
        <w:r w:rsidRPr="00D25549">
          <w:rPr>
            <w:rStyle w:val="Hyperlink"/>
            <w:color w:val="006699"/>
            <w:u w:val="none"/>
          </w:rPr>
          <w:t>https://www.antidiskriminierungsstelle.de/SharedDocs/downloads/DE/publikationen/Expertisen/umgang_mit_sexueller_belaestigung_am_arbeitsplatz_kurzfassung.pdf?__blob=publicationFile&amp;v=8</w:t>
        </w:r>
      </w:hyperlink>
      <w:r w:rsidRPr="00D25549">
        <w:t xml:space="preserve">. </w:t>
      </w:r>
    </w:p>
  </w:footnote>
  <w:footnote w:id="15">
    <w:p w14:paraId="2D7211DD" w14:textId="447135F3" w:rsidR="000E35DC" w:rsidRDefault="00BE0C32">
      <w:pPr>
        <w:pStyle w:val="Funotentext"/>
      </w:pPr>
      <w:r>
        <w:rPr>
          <w:rStyle w:val="Funotenzeichen"/>
        </w:rPr>
        <w:footnoteRef/>
      </w:r>
      <w:r>
        <w:t xml:space="preserve"> </w:t>
      </w:r>
      <w:proofErr w:type="spellStart"/>
      <w:r w:rsidR="00F47D1F">
        <w:t>Ibid</w:t>
      </w:r>
      <w:proofErr w:type="spellEnd"/>
      <w:r>
        <w:t>, p.12</w:t>
      </w:r>
      <w:r w:rsidR="00C6011A">
        <w:t>.</w:t>
      </w:r>
    </w:p>
  </w:footnote>
  <w:footnote w:id="16">
    <w:p w14:paraId="0C2419E3" w14:textId="3EF0B2D4" w:rsidR="000E35DC" w:rsidRDefault="00BE0C32">
      <w:pPr>
        <w:pStyle w:val="Funotentext"/>
      </w:pPr>
      <w:r>
        <w:rPr>
          <w:rStyle w:val="Funotenzeichen"/>
        </w:rPr>
        <w:footnoteRef/>
      </w:r>
      <w:r>
        <w:t xml:space="preserve"> Institut für Arbeitsmarkt- und Berufsforschung, Geflüchtete Frauen müssen viele Hindernisse überwinden, </w:t>
      </w:r>
      <w:r w:rsidR="00C00ADD">
        <w:t>08/</w:t>
      </w:r>
      <w:r>
        <w:t xml:space="preserve">2021, </w:t>
      </w:r>
      <w:hyperlink r:id="rId8" w:history="1">
        <w:r w:rsidR="00C00ADD" w:rsidRPr="00D25549">
          <w:rPr>
            <w:rStyle w:val="Hyperlink"/>
          </w:rPr>
          <w:t>https://doku.iab.de/kurzber/2021/kb2021-08.pdf</w:t>
        </w:r>
      </w:hyperlink>
      <w:r>
        <w:t xml:space="preserve">. </w:t>
      </w:r>
    </w:p>
  </w:footnote>
  <w:footnote w:id="17">
    <w:p w14:paraId="6001E1B2" w14:textId="50044BCD" w:rsidR="000E35DC" w:rsidRDefault="00BE0C32">
      <w:pPr>
        <w:pStyle w:val="Funotentext"/>
      </w:pPr>
      <w:r>
        <w:rPr>
          <w:rStyle w:val="Funotenzeichen"/>
        </w:rPr>
        <w:footnoteRef/>
      </w:r>
      <w:r>
        <w:t xml:space="preserve"> Susanne Worbs, Tatjana </w:t>
      </w:r>
      <w:proofErr w:type="spellStart"/>
      <w:r>
        <w:t>Baraulina</w:t>
      </w:r>
      <w:proofErr w:type="spellEnd"/>
      <w:r>
        <w:t>, Geflüchtete Frauen in Deutschland: Sprache, Bildung und Arbeitsmarkt, 2017,</w:t>
      </w:r>
      <w:r w:rsidR="00C00ADD">
        <w:t xml:space="preserve"> </w:t>
      </w:r>
      <w:hyperlink r:id="rId9" w:history="1">
        <w:r w:rsidR="00C00ADD" w:rsidRPr="00D25549">
          <w:rPr>
            <w:rStyle w:val="Hyperlink"/>
          </w:rPr>
          <w:t>www.bamf.de/SharedDocs/Anlagen/DE/Forschung/Kurzanalysen/kurzanalyse7_gefluchetete-frauen.html</w:t>
        </w:r>
      </w:hyperlink>
      <w:r>
        <w:t xml:space="preserve">. </w:t>
      </w:r>
    </w:p>
  </w:footnote>
  <w:footnote w:id="18">
    <w:p w14:paraId="433C4766" w14:textId="3604B38F" w:rsidR="000E35DC" w:rsidRDefault="00BE0C32">
      <w:pPr>
        <w:pStyle w:val="Funotentext"/>
      </w:pPr>
      <w:r>
        <w:rPr>
          <w:rStyle w:val="Funotenzeichen"/>
        </w:rPr>
        <w:footnoteRef/>
      </w:r>
      <w:r>
        <w:t xml:space="preserve"> </w:t>
      </w:r>
      <w:r w:rsidR="00CA3722">
        <w:t>BMFSFJ</w:t>
      </w:r>
      <w:r>
        <w:t xml:space="preserve">, Lebenssituation und Belastungen von Frauen mit Behinderungen und Beeinträchtigungen in Deutschland, 2013, </w:t>
      </w:r>
      <w:hyperlink r:id="rId10">
        <w:r>
          <w:rPr>
            <w:rStyle w:val="Hyperlink"/>
            <w:color w:val="006699"/>
            <w:u w:val="none"/>
          </w:rPr>
          <w:t>www.bmfsfj.de/bmfsfj/service/publikationen/lebenssituation-und-belastungen-von-frauen-mit-beeintraechtigungen-und-behinderungen-in-deutschland-80576</w:t>
        </w:r>
      </w:hyperlink>
      <w:r>
        <w:t xml:space="preserve">. </w:t>
      </w:r>
    </w:p>
  </w:footnote>
  <w:footnote w:id="19">
    <w:p w14:paraId="7A8BF6CF" w14:textId="35CCF42B" w:rsidR="000E35DC" w:rsidRPr="00D25549" w:rsidRDefault="00BE0C32">
      <w:pPr>
        <w:pStyle w:val="Funotentext"/>
      </w:pPr>
      <w:r>
        <w:rPr>
          <w:rStyle w:val="Funotenzeichen"/>
        </w:rPr>
        <w:footnoteRef/>
      </w:r>
      <w:r w:rsidRPr="00D25549">
        <w:t xml:space="preserve"> </w:t>
      </w:r>
      <w:proofErr w:type="spellStart"/>
      <w:r w:rsidR="00C6011A" w:rsidRPr="00D25549">
        <w:t>D</w:t>
      </w:r>
      <w:r w:rsidRPr="00D25549">
        <w:t>jb</w:t>
      </w:r>
      <w:proofErr w:type="spellEnd"/>
      <w:r w:rsidRPr="00D25549">
        <w:t>, Pressemitteilung 21-19</w:t>
      </w:r>
      <w:r w:rsidR="009B6685" w:rsidRPr="00D25549">
        <w:t>,</w:t>
      </w:r>
      <w:r w:rsidR="00C00ADD" w:rsidRPr="00D25549">
        <w:t xml:space="preserve"> 07/05/</w:t>
      </w:r>
      <w:r w:rsidRPr="00D25549">
        <w:t xml:space="preserve">2021, No.11, </w:t>
      </w:r>
      <w:hyperlink r:id="rId11">
        <w:r w:rsidRPr="00D25549">
          <w:rPr>
            <w:rStyle w:val="Hyperlink"/>
            <w:color w:val="006699"/>
            <w:u w:val="none"/>
          </w:rPr>
          <w:t>https://www.djb.de/presse/pressemitteilungen/detail/pm21-19</w:t>
        </w:r>
      </w:hyperlink>
      <w:r w:rsidRPr="00D25549">
        <w:t xml:space="preserve">. </w:t>
      </w:r>
    </w:p>
  </w:footnote>
  <w:footnote w:id="20">
    <w:p w14:paraId="66884C79" w14:textId="7032096D" w:rsidR="000E35DC" w:rsidRPr="00D25549" w:rsidRDefault="00BE0C32">
      <w:pPr>
        <w:pStyle w:val="Funotentext"/>
      </w:pPr>
      <w:r>
        <w:rPr>
          <w:rStyle w:val="Funotenzeichen"/>
        </w:rPr>
        <w:footnoteRef/>
      </w:r>
      <w:r w:rsidRPr="00D25549">
        <w:t xml:space="preserve"> </w:t>
      </w:r>
      <w:proofErr w:type="spellStart"/>
      <w:r w:rsidR="00523E5D" w:rsidRPr="00D25549">
        <w:t>D</w:t>
      </w:r>
      <w:r w:rsidRPr="00D25549">
        <w:t>jb</w:t>
      </w:r>
      <w:proofErr w:type="spellEnd"/>
      <w:r w:rsidRPr="00D25549">
        <w:t>, Stellungnahme 23-09,</w:t>
      </w:r>
      <w:r w:rsidR="00C00ADD" w:rsidRPr="00D25549">
        <w:t xml:space="preserve"> 03/21/</w:t>
      </w:r>
      <w:r w:rsidRPr="00D25549">
        <w:t xml:space="preserve">2023, No.9, </w:t>
      </w:r>
      <w:r w:rsidRPr="00D25549">
        <w:rPr>
          <w:color w:val="006699"/>
        </w:rPr>
        <w:t>https://www.djb.de/fileadmin/user_upload/presse/stellungnahmen/st23-09_Lieferketten.pdf</w:t>
      </w:r>
      <w:r w:rsidRPr="00D25549">
        <w:t>.</w:t>
      </w:r>
    </w:p>
  </w:footnote>
  <w:footnote w:id="21">
    <w:p w14:paraId="15EA9FBE" w14:textId="4904C508" w:rsidR="000E35DC" w:rsidRDefault="00BE0C32">
      <w:pPr>
        <w:pStyle w:val="Funotentext"/>
        <w:rPr>
          <w:highlight w:val="green"/>
        </w:rPr>
      </w:pPr>
      <w:r>
        <w:rPr>
          <w:rStyle w:val="Funotenzeichen"/>
        </w:rPr>
        <w:footnoteRef/>
      </w:r>
      <w:r>
        <w:rPr>
          <w:lang w:val="en-GB"/>
        </w:rPr>
        <w:t xml:space="preserve"> </w:t>
      </w:r>
      <w:r>
        <w:rPr>
          <w:rFonts w:eastAsia="SimSun"/>
          <w:lang w:val="en-GB"/>
        </w:rPr>
        <w:t xml:space="preserve">E.g. </w:t>
      </w:r>
      <w:r>
        <w:rPr>
          <w:lang w:val="en-GB"/>
        </w:rPr>
        <w:t>C</w:t>
      </w:r>
      <w:r w:rsidR="00E16A5F">
        <w:rPr>
          <w:lang w:val="en-GB"/>
        </w:rPr>
        <w:t>EDAW</w:t>
      </w:r>
      <w:r>
        <w:rPr>
          <w:lang w:val="en-GB"/>
        </w:rPr>
        <w:t xml:space="preserve">, Concluding Observations, </w:t>
      </w:r>
      <w:r w:rsidR="00E16A5F">
        <w:rPr>
          <w:lang w:val="en-GB"/>
        </w:rPr>
        <w:t>C</w:t>
      </w:r>
      <w:r w:rsidRPr="00D25549">
        <w:rPr>
          <w:lang w:val="en-GB"/>
        </w:rPr>
        <w:t xml:space="preserve">EDAW/C/DEU/CO/7-8, </w:t>
      </w:r>
      <w:r w:rsidR="00E16A5F">
        <w:rPr>
          <w:lang w:val="en-GB"/>
        </w:rPr>
        <w:t>03/09/</w:t>
      </w:r>
      <w:r w:rsidRPr="00D25549">
        <w:rPr>
          <w:lang w:val="en-GB"/>
        </w:rPr>
        <w:t xml:space="preserve">2017; European Parliament, Resolution on gender equality and taxation policies in the EU, </w:t>
      </w:r>
      <w:r w:rsidR="00E16A5F">
        <w:rPr>
          <w:lang w:val="en-GB"/>
        </w:rPr>
        <w:t>01/15/</w:t>
      </w:r>
      <w:r w:rsidRPr="00D25549">
        <w:rPr>
          <w:lang w:val="en-GB"/>
        </w:rPr>
        <w:t xml:space="preserve">2019, 2018/2095 (INI); </w:t>
      </w:r>
      <w:proofErr w:type="spellStart"/>
      <w:r w:rsidRPr="00D25549">
        <w:rPr>
          <w:rFonts w:eastAsia="SimSun"/>
          <w:lang w:val="en-GB"/>
        </w:rPr>
        <w:t>Bundesregierung</w:t>
      </w:r>
      <w:proofErr w:type="spellEnd"/>
      <w:r w:rsidRPr="00D25549">
        <w:rPr>
          <w:lang w:val="en-GB"/>
        </w:rPr>
        <w:t xml:space="preserve">, </w:t>
      </w:r>
      <w:r w:rsidR="00E16A5F">
        <w:rPr>
          <w:lang w:val="en-GB"/>
        </w:rPr>
        <w:t>08/30/</w:t>
      </w:r>
      <w:r w:rsidRPr="00D25549">
        <w:rPr>
          <w:lang w:val="en-GB"/>
        </w:rPr>
        <w:t>2019, BT-</w:t>
      </w:r>
      <w:proofErr w:type="spellStart"/>
      <w:r w:rsidRPr="00D25549">
        <w:rPr>
          <w:lang w:val="en-GB"/>
        </w:rPr>
        <w:t>Drs.</w:t>
      </w:r>
      <w:proofErr w:type="spellEnd"/>
      <w:r w:rsidRPr="00D25549">
        <w:rPr>
          <w:lang w:val="en-GB"/>
        </w:rPr>
        <w:t xml:space="preserve"> </w:t>
      </w:r>
      <w:r>
        <w:t>19/12857.</w:t>
      </w:r>
    </w:p>
  </w:footnote>
  <w:footnote w:id="22">
    <w:p w14:paraId="64FEF112" w14:textId="78F5464A" w:rsidR="000E35DC" w:rsidRDefault="00BE0C32">
      <w:pPr>
        <w:pStyle w:val="Funotentext"/>
      </w:pPr>
      <w:r>
        <w:rPr>
          <w:rStyle w:val="Funotenzeichen"/>
        </w:rPr>
        <w:footnoteRef/>
      </w:r>
      <w:r>
        <w:t xml:space="preserve"> Ulrike Spangenberg, Gisela Färber, Corinna Späth, Mittelbare Diskriminierung im Lohnsteuerverfahren, </w:t>
      </w:r>
      <w:r w:rsidR="00E16A5F">
        <w:t>07/</w:t>
      </w:r>
      <w:r>
        <w:t xml:space="preserve">2019, </w:t>
      </w:r>
      <w:hyperlink r:id="rId12">
        <w:r>
          <w:rPr>
            <w:rStyle w:val="Hyperlink"/>
            <w:color w:val="006699"/>
            <w:u w:val="none"/>
          </w:rPr>
          <w:t>https://www.boeckler.de/fpdf/HBS-007819/p_fofoe_WP_190_2020.pdf</w:t>
        </w:r>
      </w:hyperlink>
      <w:r>
        <w:t xml:space="preserve">. </w:t>
      </w:r>
    </w:p>
  </w:footnote>
  <w:footnote w:id="23">
    <w:p w14:paraId="23733075" w14:textId="4B68F097" w:rsidR="000E35DC" w:rsidRDefault="00BE0C32">
      <w:pPr>
        <w:pStyle w:val="Funotentext"/>
        <w:rPr>
          <w:highlight w:val="green"/>
          <w:lang w:val="en-GB"/>
        </w:rPr>
      </w:pPr>
      <w:r>
        <w:rPr>
          <w:rStyle w:val="Funotenzeichen"/>
        </w:rPr>
        <w:footnoteRef/>
      </w:r>
      <w:r>
        <w:rPr>
          <w:lang w:val="en-GB"/>
        </w:rPr>
        <w:t xml:space="preserve"> Asa Gunnarsson, Margit </w:t>
      </w:r>
      <w:proofErr w:type="spellStart"/>
      <w:r>
        <w:rPr>
          <w:lang w:val="en-GB"/>
        </w:rPr>
        <w:t>Schratzenstaller</w:t>
      </w:r>
      <w:proofErr w:type="spellEnd"/>
      <w:r>
        <w:rPr>
          <w:lang w:val="en-GB"/>
        </w:rPr>
        <w:t xml:space="preserve">, Ulrike Spangenberg, Gender equality and taxation in the European Union, 2017, pp.20f., </w:t>
      </w:r>
      <w:hyperlink r:id="rId13">
        <w:r>
          <w:rPr>
            <w:rStyle w:val="Hyperlink"/>
            <w:color w:val="006699"/>
            <w:u w:val="none"/>
            <w:lang w:val="en-GB"/>
          </w:rPr>
          <w:t>http://www.europarl.europa.eu/RegData/etudes/STUD/2017/583138/IPOL_STU(2017)583138_EN.pdf</w:t>
        </w:r>
      </w:hyperlink>
      <w:r>
        <w:rPr>
          <w:lang w:val="en-GB"/>
        </w:rPr>
        <w:t xml:space="preserve">. </w:t>
      </w:r>
    </w:p>
  </w:footnote>
  <w:footnote w:id="24">
    <w:p w14:paraId="1516C815" w14:textId="15A4D2CF" w:rsidR="000E35DC" w:rsidRPr="00D25549" w:rsidRDefault="00BE0C32">
      <w:pPr>
        <w:pStyle w:val="Funotentext"/>
        <w:rPr>
          <w:lang w:val="en-GB"/>
        </w:rPr>
      </w:pPr>
      <w:r>
        <w:rPr>
          <w:rStyle w:val="Funotenzeichen"/>
        </w:rPr>
        <w:footnoteRef/>
      </w:r>
      <w:r w:rsidRPr="00D25549">
        <w:rPr>
          <w:lang w:val="en-GB"/>
        </w:rPr>
        <w:t xml:space="preserve"> Cf. </w:t>
      </w:r>
      <w:proofErr w:type="spellStart"/>
      <w:r w:rsidR="00492798" w:rsidRPr="00D25549">
        <w:rPr>
          <w:lang w:val="en-GB"/>
        </w:rPr>
        <w:t>D</w:t>
      </w:r>
      <w:r w:rsidRPr="00D25549">
        <w:rPr>
          <w:lang w:val="en-GB"/>
        </w:rPr>
        <w:t>jb</w:t>
      </w:r>
      <w:proofErr w:type="spellEnd"/>
      <w:r w:rsidRPr="00D25549">
        <w:rPr>
          <w:lang w:val="en-GB"/>
        </w:rPr>
        <w:t xml:space="preserve">, Policy Paper 22-26, </w:t>
      </w:r>
      <w:r w:rsidR="00E16A5F">
        <w:rPr>
          <w:lang w:val="en-GB"/>
        </w:rPr>
        <w:t>12/08/</w:t>
      </w:r>
      <w:r w:rsidRPr="00D25549">
        <w:rPr>
          <w:lang w:val="en-GB"/>
        </w:rPr>
        <w:t xml:space="preserve">2022, </w:t>
      </w:r>
      <w:hyperlink r:id="rId14" w:history="1">
        <w:r w:rsidR="00E16A5F" w:rsidRPr="00D25549">
          <w:rPr>
            <w:rStyle w:val="Hyperlink"/>
            <w:lang w:val="en-GB"/>
          </w:rPr>
          <w:t>https://www.djb.de/presse/stellungnahmen/detail/st22-26</w:t>
        </w:r>
      </w:hyperlink>
      <w:r w:rsidRPr="00D25549">
        <w:rPr>
          <w:lang w:val="en-GB"/>
        </w:rPr>
        <w:t>.</w:t>
      </w:r>
    </w:p>
  </w:footnote>
  <w:footnote w:id="25">
    <w:p w14:paraId="26067D5C" w14:textId="3F0167B4" w:rsidR="000E35DC" w:rsidRDefault="00BE0C32">
      <w:pPr>
        <w:pStyle w:val="Funotentext"/>
      </w:pPr>
      <w:r>
        <w:rPr>
          <w:rStyle w:val="Funotenzeichen"/>
        </w:rPr>
        <w:footnoteRef/>
      </w:r>
      <w:r>
        <w:t xml:space="preserve"> Cf. Matthias Janson, Immer weniger </w:t>
      </w:r>
      <w:proofErr w:type="spellStart"/>
      <w:r>
        <w:t>Ärzt:innen</w:t>
      </w:r>
      <w:proofErr w:type="spellEnd"/>
      <w:r>
        <w:t xml:space="preserve"> führen Abtreibungen durch,</w:t>
      </w:r>
      <w:r w:rsidR="00E16A5F">
        <w:t xml:space="preserve"> 05/13/</w:t>
      </w:r>
      <w:r>
        <w:t>2022,</w:t>
      </w:r>
      <w:r w:rsidR="00E16A5F">
        <w:t xml:space="preserve"> </w:t>
      </w:r>
      <w:hyperlink r:id="rId15">
        <w:r>
          <w:rPr>
            <w:rStyle w:val="Hyperlink"/>
            <w:color w:val="006699"/>
            <w:u w:val="none"/>
          </w:rPr>
          <w:t>https://de.statista.com/infografik/27437/anzahl-der-praxen-und-krankenhaeuser-in-deutschland-die-schwanger-schaftsabbrueche-vornehmen/</w:t>
        </w:r>
      </w:hyperlink>
      <w:r w:rsidR="009832EE" w:rsidRPr="009832EE">
        <w:t>.</w:t>
      </w:r>
      <w:r w:rsidRPr="009832EE">
        <w:t xml:space="preserve"> </w:t>
      </w:r>
    </w:p>
  </w:footnote>
  <w:footnote w:id="26">
    <w:p w14:paraId="620400F2" w14:textId="366B8CDE" w:rsidR="000E35DC" w:rsidRPr="00D25549" w:rsidRDefault="00BE0C32">
      <w:pPr>
        <w:pStyle w:val="Funotentext"/>
        <w:rPr>
          <w:lang w:val="en-GB"/>
        </w:rPr>
      </w:pPr>
      <w:r>
        <w:rPr>
          <w:rStyle w:val="Funotenzeichen"/>
        </w:rPr>
        <w:footnoteRef/>
      </w:r>
      <w:r w:rsidRPr="00D25549">
        <w:rPr>
          <w:lang w:val="en-GB"/>
        </w:rPr>
        <w:t xml:space="preserve"> Cf. </w:t>
      </w:r>
      <w:proofErr w:type="spellStart"/>
      <w:r w:rsidR="00492798" w:rsidRPr="00D25549">
        <w:rPr>
          <w:lang w:val="en-GB"/>
        </w:rPr>
        <w:t>D</w:t>
      </w:r>
      <w:r w:rsidRPr="00D25549">
        <w:rPr>
          <w:lang w:val="en-GB"/>
        </w:rPr>
        <w:t>jb</w:t>
      </w:r>
      <w:proofErr w:type="spellEnd"/>
      <w:r w:rsidRPr="00D25549">
        <w:rPr>
          <w:lang w:val="en-GB"/>
        </w:rPr>
        <w:t xml:space="preserve">, Policy Paper 22-26, </w:t>
      </w:r>
      <w:r w:rsidR="00E16A5F">
        <w:rPr>
          <w:lang w:val="en-GB"/>
        </w:rPr>
        <w:t>12/08/</w:t>
      </w:r>
      <w:r w:rsidRPr="00D25549">
        <w:rPr>
          <w:lang w:val="en-GB"/>
        </w:rPr>
        <w:t>2022, p</w:t>
      </w:r>
      <w:r w:rsidR="00E16A5F">
        <w:rPr>
          <w:lang w:val="en-GB"/>
        </w:rPr>
        <w:t>p</w:t>
      </w:r>
      <w:r w:rsidRPr="00D25549">
        <w:rPr>
          <w:lang w:val="en-GB"/>
        </w:rPr>
        <w:t>.7</w:t>
      </w:r>
      <w:r w:rsidR="00E16A5F">
        <w:rPr>
          <w:lang w:val="en-GB"/>
        </w:rPr>
        <w:t xml:space="preserve">f., </w:t>
      </w:r>
      <w:hyperlink r:id="rId16" w:history="1">
        <w:r w:rsidR="00E16A5F" w:rsidRPr="00D25549">
          <w:rPr>
            <w:rStyle w:val="Hyperlink"/>
            <w:lang w:val="en-GB"/>
          </w:rPr>
          <w:t>https://www.djb.de/presse/stellungnahmen/detail/st22-26</w:t>
        </w:r>
      </w:hyperlink>
      <w:r w:rsidRPr="00D25549">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0F1F6" w14:textId="77777777" w:rsidR="000E35DC" w:rsidRDefault="00BE0C32">
    <w:pPr>
      <w:pStyle w:val="Kopfzeile1"/>
      <w:spacing w:before="80"/>
      <w:jc w:val="right"/>
    </w:pPr>
    <w:r>
      <w:rPr>
        <w:noProof/>
      </w:rPr>
      <w:drawing>
        <wp:inline distT="0" distB="0" distL="0" distR="0" wp14:anchorId="39F9C29E" wp14:editId="3DABE9C9">
          <wp:extent cx="2338070" cy="93535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noChangeArrowheads="1"/>
                  </pic:cNvPicPr>
                </pic:nvPicPr>
                <pic:blipFill>
                  <a:blip r:embed="rId1"/>
                  <a:stretch>
                    <a:fillRect/>
                  </a:stretch>
                </pic:blipFill>
                <pic:spPr bwMode="auto">
                  <a:xfrm>
                    <a:off x="0" y="0"/>
                    <a:ext cx="233807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A254C"/>
    <w:multiLevelType w:val="multilevel"/>
    <w:tmpl w:val="2F7AC91C"/>
    <w:lvl w:ilvl="0">
      <w:start w:val="1"/>
      <w:numFmt w:val="bullet"/>
      <w:pStyle w:val="Aufzhlungszeichen"/>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F1C6CBD"/>
    <w:multiLevelType w:val="multilevel"/>
    <w:tmpl w:val="BBB491A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F705C96"/>
    <w:multiLevelType w:val="multilevel"/>
    <w:tmpl w:val="4FA84D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92527386">
    <w:abstractNumId w:val="0"/>
  </w:num>
  <w:num w:numId="2" w16cid:durableId="653023801">
    <w:abstractNumId w:val="1"/>
  </w:num>
  <w:num w:numId="3" w16cid:durableId="688457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5DC"/>
    <w:rsid w:val="000A59DE"/>
    <w:rsid w:val="000E35DC"/>
    <w:rsid w:val="000F5312"/>
    <w:rsid w:val="0013567B"/>
    <w:rsid w:val="00151E93"/>
    <w:rsid w:val="00164095"/>
    <w:rsid w:val="001A404A"/>
    <w:rsid w:val="001C331E"/>
    <w:rsid w:val="001E44C0"/>
    <w:rsid w:val="002213EC"/>
    <w:rsid w:val="00272271"/>
    <w:rsid w:val="00287019"/>
    <w:rsid w:val="0035790C"/>
    <w:rsid w:val="00393E8B"/>
    <w:rsid w:val="003A2A8D"/>
    <w:rsid w:val="0047244A"/>
    <w:rsid w:val="00492798"/>
    <w:rsid w:val="004F25C9"/>
    <w:rsid w:val="005173C6"/>
    <w:rsid w:val="00523E5D"/>
    <w:rsid w:val="00542C70"/>
    <w:rsid w:val="005B58F4"/>
    <w:rsid w:val="005C76A2"/>
    <w:rsid w:val="005D01A4"/>
    <w:rsid w:val="005E0CC3"/>
    <w:rsid w:val="005F36F6"/>
    <w:rsid w:val="006418A6"/>
    <w:rsid w:val="006443F7"/>
    <w:rsid w:val="00650065"/>
    <w:rsid w:val="006637EF"/>
    <w:rsid w:val="006A76C2"/>
    <w:rsid w:val="006B7308"/>
    <w:rsid w:val="006F3224"/>
    <w:rsid w:val="0075301D"/>
    <w:rsid w:val="00772936"/>
    <w:rsid w:val="007F0E2B"/>
    <w:rsid w:val="00812C72"/>
    <w:rsid w:val="0082574E"/>
    <w:rsid w:val="00856A72"/>
    <w:rsid w:val="00862D13"/>
    <w:rsid w:val="00867316"/>
    <w:rsid w:val="008C4D9F"/>
    <w:rsid w:val="00915030"/>
    <w:rsid w:val="00922811"/>
    <w:rsid w:val="009553C7"/>
    <w:rsid w:val="009832EE"/>
    <w:rsid w:val="009A2EDF"/>
    <w:rsid w:val="009B6685"/>
    <w:rsid w:val="009D64A7"/>
    <w:rsid w:val="00A06A68"/>
    <w:rsid w:val="00A51C04"/>
    <w:rsid w:val="00AD024F"/>
    <w:rsid w:val="00B11679"/>
    <w:rsid w:val="00B24689"/>
    <w:rsid w:val="00B35703"/>
    <w:rsid w:val="00B418C6"/>
    <w:rsid w:val="00B70502"/>
    <w:rsid w:val="00B71550"/>
    <w:rsid w:val="00BE0C32"/>
    <w:rsid w:val="00C00ADD"/>
    <w:rsid w:val="00C106C4"/>
    <w:rsid w:val="00C6011A"/>
    <w:rsid w:val="00C85FF6"/>
    <w:rsid w:val="00CA3722"/>
    <w:rsid w:val="00CC2D59"/>
    <w:rsid w:val="00CC5FDE"/>
    <w:rsid w:val="00CD4BE6"/>
    <w:rsid w:val="00CE2907"/>
    <w:rsid w:val="00CF7B72"/>
    <w:rsid w:val="00D25549"/>
    <w:rsid w:val="00D271CE"/>
    <w:rsid w:val="00D652FC"/>
    <w:rsid w:val="00DA7A17"/>
    <w:rsid w:val="00E16A5F"/>
    <w:rsid w:val="00E34424"/>
    <w:rsid w:val="00E72AB3"/>
    <w:rsid w:val="00E9548C"/>
    <w:rsid w:val="00E97634"/>
    <w:rsid w:val="00EB4783"/>
    <w:rsid w:val="00EF0C80"/>
    <w:rsid w:val="00F06BE1"/>
    <w:rsid w:val="00F11D15"/>
    <w:rsid w:val="00F47D1F"/>
    <w:rsid w:val="00FB5B39"/>
    <w:rsid w:val="00FC17A8"/>
    <w:rsid w:val="00FF7CF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016C9"/>
  <w15:docId w15:val="{4A0D4AE8-B17E-FE43-9EB8-4BFC4C5B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de-DE" w:eastAsia="de-DE"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C0071"/>
    <w:pPr>
      <w:spacing w:after="120"/>
      <w:jc w:val="both"/>
    </w:pPr>
    <w:rPr>
      <w:rFonts w:ascii="Calibri" w:eastAsia="Times New Roman" w:hAnsi="Calibri"/>
      <w:color w:val="00000A"/>
      <w:sz w:val="24"/>
    </w:rPr>
  </w:style>
  <w:style w:type="paragraph" w:styleId="berschrift1">
    <w:name w:val="heading 1"/>
    <w:basedOn w:val="Standard"/>
    <w:next w:val="Standard"/>
    <w:link w:val="berschrift1Zchn"/>
    <w:uiPriority w:val="9"/>
    <w:qFormat/>
    <w:rsid w:val="00FC0071"/>
    <w:pPr>
      <w:outlineLvl w:val="0"/>
    </w:pPr>
    <w:rPr>
      <w:rFonts w:ascii="Calibri Light" w:eastAsiaTheme="majorEastAsia" w:hAnsi="Calibri Light" w:cstheme="majorBidi"/>
      <w:iCs/>
      <w:color w:val="006699"/>
      <w:sz w:val="32"/>
    </w:rPr>
  </w:style>
  <w:style w:type="paragraph" w:styleId="berschrift2">
    <w:name w:val="heading 2"/>
    <w:basedOn w:val="berschrift1"/>
    <w:next w:val="Standard"/>
    <w:link w:val="berschrift2Zchn"/>
    <w:uiPriority w:val="9"/>
    <w:qFormat/>
    <w:rsid w:val="009B2712"/>
    <w:pPr>
      <w:spacing w:before="360"/>
      <w:outlineLvl w:val="1"/>
    </w:pPr>
    <w:rPr>
      <w:sz w:val="28"/>
    </w:rPr>
  </w:style>
  <w:style w:type="paragraph" w:styleId="berschrift3">
    <w:name w:val="heading 3"/>
    <w:basedOn w:val="berschrift2"/>
    <w:next w:val="Standard"/>
    <w:link w:val="berschrift3Zchn"/>
    <w:uiPriority w:val="9"/>
    <w:unhideWhenUsed/>
    <w:qFormat/>
    <w:rsid w:val="00A3251C"/>
    <w:pPr>
      <w:keepNext/>
      <w:outlineLvl w:val="2"/>
    </w:pPr>
    <w:rPr>
      <w:sz w:val="26"/>
    </w:rPr>
  </w:style>
  <w:style w:type="paragraph" w:styleId="berschrift4">
    <w:name w:val="heading 4"/>
    <w:basedOn w:val="Standard"/>
    <w:next w:val="Standard"/>
    <w:link w:val="berschrift4Zchn"/>
    <w:uiPriority w:val="9"/>
    <w:unhideWhenUsed/>
    <w:qFormat/>
    <w:rsid w:val="001A2E62"/>
    <w:pPr>
      <w:keepNext/>
      <w:keepLines/>
      <w:tabs>
        <w:tab w:val="left" w:pos="340"/>
      </w:tabs>
      <w:spacing w:before="240"/>
      <w:ind w:left="340" w:hanging="340"/>
      <w:outlineLvl w:val="3"/>
    </w:pPr>
    <w:rPr>
      <w:rFonts w:ascii="Calibri Light" w:eastAsiaTheme="majorEastAsia" w:hAnsi="Calibri Light" w:cstheme="majorBidi"/>
      <w:iCs/>
      <w:color w:val="006699"/>
    </w:rPr>
  </w:style>
  <w:style w:type="paragraph" w:styleId="berschrift5">
    <w:name w:val="heading 5"/>
    <w:basedOn w:val="Standard"/>
    <w:next w:val="Standard"/>
    <w:link w:val="berschrift5Zchn"/>
    <w:uiPriority w:val="9"/>
    <w:unhideWhenUsed/>
    <w:qFormat/>
    <w:rsid w:val="003C34E8"/>
    <w:pPr>
      <w:keepNext/>
      <w:keepLines/>
      <w:spacing w:before="40" w:after="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unhideWhenUsed/>
    <w:qFormat/>
    <w:rsid w:val="00D30244"/>
    <w:pPr>
      <w:keepNext/>
      <w:keepLines/>
      <w:spacing w:before="240" w:after="80" w:line="276" w:lineRule="auto"/>
      <w:outlineLvl w:val="5"/>
    </w:pPr>
    <w:rPr>
      <w:rFonts w:ascii="Times New Roman" w:hAnsi="Times New Roman"/>
      <w:iCs/>
      <w:color w:val="auto"/>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qFormat/>
    <w:rsid w:val="0076777C"/>
    <w:rPr>
      <w:rFonts w:cs="Times New Roman"/>
    </w:rPr>
  </w:style>
  <w:style w:type="character" w:styleId="Hyperlink">
    <w:name w:val="Hyperlink"/>
    <w:basedOn w:val="Absatz-Standardschriftart"/>
    <w:uiPriority w:val="99"/>
    <w:unhideWhenUsed/>
    <w:rsid w:val="00447E8A"/>
    <w:rPr>
      <w:color w:val="0563C1" w:themeColor="hyperlink"/>
      <w:u w:val="single"/>
    </w:rPr>
  </w:style>
  <w:style w:type="character" w:customStyle="1" w:styleId="FuzeileZchn">
    <w:name w:val="Fußzeile Zchn"/>
    <w:link w:val="Fuzeile1"/>
    <w:uiPriority w:val="99"/>
    <w:qFormat/>
    <w:locked/>
    <w:rsid w:val="0076777C"/>
    <w:rPr>
      <w:rFonts w:ascii="Calibri" w:hAnsi="Calibri"/>
      <w:lang w:val="de-DE" w:eastAsia="de-DE" w:bidi="ar-SA"/>
    </w:rPr>
  </w:style>
  <w:style w:type="character" w:customStyle="1" w:styleId="FunotentextZchn">
    <w:name w:val="Fußnotentext Zchn"/>
    <w:link w:val="Funotentext"/>
    <w:uiPriority w:val="99"/>
    <w:qFormat/>
    <w:locked/>
    <w:rsid w:val="005A3019"/>
    <w:rPr>
      <w:rFonts w:ascii="Calibri" w:eastAsia="Times New Roman" w:hAnsi="Calibri"/>
      <w:color w:val="00000A"/>
      <w:sz w:val="18"/>
    </w:rPr>
  </w:style>
  <w:style w:type="character" w:customStyle="1" w:styleId="Funotenzeichen1">
    <w:name w:val="Fußnotenzeichen1"/>
    <w:uiPriority w:val="99"/>
    <w:qFormat/>
    <w:rsid w:val="00B14834"/>
    <w:rPr>
      <w:vertAlign w:val="superscript"/>
    </w:rPr>
  </w:style>
  <w:style w:type="character" w:styleId="Funotenzeichen">
    <w:name w:val="footnote reference"/>
    <w:rPr>
      <w:vertAlign w:val="superscript"/>
    </w:rPr>
  </w:style>
  <w:style w:type="character" w:customStyle="1" w:styleId="ZchnZchn4">
    <w:name w:val="Zchn Zchn4"/>
    <w:semiHidden/>
    <w:qFormat/>
    <w:locked/>
    <w:rsid w:val="006A3213"/>
    <w:rPr>
      <w:rFonts w:ascii="Calibri" w:eastAsia="SimSun" w:hAnsi="Calibri" w:cs="Calibri"/>
      <w:color w:val="00000A"/>
      <w:sz w:val="20"/>
      <w:szCs w:val="20"/>
      <w:lang w:val="x-none" w:eastAsia="en-US"/>
    </w:rPr>
  </w:style>
  <w:style w:type="character" w:styleId="Kommentarzeichen">
    <w:name w:val="annotation reference"/>
    <w:uiPriority w:val="99"/>
    <w:unhideWhenUsed/>
    <w:qFormat/>
    <w:rsid w:val="00AF48D8"/>
    <w:rPr>
      <w:sz w:val="18"/>
      <w:szCs w:val="18"/>
    </w:rPr>
  </w:style>
  <w:style w:type="character" w:customStyle="1" w:styleId="KommentartextZchn">
    <w:name w:val="Kommentartext Zchn"/>
    <w:link w:val="Kommentartext"/>
    <w:uiPriority w:val="99"/>
    <w:qFormat/>
    <w:rsid w:val="00AF48D8"/>
    <w:rPr>
      <w:rFonts w:ascii="Arial" w:eastAsia="Times New Roman" w:hAnsi="Arial"/>
      <w:color w:val="00000A"/>
      <w:sz w:val="24"/>
      <w:szCs w:val="24"/>
    </w:rPr>
  </w:style>
  <w:style w:type="character" w:customStyle="1" w:styleId="NichtaufgelsteErwhnung1">
    <w:name w:val="Nicht aufgelöste Erwähnung1"/>
    <w:uiPriority w:val="99"/>
    <w:semiHidden/>
    <w:unhideWhenUsed/>
    <w:qFormat/>
    <w:rsid w:val="00FA2B22"/>
    <w:rPr>
      <w:color w:val="605E5C"/>
      <w:shd w:val="clear" w:color="auto" w:fill="E1DFDD"/>
    </w:rPr>
  </w:style>
  <w:style w:type="character" w:customStyle="1" w:styleId="KopfzeileZchn">
    <w:name w:val="Kopfzeile Zchn"/>
    <w:basedOn w:val="Absatz-Standardschriftart"/>
    <w:link w:val="Kopfzeile"/>
    <w:uiPriority w:val="99"/>
    <w:qFormat/>
    <w:rsid w:val="00964319"/>
    <w:rPr>
      <w:rFonts w:ascii="Calibri" w:eastAsia="Times New Roman" w:hAnsi="Calibri"/>
      <w:color w:val="00000A"/>
      <w:sz w:val="24"/>
    </w:rPr>
  </w:style>
  <w:style w:type="character" w:customStyle="1" w:styleId="FuzeileZchn1">
    <w:name w:val="Fußzeile Zchn1"/>
    <w:basedOn w:val="Absatz-Standardschriftart"/>
    <w:link w:val="Fuzeile"/>
    <w:qFormat/>
    <w:rsid w:val="00964319"/>
    <w:rPr>
      <w:rFonts w:ascii="Calibri" w:eastAsia="Times New Roman" w:hAnsi="Calibri"/>
      <w:color w:val="00000A"/>
      <w:sz w:val="24"/>
    </w:rPr>
  </w:style>
  <w:style w:type="character" w:customStyle="1" w:styleId="NichtaufgelsteErwhnung2">
    <w:name w:val="Nicht aufgelöste Erwähnung2"/>
    <w:basedOn w:val="Absatz-Standardschriftart"/>
    <w:uiPriority w:val="99"/>
    <w:semiHidden/>
    <w:unhideWhenUsed/>
    <w:qFormat/>
    <w:rsid w:val="00447E8A"/>
    <w:rPr>
      <w:color w:val="605E5C"/>
      <w:shd w:val="clear" w:color="auto" w:fill="E1DFDD"/>
    </w:rPr>
  </w:style>
  <w:style w:type="character" w:customStyle="1" w:styleId="KommentarthemaZchn">
    <w:name w:val="Kommentarthema Zchn"/>
    <w:basedOn w:val="KommentartextZchn"/>
    <w:link w:val="Kommentarthema"/>
    <w:uiPriority w:val="99"/>
    <w:semiHidden/>
    <w:qFormat/>
    <w:rsid w:val="002D5116"/>
    <w:rPr>
      <w:rFonts w:ascii="Calibri" w:eastAsia="Times New Roman" w:hAnsi="Calibri"/>
      <w:b/>
      <w:bCs/>
      <w:color w:val="00000A"/>
      <w:sz w:val="24"/>
      <w:szCs w:val="24"/>
    </w:rPr>
  </w:style>
  <w:style w:type="character" w:customStyle="1" w:styleId="berschrift2Zchn">
    <w:name w:val="Überschrift 2 Zchn"/>
    <w:basedOn w:val="Absatz-Standardschriftart"/>
    <w:link w:val="berschrift2"/>
    <w:uiPriority w:val="9"/>
    <w:qFormat/>
    <w:rsid w:val="009B2712"/>
    <w:rPr>
      <w:rFonts w:ascii="Calibri Light" w:eastAsiaTheme="majorEastAsia" w:hAnsi="Calibri Light" w:cstheme="majorBidi"/>
      <w:iCs/>
      <w:color w:val="006699"/>
      <w:sz w:val="28"/>
    </w:rPr>
  </w:style>
  <w:style w:type="character" w:customStyle="1" w:styleId="berschrift3Zchn">
    <w:name w:val="Überschrift 3 Zchn"/>
    <w:basedOn w:val="Absatz-Standardschriftart"/>
    <w:link w:val="berschrift3"/>
    <w:uiPriority w:val="9"/>
    <w:qFormat/>
    <w:rsid w:val="00A3251C"/>
    <w:rPr>
      <w:rFonts w:ascii="Calibri Light" w:eastAsiaTheme="majorEastAsia" w:hAnsi="Calibri Light" w:cstheme="majorBidi"/>
      <w:iCs/>
      <w:color w:val="006699"/>
      <w:sz w:val="26"/>
    </w:rPr>
  </w:style>
  <w:style w:type="character" w:customStyle="1" w:styleId="NichtaufgelsteErwhnung4">
    <w:name w:val="Nicht aufgelöste Erwähnung4"/>
    <w:basedOn w:val="Absatz-Standardschriftart"/>
    <w:uiPriority w:val="99"/>
    <w:semiHidden/>
    <w:unhideWhenUsed/>
    <w:qFormat/>
    <w:rsid w:val="00801251"/>
    <w:rPr>
      <w:color w:val="605E5C"/>
      <w:shd w:val="clear" w:color="auto" w:fill="E1DFDD"/>
    </w:rPr>
  </w:style>
  <w:style w:type="character" w:customStyle="1" w:styleId="berschrift4Zchn">
    <w:name w:val="Überschrift 4 Zchn"/>
    <w:basedOn w:val="Absatz-Standardschriftart"/>
    <w:link w:val="berschrift4"/>
    <w:uiPriority w:val="9"/>
    <w:qFormat/>
    <w:rsid w:val="001A2E62"/>
    <w:rPr>
      <w:rFonts w:ascii="Calibri Light" w:eastAsiaTheme="majorEastAsia" w:hAnsi="Calibri Light" w:cstheme="majorBidi"/>
      <w:iCs/>
      <w:color w:val="006699"/>
      <w:sz w:val="24"/>
    </w:rPr>
  </w:style>
  <w:style w:type="character" w:customStyle="1" w:styleId="DokumentstrukturZchn">
    <w:name w:val="Dokumentstruktur Zchn"/>
    <w:basedOn w:val="Absatz-Standardschriftart"/>
    <w:link w:val="Dokumentstruktur"/>
    <w:semiHidden/>
    <w:qFormat/>
    <w:rsid w:val="00996EB4"/>
    <w:rPr>
      <w:rFonts w:ascii="Lucida Grande" w:eastAsia="Times New Roman" w:hAnsi="Lucida Grande" w:cs="Lucida Grande"/>
      <w:color w:val="00000A"/>
      <w:sz w:val="24"/>
      <w:szCs w:val="24"/>
    </w:rPr>
  </w:style>
  <w:style w:type="character" w:customStyle="1" w:styleId="berschrift1Zchn">
    <w:name w:val="Überschrift 1 Zchn"/>
    <w:basedOn w:val="Absatz-Standardschriftart"/>
    <w:link w:val="berschrift1"/>
    <w:uiPriority w:val="9"/>
    <w:qFormat/>
    <w:rsid w:val="00FC0071"/>
    <w:rPr>
      <w:rFonts w:ascii="Calibri Light" w:eastAsiaTheme="majorEastAsia" w:hAnsi="Calibri Light" w:cstheme="majorBidi"/>
      <w:iCs/>
      <w:color w:val="006699"/>
      <w:sz w:val="32"/>
    </w:rPr>
  </w:style>
  <w:style w:type="character" w:customStyle="1" w:styleId="A8">
    <w:name w:val="A8"/>
    <w:uiPriority w:val="99"/>
    <w:qFormat/>
    <w:rsid w:val="002433C8"/>
    <w:rPr>
      <w:rFonts w:ascii="Tahoma" w:hAnsi="Tahoma" w:cs="Tahoma"/>
      <w:color w:val="000000"/>
      <w:sz w:val="16"/>
      <w:szCs w:val="16"/>
    </w:rPr>
  </w:style>
  <w:style w:type="character" w:customStyle="1" w:styleId="NichtaufgelsteErwhnung5">
    <w:name w:val="Nicht aufgelöste Erwähnung5"/>
    <w:basedOn w:val="Absatz-Standardschriftart"/>
    <w:uiPriority w:val="99"/>
    <w:semiHidden/>
    <w:unhideWhenUsed/>
    <w:qFormat/>
    <w:rsid w:val="00CD29C5"/>
    <w:rPr>
      <w:color w:val="605E5C"/>
      <w:shd w:val="clear" w:color="auto" w:fill="E1DFDD"/>
    </w:rPr>
  </w:style>
  <w:style w:type="character" w:styleId="BesuchterLink">
    <w:name w:val="FollowedHyperlink"/>
    <w:basedOn w:val="Absatz-Standardschriftart"/>
    <w:uiPriority w:val="99"/>
    <w:semiHidden/>
    <w:unhideWhenUsed/>
    <w:rsid w:val="00CD29C5"/>
    <w:rPr>
      <w:color w:val="954F72" w:themeColor="followedHyperlink"/>
      <w:u w:val="single"/>
    </w:rPr>
  </w:style>
  <w:style w:type="character" w:customStyle="1" w:styleId="author">
    <w:name w:val="author"/>
    <w:basedOn w:val="Absatz-Standardschriftart"/>
    <w:qFormat/>
    <w:rsid w:val="00131707"/>
  </w:style>
  <w:style w:type="character" w:customStyle="1" w:styleId="HTMLVorformatiertZchn">
    <w:name w:val="HTML Vorformatiert Zchn"/>
    <w:basedOn w:val="Absatz-Standardschriftart"/>
    <w:link w:val="HTMLVorformatiert"/>
    <w:uiPriority w:val="99"/>
    <w:qFormat/>
    <w:rsid w:val="008A546F"/>
    <w:rPr>
      <w:rFonts w:ascii="Courier New" w:eastAsia="Times New Roman" w:hAnsi="Courier New" w:cs="Courier New"/>
    </w:rPr>
  </w:style>
  <w:style w:type="character" w:customStyle="1" w:styleId="Hyperlink0">
    <w:name w:val="Hyperlink.0"/>
    <w:basedOn w:val="Hyperlink"/>
    <w:qFormat/>
    <w:rsid w:val="00C5084F"/>
    <w:rPr>
      <w:color w:val="0563C1" w:themeColor="hyperlink"/>
      <w:u w:val="single"/>
    </w:rPr>
  </w:style>
  <w:style w:type="character" w:customStyle="1" w:styleId="NichtaufgelsteErwhnung6">
    <w:name w:val="Nicht aufgelöste Erwähnung6"/>
    <w:basedOn w:val="Absatz-Standardschriftart"/>
    <w:uiPriority w:val="99"/>
    <w:semiHidden/>
    <w:unhideWhenUsed/>
    <w:qFormat/>
    <w:rsid w:val="00B62DEE"/>
    <w:rPr>
      <w:color w:val="605E5C"/>
      <w:shd w:val="clear" w:color="auto" w:fill="E1DFDD"/>
    </w:rPr>
  </w:style>
  <w:style w:type="character" w:customStyle="1" w:styleId="berschrift5Zchn">
    <w:name w:val="Überschrift 5 Zchn"/>
    <w:basedOn w:val="Absatz-Standardschriftart"/>
    <w:link w:val="berschrift5"/>
    <w:qFormat/>
    <w:rsid w:val="003C34E8"/>
    <w:rPr>
      <w:rFonts w:asciiTheme="majorHAnsi" w:eastAsiaTheme="majorEastAsia" w:hAnsiTheme="majorHAnsi" w:cstheme="majorBidi"/>
      <w:color w:val="2F5496" w:themeColor="accent1" w:themeShade="BF"/>
      <w:sz w:val="24"/>
    </w:rPr>
  </w:style>
  <w:style w:type="character" w:customStyle="1" w:styleId="etyp">
    <w:name w:val="etyp"/>
    <w:basedOn w:val="Absatz-Standardschriftart"/>
    <w:qFormat/>
    <w:rsid w:val="00082A70"/>
    <w:rPr>
      <w:i w:val="0"/>
      <w:iCs w:val="0"/>
    </w:rPr>
  </w:style>
  <w:style w:type="character" w:customStyle="1" w:styleId="edat">
    <w:name w:val="edat"/>
    <w:basedOn w:val="Absatz-Standardschriftart"/>
    <w:qFormat/>
    <w:rsid w:val="00082A70"/>
  </w:style>
  <w:style w:type="character" w:customStyle="1" w:styleId="NichtaufgelsteErwhnung7">
    <w:name w:val="Nicht aufgelöste Erwähnung7"/>
    <w:basedOn w:val="Absatz-Standardschriftart"/>
    <w:uiPriority w:val="99"/>
    <w:semiHidden/>
    <w:unhideWhenUsed/>
    <w:qFormat/>
    <w:rsid w:val="00D3659D"/>
    <w:rPr>
      <w:color w:val="605E5C"/>
      <w:shd w:val="clear" w:color="auto" w:fill="E1DFDD"/>
    </w:rPr>
  </w:style>
  <w:style w:type="character" w:styleId="Hervorhebung">
    <w:name w:val="Emphasis"/>
    <w:basedOn w:val="Absatz-Standardschriftart"/>
    <w:uiPriority w:val="20"/>
    <w:qFormat/>
    <w:rsid w:val="008B506B"/>
    <w:rPr>
      <w:i/>
      <w:iCs/>
    </w:rPr>
  </w:style>
  <w:style w:type="character" w:styleId="NichtaufgelsteErwhnung">
    <w:name w:val="Unresolved Mention"/>
    <w:basedOn w:val="Absatz-Standardschriftart"/>
    <w:uiPriority w:val="99"/>
    <w:semiHidden/>
    <w:unhideWhenUsed/>
    <w:qFormat/>
    <w:rsid w:val="0071452B"/>
    <w:rPr>
      <w:color w:val="605E5C"/>
      <w:shd w:val="clear" w:color="auto" w:fill="E1DFDD"/>
    </w:rPr>
  </w:style>
  <w:style w:type="character" w:styleId="IntensiverVerweis">
    <w:name w:val="Intense Reference"/>
    <w:basedOn w:val="Absatz-Standardschriftart"/>
    <w:uiPriority w:val="32"/>
    <w:qFormat/>
    <w:rsid w:val="007C5F30"/>
    <w:rPr>
      <w:b/>
      <w:bCs/>
      <w:smallCaps/>
      <w:color w:val="4472C4" w:themeColor="accent1"/>
      <w:spacing w:val="5"/>
    </w:rPr>
  </w:style>
  <w:style w:type="character" w:customStyle="1" w:styleId="EndnotentextZchn">
    <w:name w:val="Endnotentext Zchn"/>
    <w:basedOn w:val="Absatz-Standardschriftart"/>
    <w:link w:val="Endnotentext"/>
    <w:uiPriority w:val="99"/>
    <w:qFormat/>
    <w:rsid w:val="006D45A3"/>
    <w:rPr>
      <w:rFonts w:asciiTheme="minorHAnsi" w:eastAsiaTheme="minorHAnsi" w:hAnsiTheme="minorHAnsi" w:cstheme="minorBidi"/>
      <w:lang w:eastAsia="en-US"/>
    </w:rPr>
  </w:style>
  <w:style w:type="character" w:customStyle="1" w:styleId="FootnoteCharacters">
    <w:name w:val="Footnote Characters"/>
    <w:qFormat/>
    <w:rsid w:val="00886FBD"/>
  </w:style>
  <w:style w:type="character" w:customStyle="1" w:styleId="FootnoteAnchor">
    <w:name w:val="Footnote Anchor"/>
    <w:qFormat/>
    <w:rsid w:val="00886FBD"/>
    <w:rPr>
      <w:vertAlign w:val="superscript"/>
    </w:rPr>
  </w:style>
  <w:style w:type="character" w:customStyle="1" w:styleId="berschrift6Zchn">
    <w:name w:val="Überschrift 6 Zchn"/>
    <w:basedOn w:val="Absatz-Standardschriftart"/>
    <w:link w:val="berschrift6"/>
    <w:uiPriority w:val="9"/>
    <w:qFormat/>
    <w:rsid w:val="00D30244"/>
    <w:rPr>
      <w:rFonts w:eastAsia="Times New Roman"/>
      <w:iCs/>
      <w:sz w:val="24"/>
      <w:szCs w:val="24"/>
      <w:lang w:val="de-DE"/>
    </w:rPr>
  </w:style>
  <w:style w:type="character" w:customStyle="1" w:styleId="TitelZchn">
    <w:name w:val="Titel Zchn"/>
    <w:basedOn w:val="Absatz-Standardschriftart"/>
    <w:link w:val="Titel"/>
    <w:uiPriority w:val="10"/>
    <w:qFormat/>
    <w:rsid w:val="00D30244"/>
    <w:rPr>
      <w:rFonts w:eastAsia="Times New Roman"/>
      <w:sz w:val="52"/>
      <w:szCs w:val="52"/>
      <w:lang w:val="de-DE"/>
    </w:rPr>
  </w:style>
  <w:style w:type="character" w:customStyle="1" w:styleId="UntertitelZchn">
    <w:name w:val="Untertitel Zchn"/>
    <w:basedOn w:val="Absatz-Standardschriftart"/>
    <w:link w:val="Untertitel"/>
    <w:uiPriority w:val="11"/>
    <w:qFormat/>
    <w:rsid w:val="00D30244"/>
    <w:rPr>
      <w:rFonts w:ascii="Arial" w:eastAsia="Arial" w:hAnsi="Arial" w:cs="Arial"/>
      <w:color w:val="666666"/>
      <w:sz w:val="30"/>
      <w:szCs w:val="30"/>
      <w:lang w:val="de-DE"/>
    </w:rPr>
  </w:style>
  <w:style w:type="character" w:customStyle="1" w:styleId="SprechblasentextZchn">
    <w:name w:val="Sprechblasentext Zchn"/>
    <w:basedOn w:val="Absatz-Standardschriftart"/>
    <w:link w:val="Sprechblasentext"/>
    <w:uiPriority w:val="99"/>
    <w:semiHidden/>
    <w:qFormat/>
    <w:rsid w:val="00D30244"/>
    <w:rPr>
      <w:rFonts w:ascii="Tahoma" w:eastAsia="Times New Roman" w:hAnsi="Tahoma" w:cs="Tahoma"/>
      <w:color w:val="00000A"/>
      <w:sz w:val="16"/>
      <w:szCs w:val="16"/>
    </w:rPr>
  </w:style>
  <w:style w:type="character" w:customStyle="1" w:styleId="ZitatZchn">
    <w:name w:val="Zitat Zchn"/>
    <w:basedOn w:val="Absatz-Standardschriftart"/>
    <w:link w:val="Zitat"/>
    <w:uiPriority w:val="29"/>
    <w:qFormat/>
    <w:rsid w:val="00892711"/>
    <w:rPr>
      <w:rFonts w:ascii="Calibri" w:eastAsia="Times New Roman" w:hAnsi="Calibri"/>
      <w:i/>
      <w:iCs/>
      <w:color w:val="404040" w:themeColor="text1" w:themeTint="BF"/>
      <w:sz w:val="24"/>
    </w:rPr>
  </w:style>
  <w:style w:type="character" w:customStyle="1" w:styleId="Internetlink">
    <w:name w:val="Internetlink"/>
    <w:basedOn w:val="Absatz-Standardschriftart"/>
    <w:uiPriority w:val="99"/>
    <w:semiHidden/>
    <w:unhideWhenUsed/>
    <w:qFormat/>
    <w:rsid w:val="0031414D"/>
    <w:rPr>
      <w:color w:val="0000FF"/>
      <w:u w:val="single"/>
    </w:rPr>
  </w:style>
  <w:style w:type="character" w:customStyle="1" w:styleId="Link">
    <w:name w:val="Link"/>
    <w:qFormat/>
    <w:rsid w:val="00FC0071"/>
    <w:rPr>
      <w:color w:val="0000FF"/>
      <w:u w:val="single" w:color="0000FF"/>
      <w14:textOutline w14:w="0" w14:cap="rnd" w14:cmpd="sng" w14:algn="ctr">
        <w14:noFill/>
        <w14:prstDash w14:val="solid"/>
        <w14:bevel/>
      </w14:textOutline>
    </w:rPr>
  </w:style>
  <w:style w:type="character" w:customStyle="1" w:styleId="None">
    <w:name w:val="None"/>
    <w:qFormat/>
    <w:rsid w:val="00FC0071"/>
  </w:style>
  <w:style w:type="character" w:customStyle="1" w:styleId="Hyperlink1">
    <w:name w:val="Hyperlink.1"/>
    <w:basedOn w:val="None"/>
    <w:qFormat/>
    <w:rsid w:val="00FC0071"/>
    <w:rPr>
      <w:rFonts w:ascii="Helvetica Neue" w:eastAsia="Helvetica Neue" w:hAnsi="Helvetica Neue" w:cs="Helvetica Neue"/>
      <w:color w:val="000000"/>
      <w:sz w:val="18"/>
      <w:szCs w:val="18"/>
      <w:u w:val="single" w:color="000000"/>
      <w14:textOutline w14:w="0" w14:cap="rnd" w14:cmpd="sng" w14:algn="ctr">
        <w14:noFill/>
        <w14:prstDash w14:val="solid"/>
        <w14:bevel/>
      </w14:textOutline>
    </w:rPr>
  </w:style>
  <w:style w:type="character" w:customStyle="1" w:styleId="Hyperlink2">
    <w:name w:val="Hyperlink.2"/>
    <w:basedOn w:val="None"/>
    <w:qFormat/>
    <w:rsid w:val="00FC0071"/>
    <w:rPr>
      <w:rFonts w:ascii="Helvetica Neue" w:eastAsia="Helvetica Neue" w:hAnsi="Helvetica Neue" w:cs="Helvetica Neue"/>
      <w:color w:val="000000"/>
      <w:sz w:val="18"/>
      <w:szCs w:val="18"/>
      <w:u w:val="single" w:color="000000"/>
      <w:lang w:val="en-US"/>
      <w14:textOutline w14:w="0" w14:cap="rnd" w14:cmpd="sng" w14:algn="ctr">
        <w14:noFill/>
        <w14:prstDash w14:val="solid"/>
        <w14:bevel/>
      </w14:textOutline>
    </w:rPr>
  </w:style>
  <w:style w:type="character" w:customStyle="1" w:styleId="Hyperlink3">
    <w:name w:val="Hyperlink.3"/>
    <w:basedOn w:val="None"/>
    <w:qFormat/>
    <w:rsid w:val="00FC0071"/>
    <w:rPr>
      <w:rFonts w:ascii="Helvetica Neue" w:eastAsia="Helvetica Neue" w:hAnsi="Helvetica Neue" w:cs="Helvetica Neue"/>
      <w:color w:val="000000"/>
      <w:sz w:val="18"/>
      <w:szCs w:val="18"/>
      <w:u w:val="single" w:color="000000"/>
      <w:lang w:val="de-DE"/>
      <w14:textOutline w14:w="0" w14:cap="rnd" w14:cmpd="sng" w14:algn="ctr">
        <w14:noFill/>
        <w14:prstDash w14:val="solid"/>
        <w14:bevel/>
      </w14:textOutline>
    </w:rPr>
  </w:style>
  <w:style w:type="character" w:customStyle="1" w:styleId="ForderungenZchn">
    <w:name w:val="Forderungen Zchn"/>
    <w:basedOn w:val="Absatz-Standardschriftart"/>
    <w:link w:val="Forderungen"/>
    <w:qFormat/>
    <w:rsid w:val="00BB62DA"/>
    <w:rPr>
      <w:rFonts w:ascii="Soleil Lt" w:eastAsia="Times New Roman" w:hAnsi="Soleil Lt"/>
      <w:color w:val="00000A"/>
      <w:sz w:val="18"/>
      <w:bdr w:val="single" w:sz="4" w:space="0" w:color="E0EEFA"/>
      <w:shd w:val="clear" w:color="auto" w:fill="E0EEFA"/>
    </w:rPr>
  </w:style>
  <w:style w:type="character" w:customStyle="1" w:styleId="cf01">
    <w:name w:val="cf01"/>
    <w:basedOn w:val="Absatz-Standardschriftart"/>
    <w:qFormat/>
    <w:rsid w:val="00106D9E"/>
    <w:rPr>
      <w:rFonts w:ascii="Segoe UI" w:hAnsi="Segoe UI" w:cs="Segoe UI"/>
      <w:color w:val="00000A"/>
      <w:sz w:val="18"/>
      <w:szCs w:val="18"/>
    </w:rPr>
  </w:style>
  <w:style w:type="character" w:customStyle="1" w:styleId="linenumber1">
    <w:name w:val="line number1"/>
    <w:qFormat/>
  </w:style>
  <w:style w:type="character" w:styleId="Endnotenzeichen">
    <w:name w:val="endnote reference"/>
    <w:rPr>
      <w:vertAlign w:val="superscript"/>
    </w:rPr>
  </w:style>
  <w:style w:type="character" w:styleId="Zeilennummer">
    <w:name w:val="line number"/>
  </w:style>
  <w:style w:type="paragraph" w:customStyle="1" w:styleId="berschrift">
    <w:name w:val="Überschrift"/>
    <w:basedOn w:val="Standard"/>
    <w:next w:val="Standard"/>
    <w:qFormat/>
    <w:pPr>
      <w:keepNext/>
      <w:spacing w:before="240"/>
    </w:pPr>
    <w:rPr>
      <w:rFonts w:ascii="Liberation Sans" w:eastAsia="Microsoft YaHei" w:hAnsi="Liberation Sans" w:cs="Mangal"/>
      <w:sz w:val="28"/>
      <w:szCs w:val="28"/>
    </w:rPr>
  </w:style>
  <w:style w:type="paragraph" w:styleId="Textkrper">
    <w:name w:val="Body Text"/>
    <w:basedOn w:val="Standard"/>
    <w:pPr>
      <w:spacing w:after="140" w:line="276" w:lineRule="auto"/>
    </w:pPr>
  </w:style>
  <w:style w:type="paragraph" w:styleId="Liste">
    <w:name w:val="List"/>
    <w:basedOn w:val="Textkrper"/>
    <w:rPr>
      <w:rFonts w:cs="Noto Sans Devanagari"/>
    </w:rPr>
  </w:style>
  <w:style w:type="paragraph" w:styleId="Beschriftung">
    <w:name w:val="caption"/>
    <w:basedOn w:val="Standard"/>
    <w:qFormat/>
    <w:pPr>
      <w:suppressLineNumbers/>
      <w:spacing w:before="120"/>
    </w:pPr>
    <w:rPr>
      <w:rFonts w:cs="Noto Sans Devanagari"/>
      <w:i/>
      <w:iCs/>
      <w:szCs w:val="24"/>
    </w:rPr>
  </w:style>
  <w:style w:type="paragraph" w:customStyle="1" w:styleId="Verzeichnis">
    <w:name w:val="Verzeichnis"/>
    <w:basedOn w:val="Standard"/>
    <w:qFormat/>
    <w:pPr>
      <w:suppressLineNumbers/>
    </w:pPr>
    <w:rPr>
      <w:rFonts w:cs="Mangal"/>
    </w:rPr>
  </w:style>
  <w:style w:type="paragraph" w:customStyle="1" w:styleId="caption1">
    <w:name w:val="caption1"/>
    <w:basedOn w:val="Standard"/>
    <w:qFormat/>
    <w:pPr>
      <w:suppressLineNumbers/>
      <w:spacing w:before="120"/>
    </w:pPr>
    <w:rPr>
      <w:rFonts w:cs="Noto Sans Devanagari"/>
      <w:i/>
      <w:iCs/>
      <w:szCs w:val="24"/>
    </w:rPr>
  </w:style>
  <w:style w:type="paragraph" w:customStyle="1" w:styleId="Kopfzeile1">
    <w:name w:val="Kopfzeile1"/>
    <w:basedOn w:val="Standard"/>
    <w:qFormat/>
    <w:rsid w:val="0076777C"/>
    <w:pPr>
      <w:tabs>
        <w:tab w:val="center" w:pos="4536"/>
        <w:tab w:val="right" w:pos="9072"/>
      </w:tabs>
    </w:pPr>
  </w:style>
  <w:style w:type="paragraph" w:customStyle="1" w:styleId="Fuzeile1">
    <w:name w:val="Fußzeile1"/>
    <w:basedOn w:val="Standard"/>
    <w:link w:val="FuzeileZchn"/>
    <w:qFormat/>
    <w:rsid w:val="0076777C"/>
    <w:pPr>
      <w:tabs>
        <w:tab w:val="center" w:pos="4536"/>
        <w:tab w:val="right" w:pos="9072"/>
      </w:tabs>
    </w:pPr>
    <w:rPr>
      <w:sz w:val="20"/>
    </w:rPr>
  </w:style>
  <w:style w:type="paragraph" w:styleId="Funotentext">
    <w:name w:val="footnote text"/>
    <w:basedOn w:val="Standard"/>
    <w:link w:val="FunotentextZchn"/>
    <w:uiPriority w:val="99"/>
    <w:qFormat/>
    <w:rsid w:val="005A3019"/>
    <w:pPr>
      <w:tabs>
        <w:tab w:val="left" w:pos="284"/>
      </w:tabs>
      <w:spacing w:after="40"/>
    </w:pPr>
    <w:rPr>
      <w:sz w:val="18"/>
    </w:rPr>
  </w:style>
  <w:style w:type="paragraph" w:customStyle="1" w:styleId="berschrift0">
    <w:name w:val="überschrift"/>
    <w:basedOn w:val="Standard"/>
    <w:qFormat/>
    <w:rsid w:val="004059EC"/>
    <w:pPr>
      <w:keepNext/>
      <w:tabs>
        <w:tab w:val="left" w:pos="567"/>
      </w:tabs>
      <w:spacing w:before="400" w:after="160"/>
      <w:outlineLvl w:val="3"/>
    </w:pPr>
    <w:rPr>
      <w:rFonts w:ascii="Arial" w:hAnsi="Arial"/>
      <w:b/>
    </w:rPr>
  </w:style>
  <w:style w:type="paragraph" w:styleId="Sprechblasentext">
    <w:name w:val="Balloon Text"/>
    <w:basedOn w:val="Standard"/>
    <w:link w:val="SprechblasentextZchn"/>
    <w:uiPriority w:val="99"/>
    <w:semiHidden/>
    <w:qFormat/>
    <w:rsid w:val="00791F68"/>
    <w:rPr>
      <w:rFonts w:ascii="Tahoma" w:hAnsi="Tahoma" w:cs="Tahoma"/>
      <w:sz w:val="16"/>
      <w:szCs w:val="16"/>
    </w:rPr>
  </w:style>
  <w:style w:type="paragraph" w:styleId="Kommentartext">
    <w:name w:val="annotation text"/>
    <w:basedOn w:val="Standard"/>
    <w:link w:val="KommentartextZchn"/>
    <w:uiPriority w:val="99"/>
    <w:unhideWhenUsed/>
    <w:qFormat/>
    <w:rsid w:val="00AF48D8"/>
    <w:pPr>
      <w:spacing w:after="0"/>
      <w:jc w:val="left"/>
    </w:pPr>
    <w:rPr>
      <w:rFonts w:ascii="Arial" w:hAnsi="Arial"/>
      <w:szCs w:val="24"/>
    </w:rPr>
  </w:style>
  <w:style w:type="paragraph" w:customStyle="1" w:styleId="Kopf-undFuzeile">
    <w:name w:val="Kopf- und Fußzeile"/>
    <w:basedOn w:val="Standard"/>
    <w:qFormat/>
  </w:style>
  <w:style w:type="paragraph" w:styleId="Kopfzeile">
    <w:name w:val="header"/>
    <w:basedOn w:val="Standard"/>
    <w:link w:val="KopfzeileZchn"/>
    <w:uiPriority w:val="99"/>
    <w:unhideWhenUsed/>
    <w:rsid w:val="00964319"/>
    <w:pPr>
      <w:tabs>
        <w:tab w:val="center" w:pos="4536"/>
        <w:tab w:val="right" w:pos="9072"/>
      </w:tabs>
      <w:spacing w:after="0"/>
    </w:pPr>
  </w:style>
  <w:style w:type="paragraph" w:styleId="Fuzeile">
    <w:name w:val="footer"/>
    <w:basedOn w:val="Standard"/>
    <w:link w:val="FuzeileZchn1"/>
    <w:unhideWhenUsed/>
    <w:rsid w:val="00964319"/>
    <w:pPr>
      <w:tabs>
        <w:tab w:val="center" w:pos="4536"/>
        <w:tab w:val="right" w:pos="9072"/>
      </w:tabs>
      <w:spacing w:after="0"/>
    </w:pPr>
  </w:style>
  <w:style w:type="paragraph" w:styleId="Kommentarthema">
    <w:name w:val="annotation subject"/>
    <w:basedOn w:val="Kommentartext"/>
    <w:next w:val="Kommentartext"/>
    <w:link w:val="KommentarthemaZchn"/>
    <w:uiPriority w:val="99"/>
    <w:semiHidden/>
    <w:unhideWhenUsed/>
    <w:qFormat/>
    <w:rsid w:val="002D5116"/>
    <w:pPr>
      <w:spacing w:after="100"/>
      <w:jc w:val="both"/>
    </w:pPr>
    <w:rPr>
      <w:rFonts w:ascii="Calibri" w:hAnsi="Calibri"/>
      <w:b/>
      <w:bCs/>
      <w:sz w:val="20"/>
      <w:szCs w:val="20"/>
    </w:rPr>
  </w:style>
  <w:style w:type="paragraph" w:styleId="Listenabsatz">
    <w:name w:val="List Paragraph"/>
    <w:basedOn w:val="Standard"/>
    <w:qFormat/>
    <w:rsid w:val="00040EBD"/>
    <w:pPr>
      <w:ind w:left="720"/>
      <w:jc w:val="left"/>
    </w:pPr>
    <w:rPr>
      <w:rFonts w:eastAsia="Calibri"/>
      <w:color w:val="auto"/>
      <w:szCs w:val="22"/>
      <w:lang w:eastAsia="en-US"/>
    </w:rPr>
  </w:style>
  <w:style w:type="paragraph" w:styleId="Dokumentstruktur">
    <w:name w:val="Document Map"/>
    <w:basedOn w:val="Standard"/>
    <w:link w:val="DokumentstrukturZchn"/>
    <w:semiHidden/>
    <w:unhideWhenUsed/>
    <w:qFormat/>
    <w:rsid w:val="00996EB4"/>
    <w:pPr>
      <w:spacing w:after="0"/>
    </w:pPr>
    <w:rPr>
      <w:rFonts w:ascii="Lucida Grande" w:hAnsi="Lucida Grande" w:cs="Lucida Grande"/>
      <w:szCs w:val="24"/>
    </w:rPr>
  </w:style>
  <w:style w:type="paragraph" w:styleId="Aufzhlungszeichen">
    <w:name w:val="List Bullet"/>
    <w:basedOn w:val="Standard"/>
    <w:uiPriority w:val="99"/>
    <w:unhideWhenUsed/>
    <w:rsid w:val="00131707"/>
    <w:pPr>
      <w:numPr>
        <w:numId w:val="1"/>
      </w:numPr>
      <w:spacing w:after="160" w:line="259" w:lineRule="auto"/>
      <w:contextualSpacing/>
      <w:jc w:val="left"/>
    </w:pPr>
    <w:rPr>
      <w:rFonts w:asciiTheme="minorHAnsi" w:eastAsiaTheme="minorHAnsi" w:hAnsiTheme="minorHAnsi" w:cstheme="minorBidi"/>
      <w:color w:val="auto"/>
      <w:sz w:val="22"/>
      <w:szCs w:val="22"/>
      <w:lang w:eastAsia="en-US"/>
    </w:rPr>
  </w:style>
  <w:style w:type="paragraph" w:styleId="HTMLVorformatiert">
    <w:name w:val="HTML Preformatted"/>
    <w:basedOn w:val="Standard"/>
    <w:link w:val="HTMLVorformatiertZchn"/>
    <w:uiPriority w:val="99"/>
    <w:unhideWhenUsed/>
    <w:qFormat/>
    <w:rsid w:val="008A5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color w:val="auto"/>
      <w:sz w:val="20"/>
    </w:rPr>
  </w:style>
  <w:style w:type="paragraph" w:styleId="Endnotentext">
    <w:name w:val="endnote text"/>
    <w:basedOn w:val="Standard"/>
    <w:link w:val="EndnotentextZchn"/>
    <w:uiPriority w:val="99"/>
    <w:unhideWhenUsed/>
    <w:rsid w:val="006D45A3"/>
    <w:pPr>
      <w:spacing w:after="0"/>
      <w:jc w:val="left"/>
    </w:pPr>
    <w:rPr>
      <w:rFonts w:asciiTheme="minorHAnsi" w:eastAsiaTheme="minorHAnsi" w:hAnsiTheme="minorHAnsi" w:cstheme="minorBidi"/>
      <w:color w:val="auto"/>
      <w:sz w:val="20"/>
      <w:lang w:eastAsia="en-US"/>
    </w:rPr>
  </w:style>
  <w:style w:type="paragraph" w:styleId="Titel">
    <w:name w:val="Title"/>
    <w:basedOn w:val="Standard"/>
    <w:next w:val="Standard"/>
    <w:link w:val="TitelZchn"/>
    <w:uiPriority w:val="10"/>
    <w:qFormat/>
    <w:rsid w:val="00D30244"/>
    <w:pPr>
      <w:keepNext/>
      <w:keepLines/>
      <w:spacing w:after="60" w:line="276" w:lineRule="auto"/>
    </w:pPr>
    <w:rPr>
      <w:rFonts w:ascii="Times New Roman" w:hAnsi="Times New Roman"/>
      <w:color w:val="auto"/>
      <w:sz w:val="52"/>
      <w:szCs w:val="52"/>
    </w:rPr>
  </w:style>
  <w:style w:type="paragraph" w:styleId="Untertitel">
    <w:name w:val="Subtitle"/>
    <w:basedOn w:val="Standard"/>
    <w:next w:val="Standard"/>
    <w:link w:val="UntertitelZchn"/>
    <w:uiPriority w:val="11"/>
    <w:qFormat/>
    <w:rsid w:val="00D30244"/>
    <w:pPr>
      <w:keepNext/>
      <w:keepLines/>
      <w:spacing w:after="320" w:line="276" w:lineRule="auto"/>
    </w:pPr>
    <w:rPr>
      <w:rFonts w:ascii="Arial" w:eastAsia="Arial" w:hAnsi="Arial" w:cs="Arial"/>
      <w:color w:val="666666"/>
      <w:sz w:val="30"/>
      <w:szCs w:val="30"/>
    </w:rPr>
  </w:style>
  <w:style w:type="paragraph" w:styleId="berarbeitung">
    <w:name w:val="Revision"/>
    <w:uiPriority w:val="99"/>
    <w:semiHidden/>
    <w:qFormat/>
    <w:rsid w:val="00D30244"/>
    <w:rPr>
      <w:rFonts w:eastAsia="Times New Roman"/>
      <w:sz w:val="24"/>
      <w:szCs w:val="24"/>
    </w:rPr>
  </w:style>
  <w:style w:type="paragraph" w:styleId="KeinLeerraum">
    <w:name w:val="No Spacing"/>
    <w:uiPriority w:val="1"/>
    <w:qFormat/>
    <w:rsid w:val="00D30244"/>
    <w:pPr>
      <w:jc w:val="both"/>
    </w:pPr>
    <w:rPr>
      <w:rFonts w:eastAsia="Times New Roman"/>
      <w:sz w:val="24"/>
      <w:szCs w:val="24"/>
    </w:rPr>
  </w:style>
  <w:style w:type="paragraph" w:styleId="Zitat">
    <w:name w:val="Quote"/>
    <w:basedOn w:val="Standard"/>
    <w:next w:val="Standard"/>
    <w:link w:val="ZitatZchn"/>
    <w:uiPriority w:val="29"/>
    <w:qFormat/>
    <w:rsid w:val="00892711"/>
    <w:pPr>
      <w:spacing w:before="200" w:after="160"/>
      <w:ind w:left="864" w:right="864"/>
      <w:jc w:val="center"/>
    </w:pPr>
    <w:rPr>
      <w:i/>
      <w:iCs/>
      <w:color w:val="404040" w:themeColor="text1" w:themeTint="BF"/>
    </w:rPr>
  </w:style>
  <w:style w:type="paragraph" w:customStyle="1" w:styleId="HeaderFooter">
    <w:name w:val="Header &amp; Footer"/>
    <w:qFormat/>
    <w:rsid w:val="00FC0071"/>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Forderungen">
    <w:name w:val="Forderungen"/>
    <w:basedOn w:val="Standard"/>
    <w:link w:val="ForderungenZchn"/>
    <w:qFormat/>
    <w:rsid w:val="00BB62DA"/>
    <w:pPr>
      <w:pBdr>
        <w:top w:val="single" w:sz="48" w:space="1" w:color="E0EEFA"/>
        <w:left w:val="single" w:sz="48" w:space="4" w:color="E0EEFA"/>
        <w:bottom w:val="single" w:sz="48" w:space="1" w:color="E0EEFA"/>
        <w:right w:val="single" w:sz="48" w:space="4" w:color="E0EEFA"/>
      </w:pBdr>
      <w:shd w:val="clear" w:color="auto" w:fill="E0EEFA"/>
      <w:spacing w:line="288" w:lineRule="auto"/>
      <w:ind w:left="1134" w:right="-567"/>
    </w:pPr>
    <w:rPr>
      <w:rFonts w:ascii="Soleil Lt" w:hAnsi="Soleil Lt"/>
      <w:sz w:val="18"/>
      <w:bdr w:val="single" w:sz="4" w:space="0" w:color="E0EEFA"/>
    </w:rPr>
  </w:style>
  <w:style w:type="paragraph" w:customStyle="1" w:styleId="Default">
    <w:name w:val="Default"/>
    <w:qFormat/>
    <w:rsid w:val="005C12CC"/>
    <w:rPr>
      <w:rFonts w:ascii="Arial" w:eastAsia="Batang" w:hAnsi="Arial" w:cs="Arial"/>
      <w:color w:val="000000"/>
      <w:sz w:val="24"/>
      <w:szCs w:val="24"/>
      <w:lang w:eastAsia="ko-KR"/>
    </w:rPr>
  </w:style>
  <w:style w:type="paragraph" w:customStyle="1" w:styleId="NormaleTabelle1">
    <w:name w:val="Normale Tabelle1"/>
    <w:qFormat/>
    <w:pPr>
      <w:spacing w:after="160" w:line="252" w:lineRule="auto"/>
    </w:pPr>
    <w:rPr>
      <w:rFonts w:ascii="Calibri" w:eastAsia="Calibri" w:hAnsi="Calibri"/>
      <w:sz w:val="22"/>
      <w:szCs w:val="22"/>
      <w:lang w:eastAsia="en-US"/>
    </w:rPr>
  </w:style>
  <w:style w:type="paragraph" w:customStyle="1" w:styleId="western">
    <w:name w:val="western"/>
    <w:basedOn w:val="Standard"/>
    <w:qFormat/>
    <w:pPr>
      <w:spacing w:beforeAutospacing="1" w:after="142" w:line="276" w:lineRule="exact"/>
    </w:pPr>
    <w:rPr>
      <w:rFonts w:cs="Calibri"/>
      <w:szCs w:val="24"/>
    </w:rPr>
  </w:style>
  <w:style w:type="paragraph" w:customStyle="1" w:styleId="Tabelleninhalt">
    <w:name w:val="Tabelleninhalt"/>
    <w:basedOn w:val="Standard"/>
    <w:qFormat/>
    <w:pPr>
      <w:widowControl w:val="0"/>
      <w:suppressLineNumbers/>
    </w:pPr>
  </w:style>
  <w:style w:type="paragraph" w:customStyle="1" w:styleId="Tabellenberschrift">
    <w:name w:val="Tabellenüberschrift"/>
    <w:basedOn w:val="Tabelleninhalt"/>
    <w:qFormat/>
    <w:pPr>
      <w:jc w:val="center"/>
    </w:pPr>
    <w:rPr>
      <w:b/>
      <w:bCs/>
    </w:rPr>
  </w:style>
  <w:style w:type="numbering" w:customStyle="1" w:styleId="Harvard">
    <w:name w:val="Harvard"/>
    <w:qFormat/>
    <w:rsid w:val="00C5084F"/>
  </w:style>
  <w:style w:type="numbering" w:customStyle="1" w:styleId="ImportedStyle1">
    <w:name w:val="Imported Style 1"/>
    <w:qFormat/>
    <w:rsid w:val="00FC0071"/>
  </w:style>
  <w:style w:type="numbering" w:customStyle="1" w:styleId="ImportedStyle2">
    <w:name w:val="Imported Style 2"/>
    <w:qFormat/>
    <w:rsid w:val="00FC0071"/>
  </w:style>
  <w:style w:type="numbering" w:customStyle="1" w:styleId="ImportedStyle10">
    <w:name w:val="Imported Style 1.0"/>
    <w:qFormat/>
    <w:rsid w:val="00FC0071"/>
  </w:style>
  <w:style w:type="numbering" w:customStyle="1" w:styleId="ImportedStyle20">
    <w:name w:val="Imported Style 2.0"/>
    <w:qFormat/>
    <w:rsid w:val="00FC0071"/>
  </w:style>
  <w:style w:type="numbering" w:customStyle="1" w:styleId="ImportedStyle3">
    <w:name w:val="Imported Style 3"/>
    <w:qFormat/>
    <w:rsid w:val="00FC0071"/>
  </w:style>
  <w:style w:type="numbering" w:customStyle="1" w:styleId="ImportedStyle4">
    <w:name w:val="Imported Style 4"/>
    <w:qFormat/>
    <w:rsid w:val="00FC0071"/>
  </w:style>
  <w:style w:type="numbering" w:customStyle="1" w:styleId="ImportedStyle5">
    <w:name w:val="Imported Style 5"/>
    <w:qFormat/>
    <w:rsid w:val="00FC0071"/>
  </w:style>
  <w:style w:type="numbering" w:customStyle="1" w:styleId="Bullets">
    <w:name w:val="Bullets"/>
    <w:qFormat/>
    <w:rsid w:val="00FC0071"/>
  </w:style>
  <w:style w:type="numbering" w:customStyle="1" w:styleId="ImportedStyle7">
    <w:name w:val="Imported Style 7"/>
    <w:qFormat/>
    <w:rsid w:val="00FC0071"/>
  </w:style>
  <w:style w:type="numbering" w:customStyle="1" w:styleId="ImportedStyle8">
    <w:name w:val="Imported Style 8"/>
    <w:qFormat/>
    <w:rsid w:val="00FC0071"/>
  </w:style>
  <w:style w:type="numbering" w:customStyle="1" w:styleId="ImportedStyle9">
    <w:name w:val="Imported Style 9"/>
    <w:qFormat/>
    <w:rsid w:val="00FC0071"/>
  </w:style>
  <w:style w:type="table" w:styleId="Tabellenraster">
    <w:name w:val="Table Grid"/>
    <w:basedOn w:val="NormaleTabelle"/>
    <w:rsid w:val="00782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D30244"/>
    <w:pPr>
      <w:spacing w:after="200" w:line="276" w:lineRule="auto"/>
      <w:jc w:val="both"/>
    </w:pPr>
    <w:rPr>
      <w:sz w:val="24"/>
      <w:szCs w:val="24"/>
      <w:lang w:val="d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eschaeftsstelle@djb.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oku.iab.de/kurzber/2021/kb2021-08.pdf" TargetMode="External"/><Relationship Id="rId13" Type="http://schemas.openxmlformats.org/officeDocument/2006/relationships/hyperlink" Target="http://www.europarl.europa.eu/RegData/etudes/STUD/2017/583138/IPOL_STU(2017)583138_EN.pdf" TargetMode="External"/><Relationship Id="rId3" Type="http://schemas.openxmlformats.org/officeDocument/2006/relationships/hyperlink" Target="https://freiheitsrechte.org/uploads/documents/Demokratie/Marie-Munk-Initiative/Eckpunkte-Marie-Munk-Initiative.pdf" TargetMode="External"/><Relationship Id="rId7" Type="http://schemas.openxmlformats.org/officeDocument/2006/relationships/hyperlink" Target="https://www.antidiskriminierungsstelle.de/SharedDocs/downloads/DE/publikationen/Expertisen/umgang_mit_sexueller_belaestigung_am_arbeitsplatz_kurzfassung.pdf?__blob=publicationFile&amp;v=8" TargetMode="External"/><Relationship Id="rId12" Type="http://schemas.openxmlformats.org/officeDocument/2006/relationships/hyperlink" Target="https://www.boeckler.de/fpdf/HBS-007819/p_fofoe_WP_190_2020.pdf" TargetMode="External"/><Relationship Id="rId2" Type="http://schemas.openxmlformats.org/officeDocument/2006/relationships/hyperlink" Target="https://www.djb.de/presse/pressemitteilungen/detail/st22-22" TargetMode="External"/><Relationship Id="rId16" Type="http://schemas.openxmlformats.org/officeDocument/2006/relationships/hyperlink" Target="https://www.djb.de/presse/stellungnahmen/detail/st22-26" TargetMode="External"/><Relationship Id="rId1" Type="http://schemas.openxmlformats.org/officeDocument/2006/relationships/hyperlink" Target="https://www.greenpeace.de/publikationen/greenpeace-entwurf-ruestungsexportkontrollgesetz" TargetMode="External"/><Relationship Id="rId6" Type="http://schemas.openxmlformats.org/officeDocument/2006/relationships/hyperlink" Target="https://www.djb.de/presse/pressemitteilungen/detail/st19-18" TargetMode="External"/><Relationship Id="rId11" Type="http://schemas.openxmlformats.org/officeDocument/2006/relationships/hyperlink" Target="https://www.djb.de/presse/pressemitteilungen/detail/pm21-19" TargetMode="External"/><Relationship Id="rId5" Type="http://schemas.openxmlformats.org/officeDocument/2006/relationships/hyperlink" Target="https://www.destatis.de/DE/Themen/Gesellschaft-Umwelt/Gesundheit/Gesundheitspersonal/_inhalt.html" TargetMode="External"/><Relationship Id="rId15" Type="http://schemas.openxmlformats.org/officeDocument/2006/relationships/hyperlink" Target="https://de.statista.com/infografik/27437/anzahl-der-praxen-und-krankenhaeuser-in-deutschland-die-schwanger-schaftsabbrueche-vornehmen/" TargetMode="External"/><Relationship Id="rId10" Type="http://schemas.openxmlformats.org/officeDocument/2006/relationships/hyperlink" Target="http://www.bmfsfj.de/bmfsfj/service/publikationen/lebenssituation-und-belastungen-von-frauen-mit-beeintraechtigungen-und-behinderungen-in-deutschland-80576" TargetMode="External"/><Relationship Id="rId4" Type="http://schemas.openxmlformats.org/officeDocument/2006/relationships/hyperlink" Target="https://www.bmfsfj.de/bmfsfj/themen/gleichstellung/gleichstellungsatlas?view" TargetMode="External"/><Relationship Id="rId9" Type="http://schemas.openxmlformats.org/officeDocument/2006/relationships/hyperlink" Target="http://www.bamf.de/SharedDocs/Anlagen/DE/Forschung/Kurzanalysen/kurzanalyse7_gefluchetete-frauen.html" TargetMode="External"/><Relationship Id="rId14" Type="http://schemas.openxmlformats.org/officeDocument/2006/relationships/hyperlink" Target="https://www.djb.de/presse/stellungnahmen/detail/st22-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5C3D4-422C-4B37-8B41-1032737C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2653</Words>
  <Characters>18890</Characters>
  <Application>Microsoft Office Word</Application>
  <DocSecurity>0</DocSecurity>
  <Lines>331</Lines>
  <Paragraphs>110</Paragraphs>
  <ScaleCrop>false</ScaleCrop>
  <HeadingPairs>
    <vt:vector size="2" baseType="variant">
      <vt:variant>
        <vt:lpstr>Titel</vt:lpstr>
      </vt:variant>
      <vt:variant>
        <vt:i4>1</vt:i4>
      </vt:variant>
    </vt:vector>
  </HeadingPairs>
  <TitlesOfParts>
    <vt:vector size="1" baseType="lpstr">
      <vt:lpstr>Berlin, 8</vt:lpstr>
    </vt:vector>
  </TitlesOfParts>
  <Company>Hewlett-Packard Company</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Berlin, 8</dc:title>
  <dc:subject/>
  <dc:creator>Irmela Regenbogen</dc:creator>
  <dc:description/>
  <cp:lastModifiedBy>Valentina Chiofalo</cp:lastModifiedBy>
  <cp:revision>2</cp:revision>
  <cp:lastPrinted>2023-04-18T08:10:00Z</cp:lastPrinted>
  <dcterms:created xsi:type="dcterms:W3CDTF">2023-04-25T06:35:00Z</dcterms:created>
  <dcterms:modified xsi:type="dcterms:W3CDTF">2023-04-25T06:35:00Z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