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charts/chart1.xml" ContentType="application/vnd.openxmlformats-officedocument.drawingml.chart+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E4E23" w14:textId="5514F188" w:rsidR="00470469" w:rsidRPr="00AB1F43" w:rsidRDefault="00C35F71" w:rsidP="00AB1F43">
      <w:pPr>
        <w:rPr>
          <w:rFonts w:cstheme="minorHAnsi"/>
          <w:i/>
          <w:iCs/>
          <w:sz w:val="18"/>
          <w:szCs w:val="18"/>
        </w:rPr>
      </w:pPr>
      <w:r w:rsidRPr="00AB1F43">
        <w:rPr>
          <w:rFonts w:cstheme="minorHAnsi"/>
          <w:i/>
          <w:iCs/>
          <w:sz w:val="18"/>
          <w:szCs w:val="18"/>
        </w:rPr>
        <w:t xml:space="preserve">Annex </w:t>
      </w:r>
    </w:p>
    <w:p w14:paraId="193FF584" w14:textId="126CB74F" w:rsidR="00C35F71" w:rsidRPr="00AB1F43" w:rsidRDefault="00C35F71" w:rsidP="00AB1F43">
      <w:pPr>
        <w:pStyle w:val="ListParagraph"/>
        <w:numPr>
          <w:ilvl w:val="0"/>
          <w:numId w:val="1"/>
        </w:numPr>
        <w:tabs>
          <w:tab w:val="left" w:pos="8550"/>
          <w:tab w:val="left" w:pos="9180"/>
        </w:tabs>
        <w:spacing w:after="120" w:line="276" w:lineRule="auto"/>
        <w:ind w:left="720" w:right="210"/>
        <w:jc w:val="both"/>
        <w:rPr>
          <w:rFonts w:cstheme="minorHAnsi"/>
          <w:b/>
          <w:bCs/>
          <w:noProof/>
          <w:sz w:val="18"/>
          <w:szCs w:val="18"/>
        </w:rPr>
      </w:pPr>
      <w:r w:rsidRPr="00AB1F43">
        <w:rPr>
          <w:rFonts w:cstheme="minorHAnsi"/>
          <w:b/>
          <w:bCs/>
          <w:noProof/>
          <w:sz w:val="18"/>
          <w:szCs w:val="18"/>
        </w:rPr>
        <w:t xml:space="preserve"> Ministry of Education </w:t>
      </w:r>
    </w:p>
    <w:p w14:paraId="497D6AB1" w14:textId="172F8E8C" w:rsidR="00470469" w:rsidRPr="00AB1F43" w:rsidRDefault="00470469" w:rsidP="00AB1F43">
      <w:pPr>
        <w:tabs>
          <w:tab w:val="left" w:pos="8550"/>
          <w:tab w:val="left" w:pos="9180"/>
        </w:tabs>
        <w:spacing w:after="120" w:line="276" w:lineRule="auto"/>
        <w:ind w:right="210"/>
        <w:jc w:val="both"/>
        <w:rPr>
          <w:rFonts w:cstheme="minorHAnsi"/>
          <w:b/>
          <w:bCs/>
          <w:noProof/>
          <w:sz w:val="18"/>
          <w:szCs w:val="18"/>
        </w:rPr>
      </w:pPr>
      <w:r w:rsidRPr="00AB1F43">
        <w:rPr>
          <w:rFonts w:cstheme="minorHAnsi"/>
          <w:b/>
          <w:bCs/>
          <w:noProof/>
          <w:sz w:val="18"/>
          <w:szCs w:val="18"/>
        </w:rPr>
        <w:t>Education</w:t>
      </w:r>
    </w:p>
    <w:p w14:paraId="3EF79AFC" w14:textId="77777777" w:rsidR="00470469" w:rsidRPr="00AB1F43" w:rsidRDefault="00470469" w:rsidP="00470469">
      <w:pPr>
        <w:tabs>
          <w:tab w:val="left" w:pos="8550"/>
          <w:tab w:val="left" w:pos="9180"/>
        </w:tabs>
        <w:spacing w:after="120" w:line="276" w:lineRule="auto"/>
        <w:ind w:right="210"/>
        <w:jc w:val="both"/>
        <w:rPr>
          <w:rFonts w:cstheme="minorHAnsi"/>
          <w:b/>
          <w:bCs/>
          <w:noProof/>
          <w:sz w:val="18"/>
          <w:szCs w:val="18"/>
        </w:rPr>
      </w:pPr>
      <w:r w:rsidRPr="00AB1F43">
        <w:rPr>
          <w:rFonts w:cstheme="minorHAnsi"/>
          <w:b/>
          <w:bCs/>
          <w:noProof/>
          <w:sz w:val="18"/>
          <w:szCs w:val="18"/>
        </w:rPr>
        <w:t>Please describe the measures in place to ensure the full and effective implementation of the recently adopted Pre-University Education Law and University Education Law, including the allocation of human, financial and material resources. In the light of the Committee’s previous recommendations (para. 27), please provide detailed information on the measures taken to:</w:t>
      </w:r>
    </w:p>
    <w:p w14:paraId="5AD180B9"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Pre-university Education</w:t>
      </w:r>
    </w:p>
    <w:p w14:paraId="324422DB"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the 2022/2023 school year, the gross enrollment rate across all levels of education (from preschool to higher education) was 76%, while the value of the indicator for pre-university education was 73% (as shown in the table below). Significant differences in the values of the indicator between genders are recorded in favor of the female population, especially at the level of post-secondary and higher education.</w:t>
      </w:r>
    </w:p>
    <w:p w14:paraId="7AFA09BD"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Gross enrollment rate from preschool to higher education as a proportion of the population aged 3-23 years.</w:t>
      </w:r>
    </w:p>
    <w:p w14:paraId="6554A439"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proportion of female teaching staff is highest in preschool and primary education. In fact, the younger the children or students, the higher the number of female teaching staff. The indicator has shown an upward trend in primary education, reaching over 93%. Similar upward trends are observed in secondary, high school, and vocational education. The constant decrease in male teaching staff has resulted in female teaching staff approaching 75% in secondary and high school levels. At the post-secondary level, there is an oscillating trend, while in preschool education the situation is stable, with the proportion of female staff nearing 100%.</w:t>
      </w:r>
    </w:p>
    <w:p w14:paraId="27BF0E22" w14:textId="4970AFF0"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For each level of education, the following trends are observed:</w:t>
      </w:r>
      <w:r w:rsidRPr="00AB1F43">
        <w:rPr>
          <w:rFonts w:cstheme="minorHAnsi"/>
          <w:noProof/>
          <w:sz w:val="18"/>
          <w:szCs w:val="18"/>
        </w:rPr>
        <w:tab/>
      </w:r>
    </w:p>
    <w:p w14:paraId="25C15A9F" w14:textId="733B618F"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majority of female teaching staff work in preschool (99.7%) and primary (93.2%) education.</w:t>
      </w:r>
      <w:r w:rsidRPr="00AB1F43">
        <w:rPr>
          <w:rFonts w:cstheme="minorHAnsi"/>
          <w:noProof/>
          <w:sz w:val="18"/>
          <w:szCs w:val="18"/>
        </w:rPr>
        <w:tab/>
      </w:r>
    </w:p>
    <w:p w14:paraId="34A65327"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secondary education, 74.4% of the teaching staff are women overall, with a 13.9 percentage point higher proportion in special education compared to mainstream education.</w:t>
      </w:r>
      <w:r w:rsidRPr="00AB1F43">
        <w:rPr>
          <w:rFonts w:cstheme="minorHAnsi"/>
          <w:noProof/>
          <w:sz w:val="18"/>
          <w:szCs w:val="18"/>
        </w:rPr>
        <w:tab/>
      </w:r>
    </w:p>
    <w:p w14:paraId="6CB9FFAE" w14:textId="33D1C4AD"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high schools, the proportion of female teaching staff is higher in urban schools (73%) compared to rural schools (70.5%).</w:t>
      </w:r>
    </w:p>
    <w:p w14:paraId="27DECBF3" w14:textId="43A6AFFB"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lowest proportion of women is in vocational education (68.3%), a slight increase of 1.4 percentage points compared to the previous school year.</w:t>
      </w:r>
    </w:p>
    <w:p w14:paraId="2942E6B8"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HigherEducation</w:t>
      </w:r>
    </w:p>
    <w:p w14:paraId="0699F897"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the 2022-2023 academic year, there were 87,373 graduates from undergraduate higher education programs (with and without a degree), representing a slight decrease compared to the previous year. Among the graduates, there was a larger proportion of female graduates (approximately 60%) compared to male graduates (approximately 40%).</w:t>
      </w:r>
    </w:p>
    <w:p w14:paraId="5BE260DE"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There is a notable higher participation rate of females in higher education across all age groups. The largest differences (7-10 percentage points) compared to the male population are recorded at the ages of 19, 20, and 21 years. This data shows that a higher proportion of girls enroll in higher education immediately after finishing high school, compared to boys.</w:t>
      </w:r>
    </w:p>
    <w:p w14:paraId="16AAFE57"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 xml:space="preserve">For the 2022-2023 academic year, the gross enrollment rate in higher education was 43%, marking an increase compared to the previous year. </w:t>
      </w:r>
    </w:p>
    <w:p w14:paraId="38EC1357"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gender gap, in favour of female population, remained consistent.</w:t>
      </w:r>
    </w:p>
    <w:p w14:paraId="53AED23C"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gross enrollment rate represents the total number of students enrolled in higher education, regardless of age, as a proportion of the total resident population of Romania as of July 1st, within the official age group corresponding to higher education (19-23 years). This indicator measures access to higher education.</w:t>
      </w:r>
    </w:p>
    <w:p w14:paraId="74C43BA2"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Over the past nine academic years, the gross enrollment rate in higher education has shown a slight increase from year to year. The analysis of data by gender highlights a constant gap in favor of the female population. In the 2022/2023 academic year, the gross enrollment rate was 43%, and the gender gap was 6 percentage points.</w:t>
      </w:r>
    </w:p>
    <w:p w14:paraId="2730AF03"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lastRenderedPageBreak/>
        <w:t>The number of employees in higher education was 51,040 individuals, a slight increase compared to the previous year, 2021-2022. More than half of the total employees (26,649 individuals) were teaching staff. Over half (54.8%) of the employees were in the 40-54 age group. Female teaching staff represented 52.3%.</w:t>
      </w:r>
    </w:p>
    <w:p w14:paraId="11B6D4FE"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 xml:space="preserve">Since the 2016/2017 academic year, the proportion of female teaching staff out of the total teaching personnel has exceeded the 50% threshold and has shown an upward trend from year to year. </w:t>
      </w:r>
    </w:p>
    <w:p w14:paraId="2E15D204" w14:textId="77777777"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the 2022/2023 academic year, the proportion of female teaching staff was 52.3%.</w:t>
      </w:r>
    </w:p>
    <w:p w14:paraId="22E97A82" w14:textId="1626B0B5" w:rsidR="00470469" w:rsidRPr="00AB1F43" w:rsidRDefault="00470469" w:rsidP="0047046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recent academic years, the gender distribution of teaching staff has shifted in favor of the female population. Currently, female teaching staff represent 52.3% of the total, continuing the growth trend observed in recent years.</w:t>
      </w:r>
    </w:p>
    <w:p w14:paraId="334B228A" w14:textId="77777777" w:rsidR="00E746F9" w:rsidRPr="00AB1F43" w:rsidRDefault="00E746F9" w:rsidP="00E746F9">
      <w:pPr>
        <w:tabs>
          <w:tab w:val="left" w:pos="8550"/>
          <w:tab w:val="left" w:pos="9180"/>
        </w:tabs>
        <w:spacing w:after="120" w:line="276" w:lineRule="auto"/>
        <w:ind w:right="210"/>
        <w:jc w:val="both"/>
        <w:rPr>
          <w:rFonts w:cstheme="minorHAnsi"/>
          <w:b/>
          <w:bCs/>
          <w:i/>
          <w:iCs/>
          <w:noProof/>
          <w:sz w:val="18"/>
          <w:szCs w:val="18"/>
        </w:rPr>
      </w:pPr>
      <w:r w:rsidRPr="00AB1F43">
        <w:rPr>
          <w:rFonts w:cstheme="minorHAnsi"/>
          <w:b/>
          <w:bCs/>
          <w:i/>
          <w:iCs/>
          <w:noProof/>
          <w:sz w:val="18"/>
          <w:szCs w:val="18"/>
        </w:rPr>
        <w:t>Legislative Framework</w:t>
      </w:r>
    </w:p>
    <w:p w14:paraId="6478E185" w14:textId="77777777" w:rsidR="00E746F9" w:rsidRPr="00AB1F43" w:rsidRDefault="00E746F9" w:rsidP="00E746F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The Law on Pre-University Education no. 198/2023 and the Law on Higher Education no. 199/2023 operationalize the initiative of the President of Romania to build an “Educated Romania,” creating a regulatory framework for more effective, inclusive, safe, and equitable schools.</w:t>
      </w:r>
    </w:p>
    <w:p w14:paraId="0C709FE9" w14:textId="77777777" w:rsidR="00E746F9" w:rsidRPr="00AB1F43" w:rsidRDefault="00E746F9" w:rsidP="00E746F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Among the values of the pre-university education system mentioned in Article 2 of Law no. 198/2023 are diversity, equity, and inclusion. Furthermore, Article 3 establishes the principle of non-discrimination as the primary principle governing pre-university education—based on which access to and participation in quality education is ensured without discrimination, including through the prohibition of school segregation.</w:t>
      </w:r>
    </w:p>
    <w:p w14:paraId="57B35308" w14:textId="77777777" w:rsidR="00E746F9" w:rsidRPr="00AB1F43" w:rsidRDefault="00E746F9" w:rsidP="00E746F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Regarding the Law on Higher Education no. 199/2023, Article 3, paragraph (2) mentions the values around which the law's vision is centered, including "a) equity, by ensuring equitable educational opportunities for youth, regardless of their background or other risk factors;” “h) diversity, by guaranteeing respect for variety and a tolerant environment in the training process;” “l) inclusion, by ensuring that all individuals’ status and rights are respected in the education process, so they have the opportunity to receive equal treatment with others.” Additionally, Article 4 lists the principles on which the national higher education system is based. Among the enumerated principles is point e) “the principle of equity;” and point o) “the principle of ensuring equality of opportunity and non-discrimination.”</w:t>
      </w:r>
    </w:p>
    <w:p w14:paraId="15854C40" w14:textId="77777777" w:rsidR="00E746F9" w:rsidRPr="00AB1F43" w:rsidRDefault="00E746F9" w:rsidP="00E746F9">
      <w:pPr>
        <w:tabs>
          <w:tab w:val="left" w:pos="8550"/>
          <w:tab w:val="left" w:pos="9180"/>
        </w:tabs>
        <w:spacing w:after="120" w:line="276" w:lineRule="auto"/>
        <w:ind w:right="210"/>
        <w:jc w:val="both"/>
        <w:rPr>
          <w:rFonts w:cstheme="minorHAnsi"/>
          <w:b/>
          <w:bCs/>
          <w:i/>
          <w:iCs/>
          <w:noProof/>
          <w:sz w:val="18"/>
          <w:szCs w:val="18"/>
        </w:rPr>
      </w:pPr>
      <w:r w:rsidRPr="00AB1F43">
        <w:rPr>
          <w:rFonts w:cstheme="minorHAnsi"/>
          <w:b/>
          <w:bCs/>
          <w:i/>
          <w:iCs/>
          <w:noProof/>
          <w:sz w:val="18"/>
          <w:szCs w:val="18"/>
        </w:rPr>
        <w:t>Principles of Funding</w:t>
      </w:r>
    </w:p>
    <w:p w14:paraId="35CAEDC5" w14:textId="77777777" w:rsidR="00E746F9" w:rsidRPr="00AB1F43" w:rsidRDefault="00E746F9" w:rsidP="00E746F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In accordance with the provisions regarding the allocation of non-repayable European funds applicable to the education and vocational training system (Education and Employment Program), actions financed from these funds aim to guarantee equality, inclusion, and non-discrimination.</w:t>
      </w:r>
    </w:p>
    <w:p w14:paraId="45107316" w14:textId="77777777" w:rsidR="00E746F9" w:rsidRPr="00AB1F43" w:rsidRDefault="00E746F9" w:rsidP="00E746F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Member states and the European Commission ensure that gender equality, the integration of gender perspectives, and the addressing of gender issues are considered and promoted throughout the preparation, implementation, monitoring, and evaluation of programs and reporting within them.</w:t>
      </w:r>
    </w:p>
    <w:p w14:paraId="411E973C" w14:textId="1A841098" w:rsidR="00E746F9" w:rsidRPr="00AB1F43" w:rsidRDefault="00E746F9" w:rsidP="00CB1379">
      <w:pPr>
        <w:tabs>
          <w:tab w:val="left" w:pos="8550"/>
          <w:tab w:val="left" w:pos="9180"/>
        </w:tabs>
        <w:spacing w:after="120" w:line="276" w:lineRule="auto"/>
        <w:ind w:right="210"/>
        <w:jc w:val="both"/>
        <w:rPr>
          <w:rFonts w:cstheme="minorHAnsi"/>
          <w:noProof/>
          <w:sz w:val="18"/>
          <w:szCs w:val="18"/>
        </w:rPr>
      </w:pPr>
      <w:r w:rsidRPr="00AB1F43">
        <w:rPr>
          <w:rFonts w:cstheme="minorHAnsi"/>
          <w:noProof/>
          <w:sz w:val="18"/>
          <w:szCs w:val="18"/>
        </w:rPr>
        <w:t>Member states and the Commission take necessary measures to prevent any form of discrimination based on gender, racial or ethnic origin, religion or beliefs, disability, age, or sexual orientation during the preparation, implementation, monitoring, and evaluation of programs and reporting within them.</w:t>
      </w:r>
    </w:p>
    <w:tbl>
      <w:tblPr>
        <w:tblW w:w="4898" w:type="pct"/>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6A0" w:firstRow="1" w:lastRow="0" w:firstColumn="1" w:lastColumn="0" w:noHBand="1" w:noVBand="1"/>
      </w:tblPr>
      <w:tblGrid>
        <w:gridCol w:w="1011"/>
        <w:gridCol w:w="1211"/>
        <w:gridCol w:w="872"/>
        <w:gridCol w:w="872"/>
        <w:gridCol w:w="872"/>
        <w:gridCol w:w="872"/>
        <w:gridCol w:w="872"/>
        <w:gridCol w:w="872"/>
        <w:gridCol w:w="872"/>
        <w:gridCol w:w="833"/>
      </w:tblGrid>
      <w:tr w:rsidR="00CB1379" w:rsidRPr="00AB1F43" w14:paraId="3ECFB1A1" w14:textId="77777777" w:rsidTr="00AB1F43">
        <w:tc>
          <w:tcPr>
            <w:tcW w:w="552" w:type="pct"/>
            <w:shd w:val="clear" w:color="auto" w:fill="auto"/>
          </w:tcPr>
          <w:p w14:paraId="45BA795B"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School year</w:t>
            </w:r>
          </w:p>
        </w:tc>
        <w:tc>
          <w:tcPr>
            <w:tcW w:w="661" w:type="pct"/>
            <w:shd w:val="clear" w:color="auto" w:fill="auto"/>
            <w:vAlign w:val="center"/>
          </w:tcPr>
          <w:p w14:paraId="1DCE7EF0"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2014/</w:t>
            </w:r>
          </w:p>
          <w:p w14:paraId="15E87FBA"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2015</w:t>
            </w:r>
          </w:p>
        </w:tc>
        <w:tc>
          <w:tcPr>
            <w:tcW w:w="476" w:type="pct"/>
            <w:vAlign w:val="center"/>
          </w:tcPr>
          <w:p w14:paraId="1378C170"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2015/</w:t>
            </w:r>
          </w:p>
          <w:p w14:paraId="1AA1A860"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2016</w:t>
            </w:r>
          </w:p>
        </w:tc>
        <w:tc>
          <w:tcPr>
            <w:tcW w:w="476" w:type="pct"/>
            <w:vAlign w:val="center"/>
          </w:tcPr>
          <w:p w14:paraId="46C537AD"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2016/</w:t>
            </w:r>
          </w:p>
          <w:p w14:paraId="16F5C8A8"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2017</w:t>
            </w:r>
          </w:p>
        </w:tc>
        <w:tc>
          <w:tcPr>
            <w:tcW w:w="476" w:type="pct"/>
          </w:tcPr>
          <w:p w14:paraId="6E1FA294"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2017/</w:t>
            </w:r>
          </w:p>
          <w:p w14:paraId="4EAD07E4"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2018</w:t>
            </w:r>
          </w:p>
        </w:tc>
        <w:tc>
          <w:tcPr>
            <w:tcW w:w="476" w:type="pct"/>
          </w:tcPr>
          <w:p w14:paraId="5F14A70B"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2018/</w:t>
            </w:r>
          </w:p>
          <w:p w14:paraId="36593C72"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2019</w:t>
            </w:r>
          </w:p>
        </w:tc>
        <w:tc>
          <w:tcPr>
            <w:tcW w:w="476" w:type="pct"/>
          </w:tcPr>
          <w:p w14:paraId="1870A706"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2019/</w:t>
            </w:r>
          </w:p>
          <w:p w14:paraId="34C46134"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2020</w:t>
            </w:r>
          </w:p>
        </w:tc>
        <w:tc>
          <w:tcPr>
            <w:tcW w:w="476" w:type="pct"/>
          </w:tcPr>
          <w:p w14:paraId="6CD1E16D"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2020/</w:t>
            </w:r>
          </w:p>
          <w:p w14:paraId="4AC2151F"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2021</w:t>
            </w:r>
          </w:p>
        </w:tc>
        <w:tc>
          <w:tcPr>
            <w:tcW w:w="476" w:type="pct"/>
          </w:tcPr>
          <w:p w14:paraId="12B1304A"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2021/</w:t>
            </w:r>
          </w:p>
          <w:p w14:paraId="32963B2F"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2022</w:t>
            </w:r>
          </w:p>
        </w:tc>
        <w:tc>
          <w:tcPr>
            <w:tcW w:w="455" w:type="pct"/>
          </w:tcPr>
          <w:p w14:paraId="48694BAC"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2022/</w:t>
            </w:r>
          </w:p>
          <w:p w14:paraId="0A88D7E9"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2023</w:t>
            </w:r>
          </w:p>
        </w:tc>
      </w:tr>
      <w:tr w:rsidR="00CB1379" w:rsidRPr="00AB1F43" w14:paraId="651A8B49" w14:textId="77777777" w:rsidTr="00AB1F43">
        <w:trPr>
          <w:trHeight w:val="233"/>
        </w:trPr>
        <w:tc>
          <w:tcPr>
            <w:tcW w:w="552" w:type="pct"/>
            <w:shd w:val="clear" w:color="auto" w:fill="auto"/>
            <w:vAlign w:val="center"/>
          </w:tcPr>
          <w:p w14:paraId="40DE38DE"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Total %</w:t>
            </w:r>
          </w:p>
        </w:tc>
        <w:tc>
          <w:tcPr>
            <w:tcW w:w="661" w:type="pct"/>
            <w:shd w:val="clear" w:color="auto" w:fill="auto"/>
            <w:vAlign w:val="center"/>
          </w:tcPr>
          <w:p w14:paraId="28386C26"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76,6</w:t>
            </w:r>
          </w:p>
        </w:tc>
        <w:tc>
          <w:tcPr>
            <w:tcW w:w="476" w:type="pct"/>
            <w:vAlign w:val="center"/>
          </w:tcPr>
          <w:p w14:paraId="1799BCEF"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78,5</w:t>
            </w:r>
          </w:p>
        </w:tc>
        <w:tc>
          <w:tcPr>
            <w:tcW w:w="476" w:type="pct"/>
            <w:vAlign w:val="center"/>
          </w:tcPr>
          <w:p w14:paraId="7FF1C91A"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78,2</w:t>
            </w:r>
          </w:p>
        </w:tc>
        <w:tc>
          <w:tcPr>
            <w:tcW w:w="476" w:type="pct"/>
          </w:tcPr>
          <w:p w14:paraId="79BCF80E"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78,3</w:t>
            </w:r>
          </w:p>
        </w:tc>
        <w:tc>
          <w:tcPr>
            <w:tcW w:w="476" w:type="pct"/>
          </w:tcPr>
          <w:p w14:paraId="61853CFA"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78,6</w:t>
            </w:r>
          </w:p>
        </w:tc>
        <w:tc>
          <w:tcPr>
            <w:tcW w:w="476" w:type="pct"/>
          </w:tcPr>
          <w:p w14:paraId="4F812174"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78,6</w:t>
            </w:r>
          </w:p>
        </w:tc>
        <w:tc>
          <w:tcPr>
            <w:tcW w:w="476" w:type="pct"/>
          </w:tcPr>
          <w:p w14:paraId="27ED48CB"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78,1</w:t>
            </w:r>
          </w:p>
        </w:tc>
        <w:tc>
          <w:tcPr>
            <w:tcW w:w="476" w:type="pct"/>
            <w:vAlign w:val="center"/>
          </w:tcPr>
          <w:p w14:paraId="550E4B91"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77,3</w:t>
            </w:r>
          </w:p>
        </w:tc>
        <w:tc>
          <w:tcPr>
            <w:tcW w:w="455" w:type="pct"/>
          </w:tcPr>
          <w:p w14:paraId="2075DFE1"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76,0</w:t>
            </w:r>
          </w:p>
        </w:tc>
      </w:tr>
      <w:tr w:rsidR="00CB1379" w:rsidRPr="00AB1F43" w14:paraId="3E467CC5" w14:textId="77777777" w:rsidTr="00AB1F43">
        <w:tc>
          <w:tcPr>
            <w:tcW w:w="552" w:type="pct"/>
            <w:shd w:val="clear" w:color="auto" w:fill="auto"/>
            <w:vAlign w:val="center"/>
          </w:tcPr>
          <w:p w14:paraId="465E5379"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Female %</w:t>
            </w:r>
          </w:p>
        </w:tc>
        <w:tc>
          <w:tcPr>
            <w:tcW w:w="661" w:type="pct"/>
            <w:shd w:val="clear" w:color="auto" w:fill="auto"/>
            <w:vAlign w:val="center"/>
          </w:tcPr>
          <w:p w14:paraId="2BB52EA3"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78,1</w:t>
            </w:r>
          </w:p>
        </w:tc>
        <w:tc>
          <w:tcPr>
            <w:tcW w:w="476" w:type="pct"/>
            <w:vAlign w:val="center"/>
          </w:tcPr>
          <w:p w14:paraId="60CAE959"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80,0</w:t>
            </w:r>
          </w:p>
        </w:tc>
        <w:tc>
          <w:tcPr>
            <w:tcW w:w="476" w:type="pct"/>
            <w:vAlign w:val="center"/>
          </w:tcPr>
          <w:p w14:paraId="6366D5C5"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79,7</w:t>
            </w:r>
          </w:p>
        </w:tc>
        <w:tc>
          <w:tcPr>
            <w:tcW w:w="476" w:type="pct"/>
          </w:tcPr>
          <w:p w14:paraId="7B23C99E"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79,9</w:t>
            </w:r>
          </w:p>
        </w:tc>
        <w:tc>
          <w:tcPr>
            <w:tcW w:w="476" w:type="pct"/>
          </w:tcPr>
          <w:p w14:paraId="26FAB78C"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80,1</w:t>
            </w:r>
          </w:p>
        </w:tc>
        <w:tc>
          <w:tcPr>
            <w:tcW w:w="476" w:type="pct"/>
          </w:tcPr>
          <w:p w14:paraId="7B604727"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80,5</w:t>
            </w:r>
          </w:p>
        </w:tc>
        <w:tc>
          <w:tcPr>
            <w:tcW w:w="476" w:type="pct"/>
          </w:tcPr>
          <w:p w14:paraId="3796A671"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80,3</w:t>
            </w:r>
          </w:p>
        </w:tc>
        <w:tc>
          <w:tcPr>
            <w:tcW w:w="476" w:type="pct"/>
            <w:vAlign w:val="center"/>
          </w:tcPr>
          <w:p w14:paraId="297C1FE2"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79,6</w:t>
            </w:r>
          </w:p>
        </w:tc>
        <w:tc>
          <w:tcPr>
            <w:tcW w:w="455" w:type="pct"/>
          </w:tcPr>
          <w:p w14:paraId="19DFEAFC"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78,1</w:t>
            </w:r>
          </w:p>
        </w:tc>
      </w:tr>
      <w:tr w:rsidR="00CB1379" w:rsidRPr="00AB1F43" w14:paraId="0087C516" w14:textId="77777777" w:rsidTr="00AB1F43">
        <w:tc>
          <w:tcPr>
            <w:tcW w:w="552" w:type="pct"/>
            <w:shd w:val="clear" w:color="auto" w:fill="auto"/>
            <w:vAlign w:val="center"/>
          </w:tcPr>
          <w:p w14:paraId="312D6663"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Male%</w:t>
            </w:r>
          </w:p>
        </w:tc>
        <w:tc>
          <w:tcPr>
            <w:tcW w:w="661" w:type="pct"/>
            <w:shd w:val="clear" w:color="auto" w:fill="auto"/>
            <w:vAlign w:val="center"/>
          </w:tcPr>
          <w:p w14:paraId="35BDAF1E"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74,3</w:t>
            </w:r>
          </w:p>
        </w:tc>
        <w:tc>
          <w:tcPr>
            <w:tcW w:w="476" w:type="pct"/>
            <w:vAlign w:val="center"/>
          </w:tcPr>
          <w:p w14:paraId="48F3F2DB"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77,1</w:t>
            </w:r>
          </w:p>
        </w:tc>
        <w:tc>
          <w:tcPr>
            <w:tcW w:w="476" w:type="pct"/>
            <w:vAlign w:val="center"/>
          </w:tcPr>
          <w:p w14:paraId="51B8970C"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76,8</w:t>
            </w:r>
          </w:p>
        </w:tc>
        <w:tc>
          <w:tcPr>
            <w:tcW w:w="476" w:type="pct"/>
          </w:tcPr>
          <w:p w14:paraId="318778E2"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76,8</w:t>
            </w:r>
          </w:p>
        </w:tc>
        <w:tc>
          <w:tcPr>
            <w:tcW w:w="476" w:type="pct"/>
          </w:tcPr>
          <w:p w14:paraId="3535418E"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77,1</w:t>
            </w:r>
          </w:p>
        </w:tc>
        <w:tc>
          <w:tcPr>
            <w:tcW w:w="476" w:type="pct"/>
          </w:tcPr>
          <w:p w14:paraId="5720BB0D"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76,8</w:t>
            </w:r>
          </w:p>
        </w:tc>
        <w:tc>
          <w:tcPr>
            <w:tcW w:w="476" w:type="pct"/>
          </w:tcPr>
          <w:p w14:paraId="1DB4D317"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76,0</w:t>
            </w:r>
          </w:p>
        </w:tc>
        <w:tc>
          <w:tcPr>
            <w:tcW w:w="476" w:type="pct"/>
            <w:vAlign w:val="center"/>
          </w:tcPr>
          <w:p w14:paraId="3D12EC60"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75,2</w:t>
            </w:r>
          </w:p>
        </w:tc>
        <w:tc>
          <w:tcPr>
            <w:tcW w:w="455" w:type="pct"/>
          </w:tcPr>
          <w:p w14:paraId="1A03029B" w14:textId="77777777" w:rsidR="00C35F71" w:rsidRPr="00AB1F43" w:rsidRDefault="00C35F71" w:rsidP="00075D7D">
            <w:pPr>
              <w:spacing w:after="120" w:line="276" w:lineRule="auto"/>
              <w:ind w:right="210"/>
              <w:jc w:val="both"/>
              <w:rPr>
                <w:rFonts w:cstheme="minorHAnsi"/>
                <w:noProof/>
                <w:sz w:val="18"/>
                <w:szCs w:val="18"/>
                <w:lang w:val="ro-RO"/>
              </w:rPr>
            </w:pPr>
            <w:r w:rsidRPr="00AB1F43">
              <w:rPr>
                <w:rFonts w:cstheme="minorHAnsi"/>
                <w:noProof/>
                <w:sz w:val="18"/>
                <w:szCs w:val="18"/>
                <w:lang w:val="ro-RO"/>
              </w:rPr>
              <w:t>74,0</w:t>
            </w:r>
          </w:p>
        </w:tc>
      </w:tr>
    </w:tbl>
    <w:p w14:paraId="73A0891F" w14:textId="77777777" w:rsidR="00C35F71" w:rsidRPr="00AB1F43" w:rsidRDefault="00C35F71" w:rsidP="00C35F71">
      <w:pPr>
        <w:spacing w:after="120" w:line="276" w:lineRule="auto"/>
        <w:ind w:right="210"/>
        <w:jc w:val="both"/>
        <w:rPr>
          <w:rFonts w:cstheme="minorHAnsi"/>
          <w:i/>
          <w:iCs/>
          <w:noProof/>
          <w:sz w:val="18"/>
          <w:szCs w:val="18"/>
          <w:lang w:val="ro-RO"/>
        </w:rPr>
      </w:pPr>
      <w:bookmarkStart w:id="0" w:name="_Hlk167191553"/>
      <w:r w:rsidRPr="00AB1F43">
        <w:rPr>
          <w:rFonts w:cstheme="minorHAnsi"/>
          <w:i/>
          <w:iCs/>
          <w:noProof/>
          <w:sz w:val="18"/>
          <w:szCs w:val="18"/>
          <w:lang w:val="ro-RO"/>
        </w:rPr>
        <w:t>Sursa: INS, 2015-2023</w:t>
      </w:r>
      <w:bookmarkEnd w:id="0"/>
    </w:p>
    <w:p w14:paraId="3A6837CC" w14:textId="77777777" w:rsidR="00C35F71" w:rsidRPr="00AB1F43" w:rsidRDefault="00C35F71">
      <w:pPr>
        <w:rPr>
          <w:rFonts w:cstheme="minorHAnsi"/>
          <w:sz w:val="18"/>
          <w:szCs w:val="18"/>
        </w:rPr>
      </w:pPr>
    </w:p>
    <w:p w14:paraId="5F50837F" w14:textId="77777777" w:rsidR="00C35F71" w:rsidRPr="00AB1F43" w:rsidRDefault="00C35F71" w:rsidP="00C35F71">
      <w:pPr>
        <w:spacing w:after="120" w:line="276" w:lineRule="auto"/>
        <w:ind w:right="210"/>
        <w:jc w:val="both"/>
        <w:rPr>
          <w:rFonts w:cstheme="minorHAnsi"/>
          <w:noProof/>
          <w:sz w:val="18"/>
          <w:szCs w:val="18"/>
        </w:rPr>
      </w:pPr>
      <w:r w:rsidRPr="00AB1F43">
        <w:rPr>
          <w:rFonts w:cstheme="minorHAnsi"/>
          <w:noProof/>
          <w:sz w:val="18"/>
          <w:szCs w:val="18"/>
        </w:rPr>
        <w:lastRenderedPageBreak/>
        <w:t>Proportion of Female Staff out of Total Teaching Staff by Educational Levels (2021/2022)</w:t>
      </w:r>
    </w:p>
    <w:p w14:paraId="39E36966" w14:textId="1E583639" w:rsidR="00C35F71" w:rsidRPr="00AB1F43" w:rsidRDefault="00C35F71" w:rsidP="00C35F71">
      <w:pPr>
        <w:spacing w:after="120" w:line="276" w:lineRule="auto"/>
        <w:ind w:left="900" w:right="210"/>
        <w:jc w:val="both"/>
        <w:rPr>
          <w:rFonts w:cstheme="minorHAnsi"/>
          <w:i/>
          <w:iCs/>
          <w:noProof/>
          <w:sz w:val="18"/>
          <w:szCs w:val="18"/>
        </w:rPr>
      </w:pPr>
      <w:r w:rsidRPr="00AB1F43">
        <w:rPr>
          <w:rFonts w:cstheme="minorHAnsi"/>
          <w:noProof/>
          <w:sz w:val="18"/>
          <w:szCs w:val="18"/>
        </w:rPr>
        <w:drawing>
          <wp:inline distT="0" distB="0" distL="0" distR="0" wp14:anchorId="51D35EDC" wp14:editId="34EB0BFE">
            <wp:extent cx="5143500" cy="1233170"/>
            <wp:effectExtent l="0" t="0" r="0" b="5080"/>
            <wp:docPr id="24" name="Diagramă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AB1F43">
        <w:rPr>
          <w:rFonts w:cstheme="minorHAnsi"/>
          <w:i/>
          <w:iCs/>
          <w:noProof/>
          <w:sz w:val="18"/>
          <w:szCs w:val="18"/>
        </w:rPr>
        <w:t xml:space="preserve">     </w:t>
      </w:r>
    </w:p>
    <w:p w14:paraId="644F5095" w14:textId="77777777" w:rsidR="00C35F71" w:rsidRPr="00AB1F43" w:rsidRDefault="00C35F71" w:rsidP="00C35F71">
      <w:pPr>
        <w:spacing w:after="120" w:line="276" w:lineRule="auto"/>
        <w:ind w:left="900" w:right="210"/>
        <w:jc w:val="both"/>
        <w:rPr>
          <w:rFonts w:cstheme="minorHAnsi"/>
          <w:i/>
          <w:iCs/>
          <w:noProof/>
          <w:sz w:val="18"/>
          <w:szCs w:val="18"/>
        </w:rPr>
      </w:pPr>
      <w:r w:rsidRPr="00AB1F43">
        <w:rPr>
          <w:rFonts w:cstheme="minorHAnsi"/>
          <w:i/>
          <w:iCs/>
          <w:noProof/>
          <w:sz w:val="18"/>
          <w:szCs w:val="18"/>
        </w:rPr>
        <w:t xml:space="preserve"> Sursa: INS, 2015-2023</w:t>
      </w:r>
    </w:p>
    <w:p w14:paraId="1C77447A" w14:textId="77777777" w:rsidR="00C35F71" w:rsidRPr="00AB1F43" w:rsidRDefault="00C35F71" w:rsidP="00C35F71">
      <w:pPr>
        <w:spacing w:after="120" w:line="276" w:lineRule="auto"/>
        <w:ind w:left="900" w:right="210"/>
        <w:jc w:val="both"/>
        <w:rPr>
          <w:rFonts w:cstheme="minorHAnsi"/>
          <w:i/>
          <w:iCs/>
          <w:noProof/>
          <w:sz w:val="18"/>
          <w:szCs w:val="18"/>
        </w:rPr>
      </w:pPr>
    </w:p>
    <w:p w14:paraId="31B3C829" w14:textId="77777777" w:rsidR="00C35F71" w:rsidRPr="00AB1F43" w:rsidRDefault="00C35F71" w:rsidP="00C35F71">
      <w:pPr>
        <w:spacing w:after="120" w:line="276" w:lineRule="auto"/>
        <w:ind w:right="210"/>
        <w:jc w:val="both"/>
        <w:rPr>
          <w:rFonts w:cstheme="minorHAnsi"/>
          <w:i/>
          <w:iCs/>
          <w:noProof/>
          <w:sz w:val="18"/>
          <w:szCs w:val="18"/>
        </w:rPr>
      </w:pPr>
      <w:r w:rsidRPr="00AB1F43">
        <w:rPr>
          <w:rFonts w:cstheme="minorHAnsi"/>
          <w:i/>
          <w:iCs/>
          <w:noProof/>
          <w:sz w:val="18"/>
          <w:szCs w:val="18"/>
        </w:rPr>
        <w:t>Evolution of specific enrollment rates by age and gender in undergraduate higher education (2014-2023) (%)</w:t>
      </w:r>
    </w:p>
    <w:tbl>
      <w:tblPr>
        <w:tblW w:w="5429" w:type="pct"/>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Look w:val="0000" w:firstRow="0" w:lastRow="0" w:firstColumn="0" w:lastColumn="0" w:noHBand="0" w:noVBand="0"/>
      </w:tblPr>
      <w:tblGrid>
        <w:gridCol w:w="871"/>
        <w:gridCol w:w="1362"/>
        <w:gridCol w:w="871"/>
        <w:gridCol w:w="871"/>
        <w:gridCol w:w="871"/>
        <w:gridCol w:w="871"/>
        <w:gridCol w:w="871"/>
        <w:gridCol w:w="871"/>
        <w:gridCol w:w="914"/>
        <w:gridCol w:w="914"/>
        <w:gridCol w:w="865"/>
      </w:tblGrid>
      <w:tr w:rsidR="00CB1379" w:rsidRPr="00AB1F43" w14:paraId="56A0F054" w14:textId="77777777" w:rsidTr="00075D7D">
        <w:trPr>
          <w:tblHeader/>
        </w:trPr>
        <w:tc>
          <w:tcPr>
            <w:tcW w:w="429" w:type="pct"/>
            <w:shd w:val="clear" w:color="auto" w:fill="ECF6FF"/>
          </w:tcPr>
          <w:p w14:paraId="5912A76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years</w:t>
            </w:r>
          </w:p>
        </w:tc>
        <w:tc>
          <w:tcPr>
            <w:tcW w:w="671" w:type="pct"/>
            <w:shd w:val="clear" w:color="auto" w:fill="ECF6FF"/>
          </w:tcPr>
          <w:p w14:paraId="3BAD2AC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Distribuția pe sexe</w:t>
            </w:r>
          </w:p>
        </w:tc>
        <w:tc>
          <w:tcPr>
            <w:tcW w:w="429" w:type="pct"/>
            <w:shd w:val="clear" w:color="auto" w:fill="ECF6FF"/>
          </w:tcPr>
          <w:p w14:paraId="7D4FFB7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2014/</w:t>
            </w:r>
          </w:p>
          <w:p w14:paraId="00702F1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2015</w:t>
            </w:r>
          </w:p>
        </w:tc>
        <w:tc>
          <w:tcPr>
            <w:tcW w:w="429" w:type="pct"/>
            <w:shd w:val="clear" w:color="auto" w:fill="ECF6FF"/>
          </w:tcPr>
          <w:p w14:paraId="6ACBA49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2015/</w:t>
            </w:r>
          </w:p>
          <w:p w14:paraId="21759B1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2016</w:t>
            </w:r>
          </w:p>
        </w:tc>
        <w:tc>
          <w:tcPr>
            <w:tcW w:w="429" w:type="pct"/>
            <w:shd w:val="clear" w:color="auto" w:fill="ECF6FF"/>
          </w:tcPr>
          <w:p w14:paraId="37CB476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2016/</w:t>
            </w:r>
          </w:p>
          <w:p w14:paraId="0C7FEF6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2017</w:t>
            </w:r>
          </w:p>
        </w:tc>
        <w:tc>
          <w:tcPr>
            <w:tcW w:w="429" w:type="pct"/>
            <w:shd w:val="clear" w:color="auto" w:fill="ECF6FF"/>
          </w:tcPr>
          <w:p w14:paraId="2310DF5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2017/</w:t>
            </w:r>
          </w:p>
          <w:p w14:paraId="595610E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2018</w:t>
            </w:r>
          </w:p>
        </w:tc>
        <w:tc>
          <w:tcPr>
            <w:tcW w:w="429" w:type="pct"/>
            <w:shd w:val="clear" w:color="auto" w:fill="ECF6FF"/>
          </w:tcPr>
          <w:p w14:paraId="55D291F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2018/</w:t>
            </w:r>
          </w:p>
          <w:p w14:paraId="0A3728E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2019</w:t>
            </w:r>
          </w:p>
        </w:tc>
        <w:tc>
          <w:tcPr>
            <w:tcW w:w="429" w:type="pct"/>
            <w:shd w:val="clear" w:color="auto" w:fill="ECF6FF"/>
          </w:tcPr>
          <w:p w14:paraId="0128A37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2019/</w:t>
            </w:r>
          </w:p>
          <w:p w14:paraId="0F13267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2020</w:t>
            </w:r>
          </w:p>
        </w:tc>
        <w:tc>
          <w:tcPr>
            <w:tcW w:w="450" w:type="pct"/>
            <w:shd w:val="clear" w:color="auto" w:fill="ECF6FF"/>
          </w:tcPr>
          <w:p w14:paraId="6CB7FCE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2020/</w:t>
            </w:r>
          </w:p>
          <w:p w14:paraId="696DDC1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2021*</w:t>
            </w:r>
          </w:p>
        </w:tc>
        <w:tc>
          <w:tcPr>
            <w:tcW w:w="450" w:type="pct"/>
            <w:shd w:val="clear" w:color="auto" w:fill="ECF6FF"/>
          </w:tcPr>
          <w:p w14:paraId="36A0EFA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2021/</w:t>
            </w:r>
          </w:p>
          <w:p w14:paraId="5717250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2022*</w:t>
            </w:r>
          </w:p>
        </w:tc>
        <w:tc>
          <w:tcPr>
            <w:tcW w:w="429" w:type="pct"/>
            <w:shd w:val="clear" w:color="auto" w:fill="ECF6FF"/>
          </w:tcPr>
          <w:p w14:paraId="2DF42FF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2022/</w:t>
            </w:r>
          </w:p>
          <w:p w14:paraId="0BE1204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2023</w:t>
            </w:r>
          </w:p>
        </w:tc>
      </w:tr>
      <w:tr w:rsidR="00CB1379" w:rsidRPr="00AB1F43" w14:paraId="4CF087C6" w14:textId="77777777" w:rsidTr="00075D7D">
        <w:trPr>
          <w:trHeight w:val="120"/>
        </w:trPr>
        <w:tc>
          <w:tcPr>
            <w:tcW w:w="429" w:type="pct"/>
            <w:vMerge w:val="restart"/>
          </w:tcPr>
          <w:p w14:paraId="7730B5D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18 years</w:t>
            </w:r>
          </w:p>
        </w:tc>
        <w:tc>
          <w:tcPr>
            <w:tcW w:w="671" w:type="pct"/>
          </w:tcPr>
          <w:p w14:paraId="22BD8F9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5D3B5A0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5,7</w:t>
            </w:r>
          </w:p>
        </w:tc>
        <w:tc>
          <w:tcPr>
            <w:tcW w:w="429" w:type="pct"/>
            <w:shd w:val="clear" w:color="auto" w:fill="FFFFFF"/>
            <w:vAlign w:val="bottom"/>
          </w:tcPr>
          <w:p w14:paraId="48F93F7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9,8</w:t>
            </w:r>
          </w:p>
        </w:tc>
        <w:tc>
          <w:tcPr>
            <w:tcW w:w="429" w:type="pct"/>
            <w:vAlign w:val="bottom"/>
          </w:tcPr>
          <w:p w14:paraId="1D03B2C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8,5</w:t>
            </w:r>
          </w:p>
        </w:tc>
        <w:tc>
          <w:tcPr>
            <w:tcW w:w="429" w:type="pct"/>
            <w:vAlign w:val="bottom"/>
          </w:tcPr>
          <w:p w14:paraId="31EE8F9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8,6</w:t>
            </w:r>
          </w:p>
        </w:tc>
        <w:tc>
          <w:tcPr>
            <w:tcW w:w="429" w:type="pct"/>
            <w:vAlign w:val="bottom"/>
          </w:tcPr>
          <w:p w14:paraId="2807E4D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7,6</w:t>
            </w:r>
          </w:p>
        </w:tc>
        <w:tc>
          <w:tcPr>
            <w:tcW w:w="429" w:type="pct"/>
            <w:vAlign w:val="bottom"/>
          </w:tcPr>
          <w:p w14:paraId="51E289B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7,4</w:t>
            </w:r>
          </w:p>
        </w:tc>
        <w:tc>
          <w:tcPr>
            <w:tcW w:w="450" w:type="pct"/>
            <w:vAlign w:val="bottom"/>
          </w:tcPr>
          <w:p w14:paraId="7AC9C5C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8,7</w:t>
            </w:r>
          </w:p>
        </w:tc>
        <w:tc>
          <w:tcPr>
            <w:tcW w:w="450" w:type="pct"/>
            <w:vAlign w:val="bottom"/>
          </w:tcPr>
          <w:p w14:paraId="29B5927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7,9</w:t>
            </w:r>
          </w:p>
        </w:tc>
        <w:tc>
          <w:tcPr>
            <w:tcW w:w="429" w:type="pct"/>
            <w:vAlign w:val="bottom"/>
          </w:tcPr>
          <w:p w14:paraId="35C11FD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7,9</w:t>
            </w:r>
          </w:p>
        </w:tc>
      </w:tr>
      <w:tr w:rsidR="00CB1379" w:rsidRPr="00AB1F43" w14:paraId="508FEADC" w14:textId="77777777" w:rsidTr="00075D7D">
        <w:tc>
          <w:tcPr>
            <w:tcW w:w="429" w:type="pct"/>
            <w:vMerge/>
          </w:tcPr>
          <w:p w14:paraId="4295A7FF"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025ABF2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6E63E2A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6,7</w:t>
            </w:r>
          </w:p>
        </w:tc>
        <w:tc>
          <w:tcPr>
            <w:tcW w:w="429" w:type="pct"/>
            <w:shd w:val="clear" w:color="auto" w:fill="FFFFFF"/>
            <w:vAlign w:val="bottom"/>
          </w:tcPr>
          <w:p w14:paraId="08FB165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11,7</w:t>
            </w:r>
          </w:p>
        </w:tc>
        <w:tc>
          <w:tcPr>
            <w:tcW w:w="429" w:type="pct"/>
            <w:vAlign w:val="bottom"/>
          </w:tcPr>
          <w:p w14:paraId="2393A60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10,6</w:t>
            </w:r>
          </w:p>
        </w:tc>
        <w:tc>
          <w:tcPr>
            <w:tcW w:w="429" w:type="pct"/>
            <w:vAlign w:val="bottom"/>
          </w:tcPr>
          <w:p w14:paraId="7254048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10,7</w:t>
            </w:r>
          </w:p>
        </w:tc>
        <w:tc>
          <w:tcPr>
            <w:tcW w:w="429" w:type="pct"/>
            <w:vAlign w:val="bottom"/>
          </w:tcPr>
          <w:p w14:paraId="1C3F51B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9,2</w:t>
            </w:r>
          </w:p>
        </w:tc>
        <w:tc>
          <w:tcPr>
            <w:tcW w:w="429" w:type="pct"/>
            <w:vAlign w:val="bottom"/>
          </w:tcPr>
          <w:p w14:paraId="442DBD4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8,8</w:t>
            </w:r>
          </w:p>
        </w:tc>
        <w:tc>
          <w:tcPr>
            <w:tcW w:w="450" w:type="pct"/>
            <w:vAlign w:val="bottom"/>
          </w:tcPr>
          <w:p w14:paraId="29C24B2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9,9</w:t>
            </w:r>
          </w:p>
        </w:tc>
        <w:tc>
          <w:tcPr>
            <w:tcW w:w="450" w:type="pct"/>
            <w:vAlign w:val="bottom"/>
          </w:tcPr>
          <w:p w14:paraId="1DCA815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9,4</w:t>
            </w:r>
          </w:p>
        </w:tc>
        <w:tc>
          <w:tcPr>
            <w:tcW w:w="429" w:type="pct"/>
            <w:vAlign w:val="bottom"/>
          </w:tcPr>
          <w:p w14:paraId="7CCFF25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9,4</w:t>
            </w:r>
          </w:p>
        </w:tc>
      </w:tr>
      <w:tr w:rsidR="00CB1379" w:rsidRPr="00AB1F43" w14:paraId="756EC845" w14:textId="77777777" w:rsidTr="00075D7D">
        <w:tc>
          <w:tcPr>
            <w:tcW w:w="429" w:type="pct"/>
            <w:vMerge/>
          </w:tcPr>
          <w:p w14:paraId="3C31E73E"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61810FE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2F4B538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4,8</w:t>
            </w:r>
          </w:p>
        </w:tc>
        <w:tc>
          <w:tcPr>
            <w:tcW w:w="429" w:type="pct"/>
            <w:shd w:val="clear" w:color="auto" w:fill="FFFFFF"/>
            <w:vAlign w:val="bottom"/>
          </w:tcPr>
          <w:p w14:paraId="77D12B2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8,0</w:t>
            </w:r>
          </w:p>
        </w:tc>
        <w:tc>
          <w:tcPr>
            <w:tcW w:w="429" w:type="pct"/>
            <w:vAlign w:val="bottom"/>
          </w:tcPr>
          <w:p w14:paraId="2E7061D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6,4</w:t>
            </w:r>
          </w:p>
        </w:tc>
        <w:tc>
          <w:tcPr>
            <w:tcW w:w="429" w:type="pct"/>
            <w:vAlign w:val="bottom"/>
          </w:tcPr>
          <w:p w14:paraId="2866284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6,6</w:t>
            </w:r>
          </w:p>
        </w:tc>
        <w:tc>
          <w:tcPr>
            <w:tcW w:w="429" w:type="pct"/>
            <w:vAlign w:val="bottom"/>
          </w:tcPr>
          <w:p w14:paraId="72242E5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6,0</w:t>
            </w:r>
          </w:p>
        </w:tc>
        <w:tc>
          <w:tcPr>
            <w:tcW w:w="429" w:type="pct"/>
            <w:vAlign w:val="bottom"/>
          </w:tcPr>
          <w:p w14:paraId="7111C34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5,9</w:t>
            </w:r>
          </w:p>
        </w:tc>
        <w:tc>
          <w:tcPr>
            <w:tcW w:w="450" w:type="pct"/>
            <w:vAlign w:val="bottom"/>
          </w:tcPr>
          <w:p w14:paraId="517E2DC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7,4</w:t>
            </w:r>
          </w:p>
        </w:tc>
        <w:tc>
          <w:tcPr>
            <w:tcW w:w="450" w:type="pct"/>
            <w:vAlign w:val="bottom"/>
          </w:tcPr>
          <w:p w14:paraId="70AEE5C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6,3</w:t>
            </w:r>
          </w:p>
        </w:tc>
        <w:tc>
          <w:tcPr>
            <w:tcW w:w="429" w:type="pct"/>
            <w:vAlign w:val="bottom"/>
          </w:tcPr>
          <w:p w14:paraId="00B3311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6,2</w:t>
            </w:r>
          </w:p>
        </w:tc>
      </w:tr>
      <w:tr w:rsidR="00CB1379" w:rsidRPr="00AB1F43" w14:paraId="46C2F5B4" w14:textId="77777777" w:rsidTr="00075D7D">
        <w:tc>
          <w:tcPr>
            <w:tcW w:w="429" w:type="pct"/>
            <w:vMerge w:val="restart"/>
          </w:tcPr>
          <w:p w14:paraId="3605F08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19 years</w:t>
            </w:r>
          </w:p>
        </w:tc>
        <w:tc>
          <w:tcPr>
            <w:tcW w:w="671" w:type="pct"/>
          </w:tcPr>
          <w:p w14:paraId="1CE890C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21061AA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31,6</w:t>
            </w:r>
          </w:p>
        </w:tc>
        <w:tc>
          <w:tcPr>
            <w:tcW w:w="429" w:type="pct"/>
            <w:shd w:val="clear" w:color="auto" w:fill="FFFFFF"/>
            <w:vAlign w:val="bottom"/>
          </w:tcPr>
          <w:p w14:paraId="023A1B2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33,5</w:t>
            </w:r>
          </w:p>
        </w:tc>
        <w:tc>
          <w:tcPr>
            <w:tcW w:w="429" w:type="pct"/>
            <w:vAlign w:val="bottom"/>
          </w:tcPr>
          <w:p w14:paraId="0A30FC9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32,8</w:t>
            </w:r>
          </w:p>
        </w:tc>
        <w:tc>
          <w:tcPr>
            <w:tcW w:w="429" w:type="pct"/>
            <w:vAlign w:val="bottom"/>
          </w:tcPr>
          <w:p w14:paraId="1456062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32,8</w:t>
            </w:r>
          </w:p>
        </w:tc>
        <w:tc>
          <w:tcPr>
            <w:tcW w:w="429" w:type="pct"/>
            <w:vAlign w:val="bottom"/>
          </w:tcPr>
          <w:p w14:paraId="43367E2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32,3</w:t>
            </w:r>
          </w:p>
        </w:tc>
        <w:tc>
          <w:tcPr>
            <w:tcW w:w="429" w:type="pct"/>
            <w:vAlign w:val="bottom"/>
          </w:tcPr>
          <w:p w14:paraId="1C920B5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33,2</w:t>
            </w:r>
          </w:p>
        </w:tc>
        <w:tc>
          <w:tcPr>
            <w:tcW w:w="450" w:type="pct"/>
            <w:vAlign w:val="bottom"/>
          </w:tcPr>
          <w:p w14:paraId="29C9420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34,1</w:t>
            </w:r>
          </w:p>
        </w:tc>
        <w:tc>
          <w:tcPr>
            <w:tcW w:w="450" w:type="pct"/>
            <w:vAlign w:val="bottom"/>
          </w:tcPr>
          <w:p w14:paraId="28F6B5F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35,6</w:t>
            </w:r>
          </w:p>
        </w:tc>
        <w:tc>
          <w:tcPr>
            <w:tcW w:w="429" w:type="pct"/>
            <w:vAlign w:val="bottom"/>
          </w:tcPr>
          <w:p w14:paraId="1BAFEA7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36,9</w:t>
            </w:r>
          </w:p>
        </w:tc>
      </w:tr>
      <w:tr w:rsidR="00CB1379" w:rsidRPr="00AB1F43" w14:paraId="71BC8293" w14:textId="77777777" w:rsidTr="00075D7D">
        <w:tc>
          <w:tcPr>
            <w:tcW w:w="429" w:type="pct"/>
            <w:vMerge/>
          </w:tcPr>
          <w:p w14:paraId="4058DAC0"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2BCCC1D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6935BAA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37,2</w:t>
            </w:r>
          </w:p>
        </w:tc>
        <w:tc>
          <w:tcPr>
            <w:tcW w:w="429" w:type="pct"/>
            <w:shd w:val="clear" w:color="auto" w:fill="FFFFFF"/>
            <w:vAlign w:val="bottom"/>
          </w:tcPr>
          <w:p w14:paraId="4D47BA6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38,8</w:t>
            </w:r>
          </w:p>
        </w:tc>
        <w:tc>
          <w:tcPr>
            <w:tcW w:w="429" w:type="pct"/>
            <w:vAlign w:val="bottom"/>
          </w:tcPr>
          <w:p w14:paraId="53C680F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37,9</w:t>
            </w:r>
          </w:p>
        </w:tc>
        <w:tc>
          <w:tcPr>
            <w:tcW w:w="429" w:type="pct"/>
            <w:vAlign w:val="bottom"/>
          </w:tcPr>
          <w:p w14:paraId="014E807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38,3</w:t>
            </w:r>
          </w:p>
        </w:tc>
        <w:tc>
          <w:tcPr>
            <w:tcW w:w="429" w:type="pct"/>
            <w:vAlign w:val="bottom"/>
          </w:tcPr>
          <w:p w14:paraId="3BA3FF7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38,5</w:t>
            </w:r>
          </w:p>
        </w:tc>
        <w:tc>
          <w:tcPr>
            <w:tcW w:w="429" w:type="pct"/>
            <w:vAlign w:val="bottom"/>
          </w:tcPr>
          <w:p w14:paraId="1D8B8F8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37,1</w:t>
            </w:r>
          </w:p>
        </w:tc>
        <w:tc>
          <w:tcPr>
            <w:tcW w:w="450" w:type="pct"/>
            <w:vAlign w:val="bottom"/>
          </w:tcPr>
          <w:p w14:paraId="0E0F296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37,9</w:t>
            </w:r>
          </w:p>
        </w:tc>
        <w:tc>
          <w:tcPr>
            <w:tcW w:w="450" w:type="pct"/>
            <w:vAlign w:val="bottom"/>
          </w:tcPr>
          <w:p w14:paraId="76B4470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39,4</w:t>
            </w:r>
          </w:p>
        </w:tc>
        <w:tc>
          <w:tcPr>
            <w:tcW w:w="429" w:type="pct"/>
            <w:vAlign w:val="bottom"/>
          </w:tcPr>
          <w:p w14:paraId="7D16E0D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40,9</w:t>
            </w:r>
          </w:p>
        </w:tc>
      </w:tr>
      <w:tr w:rsidR="00CB1379" w:rsidRPr="00AB1F43" w14:paraId="5793B55D" w14:textId="77777777" w:rsidTr="00075D7D">
        <w:tc>
          <w:tcPr>
            <w:tcW w:w="429" w:type="pct"/>
            <w:vMerge/>
          </w:tcPr>
          <w:p w14:paraId="67EA45F3"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218A618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54CD5C1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26,1</w:t>
            </w:r>
          </w:p>
        </w:tc>
        <w:tc>
          <w:tcPr>
            <w:tcW w:w="429" w:type="pct"/>
            <w:shd w:val="clear" w:color="auto" w:fill="FFFFFF"/>
            <w:vAlign w:val="bottom"/>
          </w:tcPr>
          <w:p w14:paraId="6553314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28,5</w:t>
            </w:r>
          </w:p>
        </w:tc>
        <w:tc>
          <w:tcPr>
            <w:tcW w:w="429" w:type="pct"/>
            <w:vAlign w:val="bottom"/>
          </w:tcPr>
          <w:p w14:paraId="439656D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27,9</w:t>
            </w:r>
          </w:p>
        </w:tc>
        <w:tc>
          <w:tcPr>
            <w:tcW w:w="429" w:type="pct"/>
            <w:vAlign w:val="bottom"/>
          </w:tcPr>
          <w:p w14:paraId="798E857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27,6</w:t>
            </w:r>
          </w:p>
        </w:tc>
        <w:tc>
          <w:tcPr>
            <w:tcW w:w="429" w:type="pct"/>
            <w:vAlign w:val="bottom"/>
          </w:tcPr>
          <w:p w14:paraId="6BA22C3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26,5</w:t>
            </w:r>
          </w:p>
        </w:tc>
        <w:tc>
          <w:tcPr>
            <w:tcW w:w="429" w:type="pct"/>
            <w:vAlign w:val="bottom"/>
          </w:tcPr>
          <w:p w14:paraId="478851D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29,0</w:t>
            </w:r>
          </w:p>
        </w:tc>
        <w:tc>
          <w:tcPr>
            <w:tcW w:w="450" w:type="pct"/>
            <w:vAlign w:val="bottom"/>
          </w:tcPr>
          <w:p w14:paraId="53B78C2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30,1</w:t>
            </w:r>
          </w:p>
        </w:tc>
        <w:tc>
          <w:tcPr>
            <w:tcW w:w="450" w:type="pct"/>
            <w:vAlign w:val="bottom"/>
          </w:tcPr>
          <w:p w14:paraId="43897E9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31,5</w:t>
            </w:r>
          </w:p>
        </w:tc>
        <w:tc>
          <w:tcPr>
            <w:tcW w:w="429" w:type="pct"/>
            <w:vAlign w:val="bottom"/>
          </w:tcPr>
          <w:p w14:paraId="0CCAB52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32,7</w:t>
            </w:r>
          </w:p>
        </w:tc>
      </w:tr>
      <w:tr w:rsidR="00CB1379" w:rsidRPr="00AB1F43" w14:paraId="7EEFA15B" w14:textId="77777777" w:rsidTr="00075D7D">
        <w:tc>
          <w:tcPr>
            <w:tcW w:w="429" w:type="pct"/>
            <w:vMerge w:val="restart"/>
          </w:tcPr>
          <w:p w14:paraId="58A18CB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 years</w:t>
            </w:r>
          </w:p>
        </w:tc>
        <w:tc>
          <w:tcPr>
            <w:tcW w:w="671" w:type="pct"/>
          </w:tcPr>
          <w:p w14:paraId="48A06A2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4D16197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34,2</w:t>
            </w:r>
          </w:p>
        </w:tc>
        <w:tc>
          <w:tcPr>
            <w:tcW w:w="429" w:type="pct"/>
            <w:shd w:val="clear" w:color="auto" w:fill="FFFFFF"/>
            <w:vAlign w:val="bottom"/>
          </w:tcPr>
          <w:p w14:paraId="63DAB66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33,6</w:t>
            </w:r>
          </w:p>
        </w:tc>
        <w:tc>
          <w:tcPr>
            <w:tcW w:w="429" w:type="pct"/>
            <w:vAlign w:val="bottom"/>
          </w:tcPr>
          <w:p w14:paraId="589469A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34,1</w:t>
            </w:r>
          </w:p>
        </w:tc>
        <w:tc>
          <w:tcPr>
            <w:tcW w:w="429" w:type="pct"/>
            <w:vAlign w:val="bottom"/>
          </w:tcPr>
          <w:p w14:paraId="50A61C8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35,6</w:t>
            </w:r>
          </w:p>
        </w:tc>
        <w:tc>
          <w:tcPr>
            <w:tcW w:w="429" w:type="pct"/>
            <w:vAlign w:val="bottom"/>
          </w:tcPr>
          <w:p w14:paraId="0FA0963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36,3</w:t>
            </w:r>
          </w:p>
        </w:tc>
        <w:tc>
          <w:tcPr>
            <w:tcW w:w="429" w:type="pct"/>
            <w:vAlign w:val="bottom"/>
          </w:tcPr>
          <w:p w14:paraId="1EAED66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36,6</w:t>
            </w:r>
          </w:p>
        </w:tc>
        <w:tc>
          <w:tcPr>
            <w:tcW w:w="450" w:type="pct"/>
            <w:vAlign w:val="bottom"/>
          </w:tcPr>
          <w:p w14:paraId="3463156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38,0</w:t>
            </w:r>
          </w:p>
        </w:tc>
        <w:tc>
          <w:tcPr>
            <w:tcW w:w="450" w:type="pct"/>
            <w:vAlign w:val="bottom"/>
          </w:tcPr>
          <w:p w14:paraId="5838621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38,0</w:t>
            </w:r>
          </w:p>
        </w:tc>
        <w:tc>
          <w:tcPr>
            <w:tcW w:w="429" w:type="pct"/>
            <w:vAlign w:val="bottom"/>
          </w:tcPr>
          <w:p w14:paraId="0618C2A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39,8</w:t>
            </w:r>
          </w:p>
        </w:tc>
      </w:tr>
      <w:tr w:rsidR="00CB1379" w:rsidRPr="00AB1F43" w14:paraId="429A83B8" w14:textId="77777777" w:rsidTr="00075D7D">
        <w:tc>
          <w:tcPr>
            <w:tcW w:w="429" w:type="pct"/>
            <w:vMerge/>
          </w:tcPr>
          <w:p w14:paraId="4A0E1E76"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1AB37F3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73234AF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39,8</w:t>
            </w:r>
          </w:p>
        </w:tc>
        <w:tc>
          <w:tcPr>
            <w:tcW w:w="429" w:type="pct"/>
            <w:shd w:val="clear" w:color="auto" w:fill="FFFFFF"/>
            <w:vAlign w:val="bottom"/>
          </w:tcPr>
          <w:p w14:paraId="2C0019E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39,1</w:t>
            </w:r>
          </w:p>
        </w:tc>
        <w:tc>
          <w:tcPr>
            <w:tcW w:w="429" w:type="pct"/>
            <w:vAlign w:val="bottom"/>
          </w:tcPr>
          <w:p w14:paraId="1AEFB9D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39,1</w:t>
            </w:r>
          </w:p>
        </w:tc>
        <w:tc>
          <w:tcPr>
            <w:tcW w:w="429" w:type="pct"/>
            <w:vAlign w:val="bottom"/>
          </w:tcPr>
          <w:p w14:paraId="79B8788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41,2</w:t>
            </w:r>
          </w:p>
        </w:tc>
        <w:tc>
          <w:tcPr>
            <w:tcW w:w="429" w:type="pct"/>
            <w:vAlign w:val="bottom"/>
          </w:tcPr>
          <w:p w14:paraId="34F447E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42,8</w:t>
            </w:r>
          </w:p>
        </w:tc>
        <w:tc>
          <w:tcPr>
            <w:tcW w:w="429" w:type="pct"/>
            <w:vAlign w:val="bottom"/>
          </w:tcPr>
          <w:p w14:paraId="1A765A2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41,2</w:t>
            </w:r>
          </w:p>
        </w:tc>
        <w:tc>
          <w:tcPr>
            <w:tcW w:w="450" w:type="pct"/>
            <w:vAlign w:val="bottom"/>
          </w:tcPr>
          <w:p w14:paraId="496E6F9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42,5</w:t>
            </w:r>
          </w:p>
        </w:tc>
        <w:tc>
          <w:tcPr>
            <w:tcW w:w="450" w:type="pct"/>
            <w:vAlign w:val="bottom"/>
          </w:tcPr>
          <w:p w14:paraId="2CBB449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42,6</w:t>
            </w:r>
          </w:p>
        </w:tc>
        <w:tc>
          <w:tcPr>
            <w:tcW w:w="429" w:type="pct"/>
            <w:vAlign w:val="bottom"/>
          </w:tcPr>
          <w:p w14:paraId="2742A40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44,5</w:t>
            </w:r>
          </w:p>
        </w:tc>
      </w:tr>
      <w:tr w:rsidR="00CB1379" w:rsidRPr="00AB1F43" w14:paraId="4A6407AA" w14:textId="77777777" w:rsidTr="00075D7D">
        <w:tc>
          <w:tcPr>
            <w:tcW w:w="429" w:type="pct"/>
            <w:vMerge/>
          </w:tcPr>
          <w:p w14:paraId="3CBBFD04"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12E64DC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2841D40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28,9</w:t>
            </w:r>
          </w:p>
        </w:tc>
        <w:tc>
          <w:tcPr>
            <w:tcW w:w="429" w:type="pct"/>
            <w:shd w:val="clear" w:color="auto" w:fill="FFFFFF"/>
            <w:vAlign w:val="bottom"/>
          </w:tcPr>
          <w:p w14:paraId="006F23F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28,4</w:t>
            </w:r>
          </w:p>
        </w:tc>
        <w:tc>
          <w:tcPr>
            <w:tcW w:w="429" w:type="pct"/>
            <w:vAlign w:val="bottom"/>
          </w:tcPr>
          <w:p w14:paraId="42C3D9B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29,2</w:t>
            </w:r>
          </w:p>
        </w:tc>
        <w:tc>
          <w:tcPr>
            <w:tcW w:w="429" w:type="pct"/>
            <w:vAlign w:val="bottom"/>
          </w:tcPr>
          <w:p w14:paraId="6E849F5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30,3</w:t>
            </w:r>
          </w:p>
        </w:tc>
        <w:tc>
          <w:tcPr>
            <w:tcW w:w="429" w:type="pct"/>
            <w:vAlign w:val="bottom"/>
          </w:tcPr>
          <w:p w14:paraId="70E1D20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30,1</w:t>
            </w:r>
          </w:p>
        </w:tc>
        <w:tc>
          <w:tcPr>
            <w:tcW w:w="429" w:type="pct"/>
            <w:vAlign w:val="bottom"/>
          </w:tcPr>
          <w:p w14:paraId="224429E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31,7</w:t>
            </w:r>
          </w:p>
        </w:tc>
        <w:tc>
          <w:tcPr>
            <w:tcW w:w="450" w:type="pct"/>
            <w:vAlign w:val="bottom"/>
          </w:tcPr>
          <w:p w14:paraId="2C0802B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33,2</w:t>
            </w:r>
          </w:p>
        </w:tc>
        <w:tc>
          <w:tcPr>
            <w:tcW w:w="450" w:type="pct"/>
            <w:vAlign w:val="bottom"/>
          </w:tcPr>
          <w:p w14:paraId="4A5C2B9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33,0</w:t>
            </w:r>
          </w:p>
        </w:tc>
        <w:tc>
          <w:tcPr>
            <w:tcW w:w="429" w:type="pct"/>
            <w:vAlign w:val="bottom"/>
          </w:tcPr>
          <w:p w14:paraId="4D016A9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34,8</w:t>
            </w:r>
          </w:p>
        </w:tc>
      </w:tr>
      <w:tr w:rsidR="00CB1379" w:rsidRPr="00AB1F43" w14:paraId="71D8D805" w14:textId="77777777" w:rsidTr="00075D7D">
        <w:tc>
          <w:tcPr>
            <w:tcW w:w="429" w:type="pct"/>
            <w:vMerge w:val="restart"/>
          </w:tcPr>
          <w:p w14:paraId="7A86DD8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21 years</w:t>
            </w:r>
          </w:p>
        </w:tc>
        <w:tc>
          <w:tcPr>
            <w:tcW w:w="671" w:type="pct"/>
          </w:tcPr>
          <w:p w14:paraId="22EE271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255D7D8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33,1</w:t>
            </w:r>
          </w:p>
        </w:tc>
        <w:tc>
          <w:tcPr>
            <w:tcW w:w="429" w:type="pct"/>
            <w:shd w:val="clear" w:color="auto" w:fill="FFFFFF"/>
            <w:vAlign w:val="bottom"/>
          </w:tcPr>
          <w:p w14:paraId="0EA5B9C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32,2</w:t>
            </w:r>
          </w:p>
        </w:tc>
        <w:tc>
          <w:tcPr>
            <w:tcW w:w="429" w:type="pct"/>
            <w:vAlign w:val="bottom"/>
          </w:tcPr>
          <w:p w14:paraId="06D3D17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32,5</w:t>
            </w:r>
          </w:p>
        </w:tc>
        <w:tc>
          <w:tcPr>
            <w:tcW w:w="429" w:type="pct"/>
            <w:vAlign w:val="bottom"/>
          </w:tcPr>
          <w:p w14:paraId="0716BBF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33,2</w:t>
            </w:r>
          </w:p>
        </w:tc>
        <w:tc>
          <w:tcPr>
            <w:tcW w:w="429" w:type="pct"/>
            <w:vAlign w:val="bottom"/>
          </w:tcPr>
          <w:p w14:paraId="0E35930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33,5</w:t>
            </w:r>
          </w:p>
        </w:tc>
        <w:tc>
          <w:tcPr>
            <w:tcW w:w="429" w:type="pct"/>
            <w:vAlign w:val="bottom"/>
          </w:tcPr>
          <w:p w14:paraId="3856320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34,8</w:t>
            </w:r>
          </w:p>
        </w:tc>
        <w:tc>
          <w:tcPr>
            <w:tcW w:w="450" w:type="pct"/>
            <w:vAlign w:val="bottom"/>
          </w:tcPr>
          <w:p w14:paraId="5DCA497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35,2</w:t>
            </w:r>
          </w:p>
        </w:tc>
        <w:tc>
          <w:tcPr>
            <w:tcW w:w="450" w:type="pct"/>
            <w:vAlign w:val="bottom"/>
          </w:tcPr>
          <w:p w14:paraId="3471AEB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36,5</w:t>
            </w:r>
          </w:p>
        </w:tc>
        <w:tc>
          <w:tcPr>
            <w:tcW w:w="429" w:type="pct"/>
            <w:vAlign w:val="bottom"/>
          </w:tcPr>
          <w:p w14:paraId="0848F48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36,9</w:t>
            </w:r>
          </w:p>
        </w:tc>
      </w:tr>
      <w:tr w:rsidR="00CB1379" w:rsidRPr="00AB1F43" w14:paraId="7B72917D" w14:textId="77777777" w:rsidTr="00075D7D">
        <w:tc>
          <w:tcPr>
            <w:tcW w:w="429" w:type="pct"/>
            <w:vMerge/>
          </w:tcPr>
          <w:p w14:paraId="26E42BE2"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1A743E8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788F176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39,2</w:t>
            </w:r>
          </w:p>
        </w:tc>
        <w:tc>
          <w:tcPr>
            <w:tcW w:w="429" w:type="pct"/>
            <w:shd w:val="clear" w:color="auto" w:fill="FFFFFF"/>
            <w:vAlign w:val="bottom"/>
          </w:tcPr>
          <w:p w14:paraId="2480E4B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37,1</w:t>
            </w:r>
          </w:p>
        </w:tc>
        <w:tc>
          <w:tcPr>
            <w:tcW w:w="429" w:type="pct"/>
            <w:vAlign w:val="bottom"/>
          </w:tcPr>
          <w:p w14:paraId="7FD4144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38,3</w:t>
            </w:r>
          </w:p>
        </w:tc>
        <w:tc>
          <w:tcPr>
            <w:tcW w:w="429" w:type="pct"/>
            <w:vAlign w:val="bottom"/>
          </w:tcPr>
          <w:p w14:paraId="061ADE0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37,9</w:t>
            </w:r>
          </w:p>
        </w:tc>
        <w:tc>
          <w:tcPr>
            <w:tcW w:w="429" w:type="pct"/>
            <w:vAlign w:val="bottom"/>
          </w:tcPr>
          <w:p w14:paraId="4FC4A4A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37,8</w:t>
            </w:r>
          </w:p>
        </w:tc>
        <w:tc>
          <w:tcPr>
            <w:tcW w:w="429" w:type="pct"/>
            <w:vAlign w:val="bottom"/>
          </w:tcPr>
          <w:p w14:paraId="45EDB35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37,7</w:t>
            </w:r>
          </w:p>
        </w:tc>
        <w:tc>
          <w:tcPr>
            <w:tcW w:w="450" w:type="pct"/>
            <w:vAlign w:val="bottom"/>
          </w:tcPr>
          <w:p w14:paraId="4B07246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38,5</w:t>
            </w:r>
          </w:p>
        </w:tc>
        <w:tc>
          <w:tcPr>
            <w:tcW w:w="450" w:type="pct"/>
            <w:vAlign w:val="bottom"/>
          </w:tcPr>
          <w:p w14:paraId="6C0C0B3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40,7</w:t>
            </w:r>
          </w:p>
        </w:tc>
        <w:tc>
          <w:tcPr>
            <w:tcW w:w="429" w:type="pct"/>
            <w:vAlign w:val="bottom"/>
          </w:tcPr>
          <w:p w14:paraId="2516EC4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40,5</w:t>
            </w:r>
          </w:p>
        </w:tc>
      </w:tr>
      <w:tr w:rsidR="00CB1379" w:rsidRPr="00AB1F43" w14:paraId="09624E43" w14:textId="77777777" w:rsidTr="00075D7D">
        <w:tc>
          <w:tcPr>
            <w:tcW w:w="429" w:type="pct"/>
            <w:vMerge/>
          </w:tcPr>
          <w:p w14:paraId="75446FBA"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5D7F349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7410A49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27,5</w:t>
            </w:r>
          </w:p>
        </w:tc>
        <w:tc>
          <w:tcPr>
            <w:tcW w:w="429" w:type="pct"/>
            <w:shd w:val="clear" w:color="auto" w:fill="FFFFFF"/>
            <w:vAlign w:val="bottom"/>
          </w:tcPr>
          <w:p w14:paraId="3D86659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27,4</w:t>
            </w:r>
          </w:p>
        </w:tc>
        <w:tc>
          <w:tcPr>
            <w:tcW w:w="429" w:type="pct"/>
            <w:vAlign w:val="bottom"/>
          </w:tcPr>
          <w:p w14:paraId="67F3D85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27,0</w:t>
            </w:r>
          </w:p>
        </w:tc>
        <w:tc>
          <w:tcPr>
            <w:tcW w:w="429" w:type="pct"/>
            <w:vAlign w:val="bottom"/>
          </w:tcPr>
          <w:p w14:paraId="10C0AD2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28,6</w:t>
            </w:r>
          </w:p>
        </w:tc>
        <w:tc>
          <w:tcPr>
            <w:tcW w:w="429" w:type="pct"/>
            <w:vAlign w:val="bottom"/>
          </w:tcPr>
          <w:p w14:paraId="4ABF4F3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29,4</w:t>
            </w:r>
          </w:p>
        </w:tc>
        <w:tc>
          <w:tcPr>
            <w:tcW w:w="429" w:type="pct"/>
            <w:vAlign w:val="bottom"/>
          </w:tcPr>
          <w:p w14:paraId="284EC49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31,7</w:t>
            </w:r>
          </w:p>
        </w:tc>
        <w:tc>
          <w:tcPr>
            <w:tcW w:w="450" w:type="pct"/>
            <w:vAlign w:val="bottom"/>
          </w:tcPr>
          <w:p w14:paraId="70D916B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31,6</w:t>
            </w:r>
          </w:p>
        </w:tc>
        <w:tc>
          <w:tcPr>
            <w:tcW w:w="450" w:type="pct"/>
            <w:vAlign w:val="bottom"/>
          </w:tcPr>
          <w:p w14:paraId="534880D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32,1</w:t>
            </w:r>
          </w:p>
        </w:tc>
        <w:tc>
          <w:tcPr>
            <w:tcW w:w="429" w:type="pct"/>
            <w:vAlign w:val="bottom"/>
          </w:tcPr>
          <w:p w14:paraId="1F83410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33,1</w:t>
            </w:r>
          </w:p>
        </w:tc>
      </w:tr>
      <w:tr w:rsidR="00CB1379" w:rsidRPr="00AB1F43" w14:paraId="77282BFD" w14:textId="77777777" w:rsidTr="00075D7D">
        <w:tc>
          <w:tcPr>
            <w:tcW w:w="429" w:type="pct"/>
            <w:vMerge w:val="restart"/>
          </w:tcPr>
          <w:p w14:paraId="1B6113F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 years</w:t>
            </w:r>
          </w:p>
        </w:tc>
        <w:tc>
          <w:tcPr>
            <w:tcW w:w="671" w:type="pct"/>
          </w:tcPr>
          <w:p w14:paraId="7647CA5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3B2A3CC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23,3</w:t>
            </w:r>
          </w:p>
        </w:tc>
        <w:tc>
          <w:tcPr>
            <w:tcW w:w="429" w:type="pct"/>
            <w:shd w:val="clear" w:color="auto" w:fill="FFFFFF"/>
            <w:vAlign w:val="bottom"/>
          </w:tcPr>
          <w:p w14:paraId="5E69872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22,7</w:t>
            </w:r>
          </w:p>
        </w:tc>
        <w:tc>
          <w:tcPr>
            <w:tcW w:w="429" w:type="pct"/>
            <w:vAlign w:val="bottom"/>
          </w:tcPr>
          <w:p w14:paraId="117321F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22,7</w:t>
            </w:r>
          </w:p>
        </w:tc>
        <w:tc>
          <w:tcPr>
            <w:tcW w:w="429" w:type="pct"/>
            <w:vAlign w:val="bottom"/>
          </w:tcPr>
          <w:p w14:paraId="08E9B93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23,5</w:t>
            </w:r>
          </w:p>
        </w:tc>
        <w:tc>
          <w:tcPr>
            <w:tcW w:w="429" w:type="pct"/>
            <w:vAlign w:val="bottom"/>
          </w:tcPr>
          <w:p w14:paraId="0972982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23,1</w:t>
            </w:r>
          </w:p>
        </w:tc>
        <w:tc>
          <w:tcPr>
            <w:tcW w:w="429" w:type="pct"/>
            <w:vAlign w:val="bottom"/>
          </w:tcPr>
          <w:p w14:paraId="0C447DC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22,8</w:t>
            </w:r>
          </w:p>
        </w:tc>
        <w:tc>
          <w:tcPr>
            <w:tcW w:w="450" w:type="pct"/>
            <w:vAlign w:val="bottom"/>
          </w:tcPr>
          <w:p w14:paraId="3A99A15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23,1</w:t>
            </w:r>
          </w:p>
        </w:tc>
        <w:tc>
          <w:tcPr>
            <w:tcW w:w="450" w:type="pct"/>
            <w:vAlign w:val="bottom"/>
          </w:tcPr>
          <w:p w14:paraId="32D072D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23,7</w:t>
            </w:r>
          </w:p>
        </w:tc>
        <w:tc>
          <w:tcPr>
            <w:tcW w:w="429" w:type="pct"/>
            <w:vAlign w:val="bottom"/>
          </w:tcPr>
          <w:p w14:paraId="01D22D8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24,2</w:t>
            </w:r>
          </w:p>
        </w:tc>
      </w:tr>
      <w:tr w:rsidR="00CB1379" w:rsidRPr="00AB1F43" w14:paraId="44BBB46C" w14:textId="77777777" w:rsidTr="00075D7D">
        <w:tc>
          <w:tcPr>
            <w:tcW w:w="429" w:type="pct"/>
            <w:vMerge/>
          </w:tcPr>
          <w:p w14:paraId="5B2C745C"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5378CA1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5BEE621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24,1</w:t>
            </w:r>
          </w:p>
        </w:tc>
        <w:tc>
          <w:tcPr>
            <w:tcW w:w="429" w:type="pct"/>
            <w:shd w:val="clear" w:color="auto" w:fill="FFFFFF"/>
            <w:vAlign w:val="bottom"/>
          </w:tcPr>
          <w:p w14:paraId="63362F5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23,9</w:t>
            </w:r>
          </w:p>
        </w:tc>
        <w:tc>
          <w:tcPr>
            <w:tcW w:w="429" w:type="pct"/>
            <w:vAlign w:val="bottom"/>
          </w:tcPr>
          <w:p w14:paraId="30C25F9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23,1</w:t>
            </w:r>
          </w:p>
        </w:tc>
        <w:tc>
          <w:tcPr>
            <w:tcW w:w="429" w:type="pct"/>
            <w:vAlign w:val="bottom"/>
          </w:tcPr>
          <w:p w14:paraId="2BDAE96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24,5</w:t>
            </w:r>
          </w:p>
        </w:tc>
        <w:tc>
          <w:tcPr>
            <w:tcW w:w="429" w:type="pct"/>
            <w:vAlign w:val="bottom"/>
          </w:tcPr>
          <w:p w14:paraId="0839907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23,5</w:t>
            </w:r>
          </w:p>
        </w:tc>
        <w:tc>
          <w:tcPr>
            <w:tcW w:w="429" w:type="pct"/>
            <w:vAlign w:val="bottom"/>
          </w:tcPr>
          <w:p w14:paraId="236873A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22,1</w:t>
            </w:r>
          </w:p>
        </w:tc>
        <w:tc>
          <w:tcPr>
            <w:tcW w:w="450" w:type="pct"/>
            <w:vAlign w:val="bottom"/>
          </w:tcPr>
          <w:p w14:paraId="7929DDF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22,3</w:t>
            </w:r>
          </w:p>
        </w:tc>
        <w:tc>
          <w:tcPr>
            <w:tcW w:w="450" w:type="pct"/>
            <w:vAlign w:val="bottom"/>
          </w:tcPr>
          <w:p w14:paraId="5635B9E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23,7</w:t>
            </w:r>
          </w:p>
        </w:tc>
        <w:tc>
          <w:tcPr>
            <w:tcW w:w="429" w:type="pct"/>
            <w:vAlign w:val="bottom"/>
          </w:tcPr>
          <w:p w14:paraId="6628C28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24,7</w:t>
            </w:r>
          </w:p>
        </w:tc>
      </w:tr>
      <w:tr w:rsidR="00CB1379" w:rsidRPr="00AB1F43" w14:paraId="4DEC425B" w14:textId="77777777" w:rsidTr="00075D7D">
        <w:tc>
          <w:tcPr>
            <w:tcW w:w="429" w:type="pct"/>
            <w:vMerge/>
          </w:tcPr>
          <w:p w14:paraId="700564FB"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19FFD18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06168BC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22,5</w:t>
            </w:r>
          </w:p>
        </w:tc>
        <w:tc>
          <w:tcPr>
            <w:tcW w:w="429" w:type="pct"/>
            <w:shd w:val="clear" w:color="auto" w:fill="FFFFFF"/>
            <w:vAlign w:val="bottom"/>
          </w:tcPr>
          <w:p w14:paraId="29FC1ED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21,7</w:t>
            </w:r>
          </w:p>
        </w:tc>
        <w:tc>
          <w:tcPr>
            <w:tcW w:w="429" w:type="pct"/>
            <w:vAlign w:val="bottom"/>
          </w:tcPr>
          <w:p w14:paraId="4836F82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22,2</w:t>
            </w:r>
          </w:p>
        </w:tc>
        <w:tc>
          <w:tcPr>
            <w:tcW w:w="429" w:type="pct"/>
            <w:vAlign w:val="bottom"/>
          </w:tcPr>
          <w:p w14:paraId="7FDA4A1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22,6</w:t>
            </w:r>
          </w:p>
        </w:tc>
        <w:tc>
          <w:tcPr>
            <w:tcW w:w="429" w:type="pct"/>
            <w:vAlign w:val="bottom"/>
          </w:tcPr>
          <w:p w14:paraId="7459BD2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22,7</w:t>
            </w:r>
          </w:p>
        </w:tc>
        <w:tc>
          <w:tcPr>
            <w:tcW w:w="429" w:type="pct"/>
            <w:vAlign w:val="bottom"/>
          </w:tcPr>
          <w:p w14:paraId="31BA8F2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23,5</w:t>
            </w:r>
          </w:p>
        </w:tc>
        <w:tc>
          <w:tcPr>
            <w:tcW w:w="450" w:type="pct"/>
            <w:vAlign w:val="bottom"/>
          </w:tcPr>
          <w:p w14:paraId="5D12D37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23,9</w:t>
            </w:r>
          </w:p>
        </w:tc>
        <w:tc>
          <w:tcPr>
            <w:tcW w:w="450" w:type="pct"/>
            <w:vAlign w:val="bottom"/>
          </w:tcPr>
          <w:p w14:paraId="36473F3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23,7</w:t>
            </w:r>
          </w:p>
        </w:tc>
        <w:tc>
          <w:tcPr>
            <w:tcW w:w="429" w:type="pct"/>
            <w:vAlign w:val="bottom"/>
          </w:tcPr>
          <w:p w14:paraId="665109A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23,7</w:t>
            </w:r>
          </w:p>
        </w:tc>
      </w:tr>
      <w:tr w:rsidR="00CB1379" w:rsidRPr="00AB1F43" w14:paraId="6BD48FDB" w14:textId="77777777" w:rsidTr="00075D7D">
        <w:tc>
          <w:tcPr>
            <w:tcW w:w="429" w:type="pct"/>
            <w:vMerge w:val="restart"/>
          </w:tcPr>
          <w:p w14:paraId="7BBA6C1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23 years</w:t>
            </w:r>
          </w:p>
        </w:tc>
        <w:tc>
          <w:tcPr>
            <w:tcW w:w="671" w:type="pct"/>
          </w:tcPr>
          <w:p w14:paraId="39D239D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5102255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12,7</w:t>
            </w:r>
          </w:p>
        </w:tc>
        <w:tc>
          <w:tcPr>
            <w:tcW w:w="429" w:type="pct"/>
            <w:shd w:val="clear" w:color="auto" w:fill="FFFFFF"/>
            <w:vAlign w:val="bottom"/>
          </w:tcPr>
          <w:p w14:paraId="5A5FE0A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13,1</w:t>
            </w:r>
          </w:p>
        </w:tc>
        <w:tc>
          <w:tcPr>
            <w:tcW w:w="429" w:type="pct"/>
            <w:vAlign w:val="bottom"/>
          </w:tcPr>
          <w:p w14:paraId="2B39991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13,2</w:t>
            </w:r>
          </w:p>
        </w:tc>
        <w:tc>
          <w:tcPr>
            <w:tcW w:w="429" w:type="pct"/>
            <w:vAlign w:val="bottom"/>
          </w:tcPr>
          <w:p w14:paraId="5BB3EDD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13,4</w:t>
            </w:r>
          </w:p>
        </w:tc>
        <w:tc>
          <w:tcPr>
            <w:tcW w:w="429" w:type="pct"/>
            <w:vAlign w:val="bottom"/>
          </w:tcPr>
          <w:p w14:paraId="20B71D3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13,8</w:t>
            </w:r>
          </w:p>
        </w:tc>
        <w:tc>
          <w:tcPr>
            <w:tcW w:w="429" w:type="pct"/>
            <w:vAlign w:val="bottom"/>
          </w:tcPr>
          <w:p w14:paraId="2BE8292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12,9</w:t>
            </w:r>
          </w:p>
        </w:tc>
        <w:tc>
          <w:tcPr>
            <w:tcW w:w="450" w:type="pct"/>
            <w:vAlign w:val="bottom"/>
          </w:tcPr>
          <w:p w14:paraId="047FD88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13,2</w:t>
            </w:r>
          </w:p>
        </w:tc>
        <w:tc>
          <w:tcPr>
            <w:tcW w:w="450" w:type="pct"/>
            <w:vAlign w:val="bottom"/>
          </w:tcPr>
          <w:p w14:paraId="37A1485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13,5</w:t>
            </w:r>
          </w:p>
        </w:tc>
        <w:tc>
          <w:tcPr>
            <w:tcW w:w="429" w:type="pct"/>
            <w:vAlign w:val="bottom"/>
          </w:tcPr>
          <w:p w14:paraId="41621BE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13,7</w:t>
            </w:r>
          </w:p>
        </w:tc>
      </w:tr>
      <w:tr w:rsidR="00CB1379" w:rsidRPr="00AB1F43" w14:paraId="1E5F063D" w14:textId="77777777" w:rsidTr="00075D7D">
        <w:tc>
          <w:tcPr>
            <w:tcW w:w="429" w:type="pct"/>
            <w:vMerge/>
          </w:tcPr>
          <w:p w14:paraId="549FADD5"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0CDCA62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07DF4E5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13,1</w:t>
            </w:r>
          </w:p>
        </w:tc>
        <w:tc>
          <w:tcPr>
            <w:tcW w:w="429" w:type="pct"/>
            <w:shd w:val="clear" w:color="auto" w:fill="FFFFFF"/>
            <w:vAlign w:val="bottom"/>
          </w:tcPr>
          <w:p w14:paraId="1CCBF74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13,1</w:t>
            </w:r>
          </w:p>
        </w:tc>
        <w:tc>
          <w:tcPr>
            <w:tcW w:w="429" w:type="pct"/>
            <w:vAlign w:val="bottom"/>
          </w:tcPr>
          <w:p w14:paraId="57D9483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13,1</w:t>
            </w:r>
          </w:p>
        </w:tc>
        <w:tc>
          <w:tcPr>
            <w:tcW w:w="429" w:type="pct"/>
            <w:vAlign w:val="bottom"/>
          </w:tcPr>
          <w:p w14:paraId="45B32F8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13,2</w:t>
            </w:r>
          </w:p>
        </w:tc>
        <w:tc>
          <w:tcPr>
            <w:tcW w:w="429" w:type="pct"/>
            <w:vAlign w:val="bottom"/>
          </w:tcPr>
          <w:p w14:paraId="063342E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14,3</w:t>
            </w:r>
          </w:p>
        </w:tc>
        <w:tc>
          <w:tcPr>
            <w:tcW w:w="429" w:type="pct"/>
            <w:vAlign w:val="bottom"/>
          </w:tcPr>
          <w:p w14:paraId="779B8C1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12,4</w:t>
            </w:r>
          </w:p>
        </w:tc>
        <w:tc>
          <w:tcPr>
            <w:tcW w:w="450" w:type="pct"/>
            <w:vAlign w:val="bottom"/>
          </w:tcPr>
          <w:p w14:paraId="255A09D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13,1</w:t>
            </w:r>
          </w:p>
        </w:tc>
        <w:tc>
          <w:tcPr>
            <w:tcW w:w="450" w:type="pct"/>
            <w:vAlign w:val="bottom"/>
          </w:tcPr>
          <w:p w14:paraId="0A38AC5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13,4</w:t>
            </w:r>
          </w:p>
        </w:tc>
        <w:tc>
          <w:tcPr>
            <w:tcW w:w="429" w:type="pct"/>
            <w:vAlign w:val="bottom"/>
          </w:tcPr>
          <w:p w14:paraId="3B39402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14,1</w:t>
            </w:r>
          </w:p>
        </w:tc>
      </w:tr>
      <w:tr w:rsidR="00CB1379" w:rsidRPr="00AB1F43" w14:paraId="0E13CCC0" w14:textId="77777777" w:rsidTr="00075D7D">
        <w:tc>
          <w:tcPr>
            <w:tcW w:w="429" w:type="pct"/>
            <w:vMerge/>
          </w:tcPr>
          <w:p w14:paraId="3E7F257B"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2ECDB8E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253C1C6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12,3</w:t>
            </w:r>
          </w:p>
        </w:tc>
        <w:tc>
          <w:tcPr>
            <w:tcW w:w="429" w:type="pct"/>
            <w:shd w:val="clear" w:color="auto" w:fill="FFFFFF"/>
            <w:vAlign w:val="bottom"/>
          </w:tcPr>
          <w:p w14:paraId="0E19D5F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13,0</w:t>
            </w:r>
          </w:p>
        </w:tc>
        <w:tc>
          <w:tcPr>
            <w:tcW w:w="429" w:type="pct"/>
            <w:vAlign w:val="bottom"/>
          </w:tcPr>
          <w:p w14:paraId="1032099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13,3</w:t>
            </w:r>
          </w:p>
        </w:tc>
        <w:tc>
          <w:tcPr>
            <w:tcW w:w="429" w:type="pct"/>
            <w:vAlign w:val="bottom"/>
          </w:tcPr>
          <w:p w14:paraId="6AA6F42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13,5</w:t>
            </w:r>
          </w:p>
        </w:tc>
        <w:tc>
          <w:tcPr>
            <w:tcW w:w="429" w:type="pct"/>
            <w:vAlign w:val="bottom"/>
          </w:tcPr>
          <w:p w14:paraId="21F106C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13,3</w:t>
            </w:r>
          </w:p>
        </w:tc>
        <w:tc>
          <w:tcPr>
            <w:tcW w:w="429" w:type="pct"/>
            <w:vAlign w:val="bottom"/>
          </w:tcPr>
          <w:p w14:paraId="369F051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13,3</w:t>
            </w:r>
          </w:p>
        </w:tc>
        <w:tc>
          <w:tcPr>
            <w:tcW w:w="450" w:type="pct"/>
            <w:vAlign w:val="bottom"/>
          </w:tcPr>
          <w:p w14:paraId="0D93580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13,2</w:t>
            </w:r>
          </w:p>
        </w:tc>
        <w:tc>
          <w:tcPr>
            <w:tcW w:w="450" w:type="pct"/>
            <w:vAlign w:val="bottom"/>
          </w:tcPr>
          <w:p w14:paraId="68A4535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13,7</w:t>
            </w:r>
          </w:p>
        </w:tc>
        <w:tc>
          <w:tcPr>
            <w:tcW w:w="429" w:type="pct"/>
            <w:vAlign w:val="bottom"/>
          </w:tcPr>
          <w:p w14:paraId="031D174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13,3</w:t>
            </w:r>
          </w:p>
        </w:tc>
      </w:tr>
      <w:tr w:rsidR="00CB1379" w:rsidRPr="00AB1F43" w14:paraId="0205A765" w14:textId="77777777" w:rsidTr="00075D7D">
        <w:tc>
          <w:tcPr>
            <w:tcW w:w="429" w:type="pct"/>
            <w:vMerge w:val="restart"/>
          </w:tcPr>
          <w:p w14:paraId="28A2AB2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24 years</w:t>
            </w:r>
          </w:p>
        </w:tc>
        <w:tc>
          <w:tcPr>
            <w:tcW w:w="671" w:type="pct"/>
          </w:tcPr>
          <w:p w14:paraId="038DF4D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77F733A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7,7</w:t>
            </w:r>
          </w:p>
        </w:tc>
        <w:tc>
          <w:tcPr>
            <w:tcW w:w="429" w:type="pct"/>
            <w:shd w:val="clear" w:color="auto" w:fill="FFFFFF"/>
            <w:vAlign w:val="bottom"/>
          </w:tcPr>
          <w:p w14:paraId="61863D9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8,3</w:t>
            </w:r>
          </w:p>
        </w:tc>
        <w:tc>
          <w:tcPr>
            <w:tcW w:w="429" w:type="pct"/>
            <w:vAlign w:val="bottom"/>
          </w:tcPr>
          <w:p w14:paraId="75F5266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9,7</w:t>
            </w:r>
          </w:p>
        </w:tc>
        <w:tc>
          <w:tcPr>
            <w:tcW w:w="429" w:type="pct"/>
            <w:vAlign w:val="bottom"/>
          </w:tcPr>
          <w:p w14:paraId="58CF8D9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9,4</w:t>
            </w:r>
          </w:p>
        </w:tc>
        <w:tc>
          <w:tcPr>
            <w:tcW w:w="429" w:type="pct"/>
            <w:vAlign w:val="bottom"/>
          </w:tcPr>
          <w:p w14:paraId="2D76E49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9,1</w:t>
            </w:r>
          </w:p>
        </w:tc>
        <w:tc>
          <w:tcPr>
            <w:tcW w:w="429" w:type="pct"/>
            <w:vAlign w:val="bottom"/>
          </w:tcPr>
          <w:p w14:paraId="452C6AC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9,5</w:t>
            </w:r>
          </w:p>
        </w:tc>
        <w:tc>
          <w:tcPr>
            <w:tcW w:w="450" w:type="pct"/>
            <w:vAlign w:val="bottom"/>
          </w:tcPr>
          <w:p w14:paraId="5409C3D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9,3</w:t>
            </w:r>
          </w:p>
        </w:tc>
        <w:tc>
          <w:tcPr>
            <w:tcW w:w="450" w:type="pct"/>
            <w:vAlign w:val="bottom"/>
          </w:tcPr>
          <w:p w14:paraId="15AADDA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9,6</w:t>
            </w:r>
          </w:p>
        </w:tc>
        <w:tc>
          <w:tcPr>
            <w:tcW w:w="429" w:type="pct"/>
            <w:vAlign w:val="bottom"/>
          </w:tcPr>
          <w:p w14:paraId="5705511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9,6</w:t>
            </w:r>
          </w:p>
        </w:tc>
      </w:tr>
      <w:tr w:rsidR="00CB1379" w:rsidRPr="00AB1F43" w14:paraId="1107E6DB" w14:textId="77777777" w:rsidTr="00075D7D">
        <w:tc>
          <w:tcPr>
            <w:tcW w:w="429" w:type="pct"/>
            <w:vMerge/>
          </w:tcPr>
          <w:p w14:paraId="2DF389B6"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72F6D18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01D1F52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7,5</w:t>
            </w:r>
          </w:p>
        </w:tc>
        <w:tc>
          <w:tcPr>
            <w:tcW w:w="429" w:type="pct"/>
            <w:shd w:val="clear" w:color="auto" w:fill="FFFFFF"/>
            <w:vAlign w:val="bottom"/>
          </w:tcPr>
          <w:p w14:paraId="6EB7890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8,6</w:t>
            </w:r>
          </w:p>
        </w:tc>
        <w:tc>
          <w:tcPr>
            <w:tcW w:w="429" w:type="pct"/>
            <w:vAlign w:val="bottom"/>
          </w:tcPr>
          <w:p w14:paraId="120FB40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10,0</w:t>
            </w:r>
          </w:p>
        </w:tc>
        <w:tc>
          <w:tcPr>
            <w:tcW w:w="429" w:type="pct"/>
            <w:vAlign w:val="bottom"/>
          </w:tcPr>
          <w:p w14:paraId="7F7B024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9,7</w:t>
            </w:r>
          </w:p>
        </w:tc>
        <w:tc>
          <w:tcPr>
            <w:tcW w:w="429" w:type="pct"/>
            <w:vAlign w:val="bottom"/>
          </w:tcPr>
          <w:p w14:paraId="2D1265E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9,2</w:t>
            </w:r>
          </w:p>
        </w:tc>
        <w:tc>
          <w:tcPr>
            <w:tcW w:w="429" w:type="pct"/>
            <w:vAlign w:val="bottom"/>
          </w:tcPr>
          <w:p w14:paraId="35DC5D8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9,5</w:t>
            </w:r>
          </w:p>
        </w:tc>
        <w:tc>
          <w:tcPr>
            <w:tcW w:w="450" w:type="pct"/>
            <w:vAlign w:val="bottom"/>
          </w:tcPr>
          <w:p w14:paraId="61FC111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9,6</w:t>
            </w:r>
          </w:p>
        </w:tc>
        <w:tc>
          <w:tcPr>
            <w:tcW w:w="450" w:type="pct"/>
            <w:vAlign w:val="bottom"/>
          </w:tcPr>
          <w:p w14:paraId="1E28FA3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9,5</w:t>
            </w:r>
          </w:p>
        </w:tc>
        <w:tc>
          <w:tcPr>
            <w:tcW w:w="429" w:type="pct"/>
            <w:vAlign w:val="bottom"/>
          </w:tcPr>
          <w:p w14:paraId="2514262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9,4</w:t>
            </w:r>
          </w:p>
        </w:tc>
      </w:tr>
      <w:tr w:rsidR="00CB1379" w:rsidRPr="00AB1F43" w14:paraId="2764C592" w14:textId="77777777" w:rsidTr="00075D7D">
        <w:tc>
          <w:tcPr>
            <w:tcW w:w="429" w:type="pct"/>
            <w:vMerge/>
          </w:tcPr>
          <w:p w14:paraId="773026BD"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0D4B0FE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13AEED4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7,9</w:t>
            </w:r>
          </w:p>
        </w:tc>
        <w:tc>
          <w:tcPr>
            <w:tcW w:w="429" w:type="pct"/>
            <w:shd w:val="clear" w:color="auto" w:fill="FFFFFF"/>
            <w:vAlign w:val="bottom"/>
          </w:tcPr>
          <w:p w14:paraId="38D0E7F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8,1</w:t>
            </w:r>
          </w:p>
        </w:tc>
        <w:tc>
          <w:tcPr>
            <w:tcW w:w="429" w:type="pct"/>
            <w:vAlign w:val="bottom"/>
          </w:tcPr>
          <w:p w14:paraId="416023F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9,4</w:t>
            </w:r>
          </w:p>
        </w:tc>
        <w:tc>
          <w:tcPr>
            <w:tcW w:w="429" w:type="pct"/>
            <w:vAlign w:val="bottom"/>
          </w:tcPr>
          <w:p w14:paraId="20513CF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9,1</w:t>
            </w:r>
          </w:p>
        </w:tc>
        <w:tc>
          <w:tcPr>
            <w:tcW w:w="429" w:type="pct"/>
            <w:vAlign w:val="bottom"/>
          </w:tcPr>
          <w:p w14:paraId="679B741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9,1</w:t>
            </w:r>
          </w:p>
        </w:tc>
        <w:tc>
          <w:tcPr>
            <w:tcW w:w="429" w:type="pct"/>
            <w:vAlign w:val="bottom"/>
          </w:tcPr>
          <w:p w14:paraId="51C26DD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9,5</w:t>
            </w:r>
          </w:p>
        </w:tc>
        <w:tc>
          <w:tcPr>
            <w:tcW w:w="450" w:type="pct"/>
            <w:vAlign w:val="bottom"/>
          </w:tcPr>
          <w:p w14:paraId="2AFC2A1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9,1</w:t>
            </w:r>
          </w:p>
        </w:tc>
        <w:tc>
          <w:tcPr>
            <w:tcW w:w="450" w:type="pct"/>
            <w:vAlign w:val="bottom"/>
          </w:tcPr>
          <w:p w14:paraId="26E6B60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9,6</w:t>
            </w:r>
          </w:p>
        </w:tc>
        <w:tc>
          <w:tcPr>
            <w:tcW w:w="429" w:type="pct"/>
            <w:vAlign w:val="bottom"/>
          </w:tcPr>
          <w:p w14:paraId="7BE1FAF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9,8</w:t>
            </w:r>
          </w:p>
        </w:tc>
      </w:tr>
      <w:tr w:rsidR="00CB1379" w:rsidRPr="00AB1F43" w14:paraId="3918EC88" w14:textId="77777777" w:rsidTr="00075D7D">
        <w:tc>
          <w:tcPr>
            <w:tcW w:w="429" w:type="pct"/>
            <w:vMerge w:val="restart"/>
          </w:tcPr>
          <w:p w14:paraId="5FFC399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25-29 years</w:t>
            </w:r>
          </w:p>
        </w:tc>
        <w:tc>
          <w:tcPr>
            <w:tcW w:w="671" w:type="pct"/>
          </w:tcPr>
          <w:p w14:paraId="6A3A67F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5DB3503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w:t>
            </w:r>
          </w:p>
        </w:tc>
        <w:tc>
          <w:tcPr>
            <w:tcW w:w="429" w:type="pct"/>
            <w:shd w:val="clear" w:color="auto" w:fill="FFFFFF"/>
            <w:vAlign w:val="bottom"/>
          </w:tcPr>
          <w:p w14:paraId="43190D8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3,0</w:t>
            </w:r>
          </w:p>
        </w:tc>
        <w:tc>
          <w:tcPr>
            <w:tcW w:w="429" w:type="pct"/>
            <w:vAlign w:val="bottom"/>
          </w:tcPr>
          <w:p w14:paraId="3328825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3,1</w:t>
            </w:r>
          </w:p>
        </w:tc>
        <w:tc>
          <w:tcPr>
            <w:tcW w:w="429" w:type="pct"/>
            <w:vAlign w:val="bottom"/>
          </w:tcPr>
          <w:p w14:paraId="341DAB2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3,1</w:t>
            </w:r>
          </w:p>
        </w:tc>
        <w:tc>
          <w:tcPr>
            <w:tcW w:w="429" w:type="pct"/>
            <w:vAlign w:val="bottom"/>
          </w:tcPr>
          <w:p w14:paraId="713B1B8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w:t>
            </w:r>
          </w:p>
        </w:tc>
        <w:tc>
          <w:tcPr>
            <w:tcW w:w="429" w:type="pct"/>
            <w:vAlign w:val="bottom"/>
          </w:tcPr>
          <w:p w14:paraId="039C04A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3,4</w:t>
            </w:r>
          </w:p>
        </w:tc>
        <w:tc>
          <w:tcPr>
            <w:tcW w:w="450" w:type="pct"/>
            <w:vAlign w:val="bottom"/>
          </w:tcPr>
          <w:p w14:paraId="136A4E4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3,7</w:t>
            </w:r>
          </w:p>
        </w:tc>
        <w:tc>
          <w:tcPr>
            <w:tcW w:w="450" w:type="pct"/>
            <w:vAlign w:val="bottom"/>
          </w:tcPr>
          <w:p w14:paraId="7049158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3,9</w:t>
            </w:r>
          </w:p>
        </w:tc>
        <w:tc>
          <w:tcPr>
            <w:tcW w:w="429" w:type="pct"/>
            <w:vAlign w:val="bottom"/>
          </w:tcPr>
          <w:p w14:paraId="3ECC27A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3,7</w:t>
            </w:r>
          </w:p>
        </w:tc>
      </w:tr>
      <w:tr w:rsidR="00CB1379" w:rsidRPr="00AB1F43" w14:paraId="25FF6246" w14:textId="77777777" w:rsidTr="00075D7D">
        <w:tc>
          <w:tcPr>
            <w:tcW w:w="429" w:type="pct"/>
            <w:vMerge/>
          </w:tcPr>
          <w:p w14:paraId="0C36FB38"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345056B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091B1C8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w:t>
            </w:r>
          </w:p>
        </w:tc>
        <w:tc>
          <w:tcPr>
            <w:tcW w:w="429" w:type="pct"/>
            <w:shd w:val="clear" w:color="auto" w:fill="FFFFFF"/>
            <w:vAlign w:val="bottom"/>
          </w:tcPr>
          <w:p w14:paraId="7022E29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w:t>
            </w:r>
          </w:p>
        </w:tc>
        <w:tc>
          <w:tcPr>
            <w:tcW w:w="429" w:type="pct"/>
            <w:vAlign w:val="bottom"/>
          </w:tcPr>
          <w:p w14:paraId="055B18B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2,8</w:t>
            </w:r>
          </w:p>
        </w:tc>
        <w:tc>
          <w:tcPr>
            <w:tcW w:w="429" w:type="pct"/>
            <w:vAlign w:val="bottom"/>
          </w:tcPr>
          <w:p w14:paraId="12CEF86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w:t>
            </w:r>
          </w:p>
        </w:tc>
        <w:tc>
          <w:tcPr>
            <w:tcW w:w="429" w:type="pct"/>
            <w:vAlign w:val="bottom"/>
          </w:tcPr>
          <w:p w14:paraId="291B259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3,0</w:t>
            </w:r>
          </w:p>
        </w:tc>
        <w:tc>
          <w:tcPr>
            <w:tcW w:w="429" w:type="pct"/>
            <w:vAlign w:val="bottom"/>
          </w:tcPr>
          <w:p w14:paraId="117DB38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2,9</w:t>
            </w:r>
          </w:p>
        </w:tc>
        <w:tc>
          <w:tcPr>
            <w:tcW w:w="450" w:type="pct"/>
            <w:vAlign w:val="bottom"/>
          </w:tcPr>
          <w:p w14:paraId="1E5BFE5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3,3</w:t>
            </w:r>
          </w:p>
        </w:tc>
        <w:tc>
          <w:tcPr>
            <w:tcW w:w="450" w:type="pct"/>
            <w:vAlign w:val="bottom"/>
          </w:tcPr>
          <w:p w14:paraId="4A38CBA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3,7</w:t>
            </w:r>
          </w:p>
        </w:tc>
        <w:tc>
          <w:tcPr>
            <w:tcW w:w="429" w:type="pct"/>
            <w:vAlign w:val="bottom"/>
          </w:tcPr>
          <w:p w14:paraId="7FE8EE0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3,6</w:t>
            </w:r>
          </w:p>
        </w:tc>
      </w:tr>
      <w:tr w:rsidR="00CB1379" w:rsidRPr="00AB1F43" w14:paraId="4FE93DA9" w14:textId="77777777" w:rsidTr="00075D7D">
        <w:tc>
          <w:tcPr>
            <w:tcW w:w="429" w:type="pct"/>
            <w:vMerge/>
          </w:tcPr>
          <w:p w14:paraId="5169DD0A"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655198A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065A3E9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3,4</w:t>
            </w:r>
          </w:p>
        </w:tc>
        <w:tc>
          <w:tcPr>
            <w:tcW w:w="429" w:type="pct"/>
            <w:shd w:val="clear" w:color="auto" w:fill="FFFFFF"/>
            <w:vAlign w:val="bottom"/>
          </w:tcPr>
          <w:p w14:paraId="4F1F433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w:t>
            </w:r>
          </w:p>
        </w:tc>
        <w:tc>
          <w:tcPr>
            <w:tcW w:w="429" w:type="pct"/>
            <w:vAlign w:val="bottom"/>
          </w:tcPr>
          <w:p w14:paraId="7D61E56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w:t>
            </w:r>
          </w:p>
        </w:tc>
        <w:tc>
          <w:tcPr>
            <w:tcW w:w="429" w:type="pct"/>
            <w:vAlign w:val="bottom"/>
          </w:tcPr>
          <w:p w14:paraId="2FAA6D2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3,2</w:t>
            </w:r>
          </w:p>
        </w:tc>
        <w:tc>
          <w:tcPr>
            <w:tcW w:w="429" w:type="pct"/>
            <w:vAlign w:val="bottom"/>
          </w:tcPr>
          <w:p w14:paraId="3829FE4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3,3</w:t>
            </w:r>
          </w:p>
        </w:tc>
        <w:tc>
          <w:tcPr>
            <w:tcW w:w="429" w:type="pct"/>
            <w:vAlign w:val="bottom"/>
          </w:tcPr>
          <w:p w14:paraId="3E0CE1D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3,9</w:t>
            </w:r>
          </w:p>
        </w:tc>
        <w:tc>
          <w:tcPr>
            <w:tcW w:w="450" w:type="pct"/>
            <w:vAlign w:val="bottom"/>
          </w:tcPr>
          <w:p w14:paraId="0F405B6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4,1</w:t>
            </w:r>
          </w:p>
        </w:tc>
        <w:tc>
          <w:tcPr>
            <w:tcW w:w="450" w:type="pct"/>
            <w:vAlign w:val="bottom"/>
          </w:tcPr>
          <w:p w14:paraId="32FF730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4,1</w:t>
            </w:r>
          </w:p>
        </w:tc>
        <w:tc>
          <w:tcPr>
            <w:tcW w:w="429" w:type="pct"/>
            <w:vAlign w:val="bottom"/>
          </w:tcPr>
          <w:p w14:paraId="0CEBDF7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3,9</w:t>
            </w:r>
          </w:p>
        </w:tc>
      </w:tr>
      <w:tr w:rsidR="00CB1379" w:rsidRPr="00AB1F43" w14:paraId="4C2859D8" w14:textId="77777777" w:rsidTr="00075D7D">
        <w:tc>
          <w:tcPr>
            <w:tcW w:w="429" w:type="pct"/>
            <w:vMerge w:val="restart"/>
          </w:tcPr>
          <w:p w14:paraId="41EF5D4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30-34 years</w:t>
            </w:r>
          </w:p>
        </w:tc>
        <w:tc>
          <w:tcPr>
            <w:tcW w:w="671" w:type="pct"/>
          </w:tcPr>
          <w:p w14:paraId="16DA415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29" w:type="pct"/>
            <w:vAlign w:val="bottom"/>
          </w:tcPr>
          <w:p w14:paraId="4E086FB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shd w:val="clear" w:color="auto" w:fill="FFFFFF"/>
            <w:vAlign w:val="bottom"/>
          </w:tcPr>
          <w:p w14:paraId="34B23DD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vAlign w:val="bottom"/>
          </w:tcPr>
          <w:p w14:paraId="34FAEE5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1,1</w:t>
            </w:r>
          </w:p>
        </w:tc>
        <w:tc>
          <w:tcPr>
            <w:tcW w:w="429" w:type="pct"/>
            <w:vAlign w:val="bottom"/>
          </w:tcPr>
          <w:p w14:paraId="19976BC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29" w:type="pct"/>
            <w:vAlign w:val="bottom"/>
          </w:tcPr>
          <w:p w14:paraId="610DC29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29" w:type="pct"/>
            <w:vAlign w:val="bottom"/>
          </w:tcPr>
          <w:p w14:paraId="67F0431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1,3</w:t>
            </w:r>
          </w:p>
        </w:tc>
        <w:tc>
          <w:tcPr>
            <w:tcW w:w="450" w:type="pct"/>
            <w:vAlign w:val="bottom"/>
          </w:tcPr>
          <w:p w14:paraId="074B012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c>
          <w:tcPr>
            <w:tcW w:w="450" w:type="pct"/>
            <w:vAlign w:val="bottom"/>
          </w:tcPr>
          <w:p w14:paraId="637824A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1,5</w:t>
            </w:r>
          </w:p>
        </w:tc>
        <w:tc>
          <w:tcPr>
            <w:tcW w:w="429" w:type="pct"/>
            <w:vAlign w:val="bottom"/>
          </w:tcPr>
          <w:p w14:paraId="13234C0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r>
      <w:tr w:rsidR="00CB1379" w:rsidRPr="00AB1F43" w14:paraId="0BF52B2A" w14:textId="77777777" w:rsidTr="00075D7D">
        <w:tc>
          <w:tcPr>
            <w:tcW w:w="429" w:type="pct"/>
            <w:vMerge/>
          </w:tcPr>
          <w:p w14:paraId="430BA13D"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30357EF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29" w:type="pct"/>
            <w:vAlign w:val="bottom"/>
          </w:tcPr>
          <w:p w14:paraId="0F54D9D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shd w:val="clear" w:color="auto" w:fill="FFFFFF"/>
            <w:vAlign w:val="bottom"/>
          </w:tcPr>
          <w:p w14:paraId="45350C1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vAlign w:val="bottom"/>
          </w:tcPr>
          <w:p w14:paraId="1F1D3D5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1,1</w:t>
            </w:r>
          </w:p>
        </w:tc>
        <w:tc>
          <w:tcPr>
            <w:tcW w:w="429" w:type="pct"/>
            <w:vAlign w:val="bottom"/>
          </w:tcPr>
          <w:p w14:paraId="3FC7504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1,1</w:t>
            </w:r>
          </w:p>
        </w:tc>
        <w:tc>
          <w:tcPr>
            <w:tcW w:w="429" w:type="pct"/>
            <w:vAlign w:val="bottom"/>
          </w:tcPr>
          <w:p w14:paraId="5C5EAE0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29" w:type="pct"/>
            <w:vAlign w:val="bottom"/>
          </w:tcPr>
          <w:p w14:paraId="3747D36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50" w:type="pct"/>
            <w:vAlign w:val="bottom"/>
          </w:tcPr>
          <w:p w14:paraId="5987115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1,3</w:t>
            </w:r>
          </w:p>
        </w:tc>
        <w:tc>
          <w:tcPr>
            <w:tcW w:w="450" w:type="pct"/>
            <w:vAlign w:val="bottom"/>
          </w:tcPr>
          <w:p w14:paraId="2DB0B2B6"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c>
          <w:tcPr>
            <w:tcW w:w="429" w:type="pct"/>
            <w:vAlign w:val="bottom"/>
          </w:tcPr>
          <w:p w14:paraId="6EC4B8DF"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r>
      <w:tr w:rsidR="00CB1379" w:rsidRPr="00AB1F43" w14:paraId="057B9D58" w14:textId="77777777" w:rsidTr="00075D7D">
        <w:tc>
          <w:tcPr>
            <w:tcW w:w="429" w:type="pct"/>
            <w:vMerge/>
          </w:tcPr>
          <w:p w14:paraId="5785B051" w14:textId="77777777" w:rsidR="00C35F71" w:rsidRPr="00AB1F43" w:rsidRDefault="00C35F71" w:rsidP="00075D7D">
            <w:pPr>
              <w:spacing w:after="120" w:line="276" w:lineRule="auto"/>
              <w:ind w:right="210"/>
              <w:jc w:val="both"/>
              <w:rPr>
                <w:rFonts w:cstheme="minorHAnsi"/>
                <w:sz w:val="18"/>
                <w:szCs w:val="18"/>
                <w:lang w:val="ro-RO" w:eastAsia="ro-RO"/>
              </w:rPr>
            </w:pPr>
          </w:p>
        </w:tc>
        <w:tc>
          <w:tcPr>
            <w:tcW w:w="671" w:type="pct"/>
          </w:tcPr>
          <w:p w14:paraId="3EC9E6E5"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29" w:type="pct"/>
            <w:vAlign w:val="bottom"/>
          </w:tcPr>
          <w:p w14:paraId="62ABC65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shd w:val="clear" w:color="auto" w:fill="FFFFFF"/>
            <w:vAlign w:val="bottom"/>
          </w:tcPr>
          <w:p w14:paraId="72E5E28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1,0</w:t>
            </w:r>
          </w:p>
        </w:tc>
        <w:tc>
          <w:tcPr>
            <w:tcW w:w="429" w:type="pct"/>
            <w:vAlign w:val="bottom"/>
          </w:tcPr>
          <w:p w14:paraId="78315CB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1,1</w:t>
            </w:r>
          </w:p>
        </w:tc>
        <w:tc>
          <w:tcPr>
            <w:tcW w:w="429" w:type="pct"/>
            <w:vAlign w:val="bottom"/>
          </w:tcPr>
          <w:p w14:paraId="18BDDCE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29" w:type="pct"/>
            <w:vAlign w:val="bottom"/>
          </w:tcPr>
          <w:p w14:paraId="46D135D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1,2</w:t>
            </w:r>
          </w:p>
        </w:tc>
        <w:tc>
          <w:tcPr>
            <w:tcW w:w="429" w:type="pct"/>
            <w:vAlign w:val="bottom"/>
          </w:tcPr>
          <w:p w14:paraId="630BF08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1,4</w:t>
            </w:r>
          </w:p>
        </w:tc>
        <w:tc>
          <w:tcPr>
            <w:tcW w:w="450" w:type="pct"/>
            <w:vAlign w:val="bottom"/>
          </w:tcPr>
          <w:p w14:paraId="5C16EF9D"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c>
          <w:tcPr>
            <w:tcW w:w="450" w:type="pct"/>
            <w:vAlign w:val="bottom"/>
          </w:tcPr>
          <w:p w14:paraId="76F336F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1,5</w:t>
            </w:r>
          </w:p>
        </w:tc>
        <w:tc>
          <w:tcPr>
            <w:tcW w:w="429" w:type="pct"/>
            <w:vAlign w:val="bottom"/>
          </w:tcPr>
          <w:p w14:paraId="6B8FC4B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rPr>
              <w:t>1,4</w:t>
            </w:r>
          </w:p>
        </w:tc>
      </w:tr>
    </w:tbl>
    <w:p w14:paraId="724FF73B" w14:textId="77777777" w:rsidR="00C35F71" w:rsidRPr="00AB1F43" w:rsidRDefault="00C35F71" w:rsidP="00C35F71">
      <w:pPr>
        <w:spacing w:line="276" w:lineRule="auto"/>
        <w:ind w:right="210"/>
        <w:jc w:val="both"/>
        <w:rPr>
          <w:rFonts w:cstheme="minorHAnsi"/>
          <w:i/>
          <w:sz w:val="18"/>
          <w:szCs w:val="18"/>
          <w:lang w:val="ro-RO" w:eastAsia="ro-RO"/>
        </w:rPr>
      </w:pPr>
      <w:bookmarkStart w:id="1" w:name="_Toc499113555"/>
      <w:bookmarkStart w:id="2" w:name="_Toc500090524"/>
      <w:bookmarkStart w:id="3" w:name="_Toc524366023"/>
      <w:bookmarkStart w:id="4" w:name="_Toc527621493"/>
      <w:bookmarkStart w:id="5" w:name="_Toc25223155"/>
      <w:bookmarkStart w:id="6" w:name="_Toc90129820"/>
      <w:bookmarkStart w:id="7" w:name="_Toc121502425"/>
      <w:bookmarkStart w:id="8" w:name="_Toc122357777"/>
      <w:bookmarkStart w:id="9" w:name="_Toc122361790"/>
      <w:bookmarkStart w:id="10" w:name="_Toc122362257"/>
      <w:r w:rsidRPr="00AB1F43">
        <w:rPr>
          <w:rFonts w:cstheme="minorHAnsi"/>
          <w:i/>
          <w:sz w:val="18"/>
          <w:szCs w:val="18"/>
          <w:lang w:val="ro-RO" w:eastAsia="ro-RO"/>
        </w:rPr>
        <w:t>Source: Data calculated on the basis of Statistical Notebooks on higher education, INS, 2015-2023 and INS data on the resident population on July 1 of each year.</w:t>
      </w:r>
    </w:p>
    <w:p w14:paraId="0AE5ECA2" w14:textId="52D695A0" w:rsidR="00C35F71" w:rsidRPr="00AB1F43" w:rsidRDefault="00C35F71" w:rsidP="00CB1379">
      <w:pPr>
        <w:spacing w:line="276" w:lineRule="auto"/>
        <w:ind w:right="210"/>
        <w:jc w:val="both"/>
        <w:rPr>
          <w:rFonts w:cstheme="minorHAnsi"/>
          <w:i/>
          <w:iCs/>
          <w:sz w:val="18"/>
          <w:szCs w:val="18"/>
          <w:lang w:val="ro-RO" w:eastAsia="ro-RO"/>
        </w:rPr>
      </w:pPr>
      <w:r w:rsidRPr="00AB1F43">
        <w:rPr>
          <w:rFonts w:cstheme="minorHAnsi"/>
          <w:i/>
          <w:sz w:val="18"/>
          <w:szCs w:val="18"/>
          <w:lang w:val="ro-RO" w:eastAsia="ro-RO"/>
        </w:rPr>
        <w:t>* The values ​​of the indicator were recalculated, as a result of the revision of the data on the resident population, by the INS.</w:t>
      </w:r>
      <w:bookmarkEnd w:id="1"/>
      <w:bookmarkEnd w:id="2"/>
      <w:bookmarkEnd w:id="3"/>
      <w:bookmarkEnd w:id="4"/>
      <w:bookmarkEnd w:id="5"/>
      <w:bookmarkEnd w:id="6"/>
      <w:bookmarkEnd w:id="7"/>
      <w:bookmarkEnd w:id="8"/>
      <w:bookmarkEnd w:id="9"/>
      <w:bookmarkEnd w:id="10"/>
    </w:p>
    <w:p w14:paraId="0EEDC022" w14:textId="5EF6902F" w:rsidR="00C35F71" w:rsidRPr="00AB1F43" w:rsidRDefault="00C35F71" w:rsidP="00C35F71">
      <w:pPr>
        <w:pStyle w:val="Caption"/>
        <w:tabs>
          <w:tab w:val="left" w:pos="90"/>
        </w:tabs>
        <w:spacing w:after="120" w:line="276" w:lineRule="auto"/>
        <w:ind w:right="210"/>
        <w:jc w:val="both"/>
        <w:rPr>
          <w:rFonts w:asciiTheme="minorHAnsi" w:hAnsiTheme="minorHAnsi" w:cstheme="minorHAnsi"/>
          <w:b w:val="0"/>
          <w:bCs w:val="0"/>
          <w:color w:val="auto"/>
          <w:lang w:eastAsia="ro-RO"/>
        </w:rPr>
      </w:pPr>
      <w:r w:rsidRPr="00AB1F43">
        <w:rPr>
          <w:rFonts w:asciiTheme="minorHAnsi" w:hAnsiTheme="minorHAnsi" w:cstheme="minorHAnsi"/>
          <w:b w:val="0"/>
          <w:bCs w:val="0"/>
          <w:color w:val="auto"/>
          <w:lang w:eastAsia="ro-RO"/>
        </w:rPr>
        <w:t xml:space="preserve">Evolution of the gross </w:t>
      </w:r>
      <w:r w:rsidR="00F847B1" w:rsidRPr="00AB1F43">
        <w:rPr>
          <w:rFonts w:asciiTheme="minorHAnsi" w:hAnsiTheme="minorHAnsi" w:cstheme="minorHAnsi"/>
          <w:b w:val="0"/>
          <w:bCs w:val="0"/>
          <w:color w:val="auto"/>
          <w:lang w:eastAsia="ro-RO"/>
        </w:rPr>
        <w:t>enrolment</w:t>
      </w:r>
      <w:r w:rsidRPr="00AB1F43">
        <w:rPr>
          <w:rFonts w:asciiTheme="minorHAnsi" w:hAnsiTheme="minorHAnsi" w:cstheme="minorHAnsi"/>
          <w:b w:val="0"/>
          <w:bCs w:val="0"/>
          <w:color w:val="auto"/>
          <w:lang w:eastAsia="ro-RO"/>
        </w:rPr>
        <w:t xml:space="preserve"> rate in undergraduate higher education, total and by gender, 2014-2023 (%)</w:t>
      </w:r>
    </w:p>
    <w:tbl>
      <w:tblPr>
        <w:tblW w:w="5079" w:type="pct"/>
        <w:jc w:val="center"/>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Look w:val="0000" w:firstRow="0" w:lastRow="0" w:firstColumn="0" w:lastColumn="0" w:noHBand="0" w:noVBand="0"/>
      </w:tblPr>
      <w:tblGrid>
        <w:gridCol w:w="1443"/>
        <w:gridCol w:w="871"/>
        <w:gridCol w:w="871"/>
        <w:gridCol w:w="870"/>
        <w:gridCol w:w="870"/>
        <w:gridCol w:w="870"/>
        <w:gridCol w:w="870"/>
        <w:gridCol w:w="914"/>
        <w:gridCol w:w="914"/>
        <w:gridCol w:w="1005"/>
      </w:tblGrid>
      <w:tr w:rsidR="00CB1379" w:rsidRPr="00AB1F43" w14:paraId="569A4707" w14:textId="77777777" w:rsidTr="00075D7D">
        <w:trPr>
          <w:trHeight w:val="747"/>
          <w:jc w:val="center"/>
        </w:trPr>
        <w:tc>
          <w:tcPr>
            <w:tcW w:w="759" w:type="pct"/>
            <w:shd w:val="clear" w:color="auto" w:fill="ECF6FF"/>
            <w:vAlign w:val="center"/>
          </w:tcPr>
          <w:p w14:paraId="51F09019" w14:textId="77777777" w:rsidR="00C35F71" w:rsidRPr="00AB1F43" w:rsidRDefault="00C35F71" w:rsidP="00075D7D">
            <w:pPr>
              <w:spacing w:after="120" w:line="276" w:lineRule="auto"/>
              <w:ind w:right="210"/>
              <w:jc w:val="both"/>
              <w:rPr>
                <w:rFonts w:cstheme="minorHAnsi"/>
                <w:sz w:val="18"/>
                <w:szCs w:val="18"/>
                <w:lang w:val="ro-RO" w:eastAsia="ro-RO"/>
              </w:rPr>
            </w:pPr>
          </w:p>
          <w:p w14:paraId="14D4EE5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Gender distribution</w:t>
            </w:r>
          </w:p>
        </w:tc>
        <w:tc>
          <w:tcPr>
            <w:tcW w:w="458" w:type="pct"/>
            <w:shd w:val="clear" w:color="auto" w:fill="ECF6FF"/>
          </w:tcPr>
          <w:p w14:paraId="47C76E18"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2014/</w:t>
            </w:r>
          </w:p>
          <w:p w14:paraId="48D7724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2015</w:t>
            </w:r>
          </w:p>
        </w:tc>
        <w:tc>
          <w:tcPr>
            <w:tcW w:w="458" w:type="pct"/>
            <w:shd w:val="clear" w:color="auto" w:fill="ECF6FF"/>
          </w:tcPr>
          <w:p w14:paraId="0C48B6D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2015/</w:t>
            </w:r>
          </w:p>
          <w:p w14:paraId="5C99FDF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2016</w:t>
            </w:r>
          </w:p>
        </w:tc>
        <w:tc>
          <w:tcPr>
            <w:tcW w:w="458" w:type="pct"/>
            <w:shd w:val="clear" w:color="auto" w:fill="ECF6FF"/>
          </w:tcPr>
          <w:p w14:paraId="1AAFB8C1"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2016/</w:t>
            </w:r>
          </w:p>
          <w:p w14:paraId="624F926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2017</w:t>
            </w:r>
          </w:p>
        </w:tc>
        <w:tc>
          <w:tcPr>
            <w:tcW w:w="458" w:type="pct"/>
            <w:shd w:val="clear" w:color="auto" w:fill="ECF6FF"/>
          </w:tcPr>
          <w:p w14:paraId="21B0BF3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2017/</w:t>
            </w:r>
          </w:p>
          <w:p w14:paraId="14A5024B"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2018</w:t>
            </w:r>
          </w:p>
        </w:tc>
        <w:tc>
          <w:tcPr>
            <w:tcW w:w="458" w:type="pct"/>
            <w:shd w:val="clear" w:color="auto" w:fill="ECF6FF"/>
          </w:tcPr>
          <w:p w14:paraId="1955B22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2018/</w:t>
            </w:r>
          </w:p>
          <w:p w14:paraId="079FE01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2019</w:t>
            </w:r>
          </w:p>
        </w:tc>
        <w:tc>
          <w:tcPr>
            <w:tcW w:w="458" w:type="pct"/>
            <w:shd w:val="clear" w:color="auto" w:fill="ECF6FF"/>
          </w:tcPr>
          <w:p w14:paraId="1B64204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2019/</w:t>
            </w:r>
          </w:p>
          <w:p w14:paraId="6B381D49"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2020</w:t>
            </w:r>
          </w:p>
        </w:tc>
        <w:tc>
          <w:tcPr>
            <w:tcW w:w="481" w:type="pct"/>
            <w:shd w:val="clear" w:color="auto" w:fill="ECF6FF"/>
          </w:tcPr>
          <w:p w14:paraId="62C86843"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2020/</w:t>
            </w:r>
          </w:p>
          <w:p w14:paraId="3D54BE2A"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2021*</w:t>
            </w:r>
          </w:p>
        </w:tc>
        <w:tc>
          <w:tcPr>
            <w:tcW w:w="481" w:type="pct"/>
            <w:shd w:val="clear" w:color="auto" w:fill="ECF6FF"/>
          </w:tcPr>
          <w:p w14:paraId="77101357"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2021/</w:t>
            </w:r>
          </w:p>
          <w:p w14:paraId="3EC2F8C0"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2022*</w:t>
            </w:r>
          </w:p>
        </w:tc>
        <w:tc>
          <w:tcPr>
            <w:tcW w:w="529" w:type="pct"/>
            <w:shd w:val="clear" w:color="auto" w:fill="ECF6FF"/>
          </w:tcPr>
          <w:p w14:paraId="58CDB93C"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2022/</w:t>
            </w:r>
          </w:p>
          <w:p w14:paraId="67482AA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2023</w:t>
            </w:r>
          </w:p>
        </w:tc>
      </w:tr>
      <w:tr w:rsidR="00CB1379" w:rsidRPr="00AB1F43" w14:paraId="4E7BD512" w14:textId="77777777" w:rsidTr="00075D7D">
        <w:trPr>
          <w:trHeight w:val="246"/>
          <w:jc w:val="center"/>
        </w:trPr>
        <w:tc>
          <w:tcPr>
            <w:tcW w:w="759" w:type="pct"/>
            <w:vAlign w:val="center"/>
          </w:tcPr>
          <w:p w14:paraId="77A3AE02"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Total</w:t>
            </w:r>
          </w:p>
        </w:tc>
        <w:tc>
          <w:tcPr>
            <w:tcW w:w="458" w:type="pct"/>
            <w:shd w:val="clear" w:color="auto" w:fill="auto"/>
            <w:vAlign w:val="bottom"/>
          </w:tcPr>
          <w:p w14:paraId="5D577417"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35,0</w:t>
            </w:r>
          </w:p>
        </w:tc>
        <w:tc>
          <w:tcPr>
            <w:tcW w:w="458" w:type="pct"/>
            <w:vAlign w:val="bottom"/>
          </w:tcPr>
          <w:p w14:paraId="7F0D8FD0"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35,8</w:t>
            </w:r>
          </w:p>
        </w:tc>
        <w:tc>
          <w:tcPr>
            <w:tcW w:w="458" w:type="pct"/>
            <w:vAlign w:val="bottom"/>
          </w:tcPr>
          <w:p w14:paraId="46530943"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eastAsia="Calibri" w:cstheme="minorHAnsi"/>
                <w:iCs/>
                <w:sz w:val="18"/>
                <w:szCs w:val="18"/>
                <w:lang w:val="ro-RO" w:eastAsia="ro-RO"/>
              </w:rPr>
              <w:t>35,9</w:t>
            </w:r>
          </w:p>
        </w:tc>
        <w:tc>
          <w:tcPr>
            <w:tcW w:w="458" w:type="pct"/>
            <w:vAlign w:val="bottom"/>
          </w:tcPr>
          <w:p w14:paraId="7A971BFD"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cstheme="minorHAnsi"/>
                <w:iCs/>
                <w:sz w:val="18"/>
                <w:szCs w:val="18"/>
                <w:lang w:val="ro-RO" w:eastAsia="ro-RO"/>
              </w:rPr>
              <w:t>36,6</w:t>
            </w:r>
          </w:p>
        </w:tc>
        <w:tc>
          <w:tcPr>
            <w:tcW w:w="458" w:type="pct"/>
            <w:vAlign w:val="bottom"/>
          </w:tcPr>
          <w:p w14:paraId="1219B226"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36,7</w:t>
            </w:r>
          </w:p>
        </w:tc>
        <w:tc>
          <w:tcPr>
            <w:tcW w:w="458" w:type="pct"/>
            <w:vAlign w:val="bottom"/>
          </w:tcPr>
          <w:p w14:paraId="7ED40B61"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37,4</w:t>
            </w:r>
          </w:p>
        </w:tc>
        <w:tc>
          <w:tcPr>
            <w:tcW w:w="481" w:type="pct"/>
            <w:vAlign w:val="bottom"/>
          </w:tcPr>
          <w:p w14:paraId="27C5958E"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41,2</w:t>
            </w:r>
          </w:p>
        </w:tc>
        <w:tc>
          <w:tcPr>
            <w:tcW w:w="481" w:type="pct"/>
            <w:vAlign w:val="center"/>
          </w:tcPr>
          <w:p w14:paraId="6207323D"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42,3</w:t>
            </w:r>
          </w:p>
        </w:tc>
        <w:tc>
          <w:tcPr>
            <w:tcW w:w="529" w:type="pct"/>
            <w:vAlign w:val="center"/>
          </w:tcPr>
          <w:p w14:paraId="491F3D34"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43,0</w:t>
            </w:r>
          </w:p>
        </w:tc>
      </w:tr>
      <w:tr w:rsidR="00CB1379" w:rsidRPr="00AB1F43" w14:paraId="0149978D" w14:textId="77777777" w:rsidTr="00075D7D">
        <w:trPr>
          <w:trHeight w:val="264"/>
          <w:jc w:val="center"/>
        </w:trPr>
        <w:tc>
          <w:tcPr>
            <w:tcW w:w="759" w:type="pct"/>
            <w:vAlign w:val="center"/>
          </w:tcPr>
          <w:p w14:paraId="7FAA03EE"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F</w:t>
            </w:r>
          </w:p>
        </w:tc>
        <w:tc>
          <w:tcPr>
            <w:tcW w:w="458" w:type="pct"/>
            <w:shd w:val="clear" w:color="auto" w:fill="auto"/>
            <w:vAlign w:val="bottom"/>
          </w:tcPr>
          <w:p w14:paraId="3865ACFC"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38,9</w:t>
            </w:r>
          </w:p>
        </w:tc>
        <w:tc>
          <w:tcPr>
            <w:tcW w:w="458" w:type="pct"/>
            <w:vAlign w:val="bottom"/>
          </w:tcPr>
          <w:p w14:paraId="2FAA0C33"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39,8</w:t>
            </w:r>
          </w:p>
        </w:tc>
        <w:tc>
          <w:tcPr>
            <w:tcW w:w="458" w:type="pct"/>
            <w:vAlign w:val="bottom"/>
          </w:tcPr>
          <w:p w14:paraId="29A2D366"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eastAsia="Calibri" w:cstheme="minorHAnsi"/>
                <w:iCs/>
                <w:sz w:val="18"/>
                <w:szCs w:val="18"/>
                <w:lang w:val="ro-RO" w:eastAsia="ro-RO"/>
              </w:rPr>
              <w:t>39,8</w:t>
            </w:r>
          </w:p>
        </w:tc>
        <w:tc>
          <w:tcPr>
            <w:tcW w:w="458" w:type="pct"/>
            <w:vAlign w:val="bottom"/>
          </w:tcPr>
          <w:p w14:paraId="6694C5D8"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cstheme="minorHAnsi"/>
                <w:iCs/>
                <w:sz w:val="18"/>
                <w:szCs w:val="18"/>
                <w:lang w:val="ro-RO" w:eastAsia="ro-RO"/>
              </w:rPr>
              <w:t>40,5</w:t>
            </w:r>
          </w:p>
        </w:tc>
        <w:tc>
          <w:tcPr>
            <w:tcW w:w="458" w:type="pct"/>
            <w:vAlign w:val="bottom"/>
          </w:tcPr>
          <w:p w14:paraId="7476EED8"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40,7</w:t>
            </w:r>
          </w:p>
        </w:tc>
        <w:tc>
          <w:tcPr>
            <w:tcW w:w="458" w:type="pct"/>
            <w:vAlign w:val="bottom"/>
          </w:tcPr>
          <w:p w14:paraId="11B5CC95"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39,7</w:t>
            </w:r>
          </w:p>
        </w:tc>
        <w:tc>
          <w:tcPr>
            <w:tcW w:w="481" w:type="pct"/>
            <w:vAlign w:val="bottom"/>
          </w:tcPr>
          <w:p w14:paraId="06762A34"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43,4</w:t>
            </w:r>
          </w:p>
        </w:tc>
        <w:tc>
          <w:tcPr>
            <w:tcW w:w="481" w:type="pct"/>
            <w:vAlign w:val="center"/>
          </w:tcPr>
          <w:p w14:paraId="7E3DB799"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45,1</w:t>
            </w:r>
          </w:p>
        </w:tc>
        <w:tc>
          <w:tcPr>
            <w:tcW w:w="529" w:type="pct"/>
            <w:vAlign w:val="center"/>
          </w:tcPr>
          <w:p w14:paraId="20B956F4"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45,9</w:t>
            </w:r>
          </w:p>
        </w:tc>
      </w:tr>
      <w:tr w:rsidR="00CB1379" w:rsidRPr="00AB1F43" w14:paraId="49ECC46B" w14:textId="77777777" w:rsidTr="00075D7D">
        <w:trPr>
          <w:trHeight w:val="283"/>
          <w:jc w:val="center"/>
        </w:trPr>
        <w:tc>
          <w:tcPr>
            <w:tcW w:w="759" w:type="pct"/>
            <w:vAlign w:val="center"/>
          </w:tcPr>
          <w:p w14:paraId="7F47A594" w14:textId="77777777" w:rsidR="00C35F71" w:rsidRPr="00AB1F43" w:rsidRDefault="00C35F71" w:rsidP="00075D7D">
            <w:pPr>
              <w:spacing w:after="120" w:line="276" w:lineRule="auto"/>
              <w:ind w:right="210"/>
              <w:jc w:val="both"/>
              <w:rPr>
                <w:rFonts w:cstheme="minorHAnsi"/>
                <w:sz w:val="18"/>
                <w:szCs w:val="18"/>
                <w:lang w:val="ro-RO" w:eastAsia="ro-RO"/>
              </w:rPr>
            </w:pPr>
            <w:r w:rsidRPr="00AB1F43">
              <w:rPr>
                <w:rFonts w:cstheme="minorHAnsi"/>
                <w:sz w:val="18"/>
                <w:szCs w:val="18"/>
                <w:lang w:val="ro-RO" w:eastAsia="ro-RO"/>
              </w:rPr>
              <w:t>M</w:t>
            </w:r>
          </w:p>
        </w:tc>
        <w:tc>
          <w:tcPr>
            <w:tcW w:w="458" w:type="pct"/>
            <w:shd w:val="clear" w:color="auto" w:fill="auto"/>
            <w:vAlign w:val="bottom"/>
          </w:tcPr>
          <w:p w14:paraId="7AA82928"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31,4</w:t>
            </w:r>
          </w:p>
        </w:tc>
        <w:tc>
          <w:tcPr>
            <w:tcW w:w="458" w:type="pct"/>
            <w:vAlign w:val="bottom"/>
          </w:tcPr>
          <w:p w14:paraId="203FDBCB"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32,1</w:t>
            </w:r>
          </w:p>
        </w:tc>
        <w:tc>
          <w:tcPr>
            <w:tcW w:w="458" w:type="pct"/>
            <w:vAlign w:val="bottom"/>
          </w:tcPr>
          <w:p w14:paraId="4CDFC2C0"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eastAsia="Calibri" w:cstheme="minorHAnsi"/>
                <w:iCs/>
                <w:sz w:val="18"/>
                <w:szCs w:val="18"/>
                <w:lang w:val="ro-RO" w:eastAsia="ro-RO"/>
              </w:rPr>
              <w:t>32,3</w:t>
            </w:r>
          </w:p>
        </w:tc>
        <w:tc>
          <w:tcPr>
            <w:tcW w:w="458" w:type="pct"/>
            <w:vAlign w:val="bottom"/>
          </w:tcPr>
          <w:p w14:paraId="3F3F2EF2" w14:textId="77777777" w:rsidR="00C35F71" w:rsidRPr="00AB1F43" w:rsidRDefault="00C35F71" w:rsidP="00075D7D">
            <w:pPr>
              <w:spacing w:after="120" w:line="276" w:lineRule="auto"/>
              <w:ind w:right="210"/>
              <w:jc w:val="both"/>
              <w:rPr>
                <w:rFonts w:eastAsia="Calibri" w:cstheme="minorHAnsi"/>
                <w:iCs/>
                <w:sz w:val="18"/>
                <w:szCs w:val="18"/>
                <w:lang w:val="ro-RO" w:eastAsia="ro-RO"/>
              </w:rPr>
            </w:pPr>
            <w:r w:rsidRPr="00AB1F43">
              <w:rPr>
                <w:rFonts w:cstheme="minorHAnsi"/>
                <w:iCs/>
                <w:sz w:val="18"/>
                <w:szCs w:val="18"/>
                <w:lang w:val="ro-RO" w:eastAsia="ro-RO"/>
              </w:rPr>
              <w:t>32,8</w:t>
            </w:r>
          </w:p>
        </w:tc>
        <w:tc>
          <w:tcPr>
            <w:tcW w:w="458" w:type="pct"/>
            <w:vAlign w:val="bottom"/>
          </w:tcPr>
          <w:p w14:paraId="75F8C2AB"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32,9</w:t>
            </w:r>
          </w:p>
        </w:tc>
        <w:tc>
          <w:tcPr>
            <w:tcW w:w="458" w:type="pct"/>
            <w:vAlign w:val="bottom"/>
          </w:tcPr>
          <w:p w14:paraId="63510245"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iCs/>
                <w:sz w:val="18"/>
                <w:szCs w:val="18"/>
                <w:lang w:val="ro-RO" w:eastAsia="ro-RO"/>
              </w:rPr>
              <w:t>35,0</w:t>
            </w:r>
          </w:p>
        </w:tc>
        <w:tc>
          <w:tcPr>
            <w:tcW w:w="481" w:type="pct"/>
            <w:vAlign w:val="bottom"/>
          </w:tcPr>
          <w:p w14:paraId="35D0FD7D"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38,9</w:t>
            </w:r>
          </w:p>
        </w:tc>
        <w:tc>
          <w:tcPr>
            <w:tcW w:w="481" w:type="pct"/>
            <w:vAlign w:val="center"/>
          </w:tcPr>
          <w:p w14:paraId="2D9977E2"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39,4</w:t>
            </w:r>
          </w:p>
        </w:tc>
        <w:tc>
          <w:tcPr>
            <w:tcW w:w="529" w:type="pct"/>
            <w:vAlign w:val="center"/>
          </w:tcPr>
          <w:p w14:paraId="7398D9E9" w14:textId="77777777" w:rsidR="00C35F71" w:rsidRPr="00AB1F43" w:rsidRDefault="00C35F71" w:rsidP="00075D7D">
            <w:pPr>
              <w:spacing w:after="120" w:line="276" w:lineRule="auto"/>
              <w:ind w:right="210"/>
              <w:jc w:val="both"/>
              <w:rPr>
                <w:rFonts w:cstheme="minorHAnsi"/>
                <w:iCs/>
                <w:sz w:val="18"/>
                <w:szCs w:val="18"/>
                <w:lang w:val="ro-RO" w:eastAsia="ro-RO"/>
              </w:rPr>
            </w:pPr>
            <w:r w:rsidRPr="00AB1F43">
              <w:rPr>
                <w:rFonts w:cstheme="minorHAnsi"/>
                <w:sz w:val="18"/>
                <w:szCs w:val="18"/>
                <w:lang w:val="ro-RO"/>
              </w:rPr>
              <w:t>39,9</w:t>
            </w:r>
          </w:p>
        </w:tc>
      </w:tr>
    </w:tbl>
    <w:p w14:paraId="1B38119E" w14:textId="77777777" w:rsidR="00C35F71" w:rsidRPr="00AB1F43" w:rsidRDefault="00C35F71" w:rsidP="00C35F71">
      <w:pPr>
        <w:spacing w:after="120" w:line="276" w:lineRule="auto"/>
        <w:ind w:right="210"/>
        <w:contextualSpacing/>
        <w:jc w:val="both"/>
        <w:rPr>
          <w:rFonts w:cstheme="minorHAnsi"/>
          <w:i/>
          <w:sz w:val="18"/>
          <w:szCs w:val="18"/>
          <w:lang w:val="ro-RO" w:eastAsia="ro-RO"/>
        </w:rPr>
      </w:pPr>
      <w:r w:rsidRPr="00AB1F43">
        <w:rPr>
          <w:rFonts w:cstheme="minorHAnsi"/>
          <w:i/>
          <w:sz w:val="18"/>
          <w:szCs w:val="18"/>
          <w:lang w:val="ro-RO" w:eastAsia="ro-RO"/>
        </w:rPr>
        <w:t xml:space="preserve">Source: Data calculated based on the statistical notebooks on higher education, INS, 2015-2023. </w:t>
      </w:r>
    </w:p>
    <w:p w14:paraId="51089E95" w14:textId="77777777" w:rsidR="00C35F71" w:rsidRPr="00AB1F43" w:rsidRDefault="00C35F71" w:rsidP="00C35F71">
      <w:pPr>
        <w:spacing w:after="120" w:line="276" w:lineRule="auto"/>
        <w:ind w:right="210"/>
        <w:contextualSpacing/>
        <w:jc w:val="both"/>
        <w:rPr>
          <w:rFonts w:cstheme="minorHAnsi"/>
          <w:i/>
          <w:sz w:val="18"/>
          <w:szCs w:val="18"/>
          <w:lang w:val="ro-RO" w:eastAsia="ro-RO"/>
        </w:rPr>
      </w:pPr>
      <w:r w:rsidRPr="00AB1F43">
        <w:rPr>
          <w:rFonts w:cstheme="minorHAnsi"/>
          <w:i/>
          <w:sz w:val="18"/>
          <w:szCs w:val="18"/>
          <w:lang w:val="ro-RO" w:eastAsia="ro-RO"/>
        </w:rPr>
        <w:t>Note: * in the 19-23 age group</w:t>
      </w:r>
    </w:p>
    <w:p w14:paraId="52B89F35" w14:textId="77777777" w:rsidR="00C35F71" w:rsidRPr="00AB1F43" w:rsidRDefault="00C35F71" w:rsidP="00C35F71">
      <w:pPr>
        <w:spacing w:after="120" w:line="276" w:lineRule="auto"/>
        <w:ind w:right="210"/>
        <w:contextualSpacing/>
        <w:jc w:val="both"/>
        <w:rPr>
          <w:rFonts w:cstheme="minorHAnsi"/>
          <w:i/>
          <w:sz w:val="18"/>
          <w:szCs w:val="18"/>
          <w:lang w:val="ro-RO" w:eastAsia="ro-RO"/>
        </w:rPr>
      </w:pPr>
      <w:r w:rsidRPr="00AB1F43">
        <w:rPr>
          <w:rFonts w:cstheme="minorHAnsi"/>
          <w:i/>
          <w:sz w:val="18"/>
          <w:szCs w:val="18"/>
          <w:lang w:val="ro-RO" w:eastAsia="ro-RO"/>
        </w:rPr>
        <w:t>Note: The indicator was calculated by reporting the number of students in the country (without foreign students) to the population in the 19-23 age group.</w:t>
      </w:r>
    </w:p>
    <w:p w14:paraId="0FC08F5F" w14:textId="77777777" w:rsidR="00C35F71" w:rsidRPr="00AB1F43" w:rsidRDefault="00C35F71" w:rsidP="00C35F71">
      <w:pPr>
        <w:spacing w:after="120" w:line="276" w:lineRule="auto"/>
        <w:ind w:right="210"/>
        <w:contextualSpacing/>
        <w:jc w:val="both"/>
        <w:rPr>
          <w:rFonts w:cstheme="minorHAnsi"/>
          <w:i/>
          <w:sz w:val="18"/>
          <w:szCs w:val="18"/>
          <w:lang w:val="ro-RO"/>
        </w:rPr>
      </w:pPr>
      <w:r w:rsidRPr="00AB1F43">
        <w:rPr>
          <w:rFonts w:cstheme="minorHAnsi"/>
          <w:i/>
          <w:sz w:val="18"/>
          <w:szCs w:val="18"/>
          <w:lang w:val="ro-RO" w:eastAsia="ro-RO"/>
        </w:rPr>
        <w:t>* The values ​​of the indicator were recalculated, as a result of the revision of the data on the resident population, by the INS.</w:t>
      </w:r>
    </w:p>
    <w:p w14:paraId="1DF89F41" w14:textId="77777777" w:rsidR="00C35F71" w:rsidRPr="00AB1F43" w:rsidRDefault="00C35F71">
      <w:pPr>
        <w:rPr>
          <w:rFonts w:cstheme="minorHAnsi"/>
          <w:sz w:val="18"/>
          <w:szCs w:val="18"/>
        </w:rPr>
      </w:pPr>
    </w:p>
    <w:p w14:paraId="4373AAD6" w14:textId="77777777" w:rsidR="00C35F71" w:rsidRPr="00AB1F43" w:rsidRDefault="00C35F71" w:rsidP="00C35F71">
      <w:pPr>
        <w:spacing w:after="120" w:line="276" w:lineRule="auto"/>
        <w:ind w:right="210"/>
        <w:jc w:val="both"/>
        <w:rPr>
          <w:rFonts w:cstheme="minorHAnsi"/>
          <w:noProof/>
          <w:sz w:val="18"/>
          <w:szCs w:val="18"/>
        </w:rPr>
      </w:pPr>
      <w:r w:rsidRPr="00AB1F43">
        <w:rPr>
          <w:rFonts w:cstheme="minorHAnsi"/>
          <w:noProof/>
          <w:sz w:val="18"/>
          <w:szCs w:val="18"/>
        </w:rPr>
        <w:t>Evolution of the proportion of teaching staff in higher education, by gender (%)</w:t>
      </w:r>
    </w:p>
    <w:tbl>
      <w:tblPr>
        <w:tblW w:w="5000" w:type="pct"/>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Look w:val="0000" w:firstRow="0" w:lastRow="0" w:firstColumn="0" w:lastColumn="0" w:noHBand="0" w:noVBand="0"/>
      </w:tblPr>
      <w:tblGrid>
        <w:gridCol w:w="1484"/>
        <w:gridCol w:w="874"/>
        <w:gridCol w:w="874"/>
        <w:gridCol w:w="874"/>
        <w:gridCol w:w="874"/>
        <w:gridCol w:w="874"/>
        <w:gridCol w:w="874"/>
        <w:gridCol w:w="874"/>
        <w:gridCol w:w="874"/>
        <w:gridCol w:w="874"/>
      </w:tblGrid>
      <w:tr w:rsidR="00CB1379" w:rsidRPr="00AB1F43" w14:paraId="654F7136" w14:textId="77777777" w:rsidTr="00075D7D">
        <w:trPr>
          <w:trHeight w:val="60"/>
        </w:trPr>
        <w:tc>
          <w:tcPr>
            <w:tcW w:w="899" w:type="pct"/>
            <w:shd w:val="clear" w:color="auto" w:fill="ECF6FF"/>
            <w:vAlign w:val="center"/>
          </w:tcPr>
          <w:p w14:paraId="476DA8DC" w14:textId="77777777" w:rsidR="00C35F71" w:rsidRPr="00AB1F43" w:rsidRDefault="00C35F71" w:rsidP="00075D7D">
            <w:pPr>
              <w:spacing w:after="120" w:line="276" w:lineRule="auto"/>
              <w:ind w:right="210"/>
              <w:jc w:val="both"/>
              <w:rPr>
                <w:rFonts w:cstheme="minorHAnsi"/>
                <w:noProof/>
                <w:sz w:val="18"/>
                <w:szCs w:val="18"/>
              </w:rPr>
            </w:pPr>
          </w:p>
        </w:tc>
        <w:tc>
          <w:tcPr>
            <w:tcW w:w="458" w:type="pct"/>
            <w:shd w:val="clear" w:color="auto" w:fill="ECF6FF"/>
            <w:vAlign w:val="center"/>
          </w:tcPr>
          <w:p w14:paraId="54F3E6F3"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2014/</w:t>
            </w:r>
          </w:p>
          <w:p w14:paraId="2BEFC8C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2015</w:t>
            </w:r>
          </w:p>
        </w:tc>
        <w:tc>
          <w:tcPr>
            <w:tcW w:w="458" w:type="pct"/>
            <w:shd w:val="clear" w:color="auto" w:fill="ECF6FF"/>
            <w:vAlign w:val="center"/>
          </w:tcPr>
          <w:p w14:paraId="28F54ABD"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2015/</w:t>
            </w:r>
          </w:p>
          <w:p w14:paraId="6540F818"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2016</w:t>
            </w:r>
          </w:p>
        </w:tc>
        <w:tc>
          <w:tcPr>
            <w:tcW w:w="456" w:type="pct"/>
            <w:shd w:val="clear" w:color="auto" w:fill="ECF6FF"/>
            <w:vAlign w:val="center"/>
          </w:tcPr>
          <w:p w14:paraId="087A9CD8"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2016/</w:t>
            </w:r>
          </w:p>
          <w:p w14:paraId="62DFC21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2017</w:t>
            </w:r>
          </w:p>
        </w:tc>
        <w:tc>
          <w:tcPr>
            <w:tcW w:w="456" w:type="pct"/>
            <w:shd w:val="clear" w:color="auto" w:fill="ECF6FF"/>
            <w:vAlign w:val="center"/>
          </w:tcPr>
          <w:p w14:paraId="3D24D779"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2017/</w:t>
            </w:r>
          </w:p>
          <w:p w14:paraId="496B19DE"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2018</w:t>
            </w:r>
          </w:p>
        </w:tc>
        <w:tc>
          <w:tcPr>
            <w:tcW w:w="456" w:type="pct"/>
            <w:shd w:val="clear" w:color="auto" w:fill="ECF6FF"/>
            <w:vAlign w:val="center"/>
          </w:tcPr>
          <w:p w14:paraId="2CCC3C7B"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2018/</w:t>
            </w:r>
          </w:p>
          <w:p w14:paraId="3239049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2019</w:t>
            </w:r>
          </w:p>
        </w:tc>
        <w:tc>
          <w:tcPr>
            <w:tcW w:w="456" w:type="pct"/>
            <w:shd w:val="clear" w:color="auto" w:fill="ECF6FF"/>
            <w:vAlign w:val="center"/>
          </w:tcPr>
          <w:p w14:paraId="5070E5E6"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2019/</w:t>
            </w:r>
          </w:p>
          <w:p w14:paraId="16307D6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2020</w:t>
            </w:r>
          </w:p>
        </w:tc>
        <w:tc>
          <w:tcPr>
            <w:tcW w:w="456" w:type="pct"/>
            <w:shd w:val="clear" w:color="auto" w:fill="ECF6FF"/>
            <w:vAlign w:val="center"/>
          </w:tcPr>
          <w:p w14:paraId="5D469707"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2020/</w:t>
            </w:r>
          </w:p>
          <w:p w14:paraId="781CC87F"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2021</w:t>
            </w:r>
          </w:p>
        </w:tc>
        <w:tc>
          <w:tcPr>
            <w:tcW w:w="454" w:type="pct"/>
            <w:shd w:val="clear" w:color="auto" w:fill="ECF6FF"/>
          </w:tcPr>
          <w:p w14:paraId="0344B1FE"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2021/</w:t>
            </w:r>
          </w:p>
          <w:p w14:paraId="7D6D0881"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2022</w:t>
            </w:r>
          </w:p>
        </w:tc>
        <w:tc>
          <w:tcPr>
            <w:tcW w:w="452" w:type="pct"/>
            <w:shd w:val="clear" w:color="auto" w:fill="ECF6FF"/>
          </w:tcPr>
          <w:p w14:paraId="5AEC35A6"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2022/</w:t>
            </w:r>
          </w:p>
          <w:p w14:paraId="32D30ABB"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2023</w:t>
            </w:r>
          </w:p>
        </w:tc>
      </w:tr>
      <w:tr w:rsidR="00CB1379" w:rsidRPr="00AB1F43" w14:paraId="637047A2" w14:textId="77777777" w:rsidTr="00075D7D">
        <w:tc>
          <w:tcPr>
            <w:tcW w:w="899" w:type="pct"/>
            <w:shd w:val="clear" w:color="auto" w:fill="auto"/>
            <w:vAlign w:val="center"/>
          </w:tcPr>
          <w:p w14:paraId="33B7172F"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F</w:t>
            </w:r>
          </w:p>
        </w:tc>
        <w:tc>
          <w:tcPr>
            <w:tcW w:w="458" w:type="pct"/>
            <w:vAlign w:val="center"/>
          </w:tcPr>
          <w:p w14:paraId="1201358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49,4%</w:t>
            </w:r>
          </w:p>
        </w:tc>
        <w:tc>
          <w:tcPr>
            <w:tcW w:w="458" w:type="pct"/>
            <w:vAlign w:val="center"/>
          </w:tcPr>
          <w:p w14:paraId="536E37A8"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50,0%</w:t>
            </w:r>
          </w:p>
        </w:tc>
        <w:tc>
          <w:tcPr>
            <w:tcW w:w="456" w:type="pct"/>
            <w:vAlign w:val="center"/>
          </w:tcPr>
          <w:p w14:paraId="4659FECC"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50,8%</w:t>
            </w:r>
          </w:p>
        </w:tc>
        <w:tc>
          <w:tcPr>
            <w:tcW w:w="456" w:type="pct"/>
            <w:vAlign w:val="center"/>
          </w:tcPr>
          <w:p w14:paraId="0590BEFD"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51,3%</w:t>
            </w:r>
          </w:p>
        </w:tc>
        <w:tc>
          <w:tcPr>
            <w:tcW w:w="456" w:type="pct"/>
            <w:vAlign w:val="center"/>
          </w:tcPr>
          <w:p w14:paraId="1CFBB273"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50,9%</w:t>
            </w:r>
          </w:p>
        </w:tc>
        <w:tc>
          <w:tcPr>
            <w:tcW w:w="456" w:type="pct"/>
            <w:vAlign w:val="center"/>
          </w:tcPr>
          <w:p w14:paraId="7EF9A4A3"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51,7%</w:t>
            </w:r>
          </w:p>
        </w:tc>
        <w:tc>
          <w:tcPr>
            <w:tcW w:w="456" w:type="pct"/>
            <w:vAlign w:val="center"/>
          </w:tcPr>
          <w:p w14:paraId="4A2E10A1"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52,1%</w:t>
            </w:r>
          </w:p>
        </w:tc>
        <w:tc>
          <w:tcPr>
            <w:tcW w:w="454" w:type="pct"/>
            <w:vAlign w:val="center"/>
          </w:tcPr>
          <w:p w14:paraId="6440BD7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52,4%</w:t>
            </w:r>
          </w:p>
        </w:tc>
        <w:tc>
          <w:tcPr>
            <w:tcW w:w="452" w:type="pct"/>
          </w:tcPr>
          <w:p w14:paraId="22B0606F"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52,3%</w:t>
            </w:r>
          </w:p>
        </w:tc>
      </w:tr>
      <w:tr w:rsidR="00CB1379" w:rsidRPr="00AB1F43" w14:paraId="75757765" w14:textId="77777777" w:rsidTr="00075D7D">
        <w:tc>
          <w:tcPr>
            <w:tcW w:w="899" w:type="pct"/>
            <w:vAlign w:val="center"/>
          </w:tcPr>
          <w:p w14:paraId="6578EC5D"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M</w:t>
            </w:r>
          </w:p>
        </w:tc>
        <w:tc>
          <w:tcPr>
            <w:tcW w:w="458" w:type="pct"/>
            <w:vAlign w:val="center"/>
          </w:tcPr>
          <w:p w14:paraId="6B1095CE"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50,6%</w:t>
            </w:r>
          </w:p>
        </w:tc>
        <w:tc>
          <w:tcPr>
            <w:tcW w:w="458" w:type="pct"/>
            <w:vAlign w:val="center"/>
          </w:tcPr>
          <w:p w14:paraId="765000DC"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50,0%</w:t>
            </w:r>
          </w:p>
        </w:tc>
        <w:tc>
          <w:tcPr>
            <w:tcW w:w="456" w:type="pct"/>
            <w:vAlign w:val="center"/>
          </w:tcPr>
          <w:p w14:paraId="763DF007"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49,2%</w:t>
            </w:r>
          </w:p>
        </w:tc>
        <w:tc>
          <w:tcPr>
            <w:tcW w:w="456" w:type="pct"/>
            <w:vAlign w:val="center"/>
          </w:tcPr>
          <w:p w14:paraId="412E4357"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48,7%</w:t>
            </w:r>
          </w:p>
        </w:tc>
        <w:tc>
          <w:tcPr>
            <w:tcW w:w="456" w:type="pct"/>
            <w:vAlign w:val="center"/>
          </w:tcPr>
          <w:p w14:paraId="26DA31C1"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49,1%</w:t>
            </w:r>
          </w:p>
        </w:tc>
        <w:tc>
          <w:tcPr>
            <w:tcW w:w="456" w:type="pct"/>
            <w:vAlign w:val="center"/>
          </w:tcPr>
          <w:p w14:paraId="1BB38817"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48,3%</w:t>
            </w:r>
          </w:p>
        </w:tc>
        <w:tc>
          <w:tcPr>
            <w:tcW w:w="456" w:type="pct"/>
            <w:vAlign w:val="center"/>
          </w:tcPr>
          <w:p w14:paraId="51789F10"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47,9%</w:t>
            </w:r>
          </w:p>
        </w:tc>
        <w:tc>
          <w:tcPr>
            <w:tcW w:w="454" w:type="pct"/>
            <w:vAlign w:val="center"/>
          </w:tcPr>
          <w:p w14:paraId="1B7B184F"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47,6%</w:t>
            </w:r>
          </w:p>
        </w:tc>
        <w:tc>
          <w:tcPr>
            <w:tcW w:w="452" w:type="pct"/>
          </w:tcPr>
          <w:p w14:paraId="5C604CF7" w14:textId="77777777" w:rsidR="00C35F71" w:rsidRPr="00AB1F43" w:rsidRDefault="00C35F71" w:rsidP="00075D7D">
            <w:pPr>
              <w:spacing w:after="120" w:line="276" w:lineRule="auto"/>
              <w:ind w:right="210"/>
              <w:jc w:val="both"/>
              <w:rPr>
                <w:rFonts w:cstheme="minorHAnsi"/>
                <w:noProof/>
                <w:sz w:val="18"/>
                <w:szCs w:val="18"/>
              </w:rPr>
            </w:pPr>
            <w:r w:rsidRPr="00AB1F43">
              <w:rPr>
                <w:rFonts w:cstheme="minorHAnsi"/>
                <w:noProof/>
                <w:sz w:val="18"/>
                <w:szCs w:val="18"/>
              </w:rPr>
              <w:t>47,7%</w:t>
            </w:r>
          </w:p>
        </w:tc>
      </w:tr>
    </w:tbl>
    <w:p w14:paraId="6F17617F" w14:textId="1F82C8C6" w:rsidR="00986AF7" w:rsidRPr="00AB1F43" w:rsidRDefault="00C35F71" w:rsidP="00C35F71">
      <w:pPr>
        <w:spacing w:after="120" w:line="276" w:lineRule="auto"/>
        <w:ind w:right="210"/>
        <w:jc w:val="both"/>
        <w:rPr>
          <w:rFonts w:cstheme="minorHAnsi"/>
          <w:noProof/>
          <w:sz w:val="18"/>
          <w:szCs w:val="18"/>
        </w:rPr>
      </w:pPr>
      <w:r w:rsidRPr="00AB1F43">
        <w:rPr>
          <w:rFonts w:cstheme="minorHAnsi"/>
          <w:i/>
          <w:iCs/>
          <w:noProof/>
          <w:sz w:val="18"/>
          <w:szCs w:val="18"/>
        </w:rPr>
        <w:t xml:space="preserve"> INS, 2015-2023.</w:t>
      </w:r>
      <w:r w:rsidR="00CB1379" w:rsidRPr="00AB1F43">
        <w:rPr>
          <w:rFonts w:cstheme="minorHAnsi"/>
          <w:i/>
          <w:iCs/>
          <w:noProof/>
          <w:sz w:val="18"/>
          <w:szCs w:val="18"/>
        </w:rPr>
        <w:t xml:space="preserve">   </w:t>
      </w:r>
      <w:r w:rsidRPr="00AB1F43">
        <w:rPr>
          <w:rFonts w:cstheme="minorHAnsi"/>
          <w:noProof/>
          <w:sz w:val="18"/>
          <w:szCs w:val="18"/>
        </w:rPr>
        <w:t>According to data from the National Institute of Statistics, the proportion of women has continued to increase among teaching staff with leadership positions. In the 2022/2023 academic year, this indicator was 42.6%.</w:t>
      </w:r>
    </w:p>
    <w:p w14:paraId="10389FB3" w14:textId="77777777" w:rsidR="00986AF7" w:rsidRPr="00AB1F43" w:rsidRDefault="00986AF7" w:rsidP="00C35F71">
      <w:pPr>
        <w:spacing w:after="120" w:line="276" w:lineRule="auto"/>
        <w:ind w:right="210"/>
        <w:jc w:val="both"/>
        <w:rPr>
          <w:rFonts w:cstheme="minorHAnsi"/>
          <w:noProof/>
          <w:sz w:val="18"/>
          <w:szCs w:val="18"/>
        </w:rPr>
      </w:pPr>
    </w:p>
    <w:p w14:paraId="75E63312" w14:textId="4A211AEA" w:rsidR="00352731" w:rsidRPr="00AB1F43" w:rsidRDefault="00352731" w:rsidP="00AB1F43">
      <w:pPr>
        <w:pStyle w:val="ListParagraph"/>
        <w:numPr>
          <w:ilvl w:val="0"/>
          <w:numId w:val="1"/>
        </w:numPr>
        <w:spacing w:after="120" w:line="276" w:lineRule="auto"/>
        <w:ind w:left="720" w:right="210"/>
        <w:jc w:val="both"/>
        <w:rPr>
          <w:rFonts w:cstheme="minorHAnsi"/>
          <w:b/>
          <w:bCs/>
          <w:noProof/>
          <w:sz w:val="18"/>
          <w:szCs w:val="18"/>
        </w:rPr>
      </w:pPr>
      <w:bookmarkStart w:id="11" w:name="_Hlk181693331"/>
      <w:r w:rsidRPr="00AB1F43">
        <w:rPr>
          <w:rFonts w:cstheme="minorHAnsi"/>
          <w:b/>
          <w:bCs/>
          <w:noProof/>
          <w:sz w:val="18"/>
          <w:szCs w:val="18"/>
        </w:rPr>
        <w:t>National Audiovisual Council</w:t>
      </w:r>
    </w:p>
    <w:bookmarkEnd w:id="11"/>
    <w:p w14:paraId="3D4C2175" w14:textId="28210072" w:rsidR="00986AF7" w:rsidRPr="00AB1F43" w:rsidRDefault="00986AF7" w:rsidP="00986AF7">
      <w:pPr>
        <w:spacing w:after="120" w:line="276" w:lineRule="auto"/>
        <w:ind w:right="210"/>
        <w:jc w:val="both"/>
        <w:rPr>
          <w:rFonts w:cstheme="minorHAnsi"/>
          <w:b/>
          <w:bCs/>
          <w:noProof/>
          <w:sz w:val="18"/>
          <w:szCs w:val="18"/>
        </w:rPr>
      </w:pPr>
      <w:r w:rsidRPr="00AB1F43">
        <w:rPr>
          <w:rFonts w:cstheme="minorHAnsi"/>
          <w:b/>
          <w:bCs/>
          <w:noProof/>
          <w:sz w:val="18"/>
          <w:szCs w:val="18"/>
        </w:rPr>
        <w:t>Gender stereotypes</w:t>
      </w:r>
    </w:p>
    <w:p w14:paraId="2CAC4DE3" w14:textId="77777777" w:rsidR="00986AF7" w:rsidRPr="00AB1F43" w:rsidRDefault="00986AF7" w:rsidP="00986AF7">
      <w:pPr>
        <w:spacing w:after="120" w:line="276" w:lineRule="auto"/>
        <w:ind w:right="210"/>
        <w:jc w:val="both"/>
        <w:rPr>
          <w:rFonts w:cstheme="minorHAnsi"/>
          <w:b/>
          <w:bCs/>
          <w:noProof/>
          <w:sz w:val="18"/>
          <w:szCs w:val="18"/>
        </w:rPr>
      </w:pPr>
      <w:r w:rsidRPr="00AB1F43">
        <w:rPr>
          <w:rFonts w:cstheme="minorHAnsi"/>
          <w:b/>
          <w:bCs/>
          <w:noProof/>
          <w:sz w:val="18"/>
          <w:szCs w:val="18"/>
        </w:rPr>
        <w:t>8.</w:t>
      </w:r>
      <w:r w:rsidRPr="00AB1F43">
        <w:rPr>
          <w:rFonts w:cstheme="minorHAnsi"/>
          <w:b/>
          <w:bCs/>
          <w:noProof/>
          <w:sz w:val="18"/>
          <w:szCs w:val="18"/>
        </w:rPr>
        <w:tab/>
        <w:t xml:space="preserve">In the light of the Committee’s previous recommendations (para. 17), please provide information on: </w:t>
      </w:r>
    </w:p>
    <w:p w14:paraId="2628F024" w14:textId="6934C2C5" w:rsidR="00986AF7" w:rsidRPr="00AB1F43" w:rsidRDefault="00986AF7" w:rsidP="00986AF7">
      <w:pPr>
        <w:spacing w:after="120" w:line="276" w:lineRule="auto"/>
        <w:ind w:right="210"/>
        <w:jc w:val="both"/>
        <w:rPr>
          <w:rFonts w:cstheme="minorHAnsi"/>
          <w:b/>
          <w:bCs/>
          <w:noProof/>
          <w:sz w:val="18"/>
          <w:szCs w:val="18"/>
        </w:rPr>
      </w:pPr>
      <w:r w:rsidRPr="00AB1F43">
        <w:rPr>
          <w:rFonts w:cstheme="minorHAnsi"/>
          <w:b/>
          <w:bCs/>
          <w:noProof/>
          <w:sz w:val="18"/>
          <w:szCs w:val="18"/>
        </w:rPr>
        <w:t>(c)</w:t>
      </w:r>
      <w:r w:rsidRPr="00AB1F43">
        <w:rPr>
          <w:rFonts w:cstheme="minorHAnsi"/>
          <w:b/>
          <w:bCs/>
          <w:noProof/>
          <w:sz w:val="18"/>
          <w:szCs w:val="18"/>
        </w:rPr>
        <w:tab/>
        <w:t>Steps taken to amend the national audiovisual policy to prohibit degrading portrayals of women in the media.</w:t>
      </w:r>
    </w:p>
    <w:p w14:paraId="0BD0860D"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 xml:space="preserve">According to the regulatory principles of the Audiovisual Law nᵒ 504/2002, with subsequent amendments and modifications, stipulated in art. 40, "it is prohibited to broadcast programmes containing any form of incitement to hatred based on race, </w:t>
      </w:r>
      <w:r w:rsidRPr="00AB1F43">
        <w:rPr>
          <w:rFonts w:cstheme="minorHAnsi"/>
          <w:noProof/>
          <w:sz w:val="18"/>
          <w:szCs w:val="18"/>
        </w:rPr>
        <w:lastRenderedPageBreak/>
        <w:t xml:space="preserve">religion, nationality, sex or sexual orientation". In accordance with art. 10 para. 4   of the above-mentioned Law, the Council exercises its right to control the content of the programmes offered by the audiovisual media service providers only after the public communication of these programmes. </w:t>
      </w:r>
    </w:p>
    <w:p w14:paraId="59B35762"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On the 24th of March 2019, the Romanian Parliament amended the Audiovisual Law nᵒ 504/2002 by the Law nᵒ 52/2019, introducing chapter III5, which refers to the protection of the victims of domestic violence.</w:t>
      </w:r>
    </w:p>
    <w:p w14:paraId="502C24B4"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The legislative measures adopted by the NAC, based on the Audiovisual Law, through the secondary legislation (the NAC Decision nᵒ 220/2011 regarding the Regulation Code of the Audiovisual Content), have the role of strengthening the protection of human dignity and minors against audiovisual content with a potentially harmful effect on physical, mental or moral development. For this purpose, we mention the amendments made to the Audiovisual Code, by the NAC Decision nᵒ 63/2017:</w:t>
      </w:r>
    </w:p>
    <w:p w14:paraId="4888E44F"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1 "(1) For the purposes of this regulatory code of the audiovisual content, hereinafter referred to as the code, the terms and expressions below have the following meanings: [...]g) language violence - addressing through offensive, brutal language, such as the use of insults, threats, degrading or humiliating or discriminatory words and expressions; trivial, nonverbal behaviours are assimilated to this form of violence";</w:t>
      </w:r>
    </w:p>
    <w:p w14:paraId="46AB7926"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6 "(3) In the case of a minor over 16 years old, who is a victim or witness to the commission of crimes or who has been physically, mentally or sexually abused, the following are required: a) his explicit written or recorded consent; b) the elimination of any elements that can lead to the identification of the minor, at his request, his parents or the legal representative";</w:t>
      </w:r>
    </w:p>
    <w:p w14:paraId="3B538776"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18 "(1) The productions that present: a) physical, mental or language violence, repeatedly or with a high degree of intensity or gravity, may not be broadcast in the time slot 6:00 - 23:00; […]”;</w:t>
      </w:r>
    </w:p>
    <w:p w14:paraId="0E809FD9"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29 "(2) Before the broadcasting of shocking images, scenes of violence or with negative emotional impact that may unpleasantly impress the viewers, they will be warned verbally: "Caution! Images that can affect you emotionally», a mention that will also be displayed statically and legibly; the broadcasters may not present scenes of violence repeatedly within the same audiovisual production";</w:t>
      </w:r>
    </w:p>
    <w:p w14:paraId="77810379"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44 "(2) The identity of the persons who are victims of crimes related to sexual life may not be revealed in any way; the situations in which the victims have given their written consent are excepted, under the condition of respecting the identification limits established by the agreement concluded before the broadcast; the prior agreement may not justify violations of the rights and freedoms of other people, public order or good morals, nor may remove the responsibility of the provider of the audiovisual media services for the content of the programmes, provided for in art. 3 of the Audiovisual Law";</w:t>
      </w:r>
    </w:p>
    <w:p w14:paraId="2B6F2947"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Art. 47 "(3) It is prohibited to broadcast in the audiovisual programmes defamatory statements against a defined gender, age, race, ethnicity, nationality, citizenship, religious beliefs, sexual orientation, level of education, social category or medical conditions; (4) It is prohibited to broadcast in the audiovisual programmes defamatory statements against a person based on their belonging to a group/community defined by gender, age, race, ethnicity, nationality, religious beliefs, sexual orientation, level of Education, social category, medical conditions or physical characteristics are forbidden”.</w:t>
      </w:r>
    </w:p>
    <w:p w14:paraId="628F470E"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Art. 93 "(1) Audiovisual commercial communications must respect, regardless of form and duration, the principles of minor protection, correct public information, respect for human dignity, ensuring fair competition and not using unfair commercial practices, misleading or aggressive, as they are defined by Law nᵒ 363/2007 on combating the unfair practices of traders in the relationship with consumers and harmonizing regulations with the European legislation on consumer protection, with subsequent amendments and modifications. (2) It is prohibited the advertising that prejudices respect for human dignity based on gender, affecting the image of a person in public and/or private life, as well as groups of people. (3) It is prohibited the usage in advertising of the situations in which people, regardless of their gender, are presented in degrading, humiliating and pornographic attitudes, including through the usage of gender stereotypes."</w:t>
      </w:r>
    </w:p>
    <w:p w14:paraId="2DA5E21E"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We also mention that regarding the online content, on 3rd of July, 2022, a series of provisions applicable to the video sharing platform services were introduced into the Audiovisual Law, of which relevant for the report would be those related to the violence issues.</w:t>
      </w:r>
    </w:p>
    <w:p w14:paraId="4FE0604E"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t>
      </w:r>
      <w:r w:rsidRPr="00AB1F43">
        <w:rPr>
          <w:rFonts w:cstheme="minorHAnsi"/>
          <w:noProof/>
          <w:sz w:val="18"/>
          <w:szCs w:val="18"/>
        </w:rPr>
        <w:tab/>
        <w:t xml:space="preserve"> Art. 427*) “Providers of the video sharing platforms are obliged to take appropriate measures to protect:</w:t>
      </w:r>
    </w:p>
    <w:p w14:paraId="6DDB6E25"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lastRenderedPageBreak/>
        <w:t>a) minors from programmes, user-generated videos and audiovisual commercial communications which may impair their physical, mental or moral development especially by programs that contain pornography or unjustified violence, according to the provisions of art. 39 para. (1);</w:t>
      </w:r>
    </w:p>
    <w:p w14:paraId="161D6B2B"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b) the general public from programmes, user-generated videos and audiovisual commercial communications containing incitement to violence or hatred directed against a group of persons or a member of a group based on reasons such as sex, race, color, ethnic or social origin, genetic characteristics, language, religion or beliefs, political or other opinions, belonging to a national minority, wealth, birth, disabilities, age or sexual orientation or chronic contagious or non-contagious disease;</w:t>
      </w:r>
    </w:p>
    <w:p w14:paraId="01A50F7D"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c) the general public from programmes, user-generated videos and audiovisual commercial communications containing content the dissemination of which constitutes public incitement to commit crimes under Law nᵒ 535/2004, with further modifications and amendments, or to Law nᵒ 196/2003 regarding the prevention and combating of pornography, republished, or crimes of a racist and xenophobic nature.”</w:t>
      </w:r>
    </w:p>
    <w:p w14:paraId="344FF119"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B) Sanctions</w:t>
      </w:r>
    </w:p>
    <w:p w14:paraId="79E118E2"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The National Audiovisual Council applied in 2023 a number of 295 sanctions for the non-compliance of the legislation in the audiovisual field. Of these, 18 were public warnings for the non-compliance of the provisions regarding the obligation of the broadcasters to inform the public about the existence of the phone number "Telverde intended for the victims of domestic violence".</w:t>
      </w:r>
    </w:p>
    <w:p w14:paraId="4B848269" w14:textId="77777777" w:rsidR="00352731" w:rsidRPr="00AB1F43" w:rsidRDefault="00352731" w:rsidP="00352731">
      <w:pPr>
        <w:spacing w:after="120" w:line="276" w:lineRule="auto"/>
        <w:ind w:right="210"/>
        <w:jc w:val="both"/>
        <w:rPr>
          <w:rFonts w:cstheme="minorHAnsi"/>
          <w:noProof/>
          <w:sz w:val="18"/>
          <w:szCs w:val="18"/>
        </w:rPr>
      </w:pPr>
      <w:r w:rsidRPr="00AB1F43">
        <w:rPr>
          <w:rFonts w:cstheme="minorHAnsi"/>
          <w:noProof/>
          <w:sz w:val="18"/>
          <w:szCs w:val="18"/>
        </w:rPr>
        <w:t>We also inform you that our institution started an internal procedure for the amendment and modification of the secondary legislation, respectively the NAC Decision nᵒ 220/2011 regarding the Regulatory Code of the Audiovisual Content, with subsequent amendments and modifications, that will be subject to a future public consultation.</w:t>
      </w:r>
    </w:p>
    <w:p w14:paraId="408423E6" w14:textId="775D09A6" w:rsidR="00986AF7" w:rsidRPr="00AB1F43" w:rsidRDefault="00352731" w:rsidP="00AB1F43">
      <w:pPr>
        <w:spacing w:after="120" w:line="276" w:lineRule="auto"/>
        <w:ind w:right="210"/>
        <w:jc w:val="both"/>
        <w:rPr>
          <w:rFonts w:cstheme="minorHAnsi"/>
          <w:noProof/>
          <w:sz w:val="18"/>
          <w:szCs w:val="18"/>
        </w:rPr>
      </w:pPr>
      <w:r w:rsidRPr="00AB1F43">
        <w:rPr>
          <w:rFonts w:cstheme="minorHAnsi"/>
          <w:noProof/>
          <w:sz w:val="18"/>
          <w:szCs w:val="18"/>
        </w:rPr>
        <w:t>The issue of the domestic violence in the audiovisual programmes is a priority in the activity of the National Audiovisual Council and represents a major interest in the audiovisual space, as well.</w:t>
      </w:r>
    </w:p>
    <w:p w14:paraId="6E43F71F" w14:textId="568F7770" w:rsidR="00C3033E" w:rsidRPr="00AB1F43" w:rsidRDefault="00CB1379" w:rsidP="00AB1F43">
      <w:pPr>
        <w:pStyle w:val="ListParagraph"/>
        <w:numPr>
          <w:ilvl w:val="0"/>
          <w:numId w:val="1"/>
        </w:numPr>
        <w:ind w:left="720"/>
        <w:rPr>
          <w:rFonts w:cstheme="minorHAnsi"/>
          <w:b/>
          <w:bCs/>
          <w:sz w:val="18"/>
          <w:szCs w:val="18"/>
        </w:rPr>
      </w:pPr>
      <w:bookmarkStart w:id="12" w:name="_Hlk181693345"/>
      <w:r w:rsidRPr="00AB1F43">
        <w:rPr>
          <w:rFonts w:cstheme="minorHAnsi"/>
          <w:b/>
          <w:bCs/>
          <w:sz w:val="18"/>
          <w:szCs w:val="18"/>
        </w:rPr>
        <w:t>Public Ministry</w:t>
      </w:r>
    </w:p>
    <w:bookmarkEnd w:id="12"/>
    <w:p w14:paraId="0FBC4CEC" w14:textId="32E4CCB1" w:rsidR="00C3033E" w:rsidRPr="00AB1F43" w:rsidRDefault="00C3033E" w:rsidP="00C3033E">
      <w:pPr>
        <w:jc w:val="both"/>
        <w:rPr>
          <w:rFonts w:cstheme="minorHAnsi"/>
          <w:b/>
          <w:bCs/>
          <w:sz w:val="18"/>
          <w:szCs w:val="18"/>
        </w:rPr>
      </w:pPr>
      <w:r w:rsidRPr="00AB1F43">
        <w:rPr>
          <w:rFonts w:cstheme="minorHAnsi"/>
          <w:b/>
          <w:bCs/>
          <w:sz w:val="18"/>
          <w:szCs w:val="18"/>
        </w:rPr>
        <w:t>Harmful practices</w:t>
      </w:r>
    </w:p>
    <w:p w14:paraId="074D8040" w14:textId="45DFB9B9" w:rsidR="00C3033E" w:rsidRPr="00AB1F43" w:rsidRDefault="00C3033E" w:rsidP="00C3033E">
      <w:pPr>
        <w:jc w:val="both"/>
        <w:rPr>
          <w:rFonts w:cstheme="minorHAnsi"/>
          <w:b/>
          <w:bCs/>
          <w:sz w:val="18"/>
          <w:szCs w:val="18"/>
        </w:rPr>
      </w:pPr>
      <w:r w:rsidRPr="00AB1F43">
        <w:rPr>
          <w:rFonts w:cstheme="minorHAnsi"/>
          <w:b/>
          <w:bCs/>
          <w:sz w:val="18"/>
          <w:szCs w:val="18"/>
        </w:rPr>
        <w:t>9.</w:t>
      </w:r>
      <w:r w:rsidRPr="00AB1F43">
        <w:rPr>
          <w:rFonts w:cstheme="minorHAnsi"/>
          <w:b/>
          <w:bCs/>
          <w:sz w:val="18"/>
          <w:szCs w:val="18"/>
        </w:rPr>
        <w:tab/>
        <w:t>In the light of the Committee’s previous recommendations (para. 17), please indicate whether a study has been carried out on the scale and consequences of forced marriage, early marriage and child marriage. Please describe what steps have been taken, including awareness-raising activities on the negative impact of such marriages on girls, to prevent such forms of marriage, in line with joint general recommendation No. 31 of the Committee on the Elimination of Discrimination against Women/general comment No. 18 of the Committee on the Rights of the Child (2019) on harmful practices. Please also indicate what steps have been taken to amend legislation to remove exceptions allowing marriage under the age of 18 years and to prosecute and adequately punish the perpetrators.</w:t>
      </w:r>
    </w:p>
    <w:p w14:paraId="41959ACE" w14:textId="77777777" w:rsidR="00C3033E" w:rsidRPr="00AB1F43" w:rsidRDefault="00C3033E" w:rsidP="00C3033E">
      <w:pPr>
        <w:jc w:val="both"/>
        <w:rPr>
          <w:rFonts w:cstheme="minorHAnsi"/>
          <w:sz w:val="18"/>
          <w:szCs w:val="18"/>
        </w:rPr>
      </w:pPr>
      <w:r w:rsidRPr="00AB1F43">
        <w:rPr>
          <w:rFonts w:cstheme="minorHAnsi"/>
          <w:sz w:val="18"/>
          <w:szCs w:val="18"/>
        </w:rPr>
        <w:t>With regard to the situation of children in situations of family abuse, including as victims of domestic violence aimed at forced marriage, the provisions of Article 41 of Law no. 272/2004 are detailed in the annex of the report within the contribution of the Public Ministry.</w:t>
      </w:r>
    </w:p>
    <w:p w14:paraId="2360A31C" w14:textId="77777777" w:rsidR="00C3033E" w:rsidRPr="00AB1F43" w:rsidRDefault="00C3033E" w:rsidP="00C3033E">
      <w:pPr>
        <w:jc w:val="both"/>
        <w:rPr>
          <w:rFonts w:cstheme="minorHAnsi"/>
          <w:sz w:val="18"/>
          <w:szCs w:val="18"/>
        </w:rPr>
      </w:pPr>
      <w:r w:rsidRPr="00AB1F43">
        <w:rPr>
          <w:rFonts w:cstheme="minorHAnsi"/>
          <w:sz w:val="18"/>
          <w:szCs w:val="18"/>
        </w:rPr>
        <w:t>"(1) If there are reasonable grounds to suspect that the life and security of the child are endangered in the family, representatives of the public social assistance service or, where appropriate, of the General Directorate for Social Assistance and Child Protection at the level of the districts of the municipality of Bucharest shall have the right to visit the children at their place of residence and to inquire about the way in which they are cared for, their health and physical development, their education, schooling and professional training, providing, if necessary, the necessary guidance.</w:t>
      </w:r>
    </w:p>
    <w:p w14:paraId="4D5E2D95" w14:textId="77777777" w:rsidR="00C3033E" w:rsidRPr="00AB1F43" w:rsidRDefault="00C3033E" w:rsidP="00C3033E">
      <w:pPr>
        <w:jc w:val="both"/>
        <w:rPr>
          <w:rFonts w:cstheme="minorHAnsi"/>
          <w:sz w:val="18"/>
          <w:szCs w:val="18"/>
        </w:rPr>
      </w:pPr>
      <w:r w:rsidRPr="00AB1F43">
        <w:rPr>
          <w:rFonts w:cstheme="minorHAnsi"/>
          <w:sz w:val="18"/>
          <w:szCs w:val="18"/>
        </w:rPr>
        <w:t>(2) If, following the visits carried out in accordance with paragraph (1), it is found that the physical, mental, spiritual, moral or social development of the child is endangered, the public social assistance service shall refer the matter to the General Directorate for Social Assistance and Child Protection within 24 hours in order to take the measures provided for by law.</w:t>
      </w:r>
    </w:p>
    <w:p w14:paraId="310780C0" w14:textId="77777777" w:rsidR="00C3033E" w:rsidRPr="00AB1F43" w:rsidRDefault="00C3033E" w:rsidP="00C3033E">
      <w:pPr>
        <w:jc w:val="both"/>
        <w:rPr>
          <w:rFonts w:cstheme="minorHAnsi"/>
          <w:sz w:val="18"/>
          <w:szCs w:val="18"/>
        </w:rPr>
      </w:pPr>
      <w:r w:rsidRPr="00AB1F43">
        <w:rPr>
          <w:rFonts w:cstheme="minorHAnsi"/>
          <w:sz w:val="18"/>
          <w:szCs w:val="18"/>
        </w:rPr>
        <w:t>(3) The General Directorate for Social Assistance and Child Protection shall refer the matter to the Court if it considers that the conditions laid down by law for the total or partial deprivation of parental rights of the parents or of one of them are met".</w:t>
      </w:r>
    </w:p>
    <w:p w14:paraId="07E31481" w14:textId="77777777" w:rsidR="00C3033E" w:rsidRPr="00AB1F43" w:rsidRDefault="00C3033E" w:rsidP="00C3033E">
      <w:pPr>
        <w:jc w:val="both"/>
        <w:rPr>
          <w:rFonts w:cstheme="minorHAnsi"/>
          <w:sz w:val="18"/>
          <w:szCs w:val="18"/>
        </w:rPr>
      </w:pPr>
      <w:r w:rsidRPr="00AB1F43">
        <w:rPr>
          <w:rFonts w:cstheme="minorHAnsi"/>
          <w:sz w:val="18"/>
          <w:szCs w:val="18"/>
        </w:rPr>
        <w:t>Specifically, the provisions of Article 89 of Law no. 272/2004 regulate the situation of children - victims of domestic violence, as follows:</w:t>
      </w:r>
    </w:p>
    <w:p w14:paraId="2D9648AB" w14:textId="77777777" w:rsidR="00C3033E" w:rsidRPr="00AB1F43" w:rsidRDefault="00C3033E" w:rsidP="00C3033E">
      <w:pPr>
        <w:jc w:val="both"/>
        <w:rPr>
          <w:rFonts w:cstheme="minorHAnsi"/>
          <w:sz w:val="18"/>
          <w:szCs w:val="18"/>
        </w:rPr>
      </w:pPr>
      <w:r w:rsidRPr="00AB1F43">
        <w:rPr>
          <w:rFonts w:cstheme="minorHAnsi"/>
          <w:sz w:val="18"/>
          <w:szCs w:val="18"/>
        </w:rPr>
        <w:lastRenderedPageBreak/>
        <w:t>"(1) The child has the right to be protected against abuse, neglect, exploitation, trafficking, illegal migration, abduction, violence, internet pornography, and any form of violence, regardless of the environment in which he/she finds him/herself: family, educational, medical and protection institutions, crime investigation and rehabilitation/detention environments, internet, media, workplaces, sports environments, community, etc.</w:t>
      </w:r>
    </w:p>
    <w:p w14:paraId="796E9D9C" w14:textId="77777777" w:rsidR="00C3033E" w:rsidRPr="00AB1F43" w:rsidRDefault="00C3033E" w:rsidP="00C3033E">
      <w:pPr>
        <w:jc w:val="both"/>
        <w:rPr>
          <w:rFonts w:cstheme="minorHAnsi"/>
          <w:sz w:val="18"/>
          <w:szCs w:val="18"/>
        </w:rPr>
      </w:pPr>
      <w:r w:rsidRPr="00AB1F43">
        <w:rPr>
          <w:rFonts w:cstheme="minorHAnsi"/>
          <w:sz w:val="18"/>
          <w:szCs w:val="18"/>
        </w:rPr>
        <w:t>(2) Any natural or legal person, as well as the child, may refer the matter to the General Directorate for Social Assistance and Child Protection of the county/district of residence to take appropriate measures to protect the child against any form of violence, including sexual violence, physical or mental injury or abuse, maltreatment or exploitation, abandonment or neglect.</w:t>
      </w:r>
    </w:p>
    <w:p w14:paraId="23A1738B" w14:textId="77777777" w:rsidR="00C3033E" w:rsidRPr="00AB1F43" w:rsidRDefault="00C3033E" w:rsidP="00C3033E">
      <w:pPr>
        <w:jc w:val="both"/>
        <w:rPr>
          <w:rFonts w:cstheme="minorHAnsi"/>
          <w:sz w:val="18"/>
          <w:szCs w:val="18"/>
        </w:rPr>
      </w:pPr>
      <w:r w:rsidRPr="00AB1F43">
        <w:rPr>
          <w:rFonts w:cstheme="minorHAnsi"/>
          <w:sz w:val="18"/>
          <w:szCs w:val="18"/>
        </w:rPr>
        <w:t>(3) Employees of public or private institutions who, by the nature of their profession, come into contact with the child and suspect a possible case of abuse, neglect or maltreatment shall report it immediately to the General Directorate for Social Assistance and Child Protection".</w:t>
      </w:r>
    </w:p>
    <w:p w14:paraId="03DA575E" w14:textId="77777777" w:rsidR="00C3033E" w:rsidRPr="00AB1F43" w:rsidRDefault="00C3033E" w:rsidP="00C3033E">
      <w:pPr>
        <w:jc w:val="both"/>
        <w:rPr>
          <w:rFonts w:cstheme="minorHAnsi"/>
          <w:sz w:val="18"/>
          <w:szCs w:val="18"/>
        </w:rPr>
      </w:pPr>
      <w:r w:rsidRPr="00AB1F43">
        <w:rPr>
          <w:rFonts w:cstheme="minorHAnsi"/>
          <w:sz w:val="18"/>
          <w:szCs w:val="18"/>
        </w:rPr>
        <w:t>The provisions of Article 89(3) of Law no. 272/2004 are in line with the provisions of Article 50 (former Article 35) of Law no. 217/2003 on preventing and combating domestic violence, regarding the obligation of the Court ordering the issuance of the protection order to immediately refer the matter to the local public authority in charge of child protection, if it establishes the existence of a situation requiring the enforcement of a special protection measure for the child.</w:t>
      </w:r>
    </w:p>
    <w:p w14:paraId="65281F84" w14:textId="6A5669A4" w:rsidR="00C3033E" w:rsidRPr="00AB1F43" w:rsidRDefault="00C3033E" w:rsidP="00C3033E">
      <w:pPr>
        <w:jc w:val="both"/>
        <w:rPr>
          <w:rFonts w:cstheme="minorHAnsi"/>
          <w:sz w:val="18"/>
          <w:szCs w:val="18"/>
        </w:rPr>
      </w:pPr>
      <w:r w:rsidRPr="00AB1F43">
        <w:rPr>
          <w:rFonts w:cstheme="minorHAnsi"/>
          <w:sz w:val="18"/>
          <w:szCs w:val="18"/>
        </w:rPr>
        <w:t xml:space="preserve">As regards special child protection measures, according to Article 59 of Law no. 272/2004, these include placement, emergency placement and </w:t>
      </w:r>
      <w:proofErr w:type="spellStart"/>
      <w:r w:rsidRPr="00AB1F43">
        <w:rPr>
          <w:rFonts w:cstheme="minorHAnsi"/>
          <w:sz w:val="18"/>
          <w:szCs w:val="18"/>
        </w:rPr>
        <w:t>specialised</w:t>
      </w:r>
      <w:proofErr w:type="spellEnd"/>
      <w:r w:rsidRPr="00AB1F43">
        <w:rPr>
          <w:rFonts w:cstheme="minorHAnsi"/>
          <w:sz w:val="18"/>
          <w:szCs w:val="18"/>
        </w:rPr>
        <w:t xml:space="preserve"> supervision, and the abused child (including as a result of domestic violence) is included among those benefiting from these special protection measures (Article 60(c) of the same law).</w:t>
      </w:r>
    </w:p>
    <w:p w14:paraId="44F9FD1D" w14:textId="381F644A" w:rsidR="00CB1379" w:rsidRPr="00AB1F43" w:rsidRDefault="00CB1379" w:rsidP="00CB1379">
      <w:pPr>
        <w:rPr>
          <w:rFonts w:cstheme="minorHAnsi"/>
          <w:b/>
          <w:bCs/>
          <w:sz w:val="18"/>
          <w:szCs w:val="18"/>
        </w:rPr>
      </w:pPr>
      <w:r w:rsidRPr="00AB1F43">
        <w:rPr>
          <w:rFonts w:cstheme="minorHAnsi"/>
          <w:b/>
          <w:bCs/>
          <w:sz w:val="18"/>
          <w:szCs w:val="18"/>
        </w:rPr>
        <w:t>Gender-based violence against women</w:t>
      </w:r>
      <w:r w:rsidR="00986AF7" w:rsidRPr="00AB1F43">
        <w:rPr>
          <w:rFonts w:cstheme="minorHAnsi"/>
          <w:b/>
          <w:bCs/>
          <w:sz w:val="18"/>
          <w:szCs w:val="18"/>
        </w:rPr>
        <w:t xml:space="preserve"> </w:t>
      </w:r>
    </w:p>
    <w:p w14:paraId="705431FC" w14:textId="50735CCF" w:rsidR="00CB1379" w:rsidRPr="00AB1F43" w:rsidRDefault="00CB1379" w:rsidP="00986AF7">
      <w:pPr>
        <w:jc w:val="both"/>
        <w:rPr>
          <w:rFonts w:cstheme="minorHAnsi"/>
          <w:sz w:val="18"/>
          <w:szCs w:val="18"/>
        </w:rPr>
      </w:pPr>
      <w:r w:rsidRPr="00AB1F43">
        <w:rPr>
          <w:rFonts w:cstheme="minorHAnsi"/>
          <w:sz w:val="18"/>
          <w:szCs w:val="18"/>
        </w:rPr>
        <w:t>10. In the light of the Committee’s previous recommendations (para. 19), please provide disaggregated data on cases of gender-based violence and discrimination against women brought before the courts and on the number of protection orders accorded. Please also indicate what steps have been taken by the State party to:</w:t>
      </w:r>
    </w:p>
    <w:p w14:paraId="6AEF8C35" w14:textId="757DDCFA" w:rsidR="00CB1379" w:rsidRPr="00AB1F43" w:rsidRDefault="00CB1379" w:rsidP="00986AF7">
      <w:pPr>
        <w:jc w:val="both"/>
        <w:rPr>
          <w:rFonts w:cstheme="minorHAnsi"/>
          <w:sz w:val="18"/>
          <w:szCs w:val="18"/>
        </w:rPr>
      </w:pPr>
      <w:r w:rsidRPr="00AB1F43">
        <w:rPr>
          <w:rFonts w:cstheme="minorHAnsi"/>
          <w:sz w:val="18"/>
          <w:szCs w:val="18"/>
        </w:rPr>
        <w:t>The legal basis for collecting and centralizing statistical data at the level of the Public Ministry is the Decision of the Plenum of the Superior Council of Magistracy no. 69/2014 approving the statistical forms, the guidelines for their completion and the archival nomenclature for criminal cases at prosecutor's offices.</w:t>
      </w:r>
    </w:p>
    <w:p w14:paraId="02E2CE49" w14:textId="3DF4C55A" w:rsidR="00CB1379" w:rsidRPr="00AB1F43" w:rsidRDefault="00CB1379" w:rsidP="00986AF7">
      <w:pPr>
        <w:jc w:val="both"/>
        <w:rPr>
          <w:rFonts w:cstheme="minorHAnsi"/>
          <w:sz w:val="18"/>
          <w:szCs w:val="18"/>
        </w:rPr>
      </w:pPr>
      <w:r w:rsidRPr="00AB1F43">
        <w:rPr>
          <w:rFonts w:cstheme="minorHAnsi"/>
          <w:sz w:val="18"/>
          <w:szCs w:val="18"/>
        </w:rPr>
        <w:t xml:space="preserve">a) With regard to statistical data on hate crimes and discrimination, the Order of the Prosecutor General of the Prosecutor's Office attached to the High Court of Cassation and Justice no. 298/2017 amended Order no. 213/2014 on the </w:t>
      </w:r>
      <w:r w:rsidR="00986AF7" w:rsidRPr="00AB1F43">
        <w:rPr>
          <w:rFonts w:cstheme="minorHAnsi"/>
          <w:sz w:val="18"/>
          <w:szCs w:val="18"/>
        </w:rPr>
        <w:t>organization</w:t>
      </w:r>
      <w:r w:rsidRPr="00AB1F43">
        <w:rPr>
          <w:rFonts w:cstheme="minorHAnsi"/>
          <w:sz w:val="18"/>
          <w:szCs w:val="18"/>
        </w:rPr>
        <w:t xml:space="preserve"> and functioning of the information system of the Public Ministry and thus introduced two new statistical forms (Annexes 19 and 20) which, as of 2018, collect additional data on hate crimes. More details can be found in the Annex of the report. </w:t>
      </w:r>
    </w:p>
    <w:p w14:paraId="521071E7" w14:textId="77777777" w:rsidR="00CB1379" w:rsidRPr="00AB1F43" w:rsidRDefault="00CB1379" w:rsidP="00986AF7">
      <w:pPr>
        <w:jc w:val="both"/>
        <w:rPr>
          <w:rFonts w:cstheme="minorHAnsi"/>
          <w:sz w:val="18"/>
          <w:szCs w:val="18"/>
        </w:rPr>
      </w:pPr>
      <w:r w:rsidRPr="00AB1F43">
        <w:rPr>
          <w:rFonts w:cstheme="minorHAnsi"/>
          <w:sz w:val="18"/>
          <w:szCs w:val="18"/>
        </w:rPr>
        <w:t xml:space="preserve"> Through Annex 19 to Order no. 298/2017, entitled "Statistical situation on hate crimes - to which the aggravating circumstance provided for in Article 77(h) of the Criminal Code has been applied or to which the element of hatred is part of the constitutive content of the offence (Article 369 of the Criminal Code, Article 297(2) of the Criminal Code, etc. )" statistical data are collected on: cases existing at the beginning of the reporting period, cases entered throughout the reporting period, total cases to be solved, total cases solved, number of cases solved by committal (indictments and plea agreements), number of cases solved by discontinuation of prosecution, number of cases solved by dismissal, number of defendants, natural and legal persons, brought to trial with indication of the ground per number of defendants, number of suspects/defendants, natural and legal persons, against whom the prosecution was discontinued with indication of the ground per number of suspects/defendants, number of suspects/defendants, natural and legal persons, against whom the prosecution was dismissed with indication of the ground per number of suspects/defendants, and the number of cases remaining unsolved at the end of the period (including cases involving unidentified perpetrators).</w:t>
      </w:r>
    </w:p>
    <w:p w14:paraId="5BEE8B47" w14:textId="4B6C164E" w:rsidR="00CB1379" w:rsidRPr="00AB1F43" w:rsidRDefault="00CB1379" w:rsidP="00986AF7">
      <w:pPr>
        <w:jc w:val="both"/>
        <w:rPr>
          <w:rFonts w:cstheme="minorHAnsi"/>
          <w:sz w:val="18"/>
          <w:szCs w:val="18"/>
        </w:rPr>
      </w:pPr>
      <w:r w:rsidRPr="00AB1F43">
        <w:rPr>
          <w:rFonts w:cstheme="minorHAnsi"/>
          <w:sz w:val="18"/>
          <w:szCs w:val="18"/>
        </w:rPr>
        <w:t xml:space="preserve">Through Annex 20 to Order no. 298/2017, entitled "Statistical situation on the offences referred to in GEO no. 31/2002", statistical data, itemized with respect to Articles 3, 4, 5, 6 and 61, are collected on: cases existing at the beginning of the period, cases entered during the period, total cases to be solved, total cases solved, number of cases solved by committal (indictments and plea agreements), number of cases solved by discontinuation of prosecution, number of cases solved by dismissal, number of defendants, natural and legal persons, brought to trial with indication of the ground per number of defendants, number of suspects/defendants, natural and legal persons, against whom the prosecution was discontinued with indication of the ground per number of suspects/defendants, number of suspects/defendants, natural and legal persons, against whom the prosecution </w:t>
      </w:r>
      <w:r w:rsidRPr="00AB1F43">
        <w:rPr>
          <w:rFonts w:cstheme="minorHAnsi"/>
          <w:sz w:val="18"/>
          <w:szCs w:val="18"/>
        </w:rPr>
        <w:lastRenderedPageBreak/>
        <w:t>was dismissed with indication of the ground per number of suspects/defendants, and the number of cases remaining unsolved at the end of the period (including cases involving unidentified perpetrators).</w:t>
      </w:r>
    </w:p>
    <w:p w14:paraId="696203E6" w14:textId="32558199" w:rsidR="00CB1379" w:rsidRPr="00AB1F43" w:rsidRDefault="00CB1379" w:rsidP="00986AF7">
      <w:pPr>
        <w:jc w:val="both"/>
        <w:rPr>
          <w:rFonts w:cstheme="minorHAnsi"/>
          <w:sz w:val="18"/>
          <w:szCs w:val="18"/>
        </w:rPr>
      </w:pPr>
      <w:r w:rsidRPr="00AB1F43">
        <w:rPr>
          <w:rFonts w:cstheme="minorHAnsi"/>
          <w:sz w:val="18"/>
          <w:szCs w:val="18"/>
        </w:rPr>
        <w:t xml:space="preserve">Also, the Public Ministry uses statistical forms to collect and </w:t>
      </w:r>
      <w:r w:rsidR="00986AF7" w:rsidRPr="00AB1F43">
        <w:rPr>
          <w:rFonts w:cstheme="minorHAnsi"/>
          <w:sz w:val="18"/>
          <w:szCs w:val="18"/>
        </w:rPr>
        <w:t>centralize</w:t>
      </w:r>
      <w:r w:rsidRPr="00AB1F43">
        <w:rPr>
          <w:rFonts w:cstheme="minorHAnsi"/>
          <w:sz w:val="18"/>
          <w:szCs w:val="18"/>
        </w:rPr>
        <w:t xml:space="preserve"> statistical data on the offence of incitement to hatred, violence and discrimination, provided for in Article 369 of the Criminal Code, but the data collected are not disaggregated by discrimination criteria.</w:t>
      </w:r>
    </w:p>
    <w:p w14:paraId="703C77FA" w14:textId="77777777" w:rsidR="00CB1379" w:rsidRPr="00AB1F43" w:rsidRDefault="00CB1379" w:rsidP="00986AF7">
      <w:pPr>
        <w:jc w:val="both"/>
        <w:rPr>
          <w:rFonts w:cstheme="minorHAnsi"/>
          <w:sz w:val="18"/>
          <w:szCs w:val="18"/>
        </w:rPr>
      </w:pPr>
      <w:r w:rsidRPr="00AB1F43">
        <w:rPr>
          <w:rFonts w:cstheme="minorHAnsi"/>
          <w:sz w:val="18"/>
          <w:szCs w:val="18"/>
        </w:rPr>
        <w:t>Detailed statistical indicators on hate crimes and discrimination are to be introduced in the new statistical reports to be generated from ECRIS V through a project managed by the Ministry of Justice entitled "Development and implementation of an integrated strategic management system for the judiciary-SIMS"-SIPOCA 55, in which the Public Ministry – the Prosecutor's Office attached to the High Court of Cassation and Justice is a beneficiary.</w:t>
      </w:r>
    </w:p>
    <w:p w14:paraId="5AD3A176" w14:textId="245613E6" w:rsidR="00CB1379" w:rsidRPr="00AB1F43" w:rsidRDefault="00CB1379" w:rsidP="00986AF7">
      <w:pPr>
        <w:jc w:val="both"/>
        <w:rPr>
          <w:rFonts w:cstheme="minorHAnsi"/>
          <w:sz w:val="18"/>
          <w:szCs w:val="18"/>
        </w:rPr>
      </w:pPr>
      <w:r w:rsidRPr="00AB1F43">
        <w:rPr>
          <w:rFonts w:cstheme="minorHAnsi"/>
          <w:sz w:val="18"/>
          <w:szCs w:val="18"/>
        </w:rPr>
        <w:t xml:space="preserve">b) Statistical data for victims of domestic violence are available on the website of the Public Ministry at </w:t>
      </w:r>
      <w:hyperlink r:id="rId6" w:history="1">
        <w:r w:rsidR="00986AF7" w:rsidRPr="00AB1F43">
          <w:rPr>
            <w:rStyle w:val="Hyperlink"/>
            <w:rFonts w:cstheme="minorHAnsi"/>
            <w:sz w:val="18"/>
            <w:szCs w:val="18"/>
          </w:rPr>
          <w:t>https://www.mpublic.ro/ro/content/date-statistice-privind-victimele-violen%C8%9Bei-%C3%AEn-familie</w:t>
        </w:r>
      </w:hyperlink>
      <w:r w:rsidR="00986AF7" w:rsidRPr="00AB1F43">
        <w:rPr>
          <w:rFonts w:cstheme="minorHAnsi"/>
          <w:sz w:val="18"/>
          <w:szCs w:val="18"/>
        </w:rPr>
        <w:t xml:space="preserve"> </w:t>
      </w:r>
      <w:r w:rsidRPr="00AB1F43">
        <w:rPr>
          <w:rFonts w:cstheme="minorHAnsi"/>
          <w:sz w:val="18"/>
          <w:szCs w:val="18"/>
        </w:rPr>
        <w:t xml:space="preserve"> </w:t>
      </w:r>
    </w:p>
    <w:p w14:paraId="03E61E96" w14:textId="77777777" w:rsidR="00CB1379" w:rsidRPr="00AB1F43" w:rsidRDefault="00CB1379" w:rsidP="00986AF7">
      <w:pPr>
        <w:jc w:val="both"/>
        <w:rPr>
          <w:rFonts w:cstheme="minorHAnsi"/>
          <w:sz w:val="18"/>
          <w:szCs w:val="18"/>
        </w:rPr>
      </w:pPr>
      <w:r w:rsidRPr="00AB1F43">
        <w:rPr>
          <w:rFonts w:cstheme="minorHAnsi"/>
          <w:sz w:val="18"/>
          <w:szCs w:val="18"/>
        </w:rPr>
        <w:t>In the statistical forms in use by the Public Ministry, approved by the Decision of the Plenum of the Superior Council of Magistracy no. 69/2014, there is no statistical indicator on the number of women victims of domestic violence offences committed in the period 2017 - 2023, but only on the number of defendants, natural persons, sent to court (through indictments and plea agreements) for domestic violence, the number of victims of domestic violence and the relationship between defendants and victims (parents, grandparents, spouses, son/daughter of whom minors, brothers/sisters of whom minors, other relatives up to the fourth degree of whom minors, father/mother-in-law, son/daughter-in-law and cohabiting partners).</w:t>
      </w:r>
    </w:p>
    <w:p w14:paraId="2E30177E" w14:textId="77777777" w:rsidR="00CB1379" w:rsidRPr="00AB1F43" w:rsidRDefault="00CB1379" w:rsidP="00986AF7">
      <w:pPr>
        <w:jc w:val="both"/>
        <w:rPr>
          <w:rFonts w:cstheme="minorHAnsi"/>
          <w:sz w:val="18"/>
          <w:szCs w:val="18"/>
        </w:rPr>
      </w:pPr>
      <w:r w:rsidRPr="00AB1F43">
        <w:rPr>
          <w:rFonts w:cstheme="minorHAnsi"/>
          <w:sz w:val="18"/>
          <w:szCs w:val="18"/>
        </w:rPr>
        <w:t>Consequently, the statistics in the Excel file (annexed to the note) on the number of women victims of offences only cover cases that have been settled by committal (indictments and plea agreements).</w:t>
      </w:r>
    </w:p>
    <w:p w14:paraId="0601FCB1" w14:textId="77777777" w:rsidR="00CB1379" w:rsidRPr="00AB1F43" w:rsidRDefault="00CB1379" w:rsidP="00986AF7">
      <w:pPr>
        <w:jc w:val="both"/>
        <w:rPr>
          <w:rFonts w:cstheme="minorHAnsi"/>
          <w:sz w:val="18"/>
          <w:szCs w:val="18"/>
        </w:rPr>
      </w:pPr>
      <w:r w:rsidRPr="00AB1F43">
        <w:rPr>
          <w:rFonts w:cstheme="minorHAnsi"/>
          <w:sz w:val="18"/>
          <w:szCs w:val="18"/>
        </w:rPr>
        <w:t xml:space="preserve">The collection of statistical data in the above sense, as well as on other statistical indicators (number of cases to be solved, number of cases solved, types of solutions, persons investigated and number of cases pending at the end of the period) will be operational through the implementation of the ECRIS V </w:t>
      </w:r>
      <w:proofErr w:type="spellStart"/>
      <w:r w:rsidRPr="00AB1F43">
        <w:rPr>
          <w:rFonts w:cstheme="minorHAnsi"/>
          <w:sz w:val="18"/>
          <w:szCs w:val="18"/>
        </w:rPr>
        <w:t>Programme</w:t>
      </w:r>
      <w:proofErr w:type="spellEnd"/>
      <w:r w:rsidRPr="00AB1F43">
        <w:rPr>
          <w:rFonts w:cstheme="minorHAnsi"/>
          <w:sz w:val="18"/>
          <w:szCs w:val="18"/>
        </w:rPr>
        <w:t xml:space="preserve"> developed within the project managed by the Ministry of Justice entitled "Support for the development of the ECRIS V electronic case management system" (project code SIPOCA 871/ SMIS 142520), in which the Public Ministry – the Prosecutor's Office attached to the High Court of Cassation and Justice is a beneficiary and which is aimed, among its objectives, at the interconnection with the databases of the courts.</w:t>
      </w:r>
    </w:p>
    <w:p w14:paraId="1547C375" w14:textId="5A83F869" w:rsidR="00CB1379" w:rsidRPr="00AB1F43" w:rsidRDefault="00CB1379" w:rsidP="00986AF7">
      <w:pPr>
        <w:jc w:val="both"/>
        <w:rPr>
          <w:rFonts w:cstheme="minorHAnsi"/>
          <w:sz w:val="18"/>
          <w:szCs w:val="18"/>
        </w:rPr>
      </w:pPr>
      <w:r w:rsidRPr="00AB1F43">
        <w:rPr>
          <w:rFonts w:cstheme="minorHAnsi"/>
          <w:sz w:val="18"/>
          <w:szCs w:val="18"/>
        </w:rPr>
        <w:t xml:space="preserve">c) Regarding the statistical data on protection orders and provisional protection orders, Order no. 20 of 29 January 2020 of the Prosecutor General of the Prosecutor's Office attached to the High Court of Cassation and Justice, amending and supplementing Order no. 213/2014 of 15 July 2014 on the </w:t>
      </w:r>
      <w:r w:rsidR="00986AF7" w:rsidRPr="00AB1F43">
        <w:rPr>
          <w:rFonts w:cstheme="minorHAnsi"/>
          <w:sz w:val="18"/>
          <w:szCs w:val="18"/>
        </w:rPr>
        <w:t>organization</w:t>
      </w:r>
      <w:r w:rsidRPr="00AB1F43">
        <w:rPr>
          <w:rFonts w:cstheme="minorHAnsi"/>
          <w:sz w:val="18"/>
          <w:szCs w:val="18"/>
        </w:rPr>
        <w:t xml:space="preserve"> and functioning of the information system of the Public Ministry introduced Annex no. 21, entitled "Statistical situation of provisional protection orders submitted by police bodies for confirmation pursuant to Article 227(1) of Law no. 217/2003 on preventing and combating domestic violence" (now Article 34(1), after renumbering).</w:t>
      </w:r>
    </w:p>
    <w:p w14:paraId="7D2218F8" w14:textId="77777777" w:rsidR="00CB1379" w:rsidRPr="00AB1F43" w:rsidRDefault="00CB1379" w:rsidP="00986AF7">
      <w:pPr>
        <w:jc w:val="both"/>
        <w:rPr>
          <w:rFonts w:cstheme="minorHAnsi"/>
          <w:sz w:val="18"/>
          <w:szCs w:val="18"/>
        </w:rPr>
      </w:pPr>
      <w:r w:rsidRPr="00AB1F43">
        <w:rPr>
          <w:rFonts w:cstheme="minorHAnsi"/>
          <w:sz w:val="18"/>
          <w:szCs w:val="18"/>
        </w:rPr>
        <w:t>Thus, starting with 2020, statistical data on provisional protection orders (PPOs) will be collected on a half-yearly and annual basis, covering the main indicators: the number of PPOs submitted by the police for confirmation to the prosecutor's office attached to the competent court of first instance in whose territorial area they were issued; the prosecutor's decision confirming or rejecting the PPO received from the police; the decision of the courts on the PPO confirmed by the prosecutor and immediately forwarded for the issuance of the final protection order (admission and issuance of the protection order, rejection or acknowledgement of the withdrawal of the request of the victim for the issuance of the protection order).</w:t>
      </w:r>
    </w:p>
    <w:p w14:paraId="5B5EF6A9" w14:textId="47482E93" w:rsidR="00986AF7" w:rsidRPr="00AB1F43" w:rsidRDefault="00CB1379" w:rsidP="00AB1F43">
      <w:pPr>
        <w:rPr>
          <w:rFonts w:cstheme="minorHAnsi"/>
          <w:sz w:val="18"/>
          <w:szCs w:val="18"/>
        </w:rPr>
      </w:pPr>
      <w:r w:rsidRPr="00AB1F43">
        <w:rPr>
          <w:rFonts w:cstheme="minorHAnsi"/>
          <w:sz w:val="18"/>
          <w:szCs w:val="18"/>
        </w:rPr>
        <w:t>For all these statistical indicators, the number of perpetrators and the number of victims, broken down by gender (male/female) and the minority status of the victims, if applicable, are highlighted.</w:t>
      </w:r>
    </w:p>
    <w:p w14:paraId="7EE6CD28" w14:textId="28DDADBD" w:rsidR="00167206" w:rsidRPr="00AB1F43" w:rsidRDefault="00167206" w:rsidP="00986AF7">
      <w:pPr>
        <w:jc w:val="both"/>
        <w:rPr>
          <w:rFonts w:cstheme="minorHAnsi"/>
          <w:b/>
          <w:bCs/>
          <w:sz w:val="18"/>
          <w:szCs w:val="18"/>
        </w:rPr>
      </w:pPr>
      <w:r w:rsidRPr="00AB1F43">
        <w:rPr>
          <w:rFonts w:cstheme="minorHAnsi"/>
          <w:b/>
          <w:bCs/>
          <w:sz w:val="18"/>
          <w:szCs w:val="18"/>
        </w:rPr>
        <w:t>Gender-based violence against women</w:t>
      </w:r>
    </w:p>
    <w:p w14:paraId="2F93621C" w14:textId="77597E40" w:rsidR="00167206" w:rsidRPr="00AB1F43" w:rsidRDefault="00167206" w:rsidP="00986AF7">
      <w:pPr>
        <w:jc w:val="both"/>
        <w:rPr>
          <w:rFonts w:cstheme="minorHAnsi"/>
          <w:b/>
          <w:bCs/>
          <w:sz w:val="18"/>
          <w:szCs w:val="18"/>
        </w:rPr>
      </w:pPr>
      <w:r w:rsidRPr="00AB1F43">
        <w:rPr>
          <w:rFonts w:cstheme="minorHAnsi"/>
          <w:b/>
          <w:bCs/>
          <w:sz w:val="18"/>
          <w:szCs w:val="18"/>
        </w:rPr>
        <w:t>10.</w:t>
      </w:r>
      <w:r w:rsidRPr="00AB1F43">
        <w:rPr>
          <w:rFonts w:cstheme="minorHAnsi"/>
          <w:b/>
          <w:bCs/>
          <w:sz w:val="18"/>
          <w:szCs w:val="18"/>
        </w:rPr>
        <w:tab/>
        <w:t>In the light of the Committee’s previous recommendations (para. 19), please provide disaggregated data on cases of gender-based violence and discrimination against women brought before the courts and on the number of protection orders accorded. Please also indicate what steps have been taken by the State party to:</w:t>
      </w:r>
    </w:p>
    <w:p w14:paraId="17CC9999" w14:textId="1F2D517C" w:rsidR="00770D7B" w:rsidRPr="00AB1F43" w:rsidRDefault="00770D7B" w:rsidP="00986AF7">
      <w:pPr>
        <w:jc w:val="both"/>
        <w:rPr>
          <w:rFonts w:cstheme="minorHAnsi"/>
          <w:sz w:val="18"/>
          <w:szCs w:val="18"/>
        </w:rPr>
      </w:pPr>
      <w:r w:rsidRPr="00AB1F43">
        <w:rPr>
          <w:rFonts w:cstheme="minorHAnsi"/>
          <w:sz w:val="18"/>
          <w:szCs w:val="18"/>
        </w:rPr>
        <w:t>(d)</w:t>
      </w:r>
      <w:r w:rsidRPr="00AB1F43">
        <w:rPr>
          <w:rFonts w:cstheme="minorHAnsi"/>
          <w:sz w:val="18"/>
          <w:szCs w:val="18"/>
        </w:rPr>
        <w:tab/>
        <w:t>Implement police initiatives to prevent the withdrawal of complaints by victims, introduce ex officio prosecution for offences of gender-based violence against women and ensure that cases of gender-based violence against women, including domestic violence, are never addressed under mediation procedures;</w:t>
      </w:r>
    </w:p>
    <w:p w14:paraId="2B08E72C" w14:textId="467F2C20" w:rsidR="00167206" w:rsidRPr="00AB1F43" w:rsidRDefault="00167206" w:rsidP="00986AF7">
      <w:pPr>
        <w:jc w:val="both"/>
        <w:rPr>
          <w:rFonts w:cstheme="minorHAnsi"/>
          <w:sz w:val="18"/>
          <w:szCs w:val="18"/>
        </w:rPr>
      </w:pPr>
      <w:r w:rsidRPr="00AB1F43">
        <w:rPr>
          <w:rFonts w:cstheme="minorHAnsi"/>
          <w:sz w:val="18"/>
          <w:szCs w:val="18"/>
        </w:rPr>
        <w:lastRenderedPageBreak/>
        <w:t>The Romanian State's decision to make reservations to the Istanbul Convention may be questioned insofar as an analysis of the case law on gender-based violence shows that one of the causes of gender-based violence is precisely this cause.</w:t>
      </w:r>
    </w:p>
    <w:p w14:paraId="0F995F4D" w14:textId="77777777" w:rsidR="00167206" w:rsidRPr="00AB1F43" w:rsidRDefault="00167206" w:rsidP="00986AF7">
      <w:pPr>
        <w:jc w:val="both"/>
        <w:rPr>
          <w:rFonts w:cstheme="minorHAnsi"/>
          <w:sz w:val="18"/>
          <w:szCs w:val="18"/>
        </w:rPr>
      </w:pPr>
      <w:r w:rsidRPr="00AB1F43">
        <w:rPr>
          <w:rFonts w:cstheme="minorHAnsi"/>
          <w:sz w:val="18"/>
          <w:szCs w:val="18"/>
        </w:rPr>
        <w:t xml:space="preserve"> According to Article 50 of the Istanbul Convention, under the marginal heading "Immediate response, prevention and protection": </w:t>
      </w:r>
    </w:p>
    <w:p w14:paraId="09E9B80F" w14:textId="77777777" w:rsidR="00167206" w:rsidRPr="00AB1F43" w:rsidRDefault="00167206" w:rsidP="00986AF7">
      <w:pPr>
        <w:jc w:val="both"/>
        <w:rPr>
          <w:rFonts w:cstheme="minorHAnsi"/>
          <w:sz w:val="18"/>
          <w:szCs w:val="18"/>
        </w:rPr>
      </w:pPr>
      <w:r w:rsidRPr="00AB1F43">
        <w:rPr>
          <w:rFonts w:cstheme="minorHAnsi"/>
          <w:sz w:val="18"/>
          <w:szCs w:val="18"/>
        </w:rPr>
        <w:t>"1. Parties shall take the necessary legislative or other measures to ensure that the responsible law enforcement agencies respond to all forms of violence covered by the scope of this Convention promptly and appropriately by offering adequate and immediate protection to victims.</w:t>
      </w:r>
    </w:p>
    <w:p w14:paraId="6646DBEF" w14:textId="77777777" w:rsidR="00167206" w:rsidRPr="00AB1F43" w:rsidRDefault="00167206" w:rsidP="00986AF7">
      <w:pPr>
        <w:jc w:val="both"/>
        <w:rPr>
          <w:rFonts w:cstheme="minorHAnsi"/>
          <w:sz w:val="18"/>
          <w:szCs w:val="18"/>
        </w:rPr>
      </w:pPr>
      <w:r w:rsidRPr="00AB1F43">
        <w:rPr>
          <w:rFonts w:cstheme="minorHAnsi"/>
          <w:sz w:val="18"/>
          <w:szCs w:val="18"/>
        </w:rPr>
        <w:t>2. Parties shall take the necessary legislative or other measures to ensure that the responsible law enforcement agencies engage promptly and appropriately in the prevention and protection against all forms of violence covered by the scope of this Convention, including the employment of preventive operational measures and the collection of evidence”.</w:t>
      </w:r>
    </w:p>
    <w:p w14:paraId="47703A6A" w14:textId="77777777" w:rsidR="00167206" w:rsidRPr="00AB1F43" w:rsidRDefault="00167206" w:rsidP="00986AF7">
      <w:pPr>
        <w:jc w:val="both"/>
        <w:rPr>
          <w:rFonts w:cstheme="minorHAnsi"/>
          <w:sz w:val="18"/>
          <w:szCs w:val="18"/>
        </w:rPr>
      </w:pPr>
      <w:r w:rsidRPr="00AB1F43">
        <w:rPr>
          <w:rFonts w:cstheme="minorHAnsi"/>
          <w:sz w:val="18"/>
          <w:szCs w:val="18"/>
        </w:rPr>
        <w:t xml:space="preserve">According to Article 51 of the Istanbul Convention, under the marginal heading "Risk assessment and risk management": </w:t>
      </w:r>
    </w:p>
    <w:p w14:paraId="377DBF23" w14:textId="77777777" w:rsidR="00167206" w:rsidRPr="00AB1F43" w:rsidRDefault="00167206" w:rsidP="00986AF7">
      <w:pPr>
        <w:jc w:val="both"/>
        <w:rPr>
          <w:rFonts w:cstheme="minorHAnsi"/>
          <w:sz w:val="18"/>
          <w:szCs w:val="18"/>
        </w:rPr>
      </w:pPr>
      <w:r w:rsidRPr="00AB1F43">
        <w:rPr>
          <w:rFonts w:cstheme="minorHAnsi"/>
          <w:sz w:val="18"/>
          <w:szCs w:val="18"/>
        </w:rPr>
        <w:t>"1. Parties shall take the necessary legislative or other measures to ensure that an assessment of the lethality risk, the seriousness of the situation and the risk of repeated violence is carried out by all relevant authorities in order to manage the risk and if necessary to provide coordinated safety and support.</w:t>
      </w:r>
    </w:p>
    <w:p w14:paraId="6E1A7841" w14:textId="77777777" w:rsidR="00167206" w:rsidRPr="00AB1F43" w:rsidRDefault="00167206" w:rsidP="00986AF7">
      <w:pPr>
        <w:jc w:val="both"/>
        <w:rPr>
          <w:rFonts w:cstheme="minorHAnsi"/>
          <w:sz w:val="18"/>
          <w:szCs w:val="18"/>
        </w:rPr>
      </w:pPr>
      <w:r w:rsidRPr="00AB1F43">
        <w:rPr>
          <w:rFonts w:cstheme="minorHAnsi"/>
          <w:sz w:val="18"/>
          <w:szCs w:val="18"/>
        </w:rPr>
        <w:t xml:space="preserve">2. Parties shall take the necessary legislative or other measures to ensure that the assessment referred to in paragraph 1 duly takes into account, at all stages of the investigation and application of protective measures, the fact that perpetrators of acts of violence covered by the scope of this Convention possess or have access to firearms.” </w:t>
      </w:r>
    </w:p>
    <w:p w14:paraId="08844DF4" w14:textId="77777777" w:rsidR="00167206" w:rsidRPr="00AB1F43" w:rsidRDefault="00167206" w:rsidP="00986AF7">
      <w:pPr>
        <w:jc w:val="both"/>
        <w:rPr>
          <w:rFonts w:cstheme="minorHAnsi"/>
          <w:sz w:val="18"/>
          <w:szCs w:val="18"/>
        </w:rPr>
      </w:pPr>
      <w:r w:rsidRPr="00AB1F43">
        <w:rPr>
          <w:rFonts w:cstheme="minorHAnsi"/>
          <w:sz w:val="18"/>
          <w:szCs w:val="18"/>
        </w:rPr>
        <w:t>In the case of the offence of rape provided for in Article 218 of the Criminal Code, criminal proceedings shall be brought ex officio, with the exception of the offences provided for in paragraphs (1) and (2), for which the legislator has left it up to the injured party to file a prior criminal complaint.</w:t>
      </w:r>
    </w:p>
    <w:p w14:paraId="56AF3253" w14:textId="77777777" w:rsidR="00167206" w:rsidRPr="00AB1F43" w:rsidRDefault="00167206" w:rsidP="00986AF7">
      <w:pPr>
        <w:jc w:val="both"/>
        <w:rPr>
          <w:rFonts w:cstheme="minorHAnsi"/>
          <w:sz w:val="18"/>
          <w:szCs w:val="18"/>
        </w:rPr>
      </w:pPr>
      <w:r w:rsidRPr="00AB1F43">
        <w:rPr>
          <w:rFonts w:cstheme="minorHAnsi"/>
          <w:sz w:val="18"/>
          <w:szCs w:val="18"/>
        </w:rPr>
        <w:t xml:space="preserve">In the case of the offence of sexual assault provided for in Article 219 of the Criminal Code, criminal proceedings shall be initiated ex officio, with the exception of the offence referred to in paragraph (1), for which criminal proceedings shall be initiated upon prior complaint by the injured party. </w:t>
      </w:r>
    </w:p>
    <w:p w14:paraId="1A2A8C32" w14:textId="77777777" w:rsidR="00167206" w:rsidRPr="00AB1F43" w:rsidRDefault="00167206" w:rsidP="00986AF7">
      <w:pPr>
        <w:jc w:val="both"/>
        <w:rPr>
          <w:rFonts w:cstheme="minorHAnsi"/>
          <w:sz w:val="18"/>
          <w:szCs w:val="18"/>
        </w:rPr>
      </w:pPr>
      <w:r w:rsidRPr="00AB1F43">
        <w:rPr>
          <w:rFonts w:cstheme="minorHAnsi"/>
          <w:sz w:val="18"/>
          <w:szCs w:val="18"/>
        </w:rPr>
        <w:t xml:space="preserve">According to Article 199(2) of the Criminal Code, in the case of offences of domestic violence provided for in Article 199 in conjunction with Article 193 of the Criminal Code (assault or other violence) and Article 196 (culpable bodily harm) of the same Code, committed against a family member, criminal proceedings may also be initiated ex officio. </w:t>
      </w:r>
    </w:p>
    <w:p w14:paraId="6D511F2C" w14:textId="77777777" w:rsidR="00167206" w:rsidRPr="00AB1F43" w:rsidRDefault="00167206" w:rsidP="00986AF7">
      <w:pPr>
        <w:jc w:val="both"/>
        <w:rPr>
          <w:rFonts w:cstheme="minorHAnsi"/>
          <w:sz w:val="18"/>
          <w:szCs w:val="18"/>
        </w:rPr>
      </w:pPr>
      <w:r w:rsidRPr="00AB1F43">
        <w:rPr>
          <w:rFonts w:cstheme="minorHAnsi"/>
          <w:sz w:val="18"/>
          <w:szCs w:val="18"/>
        </w:rPr>
        <w:t>Thus, for offences for which, under normal circumstances, criminal proceedings are initiated on the injured party's prior complaint, or in the case of assault or other violence and culpable bodily harm, exceptionally, where the victim is a family member, criminal proceedings may also be initiated ex officio. This provision is intended to provide additional protection for victims, given their vulnerable position vis-à-vis the aggressor, which may in some cases prevent them from lodging a complaint.</w:t>
      </w:r>
    </w:p>
    <w:p w14:paraId="5C25BFFC" w14:textId="77777777" w:rsidR="00167206" w:rsidRPr="00AB1F43" w:rsidRDefault="00167206" w:rsidP="00986AF7">
      <w:pPr>
        <w:jc w:val="both"/>
        <w:rPr>
          <w:rFonts w:cstheme="minorHAnsi"/>
          <w:sz w:val="18"/>
          <w:szCs w:val="18"/>
        </w:rPr>
      </w:pPr>
      <w:r w:rsidRPr="00AB1F43">
        <w:rPr>
          <w:rFonts w:cstheme="minorHAnsi"/>
          <w:sz w:val="18"/>
          <w:szCs w:val="18"/>
        </w:rPr>
        <w:t xml:space="preserve">Furthermore, by Decision no. 11/2019, published in the Official Gazette of Romania no. 477 of 12 June 2019, the High Court of Cassation and Justice - Panel competent to hear the appeal in the interest of the law admitted the appeal in the interest of the law filed by the Prosecutor General of the Prosecutor's Office attached to the High Court of Cassation and Justice, establishing that "for the offence of assault or other violence committed against a family member, provided for in Article 193 in relation to Article 199(1) of the Criminal Code, where criminal proceedings have been instituted following a prior complaint by the injured party, the criminal proceedings may be discontinued only as a result of the withdrawal of the prior complaint and not as a result of reconciliation".  </w:t>
      </w:r>
    </w:p>
    <w:p w14:paraId="2F43210E" w14:textId="77777777" w:rsidR="00167206" w:rsidRPr="00AB1F43" w:rsidRDefault="00167206" w:rsidP="00986AF7">
      <w:pPr>
        <w:jc w:val="both"/>
        <w:rPr>
          <w:rFonts w:cstheme="minorHAnsi"/>
          <w:sz w:val="18"/>
          <w:szCs w:val="18"/>
        </w:rPr>
      </w:pPr>
      <w:r w:rsidRPr="00AB1F43">
        <w:rPr>
          <w:rFonts w:cstheme="minorHAnsi"/>
          <w:sz w:val="18"/>
          <w:szCs w:val="18"/>
        </w:rPr>
        <w:t>With regard to the protection order, two circular letters of 2018 and 2023 sent to the Minister of Justice and the Minister of the Interior have raised several issues to be taken into account when applying the provisions of Law no. 217/2003 in its new form and when making possible amendments to the legislative text.</w:t>
      </w:r>
    </w:p>
    <w:p w14:paraId="3D57EF40" w14:textId="77777777" w:rsidR="00167206" w:rsidRPr="00AB1F43" w:rsidRDefault="00167206" w:rsidP="00986AF7">
      <w:pPr>
        <w:jc w:val="both"/>
        <w:rPr>
          <w:rFonts w:cstheme="minorHAnsi"/>
          <w:sz w:val="18"/>
          <w:szCs w:val="18"/>
        </w:rPr>
      </w:pPr>
      <w:r w:rsidRPr="00AB1F43">
        <w:rPr>
          <w:rFonts w:cstheme="minorHAnsi"/>
          <w:sz w:val="18"/>
          <w:szCs w:val="18"/>
        </w:rPr>
        <w:t xml:space="preserve">It should be noted that the attention of the Minister of the Interior was drawn to the problem of the lack of provision in the Order implementing the new provisions of Law no. 217/2003 to the situation of victims of domestic violence who, for various reasons, are unable to provide the police agent with a legally valid consent/refusal to issue the protection order: whether we are talking about victims who are minors and the aggressor is the very legal representative who has the minor in his/her care, or whether we are talking about persons placed under a restraining order and the guardian is not present or the aggressor is the guardian </w:t>
      </w:r>
      <w:r w:rsidRPr="00AB1F43">
        <w:rPr>
          <w:rFonts w:cstheme="minorHAnsi"/>
          <w:sz w:val="18"/>
          <w:szCs w:val="18"/>
        </w:rPr>
        <w:lastRenderedPageBreak/>
        <w:t xml:space="preserve">himself, or whether we are talking about persons who, due to their mental state, are unable to answer the questions asked by the police agent and to give their consent/refusal to the provisional protection order. </w:t>
      </w:r>
    </w:p>
    <w:p w14:paraId="718249EE" w14:textId="77777777" w:rsidR="00167206" w:rsidRPr="00AB1F43" w:rsidRDefault="00167206" w:rsidP="00986AF7">
      <w:pPr>
        <w:jc w:val="both"/>
        <w:rPr>
          <w:rFonts w:cstheme="minorHAnsi"/>
          <w:sz w:val="18"/>
          <w:szCs w:val="18"/>
        </w:rPr>
      </w:pPr>
      <w:r w:rsidRPr="00AB1F43">
        <w:rPr>
          <w:rFonts w:cstheme="minorHAnsi"/>
          <w:sz w:val="18"/>
          <w:szCs w:val="18"/>
        </w:rPr>
        <w:t xml:space="preserve">These points were taken into account by the Ministry of the Interior when revising the rules on how police agents handle cases of domestic violence.  </w:t>
      </w:r>
    </w:p>
    <w:p w14:paraId="2E5B2DF1" w14:textId="0A897807" w:rsidR="00167206" w:rsidRPr="00AB1F43" w:rsidRDefault="00167206" w:rsidP="00986AF7">
      <w:pPr>
        <w:jc w:val="both"/>
        <w:rPr>
          <w:rFonts w:cstheme="minorHAnsi"/>
          <w:sz w:val="18"/>
          <w:szCs w:val="18"/>
        </w:rPr>
      </w:pPr>
      <w:r w:rsidRPr="00AB1F43">
        <w:rPr>
          <w:rFonts w:cstheme="minorHAnsi"/>
          <w:sz w:val="18"/>
          <w:szCs w:val="18"/>
        </w:rPr>
        <w:t xml:space="preserve">Throughout the more than five years (2018-2023) that the provisional protection order has been in operation and has seen extensive practical application, it has proved to be particularly effective in preventing and combating domestic </w:t>
      </w:r>
      <w:r w:rsidR="00986AF7" w:rsidRPr="00AB1F43">
        <w:rPr>
          <w:rFonts w:cstheme="minorHAnsi"/>
          <w:sz w:val="18"/>
          <w:szCs w:val="18"/>
        </w:rPr>
        <w:t>violence.</w:t>
      </w:r>
      <w:r w:rsidRPr="00AB1F43">
        <w:rPr>
          <w:rFonts w:cstheme="minorHAnsi"/>
          <w:sz w:val="18"/>
          <w:szCs w:val="18"/>
        </w:rPr>
        <w:t xml:space="preserve"> </w:t>
      </w:r>
    </w:p>
    <w:p w14:paraId="7AFE4167" w14:textId="77777777" w:rsidR="00167206" w:rsidRPr="00AB1F43" w:rsidRDefault="00167206" w:rsidP="00986AF7">
      <w:pPr>
        <w:jc w:val="both"/>
        <w:rPr>
          <w:rFonts w:cstheme="minorHAnsi"/>
          <w:sz w:val="18"/>
          <w:szCs w:val="18"/>
        </w:rPr>
      </w:pPr>
      <w:r w:rsidRPr="00AB1F43">
        <w:rPr>
          <w:rFonts w:cstheme="minorHAnsi"/>
          <w:sz w:val="18"/>
          <w:szCs w:val="18"/>
        </w:rPr>
        <w:t xml:space="preserve">The use of this legal mechanism has taken out of the grey area of criminality a lot of acts that would not have been prosecuted, as after the moment of the "scandal" leading to police intervention to settle the conflict situation, victims did not want to file reports on domestic violence offences. </w:t>
      </w:r>
    </w:p>
    <w:p w14:paraId="071FF7DE" w14:textId="43B7B923" w:rsidR="00167206" w:rsidRPr="00AB1F43" w:rsidRDefault="00167206" w:rsidP="00986AF7">
      <w:pPr>
        <w:jc w:val="both"/>
        <w:rPr>
          <w:rFonts w:cstheme="minorHAnsi"/>
          <w:sz w:val="18"/>
          <w:szCs w:val="18"/>
        </w:rPr>
      </w:pPr>
      <w:r w:rsidRPr="00AB1F43">
        <w:rPr>
          <w:rFonts w:cstheme="minorHAnsi"/>
          <w:sz w:val="18"/>
          <w:szCs w:val="18"/>
        </w:rPr>
        <w:t xml:space="preserve">The emphasis is on the preventive role of the protection mechanism and lies in a rapid response to violent </w:t>
      </w:r>
      <w:r w:rsidR="00986AF7" w:rsidRPr="00AB1F43">
        <w:rPr>
          <w:rFonts w:cstheme="minorHAnsi"/>
          <w:sz w:val="18"/>
          <w:szCs w:val="18"/>
        </w:rPr>
        <w:t>behavior</w:t>
      </w:r>
      <w:r w:rsidRPr="00AB1F43">
        <w:rPr>
          <w:rFonts w:cstheme="minorHAnsi"/>
          <w:sz w:val="18"/>
          <w:szCs w:val="18"/>
        </w:rPr>
        <w:t xml:space="preserve"> which clearly has the potential to escalate into particularly serious criminal offences. </w:t>
      </w:r>
    </w:p>
    <w:p w14:paraId="7074C567" w14:textId="77777777" w:rsidR="00167206" w:rsidRPr="00AB1F43" w:rsidRDefault="00167206" w:rsidP="00986AF7">
      <w:pPr>
        <w:jc w:val="both"/>
        <w:rPr>
          <w:rFonts w:cstheme="minorHAnsi"/>
          <w:sz w:val="18"/>
          <w:szCs w:val="18"/>
        </w:rPr>
      </w:pPr>
      <w:r w:rsidRPr="00AB1F43">
        <w:rPr>
          <w:rFonts w:cstheme="minorHAnsi"/>
          <w:sz w:val="18"/>
          <w:szCs w:val="18"/>
        </w:rPr>
        <w:t>As follows from the provisions of Article 43 of Law no. 217/2003, the victim may waive the application for a protection order.</w:t>
      </w:r>
    </w:p>
    <w:p w14:paraId="4AC604BE" w14:textId="4086FC87" w:rsidR="00167206" w:rsidRPr="00AB1F43" w:rsidRDefault="00167206" w:rsidP="00986AF7">
      <w:pPr>
        <w:jc w:val="both"/>
        <w:rPr>
          <w:rFonts w:cstheme="minorHAnsi"/>
          <w:sz w:val="18"/>
          <w:szCs w:val="18"/>
        </w:rPr>
      </w:pPr>
      <w:r w:rsidRPr="00AB1F43">
        <w:rPr>
          <w:rFonts w:cstheme="minorHAnsi"/>
          <w:sz w:val="18"/>
          <w:szCs w:val="18"/>
        </w:rPr>
        <w:t xml:space="preserve">The waiver of the application for the issuance of the protection order is not conditional on prior mediation of the parties, the same being the case for the protection order governed by Law no. 26/2024 on the protection </w:t>
      </w:r>
      <w:r w:rsidR="00986AF7" w:rsidRPr="00AB1F43">
        <w:rPr>
          <w:rFonts w:cstheme="minorHAnsi"/>
          <w:sz w:val="18"/>
          <w:szCs w:val="18"/>
        </w:rPr>
        <w:t>order,</w:t>
      </w:r>
      <w:r w:rsidRPr="00AB1F43">
        <w:rPr>
          <w:rFonts w:cstheme="minorHAnsi"/>
          <w:sz w:val="18"/>
          <w:szCs w:val="18"/>
        </w:rPr>
        <w:t xml:space="preserve"> a normative act which covers a much broader scope of acts affecting the physical and/or mental integrity of the person (Article 14 of the law). </w:t>
      </w:r>
    </w:p>
    <w:p w14:paraId="21DBD7B7" w14:textId="372F8E40" w:rsidR="00507D54" w:rsidRPr="00AB1F43" w:rsidRDefault="00167206" w:rsidP="00AB1F43">
      <w:pPr>
        <w:jc w:val="both"/>
        <w:rPr>
          <w:rFonts w:cstheme="minorHAnsi"/>
          <w:sz w:val="18"/>
          <w:szCs w:val="18"/>
        </w:rPr>
      </w:pPr>
      <w:r w:rsidRPr="00AB1F43">
        <w:rPr>
          <w:rFonts w:cstheme="minorHAnsi"/>
          <w:sz w:val="18"/>
          <w:szCs w:val="18"/>
        </w:rPr>
        <w:t xml:space="preserve">The Romanian State can assess whether the victim's choice to waive the application for a protection order is a way for the aggressor to exert pressure on the victim. There is the option of eliminating this procedural option whereby, although there is reasonable evidence for the issuance of the protection order, the potential aggressor is exempted from a restriction of freedom of movement that would have been apt to re-educate him and prevent future acts of gender-based violence. Moreover, such an option is in line with the case law of the Court of Justice of the European Union, as it emerged from the joined cases </w:t>
      </w:r>
      <w:proofErr w:type="spellStart"/>
      <w:r w:rsidRPr="00AB1F43">
        <w:rPr>
          <w:rFonts w:cstheme="minorHAnsi"/>
          <w:sz w:val="18"/>
          <w:szCs w:val="18"/>
        </w:rPr>
        <w:t>Magatte</w:t>
      </w:r>
      <w:proofErr w:type="spellEnd"/>
      <w:r w:rsidRPr="00AB1F43">
        <w:rPr>
          <w:rFonts w:cstheme="minorHAnsi"/>
          <w:sz w:val="18"/>
          <w:szCs w:val="18"/>
        </w:rPr>
        <w:t xml:space="preserve"> Gueye (C-483/09) and Valentin Sanchez (C-1/10).</w:t>
      </w:r>
    </w:p>
    <w:p w14:paraId="3E19881C" w14:textId="3E3A9000" w:rsidR="00507D54" w:rsidRPr="00AB1F43" w:rsidRDefault="00507D54" w:rsidP="00986AF7">
      <w:pPr>
        <w:jc w:val="both"/>
        <w:rPr>
          <w:rFonts w:cstheme="minorHAnsi"/>
          <w:b/>
          <w:bCs/>
          <w:sz w:val="18"/>
          <w:szCs w:val="18"/>
        </w:rPr>
      </w:pPr>
      <w:r w:rsidRPr="00AB1F43">
        <w:rPr>
          <w:rFonts w:cstheme="minorHAnsi"/>
          <w:b/>
          <w:bCs/>
          <w:sz w:val="18"/>
          <w:szCs w:val="18"/>
        </w:rPr>
        <w:t>(e)</w:t>
      </w:r>
      <w:r w:rsidRPr="00AB1F43">
        <w:rPr>
          <w:rFonts w:cstheme="minorHAnsi"/>
          <w:b/>
          <w:bCs/>
          <w:sz w:val="18"/>
          <w:szCs w:val="18"/>
        </w:rPr>
        <w:tab/>
        <w:t>Introduce mandatory capacity-building for judges, prosecutors, lawyers, police officers, social workers and health professionals on the strict application of legislation criminalizing violence against women and on protocols for dealing with victims in a gender-sensitive manner and make public the standard procedures relating to gender-based violence against women;</w:t>
      </w:r>
    </w:p>
    <w:p w14:paraId="6B53529E" w14:textId="77777777" w:rsidR="00507D54" w:rsidRPr="00AB1F43" w:rsidRDefault="00507D54" w:rsidP="00986AF7">
      <w:pPr>
        <w:jc w:val="both"/>
        <w:rPr>
          <w:rFonts w:cstheme="minorHAnsi"/>
          <w:sz w:val="18"/>
          <w:szCs w:val="18"/>
        </w:rPr>
      </w:pPr>
      <w:r w:rsidRPr="00AB1F43">
        <w:rPr>
          <w:rFonts w:cstheme="minorHAnsi"/>
          <w:sz w:val="18"/>
          <w:szCs w:val="18"/>
        </w:rPr>
        <w:t xml:space="preserve">With regard to compliance with these features of the training </w:t>
      </w:r>
      <w:proofErr w:type="spellStart"/>
      <w:r w:rsidRPr="00AB1F43">
        <w:rPr>
          <w:rFonts w:cstheme="minorHAnsi"/>
          <w:sz w:val="18"/>
          <w:szCs w:val="18"/>
        </w:rPr>
        <w:t>programmes</w:t>
      </w:r>
      <w:proofErr w:type="spellEnd"/>
      <w:r w:rsidRPr="00AB1F43">
        <w:rPr>
          <w:rFonts w:cstheme="minorHAnsi"/>
          <w:sz w:val="18"/>
          <w:szCs w:val="18"/>
        </w:rPr>
        <w:t xml:space="preserve"> (participation of more prosecutors in the courses for a longer duration), it should be noted that during 2023, according to the activities set to be carried out under the "VioGen-RoJust" project implemented by the National Agency for Equal Opportunities between Women and Men, as project promoter, in partnership with: FILIA Centre, TRANSCENA, ANAIS and GRADO associations, the Public Ministry was the beneficiary of training activities together with other professionals with specific duties in the field of domestic violence and gender-based violence. </w:t>
      </w:r>
    </w:p>
    <w:p w14:paraId="76955EB9" w14:textId="77777777" w:rsidR="00507D54" w:rsidRPr="00AB1F43" w:rsidRDefault="00507D54" w:rsidP="00986AF7">
      <w:pPr>
        <w:jc w:val="both"/>
        <w:rPr>
          <w:rFonts w:cstheme="minorHAnsi"/>
          <w:sz w:val="18"/>
          <w:szCs w:val="18"/>
        </w:rPr>
      </w:pPr>
      <w:r w:rsidRPr="00AB1F43">
        <w:rPr>
          <w:rFonts w:cstheme="minorHAnsi"/>
          <w:sz w:val="18"/>
          <w:szCs w:val="18"/>
        </w:rPr>
        <w:t>The project aimed at improving protection measures against domestic violence, strengthening the capacity of authorities to ensure proper implementation of the legislative framework on the protection and non-discrimination of victims, generating new replicable measures and fundamental changes for the effective application and implementation of ECHR recommendations and CoE human rights standards.</w:t>
      </w:r>
    </w:p>
    <w:p w14:paraId="5B5FCBA0" w14:textId="77777777" w:rsidR="00507D54" w:rsidRPr="00AB1F43" w:rsidRDefault="00507D54" w:rsidP="00986AF7">
      <w:pPr>
        <w:jc w:val="both"/>
        <w:rPr>
          <w:rFonts w:cstheme="minorHAnsi"/>
          <w:sz w:val="18"/>
          <w:szCs w:val="18"/>
        </w:rPr>
      </w:pPr>
      <w:r w:rsidRPr="00AB1F43">
        <w:rPr>
          <w:rFonts w:cstheme="minorHAnsi"/>
          <w:sz w:val="18"/>
          <w:szCs w:val="18"/>
        </w:rPr>
        <w:t xml:space="preserve">The 103 prosecutors included in the target group of the project who participated online in the training </w:t>
      </w:r>
      <w:proofErr w:type="spellStart"/>
      <w:r w:rsidRPr="00AB1F43">
        <w:rPr>
          <w:rFonts w:cstheme="minorHAnsi"/>
          <w:sz w:val="18"/>
          <w:szCs w:val="18"/>
        </w:rPr>
        <w:t>programme</w:t>
      </w:r>
      <w:proofErr w:type="spellEnd"/>
      <w:r w:rsidRPr="00AB1F43">
        <w:rPr>
          <w:rFonts w:cstheme="minorHAnsi"/>
          <w:sz w:val="18"/>
          <w:szCs w:val="18"/>
        </w:rPr>
        <w:t xml:space="preserve"> were mostly from prosecutor's offices attached to courts of first instance and prosecutor's offices attached to tribunals, and the topics chosen for the training </w:t>
      </w:r>
      <w:proofErr w:type="spellStart"/>
      <w:r w:rsidRPr="00AB1F43">
        <w:rPr>
          <w:rFonts w:cstheme="minorHAnsi"/>
          <w:sz w:val="18"/>
          <w:szCs w:val="18"/>
        </w:rPr>
        <w:t>programme</w:t>
      </w:r>
      <w:proofErr w:type="spellEnd"/>
      <w:r w:rsidRPr="00AB1F43">
        <w:rPr>
          <w:rFonts w:cstheme="minorHAnsi"/>
          <w:sz w:val="18"/>
          <w:szCs w:val="18"/>
        </w:rPr>
        <w:t xml:space="preserve"> were the following:</w:t>
      </w:r>
    </w:p>
    <w:p w14:paraId="0513B30A" w14:textId="291B6FAD" w:rsidR="00507D54" w:rsidRPr="00AB1F43" w:rsidRDefault="00507D54" w:rsidP="00986AF7">
      <w:pPr>
        <w:jc w:val="both"/>
        <w:rPr>
          <w:rFonts w:cstheme="minorHAnsi"/>
          <w:sz w:val="18"/>
          <w:szCs w:val="18"/>
        </w:rPr>
      </w:pPr>
      <w:r w:rsidRPr="00AB1F43">
        <w:rPr>
          <w:rFonts w:cstheme="minorHAnsi"/>
          <w:sz w:val="18"/>
          <w:szCs w:val="18"/>
        </w:rPr>
        <w:t>1.</w:t>
      </w:r>
      <w:r w:rsidRPr="00AB1F43">
        <w:rPr>
          <w:rFonts w:cstheme="minorHAnsi"/>
          <w:sz w:val="18"/>
          <w:szCs w:val="18"/>
        </w:rPr>
        <w:tab/>
        <w:t xml:space="preserve">Confirmation of the protection order, the role of the prosecutor in formulating and deciding on the application for a protection order, the use of electronic surveillance devices in the enforcement of the provisional protection order, the protection order and the obligation for the offender to participate in </w:t>
      </w:r>
      <w:r w:rsidR="00AB1F43" w:rsidRPr="00AB1F43">
        <w:rPr>
          <w:rFonts w:cstheme="minorHAnsi"/>
          <w:sz w:val="18"/>
          <w:szCs w:val="18"/>
        </w:rPr>
        <w:t>specialized</w:t>
      </w:r>
      <w:r w:rsidRPr="00AB1F43">
        <w:rPr>
          <w:rFonts w:cstheme="minorHAnsi"/>
          <w:sz w:val="18"/>
          <w:szCs w:val="18"/>
        </w:rPr>
        <w:t xml:space="preserve"> counselling </w:t>
      </w:r>
      <w:proofErr w:type="spellStart"/>
      <w:r w:rsidRPr="00AB1F43">
        <w:rPr>
          <w:rFonts w:cstheme="minorHAnsi"/>
          <w:sz w:val="18"/>
          <w:szCs w:val="18"/>
        </w:rPr>
        <w:t>programmes</w:t>
      </w:r>
      <w:proofErr w:type="spellEnd"/>
      <w:r w:rsidRPr="00AB1F43">
        <w:rPr>
          <w:rFonts w:cstheme="minorHAnsi"/>
          <w:sz w:val="18"/>
          <w:szCs w:val="18"/>
        </w:rPr>
        <w:t xml:space="preserve"> to reduce aggressive </w:t>
      </w:r>
      <w:r w:rsidR="00986AF7" w:rsidRPr="00AB1F43">
        <w:rPr>
          <w:rFonts w:cstheme="minorHAnsi"/>
          <w:sz w:val="18"/>
          <w:szCs w:val="18"/>
        </w:rPr>
        <w:t>behavior</w:t>
      </w:r>
      <w:r w:rsidRPr="00AB1F43">
        <w:rPr>
          <w:rFonts w:cstheme="minorHAnsi"/>
          <w:sz w:val="18"/>
          <w:szCs w:val="18"/>
        </w:rPr>
        <w:t>.</w:t>
      </w:r>
    </w:p>
    <w:p w14:paraId="5FC8280D" w14:textId="7CF2894D" w:rsidR="00507D54" w:rsidRPr="00AB1F43" w:rsidRDefault="00507D54" w:rsidP="00986AF7">
      <w:pPr>
        <w:jc w:val="both"/>
        <w:rPr>
          <w:rFonts w:cstheme="minorHAnsi"/>
          <w:sz w:val="18"/>
          <w:szCs w:val="18"/>
        </w:rPr>
      </w:pPr>
      <w:r w:rsidRPr="00AB1F43">
        <w:rPr>
          <w:rFonts w:cstheme="minorHAnsi"/>
          <w:sz w:val="18"/>
          <w:szCs w:val="18"/>
        </w:rPr>
        <w:t>2.</w:t>
      </w:r>
      <w:r w:rsidRPr="00AB1F43">
        <w:rPr>
          <w:rFonts w:cstheme="minorHAnsi"/>
          <w:sz w:val="18"/>
          <w:szCs w:val="18"/>
        </w:rPr>
        <w:tab/>
        <w:t xml:space="preserve">Communication with the victim - trauma and post-traumatic </w:t>
      </w:r>
      <w:r w:rsidR="00986AF7" w:rsidRPr="00AB1F43">
        <w:rPr>
          <w:rFonts w:cstheme="minorHAnsi"/>
          <w:sz w:val="18"/>
          <w:szCs w:val="18"/>
        </w:rPr>
        <w:t>behavior</w:t>
      </w:r>
      <w:r w:rsidRPr="00AB1F43">
        <w:rPr>
          <w:rFonts w:cstheme="minorHAnsi"/>
          <w:sz w:val="18"/>
          <w:szCs w:val="18"/>
        </w:rPr>
        <w:t>, the role of the psychologist in proceedings before judicial bodies in cases of domestic violence and sexual violence.</w:t>
      </w:r>
    </w:p>
    <w:p w14:paraId="1CB55504" w14:textId="407FAB34" w:rsidR="00507D54" w:rsidRPr="00AB1F43" w:rsidRDefault="00507D54" w:rsidP="00986AF7">
      <w:pPr>
        <w:jc w:val="both"/>
        <w:rPr>
          <w:rFonts w:cstheme="minorHAnsi"/>
          <w:sz w:val="18"/>
          <w:szCs w:val="18"/>
        </w:rPr>
      </w:pPr>
      <w:r w:rsidRPr="00AB1F43">
        <w:rPr>
          <w:rFonts w:cstheme="minorHAnsi"/>
          <w:sz w:val="18"/>
          <w:szCs w:val="18"/>
        </w:rPr>
        <w:t>3.</w:t>
      </w:r>
      <w:r w:rsidRPr="00AB1F43">
        <w:rPr>
          <w:rFonts w:cstheme="minorHAnsi"/>
          <w:sz w:val="18"/>
          <w:szCs w:val="18"/>
        </w:rPr>
        <w:tab/>
        <w:t xml:space="preserve"> Consent to sexual act with a minor versus rape, reaction of a child subjected to sexual abuse by an adult and post-abuse </w:t>
      </w:r>
      <w:r w:rsidR="00986AF7" w:rsidRPr="00AB1F43">
        <w:rPr>
          <w:rFonts w:cstheme="minorHAnsi"/>
          <w:sz w:val="18"/>
          <w:szCs w:val="18"/>
        </w:rPr>
        <w:t>behavior</w:t>
      </w:r>
      <w:r w:rsidRPr="00AB1F43">
        <w:rPr>
          <w:rFonts w:cstheme="minorHAnsi"/>
          <w:sz w:val="18"/>
          <w:szCs w:val="18"/>
        </w:rPr>
        <w:t>, disclosure of sexual abuse and the statement of the child.</w:t>
      </w:r>
    </w:p>
    <w:p w14:paraId="738B2935" w14:textId="77777777" w:rsidR="00507D54" w:rsidRPr="00AB1F43" w:rsidRDefault="00507D54" w:rsidP="00986AF7">
      <w:pPr>
        <w:jc w:val="both"/>
        <w:rPr>
          <w:rFonts w:cstheme="minorHAnsi"/>
          <w:sz w:val="18"/>
          <w:szCs w:val="18"/>
        </w:rPr>
      </w:pPr>
      <w:r w:rsidRPr="00AB1F43">
        <w:rPr>
          <w:rFonts w:cstheme="minorHAnsi"/>
          <w:sz w:val="18"/>
          <w:szCs w:val="18"/>
        </w:rPr>
        <w:lastRenderedPageBreak/>
        <w:t>4.</w:t>
      </w:r>
      <w:r w:rsidRPr="00AB1F43">
        <w:rPr>
          <w:rFonts w:cstheme="minorHAnsi"/>
          <w:sz w:val="18"/>
          <w:szCs w:val="18"/>
        </w:rPr>
        <w:tab/>
        <w:t xml:space="preserve"> Domestic violence and sexual abuse offences, protective measures for the victim, specific evidence.</w:t>
      </w:r>
    </w:p>
    <w:p w14:paraId="3CB8BD48" w14:textId="77777777" w:rsidR="00507D54" w:rsidRPr="00AB1F43" w:rsidRDefault="00507D54" w:rsidP="00986AF7">
      <w:pPr>
        <w:jc w:val="both"/>
        <w:rPr>
          <w:rFonts w:cstheme="minorHAnsi"/>
          <w:sz w:val="18"/>
          <w:szCs w:val="18"/>
        </w:rPr>
      </w:pPr>
      <w:r w:rsidRPr="00AB1F43">
        <w:rPr>
          <w:rFonts w:cstheme="minorHAnsi"/>
          <w:sz w:val="18"/>
          <w:szCs w:val="18"/>
        </w:rPr>
        <w:t>5.</w:t>
      </w:r>
      <w:r w:rsidRPr="00AB1F43">
        <w:rPr>
          <w:rFonts w:cstheme="minorHAnsi"/>
          <w:sz w:val="18"/>
          <w:szCs w:val="18"/>
        </w:rPr>
        <w:tab/>
        <w:t>European Court of Human Rights judgments and CoE Council of Ministers country recommendations on domestic violence and sexual violence.</w:t>
      </w:r>
    </w:p>
    <w:p w14:paraId="164243B5" w14:textId="75AADE82" w:rsidR="00507D54" w:rsidRPr="00AB1F43" w:rsidRDefault="00507D54" w:rsidP="00986AF7">
      <w:pPr>
        <w:jc w:val="both"/>
        <w:rPr>
          <w:rFonts w:cstheme="minorHAnsi"/>
          <w:sz w:val="18"/>
          <w:szCs w:val="18"/>
        </w:rPr>
      </w:pPr>
      <w:r w:rsidRPr="00AB1F43">
        <w:rPr>
          <w:rFonts w:cstheme="minorHAnsi"/>
          <w:sz w:val="18"/>
          <w:szCs w:val="18"/>
        </w:rPr>
        <w:t xml:space="preserve">This training activity responded both to the need for training in this area, a need that is </w:t>
      </w:r>
      <w:r w:rsidR="00986AF7" w:rsidRPr="00AB1F43">
        <w:rPr>
          <w:rFonts w:cstheme="minorHAnsi"/>
          <w:sz w:val="18"/>
          <w:szCs w:val="18"/>
        </w:rPr>
        <w:t>recognized</w:t>
      </w:r>
      <w:r w:rsidRPr="00AB1F43">
        <w:rPr>
          <w:rFonts w:cstheme="minorHAnsi"/>
          <w:sz w:val="18"/>
          <w:szCs w:val="18"/>
        </w:rPr>
        <w:t xml:space="preserve"> within all prosecutor’s offices, and to the recommendation made by GREVIO in this regard.</w:t>
      </w:r>
    </w:p>
    <w:p w14:paraId="072C3459" w14:textId="77777777" w:rsidR="00507D54" w:rsidRPr="00AB1F43" w:rsidRDefault="00507D54" w:rsidP="00986AF7">
      <w:pPr>
        <w:jc w:val="both"/>
        <w:rPr>
          <w:rFonts w:cstheme="minorHAnsi"/>
          <w:sz w:val="18"/>
          <w:szCs w:val="18"/>
        </w:rPr>
      </w:pPr>
      <w:r w:rsidRPr="00AB1F43">
        <w:rPr>
          <w:rFonts w:cstheme="minorHAnsi"/>
          <w:sz w:val="18"/>
          <w:szCs w:val="18"/>
        </w:rPr>
        <w:t>In this respect, the GREVIO report  of 4 March 2022 on legislative and other measures implementing the provisions of the Council of Europe Istanbul Convention on preventing and combating violence against women and domestic violence noted the insufficiency of ongoing training focused on violence against women as a form of gender-based violence or gender equality, the level of relevant training being low both in terms of the topics covered and the number and duration of training sessions as well as the number of participants.</w:t>
      </w:r>
    </w:p>
    <w:p w14:paraId="45E0F9A5" w14:textId="77777777" w:rsidR="00507D54" w:rsidRPr="00AB1F43" w:rsidRDefault="00507D54" w:rsidP="00986AF7">
      <w:pPr>
        <w:jc w:val="both"/>
        <w:rPr>
          <w:rFonts w:cstheme="minorHAnsi"/>
          <w:sz w:val="18"/>
          <w:szCs w:val="18"/>
        </w:rPr>
      </w:pPr>
      <w:r w:rsidRPr="00AB1F43">
        <w:rPr>
          <w:rFonts w:cstheme="minorHAnsi"/>
          <w:sz w:val="18"/>
          <w:szCs w:val="18"/>
        </w:rPr>
        <w:t>At the same time, the Study on the jurisprudence of the European Court of Human Rights on sexual, domestic and gender-based violence and the Council of Europe standards on the matter relevant for professionals in the judicial field, which was also drafted within the framework of the "</w:t>
      </w:r>
      <w:proofErr w:type="spellStart"/>
      <w:r w:rsidRPr="00AB1F43">
        <w:rPr>
          <w:rFonts w:cstheme="minorHAnsi"/>
          <w:sz w:val="18"/>
          <w:szCs w:val="18"/>
        </w:rPr>
        <w:t>VioGen</w:t>
      </w:r>
      <w:proofErr w:type="spellEnd"/>
      <w:r w:rsidRPr="00AB1F43">
        <w:rPr>
          <w:rFonts w:cstheme="minorHAnsi"/>
          <w:sz w:val="18"/>
          <w:szCs w:val="18"/>
        </w:rPr>
        <w:t xml:space="preserve"> </w:t>
      </w:r>
      <w:proofErr w:type="spellStart"/>
      <w:r w:rsidRPr="00AB1F43">
        <w:rPr>
          <w:rFonts w:cstheme="minorHAnsi"/>
          <w:sz w:val="18"/>
          <w:szCs w:val="18"/>
        </w:rPr>
        <w:t>RoJust</w:t>
      </w:r>
      <w:proofErr w:type="spellEnd"/>
      <w:r w:rsidRPr="00AB1F43">
        <w:rPr>
          <w:rFonts w:cstheme="minorHAnsi"/>
          <w:sz w:val="18"/>
          <w:szCs w:val="18"/>
        </w:rPr>
        <w:t>" Project, implemented by ANES, should also be mentioned with regard to training.</w:t>
      </w:r>
    </w:p>
    <w:p w14:paraId="62D61B70" w14:textId="77777777" w:rsidR="00507D54" w:rsidRPr="00AB1F43" w:rsidRDefault="00507D54" w:rsidP="00986AF7">
      <w:pPr>
        <w:jc w:val="both"/>
        <w:rPr>
          <w:rFonts w:cstheme="minorHAnsi"/>
          <w:sz w:val="18"/>
          <w:szCs w:val="18"/>
        </w:rPr>
      </w:pPr>
      <w:r w:rsidRPr="00AB1F43">
        <w:rPr>
          <w:rFonts w:cstheme="minorHAnsi"/>
          <w:sz w:val="18"/>
          <w:szCs w:val="18"/>
        </w:rPr>
        <w:t xml:space="preserve">This study was sent in February 2024, in electronic format, to the prosecutor's offices attached to courts of appeal for information, with the intention to be communicated to all prosecutors in the district prosecutor's offices in order to be used as a documentary resource in the </w:t>
      </w:r>
      <w:proofErr w:type="spellStart"/>
      <w:r w:rsidRPr="00AB1F43">
        <w:rPr>
          <w:rFonts w:cstheme="minorHAnsi"/>
          <w:sz w:val="18"/>
          <w:szCs w:val="18"/>
        </w:rPr>
        <w:t>decentralised</w:t>
      </w:r>
      <w:proofErr w:type="spellEnd"/>
      <w:r w:rsidRPr="00AB1F43">
        <w:rPr>
          <w:rFonts w:cstheme="minorHAnsi"/>
          <w:sz w:val="18"/>
          <w:szCs w:val="18"/>
        </w:rPr>
        <w:t xml:space="preserve"> training process.</w:t>
      </w:r>
    </w:p>
    <w:p w14:paraId="616F96B9" w14:textId="4AE77220" w:rsidR="00507D54" w:rsidRPr="00AB1F43" w:rsidRDefault="00507D54" w:rsidP="00986AF7">
      <w:pPr>
        <w:jc w:val="both"/>
        <w:rPr>
          <w:rFonts w:cstheme="minorHAnsi"/>
          <w:sz w:val="18"/>
          <w:szCs w:val="18"/>
        </w:rPr>
      </w:pPr>
      <w:r w:rsidRPr="00AB1F43">
        <w:rPr>
          <w:rFonts w:cstheme="minorHAnsi"/>
          <w:sz w:val="18"/>
          <w:szCs w:val="18"/>
        </w:rPr>
        <w:t>The commitment of the Public Ministry to effective investigation including a gender-sensitive approach is also reflected in the topical inspections [TN: Ro.: "</w:t>
      </w:r>
      <w:proofErr w:type="spellStart"/>
      <w:r w:rsidRPr="00AB1F43">
        <w:rPr>
          <w:rFonts w:cstheme="minorHAnsi"/>
          <w:sz w:val="18"/>
          <w:szCs w:val="18"/>
        </w:rPr>
        <w:t>controale</w:t>
      </w:r>
      <w:proofErr w:type="spellEnd"/>
      <w:r w:rsidRPr="00AB1F43">
        <w:rPr>
          <w:rFonts w:cstheme="minorHAnsi"/>
          <w:sz w:val="18"/>
          <w:szCs w:val="18"/>
        </w:rPr>
        <w:t xml:space="preserve"> </w:t>
      </w:r>
      <w:proofErr w:type="spellStart"/>
      <w:r w:rsidRPr="00AB1F43">
        <w:rPr>
          <w:rFonts w:cstheme="minorHAnsi"/>
          <w:sz w:val="18"/>
          <w:szCs w:val="18"/>
        </w:rPr>
        <w:t>tematice</w:t>
      </w:r>
      <w:proofErr w:type="spellEnd"/>
      <w:r w:rsidRPr="00AB1F43">
        <w:rPr>
          <w:rFonts w:cstheme="minorHAnsi"/>
          <w:sz w:val="18"/>
          <w:szCs w:val="18"/>
        </w:rPr>
        <w:t>"] carried out by the Service for Guidance and Control of the Prosecutor's Office attached to the High Court of Cassation and Justice.</w:t>
      </w:r>
    </w:p>
    <w:p w14:paraId="22C084A6" w14:textId="1C98077B" w:rsidR="000F5166" w:rsidRPr="00AB1F43" w:rsidRDefault="00507D54" w:rsidP="00986AF7">
      <w:pPr>
        <w:jc w:val="both"/>
        <w:rPr>
          <w:rFonts w:cstheme="minorHAnsi"/>
          <w:sz w:val="18"/>
          <w:szCs w:val="18"/>
        </w:rPr>
      </w:pPr>
      <w:r w:rsidRPr="00AB1F43">
        <w:rPr>
          <w:rFonts w:cstheme="minorHAnsi"/>
          <w:sz w:val="18"/>
          <w:szCs w:val="18"/>
        </w:rPr>
        <w:t>Thus, at the level of the Service for Guidance and Control, an analysis of the solutions ordered in 2016-2017 in cases involving the offence of incitement to hatred or discrimination, provided for in Article 369 of the Criminal Code, was carried out. The analysis was communicated to the prosecutor’s offices.</w:t>
      </w:r>
    </w:p>
    <w:p w14:paraId="229B7DE1" w14:textId="7A464D07" w:rsidR="000F5166" w:rsidRPr="00AB1F43" w:rsidRDefault="000F5166" w:rsidP="000F5166">
      <w:pPr>
        <w:rPr>
          <w:rFonts w:cstheme="minorHAnsi"/>
          <w:b/>
          <w:bCs/>
          <w:sz w:val="18"/>
          <w:szCs w:val="18"/>
        </w:rPr>
      </w:pPr>
      <w:r w:rsidRPr="00AB1F43">
        <w:rPr>
          <w:rFonts w:cstheme="minorHAnsi"/>
          <w:b/>
          <w:bCs/>
          <w:sz w:val="18"/>
          <w:szCs w:val="18"/>
        </w:rPr>
        <w:t>Employment</w:t>
      </w:r>
    </w:p>
    <w:p w14:paraId="14582005" w14:textId="4EADAC32" w:rsidR="000F5166" w:rsidRPr="00AB1F43" w:rsidRDefault="000F5166" w:rsidP="00986AF7">
      <w:pPr>
        <w:jc w:val="both"/>
        <w:rPr>
          <w:rFonts w:cstheme="minorHAnsi"/>
          <w:b/>
          <w:bCs/>
          <w:sz w:val="18"/>
          <w:szCs w:val="18"/>
        </w:rPr>
      </w:pPr>
      <w:r w:rsidRPr="00AB1F43">
        <w:rPr>
          <w:rFonts w:cstheme="minorHAnsi"/>
          <w:b/>
          <w:bCs/>
          <w:sz w:val="18"/>
          <w:szCs w:val="18"/>
        </w:rPr>
        <w:t>16.</w:t>
      </w:r>
      <w:r w:rsidRPr="00AB1F43">
        <w:rPr>
          <w:rFonts w:cstheme="minorHAnsi"/>
          <w:b/>
          <w:bCs/>
          <w:sz w:val="18"/>
          <w:szCs w:val="18"/>
        </w:rPr>
        <w:tab/>
        <w:t>In the light of the Committee’s previous recommendations (para. 29), please describe any complaint mechanisms put in place to address sexual harassment and provide data on the number of reported cases, the number of investigations and prosecutions and the penalties imposed on those responsible.</w:t>
      </w:r>
    </w:p>
    <w:p w14:paraId="0383A45F" w14:textId="77777777" w:rsidR="000F5166" w:rsidRPr="00AB1F43" w:rsidRDefault="000F5166" w:rsidP="00986AF7">
      <w:pPr>
        <w:jc w:val="both"/>
        <w:rPr>
          <w:rFonts w:cstheme="minorHAnsi"/>
          <w:sz w:val="18"/>
          <w:szCs w:val="18"/>
        </w:rPr>
      </w:pPr>
      <w:r w:rsidRPr="00AB1F43">
        <w:rPr>
          <w:rFonts w:cstheme="minorHAnsi"/>
          <w:sz w:val="18"/>
          <w:szCs w:val="18"/>
        </w:rPr>
        <w:t>On this topic, it is worth mentioning the topical inspection carried out by the Service for Guidance and Control of the POAHCCJ on the legality and the merits of the solutions ordered in 2020 in cases concerning the offence of sexual harassment, provided for by Article 223 of the Criminal Code. The inspection was ordered by Order no. 51 of 19.03.2021 of the Prosecutor General of the Prosecutor's Office attached to the High Court of Cassation and Justice and was carried out at all prosecutor’s offices.</w:t>
      </w:r>
    </w:p>
    <w:p w14:paraId="6C4593F2" w14:textId="77777777" w:rsidR="000F5166" w:rsidRPr="00AB1F43" w:rsidRDefault="000F5166" w:rsidP="00986AF7">
      <w:pPr>
        <w:jc w:val="both"/>
        <w:rPr>
          <w:rFonts w:cstheme="minorHAnsi"/>
          <w:sz w:val="18"/>
          <w:szCs w:val="18"/>
        </w:rPr>
      </w:pPr>
      <w:r w:rsidRPr="00AB1F43">
        <w:rPr>
          <w:rFonts w:cstheme="minorHAnsi"/>
          <w:sz w:val="18"/>
          <w:szCs w:val="18"/>
        </w:rPr>
        <w:t>The inspection aimed at identifying vulnerabilities in the prosecution activity that would call into question the non-compliance with international commitments regarding women's rights and their protection against violence, in particular the Istanbul Convention.</w:t>
      </w:r>
    </w:p>
    <w:p w14:paraId="44499709" w14:textId="5D4E6234" w:rsidR="000F5166" w:rsidRPr="00AB1F43" w:rsidRDefault="000F5166" w:rsidP="00986AF7">
      <w:pPr>
        <w:jc w:val="both"/>
        <w:rPr>
          <w:rFonts w:cstheme="minorHAnsi"/>
          <w:sz w:val="18"/>
          <w:szCs w:val="18"/>
        </w:rPr>
      </w:pPr>
      <w:r w:rsidRPr="00AB1F43">
        <w:rPr>
          <w:rFonts w:cstheme="minorHAnsi"/>
          <w:sz w:val="18"/>
          <w:szCs w:val="18"/>
        </w:rPr>
        <w:t xml:space="preserve">The inspection aimed to monitor the way in which sexual harassment cases are prosecuted in order to ensure the judicial finality of this </w:t>
      </w:r>
      <w:r w:rsidR="00986AF7" w:rsidRPr="00AB1F43">
        <w:rPr>
          <w:rFonts w:cstheme="minorHAnsi"/>
          <w:sz w:val="18"/>
          <w:szCs w:val="18"/>
        </w:rPr>
        <w:t>criminalization</w:t>
      </w:r>
      <w:r w:rsidRPr="00AB1F43">
        <w:rPr>
          <w:rFonts w:cstheme="minorHAnsi"/>
          <w:sz w:val="18"/>
          <w:szCs w:val="18"/>
        </w:rPr>
        <w:t>.</w:t>
      </w:r>
    </w:p>
    <w:p w14:paraId="5634124E" w14:textId="5AD5E19A" w:rsidR="000F5166" w:rsidRPr="00AB1F43" w:rsidRDefault="000F5166" w:rsidP="00986AF7">
      <w:pPr>
        <w:jc w:val="both"/>
        <w:rPr>
          <w:rFonts w:cstheme="minorHAnsi"/>
          <w:sz w:val="18"/>
          <w:szCs w:val="18"/>
        </w:rPr>
      </w:pPr>
      <w:r w:rsidRPr="00AB1F43">
        <w:rPr>
          <w:rFonts w:cstheme="minorHAnsi"/>
          <w:sz w:val="18"/>
          <w:szCs w:val="18"/>
        </w:rPr>
        <w:t xml:space="preserve">Thus, difficulties have been revealed in the practice of prosecutor’s offices in establishing the meaning of the notion of "sexual </w:t>
      </w:r>
      <w:r w:rsidR="00986AF7" w:rsidRPr="00AB1F43">
        <w:rPr>
          <w:rFonts w:cstheme="minorHAnsi"/>
          <w:sz w:val="18"/>
          <w:szCs w:val="18"/>
        </w:rPr>
        <w:t>favors</w:t>
      </w:r>
      <w:r w:rsidRPr="00AB1F43">
        <w:rPr>
          <w:rFonts w:cstheme="minorHAnsi"/>
          <w:sz w:val="18"/>
          <w:szCs w:val="18"/>
        </w:rPr>
        <w:t xml:space="preserve">" in the provisions of Article 223 of the Criminal Code, but also with regard to the consequences that the action of repeated demand of sexual </w:t>
      </w:r>
      <w:r w:rsidR="00986AF7" w:rsidRPr="00AB1F43">
        <w:rPr>
          <w:rFonts w:cstheme="minorHAnsi"/>
          <w:sz w:val="18"/>
          <w:szCs w:val="18"/>
        </w:rPr>
        <w:t>favors</w:t>
      </w:r>
      <w:r w:rsidRPr="00AB1F43">
        <w:rPr>
          <w:rFonts w:cstheme="minorHAnsi"/>
          <w:sz w:val="18"/>
          <w:szCs w:val="18"/>
        </w:rPr>
        <w:t xml:space="preserve"> must produce (intimidation or putting the victim in a humiliating situation), an aspect that outlines the elements of objective typicality of the offence of sexual harassment. In the absence of a legal definition in Romanian law, it was recommended that the definition of sexual harassment in European and European Union legal instruments be used. </w:t>
      </w:r>
    </w:p>
    <w:p w14:paraId="26AF129A" w14:textId="77777777" w:rsidR="000F5166" w:rsidRPr="00AB1F43" w:rsidRDefault="000F5166" w:rsidP="00986AF7">
      <w:pPr>
        <w:jc w:val="both"/>
        <w:rPr>
          <w:rFonts w:cstheme="minorHAnsi"/>
          <w:sz w:val="18"/>
          <w:szCs w:val="18"/>
        </w:rPr>
      </w:pPr>
      <w:r w:rsidRPr="00AB1F43">
        <w:rPr>
          <w:rFonts w:cstheme="minorHAnsi"/>
          <w:sz w:val="18"/>
          <w:szCs w:val="18"/>
        </w:rPr>
        <w:t xml:space="preserve">In this respect, it was taken into account that Article 2(2) of Directive 2002/73/EC of the European Parliament and of the Council of 23 September 2002 amending Council Directive 76/207/EEC on the implementation of the principle of equal treatment for men and women as regards access to employment, vocational training and promotion, and working conditions, defines sexual harassment as "unwanted conduct of a sexual nature, whether physical, verbal or non-verbal, which has the purpose or effect of </w:t>
      </w:r>
      <w:r w:rsidRPr="00AB1F43">
        <w:rPr>
          <w:rFonts w:cstheme="minorHAnsi"/>
          <w:sz w:val="18"/>
          <w:szCs w:val="18"/>
        </w:rPr>
        <w:lastRenderedPageBreak/>
        <w:t>violating the dignity of a person and, in particular, of creating an intimidating, hostile, degrading, humiliating or offensive environment".</w:t>
      </w:r>
    </w:p>
    <w:p w14:paraId="59FCED80" w14:textId="77777777" w:rsidR="000F5166" w:rsidRPr="00AB1F43" w:rsidRDefault="000F5166" w:rsidP="00986AF7">
      <w:pPr>
        <w:jc w:val="both"/>
        <w:rPr>
          <w:rFonts w:cstheme="minorHAnsi"/>
          <w:sz w:val="18"/>
          <w:szCs w:val="18"/>
        </w:rPr>
      </w:pPr>
      <w:r w:rsidRPr="00AB1F43">
        <w:rPr>
          <w:rFonts w:cstheme="minorHAnsi"/>
          <w:sz w:val="18"/>
          <w:szCs w:val="18"/>
        </w:rPr>
        <w:t>It was recalled that Romania ratified the Istanbul Convention by Law no. 30/2016, so that the incrimination in Article 223 of the Criminal Code must also be interpreted and understood in the light of the provisions of Article 40 of this Convention, which defines sexual harassment and which establishes the obligation of the contracting parties "to take the necessary legislative or other measures to ensure that any form of verbal, non-verbal or physical conduct of a sexual nature, with the purpose or effect of violating the dignity of a person, in particular when creating an intimidating, hostile, degrading, humiliating or offensive environment, is subject to criminal or other lawful sanctions".</w:t>
      </w:r>
    </w:p>
    <w:p w14:paraId="57303438" w14:textId="77777777" w:rsidR="000F5166" w:rsidRPr="00AB1F43" w:rsidRDefault="000F5166" w:rsidP="00986AF7">
      <w:pPr>
        <w:jc w:val="both"/>
        <w:rPr>
          <w:rFonts w:cstheme="minorHAnsi"/>
          <w:sz w:val="18"/>
          <w:szCs w:val="18"/>
        </w:rPr>
      </w:pPr>
      <w:r w:rsidRPr="00AB1F43">
        <w:rPr>
          <w:rFonts w:cstheme="minorHAnsi"/>
          <w:sz w:val="18"/>
          <w:szCs w:val="18"/>
        </w:rPr>
        <w:t>At the same time, the heads of prosecutor's offices have been made aware of the need to resolve cases within reasonable time limits and to investigate them in a non-judgmental and responsive manner to the challenges of the modern world, taking into account the practice of the European Court of Human Rights, which has sanctioned obstacles to women's effective and non-discriminatory access to justice, the lack of a full and effective investigation in cases of gender-based violence, the lack of swift and prompt action by the judiciary, which are in themselves means of protecting vulnerable victims such as victims of gender-based violence.</w:t>
      </w:r>
    </w:p>
    <w:p w14:paraId="6F5037AF" w14:textId="77777777" w:rsidR="000F5166" w:rsidRPr="00AB1F43" w:rsidRDefault="000F5166" w:rsidP="00986AF7">
      <w:pPr>
        <w:jc w:val="both"/>
        <w:rPr>
          <w:rFonts w:cstheme="minorHAnsi"/>
          <w:sz w:val="18"/>
          <w:szCs w:val="18"/>
        </w:rPr>
      </w:pPr>
      <w:r w:rsidRPr="00AB1F43">
        <w:rPr>
          <w:rFonts w:cstheme="minorHAnsi"/>
          <w:sz w:val="18"/>
          <w:szCs w:val="18"/>
        </w:rPr>
        <w:t>Also, as part of the inspection that has been carried out, the prosecutor’s offices received specific reports on the erroneous legal classification of the reported acts and other procedural deficiencies that have been identified.</w:t>
      </w:r>
    </w:p>
    <w:p w14:paraId="737531A0" w14:textId="77777777" w:rsidR="000F5166" w:rsidRPr="00AB1F43" w:rsidRDefault="000F5166" w:rsidP="00986AF7">
      <w:pPr>
        <w:jc w:val="both"/>
        <w:rPr>
          <w:rFonts w:cstheme="minorHAnsi"/>
          <w:sz w:val="18"/>
          <w:szCs w:val="18"/>
        </w:rPr>
      </w:pPr>
      <w:r w:rsidRPr="00AB1F43">
        <w:rPr>
          <w:rFonts w:cstheme="minorHAnsi"/>
          <w:sz w:val="18"/>
          <w:szCs w:val="18"/>
        </w:rPr>
        <w:t xml:space="preserve">The conclusions and findings of the inspection were disseminated to the prosecutor's offices. </w:t>
      </w:r>
    </w:p>
    <w:p w14:paraId="71FDCD78" w14:textId="44CCAB00" w:rsidR="000F5166" w:rsidRPr="00AB1F43" w:rsidRDefault="000F5166" w:rsidP="00986AF7">
      <w:pPr>
        <w:jc w:val="both"/>
        <w:rPr>
          <w:rFonts w:cstheme="minorHAnsi"/>
          <w:sz w:val="18"/>
          <w:szCs w:val="18"/>
        </w:rPr>
      </w:pPr>
      <w:r w:rsidRPr="00AB1F43">
        <w:rPr>
          <w:rFonts w:cstheme="minorHAnsi"/>
          <w:sz w:val="18"/>
          <w:szCs w:val="18"/>
        </w:rPr>
        <w:t xml:space="preserve">In addition to the criminal law instruments aimed at preventing sexual harassment in the workplace [Article 223 - sexual harassment, Article 226(21) - violation of privacy (incrimination introduced by Law no. 171/2023), Article 299(2) and (3) - misuse of office for sexual purposes of the Criminal Code], sexual discrimination in the workplace is prevented by disciplinary sanctions applied to the employee guilty of such an act or by </w:t>
      </w:r>
      <w:r w:rsidR="00986AF7" w:rsidRPr="00AB1F43">
        <w:rPr>
          <w:rFonts w:cstheme="minorHAnsi"/>
          <w:sz w:val="18"/>
          <w:szCs w:val="18"/>
        </w:rPr>
        <w:t>contravention</w:t>
      </w:r>
      <w:r w:rsidRPr="00AB1F43">
        <w:rPr>
          <w:rFonts w:cstheme="minorHAnsi"/>
          <w:sz w:val="18"/>
          <w:szCs w:val="18"/>
        </w:rPr>
        <w:t xml:space="preserve"> sanctions applied to the employer tolerating such acts in the workplace.</w:t>
      </w:r>
    </w:p>
    <w:p w14:paraId="30C068A9" w14:textId="77777777" w:rsidR="000F5166" w:rsidRPr="00AB1F43" w:rsidRDefault="000F5166" w:rsidP="00986AF7">
      <w:pPr>
        <w:jc w:val="both"/>
        <w:rPr>
          <w:rFonts w:cstheme="minorHAnsi"/>
          <w:sz w:val="18"/>
          <w:szCs w:val="18"/>
        </w:rPr>
      </w:pPr>
      <w:r w:rsidRPr="00AB1F43">
        <w:rPr>
          <w:rFonts w:cstheme="minorHAnsi"/>
          <w:sz w:val="18"/>
          <w:szCs w:val="18"/>
        </w:rPr>
        <w:t xml:space="preserve">Government Ordinance no. 137/2000 on the prevention and punishment of all forms of discrimination was amended by Law no. 167/2020 and the legal concept of moral harassment in the workplace was thus enshrined. </w:t>
      </w:r>
    </w:p>
    <w:p w14:paraId="607BDCCE" w14:textId="77777777" w:rsidR="000F5166" w:rsidRPr="00AB1F43" w:rsidRDefault="000F5166" w:rsidP="00986AF7">
      <w:pPr>
        <w:jc w:val="both"/>
        <w:rPr>
          <w:rFonts w:cstheme="minorHAnsi"/>
          <w:sz w:val="18"/>
          <w:szCs w:val="18"/>
        </w:rPr>
      </w:pPr>
      <w:r w:rsidRPr="00AB1F43">
        <w:rPr>
          <w:rFonts w:cstheme="minorHAnsi"/>
          <w:sz w:val="18"/>
          <w:szCs w:val="18"/>
        </w:rPr>
        <w:t>Thus, according to Article 2(51)-(57) of G.O. no. 137/2000, as amended:</w:t>
      </w:r>
    </w:p>
    <w:p w14:paraId="0AD2BAA2" w14:textId="43A6771D" w:rsidR="000F5166" w:rsidRPr="00AB1F43" w:rsidRDefault="000F5166" w:rsidP="00986AF7">
      <w:pPr>
        <w:jc w:val="both"/>
        <w:rPr>
          <w:rFonts w:cstheme="minorHAnsi"/>
          <w:sz w:val="18"/>
          <w:szCs w:val="18"/>
        </w:rPr>
      </w:pPr>
      <w:r w:rsidRPr="00AB1F43">
        <w:rPr>
          <w:rFonts w:cstheme="minorHAnsi"/>
          <w:sz w:val="18"/>
          <w:szCs w:val="18"/>
        </w:rPr>
        <w:t xml:space="preserve">"(51) Moral harassment in the workplace shall be considered and shall be punished by disciplinary, </w:t>
      </w:r>
      <w:r w:rsidR="00986AF7" w:rsidRPr="00AB1F43">
        <w:rPr>
          <w:rFonts w:cstheme="minorHAnsi"/>
          <w:sz w:val="18"/>
          <w:szCs w:val="18"/>
        </w:rPr>
        <w:t>contravention</w:t>
      </w:r>
      <w:r w:rsidRPr="00AB1F43">
        <w:rPr>
          <w:rFonts w:cstheme="minorHAnsi"/>
          <w:sz w:val="18"/>
          <w:szCs w:val="18"/>
        </w:rPr>
        <w:t xml:space="preserve"> or criminal sanctions, as the case may be, any conduct exercised against an employee by another employee who is hierarchically superior, by a subordinate and/or by a comparable employee in terms of hierarchy, in connection with work relations, which has the purpose or effect of adversely affecting work conditions by violating the employee's rights or dignity, by impairing the employee's physical or mental health or by </w:t>
      </w:r>
      <w:r w:rsidR="00986AF7" w:rsidRPr="00AB1F43">
        <w:rPr>
          <w:rFonts w:cstheme="minorHAnsi"/>
          <w:sz w:val="18"/>
          <w:szCs w:val="18"/>
        </w:rPr>
        <w:t>jeopardizing</w:t>
      </w:r>
      <w:r w:rsidRPr="00AB1F43">
        <w:rPr>
          <w:rFonts w:cstheme="minorHAnsi"/>
          <w:sz w:val="18"/>
          <w:szCs w:val="18"/>
        </w:rPr>
        <w:t xml:space="preserve"> the employee's future employment, and which takes any of the following forms: (a) hostile or unwanted conduct; (b) verbal comments; (c) actions or gestures.</w:t>
      </w:r>
    </w:p>
    <w:p w14:paraId="514E8CA0" w14:textId="77777777" w:rsidR="000F5166" w:rsidRPr="00AB1F43" w:rsidRDefault="000F5166" w:rsidP="00986AF7">
      <w:pPr>
        <w:jc w:val="both"/>
        <w:rPr>
          <w:rFonts w:cstheme="minorHAnsi"/>
          <w:sz w:val="18"/>
          <w:szCs w:val="18"/>
        </w:rPr>
      </w:pPr>
      <w:r w:rsidRPr="00AB1F43">
        <w:rPr>
          <w:rFonts w:cstheme="minorHAnsi"/>
          <w:sz w:val="18"/>
          <w:szCs w:val="18"/>
        </w:rPr>
        <w:t>(52) Moral harassment in the workplace shall be considered any conduct which, by its systematic nature, is likely to harm the dignity, physical or mental integrity of an employee or group of employees, endangering their work or degrading the work climate. Within the meaning of this law, stress and physical exhaustion are covered by moral harassment in the workplace.</w:t>
      </w:r>
    </w:p>
    <w:p w14:paraId="4D75C3AB" w14:textId="77777777" w:rsidR="000F5166" w:rsidRPr="00AB1F43" w:rsidRDefault="000F5166" w:rsidP="00986AF7">
      <w:pPr>
        <w:jc w:val="both"/>
        <w:rPr>
          <w:rFonts w:cstheme="minorHAnsi"/>
          <w:sz w:val="18"/>
          <w:szCs w:val="18"/>
        </w:rPr>
      </w:pPr>
      <w:r w:rsidRPr="00AB1F43">
        <w:rPr>
          <w:rFonts w:cstheme="minorHAnsi"/>
          <w:sz w:val="18"/>
          <w:szCs w:val="18"/>
        </w:rPr>
        <w:t>(53)</w:t>
      </w:r>
      <w:r w:rsidRPr="00AB1F43">
        <w:rPr>
          <w:rFonts w:cstheme="minorHAnsi"/>
          <w:sz w:val="18"/>
          <w:szCs w:val="18"/>
        </w:rPr>
        <w:tab/>
        <w:t>All employees have the right to a workplace free from moral harassment. No employee shall be punished, dismissed or discriminated against, directly or indirectly, including with regard to pay, training, promotion or extension of employment, on the grounds that he or she has been subjected to or has refused to be subjected to moral harassment in the workplace.</w:t>
      </w:r>
    </w:p>
    <w:p w14:paraId="39E06664" w14:textId="1B16627A" w:rsidR="000F5166" w:rsidRPr="00AB1F43" w:rsidRDefault="000F5166" w:rsidP="00986AF7">
      <w:pPr>
        <w:jc w:val="both"/>
        <w:rPr>
          <w:rFonts w:cstheme="minorHAnsi"/>
          <w:sz w:val="18"/>
          <w:szCs w:val="18"/>
        </w:rPr>
      </w:pPr>
      <w:r w:rsidRPr="00AB1F43">
        <w:rPr>
          <w:rFonts w:cstheme="minorHAnsi"/>
          <w:sz w:val="18"/>
          <w:szCs w:val="18"/>
        </w:rPr>
        <w:t>(54)</w:t>
      </w:r>
      <w:r w:rsidRPr="00AB1F43">
        <w:rPr>
          <w:rFonts w:cstheme="minorHAnsi"/>
          <w:sz w:val="18"/>
          <w:szCs w:val="18"/>
        </w:rPr>
        <w:tab/>
        <w:t xml:space="preserve">Employees who commit acts or deeds of moral harassment in the workplace shall be liable to disciplinary action in accordance with the law and the employer's internal regulations. Disciplinary liability does not remove the employee's criminal or </w:t>
      </w:r>
      <w:r w:rsidR="00986AF7" w:rsidRPr="00AB1F43">
        <w:rPr>
          <w:rFonts w:cstheme="minorHAnsi"/>
          <w:sz w:val="18"/>
          <w:szCs w:val="18"/>
        </w:rPr>
        <w:t>contravention</w:t>
      </w:r>
      <w:r w:rsidRPr="00AB1F43">
        <w:rPr>
          <w:rFonts w:cstheme="minorHAnsi"/>
          <w:sz w:val="18"/>
          <w:szCs w:val="18"/>
        </w:rPr>
        <w:t xml:space="preserve"> liability for such deeds.</w:t>
      </w:r>
    </w:p>
    <w:p w14:paraId="70C4DA0D" w14:textId="77777777" w:rsidR="000F5166" w:rsidRPr="00AB1F43" w:rsidRDefault="000F5166" w:rsidP="00986AF7">
      <w:pPr>
        <w:jc w:val="both"/>
        <w:rPr>
          <w:rFonts w:cstheme="minorHAnsi"/>
          <w:sz w:val="18"/>
          <w:szCs w:val="18"/>
        </w:rPr>
      </w:pPr>
      <w:r w:rsidRPr="00AB1F43">
        <w:rPr>
          <w:rFonts w:cstheme="minorHAnsi"/>
          <w:sz w:val="18"/>
          <w:szCs w:val="18"/>
        </w:rPr>
        <w:t>(55)</w:t>
      </w:r>
      <w:r w:rsidRPr="00AB1F43">
        <w:rPr>
          <w:rFonts w:cstheme="minorHAnsi"/>
          <w:sz w:val="18"/>
          <w:szCs w:val="18"/>
        </w:rPr>
        <w:tab/>
        <w:t>Employers shall undertake any necessary measures to prevent and combat acts of moral harassment in the workplace, including by providing in the internal rules of the establishment for disciplinary sanctions for employees who commit acts or deeds of moral harassment in the workplace.</w:t>
      </w:r>
    </w:p>
    <w:p w14:paraId="4AEE08C0" w14:textId="77777777" w:rsidR="000F5166" w:rsidRPr="00AB1F43" w:rsidRDefault="000F5166" w:rsidP="00986AF7">
      <w:pPr>
        <w:jc w:val="both"/>
        <w:rPr>
          <w:rFonts w:cstheme="minorHAnsi"/>
          <w:sz w:val="18"/>
          <w:szCs w:val="18"/>
        </w:rPr>
      </w:pPr>
      <w:r w:rsidRPr="00AB1F43">
        <w:rPr>
          <w:rFonts w:cstheme="minorHAnsi"/>
          <w:sz w:val="18"/>
          <w:szCs w:val="18"/>
        </w:rPr>
        <w:t>(56)</w:t>
      </w:r>
      <w:r w:rsidRPr="00AB1F43">
        <w:rPr>
          <w:rFonts w:cstheme="minorHAnsi"/>
          <w:sz w:val="18"/>
          <w:szCs w:val="18"/>
        </w:rPr>
        <w:tab/>
        <w:t>It shall be forbidden for the employer to establish, in any form, internal rules or measures that would force, cause or incite employees to commit acts or deeds of moral harassment in the workplace.</w:t>
      </w:r>
    </w:p>
    <w:p w14:paraId="28D29A79" w14:textId="77777777" w:rsidR="000F5166" w:rsidRPr="00AB1F43" w:rsidRDefault="000F5166" w:rsidP="00986AF7">
      <w:pPr>
        <w:jc w:val="both"/>
        <w:rPr>
          <w:rFonts w:cstheme="minorHAnsi"/>
          <w:sz w:val="18"/>
          <w:szCs w:val="18"/>
        </w:rPr>
      </w:pPr>
      <w:r w:rsidRPr="00AB1F43">
        <w:rPr>
          <w:rFonts w:cstheme="minorHAnsi"/>
          <w:sz w:val="18"/>
          <w:szCs w:val="18"/>
        </w:rPr>
        <w:lastRenderedPageBreak/>
        <w:t>(57)</w:t>
      </w:r>
      <w:r w:rsidRPr="00AB1F43">
        <w:rPr>
          <w:rFonts w:cstheme="minorHAnsi"/>
          <w:sz w:val="18"/>
          <w:szCs w:val="18"/>
        </w:rPr>
        <w:tab/>
        <w:t>The employee who is the victim of moral harassment in the workplace must prove the factual elements of moral harassment, the burden of proof being on the employer, in accordance with the law. Intention to harm through acts or deeds of moral harassment in the workplace does not have to be proved.”</w:t>
      </w:r>
    </w:p>
    <w:p w14:paraId="327CDCF0" w14:textId="0C18D51B" w:rsidR="000F5166" w:rsidRPr="00AB1F43" w:rsidRDefault="000F5166" w:rsidP="00986AF7">
      <w:pPr>
        <w:jc w:val="both"/>
        <w:rPr>
          <w:rFonts w:cstheme="minorHAnsi"/>
          <w:sz w:val="18"/>
          <w:szCs w:val="18"/>
        </w:rPr>
      </w:pPr>
      <w:r w:rsidRPr="00AB1F43">
        <w:rPr>
          <w:rFonts w:cstheme="minorHAnsi"/>
          <w:sz w:val="18"/>
          <w:szCs w:val="18"/>
        </w:rPr>
        <w:t xml:space="preserve">The legal framework in which the </w:t>
      </w:r>
      <w:r w:rsidR="00986AF7" w:rsidRPr="00AB1F43">
        <w:rPr>
          <w:rFonts w:cstheme="minorHAnsi"/>
          <w:sz w:val="18"/>
          <w:szCs w:val="18"/>
        </w:rPr>
        <w:t>contravention</w:t>
      </w:r>
      <w:r w:rsidRPr="00AB1F43">
        <w:rPr>
          <w:rFonts w:cstheme="minorHAnsi"/>
          <w:sz w:val="18"/>
          <w:szCs w:val="18"/>
        </w:rPr>
        <w:t xml:space="preserve"> liability of the employer who tolerates or encourages acts of sexual harassment in the workplace arises is provided by Article 26 of G.O. no. 137/2000. </w:t>
      </w:r>
    </w:p>
    <w:p w14:paraId="7B34B9E0" w14:textId="77777777" w:rsidR="000F5166" w:rsidRPr="00AB1F43" w:rsidRDefault="000F5166" w:rsidP="00986AF7">
      <w:pPr>
        <w:jc w:val="both"/>
        <w:rPr>
          <w:rFonts w:cstheme="minorHAnsi"/>
          <w:sz w:val="18"/>
          <w:szCs w:val="18"/>
        </w:rPr>
      </w:pPr>
      <w:r w:rsidRPr="00AB1F43">
        <w:rPr>
          <w:rFonts w:cstheme="minorHAnsi"/>
          <w:sz w:val="18"/>
          <w:szCs w:val="18"/>
        </w:rPr>
        <w:t>„Article 26 - (1) The contraventions referred to in Article 2(2), (4), (5) and (7), Articles 6-9, Article 10, Article 11(1), (3) and (6), Articles 12, 13, 14 and 15 are punishable by a fine of between 1,000 lei and 30,000 lei if the discrimination concerns a natural person, and by a fine of between 2,000 lei and 100,000 lei if the discrimination concerns a group of persons or a community.</w:t>
      </w:r>
    </w:p>
    <w:p w14:paraId="30CBCCA6" w14:textId="77777777" w:rsidR="000F5166" w:rsidRPr="00AB1F43" w:rsidRDefault="000F5166" w:rsidP="00986AF7">
      <w:pPr>
        <w:jc w:val="both"/>
        <w:rPr>
          <w:rFonts w:cstheme="minorHAnsi"/>
          <w:sz w:val="18"/>
          <w:szCs w:val="18"/>
        </w:rPr>
      </w:pPr>
      <w:r w:rsidRPr="00AB1F43">
        <w:rPr>
          <w:rFonts w:cstheme="minorHAnsi"/>
          <w:sz w:val="18"/>
          <w:szCs w:val="18"/>
        </w:rPr>
        <w:t>(1)</w:t>
      </w:r>
      <w:r w:rsidRPr="00AB1F43">
        <w:rPr>
          <w:rFonts w:cstheme="minorHAnsi"/>
          <w:sz w:val="18"/>
          <w:szCs w:val="18"/>
        </w:rPr>
        <w:tab/>
        <w:t>Moral harassment in the workplace committed by an employee, by infringing the rights or dignity of another employee, shall constitute a contravention and is punishable by a fine of between 10,000 lei and 15,000 lei. (...)</w:t>
      </w:r>
    </w:p>
    <w:p w14:paraId="1576C2F7" w14:textId="77777777" w:rsidR="000F5166" w:rsidRPr="00AB1F43" w:rsidRDefault="000F5166" w:rsidP="00986AF7">
      <w:pPr>
        <w:jc w:val="both"/>
        <w:rPr>
          <w:rFonts w:cstheme="minorHAnsi"/>
          <w:sz w:val="18"/>
          <w:szCs w:val="18"/>
        </w:rPr>
      </w:pPr>
      <w:r w:rsidRPr="00AB1F43">
        <w:rPr>
          <w:rFonts w:cstheme="minorHAnsi"/>
          <w:sz w:val="18"/>
          <w:szCs w:val="18"/>
        </w:rPr>
        <w:t>(21)</w:t>
      </w:r>
      <w:r w:rsidRPr="00AB1F43">
        <w:rPr>
          <w:rFonts w:cstheme="minorHAnsi"/>
          <w:sz w:val="18"/>
          <w:szCs w:val="18"/>
        </w:rPr>
        <w:tab/>
        <w:t>Whenever the Court finds that an act of moral harassment has been committed in the workplace, it may, in accordance with the law:</w:t>
      </w:r>
    </w:p>
    <w:p w14:paraId="08223C39" w14:textId="77777777" w:rsidR="000F5166" w:rsidRPr="00AB1F43" w:rsidRDefault="000F5166" w:rsidP="00986AF7">
      <w:pPr>
        <w:jc w:val="both"/>
        <w:rPr>
          <w:rFonts w:cstheme="minorHAnsi"/>
          <w:sz w:val="18"/>
          <w:szCs w:val="18"/>
        </w:rPr>
      </w:pPr>
      <w:r w:rsidRPr="00AB1F43">
        <w:rPr>
          <w:rFonts w:cstheme="minorHAnsi"/>
          <w:sz w:val="18"/>
          <w:szCs w:val="18"/>
        </w:rPr>
        <w:t>a)</w:t>
      </w:r>
      <w:r w:rsidRPr="00AB1F43">
        <w:rPr>
          <w:rFonts w:cstheme="minorHAnsi"/>
          <w:sz w:val="18"/>
          <w:szCs w:val="18"/>
        </w:rPr>
        <w:tab/>
        <w:t>order the employer to take all necessary measures to put an end to any act or deed of moral harassment in the workplace in respect of the employee concerned;</w:t>
      </w:r>
    </w:p>
    <w:p w14:paraId="246D1CEB" w14:textId="77777777" w:rsidR="000F5166" w:rsidRPr="00AB1F43" w:rsidRDefault="000F5166" w:rsidP="00986AF7">
      <w:pPr>
        <w:jc w:val="both"/>
        <w:rPr>
          <w:rFonts w:cstheme="minorHAnsi"/>
          <w:sz w:val="18"/>
          <w:szCs w:val="18"/>
        </w:rPr>
      </w:pPr>
      <w:r w:rsidRPr="00AB1F43">
        <w:rPr>
          <w:rFonts w:cstheme="minorHAnsi"/>
          <w:sz w:val="18"/>
          <w:szCs w:val="18"/>
        </w:rPr>
        <w:t>b)</w:t>
      </w:r>
      <w:r w:rsidRPr="00AB1F43">
        <w:rPr>
          <w:rFonts w:cstheme="minorHAnsi"/>
          <w:sz w:val="18"/>
          <w:szCs w:val="18"/>
        </w:rPr>
        <w:tab/>
        <w:t>order the reinstatement of the employee concerned;</w:t>
      </w:r>
    </w:p>
    <w:p w14:paraId="08FB1E6B" w14:textId="77777777" w:rsidR="000F5166" w:rsidRPr="00AB1F43" w:rsidRDefault="000F5166" w:rsidP="00986AF7">
      <w:pPr>
        <w:jc w:val="both"/>
        <w:rPr>
          <w:rFonts w:cstheme="minorHAnsi"/>
          <w:sz w:val="18"/>
          <w:szCs w:val="18"/>
        </w:rPr>
      </w:pPr>
      <w:r w:rsidRPr="00AB1F43">
        <w:rPr>
          <w:rFonts w:cstheme="minorHAnsi"/>
          <w:sz w:val="18"/>
          <w:szCs w:val="18"/>
        </w:rPr>
        <w:t>c)</w:t>
      </w:r>
      <w:r w:rsidRPr="00AB1F43">
        <w:rPr>
          <w:rFonts w:cstheme="minorHAnsi"/>
          <w:sz w:val="18"/>
          <w:szCs w:val="18"/>
        </w:rPr>
        <w:tab/>
        <w:t>order the employer to pay the employee compensation equal to the equivalent of the salary rights which he/she has been deprived of;</w:t>
      </w:r>
    </w:p>
    <w:p w14:paraId="24CAA772" w14:textId="77777777" w:rsidR="000F5166" w:rsidRPr="00AB1F43" w:rsidRDefault="000F5166" w:rsidP="00986AF7">
      <w:pPr>
        <w:jc w:val="both"/>
        <w:rPr>
          <w:rFonts w:cstheme="minorHAnsi"/>
          <w:sz w:val="18"/>
          <w:szCs w:val="18"/>
        </w:rPr>
      </w:pPr>
      <w:r w:rsidRPr="00AB1F43">
        <w:rPr>
          <w:rFonts w:cstheme="minorHAnsi"/>
          <w:sz w:val="18"/>
          <w:szCs w:val="18"/>
        </w:rPr>
        <w:t>d)</w:t>
      </w:r>
      <w:r w:rsidRPr="00AB1F43">
        <w:rPr>
          <w:rFonts w:cstheme="minorHAnsi"/>
          <w:sz w:val="18"/>
          <w:szCs w:val="18"/>
        </w:rPr>
        <w:tab/>
        <w:t>order the employer to pay the employee material and non-material damages;</w:t>
      </w:r>
    </w:p>
    <w:p w14:paraId="0D867937" w14:textId="77777777" w:rsidR="000F5166" w:rsidRPr="00AB1F43" w:rsidRDefault="000F5166" w:rsidP="00986AF7">
      <w:pPr>
        <w:jc w:val="both"/>
        <w:rPr>
          <w:rFonts w:cstheme="minorHAnsi"/>
          <w:sz w:val="18"/>
          <w:szCs w:val="18"/>
        </w:rPr>
      </w:pPr>
      <w:r w:rsidRPr="00AB1F43">
        <w:rPr>
          <w:rFonts w:cstheme="minorHAnsi"/>
          <w:sz w:val="18"/>
          <w:szCs w:val="18"/>
        </w:rPr>
        <w:t>e)</w:t>
      </w:r>
      <w:r w:rsidRPr="00AB1F43">
        <w:rPr>
          <w:rFonts w:cstheme="minorHAnsi"/>
          <w:sz w:val="18"/>
          <w:szCs w:val="18"/>
        </w:rPr>
        <w:tab/>
        <w:t>order the employer to pay the employee the sum necessary for the psychological counselling required by the employee for a reasonable period determined by the occupational physician;</w:t>
      </w:r>
    </w:p>
    <w:p w14:paraId="7AE4DA51" w14:textId="77777777" w:rsidR="000F5166" w:rsidRPr="00AB1F43" w:rsidRDefault="000F5166" w:rsidP="00986AF7">
      <w:pPr>
        <w:jc w:val="both"/>
        <w:rPr>
          <w:rFonts w:cstheme="minorHAnsi"/>
          <w:sz w:val="18"/>
          <w:szCs w:val="18"/>
        </w:rPr>
      </w:pPr>
      <w:r w:rsidRPr="00AB1F43">
        <w:rPr>
          <w:rFonts w:cstheme="minorHAnsi"/>
          <w:sz w:val="18"/>
          <w:szCs w:val="18"/>
        </w:rPr>
        <w:t>f)</w:t>
      </w:r>
      <w:r w:rsidRPr="00AB1F43">
        <w:rPr>
          <w:rFonts w:cstheme="minorHAnsi"/>
          <w:sz w:val="18"/>
          <w:szCs w:val="18"/>
        </w:rPr>
        <w:tab/>
        <w:t>order the employer to amend the employee's disciplinary records.</w:t>
      </w:r>
    </w:p>
    <w:p w14:paraId="38983D21" w14:textId="77777777" w:rsidR="000F5166" w:rsidRPr="00AB1F43" w:rsidRDefault="000F5166" w:rsidP="00986AF7">
      <w:pPr>
        <w:jc w:val="both"/>
        <w:rPr>
          <w:rFonts w:cstheme="minorHAnsi"/>
          <w:sz w:val="18"/>
          <w:szCs w:val="18"/>
        </w:rPr>
      </w:pPr>
      <w:r w:rsidRPr="00AB1F43">
        <w:rPr>
          <w:rFonts w:cstheme="minorHAnsi"/>
          <w:sz w:val="18"/>
          <w:szCs w:val="18"/>
        </w:rPr>
        <w:t>(22)</w:t>
      </w:r>
      <w:r w:rsidRPr="00AB1F43">
        <w:rPr>
          <w:rFonts w:cstheme="minorHAnsi"/>
          <w:sz w:val="18"/>
          <w:szCs w:val="18"/>
        </w:rPr>
        <w:tab/>
        <w:t>Whenever the Council finds that an act of moral harassment has been committed in the workplace, it shall apply, in accordance with the law, any of the measures provided for in paragraph (21)(a) and (e).</w:t>
      </w:r>
    </w:p>
    <w:p w14:paraId="436DDD73" w14:textId="77777777" w:rsidR="000F5166" w:rsidRPr="00AB1F43" w:rsidRDefault="000F5166" w:rsidP="00986AF7">
      <w:pPr>
        <w:jc w:val="both"/>
        <w:rPr>
          <w:rFonts w:cstheme="minorHAnsi"/>
          <w:sz w:val="18"/>
          <w:szCs w:val="18"/>
        </w:rPr>
      </w:pPr>
      <w:r w:rsidRPr="00AB1F43">
        <w:rPr>
          <w:rFonts w:cstheme="minorHAnsi"/>
          <w:sz w:val="18"/>
          <w:szCs w:val="18"/>
        </w:rPr>
        <w:t>(23)</w:t>
      </w:r>
      <w:r w:rsidRPr="00AB1F43">
        <w:rPr>
          <w:rFonts w:cstheme="minorHAnsi"/>
          <w:sz w:val="18"/>
          <w:szCs w:val="18"/>
        </w:rPr>
        <w:tab/>
        <w:t>Failure by the employer to comply with the measures ordered by the Council shall constitute a contravention and shall be punishable by a fine of between 100,000 lei and 200,000 lei. Payment of the fine shall not exempt the employer from fulfilling the obligations provided for in paragraph (21).</w:t>
      </w:r>
    </w:p>
    <w:p w14:paraId="68D56309" w14:textId="77777777" w:rsidR="000F5166" w:rsidRPr="00AB1F43" w:rsidRDefault="000F5166" w:rsidP="00986AF7">
      <w:pPr>
        <w:jc w:val="both"/>
        <w:rPr>
          <w:rFonts w:cstheme="minorHAnsi"/>
          <w:sz w:val="18"/>
          <w:szCs w:val="18"/>
        </w:rPr>
      </w:pPr>
      <w:r w:rsidRPr="00AB1F43">
        <w:rPr>
          <w:rFonts w:cstheme="minorHAnsi"/>
          <w:sz w:val="18"/>
          <w:szCs w:val="18"/>
        </w:rPr>
        <w:t>(3)</w:t>
      </w:r>
      <w:r w:rsidRPr="00AB1F43">
        <w:rPr>
          <w:rFonts w:cstheme="minorHAnsi"/>
          <w:sz w:val="18"/>
          <w:szCs w:val="18"/>
        </w:rPr>
        <w:tab/>
        <w:t>The sanctions shall also apply to legal persons.”</w:t>
      </w:r>
    </w:p>
    <w:p w14:paraId="5D453D70" w14:textId="2EEDC3AC" w:rsidR="000F5166" w:rsidRPr="00AB1F43" w:rsidRDefault="000F5166" w:rsidP="00986AF7">
      <w:pPr>
        <w:jc w:val="both"/>
        <w:rPr>
          <w:rFonts w:cstheme="minorHAnsi"/>
          <w:sz w:val="18"/>
          <w:szCs w:val="18"/>
        </w:rPr>
      </w:pPr>
      <w:r w:rsidRPr="00AB1F43">
        <w:rPr>
          <w:rFonts w:cstheme="minorHAnsi"/>
          <w:sz w:val="18"/>
          <w:szCs w:val="18"/>
        </w:rPr>
        <w:t xml:space="preserve">While it is preferable for persons who consider themselves discriminated against to avail themselves of a </w:t>
      </w:r>
      <w:r w:rsidR="00986AF7" w:rsidRPr="00AB1F43">
        <w:rPr>
          <w:rFonts w:cstheme="minorHAnsi"/>
          <w:sz w:val="18"/>
          <w:szCs w:val="18"/>
        </w:rPr>
        <w:t>favorable</w:t>
      </w:r>
      <w:r w:rsidRPr="00AB1F43">
        <w:rPr>
          <w:rFonts w:cstheme="minorHAnsi"/>
          <w:sz w:val="18"/>
          <w:szCs w:val="18"/>
        </w:rPr>
        <w:t xml:space="preserve"> evidentiary hearing before the Council for Combating Discrimination, they have the option of directly lodging a claim for damages before a civil Court. </w:t>
      </w:r>
    </w:p>
    <w:p w14:paraId="4452E47A" w14:textId="77777777" w:rsidR="000F5166" w:rsidRPr="00AB1F43" w:rsidRDefault="000F5166" w:rsidP="00986AF7">
      <w:pPr>
        <w:jc w:val="both"/>
        <w:rPr>
          <w:rFonts w:cstheme="minorHAnsi"/>
          <w:sz w:val="18"/>
          <w:szCs w:val="18"/>
        </w:rPr>
      </w:pPr>
      <w:r w:rsidRPr="00AB1F43">
        <w:rPr>
          <w:rFonts w:cstheme="minorHAnsi"/>
          <w:sz w:val="18"/>
          <w:szCs w:val="18"/>
        </w:rPr>
        <w:t>Thus, as it results from the provisions of Article 27 of the G.O. no. 137/2000, the person who considers himself/herself discriminated against may lodge a claim before the Court for compensation and restoration of the conditions existing prior to the discrimination or undoing of the conditions created by the discrimination, according to common law. The claim is exempt from judicial stamp duty and is not conditional on the matter being referred to the Council.</w:t>
      </w:r>
    </w:p>
    <w:p w14:paraId="3B1400A6" w14:textId="77777777" w:rsidR="000F5166" w:rsidRPr="00AB1F43" w:rsidRDefault="000F5166" w:rsidP="00986AF7">
      <w:pPr>
        <w:jc w:val="both"/>
        <w:rPr>
          <w:rFonts w:cstheme="minorHAnsi"/>
          <w:sz w:val="18"/>
          <w:szCs w:val="18"/>
        </w:rPr>
      </w:pPr>
      <w:r w:rsidRPr="00AB1F43">
        <w:rPr>
          <w:rFonts w:cstheme="minorHAnsi"/>
          <w:sz w:val="18"/>
          <w:szCs w:val="18"/>
        </w:rPr>
        <w:t xml:space="preserve"> The time-limit for lodging a claim is three years and runs from the date on which the offence was committed or from the date on which the injured party could have known that it had been committed. Even if the matter has not been referred to the Council, the Council must be summoned to hear the case. The injured party shall submit evidence supporting a presumption of direct or indirect discrimination and the burden of proving that there has been no breach of the principle of equal treatment shall lie with the person against whom the complaint has been made. </w:t>
      </w:r>
    </w:p>
    <w:p w14:paraId="0969C277" w14:textId="106FD4E2" w:rsidR="000F5166" w:rsidRPr="00AB1F43" w:rsidRDefault="000F5166" w:rsidP="00986AF7">
      <w:pPr>
        <w:jc w:val="both"/>
        <w:rPr>
          <w:rFonts w:cstheme="minorHAnsi"/>
          <w:sz w:val="18"/>
          <w:szCs w:val="18"/>
        </w:rPr>
      </w:pPr>
      <w:r w:rsidRPr="00AB1F43">
        <w:rPr>
          <w:rFonts w:cstheme="minorHAnsi"/>
          <w:sz w:val="18"/>
          <w:szCs w:val="18"/>
        </w:rPr>
        <w:t xml:space="preserve">Any evidence, including audio and video recordings or statistical data, may be used in court. There is also the possibility, at the request of the claimant, for the court to order the withdrawal or suspension by the issuing authorities of the operating </w:t>
      </w:r>
      <w:r w:rsidR="00986AF7" w:rsidRPr="00AB1F43">
        <w:rPr>
          <w:rFonts w:cstheme="minorHAnsi"/>
          <w:sz w:val="18"/>
          <w:szCs w:val="18"/>
        </w:rPr>
        <w:t>license</w:t>
      </w:r>
      <w:r w:rsidRPr="00AB1F43">
        <w:rPr>
          <w:rFonts w:cstheme="minorHAnsi"/>
          <w:sz w:val="18"/>
          <w:szCs w:val="18"/>
        </w:rPr>
        <w:t xml:space="preserve"> of legal persons which, through discriminatory action, cause substantial damage or which, although causing little damage, repeatedly infringe the provisions of the ordinance.</w:t>
      </w:r>
    </w:p>
    <w:p w14:paraId="67001534" w14:textId="0F63C60A" w:rsidR="00986AF7" w:rsidRPr="00AB1F43" w:rsidRDefault="000F5166" w:rsidP="00AB1F43">
      <w:pPr>
        <w:jc w:val="both"/>
        <w:rPr>
          <w:rFonts w:cstheme="minorHAnsi"/>
          <w:sz w:val="18"/>
          <w:szCs w:val="18"/>
        </w:rPr>
      </w:pPr>
      <w:r w:rsidRPr="00AB1F43">
        <w:rPr>
          <w:rFonts w:cstheme="minorHAnsi"/>
          <w:sz w:val="18"/>
          <w:szCs w:val="18"/>
        </w:rPr>
        <w:lastRenderedPageBreak/>
        <w:t>In the light of the elements submitted in the present reply, the Public Ministry reaffirms its commitment regarding the prevention and the sanctioning of all gender-based discrimination offences, within the limits of the existing legislative framework.</w:t>
      </w:r>
    </w:p>
    <w:p w14:paraId="0DA343C2" w14:textId="77777777" w:rsidR="00986AF7" w:rsidRPr="00AB1F43" w:rsidRDefault="00986AF7" w:rsidP="00CB1379">
      <w:pPr>
        <w:rPr>
          <w:rFonts w:cstheme="minorHAnsi"/>
          <w:sz w:val="18"/>
          <w:szCs w:val="18"/>
        </w:rPr>
      </w:pPr>
    </w:p>
    <w:p w14:paraId="3F00D6A1" w14:textId="7EA92AEE" w:rsidR="00167206" w:rsidRPr="00AB1F43" w:rsidRDefault="00282268" w:rsidP="00AB1F43">
      <w:pPr>
        <w:pStyle w:val="ListParagraph"/>
        <w:numPr>
          <w:ilvl w:val="0"/>
          <w:numId w:val="1"/>
        </w:numPr>
        <w:ind w:left="720"/>
        <w:rPr>
          <w:rFonts w:cstheme="minorHAnsi"/>
          <w:b/>
          <w:bCs/>
          <w:sz w:val="18"/>
          <w:szCs w:val="18"/>
        </w:rPr>
      </w:pPr>
      <w:r w:rsidRPr="00AB1F43">
        <w:rPr>
          <w:rFonts w:cstheme="minorHAnsi"/>
          <w:b/>
          <w:bCs/>
          <w:sz w:val="18"/>
          <w:szCs w:val="18"/>
        </w:rPr>
        <w:t>THE ROMANIAN INSTITUTE FOR HUMAN RIGHTS (RIHR)</w:t>
      </w:r>
    </w:p>
    <w:p w14:paraId="3663AC65" w14:textId="3934139D" w:rsidR="00461C4E" w:rsidRPr="00AB1F43" w:rsidRDefault="00461C4E" w:rsidP="00461C4E">
      <w:pPr>
        <w:rPr>
          <w:rFonts w:cstheme="minorHAnsi"/>
          <w:b/>
          <w:bCs/>
          <w:sz w:val="18"/>
          <w:szCs w:val="18"/>
        </w:rPr>
      </w:pPr>
      <w:r w:rsidRPr="00AB1F43">
        <w:rPr>
          <w:rFonts w:cstheme="minorHAnsi"/>
          <w:b/>
          <w:bCs/>
          <w:sz w:val="18"/>
          <w:szCs w:val="18"/>
        </w:rPr>
        <w:t>National human rights institution</w:t>
      </w:r>
    </w:p>
    <w:p w14:paraId="06DF2DC6" w14:textId="28D97396" w:rsidR="00461C4E" w:rsidRPr="00AB1F43" w:rsidRDefault="00461C4E" w:rsidP="00461C4E">
      <w:pPr>
        <w:rPr>
          <w:rFonts w:cstheme="minorHAnsi"/>
          <w:b/>
          <w:bCs/>
          <w:sz w:val="18"/>
          <w:szCs w:val="18"/>
        </w:rPr>
      </w:pPr>
      <w:r w:rsidRPr="00AB1F43">
        <w:rPr>
          <w:rFonts w:cstheme="minorHAnsi"/>
          <w:b/>
          <w:bCs/>
          <w:sz w:val="18"/>
          <w:szCs w:val="18"/>
        </w:rPr>
        <w:t>7.</w:t>
      </w:r>
      <w:r w:rsidRPr="00AB1F43">
        <w:rPr>
          <w:rFonts w:cstheme="minorHAnsi"/>
          <w:b/>
          <w:bCs/>
          <w:sz w:val="18"/>
          <w:szCs w:val="18"/>
        </w:rPr>
        <w:tab/>
        <w:t>In the light of the Committee’s previous recommendations (para. 13), please explain what steps have been taken to ensure that the Romanian Institute for Human Rights is in full compliance with the principles relating to the status of national institutions for the promotion and protection of human rights (the Paris Principles).</w:t>
      </w:r>
    </w:p>
    <w:p w14:paraId="39FCCE10" w14:textId="1891EE2F" w:rsidR="00461C4E" w:rsidRPr="00AB1F43" w:rsidRDefault="00461C4E" w:rsidP="00461C4E">
      <w:pPr>
        <w:rPr>
          <w:rFonts w:cstheme="minorHAnsi"/>
          <w:b/>
          <w:bCs/>
          <w:sz w:val="18"/>
          <w:szCs w:val="18"/>
        </w:rPr>
      </w:pPr>
      <w:r w:rsidRPr="00AB1F43">
        <w:rPr>
          <w:rFonts w:cstheme="minorHAnsi"/>
          <w:b/>
          <w:bCs/>
          <w:sz w:val="18"/>
          <w:szCs w:val="18"/>
        </w:rPr>
        <w:t xml:space="preserve">THE ROLE OF </w:t>
      </w:r>
      <w:bookmarkStart w:id="13" w:name="_Hlk181693375"/>
      <w:r w:rsidRPr="00AB1F43">
        <w:rPr>
          <w:rFonts w:cstheme="minorHAnsi"/>
          <w:b/>
          <w:bCs/>
          <w:sz w:val="18"/>
          <w:szCs w:val="18"/>
        </w:rPr>
        <w:t>THE ROMANIAN INS</w:t>
      </w:r>
      <w:r w:rsidR="00C3033E" w:rsidRPr="00AB1F43">
        <w:rPr>
          <w:rFonts w:cstheme="minorHAnsi"/>
          <w:b/>
          <w:bCs/>
          <w:sz w:val="18"/>
          <w:szCs w:val="18"/>
        </w:rPr>
        <w:t>TITUTE</w:t>
      </w:r>
      <w:r w:rsidRPr="00AB1F43">
        <w:rPr>
          <w:rFonts w:cstheme="minorHAnsi"/>
          <w:b/>
          <w:bCs/>
          <w:sz w:val="18"/>
          <w:szCs w:val="18"/>
        </w:rPr>
        <w:t xml:space="preserve"> FOR HUMAN RIGHTS (RIHR) </w:t>
      </w:r>
      <w:bookmarkEnd w:id="13"/>
    </w:p>
    <w:p w14:paraId="327A14D4" w14:textId="77777777" w:rsidR="00461C4E" w:rsidRPr="00AB1F43" w:rsidRDefault="00461C4E" w:rsidP="00461C4E">
      <w:pPr>
        <w:jc w:val="both"/>
        <w:rPr>
          <w:rFonts w:cstheme="minorHAnsi"/>
          <w:sz w:val="18"/>
          <w:szCs w:val="18"/>
        </w:rPr>
      </w:pPr>
      <w:r w:rsidRPr="00AB1F43">
        <w:rPr>
          <w:rFonts w:cstheme="minorHAnsi"/>
          <w:sz w:val="18"/>
          <w:szCs w:val="18"/>
        </w:rPr>
        <w:t>in supporting inclusive education, education for human rights, non-discrimination and equal opportunities</w:t>
      </w:r>
    </w:p>
    <w:p w14:paraId="107DDAC4" w14:textId="77777777" w:rsidR="00461C4E" w:rsidRPr="00AB1F43" w:rsidRDefault="00461C4E" w:rsidP="00461C4E">
      <w:pPr>
        <w:jc w:val="both"/>
        <w:rPr>
          <w:rFonts w:cstheme="minorHAnsi"/>
          <w:sz w:val="18"/>
          <w:szCs w:val="18"/>
        </w:rPr>
      </w:pPr>
      <w:r w:rsidRPr="00AB1F43">
        <w:rPr>
          <w:rFonts w:cstheme="minorHAnsi"/>
          <w:sz w:val="18"/>
          <w:szCs w:val="18"/>
        </w:rPr>
        <w:t>Through the activities carried out in the field of combating discrimination, RIHR promoted the importance of achieving at the national level the SDG 10- reduction of inequalities.</w:t>
      </w:r>
    </w:p>
    <w:p w14:paraId="473E4B33" w14:textId="209145FE" w:rsidR="00461C4E" w:rsidRPr="00AB1F43" w:rsidRDefault="00461C4E" w:rsidP="00461C4E">
      <w:pPr>
        <w:jc w:val="both"/>
        <w:rPr>
          <w:rFonts w:cstheme="minorHAnsi"/>
          <w:sz w:val="18"/>
          <w:szCs w:val="18"/>
        </w:rPr>
      </w:pPr>
      <w:r w:rsidRPr="00AB1F43">
        <w:rPr>
          <w:rFonts w:cstheme="minorHAnsi"/>
          <w:sz w:val="18"/>
          <w:szCs w:val="18"/>
        </w:rPr>
        <w:t>In recent years, RIHR has strengthened its relations of cooperation and partnership with representatives of civil society in the field of equal opportunities, combating any form of violence and discrimination and promoting the rights of persons belonging to national minorities.</w:t>
      </w:r>
    </w:p>
    <w:p w14:paraId="3BD7ADA2" w14:textId="77777777" w:rsidR="00461C4E" w:rsidRPr="00AB1F43" w:rsidRDefault="00461C4E" w:rsidP="00461C4E">
      <w:pPr>
        <w:jc w:val="both"/>
        <w:rPr>
          <w:rFonts w:cstheme="minorHAnsi"/>
          <w:sz w:val="18"/>
          <w:szCs w:val="18"/>
        </w:rPr>
      </w:pPr>
      <w:r w:rsidRPr="00AB1F43">
        <w:rPr>
          <w:rFonts w:cstheme="minorHAnsi"/>
          <w:sz w:val="18"/>
          <w:szCs w:val="18"/>
        </w:rPr>
        <w:t>In accordance with its mandate, RIHR promotes education for a culture of human rights, undertakes research studies on aspects of discrimination and the rights of vulnerable categories (children and youth, victims of violence, persons belonging to minorities, migrants, refugees, persons with disabilities, persons belonging to the LGBT community). RIHR’s anti-discrimination activities often overlap with those promoting children's and young people's rights or women’s rights because their central objective is to combat any form of human rights violations, promote equal opportunities and non-discrimination. The institute develops and offers training courses in the field of promoting respect and protection of human rights and vulnerable categories both at the level of secondary schools, national colleges, universities, and for some specialized personnel (members of the two chambers of the Parliament, lawyers, psychologists, and teachers.</w:t>
      </w:r>
    </w:p>
    <w:p w14:paraId="5C2CEBFA" w14:textId="77777777" w:rsidR="00461C4E" w:rsidRPr="00AB1F43" w:rsidRDefault="00461C4E" w:rsidP="00461C4E">
      <w:pPr>
        <w:jc w:val="both"/>
        <w:rPr>
          <w:rFonts w:cstheme="minorHAnsi"/>
          <w:sz w:val="18"/>
          <w:szCs w:val="18"/>
        </w:rPr>
      </w:pPr>
      <w:r w:rsidRPr="00AB1F43">
        <w:rPr>
          <w:rFonts w:cstheme="minorHAnsi"/>
          <w:sz w:val="18"/>
          <w:szCs w:val="18"/>
        </w:rPr>
        <w:t>Through its working group for promoting the rights of women and combating violence the RIHR undertook research regarding the situation of persons belonging to Roma minority and promoted the rights of children belonging to Roma minority</w:t>
      </w:r>
    </w:p>
    <w:p w14:paraId="4265C4A4" w14:textId="77777777" w:rsidR="00461C4E" w:rsidRPr="00AB1F43" w:rsidRDefault="00461C4E" w:rsidP="00461C4E">
      <w:pPr>
        <w:jc w:val="both"/>
        <w:rPr>
          <w:rFonts w:cstheme="minorHAnsi"/>
          <w:sz w:val="18"/>
          <w:szCs w:val="18"/>
        </w:rPr>
      </w:pPr>
      <w:r w:rsidRPr="00AB1F43">
        <w:rPr>
          <w:rFonts w:cstheme="minorHAnsi"/>
          <w:sz w:val="18"/>
          <w:szCs w:val="18"/>
        </w:rPr>
        <w:t xml:space="preserve">To be noted among the 2023 activities of the Institute is its active partnership in the project initiated by the Tatar Democratic Union under the auspices of UNESCO „United in Diversity. No Discrimination”. The RIHR contributed with training courses for teaching staff to work in a multicultural environment and with a research material for a chapter included in the second guide on the "Rights of persons belonging to national minorities" - for teaching </w:t>
      </w:r>
      <w:proofErr w:type="gramStart"/>
      <w:r w:rsidRPr="00AB1F43">
        <w:rPr>
          <w:rFonts w:cstheme="minorHAnsi"/>
          <w:sz w:val="18"/>
          <w:szCs w:val="18"/>
        </w:rPr>
        <w:t>staff .</w:t>
      </w:r>
      <w:proofErr w:type="gramEnd"/>
      <w:r w:rsidRPr="00AB1F43">
        <w:rPr>
          <w:rFonts w:cstheme="minorHAnsi"/>
          <w:sz w:val="18"/>
          <w:szCs w:val="18"/>
        </w:rPr>
        <w:t xml:space="preserve">  The Romanian Institute for Human Rights addressed the issue of equal opportunities and respecting the rights of all children and young people. The publication suggests new educational methodologies in the spirit of combating inequalities. In the chapter "An approach based on the rights of the child in promoting equal opportunities, diversity and inclusion in the educational process" the RIHR provides innovative ideas to promote equality and diversity, to combat racism and xenophobia by suggesting new ways to promote equality, diversity and inclusion, providing examples of activities that teachers can organize when addressing the topic of equal opportunities.</w:t>
      </w:r>
    </w:p>
    <w:p w14:paraId="553593DB" w14:textId="77777777" w:rsidR="00461C4E" w:rsidRPr="00AB1F43" w:rsidRDefault="00461C4E" w:rsidP="00461C4E">
      <w:pPr>
        <w:jc w:val="both"/>
        <w:rPr>
          <w:rFonts w:cstheme="minorHAnsi"/>
          <w:sz w:val="18"/>
          <w:szCs w:val="18"/>
        </w:rPr>
      </w:pPr>
      <w:r w:rsidRPr="00AB1F43">
        <w:rPr>
          <w:rFonts w:cstheme="minorHAnsi"/>
          <w:sz w:val="18"/>
          <w:szCs w:val="18"/>
        </w:rPr>
        <w:t xml:space="preserve">The RIHR contributes through its research and training activity to the promotion of human rights and fundamental freedoms through continuous education for a human rights culture. It elaborates and conducts training on various human rights issues both for students, as well as for teaching staff from the perspective of promoting and respecting human rights. The Institute supports the fight against all forms of discrimination, promoting the rights of persons belonging to national minorities and of all vulnerable categories (children, women victims of domestic violence, Roma women, migrant and refugee women, disabled women, elder women). During the events and debates </w:t>
      </w:r>
      <w:proofErr w:type="spellStart"/>
      <w:r w:rsidRPr="00AB1F43">
        <w:rPr>
          <w:rFonts w:cstheme="minorHAnsi"/>
          <w:sz w:val="18"/>
          <w:szCs w:val="18"/>
        </w:rPr>
        <w:t>organised</w:t>
      </w:r>
      <w:proofErr w:type="spellEnd"/>
      <w:r w:rsidRPr="00AB1F43">
        <w:rPr>
          <w:rFonts w:cstheme="minorHAnsi"/>
          <w:sz w:val="18"/>
          <w:szCs w:val="18"/>
        </w:rPr>
        <w:t xml:space="preserve"> in 2023, as well as at the annual Human Rights Conference, issues related to combating violence and discrimination, reducing inequalities, the representativeness and participation of women in community life, the rights of persons belonging to national minorities and refugees were addressed. During 2023 RIHR carried out training programs for teachers and students in the spirit of tolerance, understanding of diversity and cultural values of persons belonging to national minorities.</w:t>
      </w:r>
    </w:p>
    <w:p w14:paraId="2D472B16" w14:textId="01B124A2" w:rsidR="00461C4E" w:rsidRPr="00AB1F43" w:rsidRDefault="00461C4E" w:rsidP="00AB1F43">
      <w:pPr>
        <w:jc w:val="both"/>
        <w:rPr>
          <w:rFonts w:cstheme="minorHAnsi"/>
          <w:sz w:val="18"/>
          <w:szCs w:val="18"/>
        </w:rPr>
      </w:pPr>
      <w:r w:rsidRPr="00AB1F43">
        <w:rPr>
          <w:rFonts w:cstheme="minorHAnsi"/>
          <w:sz w:val="18"/>
          <w:szCs w:val="18"/>
        </w:rPr>
        <w:lastRenderedPageBreak/>
        <w:t>The Institute carried out activities to promote and raise awareness of the need for intervention measures to prevent and combat bullying an online violence. Through its activities and campaigns, the RIHR drew attention to the importance of a complex approach to the phenomenon of bullying, highlighting methods of prevention and identifying possible ways of intervention. The activities carried out by RIHR on this topic focused on the importance of respecting human rights in the process of rehabilitating social relations, on the need for psychological counselling for the victims of this phenomenon and finally yet importantly on the role that education and the family must have in life children and young people. RIHR supports the regulation of a methodology for the prevention and combating of cyberbullying acts and the accountability of educational units and public institutions regarding the manifestations of abuse and harassment in schools and online through social media networks.</w:t>
      </w:r>
    </w:p>
    <w:p w14:paraId="4ED52DE8" w14:textId="23B7B3AA" w:rsidR="00167206" w:rsidRPr="00AB1F43" w:rsidRDefault="00167206" w:rsidP="00167206">
      <w:pPr>
        <w:rPr>
          <w:rFonts w:cstheme="minorHAnsi"/>
          <w:b/>
          <w:bCs/>
          <w:sz w:val="18"/>
          <w:szCs w:val="18"/>
        </w:rPr>
      </w:pPr>
      <w:r w:rsidRPr="00AB1F43">
        <w:rPr>
          <w:rFonts w:cstheme="minorHAnsi"/>
          <w:b/>
          <w:bCs/>
          <w:sz w:val="18"/>
          <w:szCs w:val="18"/>
        </w:rPr>
        <w:t>Gender-based violence against women</w:t>
      </w:r>
    </w:p>
    <w:p w14:paraId="07EAF334" w14:textId="634F0A00" w:rsidR="00167206" w:rsidRPr="00AB1F43" w:rsidRDefault="00167206" w:rsidP="00986AF7">
      <w:pPr>
        <w:jc w:val="both"/>
        <w:rPr>
          <w:rFonts w:cstheme="minorHAnsi"/>
          <w:b/>
          <w:bCs/>
          <w:sz w:val="18"/>
          <w:szCs w:val="18"/>
        </w:rPr>
      </w:pPr>
      <w:r w:rsidRPr="00AB1F43">
        <w:rPr>
          <w:rFonts w:cstheme="minorHAnsi"/>
          <w:b/>
          <w:bCs/>
          <w:sz w:val="18"/>
          <w:szCs w:val="18"/>
        </w:rPr>
        <w:t>10.</w:t>
      </w:r>
      <w:r w:rsidRPr="00AB1F43">
        <w:rPr>
          <w:rFonts w:cstheme="minorHAnsi"/>
          <w:b/>
          <w:bCs/>
          <w:sz w:val="18"/>
          <w:szCs w:val="18"/>
        </w:rPr>
        <w:tab/>
        <w:t>In the light of the Committee’s previous recommendations (para. 19), please provide disaggregated data on cases of gender-based violence and discrimination against women brought before the courts and on the number of protection orders accorded. Please also indicate what steps have been taken by the State party to:</w:t>
      </w:r>
    </w:p>
    <w:p w14:paraId="1E36A2E6" w14:textId="530898D9" w:rsidR="00167206" w:rsidRPr="00AB1F43" w:rsidRDefault="00167206" w:rsidP="00986AF7">
      <w:pPr>
        <w:jc w:val="both"/>
        <w:rPr>
          <w:rFonts w:cstheme="minorHAnsi"/>
          <w:sz w:val="18"/>
          <w:szCs w:val="18"/>
        </w:rPr>
      </w:pPr>
      <w:r w:rsidRPr="00AB1F43">
        <w:rPr>
          <w:rFonts w:cstheme="minorHAnsi"/>
          <w:sz w:val="18"/>
          <w:szCs w:val="18"/>
        </w:rPr>
        <w:t xml:space="preserve">Members of the RIHR Working Group on Women's Rights addressed both the domestic violence situation and the implementation status of SDG 5 at the national level. The most recent recommendations from the GREVIO Report of June 16, 2022 regarding Romania were </w:t>
      </w:r>
      <w:r w:rsidR="00986AF7" w:rsidRPr="00AB1F43">
        <w:rPr>
          <w:rFonts w:cstheme="minorHAnsi"/>
          <w:sz w:val="18"/>
          <w:szCs w:val="18"/>
        </w:rPr>
        <w:t>analyzed</w:t>
      </w:r>
      <w:r w:rsidRPr="00AB1F43">
        <w:rPr>
          <w:rFonts w:cstheme="minorHAnsi"/>
          <w:sz w:val="18"/>
          <w:szCs w:val="18"/>
        </w:rPr>
        <w:t xml:space="preserve"> in the WG, as well as the recommendations formulated for Romania by the UN Working Group for the Universal Periodic Review.   Possible courses of action for meeting these recommendations in the near future have been proposed and explored. </w:t>
      </w:r>
    </w:p>
    <w:p w14:paraId="3114252D" w14:textId="2C390BDE" w:rsidR="00167206" w:rsidRPr="00AB1F43" w:rsidRDefault="00167206" w:rsidP="00986AF7">
      <w:pPr>
        <w:jc w:val="both"/>
        <w:rPr>
          <w:rFonts w:cstheme="minorHAnsi"/>
          <w:sz w:val="18"/>
          <w:szCs w:val="18"/>
        </w:rPr>
      </w:pPr>
      <w:r w:rsidRPr="00AB1F43">
        <w:rPr>
          <w:rFonts w:cstheme="minorHAnsi"/>
          <w:sz w:val="18"/>
          <w:szCs w:val="18"/>
        </w:rPr>
        <w:t xml:space="preserve">The members of the Working Group identified and </w:t>
      </w:r>
      <w:r w:rsidR="00986AF7" w:rsidRPr="00AB1F43">
        <w:rPr>
          <w:rFonts w:cstheme="minorHAnsi"/>
          <w:sz w:val="18"/>
          <w:szCs w:val="18"/>
        </w:rPr>
        <w:t>analyzed</w:t>
      </w:r>
      <w:r w:rsidRPr="00AB1F43">
        <w:rPr>
          <w:rFonts w:cstheme="minorHAnsi"/>
          <w:sz w:val="18"/>
          <w:szCs w:val="18"/>
        </w:rPr>
        <w:t xml:space="preserve"> the existing barriers in the exercise of women's rights, formulating recommendations in the field of ensuring women's rights, as well as managing and combating domestic violence. Both the issues identified and the recommendations formulated were sent to decision-makers at the national level, but also to international bodies at their request. This Working Group was established from the perspective of the RIHR role as a link between civil society organizations and national institutions. </w:t>
      </w:r>
    </w:p>
    <w:p w14:paraId="6CE2FE18" w14:textId="77777777" w:rsidR="00167206" w:rsidRPr="00AB1F43" w:rsidRDefault="00167206" w:rsidP="00986AF7">
      <w:pPr>
        <w:jc w:val="both"/>
        <w:rPr>
          <w:rFonts w:cstheme="minorHAnsi"/>
          <w:sz w:val="18"/>
          <w:szCs w:val="18"/>
        </w:rPr>
      </w:pPr>
      <w:r w:rsidRPr="00AB1F43">
        <w:rPr>
          <w:rFonts w:cstheme="minorHAnsi"/>
          <w:sz w:val="18"/>
          <w:szCs w:val="18"/>
        </w:rPr>
        <w:t>Following this year's meetings, the Working Group highlighted a number of limitations in the implementation of the legislation, underlining that one of the main challenges remains the inconsistency between the existence of effective legislation and the difficulties encountered in its implementation.</w:t>
      </w:r>
    </w:p>
    <w:p w14:paraId="5B3ADB40" w14:textId="77777777" w:rsidR="00167206" w:rsidRPr="00AB1F43" w:rsidRDefault="00167206" w:rsidP="00986AF7">
      <w:pPr>
        <w:jc w:val="both"/>
        <w:rPr>
          <w:rFonts w:cstheme="minorHAnsi"/>
          <w:sz w:val="18"/>
          <w:szCs w:val="18"/>
        </w:rPr>
      </w:pPr>
      <w:r w:rsidRPr="00AB1F43">
        <w:rPr>
          <w:rFonts w:cstheme="minorHAnsi"/>
          <w:sz w:val="18"/>
          <w:szCs w:val="18"/>
        </w:rPr>
        <w:t xml:space="preserve">In accordance with the Institute's multi-annual strategy, the members of the Working Group addressed the main issues related to the respect of women's rights in Romanian society. Among them were harassment in public and private space, prevention of harassment in schools and universities, integration of refugees in society, rights of Roma women, right to education, work and health services for migrant and refugee women, representativeness and promotion of women in decision-making positions, access to justice, to health services, the gender imaging construct and combating stereotypes regarding the image of women in society as promoted online and in the mass media, intersectional and multiple discrimination, inter-institutional cooperation for the prevention and resolution of cases of violence. </w:t>
      </w:r>
    </w:p>
    <w:p w14:paraId="7BF9FBE4" w14:textId="5A5D8D4E" w:rsidR="00167206" w:rsidRPr="00AB1F43" w:rsidRDefault="00167206" w:rsidP="00986AF7">
      <w:pPr>
        <w:jc w:val="both"/>
        <w:rPr>
          <w:rFonts w:cstheme="minorHAnsi"/>
          <w:sz w:val="18"/>
          <w:szCs w:val="18"/>
        </w:rPr>
      </w:pPr>
      <w:r w:rsidRPr="00AB1F43">
        <w:rPr>
          <w:rFonts w:cstheme="minorHAnsi"/>
          <w:sz w:val="18"/>
          <w:szCs w:val="18"/>
        </w:rPr>
        <w:t xml:space="preserve">The Working Group's debates also focused on the situation of children who witness violence and abuse in the family, as they suffer potential trauma as a result of the conflicts and violent acts they witness. At the same time, a series of stereotypes and prejudices were </w:t>
      </w:r>
      <w:r w:rsidR="00986AF7" w:rsidRPr="00AB1F43">
        <w:rPr>
          <w:rFonts w:cstheme="minorHAnsi"/>
          <w:sz w:val="18"/>
          <w:szCs w:val="18"/>
        </w:rPr>
        <w:t>analyzed</w:t>
      </w:r>
      <w:r w:rsidRPr="00AB1F43">
        <w:rPr>
          <w:rFonts w:cstheme="minorHAnsi"/>
          <w:sz w:val="18"/>
          <w:szCs w:val="18"/>
        </w:rPr>
        <w:t xml:space="preserve"> regarding the way members of national minorities, refugees, are viewed in society.</w:t>
      </w:r>
    </w:p>
    <w:p w14:paraId="40414B45" w14:textId="77777777" w:rsidR="00167206" w:rsidRPr="00AB1F43" w:rsidRDefault="00167206" w:rsidP="00986AF7">
      <w:pPr>
        <w:jc w:val="both"/>
        <w:rPr>
          <w:rFonts w:cstheme="minorHAnsi"/>
          <w:sz w:val="18"/>
          <w:szCs w:val="18"/>
        </w:rPr>
      </w:pPr>
      <w:r w:rsidRPr="00AB1F43">
        <w:rPr>
          <w:rFonts w:cstheme="minorHAnsi"/>
          <w:sz w:val="18"/>
          <w:szCs w:val="18"/>
        </w:rPr>
        <w:t xml:space="preserve">As stated in the UPR recommendations, human trafficking becomes a major danger for vulnerable categories in the context of the conflict in Ukraine, and concerted policies and strategies are needed to prevent this phenomenon. A series of developments in the national legislation regarding equal opportunities and treatment between men and women and combating domestic violence, as well as the obstacles encountered in the activity of those involved in promoting and ensuring the full exercise of women's rights, were reported. </w:t>
      </w:r>
    </w:p>
    <w:p w14:paraId="23F17035" w14:textId="77777777" w:rsidR="00167206" w:rsidRPr="00AB1F43" w:rsidRDefault="00167206" w:rsidP="00986AF7">
      <w:pPr>
        <w:jc w:val="both"/>
        <w:rPr>
          <w:rFonts w:cstheme="minorHAnsi"/>
          <w:sz w:val="18"/>
          <w:szCs w:val="18"/>
        </w:rPr>
      </w:pPr>
      <w:r w:rsidRPr="00AB1F43">
        <w:rPr>
          <w:rFonts w:cstheme="minorHAnsi"/>
          <w:sz w:val="18"/>
          <w:szCs w:val="18"/>
        </w:rPr>
        <w:t>The issue of cyber violence was addressed, noting that the latest GREVIO Report welcomes the addition of cyber violence to the definition of domestic violence in national legislation. The RIHR participated in the works of Women Peace and Security conference advocating women's participation in cyber security decision-making processes, as well as the importance of preventing cyber security threats and crimes. These new forms of violence can be combated through the participation and involvement of women. The RIHR advocates that from the perspective of inclusion and equal opportunities, women must contribute to the development of cybersecurity laws, policies and norms.</w:t>
      </w:r>
    </w:p>
    <w:p w14:paraId="006A6871" w14:textId="77777777" w:rsidR="00167206" w:rsidRPr="00AB1F43" w:rsidRDefault="00167206" w:rsidP="00986AF7">
      <w:pPr>
        <w:jc w:val="both"/>
        <w:rPr>
          <w:rFonts w:cstheme="minorHAnsi"/>
          <w:sz w:val="18"/>
          <w:szCs w:val="18"/>
        </w:rPr>
      </w:pPr>
      <w:r w:rsidRPr="00AB1F43">
        <w:rPr>
          <w:rFonts w:cstheme="minorHAnsi"/>
          <w:sz w:val="18"/>
          <w:szCs w:val="18"/>
        </w:rPr>
        <w:lastRenderedPageBreak/>
        <w:t>Gender stereotypes persists either in mass media, or on social networks according to which women mainly have household duties, they are presented in subordinate positions and certain standards of beauty are promoted. For example, young women who want to lose weight in order to conform to a certain promoted model end up risking health, or even life. Prejudices, sexist attitudes, outdated mindsets that normalize violence contribute to the victims’ isolation and their return to the vicious circle of an abusive relationship.</w:t>
      </w:r>
    </w:p>
    <w:p w14:paraId="312830D2" w14:textId="0D355999" w:rsidR="00167206" w:rsidRPr="00AB1F43" w:rsidRDefault="00167206" w:rsidP="00986AF7">
      <w:pPr>
        <w:jc w:val="both"/>
        <w:rPr>
          <w:rFonts w:cstheme="minorHAnsi"/>
          <w:sz w:val="18"/>
          <w:szCs w:val="18"/>
        </w:rPr>
      </w:pPr>
      <w:r w:rsidRPr="00AB1F43">
        <w:rPr>
          <w:rFonts w:cstheme="minorHAnsi"/>
          <w:sz w:val="18"/>
          <w:szCs w:val="18"/>
        </w:rPr>
        <w:t>Members of the Working Group noted some improvement in the content of advertising materials, consisting of a more modern and unprejudiced approach to the condition and the position of women in the family and in society.</w:t>
      </w:r>
    </w:p>
    <w:p w14:paraId="0E629A03" w14:textId="614271FB" w:rsidR="006707C7" w:rsidRPr="00AB1F43" w:rsidRDefault="006707C7" w:rsidP="00986AF7">
      <w:pPr>
        <w:jc w:val="both"/>
        <w:rPr>
          <w:rFonts w:cstheme="minorHAnsi"/>
          <w:b/>
          <w:bCs/>
          <w:sz w:val="18"/>
          <w:szCs w:val="18"/>
        </w:rPr>
      </w:pPr>
      <w:r w:rsidRPr="00AB1F43">
        <w:rPr>
          <w:rFonts w:cstheme="minorHAnsi"/>
          <w:b/>
          <w:bCs/>
          <w:sz w:val="18"/>
          <w:szCs w:val="18"/>
        </w:rPr>
        <w:t>Refugee, asylum-seeking and migrant women</w:t>
      </w:r>
    </w:p>
    <w:p w14:paraId="7E6E85AC" w14:textId="77BB2334" w:rsidR="00E70CED" w:rsidRPr="00AB1F43" w:rsidRDefault="006707C7" w:rsidP="00986AF7">
      <w:pPr>
        <w:jc w:val="both"/>
        <w:rPr>
          <w:rFonts w:cstheme="minorHAnsi"/>
          <w:b/>
          <w:bCs/>
          <w:sz w:val="18"/>
          <w:szCs w:val="18"/>
        </w:rPr>
      </w:pPr>
      <w:r w:rsidRPr="00AB1F43">
        <w:rPr>
          <w:rFonts w:cstheme="minorHAnsi"/>
          <w:b/>
          <w:bCs/>
          <w:sz w:val="18"/>
          <w:szCs w:val="18"/>
        </w:rPr>
        <w:t>22.</w:t>
      </w:r>
      <w:r w:rsidRPr="00AB1F43">
        <w:rPr>
          <w:rFonts w:cstheme="minorHAnsi"/>
          <w:b/>
          <w:bCs/>
          <w:sz w:val="18"/>
          <w:szCs w:val="18"/>
        </w:rPr>
        <w:tab/>
        <w:t>In the light of reports that, as of September 2023, the State party hosts approximately 78,000 Ukrainian refugees, the majority of which are women and children, please provide information on measures taken to ensure that Ukrainian refugee women have access to basic rights, as well as to specialized health services and childcare facilities, as appropriate. In particular, please describe efforts to overcome obstacles, such as language barriers and administrative requirements, that affect the ability of refugee women to fully understand and gain access to their human rights.</w:t>
      </w:r>
    </w:p>
    <w:p w14:paraId="017C23A5" w14:textId="77777777" w:rsidR="006707C7" w:rsidRPr="00AB1F43" w:rsidRDefault="006707C7" w:rsidP="00986AF7">
      <w:pPr>
        <w:jc w:val="both"/>
        <w:rPr>
          <w:rFonts w:cstheme="minorHAnsi"/>
          <w:sz w:val="18"/>
          <w:szCs w:val="18"/>
        </w:rPr>
      </w:pPr>
      <w:r w:rsidRPr="00AB1F43">
        <w:rPr>
          <w:rFonts w:cstheme="minorHAnsi"/>
          <w:sz w:val="18"/>
          <w:szCs w:val="18"/>
        </w:rPr>
        <w:t>Through its activities together with its partners, RIHR supports the right to work of migrants and refugees, the integration of migrants and asylum seekers, combating gender-based violence, violence and abuse against refugee women, identifying ways to ensure the full exercise of the rights of vulnerable categories.</w:t>
      </w:r>
    </w:p>
    <w:p w14:paraId="12702924" w14:textId="59883EC0" w:rsidR="006707C7" w:rsidRPr="00AB1F43" w:rsidRDefault="006707C7" w:rsidP="00986AF7">
      <w:pPr>
        <w:jc w:val="both"/>
        <w:rPr>
          <w:rFonts w:cstheme="minorHAnsi"/>
          <w:sz w:val="18"/>
          <w:szCs w:val="18"/>
        </w:rPr>
      </w:pPr>
      <w:r w:rsidRPr="00AB1F43">
        <w:rPr>
          <w:rFonts w:cstheme="minorHAnsi"/>
          <w:sz w:val="18"/>
          <w:szCs w:val="18"/>
        </w:rPr>
        <w:t xml:space="preserve">The Romanian Institute for Human Rights in partnership with the Romanian National Council for Refugees (CNRR), UNHCR and the General Inspectorate for </w:t>
      </w:r>
      <w:r w:rsidR="00986AF7" w:rsidRPr="00AB1F43">
        <w:rPr>
          <w:rFonts w:cstheme="minorHAnsi"/>
          <w:sz w:val="18"/>
          <w:szCs w:val="18"/>
        </w:rPr>
        <w:t>Immigration (IGI</w:t>
      </w:r>
      <w:r w:rsidRPr="00AB1F43">
        <w:rPr>
          <w:rFonts w:cstheme="minorHAnsi"/>
          <w:sz w:val="18"/>
          <w:szCs w:val="18"/>
        </w:rPr>
        <w:t xml:space="preserve">) conducted a one - year training and information </w:t>
      </w:r>
      <w:r w:rsidR="00986AF7" w:rsidRPr="00AB1F43">
        <w:rPr>
          <w:rFonts w:cstheme="minorHAnsi"/>
          <w:sz w:val="18"/>
          <w:szCs w:val="18"/>
        </w:rPr>
        <w:t>campaign „</w:t>
      </w:r>
      <w:r w:rsidRPr="00AB1F43">
        <w:rPr>
          <w:rFonts w:cstheme="minorHAnsi"/>
          <w:sz w:val="18"/>
          <w:szCs w:val="18"/>
        </w:rPr>
        <w:t>Integration of migrants and refugees in society through Human Rights education”.</w:t>
      </w:r>
    </w:p>
    <w:p w14:paraId="73E70665" w14:textId="77777777" w:rsidR="006707C7" w:rsidRPr="00AB1F43" w:rsidRDefault="006707C7" w:rsidP="00986AF7">
      <w:pPr>
        <w:jc w:val="both"/>
        <w:rPr>
          <w:rFonts w:cstheme="minorHAnsi"/>
          <w:sz w:val="18"/>
          <w:szCs w:val="18"/>
        </w:rPr>
      </w:pPr>
      <w:r w:rsidRPr="00AB1F43">
        <w:rPr>
          <w:rFonts w:cstheme="minorHAnsi"/>
          <w:sz w:val="18"/>
          <w:szCs w:val="18"/>
        </w:rPr>
        <w:tab/>
        <w:t xml:space="preserve">The situation of refugees in Ukraine was presented by representatives of UNHCR, CNRR and IGI both at the working meetings on the organization for the joint campaign for the integration of migrants and refugees, as well as within the RIHR Working Group for women's rights and combating violence. They highlighted the contribution of the organizations they represent in providing support in emergency and hardship situations, especially for single mothers with children who have fled their homes fleeing the conflict. </w:t>
      </w:r>
    </w:p>
    <w:p w14:paraId="00ED3E81" w14:textId="4B1B3FE4" w:rsidR="006707C7" w:rsidRPr="00AB1F43" w:rsidRDefault="006707C7" w:rsidP="00986AF7">
      <w:pPr>
        <w:jc w:val="both"/>
        <w:rPr>
          <w:rFonts w:cstheme="minorHAnsi"/>
          <w:sz w:val="18"/>
          <w:szCs w:val="18"/>
        </w:rPr>
      </w:pPr>
      <w:r w:rsidRPr="00AB1F43">
        <w:rPr>
          <w:rFonts w:cstheme="minorHAnsi"/>
          <w:sz w:val="18"/>
          <w:szCs w:val="18"/>
        </w:rPr>
        <w:tab/>
      </w:r>
      <w:r w:rsidR="00986AF7" w:rsidRPr="00AB1F43">
        <w:rPr>
          <w:rFonts w:cstheme="minorHAnsi"/>
          <w:sz w:val="18"/>
          <w:szCs w:val="18"/>
        </w:rPr>
        <w:t>Also,</w:t>
      </w:r>
      <w:r w:rsidRPr="00AB1F43">
        <w:rPr>
          <w:rFonts w:cstheme="minorHAnsi"/>
          <w:sz w:val="18"/>
          <w:szCs w:val="18"/>
        </w:rPr>
        <w:t xml:space="preserve"> within the RIHR Working Group for women's rights, the ANAIS Association highlighted aspects of the situation of Muslim women seeking asylum, victims of domestic violence, and the specific interventions needed in such cases related to the culture and traditions of Muslim women, emphasizing the importance of accuracy translation and interpretation, the responsibility of the translator during the interview. Most translators for refugees seeking protection continue to be provided mostly through NGOs. It was emphasized that more funds are needed both for organizations active in the field, as well as for counselling services, translation, access to education, work, health and justice.</w:t>
      </w:r>
    </w:p>
    <w:p w14:paraId="312770D4" w14:textId="03D71AC5" w:rsidR="00470469" w:rsidRPr="00AB1F43" w:rsidRDefault="006707C7" w:rsidP="00986AF7">
      <w:pPr>
        <w:jc w:val="both"/>
        <w:rPr>
          <w:rFonts w:cstheme="minorHAnsi"/>
          <w:sz w:val="18"/>
          <w:szCs w:val="18"/>
        </w:rPr>
      </w:pPr>
      <w:r w:rsidRPr="00AB1F43">
        <w:rPr>
          <w:rFonts w:cstheme="minorHAnsi"/>
          <w:sz w:val="18"/>
          <w:szCs w:val="18"/>
        </w:rPr>
        <w:t xml:space="preserve">In accordance with Government Decision 6127 of 24 October 2022 a best practice example in ensuring Romanian language classes for migrant children in pre-primary school is that of the Olt County School Inspectorate and the Red Cross, which </w:t>
      </w:r>
      <w:r w:rsidR="00986AF7" w:rsidRPr="00AB1F43">
        <w:rPr>
          <w:rFonts w:cstheme="minorHAnsi"/>
          <w:sz w:val="18"/>
          <w:szCs w:val="18"/>
        </w:rPr>
        <w:t>organized</w:t>
      </w:r>
      <w:r w:rsidRPr="00AB1F43">
        <w:rPr>
          <w:rFonts w:cstheme="minorHAnsi"/>
          <w:sz w:val="18"/>
          <w:szCs w:val="18"/>
        </w:rPr>
        <w:t xml:space="preserve"> classes in Romanian for Ukrainian mothers and their children in Secondary School Nr. 1 Slatina and Secondary School „Nicolae Iorga”</w:t>
      </w:r>
    </w:p>
    <w:p w14:paraId="471F747D" w14:textId="086C974B" w:rsidR="00E70CED" w:rsidRPr="00AB1F43" w:rsidRDefault="00E70CED" w:rsidP="00AB1F43">
      <w:pPr>
        <w:pStyle w:val="ListParagraph"/>
        <w:numPr>
          <w:ilvl w:val="0"/>
          <w:numId w:val="1"/>
        </w:numPr>
        <w:ind w:left="720"/>
        <w:jc w:val="both"/>
        <w:rPr>
          <w:rFonts w:cstheme="minorHAnsi"/>
          <w:b/>
          <w:bCs/>
          <w:sz w:val="18"/>
          <w:szCs w:val="18"/>
        </w:rPr>
      </w:pPr>
      <w:r w:rsidRPr="00AB1F43">
        <w:rPr>
          <w:rFonts w:cstheme="minorHAnsi"/>
          <w:b/>
          <w:bCs/>
          <w:sz w:val="18"/>
          <w:szCs w:val="18"/>
        </w:rPr>
        <w:t>Ministry of Health Contribution</w:t>
      </w:r>
    </w:p>
    <w:p w14:paraId="0F810B4C" w14:textId="1B2F49A2" w:rsidR="000237CB" w:rsidRPr="00AB1F43" w:rsidRDefault="000237CB" w:rsidP="000237CB">
      <w:pPr>
        <w:jc w:val="both"/>
        <w:rPr>
          <w:rFonts w:cstheme="minorHAnsi"/>
          <w:b/>
          <w:bCs/>
          <w:sz w:val="18"/>
          <w:szCs w:val="18"/>
        </w:rPr>
      </w:pPr>
      <w:r w:rsidRPr="00AB1F43">
        <w:rPr>
          <w:rFonts w:cstheme="minorHAnsi"/>
          <w:b/>
          <w:bCs/>
          <w:sz w:val="18"/>
          <w:szCs w:val="18"/>
        </w:rPr>
        <w:t>Health</w:t>
      </w:r>
    </w:p>
    <w:p w14:paraId="76ED4B3F" w14:textId="649B2F1C" w:rsidR="000237CB" w:rsidRPr="00AB1F43" w:rsidRDefault="000237CB" w:rsidP="000237CB">
      <w:pPr>
        <w:jc w:val="both"/>
        <w:rPr>
          <w:rFonts w:cstheme="minorHAnsi"/>
          <w:b/>
          <w:bCs/>
          <w:sz w:val="18"/>
          <w:szCs w:val="18"/>
        </w:rPr>
      </w:pPr>
      <w:r w:rsidRPr="00AB1F43">
        <w:rPr>
          <w:rFonts w:cstheme="minorHAnsi"/>
          <w:b/>
          <w:bCs/>
          <w:sz w:val="18"/>
          <w:szCs w:val="18"/>
        </w:rPr>
        <w:t>20.</w:t>
      </w:r>
      <w:r w:rsidRPr="00AB1F43">
        <w:rPr>
          <w:rFonts w:cstheme="minorHAnsi"/>
          <w:b/>
          <w:bCs/>
          <w:sz w:val="18"/>
          <w:szCs w:val="18"/>
        </w:rPr>
        <w:tab/>
        <w:t>In the light of the Committee’s previous recommendations (para. 33), please provide information on the measures taken to:</w:t>
      </w:r>
    </w:p>
    <w:p w14:paraId="6F11806D" w14:textId="77777777" w:rsidR="00E70CED" w:rsidRPr="00AB1F43" w:rsidRDefault="00E70CED" w:rsidP="00986AF7">
      <w:pPr>
        <w:jc w:val="both"/>
        <w:rPr>
          <w:rFonts w:cstheme="minorHAnsi"/>
          <w:sz w:val="18"/>
          <w:szCs w:val="18"/>
        </w:rPr>
      </w:pPr>
      <w:r w:rsidRPr="00AB1F43">
        <w:rPr>
          <w:rFonts w:cstheme="minorHAnsi"/>
          <w:b/>
          <w:bCs/>
          <w:sz w:val="18"/>
          <w:szCs w:val="18"/>
        </w:rPr>
        <w:t xml:space="preserve">b) Take adequate measures to carry out a national survey on reproductive health, implement the national strategy for reproductive health and sexuality and the national </w:t>
      </w:r>
      <w:proofErr w:type="spellStart"/>
      <w:r w:rsidRPr="00AB1F43">
        <w:rPr>
          <w:rFonts w:cstheme="minorHAnsi"/>
          <w:b/>
          <w:bCs/>
          <w:sz w:val="18"/>
          <w:szCs w:val="18"/>
        </w:rPr>
        <w:t>programme</w:t>
      </w:r>
      <w:proofErr w:type="spellEnd"/>
      <w:r w:rsidRPr="00AB1F43">
        <w:rPr>
          <w:rFonts w:cstheme="minorHAnsi"/>
          <w:b/>
          <w:bCs/>
          <w:sz w:val="18"/>
          <w:szCs w:val="18"/>
        </w:rPr>
        <w:t xml:space="preserve"> for family planning and introduce mandatory age-appropriate education on sexual and reproductive health and rights in school curricula</w:t>
      </w:r>
      <w:r w:rsidRPr="00AB1F43">
        <w:rPr>
          <w:rFonts w:cstheme="minorHAnsi"/>
          <w:sz w:val="18"/>
          <w:szCs w:val="18"/>
        </w:rPr>
        <w:t>;</w:t>
      </w:r>
    </w:p>
    <w:p w14:paraId="6C5651C2" w14:textId="77777777" w:rsidR="00E70CED" w:rsidRPr="00AB1F43" w:rsidRDefault="00E70CED" w:rsidP="00986AF7">
      <w:pPr>
        <w:jc w:val="both"/>
        <w:rPr>
          <w:rFonts w:cstheme="minorHAnsi"/>
          <w:sz w:val="18"/>
          <w:szCs w:val="18"/>
        </w:rPr>
      </w:pPr>
      <w:r w:rsidRPr="00AB1F43">
        <w:rPr>
          <w:rFonts w:cstheme="minorHAnsi"/>
          <w:sz w:val="18"/>
          <w:szCs w:val="18"/>
        </w:rPr>
        <w:t xml:space="preserve">The development of the National Health Strategy for the period 2023 – 2030 represents the document that synthesizes all public policy proposals in the health sector, focusing on prioritizing and scheduling the use of funds allocated within the national health system. The National Health Strategy was approved by Government Decision no. 1004/2023 and provides for the development of integrated health services at the community level so that health can be approached comprehensively across multiple determinants: health-related, educational, and social. Special attention will be given to vulnerable and at-risk populations </w:t>
      </w:r>
      <w:r w:rsidRPr="00AB1F43">
        <w:rPr>
          <w:rFonts w:cstheme="minorHAnsi"/>
          <w:sz w:val="18"/>
          <w:szCs w:val="18"/>
        </w:rPr>
        <w:lastRenderedPageBreak/>
        <w:t>(children, the elderly, people with disabilities, etc.) as well as the Roma population, where applicable. These services will be developed by local authorities with financial, logistical, and informational support from the central level.</w:t>
      </w:r>
    </w:p>
    <w:p w14:paraId="468B6049" w14:textId="77777777" w:rsidR="00E70CED" w:rsidRPr="00AB1F43" w:rsidRDefault="00E70CED" w:rsidP="00986AF7">
      <w:pPr>
        <w:jc w:val="both"/>
        <w:rPr>
          <w:rFonts w:cstheme="minorHAnsi"/>
          <w:sz w:val="18"/>
          <w:szCs w:val="18"/>
        </w:rPr>
      </w:pPr>
      <w:r w:rsidRPr="00AB1F43">
        <w:rPr>
          <w:rFonts w:cstheme="minorHAnsi"/>
          <w:sz w:val="18"/>
          <w:szCs w:val="18"/>
        </w:rPr>
        <w:t>Currently, in addition to the National Health Strategy 2023-2030, work is underway on a new national strategy regarding sexual and reproductive health rights by a technical working group with priority objectives that include reorganizing family planning centers and services to ensure universal access to counseling on contraceptive methods, prevention of sexually transmitted infections, birth spacing, and contraception, in order to reduce the rates of abortions, unwanted pregnancies, and adolescent pregnancies. Additionally, the strategy aims to ensure adequate coverage of offices providing family planning services, including the necessary human resources and training for staff in family planning and reproductive health, as well as ongoing information, education, and communication activities among the population, especially within vulnerable groups.</w:t>
      </w:r>
    </w:p>
    <w:p w14:paraId="6BF99E11" w14:textId="77777777" w:rsidR="00E70CED" w:rsidRPr="00AB1F43" w:rsidRDefault="00E70CED" w:rsidP="00986AF7">
      <w:pPr>
        <w:jc w:val="both"/>
        <w:rPr>
          <w:rFonts w:cstheme="minorHAnsi"/>
          <w:sz w:val="18"/>
          <w:szCs w:val="18"/>
        </w:rPr>
      </w:pPr>
      <w:r w:rsidRPr="00AB1F43">
        <w:rPr>
          <w:rFonts w:cstheme="minorHAnsi"/>
          <w:sz w:val="18"/>
          <w:szCs w:val="18"/>
        </w:rPr>
        <w:t>Based on ORDER NO. 964/2022 approving the Technical Norms for the implementation of national public health programs, with subsequent amendments and completions, the NATIONAL PROGRAM FOR WOMEN'S AND CHILDREN'S HEALTH is being carried out, which includes the Women's Health Subprogram with the following areas of intervention regarding access to medical services:</w:t>
      </w:r>
    </w:p>
    <w:p w14:paraId="6231F24D" w14:textId="77777777" w:rsidR="00E70CED" w:rsidRPr="00AB1F43" w:rsidRDefault="00E70CED" w:rsidP="00986AF7">
      <w:pPr>
        <w:jc w:val="both"/>
        <w:rPr>
          <w:rFonts w:cstheme="minorHAnsi"/>
          <w:sz w:val="18"/>
          <w:szCs w:val="18"/>
        </w:rPr>
      </w:pPr>
      <w:r w:rsidRPr="00AB1F43">
        <w:rPr>
          <w:rFonts w:cstheme="minorHAnsi"/>
          <w:sz w:val="18"/>
          <w:szCs w:val="18"/>
        </w:rPr>
        <w:t>2.1. Prevention of unwanted pregnancies by increasing access to family planning services;</w:t>
      </w:r>
    </w:p>
    <w:p w14:paraId="31296531" w14:textId="77777777" w:rsidR="00E70CED" w:rsidRPr="00AB1F43" w:rsidRDefault="00E70CED" w:rsidP="00986AF7">
      <w:pPr>
        <w:jc w:val="both"/>
        <w:rPr>
          <w:rFonts w:cstheme="minorHAnsi"/>
          <w:sz w:val="18"/>
          <w:szCs w:val="18"/>
        </w:rPr>
      </w:pPr>
      <w:r w:rsidRPr="00AB1F43">
        <w:rPr>
          <w:rFonts w:cstheme="minorHAnsi"/>
          <w:sz w:val="18"/>
          <w:szCs w:val="18"/>
        </w:rPr>
        <w:t>1.2. Prevention of maternal morbidity and mortality by enhancing access, quality, and efficiency of specific medical services for pregnant women and new mothers;</w:t>
      </w:r>
    </w:p>
    <w:p w14:paraId="1C1BCDE3" w14:textId="77777777" w:rsidR="00E70CED" w:rsidRPr="00AB1F43" w:rsidRDefault="00E70CED" w:rsidP="00986AF7">
      <w:pPr>
        <w:jc w:val="both"/>
        <w:rPr>
          <w:rFonts w:cstheme="minorHAnsi"/>
          <w:sz w:val="18"/>
          <w:szCs w:val="18"/>
        </w:rPr>
      </w:pPr>
      <w:r w:rsidRPr="00AB1F43">
        <w:rPr>
          <w:rFonts w:cstheme="minorHAnsi"/>
          <w:sz w:val="18"/>
          <w:szCs w:val="18"/>
        </w:rPr>
        <w:t>Under the coordination of the National Institute of Public Health (INSP), several campaigns regarding reproductive health were conducted. In February 2022, the IEC campaign with the slogan "Protect Your Health! Reproductive Health – Your Right and Responsibility" took place. The target groups particularly considered in the campaign were adolescents and pregnant women. The materials prepared and used in the campaign included key messages encouraging individuals to seek medical services for counseling, family planning, and testing for sexually transmitted infections; the aim was to emphasize the importance of patients making responsible decisions regarding their reproductive health. Through the main messages of the IEC campaign, women are encouraged to consult a doctor for any reproductive health needs, even before becoming pregnant.</w:t>
      </w:r>
    </w:p>
    <w:p w14:paraId="71B64312" w14:textId="77777777" w:rsidR="00E70CED" w:rsidRPr="00AB1F43" w:rsidRDefault="00E70CED" w:rsidP="00986AF7">
      <w:pPr>
        <w:jc w:val="both"/>
        <w:rPr>
          <w:rFonts w:cstheme="minorHAnsi"/>
          <w:sz w:val="18"/>
          <w:szCs w:val="18"/>
        </w:rPr>
      </w:pPr>
      <w:r w:rsidRPr="00AB1F43">
        <w:rPr>
          <w:rFonts w:cstheme="minorHAnsi"/>
          <w:sz w:val="18"/>
          <w:szCs w:val="18"/>
        </w:rPr>
        <w:t>During the campaign, 6,042 printed brochures were distributed, 1,258 posters were displayed, 191 presentations were held, 38 articles were published in local media, and participation occurred in 3 radio and TV shows. The campaign reached a total of 55,804 beneficiaries and had a budget of 5,642.98 RON.</w:t>
      </w:r>
    </w:p>
    <w:p w14:paraId="7837FFEC" w14:textId="77777777" w:rsidR="00E70CED" w:rsidRPr="00AB1F43" w:rsidRDefault="00E70CED" w:rsidP="00986AF7">
      <w:pPr>
        <w:jc w:val="both"/>
        <w:rPr>
          <w:rFonts w:cstheme="minorHAnsi"/>
          <w:sz w:val="18"/>
          <w:szCs w:val="18"/>
        </w:rPr>
      </w:pPr>
      <w:r w:rsidRPr="00AB1F43">
        <w:rPr>
          <w:rFonts w:cstheme="minorHAnsi"/>
          <w:sz w:val="18"/>
          <w:szCs w:val="18"/>
        </w:rPr>
        <w:t>In February 2023, the reproductive health campaign titled "Protect Your Health! Reproductive Health – Your Right and Responsibility!" took place, with the slogan "You Have the Right to Be Healthy – Live Your Life Beautifully!" Following an analysis of the situation, the following main objectives were established for the information campaign:</w:t>
      </w:r>
    </w:p>
    <w:p w14:paraId="176200A4" w14:textId="77777777" w:rsidR="00E70CED" w:rsidRPr="00AB1F43" w:rsidRDefault="00E70CED" w:rsidP="00986AF7">
      <w:pPr>
        <w:jc w:val="both"/>
        <w:rPr>
          <w:rFonts w:cstheme="minorHAnsi"/>
          <w:sz w:val="18"/>
          <w:szCs w:val="18"/>
        </w:rPr>
      </w:pPr>
      <w:r w:rsidRPr="00AB1F43">
        <w:rPr>
          <w:rFonts w:cstheme="minorHAnsi"/>
          <w:sz w:val="18"/>
          <w:szCs w:val="18"/>
        </w:rPr>
        <w:t>•</w:t>
      </w:r>
      <w:r w:rsidRPr="00AB1F43">
        <w:rPr>
          <w:rFonts w:cstheme="minorHAnsi"/>
          <w:sz w:val="18"/>
          <w:szCs w:val="18"/>
        </w:rPr>
        <w:tab/>
        <w:t>Encouraging young people to make informed decisions regarding their reproductive health.</w:t>
      </w:r>
    </w:p>
    <w:p w14:paraId="25BF4974" w14:textId="77777777" w:rsidR="00E70CED" w:rsidRPr="00AB1F43" w:rsidRDefault="00E70CED" w:rsidP="00986AF7">
      <w:pPr>
        <w:jc w:val="both"/>
        <w:rPr>
          <w:rFonts w:cstheme="minorHAnsi"/>
          <w:sz w:val="18"/>
          <w:szCs w:val="18"/>
        </w:rPr>
      </w:pPr>
      <w:r w:rsidRPr="00AB1F43">
        <w:rPr>
          <w:rFonts w:cstheme="minorHAnsi"/>
          <w:sz w:val="18"/>
          <w:szCs w:val="18"/>
        </w:rPr>
        <w:t>•</w:t>
      </w:r>
      <w:r w:rsidRPr="00AB1F43">
        <w:rPr>
          <w:rFonts w:cstheme="minorHAnsi"/>
          <w:sz w:val="18"/>
          <w:szCs w:val="18"/>
        </w:rPr>
        <w:tab/>
        <w:t>Informing and raising awareness among pregnant women and those wishing to become mothers about various aspects of sexual health (reproductive health), including the importance of medical/gynecological consultations.</w:t>
      </w:r>
    </w:p>
    <w:p w14:paraId="3671B19F" w14:textId="77777777" w:rsidR="00E70CED" w:rsidRPr="00AB1F43" w:rsidRDefault="00E70CED" w:rsidP="00986AF7">
      <w:pPr>
        <w:jc w:val="both"/>
        <w:rPr>
          <w:rFonts w:cstheme="minorHAnsi"/>
          <w:sz w:val="18"/>
          <w:szCs w:val="18"/>
        </w:rPr>
      </w:pPr>
      <w:r w:rsidRPr="00AB1F43">
        <w:rPr>
          <w:rFonts w:cstheme="minorHAnsi"/>
          <w:sz w:val="18"/>
          <w:szCs w:val="18"/>
        </w:rPr>
        <w:t>During the campaign, 16,376 printed brochures were distributed, 2,097 posters were displayed, 153 presentations were held, 19 articles were published in local media, and participation occurred in 3 radio and TV shows. The campaign reached a total of 216,536 beneficiaries and had a budget of 4,539.8 RON.</w:t>
      </w:r>
    </w:p>
    <w:p w14:paraId="1A7E4835" w14:textId="42B7E95E" w:rsidR="00E70CED" w:rsidRPr="00AB1F43" w:rsidRDefault="00E70CED" w:rsidP="00986AF7">
      <w:pPr>
        <w:jc w:val="both"/>
        <w:rPr>
          <w:rFonts w:cstheme="minorHAnsi"/>
          <w:sz w:val="18"/>
          <w:szCs w:val="18"/>
        </w:rPr>
      </w:pPr>
      <w:r w:rsidRPr="00AB1F43">
        <w:rPr>
          <w:rFonts w:cstheme="minorHAnsi"/>
          <w:sz w:val="18"/>
          <w:szCs w:val="18"/>
        </w:rPr>
        <w:t>In 2024, the reproductive health promotion campaign took place in July.</w:t>
      </w:r>
    </w:p>
    <w:p w14:paraId="2C6D2DE8" w14:textId="7CFAF64B" w:rsidR="000237CB" w:rsidRPr="00AB1F43" w:rsidRDefault="000237CB" w:rsidP="00986AF7">
      <w:pPr>
        <w:jc w:val="both"/>
        <w:rPr>
          <w:rFonts w:cstheme="minorHAnsi"/>
          <w:b/>
          <w:bCs/>
          <w:sz w:val="18"/>
          <w:szCs w:val="18"/>
        </w:rPr>
      </w:pPr>
      <w:r w:rsidRPr="00AB1F43">
        <w:rPr>
          <w:rFonts w:cstheme="minorHAnsi"/>
          <w:b/>
          <w:bCs/>
          <w:sz w:val="18"/>
          <w:szCs w:val="18"/>
        </w:rPr>
        <w:t>d)</w:t>
      </w:r>
      <w:r w:rsidRPr="00AB1F43">
        <w:rPr>
          <w:rFonts w:cstheme="minorHAnsi"/>
          <w:b/>
          <w:bCs/>
          <w:sz w:val="18"/>
          <w:szCs w:val="18"/>
        </w:rPr>
        <w:tab/>
        <w:t>Ensure unimpeded and adequate access to legal abortion and post-abortion services for all women in the State party, raise awareness of means of contraception and reproductive and health rights and guarantee the availability and accessibility of modern forms of contraception to all women and girls, including those from disadvantaged groups.</w:t>
      </w:r>
    </w:p>
    <w:p w14:paraId="418E315B" w14:textId="77777777" w:rsidR="000237CB" w:rsidRPr="00AB1F43" w:rsidRDefault="000237CB" w:rsidP="000237CB">
      <w:pPr>
        <w:jc w:val="both"/>
        <w:rPr>
          <w:rFonts w:cstheme="minorHAnsi"/>
          <w:sz w:val="18"/>
          <w:szCs w:val="18"/>
        </w:rPr>
      </w:pPr>
      <w:r w:rsidRPr="00AB1F43">
        <w:rPr>
          <w:rFonts w:cstheme="minorHAnsi"/>
          <w:sz w:val="18"/>
          <w:szCs w:val="18"/>
        </w:rPr>
        <w:t xml:space="preserve">Additionally, to increase access to quality medical and social services for the population, particularly vulnerable groups, the Ministry of Health has initiated community healthcare activities. Integrated community centers have been established where, in addition to community nurses and social workers, various professionals work based on the needs of vulnerable individuals identified in the community, including midwives, health mediators, school counselors and/or mediators, family doctors, specialists, resident doctors, and doctors who have not passed the residency exam, who will work under the supervision of a </w:t>
      </w:r>
      <w:r w:rsidRPr="00AB1F43">
        <w:rPr>
          <w:rFonts w:cstheme="minorHAnsi"/>
          <w:sz w:val="18"/>
          <w:szCs w:val="18"/>
        </w:rPr>
        <w:lastRenderedPageBreak/>
        <w:t>family doctor or specialist. Psychologists, employment agents, and other professional categories may also be involved in addressing the medical, social, and educational issues of vulnerable groups, along with administrative staff.</w:t>
      </w:r>
    </w:p>
    <w:p w14:paraId="07084A6D" w14:textId="77777777" w:rsidR="000237CB" w:rsidRPr="00AB1F43" w:rsidRDefault="000237CB" w:rsidP="000237CB">
      <w:pPr>
        <w:jc w:val="both"/>
        <w:rPr>
          <w:rFonts w:cstheme="minorHAnsi"/>
          <w:sz w:val="18"/>
          <w:szCs w:val="18"/>
        </w:rPr>
      </w:pPr>
      <w:r w:rsidRPr="00AB1F43">
        <w:rPr>
          <w:rFonts w:cstheme="minorHAnsi"/>
          <w:sz w:val="18"/>
          <w:szCs w:val="18"/>
        </w:rPr>
        <w:t>According to the provisions of Government Decision no. 324/2019, the activities within the integrated community center are as follows:</w:t>
      </w:r>
    </w:p>
    <w:p w14:paraId="641BED52"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Community healthcare activities;</w:t>
      </w:r>
    </w:p>
    <w:p w14:paraId="1E6C45B2"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Family medicine activities;</w:t>
      </w:r>
    </w:p>
    <w:p w14:paraId="3ABA8E83"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Specialized medical activities;</w:t>
      </w:r>
    </w:p>
    <w:p w14:paraId="21FA110E"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Telemedicine activities;</w:t>
      </w:r>
    </w:p>
    <w:p w14:paraId="116D1B48"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Counseling and support in home care and palliative care;</w:t>
      </w:r>
    </w:p>
    <w:p w14:paraId="21BC60CA"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Family planning activities;</w:t>
      </w:r>
    </w:p>
    <w:p w14:paraId="52D9F1BC"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Promotion and prevention activities through medical caravans and screenings;</w:t>
      </w:r>
    </w:p>
    <w:p w14:paraId="006C680A" w14:textId="0E1B96A9"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Social and educational assistance activities based on the identified needs of the center's beneficiaries in these components;</w:t>
      </w:r>
    </w:p>
    <w:p w14:paraId="39F81AE8" w14:textId="22EF58AD" w:rsidR="000237CB" w:rsidRPr="00AB1F43" w:rsidRDefault="000237CB" w:rsidP="000237CB">
      <w:pPr>
        <w:jc w:val="both"/>
        <w:rPr>
          <w:rFonts w:cstheme="minorHAnsi"/>
          <w:sz w:val="18"/>
          <w:szCs w:val="18"/>
        </w:rPr>
      </w:pPr>
      <w:hyperlink r:id="rId7" w:history="1">
        <w:r w:rsidRPr="00AB1F43">
          <w:rPr>
            <w:rStyle w:val="Hyperlink"/>
            <w:rFonts w:cstheme="minorHAnsi"/>
            <w:sz w:val="18"/>
            <w:szCs w:val="18"/>
          </w:rPr>
          <w:t>https://sogr.ro/wp-content/uploads/2019/11/35.-Avortul-medicamentos.pdf</w:t>
        </w:r>
      </w:hyperlink>
      <w:r w:rsidRPr="00AB1F43">
        <w:rPr>
          <w:rFonts w:cstheme="minorHAnsi"/>
          <w:sz w:val="18"/>
          <w:szCs w:val="18"/>
        </w:rPr>
        <w:t xml:space="preserve">  .</w:t>
      </w:r>
    </w:p>
    <w:p w14:paraId="7E2D03FA" w14:textId="77777777" w:rsidR="000237CB" w:rsidRPr="00AB1F43" w:rsidRDefault="000237CB" w:rsidP="000237CB">
      <w:pPr>
        <w:jc w:val="both"/>
        <w:rPr>
          <w:rFonts w:cstheme="minorHAnsi"/>
          <w:sz w:val="18"/>
          <w:szCs w:val="18"/>
        </w:rPr>
      </w:pPr>
      <w:r w:rsidRPr="00AB1F43">
        <w:rPr>
          <w:rFonts w:cstheme="minorHAnsi"/>
          <w:sz w:val="18"/>
          <w:szCs w:val="18"/>
        </w:rPr>
        <w:t>It is also mentioned that at the hospital level, the following surgical procedures are available in a day hospitalization setting:</w:t>
      </w:r>
    </w:p>
    <w:p w14:paraId="1FFE9BE3"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Dilation and curettage after abortion or for termination of pregnancy, with medical recommendation;</w:t>
      </w:r>
    </w:p>
    <w:p w14:paraId="05AF15EE"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Termination of pregnancy with medical recommendation, applicable for pregnancies of up to 12 weeks of amenorrhea; noting that medical services provided in a day hospitalization setting can also be provided in continuous hospitalization if the patient presents complications or comorbidities that pose a risk to the patient.</w:t>
      </w:r>
    </w:p>
    <w:p w14:paraId="28E9035C" w14:textId="77777777" w:rsidR="000237CB" w:rsidRPr="00AB1F43" w:rsidRDefault="000237CB" w:rsidP="000237CB">
      <w:pPr>
        <w:jc w:val="both"/>
        <w:rPr>
          <w:rFonts w:cstheme="minorHAnsi"/>
          <w:sz w:val="18"/>
          <w:szCs w:val="18"/>
        </w:rPr>
      </w:pPr>
      <w:r w:rsidRPr="00AB1F43">
        <w:rPr>
          <w:rFonts w:cstheme="minorHAnsi"/>
          <w:sz w:val="18"/>
          <w:szCs w:val="18"/>
        </w:rPr>
        <w:t xml:space="preserve">Regarding termination of pregnancy without medical recommendation, the provisions of Article 248, letters </w:t>
      </w:r>
      <w:proofErr w:type="spellStart"/>
      <w:r w:rsidRPr="00AB1F43">
        <w:rPr>
          <w:rFonts w:cstheme="minorHAnsi"/>
          <w:sz w:val="18"/>
          <w:szCs w:val="18"/>
        </w:rPr>
        <w:t>i</w:t>
      </w:r>
      <w:proofErr w:type="spellEnd"/>
      <w:r w:rsidRPr="00AB1F43">
        <w:rPr>
          <w:rFonts w:cstheme="minorHAnsi"/>
          <w:sz w:val="18"/>
          <w:szCs w:val="18"/>
        </w:rPr>
        <w:t>) and l) of Law no. 95/2006, republished, with subsequent amendments and completions, apply, according to which:</w:t>
      </w:r>
    </w:p>
    <w:p w14:paraId="0E32A73C"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Medical assistance upon request,</w:t>
      </w:r>
    </w:p>
    <w:p w14:paraId="48464EDC" w14:textId="77777777" w:rsidR="000237CB" w:rsidRPr="00AB1F43" w:rsidRDefault="000237CB" w:rsidP="000237CB">
      <w:pPr>
        <w:jc w:val="both"/>
        <w:rPr>
          <w:rFonts w:cstheme="minorHAnsi"/>
          <w:sz w:val="18"/>
          <w:szCs w:val="18"/>
        </w:rPr>
      </w:pPr>
      <w:r w:rsidRPr="00AB1F43">
        <w:rPr>
          <w:rFonts w:cstheme="minorHAnsi"/>
          <w:sz w:val="18"/>
          <w:szCs w:val="18"/>
        </w:rPr>
        <w:t>•</w:t>
      </w:r>
      <w:r w:rsidRPr="00AB1F43">
        <w:rPr>
          <w:rFonts w:cstheme="minorHAnsi"/>
          <w:sz w:val="18"/>
          <w:szCs w:val="18"/>
        </w:rPr>
        <w:tab/>
        <w:t>Medical services requested by the insured, are not reimbursed from the National Health Insurance Fund, and the costs are borne by the insured.</w:t>
      </w:r>
    </w:p>
    <w:p w14:paraId="4C4C3240" w14:textId="77777777" w:rsidR="000237CB" w:rsidRPr="00AB1F43" w:rsidRDefault="000237CB" w:rsidP="000237CB">
      <w:pPr>
        <w:jc w:val="both"/>
        <w:rPr>
          <w:rFonts w:cstheme="minorHAnsi"/>
          <w:sz w:val="18"/>
          <w:szCs w:val="18"/>
        </w:rPr>
      </w:pPr>
      <w:r w:rsidRPr="00AB1F43">
        <w:rPr>
          <w:rFonts w:cstheme="minorHAnsi"/>
          <w:sz w:val="18"/>
          <w:szCs w:val="18"/>
        </w:rPr>
        <w:t>According to the provisions of Order MS no. 964/2022 approving the Technical Norms for the implementation of national public health programs, with subsequent amendments and completions, under Section XIII.2. The Women’s Health Subprogram, one of the areas of intervention is the prevention of unwanted pregnancies by increasing access to family planning services through the acquisition and free provision of contraceptives and medical devices.</w:t>
      </w:r>
    </w:p>
    <w:p w14:paraId="7A1438E0" w14:textId="6E2AA8B8" w:rsidR="006707C7" w:rsidRPr="00AB1F43" w:rsidRDefault="000237CB" w:rsidP="00986AF7">
      <w:pPr>
        <w:jc w:val="both"/>
        <w:rPr>
          <w:rFonts w:cstheme="minorHAnsi"/>
          <w:sz w:val="18"/>
          <w:szCs w:val="18"/>
        </w:rPr>
      </w:pPr>
      <w:r w:rsidRPr="00AB1F43">
        <w:rPr>
          <w:rFonts w:cstheme="minorHAnsi"/>
          <w:sz w:val="18"/>
          <w:szCs w:val="18"/>
        </w:rPr>
        <w:t>Contraceptives and medical devices are provided free of charge through family planning offices, through the offices of family doctors included in the program, through obstetrics-gynecology offices in outpatient specialty and hospital settings, as well as through gynecology departments where abortions upon request are performed. The categories of beneficiaries eligible for free contraceptives and medical devices include unemployed individuals, students and pupils, people from families receiving social assistance, women permanently residing in rural areas, women who undergo an abortion upon request in a public healthcare unit, as well as other individuals without income who provide a self-declaration to that effect.</w:t>
      </w:r>
      <w:bookmarkStart w:id="14" w:name="_Hlk181693435"/>
    </w:p>
    <w:p w14:paraId="711403CE" w14:textId="1B91722F" w:rsidR="006707C7" w:rsidRPr="00AB1F43" w:rsidRDefault="006707C7" w:rsidP="00AB1F43">
      <w:pPr>
        <w:pStyle w:val="ListParagraph"/>
        <w:numPr>
          <w:ilvl w:val="0"/>
          <w:numId w:val="2"/>
        </w:numPr>
        <w:ind w:left="720"/>
        <w:jc w:val="both"/>
        <w:rPr>
          <w:rFonts w:cstheme="minorHAnsi"/>
          <w:b/>
          <w:bCs/>
          <w:sz w:val="18"/>
          <w:szCs w:val="18"/>
        </w:rPr>
      </w:pPr>
      <w:r w:rsidRPr="00AB1F43">
        <w:rPr>
          <w:rFonts w:cstheme="minorHAnsi"/>
          <w:b/>
          <w:bCs/>
          <w:sz w:val="18"/>
          <w:szCs w:val="18"/>
        </w:rPr>
        <w:t>National Authority for the Protection of the Rights of Persons with Disabilities (ANPDPD</w:t>
      </w:r>
      <w:r w:rsidR="00986AF7" w:rsidRPr="00AB1F43">
        <w:rPr>
          <w:rFonts w:cstheme="minorHAnsi"/>
          <w:b/>
          <w:bCs/>
          <w:sz w:val="18"/>
          <w:szCs w:val="18"/>
        </w:rPr>
        <w:t>)</w:t>
      </w:r>
    </w:p>
    <w:bookmarkEnd w:id="14"/>
    <w:p w14:paraId="55BCB01F" w14:textId="79FCD75D" w:rsidR="006707C7" w:rsidRPr="00AB1F43" w:rsidRDefault="006707C7" w:rsidP="00986AF7">
      <w:pPr>
        <w:jc w:val="both"/>
        <w:rPr>
          <w:rFonts w:cstheme="minorHAnsi"/>
          <w:b/>
          <w:bCs/>
          <w:sz w:val="18"/>
          <w:szCs w:val="18"/>
        </w:rPr>
      </w:pPr>
      <w:r w:rsidRPr="00AB1F43">
        <w:rPr>
          <w:rFonts w:cstheme="minorHAnsi"/>
          <w:b/>
          <w:bCs/>
          <w:sz w:val="18"/>
          <w:szCs w:val="18"/>
        </w:rPr>
        <w:t>Refugee, asylum-seeking and migrant women</w:t>
      </w:r>
    </w:p>
    <w:p w14:paraId="6FB57E32" w14:textId="759791AB" w:rsidR="00986AF7" w:rsidRPr="00AB1F43" w:rsidRDefault="006707C7" w:rsidP="00986AF7">
      <w:pPr>
        <w:jc w:val="both"/>
        <w:rPr>
          <w:rFonts w:cstheme="minorHAnsi"/>
          <w:b/>
          <w:bCs/>
          <w:sz w:val="18"/>
          <w:szCs w:val="18"/>
        </w:rPr>
      </w:pPr>
      <w:r w:rsidRPr="00AB1F43">
        <w:rPr>
          <w:rFonts w:cstheme="minorHAnsi"/>
          <w:b/>
          <w:bCs/>
          <w:sz w:val="18"/>
          <w:szCs w:val="18"/>
        </w:rPr>
        <w:t>22.</w:t>
      </w:r>
      <w:r w:rsidRPr="00AB1F43">
        <w:rPr>
          <w:rFonts w:cstheme="minorHAnsi"/>
          <w:b/>
          <w:bCs/>
          <w:sz w:val="18"/>
          <w:szCs w:val="18"/>
        </w:rPr>
        <w:tab/>
        <w:t xml:space="preserve">In the light of reports that, as of September 2023, the State party hosts approximately 78,000 Ukrainian refugees, the majority of which are women and children, please provide information on measures taken to ensure that Ukrainian refugee women have access to basic rights, as well as to specialized health services and childcare facilities, as appropriate. In particular, </w:t>
      </w:r>
      <w:r w:rsidRPr="00AB1F43">
        <w:rPr>
          <w:rFonts w:cstheme="minorHAnsi"/>
          <w:b/>
          <w:bCs/>
          <w:sz w:val="18"/>
          <w:szCs w:val="18"/>
        </w:rPr>
        <w:lastRenderedPageBreak/>
        <w:t>please describe efforts to overcome obstacles, such as language barriers and administrative requirements, that affect the ability of refugee women to fully understand and gain access to their human rights.</w:t>
      </w:r>
    </w:p>
    <w:p w14:paraId="74381B90" w14:textId="77777777" w:rsidR="006707C7" w:rsidRPr="00AB1F43" w:rsidRDefault="006707C7" w:rsidP="00986AF7">
      <w:pPr>
        <w:jc w:val="both"/>
        <w:rPr>
          <w:rFonts w:cstheme="minorHAnsi"/>
          <w:sz w:val="18"/>
          <w:szCs w:val="18"/>
        </w:rPr>
      </w:pPr>
      <w:r w:rsidRPr="00AB1F43">
        <w:rPr>
          <w:rFonts w:cstheme="minorHAnsi"/>
          <w:sz w:val="18"/>
          <w:szCs w:val="18"/>
        </w:rPr>
        <w:t>Considering the current evolution of events in Ukraine, the National Authority for the Protection of the Rights of Persons with Disabilities (ANPDPD) has taken some special measures for the protection of Ukrainian citizens in Romania, who do not require a form of protection or asylum, according to the provisions of the Law no. 122/2006, measures that were not taken separately, for women and men, but addressed to all people, regardless of sex, age, etc.</w:t>
      </w:r>
    </w:p>
    <w:p w14:paraId="27864A31" w14:textId="77777777" w:rsidR="006707C7" w:rsidRPr="00AB1F43" w:rsidRDefault="006707C7" w:rsidP="00986AF7">
      <w:pPr>
        <w:jc w:val="both"/>
        <w:rPr>
          <w:rFonts w:cstheme="minorHAnsi"/>
          <w:sz w:val="18"/>
          <w:szCs w:val="18"/>
        </w:rPr>
      </w:pPr>
      <w:r w:rsidRPr="00AB1F43">
        <w:rPr>
          <w:rFonts w:cstheme="minorHAnsi"/>
          <w:sz w:val="18"/>
          <w:szCs w:val="18"/>
        </w:rPr>
        <w:t>In this sense, in order to establish a legal framework to ensure all these measures, Romania adopted the Emergency Ordinance no. 20/2022 for the amendment and completion of normative acts, as well as for the establishment of humanitarian support and assistance measures, GEO no. 15/2022 regarding the provision of humanitarian support and assistance by the Romanian state to foreign citizens or stateless persons in special situations. Through this legal framework, it was ensured the right to assistance and access to social services for adults with disabilities from Ukraine who did not apply for asylum.</w:t>
      </w:r>
    </w:p>
    <w:p w14:paraId="65D8FC69" w14:textId="77777777" w:rsidR="006707C7" w:rsidRPr="00AB1F43" w:rsidRDefault="006707C7" w:rsidP="00986AF7">
      <w:pPr>
        <w:jc w:val="both"/>
        <w:rPr>
          <w:rFonts w:cstheme="minorHAnsi"/>
          <w:sz w:val="18"/>
          <w:szCs w:val="18"/>
        </w:rPr>
      </w:pPr>
      <w:r w:rsidRPr="00AB1F43">
        <w:rPr>
          <w:rFonts w:cstheme="minorHAnsi"/>
          <w:sz w:val="18"/>
          <w:szCs w:val="18"/>
        </w:rPr>
        <w:t>These persons benefit, upon request and free of charge, from the social services provided by the care centers provided for in art. 51 paragraph (3) of Law no. 448/2006 on the protection and promotion of the rights of persons with disabilities, republished, with subsequent amendments and additions.</w:t>
      </w:r>
    </w:p>
    <w:p w14:paraId="50583457" w14:textId="77777777" w:rsidR="006707C7" w:rsidRPr="00AB1F43" w:rsidRDefault="006707C7" w:rsidP="00986AF7">
      <w:pPr>
        <w:jc w:val="both"/>
        <w:rPr>
          <w:rFonts w:cstheme="minorHAnsi"/>
          <w:sz w:val="18"/>
          <w:szCs w:val="18"/>
        </w:rPr>
      </w:pPr>
      <w:r w:rsidRPr="00AB1F43">
        <w:rPr>
          <w:rFonts w:cstheme="minorHAnsi"/>
          <w:sz w:val="18"/>
          <w:szCs w:val="18"/>
        </w:rPr>
        <w:t>In order to implement these provisions, ANPDPD approved the "Procedure for granting social services for adults with disabilities, accompanied or unaccompanied, who entered Romania from the zone of armed conflict in Ukraine and who do not require a form of protection according to the law regarding asylum" (Order of the President of the National Authority for the Protection of the Rights of Persons with Disabilities no. 43 of 11.03.2022)</w:t>
      </w:r>
    </w:p>
    <w:p w14:paraId="62DCD288" w14:textId="77777777" w:rsidR="006707C7" w:rsidRPr="00AB1F43" w:rsidRDefault="006707C7" w:rsidP="00986AF7">
      <w:pPr>
        <w:jc w:val="both"/>
        <w:rPr>
          <w:rFonts w:cstheme="minorHAnsi"/>
          <w:sz w:val="18"/>
          <w:szCs w:val="18"/>
        </w:rPr>
      </w:pPr>
      <w:r w:rsidRPr="00AB1F43">
        <w:rPr>
          <w:rFonts w:cstheme="minorHAnsi"/>
          <w:sz w:val="18"/>
          <w:szCs w:val="18"/>
        </w:rPr>
        <w:t>The aforementioned procedure establishes the intervention process, as well as the activities of the DGASPCs for the provision of social services for adults with disabilities, accompanied or unaccompanied, who enter Romania and come from the area of armed conflict in Ukraine.</w:t>
      </w:r>
    </w:p>
    <w:p w14:paraId="4C859EF2" w14:textId="77777777" w:rsidR="006707C7" w:rsidRPr="00AB1F43" w:rsidRDefault="006707C7" w:rsidP="00986AF7">
      <w:pPr>
        <w:jc w:val="both"/>
        <w:rPr>
          <w:rFonts w:cstheme="minorHAnsi"/>
          <w:sz w:val="18"/>
          <w:szCs w:val="18"/>
        </w:rPr>
      </w:pPr>
      <w:r w:rsidRPr="00AB1F43">
        <w:rPr>
          <w:rFonts w:cstheme="minorHAnsi"/>
          <w:sz w:val="18"/>
          <w:szCs w:val="18"/>
        </w:rPr>
        <w:t>Another support measure adopted by the Romanian Government for the Ukrainian refugees is the optimization of the assessment activity, in the context in which the assessment services and commissions are faced with the situation in which refugees from Ukraine, having domicile/residence in Romania, can address with a request for assessment in order to be classified as person with disabilities.</w:t>
      </w:r>
    </w:p>
    <w:p w14:paraId="3D2F8733" w14:textId="77777777" w:rsidR="006707C7" w:rsidRPr="00AB1F43" w:rsidRDefault="006707C7" w:rsidP="00986AF7">
      <w:pPr>
        <w:jc w:val="both"/>
        <w:rPr>
          <w:rFonts w:cstheme="minorHAnsi"/>
          <w:sz w:val="18"/>
          <w:szCs w:val="18"/>
        </w:rPr>
      </w:pPr>
      <w:r w:rsidRPr="00AB1F43">
        <w:rPr>
          <w:rFonts w:cstheme="minorHAnsi"/>
          <w:sz w:val="18"/>
          <w:szCs w:val="18"/>
        </w:rPr>
        <w:t xml:space="preserve">According to the provisions of Methodological Instruction no. 2/2022 of the Higher Commission for the Assessment of Adults with Disabilities, Ukrainian citizens who request an evaluation in order to be classified as person with disabilities must present a document showing the at least temporary right to stay in Romania (residence permit). The document is issued by the General Inspectorate for Immigration, which assigns individuals a personal numerical code used in the interaction with the Romanian authorities, in order to benefit from specific rights. The mentioned instruction can be consulted following the link https://anpd.gov.ro/web/wp-content/uploads/2023/05/Instructiune-metodologica-nr.-2-2022-ucraineni.pdf </w:t>
      </w:r>
    </w:p>
    <w:p w14:paraId="63628ED6" w14:textId="77777777" w:rsidR="006707C7" w:rsidRPr="00AB1F43" w:rsidRDefault="006707C7" w:rsidP="00986AF7">
      <w:pPr>
        <w:jc w:val="both"/>
        <w:rPr>
          <w:rFonts w:cstheme="minorHAnsi"/>
          <w:sz w:val="18"/>
          <w:szCs w:val="18"/>
        </w:rPr>
      </w:pPr>
      <w:r w:rsidRPr="00AB1F43">
        <w:rPr>
          <w:rFonts w:cstheme="minorHAnsi"/>
          <w:sz w:val="18"/>
          <w:szCs w:val="18"/>
        </w:rPr>
        <w:t>In collaboration with UNHCR representatives, ANPDPD has developed the IT Guide for obtaining the disability classification certificate.</w:t>
      </w:r>
    </w:p>
    <w:p w14:paraId="570E8361" w14:textId="74E5830C" w:rsidR="006707C7" w:rsidRPr="00AB1F43" w:rsidRDefault="006707C7" w:rsidP="00986AF7">
      <w:pPr>
        <w:jc w:val="both"/>
        <w:rPr>
          <w:rFonts w:cstheme="minorHAnsi"/>
          <w:sz w:val="18"/>
          <w:szCs w:val="18"/>
        </w:rPr>
      </w:pPr>
      <w:r w:rsidRPr="00AB1F43">
        <w:rPr>
          <w:rFonts w:cstheme="minorHAnsi"/>
          <w:sz w:val="18"/>
          <w:szCs w:val="18"/>
        </w:rPr>
        <w:t xml:space="preserve">It contains information on refugees from Ukraine obtaining the disability classification certificate, in accordance with the legal provisions in force, it is available online on the institution's website in Romanian, English and Ukrainian and can be accessed following the link, </w:t>
      </w:r>
      <w:hyperlink r:id="rId8" w:history="1">
        <w:r w:rsidR="00986AF7" w:rsidRPr="00AB1F43">
          <w:rPr>
            <w:rStyle w:val="Hyperlink"/>
            <w:rFonts w:cstheme="minorHAnsi"/>
            <w:sz w:val="18"/>
            <w:szCs w:val="18"/>
          </w:rPr>
          <w:t>https://anpd.gov.ro/web/dizabilitate/ghid-privind-obtinerea-certificatului-de-dizabilitate-pentru-persoonele-stramutate-din-ukraina/</w:t>
        </w:r>
      </w:hyperlink>
      <w:r w:rsidR="00986AF7" w:rsidRPr="00AB1F43">
        <w:rPr>
          <w:rFonts w:cstheme="minorHAnsi"/>
          <w:sz w:val="18"/>
          <w:szCs w:val="18"/>
        </w:rPr>
        <w:t xml:space="preserve"> </w:t>
      </w:r>
    </w:p>
    <w:p w14:paraId="25A61C7F" w14:textId="62D2FFB2" w:rsidR="006707C7" w:rsidRPr="00AB1F43" w:rsidRDefault="006707C7" w:rsidP="00986AF7">
      <w:pPr>
        <w:jc w:val="both"/>
        <w:rPr>
          <w:rFonts w:cstheme="minorHAnsi"/>
          <w:sz w:val="18"/>
          <w:szCs w:val="18"/>
        </w:rPr>
      </w:pPr>
      <w:r w:rsidRPr="00AB1F43">
        <w:rPr>
          <w:rFonts w:cstheme="minorHAnsi"/>
          <w:sz w:val="18"/>
          <w:szCs w:val="18"/>
        </w:rPr>
        <w:t>According to the data sent by the DGASPC to the ANPDPD, up to present a number of 276 refugees from Ukraine have obtained disability certificates, during 24.02.2022-31.03.2024 and a number of 41 persons have benefited from social services in the social service centers subordinated to the DGASPC.</w:t>
      </w:r>
    </w:p>
    <w:p w14:paraId="1E572037" w14:textId="35E1CEA9" w:rsidR="00B61570" w:rsidRPr="00AB1F43" w:rsidRDefault="00B61570" w:rsidP="00B61570">
      <w:pPr>
        <w:jc w:val="both"/>
        <w:rPr>
          <w:rFonts w:cstheme="minorHAnsi"/>
          <w:b/>
          <w:bCs/>
          <w:sz w:val="18"/>
          <w:szCs w:val="18"/>
        </w:rPr>
      </w:pPr>
      <w:r w:rsidRPr="00AB1F43">
        <w:rPr>
          <w:rFonts w:cstheme="minorHAnsi"/>
          <w:b/>
          <w:bCs/>
          <w:sz w:val="18"/>
          <w:szCs w:val="18"/>
        </w:rPr>
        <w:t>Access to justice</w:t>
      </w:r>
    </w:p>
    <w:p w14:paraId="56A9F5FD" w14:textId="2EA74D71" w:rsidR="00B61570" w:rsidRPr="00AB1F43" w:rsidRDefault="00B61570" w:rsidP="00986AF7">
      <w:pPr>
        <w:jc w:val="both"/>
        <w:rPr>
          <w:rFonts w:cstheme="minorHAnsi"/>
          <w:b/>
          <w:bCs/>
          <w:sz w:val="18"/>
          <w:szCs w:val="18"/>
        </w:rPr>
      </w:pPr>
      <w:r w:rsidRPr="00AB1F43">
        <w:rPr>
          <w:rFonts w:cstheme="minorHAnsi"/>
          <w:b/>
          <w:bCs/>
          <w:sz w:val="18"/>
          <w:szCs w:val="18"/>
        </w:rPr>
        <w:t>5.</w:t>
      </w:r>
      <w:r w:rsidR="00AB1F43">
        <w:rPr>
          <w:rFonts w:cstheme="minorHAnsi"/>
          <w:b/>
          <w:bCs/>
          <w:sz w:val="18"/>
          <w:szCs w:val="18"/>
        </w:rPr>
        <w:t xml:space="preserve"> </w:t>
      </w:r>
      <w:r w:rsidRPr="00AB1F43">
        <w:rPr>
          <w:rFonts w:cstheme="minorHAnsi"/>
          <w:b/>
          <w:bCs/>
          <w:sz w:val="18"/>
          <w:szCs w:val="18"/>
        </w:rPr>
        <w:t xml:space="preserve">In the light of the Committee’s previous recommendations (para. 11), please describe steps taken to:   </w:t>
      </w:r>
    </w:p>
    <w:p w14:paraId="4A5141EE" w14:textId="32C1FA3E" w:rsidR="00B61570" w:rsidRPr="00AB1F43" w:rsidRDefault="00B61570" w:rsidP="00986AF7">
      <w:pPr>
        <w:jc w:val="both"/>
        <w:rPr>
          <w:rFonts w:cstheme="minorHAnsi"/>
          <w:b/>
          <w:bCs/>
          <w:sz w:val="18"/>
          <w:szCs w:val="18"/>
        </w:rPr>
      </w:pPr>
      <w:r w:rsidRPr="00AB1F43">
        <w:rPr>
          <w:rFonts w:cstheme="minorHAnsi"/>
          <w:b/>
          <w:bCs/>
          <w:sz w:val="18"/>
          <w:szCs w:val="18"/>
        </w:rPr>
        <w:t>(c)Provide free legal aid to women without sufficient means, including rural women, women with disabilities and Roma women, so that they can bring claims of violations of their human rights before the courts;</w:t>
      </w:r>
    </w:p>
    <w:p w14:paraId="017EDFED" w14:textId="77777777" w:rsidR="00B61570" w:rsidRPr="00AB1F43" w:rsidRDefault="00B61570" w:rsidP="00B61570">
      <w:pPr>
        <w:jc w:val="both"/>
        <w:rPr>
          <w:rFonts w:cstheme="minorHAnsi"/>
          <w:sz w:val="18"/>
          <w:szCs w:val="18"/>
        </w:rPr>
      </w:pPr>
      <w:r w:rsidRPr="00AB1F43">
        <w:rPr>
          <w:rFonts w:cstheme="minorHAnsi"/>
          <w:sz w:val="18"/>
          <w:szCs w:val="18"/>
        </w:rPr>
        <w:lastRenderedPageBreak/>
        <w:t>The approval of the Law no. 140/2022 regarding some protection measures for people with intellectual and psychosocial disabilities and the modification and completion of some normative acts sought to reset the rules that configure the protection of persons with intellectual and psychosocial disabilities on new, modern foundations, being aligned with international regulations in the field.</w:t>
      </w:r>
    </w:p>
    <w:p w14:paraId="7B613EEA" w14:textId="77777777" w:rsidR="00B61570" w:rsidRPr="00AB1F43" w:rsidRDefault="00B61570" w:rsidP="00B61570">
      <w:pPr>
        <w:jc w:val="both"/>
        <w:rPr>
          <w:rFonts w:cstheme="minorHAnsi"/>
          <w:sz w:val="18"/>
          <w:szCs w:val="18"/>
        </w:rPr>
      </w:pPr>
      <w:r w:rsidRPr="00AB1F43">
        <w:rPr>
          <w:rFonts w:cstheme="minorHAnsi"/>
          <w:sz w:val="18"/>
          <w:szCs w:val="18"/>
        </w:rPr>
        <w:t>- through the legislative solutions contained in this normative act, the old institution of placing under judicial interdiction was reconfigured, a new protection mechanism was created - judicial counselling, the (substantial) condition for its establishment is the existence of a partial inability of the adult to take care of himself of his interests, an aspect that leads, in principle, to his assistance in participating in civil life, as regards the conclusion of the patrimonial acts. This measure of judicial counselling can be ordered only if the effective protection of the person cannot be ensured by establishing assistance for the conclusion of legal acts;</w:t>
      </w:r>
    </w:p>
    <w:p w14:paraId="5CB7A393" w14:textId="77777777" w:rsidR="00B61570" w:rsidRPr="00AB1F43" w:rsidRDefault="00B61570" w:rsidP="00B61570">
      <w:pPr>
        <w:jc w:val="both"/>
        <w:rPr>
          <w:rFonts w:cstheme="minorHAnsi"/>
          <w:sz w:val="18"/>
          <w:szCs w:val="18"/>
        </w:rPr>
      </w:pPr>
      <w:r w:rsidRPr="00AB1F43">
        <w:rPr>
          <w:rFonts w:cstheme="minorHAnsi"/>
          <w:sz w:val="18"/>
          <w:szCs w:val="18"/>
        </w:rPr>
        <w:t>In the same time, was established another protection regime- special guardianship, however, only being ordered as a last resort, for a determined duration and only in the event that adequate protection cannot be provide by placing the person under judicial counselling or by establishing cleaning; as in the case of judicial counselling, the court modulates the exercise capacity of the protected person and individualizes the ordered measure.</w:t>
      </w:r>
    </w:p>
    <w:p w14:paraId="0C0B1A7E" w14:textId="77777777" w:rsidR="00B61570" w:rsidRPr="00AB1F43" w:rsidRDefault="00B61570" w:rsidP="00B61570">
      <w:pPr>
        <w:jc w:val="both"/>
        <w:rPr>
          <w:rFonts w:cstheme="minorHAnsi"/>
          <w:sz w:val="18"/>
          <w:szCs w:val="18"/>
        </w:rPr>
      </w:pPr>
      <w:r w:rsidRPr="00AB1F43">
        <w:rPr>
          <w:rFonts w:cstheme="minorHAnsi"/>
          <w:sz w:val="18"/>
          <w:szCs w:val="18"/>
        </w:rPr>
        <w:t>Through the joint Order of the Ministry of Health and the Ministry of Labor and Social Solidarity no. 3.423/2.128/2022 the medical and psychological evaluation methodology and the model of the medical and psychological evaluation report of persons with intellectual and psychosocial disabilities in the context of the disposition, extension, replacement or lifting of the protection measure were approved.</w:t>
      </w:r>
    </w:p>
    <w:p w14:paraId="21041051" w14:textId="77777777" w:rsidR="00B61570" w:rsidRPr="00AB1F43" w:rsidRDefault="00B61570" w:rsidP="00B61570">
      <w:pPr>
        <w:jc w:val="both"/>
        <w:rPr>
          <w:rFonts w:cstheme="minorHAnsi"/>
          <w:sz w:val="18"/>
          <w:szCs w:val="18"/>
        </w:rPr>
      </w:pPr>
      <w:r w:rsidRPr="00AB1F43">
        <w:rPr>
          <w:rFonts w:cstheme="minorHAnsi"/>
          <w:sz w:val="18"/>
          <w:szCs w:val="18"/>
        </w:rPr>
        <w:t>The Operational Program for Social Inclusion and Dignity (POIDS) 2021—2027 will support the development of assistance and support services in decision-making for persons without or with limited exercise capacity with disabilities (CRPD Article 12), respectively for persons who have not yet passed to the status of full legal capacity, according to national legislation;</w:t>
      </w:r>
    </w:p>
    <w:p w14:paraId="33F2C446" w14:textId="77777777" w:rsidR="00B61570" w:rsidRPr="00AB1F43" w:rsidRDefault="00B61570" w:rsidP="00B61570">
      <w:pPr>
        <w:jc w:val="both"/>
        <w:rPr>
          <w:rFonts w:cstheme="minorHAnsi"/>
          <w:sz w:val="18"/>
          <w:szCs w:val="18"/>
        </w:rPr>
      </w:pPr>
      <w:r w:rsidRPr="00AB1F43">
        <w:rPr>
          <w:rFonts w:cstheme="minorHAnsi"/>
          <w:sz w:val="18"/>
          <w:szCs w:val="18"/>
        </w:rPr>
        <w:t>- ensuring the right to make decisions for persons who have been placed under the guardianship system, under conditions of equality with others, represents a major reform process in Romania, in accordance with Article 12 of the CRPD, ratified in Romania by Law no. 221/2010. On July 16, 2020, the Romanian Constitutional Court decided that the guardianship system is not constitutional. Consequently, Romania must urgently take actions to create an adequate system of assisted decision-making services, in order to provide persons with disabilities with the necessary support for the full exercise of this right in accordance with their will and preferences.</w:t>
      </w:r>
    </w:p>
    <w:p w14:paraId="2AC0144E" w14:textId="52BC4156" w:rsidR="000237CB" w:rsidRPr="00AB1F43" w:rsidRDefault="00B61570" w:rsidP="00B61570">
      <w:pPr>
        <w:jc w:val="both"/>
        <w:rPr>
          <w:rFonts w:cstheme="minorHAnsi"/>
          <w:sz w:val="18"/>
          <w:szCs w:val="18"/>
        </w:rPr>
      </w:pPr>
      <w:r w:rsidRPr="00AB1F43">
        <w:rPr>
          <w:rFonts w:cstheme="minorHAnsi"/>
          <w:sz w:val="18"/>
          <w:szCs w:val="18"/>
        </w:rPr>
        <w:t>- POIDS finances the infrastructure, including the endowment, as well as the operation for at least three years of 47 (at least one per county and sectors of Bucharest) assistance and support services made up of mobile teams of professionals who will provide personal assistance and guidance in decision-making, following an assessment of the situation and choices of the person with disabilities who needs this support.</w:t>
      </w:r>
    </w:p>
    <w:p w14:paraId="3514ADB4" w14:textId="14F454AB" w:rsidR="000237CB" w:rsidRPr="00AB1F43" w:rsidRDefault="000237CB" w:rsidP="000237CB">
      <w:pPr>
        <w:jc w:val="both"/>
        <w:rPr>
          <w:rFonts w:cstheme="minorHAnsi"/>
          <w:b/>
          <w:bCs/>
          <w:sz w:val="18"/>
          <w:szCs w:val="18"/>
        </w:rPr>
      </w:pPr>
      <w:r w:rsidRPr="00AB1F43">
        <w:rPr>
          <w:rFonts w:cstheme="minorHAnsi"/>
          <w:b/>
          <w:bCs/>
          <w:sz w:val="18"/>
          <w:szCs w:val="18"/>
        </w:rPr>
        <w:t>Women facing multiple and intersecting forms of discrimination</w:t>
      </w:r>
    </w:p>
    <w:p w14:paraId="7558A928" w14:textId="77777777" w:rsidR="000237CB" w:rsidRPr="00AB1F43" w:rsidRDefault="000237CB" w:rsidP="000237CB">
      <w:pPr>
        <w:jc w:val="both"/>
        <w:rPr>
          <w:rFonts w:cstheme="minorHAnsi"/>
          <w:b/>
          <w:bCs/>
          <w:sz w:val="18"/>
          <w:szCs w:val="18"/>
        </w:rPr>
      </w:pPr>
      <w:r w:rsidRPr="00AB1F43">
        <w:rPr>
          <w:rFonts w:cstheme="minorHAnsi"/>
          <w:b/>
          <w:bCs/>
          <w:sz w:val="18"/>
          <w:szCs w:val="18"/>
        </w:rPr>
        <w:t>23.</w:t>
      </w:r>
      <w:r w:rsidRPr="00AB1F43">
        <w:rPr>
          <w:rFonts w:cstheme="minorHAnsi"/>
          <w:b/>
          <w:bCs/>
          <w:sz w:val="18"/>
          <w:szCs w:val="18"/>
        </w:rPr>
        <w:tab/>
        <w:t xml:space="preserve">In the light of the Committee’s previous recommendations (para. 37), please provide information on the steps taken to: </w:t>
      </w:r>
    </w:p>
    <w:p w14:paraId="0C0ED751" w14:textId="42B1A858" w:rsidR="000237CB" w:rsidRPr="00AB1F43" w:rsidRDefault="000237CB" w:rsidP="00B61570">
      <w:pPr>
        <w:jc w:val="both"/>
        <w:rPr>
          <w:rFonts w:cstheme="minorHAnsi"/>
          <w:b/>
          <w:bCs/>
          <w:sz w:val="18"/>
          <w:szCs w:val="18"/>
        </w:rPr>
      </w:pPr>
      <w:r w:rsidRPr="00AB1F43">
        <w:rPr>
          <w:rFonts w:cstheme="minorHAnsi"/>
          <w:b/>
          <w:bCs/>
          <w:sz w:val="18"/>
          <w:szCs w:val="18"/>
        </w:rPr>
        <w:t>(c)</w:t>
      </w:r>
      <w:r w:rsidRPr="00AB1F43">
        <w:rPr>
          <w:rFonts w:cstheme="minorHAnsi"/>
          <w:b/>
          <w:bCs/>
          <w:sz w:val="18"/>
          <w:szCs w:val="18"/>
        </w:rPr>
        <w:tab/>
        <w:t>Revise Act No. 448/2006, in line with the Convention on the Rights of Persons with Disabilities, to move its focus to the independent living and inclusion of women and girls with disabilities, reform the health-care and social protection system to prevent their institutionalization, build the capacity of health personnel to eliminate discrimination against women with disabilities and facilitate reporting of cases of violence and abuse.</w:t>
      </w:r>
    </w:p>
    <w:p w14:paraId="2219F5B2" w14:textId="77777777" w:rsidR="000237CB" w:rsidRPr="00AB1F43" w:rsidRDefault="000237CB" w:rsidP="000237CB">
      <w:pPr>
        <w:jc w:val="both"/>
        <w:rPr>
          <w:rFonts w:cstheme="minorHAnsi"/>
          <w:sz w:val="18"/>
          <w:szCs w:val="18"/>
        </w:rPr>
      </w:pPr>
      <w:r w:rsidRPr="00AB1F43">
        <w:rPr>
          <w:rFonts w:cstheme="minorHAnsi"/>
          <w:sz w:val="18"/>
          <w:szCs w:val="18"/>
        </w:rPr>
        <w:t>Over time, Law No. 448/2006 has undergone several modifications through normative acts aimed at improving the protection and promotion of the rights of persons with disabilities. Here are some of the most significant changes:</w:t>
      </w:r>
    </w:p>
    <w:p w14:paraId="0BBA3590" w14:textId="38BDBE59" w:rsidR="000237CB" w:rsidRPr="00AB1F43" w:rsidRDefault="000237CB" w:rsidP="000237CB">
      <w:pPr>
        <w:jc w:val="both"/>
        <w:rPr>
          <w:rFonts w:cstheme="minorHAnsi"/>
          <w:sz w:val="18"/>
          <w:szCs w:val="18"/>
        </w:rPr>
      </w:pPr>
      <w:r w:rsidRPr="00AB1F43">
        <w:rPr>
          <w:rFonts w:cstheme="minorHAnsi"/>
          <w:sz w:val="18"/>
          <w:szCs w:val="18"/>
        </w:rPr>
        <w:t>Emergency Ordinance No. 47/2020: This ordinance brought significant changes regarding the social protection of persons with disabilities, aiming to facilitate their access to social, health, and educational services. It introduced measures for the development of community services and supported the autonomy of persons with disabilities by creating services tailored to their needs.</w:t>
      </w:r>
    </w:p>
    <w:p w14:paraId="01A59BAD" w14:textId="77777777" w:rsidR="000237CB" w:rsidRPr="00AB1F43" w:rsidRDefault="000237CB" w:rsidP="000237CB">
      <w:pPr>
        <w:jc w:val="both"/>
        <w:rPr>
          <w:rFonts w:cstheme="minorHAnsi"/>
          <w:sz w:val="18"/>
          <w:szCs w:val="18"/>
        </w:rPr>
      </w:pPr>
      <w:r w:rsidRPr="00AB1F43">
        <w:rPr>
          <w:rFonts w:cstheme="minorHAnsi"/>
          <w:sz w:val="18"/>
          <w:szCs w:val="18"/>
        </w:rPr>
        <w:t>Law No. 146/2021: This law amended and supplemented Law No. 448/2006 to encourage the employment of persons with disabilities by introducing tax incentives for employers who hire persons with disabilities.</w:t>
      </w:r>
    </w:p>
    <w:p w14:paraId="15F7FC9E" w14:textId="7D63EA70" w:rsidR="00986AF7" w:rsidRPr="00AB1F43" w:rsidRDefault="000237CB" w:rsidP="00986AF7">
      <w:pPr>
        <w:jc w:val="both"/>
        <w:rPr>
          <w:rFonts w:cstheme="minorHAnsi"/>
          <w:sz w:val="18"/>
          <w:szCs w:val="18"/>
        </w:rPr>
      </w:pPr>
      <w:r w:rsidRPr="00AB1F43">
        <w:rPr>
          <w:rFonts w:cstheme="minorHAnsi"/>
          <w:sz w:val="18"/>
          <w:szCs w:val="18"/>
        </w:rPr>
        <w:lastRenderedPageBreak/>
        <w:t>It encouraged the integration of persons with disabilities into the labor market through training and support programs. Law No. 5/2023: This law was adopted to implement specific measures of the National Strategy for the Inclusion of Persons with Disabilities, aiming to ensure more effective integration of persons with disabilities into society.</w:t>
      </w:r>
    </w:p>
    <w:p w14:paraId="5B2BF383" w14:textId="586AA2A0" w:rsidR="00986AF7" w:rsidRPr="00AB1F43" w:rsidRDefault="00986AF7" w:rsidP="00AB1F43">
      <w:pPr>
        <w:pStyle w:val="ListParagraph"/>
        <w:numPr>
          <w:ilvl w:val="0"/>
          <w:numId w:val="2"/>
        </w:numPr>
        <w:ind w:left="720"/>
        <w:jc w:val="both"/>
        <w:rPr>
          <w:rFonts w:cstheme="minorHAnsi"/>
          <w:b/>
          <w:bCs/>
          <w:sz w:val="18"/>
          <w:szCs w:val="18"/>
        </w:rPr>
      </w:pPr>
      <w:bookmarkStart w:id="15" w:name="_Hlk181693463"/>
      <w:r w:rsidRPr="00AB1F43">
        <w:rPr>
          <w:rFonts w:cstheme="minorHAnsi"/>
          <w:b/>
          <w:bCs/>
          <w:sz w:val="18"/>
          <w:szCs w:val="18"/>
        </w:rPr>
        <w:t xml:space="preserve">The National Council for Combating Discrimination (CNCD) </w:t>
      </w:r>
    </w:p>
    <w:bookmarkEnd w:id="15"/>
    <w:p w14:paraId="5B70B5CF" w14:textId="2DC79C94" w:rsidR="00986AF7" w:rsidRPr="00AB1F43" w:rsidRDefault="00986AF7" w:rsidP="00AB1F43">
      <w:pPr>
        <w:pStyle w:val="ListParagraph"/>
        <w:numPr>
          <w:ilvl w:val="0"/>
          <w:numId w:val="3"/>
        </w:numPr>
        <w:ind w:left="360"/>
        <w:jc w:val="both"/>
        <w:rPr>
          <w:rFonts w:cstheme="minorHAnsi"/>
          <w:b/>
          <w:bCs/>
          <w:sz w:val="18"/>
          <w:szCs w:val="18"/>
        </w:rPr>
      </w:pPr>
      <w:r w:rsidRPr="00AB1F43">
        <w:rPr>
          <w:rFonts w:cstheme="minorHAnsi"/>
          <w:b/>
          <w:bCs/>
          <w:sz w:val="18"/>
          <w:szCs w:val="18"/>
        </w:rPr>
        <w:t>General</w:t>
      </w:r>
    </w:p>
    <w:p w14:paraId="30A3CF8E" w14:textId="12E0A5DA" w:rsidR="00986AF7" w:rsidRPr="00AB1F43" w:rsidRDefault="00986AF7" w:rsidP="00AB1F43">
      <w:pPr>
        <w:jc w:val="both"/>
        <w:rPr>
          <w:rFonts w:cstheme="minorHAnsi"/>
          <w:sz w:val="18"/>
          <w:szCs w:val="18"/>
        </w:rPr>
      </w:pPr>
      <w:r w:rsidRPr="00AB1F43">
        <w:rPr>
          <w:rFonts w:cstheme="minorHAnsi"/>
          <w:sz w:val="18"/>
          <w:szCs w:val="18"/>
        </w:rPr>
        <w:t xml:space="preserve">The anti-discrimination law, with subsequent amendments, republished, prohibits discrimination on the basis of sex and on the basis of grounds that are not exhaustively regulated by the law. According to art. 2 para. 1 of O.G. no. 137/2000  with subsequent amendments "discrimination means any distinction, exclusion, restriction or preference, based on race, nationality, ethnicity, language, religion, social category, beliefs, sex, sexual orientation, age, disability, chronic non-contagious disease, HIV infection, belonging to a disadvantaged category, as well as any other criterion having as its purpose or  the effect of restricting, removing the recognition, use or exercise, on an equal basis, of human rights and fundamental freedoms or rights recognized by law, in the political, economic, social and cultural fields or in any other areas of public life' </w:t>
      </w:r>
    </w:p>
    <w:p w14:paraId="175E504F" w14:textId="77777777" w:rsidR="00986AF7" w:rsidRPr="00AB1F43" w:rsidRDefault="00986AF7" w:rsidP="00AB1F43">
      <w:pPr>
        <w:jc w:val="both"/>
        <w:rPr>
          <w:rFonts w:cstheme="minorHAnsi"/>
          <w:sz w:val="18"/>
          <w:szCs w:val="18"/>
        </w:rPr>
      </w:pPr>
      <w:r w:rsidRPr="00AB1F43">
        <w:rPr>
          <w:rFonts w:cstheme="minorHAnsi"/>
          <w:sz w:val="18"/>
          <w:szCs w:val="18"/>
        </w:rPr>
        <w:t xml:space="preserve">Prohibition of discrimination in relation to equal pay between women and men </w:t>
      </w:r>
    </w:p>
    <w:p w14:paraId="183B9263" w14:textId="77777777" w:rsidR="00986AF7" w:rsidRPr="00AB1F43" w:rsidRDefault="00986AF7" w:rsidP="00AB1F43">
      <w:pPr>
        <w:jc w:val="both"/>
        <w:rPr>
          <w:rFonts w:cstheme="minorHAnsi"/>
          <w:sz w:val="18"/>
          <w:szCs w:val="18"/>
        </w:rPr>
      </w:pPr>
      <w:r w:rsidRPr="00AB1F43">
        <w:rPr>
          <w:rFonts w:cstheme="minorHAnsi"/>
          <w:sz w:val="18"/>
          <w:szCs w:val="18"/>
        </w:rPr>
        <w:t>According to Article 2(2) of the anti-discrimination law 'the principle of equality between citizens, the exclusion of privileges and discrimination shall be guaranteed in particular in the exercise of the following rights: (</w:t>
      </w:r>
      <w:proofErr w:type="spellStart"/>
      <w:r w:rsidRPr="00AB1F43">
        <w:rPr>
          <w:rFonts w:cstheme="minorHAnsi"/>
          <w:sz w:val="18"/>
          <w:szCs w:val="18"/>
        </w:rPr>
        <w:t>i</w:t>
      </w:r>
      <w:proofErr w:type="spellEnd"/>
      <w:r w:rsidRPr="00AB1F43">
        <w:rPr>
          <w:rFonts w:cstheme="minorHAnsi"/>
          <w:sz w:val="18"/>
          <w:szCs w:val="18"/>
        </w:rPr>
        <w:t>) the right to work, to the free choice of occupation, to fair and satisfactory working conditions, to protection against unemployment, to equal pay for equal work, to a fair and satisfactory remuneration; .... Any natural or legal person shall be bound by the principles set out in Article 2 (2) (a). (2).</w:t>
      </w:r>
    </w:p>
    <w:p w14:paraId="406B8F78" w14:textId="004A08F2" w:rsidR="00986AF7" w:rsidRPr="00AB1F43" w:rsidRDefault="00986AF7" w:rsidP="00AB1F43">
      <w:pPr>
        <w:jc w:val="both"/>
        <w:rPr>
          <w:rFonts w:cstheme="minorHAnsi"/>
          <w:sz w:val="18"/>
          <w:szCs w:val="18"/>
        </w:rPr>
      </w:pPr>
      <w:r w:rsidRPr="00AB1F43">
        <w:rPr>
          <w:rFonts w:cstheme="minorHAnsi"/>
          <w:sz w:val="18"/>
          <w:szCs w:val="18"/>
        </w:rPr>
        <w:t xml:space="preserve">Forms of discrimination prohibited by anti-discrimination law in the field of </w:t>
      </w:r>
      <w:r w:rsidR="00282268" w:rsidRPr="00AB1F43">
        <w:rPr>
          <w:rFonts w:cstheme="minorHAnsi"/>
          <w:sz w:val="18"/>
          <w:szCs w:val="18"/>
        </w:rPr>
        <w:t>labor</w:t>
      </w:r>
      <w:r w:rsidRPr="00AB1F43">
        <w:rPr>
          <w:rFonts w:cstheme="minorHAnsi"/>
          <w:sz w:val="18"/>
          <w:szCs w:val="18"/>
        </w:rPr>
        <w:t>, including in relation to remuneration</w:t>
      </w:r>
    </w:p>
    <w:p w14:paraId="796BCE93" w14:textId="77777777" w:rsidR="00986AF7" w:rsidRPr="00AB1F43" w:rsidRDefault="00986AF7" w:rsidP="00AB1F43">
      <w:pPr>
        <w:jc w:val="both"/>
        <w:rPr>
          <w:rFonts w:cstheme="minorHAnsi"/>
          <w:sz w:val="18"/>
          <w:szCs w:val="18"/>
        </w:rPr>
      </w:pPr>
      <w:r w:rsidRPr="00AB1F43">
        <w:rPr>
          <w:rFonts w:cstheme="minorHAnsi"/>
          <w:sz w:val="18"/>
          <w:szCs w:val="18"/>
        </w:rPr>
        <w:t>The anti-discrimination law prohibits direct discrimination (Art. 2 para. 1), indirect discrimination (Art. 2 para. 3), instruction to discriminate (Art. 2 para. 2), harassment (Art. 2 para. 5), multiple discrimination (Art. 2 para. 6), victimization (Art. 2 para. 7).  Law no. 167 of August 7, 2020 brought amendments and additions to the Government Ordinance no. 137/2000 introducing the concept of moral harassment in the workplace, the regulation of employees' rights and the obligations of employers in connection with moral harassment at work, as well as the prohibition and sanctioning of moral harassment in the workplace.</w:t>
      </w:r>
    </w:p>
    <w:p w14:paraId="37E0D164" w14:textId="77777777" w:rsidR="00986AF7" w:rsidRPr="00AB1F43" w:rsidRDefault="00986AF7" w:rsidP="00AB1F43">
      <w:pPr>
        <w:jc w:val="both"/>
        <w:rPr>
          <w:rFonts w:cstheme="minorHAnsi"/>
          <w:sz w:val="18"/>
          <w:szCs w:val="18"/>
        </w:rPr>
      </w:pPr>
      <w:r w:rsidRPr="00AB1F43">
        <w:rPr>
          <w:rFonts w:cstheme="minorHAnsi"/>
          <w:sz w:val="18"/>
          <w:szCs w:val="18"/>
        </w:rPr>
        <w:t xml:space="preserve">Acts of discrimination prohibited by law in relation to the field of work, including on the basis of sex </w:t>
      </w:r>
      <w:r w:rsidRPr="00AB1F43">
        <w:rPr>
          <w:rFonts w:cstheme="minorHAnsi"/>
          <w:sz w:val="18"/>
          <w:szCs w:val="18"/>
        </w:rPr>
        <w:tab/>
      </w:r>
    </w:p>
    <w:p w14:paraId="35AF4EDC" w14:textId="77777777" w:rsidR="00AB1F43" w:rsidRDefault="00986AF7" w:rsidP="00AB1F43">
      <w:pPr>
        <w:jc w:val="both"/>
        <w:rPr>
          <w:rFonts w:cstheme="minorHAnsi"/>
          <w:sz w:val="18"/>
          <w:szCs w:val="18"/>
        </w:rPr>
      </w:pPr>
      <w:r w:rsidRPr="00AB1F43">
        <w:rPr>
          <w:rFonts w:cstheme="minorHAnsi"/>
          <w:sz w:val="18"/>
          <w:szCs w:val="18"/>
        </w:rPr>
        <w:t>The special part of the anti-discrimination law concerns equality in economic activity and in matters of employment and profession. According to article 7 of the law, discrimination is forbidden, in an employment and social protection relationship, in connection with: b) establishing and modifying the duties of the service, the workplace or the salary; c) the granting of social rights other than those representing salary.</w:t>
      </w:r>
    </w:p>
    <w:p w14:paraId="67FC41C4" w14:textId="7E1CE5F8" w:rsidR="00986AF7" w:rsidRPr="00AB1F43" w:rsidRDefault="00986AF7" w:rsidP="00AB1F43">
      <w:pPr>
        <w:jc w:val="both"/>
        <w:rPr>
          <w:rFonts w:cstheme="minorHAnsi"/>
          <w:sz w:val="18"/>
          <w:szCs w:val="18"/>
        </w:rPr>
      </w:pPr>
      <w:r w:rsidRPr="00AB1F43">
        <w:rPr>
          <w:rFonts w:cstheme="minorHAnsi"/>
          <w:sz w:val="18"/>
          <w:szCs w:val="18"/>
        </w:rPr>
        <w:t xml:space="preserve">According to Art. 26, the contraventions provided for in the anti-discrimination law are sanctioned with a fine from 1,000 lei to 30,000 lei, if the discrimination concerns an individual, respectively with a fine from 2,000 lei to 100,000 lei, if the discrimination concerns a group of people or a community. </w:t>
      </w:r>
    </w:p>
    <w:p w14:paraId="5373F656" w14:textId="77777777" w:rsidR="00986AF7" w:rsidRPr="00AB1F43" w:rsidRDefault="00986AF7" w:rsidP="00AB1F43">
      <w:pPr>
        <w:tabs>
          <w:tab w:val="left" w:pos="360"/>
        </w:tabs>
        <w:jc w:val="both"/>
        <w:rPr>
          <w:rFonts w:cstheme="minorHAnsi"/>
          <w:sz w:val="18"/>
          <w:szCs w:val="18"/>
        </w:rPr>
      </w:pPr>
      <w:r w:rsidRPr="00AB1F43">
        <w:rPr>
          <w:rFonts w:cstheme="minorHAnsi"/>
          <w:sz w:val="18"/>
          <w:szCs w:val="18"/>
        </w:rPr>
        <w:t>The CNCD or, as the case may be, the court may compel the party who committed the act of discrimination to publish, in the media, a summary of the finding decision, respectively of the court sentence.</w:t>
      </w:r>
    </w:p>
    <w:p w14:paraId="22BE1DEE" w14:textId="77777777" w:rsidR="00986AF7" w:rsidRPr="00AB1F43" w:rsidRDefault="00986AF7" w:rsidP="00AB1F43">
      <w:pPr>
        <w:tabs>
          <w:tab w:val="left" w:pos="360"/>
        </w:tabs>
        <w:jc w:val="both"/>
        <w:rPr>
          <w:rFonts w:cstheme="minorHAnsi"/>
          <w:sz w:val="18"/>
          <w:szCs w:val="18"/>
        </w:rPr>
      </w:pPr>
      <w:r w:rsidRPr="00AB1F43">
        <w:rPr>
          <w:rFonts w:cstheme="minorHAnsi"/>
          <w:sz w:val="18"/>
          <w:szCs w:val="18"/>
        </w:rPr>
        <w:t>Law nr. 167/2020 amending O.G. no. 137/2000 regulated moral harassment at the workplace and provided for the sanctioning with a fine: a) from 30,000 lei to 50,000 lei the failure of the employer to fulfill the obligations provided for in art. 2 para. (5^5</w:t>
      </w:r>
      <w:proofErr w:type="gramStart"/>
      <w:r w:rsidRPr="00AB1F43">
        <w:rPr>
          <w:rFonts w:cstheme="minorHAnsi"/>
          <w:sz w:val="18"/>
          <w:szCs w:val="18"/>
        </w:rPr>
        <w:t>)  ;</w:t>
      </w:r>
      <w:proofErr w:type="gramEnd"/>
      <w:r w:rsidRPr="00AB1F43">
        <w:rPr>
          <w:rFonts w:cstheme="minorHAnsi"/>
          <w:sz w:val="18"/>
          <w:szCs w:val="18"/>
        </w:rPr>
        <w:t xml:space="preserve">  b) from RON 50,000 to RON 200,000, failure of the employer to comply with the provisions of Article 2 para. (5^6</w:t>
      </w:r>
      <w:proofErr w:type="gramStart"/>
      <w:r w:rsidRPr="00AB1F43">
        <w:rPr>
          <w:rFonts w:cstheme="minorHAnsi"/>
          <w:sz w:val="18"/>
          <w:szCs w:val="18"/>
        </w:rPr>
        <w:t>)  .</w:t>
      </w:r>
      <w:proofErr w:type="gramEnd"/>
      <w:r w:rsidRPr="00AB1F43">
        <w:rPr>
          <w:rFonts w:cstheme="minorHAnsi"/>
          <w:sz w:val="18"/>
          <w:szCs w:val="18"/>
        </w:rPr>
        <w:t xml:space="preserve"> (Art. 26 amended by law no. 167/2020). </w:t>
      </w:r>
    </w:p>
    <w:p w14:paraId="294A15A8" w14:textId="728F0162" w:rsidR="00986AF7" w:rsidRPr="00AB1F43" w:rsidRDefault="00986AF7" w:rsidP="00AB1F43">
      <w:pPr>
        <w:tabs>
          <w:tab w:val="left" w:pos="360"/>
        </w:tabs>
        <w:jc w:val="both"/>
        <w:rPr>
          <w:rFonts w:cstheme="minorHAnsi"/>
          <w:sz w:val="18"/>
          <w:szCs w:val="18"/>
        </w:rPr>
      </w:pPr>
      <w:r w:rsidRPr="00AB1F43">
        <w:rPr>
          <w:rFonts w:cstheme="minorHAnsi"/>
          <w:sz w:val="18"/>
          <w:szCs w:val="18"/>
        </w:rPr>
        <w:t>Whenever it finds that an act of moral harassment has been committed at the workplace, the CNCD applies, in accordance with the law, any of the following measures: to order the employer to take all necessary measures to stop any acts or acts of moral harassment at the workplace regarding the employee in question; to order the employer to pay to the employee the amount necessary for the psychological counseling that the employee needs, for a reasonable period to be determined by the occupational health practitioner. Failure of the employer to carry out the measures ordered by the CNCD is a contravention and is sanctioned with a fine from 100,000 lei to 200,000 lei.  (Art. 26 amended by law no. 167/2020).</w:t>
      </w:r>
    </w:p>
    <w:p w14:paraId="62182538" w14:textId="77777777" w:rsidR="00F847B1" w:rsidRDefault="00F847B1" w:rsidP="00986AF7">
      <w:pPr>
        <w:ind w:left="360"/>
        <w:jc w:val="both"/>
        <w:rPr>
          <w:rFonts w:cstheme="minorHAnsi"/>
          <w:sz w:val="18"/>
          <w:szCs w:val="18"/>
        </w:rPr>
      </w:pPr>
    </w:p>
    <w:p w14:paraId="0AF88D92" w14:textId="77777777" w:rsidR="00AB1F43" w:rsidRPr="00AB1F43" w:rsidRDefault="00AB1F43" w:rsidP="00986AF7">
      <w:pPr>
        <w:ind w:left="360"/>
        <w:jc w:val="both"/>
        <w:rPr>
          <w:rFonts w:cstheme="minorHAnsi"/>
          <w:sz w:val="18"/>
          <w:szCs w:val="18"/>
        </w:rPr>
      </w:pPr>
    </w:p>
    <w:p w14:paraId="101F6364" w14:textId="58E73FF6" w:rsidR="00F847B1" w:rsidRPr="00AB1F43" w:rsidRDefault="00F847B1" w:rsidP="00F847B1">
      <w:pPr>
        <w:pStyle w:val="ListParagraph"/>
        <w:numPr>
          <w:ilvl w:val="0"/>
          <w:numId w:val="2"/>
        </w:numPr>
        <w:jc w:val="both"/>
        <w:rPr>
          <w:rFonts w:cstheme="minorHAnsi"/>
          <w:b/>
          <w:bCs/>
          <w:sz w:val="18"/>
          <w:szCs w:val="18"/>
        </w:rPr>
      </w:pPr>
      <w:bookmarkStart w:id="16" w:name="_Hlk181693492"/>
      <w:r w:rsidRPr="00AB1F43">
        <w:rPr>
          <w:rFonts w:cstheme="minorHAnsi"/>
          <w:b/>
          <w:bCs/>
          <w:sz w:val="18"/>
          <w:szCs w:val="18"/>
        </w:rPr>
        <w:lastRenderedPageBreak/>
        <w:t xml:space="preserve">Ministry of National </w:t>
      </w:r>
      <w:proofErr w:type="spellStart"/>
      <w:r w:rsidRPr="00AB1F43">
        <w:rPr>
          <w:rFonts w:cstheme="minorHAnsi"/>
          <w:b/>
          <w:bCs/>
          <w:sz w:val="18"/>
          <w:szCs w:val="18"/>
        </w:rPr>
        <w:t>Defence</w:t>
      </w:r>
      <w:proofErr w:type="spellEnd"/>
      <w:r w:rsidRPr="00AB1F43">
        <w:rPr>
          <w:rFonts w:cstheme="minorHAnsi"/>
          <w:b/>
          <w:bCs/>
          <w:sz w:val="18"/>
          <w:szCs w:val="18"/>
        </w:rPr>
        <w:t xml:space="preserve"> MAPN</w:t>
      </w:r>
    </w:p>
    <w:bookmarkEnd w:id="16"/>
    <w:p w14:paraId="20682FFB" w14:textId="1D329A1D" w:rsidR="00F847B1" w:rsidRPr="00AB1F43" w:rsidRDefault="00F847B1" w:rsidP="00461C4E">
      <w:pPr>
        <w:jc w:val="both"/>
        <w:rPr>
          <w:rFonts w:cstheme="minorHAnsi"/>
          <w:b/>
          <w:bCs/>
          <w:sz w:val="18"/>
          <w:szCs w:val="18"/>
        </w:rPr>
      </w:pPr>
      <w:r w:rsidRPr="00AB1F43">
        <w:rPr>
          <w:rFonts w:cstheme="minorHAnsi"/>
          <w:b/>
          <w:bCs/>
          <w:sz w:val="18"/>
          <w:szCs w:val="18"/>
        </w:rPr>
        <w:t xml:space="preserve">    </w:t>
      </w:r>
      <w:r w:rsidR="00AB1F43">
        <w:rPr>
          <w:rFonts w:cstheme="minorHAnsi"/>
          <w:b/>
          <w:bCs/>
          <w:sz w:val="18"/>
          <w:szCs w:val="18"/>
        </w:rPr>
        <w:t xml:space="preserve">     </w:t>
      </w:r>
      <w:r w:rsidRPr="00AB1F43">
        <w:rPr>
          <w:rFonts w:cstheme="minorHAnsi"/>
          <w:b/>
          <w:bCs/>
          <w:sz w:val="18"/>
          <w:szCs w:val="18"/>
        </w:rPr>
        <w:t xml:space="preserve"> Women and peace and security </w:t>
      </w:r>
    </w:p>
    <w:p w14:paraId="0D622F02" w14:textId="5640ED73" w:rsidR="00F847B1" w:rsidRPr="00AB1F43" w:rsidRDefault="00F847B1" w:rsidP="00461C4E">
      <w:pPr>
        <w:ind w:left="360"/>
        <w:jc w:val="both"/>
        <w:rPr>
          <w:rFonts w:cstheme="minorHAnsi"/>
          <w:b/>
          <w:bCs/>
          <w:sz w:val="18"/>
          <w:szCs w:val="18"/>
        </w:rPr>
      </w:pPr>
      <w:r w:rsidRPr="00AB1F43">
        <w:rPr>
          <w:rFonts w:cstheme="minorHAnsi"/>
          <w:b/>
          <w:bCs/>
          <w:sz w:val="18"/>
          <w:szCs w:val="18"/>
        </w:rPr>
        <w:t>3.</w:t>
      </w:r>
      <w:r w:rsidRPr="00AB1F43">
        <w:rPr>
          <w:rFonts w:cstheme="minorHAnsi"/>
          <w:b/>
          <w:bCs/>
          <w:sz w:val="18"/>
          <w:szCs w:val="18"/>
        </w:rPr>
        <w:tab/>
        <w:t>Recalling the Committee’s previous recommendations (para. 14), and in line with its general recommendation No. 30 (2013) on women in conflict prevention, conflict and post-conflict situations and Security Council resolution 1325 (2000) and subsequent resolutions on women and peace and security, in particular with regard to the extraterritorial obligations of States parties, please indicate whether the State party has adopted a national action plan for the implementation of Security Council resolution 1325 (2000) or is taking any steps to adopt such a plan and how the participation of women’s organizations in this process is ensured.</w:t>
      </w:r>
    </w:p>
    <w:p w14:paraId="10DF51D2" w14:textId="261A33C6" w:rsidR="00F847B1" w:rsidRPr="00AB1F43" w:rsidRDefault="00F847B1" w:rsidP="00461C4E">
      <w:pPr>
        <w:ind w:left="360"/>
        <w:jc w:val="both"/>
        <w:rPr>
          <w:rFonts w:cstheme="minorHAnsi"/>
          <w:i/>
          <w:iCs/>
          <w:sz w:val="18"/>
          <w:szCs w:val="18"/>
          <w:u w:val="single"/>
        </w:rPr>
      </w:pPr>
      <w:r w:rsidRPr="00AB1F43">
        <w:rPr>
          <w:rFonts w:cstheme="minorHAnsi"/>
          <w:i/>
          <w:iCs/>
          <w:sz w:val="18"/>
          <w:szCs w:val="18"/>
          <w:u w:val="single"/>
        </w:rPr>
        <w:t xml:space="preserve"> Romania has a unique approach by:</w:t>
      </w:r>
    </w:p>
    <w:p w14:paraId="62529611" w14:textId="217BA339"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 xml:space="preserve">Having the Ministry of National Defense in lead for promoting and implementing WPS Agenda at the national level </w:t>
      </w:r>
    </w:p>
    <w:p w14:paraId="1553ED89"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Designating an officer as a National focal point</w:t>
      </w:r>
    </w:p>
    <w:p w14:paraId="4FCC4EB3"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Nominating gender advisors and experts in all institutions, part of the security sector who provide support for the national focal point</w:t>
      </w:r>
    </w:p>
    <w:p w14:paraId="6BF41020"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Monitoring the implementation by a national group.</w:t>
      </w:r>
    </w:p>
    <w:p w14:paraId="0D1B996F" w14:textId="77777777" w:rsidR="00F847B1" w:rsidRPr="00AB1F43" w:rsidRDefault="00F847B1" w:rsidP="00461C4E">
      <w:pPr>
        <w:ind w:left="360"/>
        <w:jc w:val="both"/>
        <w:rPr>
          <w:rFonts w:cstheme="minorHAnsi"/>
          <w:sz w:val="18"/>
          <w:szCs w:val="18"/>
        </w:rPr>
      </w:pPr>
      <w:r w:rsidRPr="00AB1F43">
        <w:rPr>
          <w:rFonts w:cstheme="minorHAnsi"/>
          <w:sz w:val="18"/>
          <w:szCs w:val="18"/>
        </w:rPr>
        <w:tab/>
        <w:t xml:space="preserve">All those points mentioned above have qualified our country as a reliable partner for The United States to co-chair, in 2023, the UN Women, Peace and Security Focal Points Network. The Co-Chairs and UN Women hosted three in-person conferences and events: </w:t>
      </w:r>
    </w:p>
    <w:p w14:paraId="76D9E9E6"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 xml:space="preserve">The 5th Capital-Level meeting in Washington D.C., 5-9 of June 2023; </w:t>
      </w:r>
    </w:p>
    <w:p w14:paraId="20EF0DB3"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 xml:space="preserve">The UN General Assembly Ministerial Level Side-Event in New York City, 19-21 September 2023; </w:t>
      </w:r>
    </w:p>
    <w:p w14:paraId="0DED4A4C" w14:textId="77777777" w:rsidR="00F847B1" w:rsidRPr="00AB1F43" w:rsidRDefault="00F847B1" w:rsidP="00461C4E">
      <w:pPr>
        <w:ind w:left="360"/>
        <w:jc w:val="both"/>
        <w:rPr>
          <w:rFonts w:cstheme="minorHAnsi"/>
          <w:sz w:val="18"/>
          <w:szCs w:val="18"/>
        </w:rPr>
      </w:pPr>
      <w:r w:rsidRPr="00AB1F43">
        <w:rPr>
          <w:rFonts w:cstheme="minorHAnsi"/>
          <w:sz w:val="18"/>
          <w:szCs w:val="18"/>
        </w:rPr>
        <w:t>-</w:t>
      </w:r>
      <w:r w:rsidRPr="00AB1F43">
        <w:rPr>
          <w:rFonts w:cstheme="minorHAnsi"/>
          <w:sz w:val="18"/>
          <w:szCs w:val="18"/>
        </w:rPr>
        <w:tab/>
        <w:t>The Focal Points Conference held in Bucharest, 7-9 November 2023.</w:t>
      </w:r>
    </w:p>
    <w:p w14:paraId="6347F6E9" w14:textId="3125D035" w:rsidR="00F847B1" w:rsidRPr="00AB1F43" w:rsidRDefault="00F847B1" w:rsidP="00461C4E">
      <w:pPr>
        <w:ind w:left="360"/>
        <w:jc w:val="both"/>
        <w:rPr>
          <w:rFonts w:cstheme="minorHAnsi"/>
          <w:sz w:val="18"/>
          <w:szCs w:val="18"/>
        </w:rPr>
      </w:pPr>
      <w:r w:rsidRPr="00AB1F43">
        <w:rPr>
          <w:rFonts w:cstheme="minorHAnsi"/>
          <w:sz w:val="18"/>
          <w:szCs w:val="18"/>
        </w:rPr>
        <w:t xml:space="preserve">During their term, the United States and Romania focused on the following key themes: </w:t>
      </w:r>
    </w:p>
    <w:p w14:paraId="5AD8366A" w14:textId="77777777" w:rsidR="00F847B1" w:rsidRPr="00AB1F43" w:rsidRDefault="00F847B1" w:rsidP="00461C4E">
      <w:pPr>
        <w:ind w:left="360"/>
        <w:jc w:val="both"/>
        <w:rPr>
          <w:rFonts w:cstheme="minorHAnsi"/>
          <w:sz w:val="18"/>
          <w:szCs w:val="18"/>
        </w:rPr>
      </w:pPr>
      <w:r w:rsidRPr="00AB1F43">
        <w:rPr>
          <w:rFonts w:cstheme="minorHAnsi"/>
          <w:sz w:val="18"/>
          <w:szCs w:val="18"/>
        </w:rPr>
        <w:t xml:space="preserve">- The adaptability and evolution of WPS as a framework for designing and implementing policy change through an inclusive approach;  </w:t>
      </w:r>
    </w:p>
    <w:p w14:paraId="33AC5E52" w14:textId="77777777" w:rsidR="00F847B1" w:rsidRPr="00AB1F43" w:rsidRDefault="00F847B1" w:rsidP="00461C4E">
      <w:pPr>
        <w:ind w:left="360"/>
        <w:jc w:val="both"/>
        <w:rPr>
          <w:rFonts w:cstheme="minorHAnsi"/>
          <w:sz w:val="18"/>
          <w:szCs w:val="18"/>
        </w:rPr>
      </w:pPr>
      <w:r w:rsidRPr="00AB1F43">
        <w:rPr>
          <w:rFonts w:cstheme="minorHAnsi"/>
          <w:sz w:val="18"/>
          <w:szCs w:val="18"/>
        </w:rPr>
        <w:t xml:space="preserve">- The shared solidarity of the national Focal Points; </w:t>
      </w:r>
    </w:p>
    <w:p w14:paraId="76AB3326" w14:textId="77777777" w:rsidR="00F847B1" w:rsidRPr="00AB1F43" w:rsidRDefault="00F847B1" w:rsidP="00461C4E">
      <w:pPr>
        <w:ind w:left="360"/>
        <w:jc w:val="both"/>
        <w:rPr>
          <w:rFonts w:cstheme="minorHAnsi"/>
          <w:sz w:val="18"/>
          <w:szCs w:val="18"/>
        </w:rPr>
      </w:pPr>
      <w:r w:rsidRPr="00AB1F43">
        <w:rPr>
          <w:rFonts w:cstheme="minorHAnsi"/>
          <w:sz w:val="18"/>
          <w:szCs w:val="18"/>
        </w:rPr>
        <w:t>- Adjusting WPS efforts and actions to meet global requirements through a national focus on WPS and continued support for WPS National Action Plan implementation.</w:t>
      </w:r>
    </w:p>
    <w:p w14:paraId="20D61DF6" w14:textId="2460D05A" w:rsidR="00F847B1" w:rsidRPr="00AB1F43" w:rsidRDefault="00F847B1" w:rsidP="00461C4E">
      <w:pPr>
        <w:ind w:left="360"/>
        <w:jc w:val="both"/>
        <w:rPr>
          <w:rFonts w:cstheme="minorHAnsi"/>
          <w:sz w:val="18"/>
          <w:szCs w:val="18"/>
        </w:rPr>
      </w:pPr>
      <w:r w:rsidRPr="00AB1F43">
        <w:rPr>
          <w:rFonts w:cstheme="minorHAnsi"/>
          <w:sz w:val="18"/>
          <w:szCs w:val="18"/>
        </w:rPr>
        <w:t xml:space="preserve"> Romania has successfully fulfilled its mandate, during the co-</w:t>
      </w:r>
      <w:proofErr w:type="spellStart"/>
      <w:r w:rsidRPr="00AB1F43">
        <w:rPr>
          <w:rFonts w:cstheme="minorHAnsi"/>
          <w:sz w:val="18"/>
          <w:szCs w:val="18"/>
        </w:rPr>
        <w:t>chairship</w:t>
      </w:r>
      <w:proofErr w:type="spellEnd"/>
      <w:r w:rsidRPr="00AB1F43">
        <w:rPr>
          <w:rFonts w:cstheme="minorHAnsi"/>
          <w:sz w:val="18"/>
          <w:szCs w:val="18"/>
        </w:rPr>
        <w:t xml:space="preserve">, adding value to the implementation of the agenda, by drawing up recommendations to underline and define the expectations and the role of National Focal Points. </w:t>
      </w:r>
    </w:p>
    <w:p w14:paraId="32149109" w14:textId="394F0667" w:rsidR="00461C4E" w:rsidRPr="00AB1F43" w:rsidRDefault="00F847B1" w:rsidP="00AB1F43">
      <w:pPr>
        <w:ind w:left="360"/>
        <w:jc w:val="both"/>
        <w:rPr>
          <w:rFonts w:cstheme="minorHAnsi"/>
          <w:sz w:val="18"/>
          <w:szCs w:val="18"/>
        </w:rPr>
      </w:pPr>
      <w:r w:rsidRPr="00AB1F43">
        <w:rPr>
          <w:rFonts w:cstheme="minorHAnsi"/>
          <w:sz w:val="18"/>
          <w:szCs w:val="18"/>
        </w:rPr>
        <w:t>Moreover, in 2024, the Romanian Focal Point will co-chair the UN Women, Peace and Security Focal Points Network alongside the United States, Switzerland, and South Africa and the second NAP is following the legal procedure to be approved by the Romanian Government.</w:t>
      </w:r>
    </w:p>
    <w:p w14:paraId="3B4EE039" w14:textId="7070D084" w:rsidR="00461C4E" w:rsidRPr="00AB1F43" w:rsidRDefault="00461C4E" w:rsidP="00461C4E">
      <w:pPr>
        <w:pStyle w:val="ListParagraph"/>
        <w:numPr>
          <w:ilvl w:val="0"/>
          <w:numId w:val="2"/>
        </w:numPr>
        <w:jc w:val="both"/>
        <w:rPr>
          <w:rFonts w:cstheme="minorHAnsi"/>
          <w:b/>
          <w:bCs/>
          <w:sz w:val="18"/>
          <w:szCs w:val="18"/>
        </w:rPr>
      </w:pPr>
      <w:r w:rsidRPr="00AB1F43">
        <w:rPr>
          <w:rFonts w:cstheme="minorHAnsi"/>
          <w:b/>
          <w:bCs/>
          <w:sz w:val="18"/>
          <w:szCs w:val="18"/>
        </w:rPr>
        <w:t>National Agency for Equal Opportunities between Women and Men</w:t>
      </w:r>
      <w:r w:rsidR="001D20F3" w:rsidRPr="00AB1F43">
        <w:rPr>
          <w:rFonts w:cstheme="minorHAnsi"/>
          <w:b/>
          <w:bCs/>
          <w:sz w:val="18"/>
          <w:szCs w:val="18"/>
        </w:rPr>
        <w:t xml:space="preserve"> ANES</w:t>
      </w:r>
    </w:p>
    <w:p w14:paraId="66E4CA27" w14:textId="25EAE610" w:rsidR="00461C4E" w:rsidRPr="00AB1F43" w:rsidRDefault="00AB1F43" w:rsidP="00AB1F43">
      <w:pPr>
        <w:jc w:val="both"/>
        <w:rPr>
          <w:rFonts w:cstheme="minorHAnsi"/>
          <w:b/>
          <w:bCs/>
          <w:sz w:val="18"/>
          <w:szCs w:val="18"/>
        </w:rPr>
      </w:pPr>
      <w:r>
        <w:rPr>
          <w:rFonts w:cstheme="minorHAnsi"/>
          <w:b/>
          <w:bCs/>
          <w:sz w:val="18"/>
          <w:szCs w:val="18"/>
        </w:rPr>
        <w:t xml:space="preserve">        </w:t>
      </w:r>
      <w:r w:rsidR="00461C4E" w:rsidRPr="00AB1F43">
        <w:rPr>
          <w:rFonts w:cstheme="minorHAnsi"/>
          <w:b/>
          <w:bCs/>
          <w:sz w:val="18"/>
          <w:szCs w:val="18"/>
        </w:rPr>
        <w:t xml:space="preserve">  National machinery for the advancement of women</w:t>
      </w:r>
    </w:p>
    <w:p w14:paraId="6FA44500" w14:textId="722C3100" w:rsidR="00461C4E" w:rsidRPr="00AB1F43" w:rsidRDefault="00461C4E" w:rsidP="00461C4E">
      <w:pPr>
        <w:ind w:left="360"/>
        <w:jc w:val="both"/>
        <w:rPr>
          <w:rFonts w:cstheme="minorHAnsi"/>
          <w:b/>
          <w:bCs/>
          <w:sz w:val="18"/>
          <w:szCs w:val="18"/>
        </w:rPr>
      </w:pPr>
      <w:r w:rsidRPr="00AB1F43">
        <w:rPr>
          <w:rFonts w:cstheme="minorHAnsi"/>
          <w:b/>
          <w:bCs/>
          <w:sz w:val="18"/>
          <w:szCs w:val="18"/>
        </w:rPr>
        <w:t>6.</w:t>
      </w:r>
      <w:r w:rsidRPr="00AB1F43">
        <w:rPr>
          <w:rFonts w:cstheme="minorHAnsi"/>
          <w:b/>
          <w:bCs/>
          <w:sz w:val="18"/>
          <w:szCs w:val="18"/>
        </w:rPr>
        <w:tab/>
        <w:t>In the light of the Committee’s previous recommendations (para. 15), please indicate the steps taken to:</w:t>
      </w:r>
    </w:p>
    <w:p w14:paraId="78ADA2CF" w14:textId="65FC4FAC" w:rsidR="00461C4E" w:rsidRPr="00AB1F43" w:rsidRDefault="00461C4E" w:rsidP="00461C4E">
      <w:pPr>
        <w:ind w:left="360"/>
        <w:jc w:val="both"/>
        <w:rPr>
          <w:rFonts w:cstheme="minorHAnsi"/>
          <w:b/>
          <w:bCs/>
          <w:sz w:val="18"/>
          <w:szCs w:val="18"/>
        </w:rPr>
      </w:pPr>
      <w:r w:rsidRPr="00AB1F43">
        <w:rPr>
          <w:rFonts w:cstheme="minorHAnsi"/>
          <w:b/>
          <w:bCs/>
          <w:sz w:val="18"/>
          <w:szCs w:val="18"/>
        </w:rPr>
        <w:t>(a)</w:t>
      </w:r>
      <w:r w:rsidRPr="00AB1F43">
        <w:rPr>
          <w:rFonts w:cstheme="minorHAnsi"/>
          <w:b/>
          <w:bCs/>
          <w:sz w:val="18"/>
          <w:szCs w:val="18"/>
        </w:rPr>
        <w:tab/>
        <w:t>Allocate adequate human, technical and financial resources to the National Agency for Equal Opportunities for Women and Men and work with civil society to introduce effective monitoring and accountability mechanisms for Act No. 202/2002 at both the central and local levels;</w:t>
      </w:r>
    </w:p>
    <w:p w14:paraId="091BEFB8" w14:textId="59543D60" w:rsidR="00461C4E" w:rsidRPr="00AB1F43" w:rsidRDefault="00461C4E" w:rsidP="00461C4E">
      <w:pPr>
        <w:ind w:left="360"/>
        <w:jc w:val="both"/>
        <w:rPr>
          <w:rFonts w:cstheme="minorHAnsi"/>
          <w:sz w:val="18"/>
          <w:szCs w:val="18"/>
        </w:rPr>
      </w:pPr>
      <w:r w:rsidRPr="00AB1F43">
        <w:rPr>
          <w:rFonts w:cstheme="minorHAnsi"/>
          <w:sz w:val="18"/>
          <w:szCs w:val="18"/>
        </w:rPr>
        <w:t>At the moment ANES implements a series of projects in partnership with relevant NGOs in the field:</w:t>
      </w:r>
    </w:p>
    <w:p w14:paraId="0FC81DBE" w14:textId="77777777" w:rsidR="00461C4E" w:rsidRPr="00AB1F43" w:rsidRDefault="00461C4E" w:rsidP="00461C4E">
      <w:pPr>
        <w:ind w:left="360"/>
        <w:jc w:val="both"/>
        <w:rPr>
          <w:rFonts w:cstheme="minorHAnsi"/>
          <w:sz w:val="18"/>
          <w:szCs w:val="18"/>
        </w:rPr>
      </w:pPr>
      <w:r w:rsidRPr="00AB1F43">
        <w:rPr>
          <w:rFonts w:cstheme="minorHAnsi"/>
          <w:sz w:val="18"/>
          <w:szCs w:val="18"/>
        </w:rPr>
        <w:lastRenderedPageBreak/>
        <w:t xml:space="preserve">- The project –VERA Positive change through integrated action in difficult times is implemented by ANES, as Promoter in partnership with a Consortium of NGOs the Center for Training and Evaluation in Social Assistance (CFCECAS), the </w:t>
      </w:r>
      <w:proofErr w:type="spellStart"/>
      <w:r w:rsidRPr="00AB1F43">
        <w:rPr>
          <w:rFonts w:cstheme="minorHAnsi"/>
          <w:sz w:val="18"/>
          <w:szCs w:val="18"/>
        </w:rPr>
        <w:t>Sensiblu</w:t>
      </w:r>
      <w:proofErr w:type="spellEnd"/>
      <w:r w:rsidRPr="00AB1F43">
        <w:rPr>
          <w:rFonts w:cstheme="minorHAnsi"/>
          <w:sz w:val="18"/>
          <w:szCs w:val="18"/>
        </w:rPr>
        <w:t xml:space="preserve"> Foundation, the </w:t>
      </w:r>
      <w:proofErr w:type="spellStart"/>
      <w:r w:rsidRPr="00AB1F43">
        <w:rPr>
          <w:rFonts w:cstheme="minorHAnsi"/>
          <w:sz w:val="18"/>
          <w:szCs w:val="18"/>
        </w:rPr>
        <w:t>Necuvinte</w:t>
      </w:r>
      <w:proofErr w:type="spellEnd"/>
      <w:r w:rsidRPr="00AB1F43">
        <w:rPr>
          <w:rFonts w:cstheme="minorHAnsi"/>
          <w:sz w:val="18"/>
          <w:szCs w:val="18"/>
        </w:rPr>
        <w:t xml:space="preserve"> Association, the Community Mediation and Security Center Foundation (CMSC), and with Association for Development and Socio-Economic Promotion CATALACTICA. The general objective of the project aims to improve and adapt the response capacity of central and local public authorities to provide better and adequate support to victims of domestic violence and gender-based violence, by: training coordinators of mobile teams for emergency intervention in cases of domestic violence , training specialists from the domestic violence departments within the DGASPC and providing legal advice to victims of domestic violence and gender-based violence, facilitating access to justice and to information of a legal nature (</w:t>
      </w:r>
      <w:proofErr w:type="spellStart"/>
      <w:r w:rsidRPr="00AB1F43">
        <w:rPr>
          <w:rFonts w:cstheme="minorHAnsi"/>
          <w:sz w:val="18"/>
          <w:szCs w:val="18"/>
        </w:rPr>
        <w:t>eg</w:t>
      </w:r>
      <w:proofErr w:type="spellEnd"/>
      <w:r w:rsidRPr="00AB1F43">
        <w:rPr>
          <w:rFonts w:cstheme="minorHAnsi"/>
          <w:sz w:val="18"/>
          <w:szCs w:val="18"/>
        </w:rPr>
        <w:t>: issuing a protection order, divorce application, custody of children, help judicial, etc.), the development of a barometer in the field of domestic violence and gender violence focused on the evolution of the phenomenon, practices and trends, at county level, especially in relation to the COVID 19 pandemic.</w:t>
      </w:r>
    </w:p>
    <w:p w14:paraId="146201B4" w14:textId="3F88B214" w:rsidR="00C9745A" w:rsidRPr="00AB1F43" w:rsidRDefault="00461C4E" w:rsidP="00AB1F43">
      <w:pPr>
        <w:ind w:left="360"/>
        <w:jc w:val="both"/>
        <w:rPr>
          <w:rFonts w:cstheme="minorHAnsi"/>
          <w:sz w:val="18"/>
          <w:szCs w:val="18"/>
        </w:rPr>
      </w:pPr>
      <w:r w:rsidRPr="00AB1F43">
        <w:rPr>
          <w:rFonts w:cstheme="minorHAnsi"/>
          <w:sz w:val="18"/>
          <w:szCs w:val="18"/>
        </w:rPr>
        <w:t xml:space="preserve">- The </w:t>
      </w:r>
      <w:proofErr w:type="spellStart"/>
      <w:r w:rsidRPr="00AB1F43">
        <w:rPr>
          <w:rFonts w:cstheme="minorHAnsi"/>
          <w:sz w:val="18"/>
          <w:szCs w:val="18"/>
        </w:rPr>
        <w:t>VioGen</w:t>
      </w:r>
      <w:proofErr w:type="spellEnd"/>
      <w:r w:rsidRPr="00AB1F43">
        <w:rPr>
          <w:rFonts w:cstheme="minorHAnsi"/>
          <w:sz w:val="18"/>
          <w:szCs w:val="18"/>
        </w:rPr>
        <w:t xml:space="preserve"> </w:t>
      </w:r>
      <w:proofErr w:type="spellStart"/>
      <w:r w:rsidRPr="00AB1F43">
        <w:rPr>
          <w:rFonts w:cstheme="minorHAnsi"/>
          <w:sz w:val="18"/>
          <w:szCs w:val="18"/>
        </w:rPr>
        <w:t>RoJust</w:t>
      </w:r>
      <w:proofErr w:type="spellEnd"/>
      <w:r w:rsidRPr="00AB1F43">
        <w:rPr>
          <w:rFonts w:cstheme="minorHAnsi"/>
          <w:sz w:val="18"/>
          <w:szCs w:val="18"/>
        </w:rPr>
        <w:t xml:space="preserve"> project is carried out within the Open Call for projects „Human rights – Implementation at the national level”, Area 17 „Human rights – Implementation at the national level”, implemented by the National Agency for Equal Opportunities between Women and Men, as Project Promoter, in partnership with: TRANSCENA Association, ANAIS Association, FILIA Center and GRADO </w:t>
      </w:r>
      <w:proofErr w:type="spellStart"/>
      <w:r w:rsidRPr="00AB1F43">
        <w:rPr>
          <w:rFonts w:cstheme="minorHAnsi"/>
          <w:sz w:val="18"/>
          <w:szCs w:val="18"/>
        </w:rPr>
        <w:t>Association.EEA</w:t>
      </w:r>
      <w:proofErr w:type="spellEnd"/>
      <w:r w:rsidRPr="00AB1F43">
        <w:rPr>
          <w:rFonts w:cstheme="minorHAnsi"/>
          <w:sz w:val="18"/>
          <w:szCs w:val="18"/>
        </w:rPr>
        <w:t xml:space="preserve"> Grants The objective of the project is to strengthen the capacity of the Romanian authorities regarding implementing/executing the decisions of the European Court of Human Rights in Strasbourg, as well as the country recommendations issued by the Council of Europe in the field of abuse, domestic violence and gender-based violence.</w:t>
      </w:r>
    </w:p>
    <w:p w14:paraId="64EFA98D" w14:textId="7A2480EE" w:rsidR="00C9745A" w:rsidRPr="00AB1F43" w:rsidRDefault="00C9745A" w:rsidP="00C9745A">
      <w:pPr>
        <w:ind w:left="360"/>
        <w:jc w:val="both"/>
        <w:rPr>
          <w:rFonts w:cstheme="minorHAnsi"/>
          <w:b/>
          <w:bCs/>
          <w:sz w:val="18"/>
          <w:szCs w:val="18"/>
        </w:rPr>
      </w:pPr>
      <w:r w:rsidRPr="00AB1F43">
        <w:rPr>
          <w:rFonts w:cstheme="minorHAnsi"/>
          <w:b/>
          <w:bCs/>
          <w:sz w:val="18"/>
          <w:szCs w:val="18"/>
        </w:rPr>
        <w:t>Gender stereotypes</w:t>
      </w:r>
    </w:p>
    <w:p w14:paraId="59486BAD" w14:textId="77777777" w:rsidR="00C9745A" w:rsidRPr="00AB1F43" w:rsidRDefault="00C9745A" w:rsidP="00C9745A">
      <w:pPr>
        <w:ind w:left="360"/>
        <w:jc w:val="both"/>
        <w:rPr>
          <w:rFonts w:cstheme="minorHAnsi"/>
          <w:b/>
          <w:bCs/>
          <w:sz w:val="18"/>
          <w:szCs w:val="18"/>
        </w:rPr>
      </w:pPr>
      <w:r w:rsidRPr="00AB1F43">
        <w:rPr>
          <w:rFonts w:cstheme="minorHAnsi"/>
          <w:b/>
          <w:bCs/>
          <w:sz w:val="18"/>
          <w:szCs w:val="18"/>
        </w:rPr>
        <w:t>8.</w:t>
      </w:r>
      <w:r w:rsidRPr="00AB1F43">
        <w:rPr>
          <w:rFonts w:cstheme="minorHAnsi"/>
          <w:b/>
          <w:bCs/>
          <w:sz w:val="18"/>
          <w:szCs w:val="18"/>
        </w:rPr>
        <w:tab/>
        <w:t xml:space="preserve">In the light of the Committee’s previous recommendations (para. 17), please provide information on: </w:t>
      </w:r>
    </w:p>
    <w:p w14:paraId="7637022C" w14:textId="6573183B" w:rsidR="00C9745A" w:rsidRPr="00AB1F43" w:rsidRDefault="00C9745A" w:rsidP="00C9745A">
      <w:pPr>
        <w:ind w:left="360"/>
        <w:jc w:val="both"/>
        <w:rPr>
          <w:rFonts w:cstheme="minorHAnsi"/>
          <w:b/>
          <w:bCs/>
          <w:sz w:val="18"/>
          <w:szCs w:val="18"/>
        </w:rPr>
      </w:pPr>
      <w:r w:rsidRPr="00AB1F43">
        <w:rPr>
          <w:rFonts w:cstheme="minorHAnsi"/>
          <w:b/>
          <w:bCs/>
          <w:sz w:val="18"/>
          <w:szCs w:val="18"/>
        </w:rPr>
        <w:t>(a)</w:t>
      </w:r>
      <w:r w:rsidRPr="00AB1F43">
        <w:rPr>
          <w:rFonts w:cstheme="minorHAnsi"/>
          <w:b/>
          <w:bCs/>
          <w:sz w:val="18"/>
          <w:szCs w:val="18"/>
        </w:rPr>
        <w:tab/>
        <w:t>Efforts to revise school textbooks to remove discriminatory gender and ethnic stereotypes, include mandatory modules on gender education in school curricula, and provide gender training to teachers;</w:t>
      </w:r>
    </w:p>
    <w:p w14:paraId="74982D29" w14:textId="77777777" w:rsidR="00C9745A" w:rsidRPr="00AB1F43" w:rsidRDefault="00C9745A" w:rsidP="00C9745A">
      <w:pPr>
        <w:ind w:left="360"/>
        <w:jc w:val="both"/>
        <w:rPr>
          <w:rFonts w:cstheme="minorHAnsi"/>
          <w:sz w:val="18"/>
          <w:szCs w:val="18"/>
        </w:rPr>
      </w:pPr>
      <w:r w:rsidRPr="00AB1F43">
        <w:rPr>
          <w:rFonts w:cstheme="minorHAnsi"/>
          <w:sz w:val="18"/>
          <w:szCs w:val="18"/>
        </w:rPr>
        <w:t>In the Education chapter, of the National Strategy for Promoting Gender Equality and Equal Treatment between Women and Men and Preventing and Combating Domestic Violence for the period 2022-2027 measures are outlined primarily aimed at preventing and combating gender stereotypes and biases in the education system, including:</w:t>
      </w:r>
    </w:p>
    <w:p w14:paraId="0D097722" w14:textId="77777777" w:rsidR="00C9745A" w:rsidRPr="00AB1F43" w:rsidRDefault="00C9745A" w:rsidP="00C9745A">
      <w:pPr>
        <w:ind w:left="360"/>
        <w:jc w:val="both"/>
        <w:rPr>
          <w:rFonts w:cstheme="minorHAnsi"/>
          <w:sz w:val="18"/>
          <w:szCs w:val="18"/>
        </w:rPr>
      </w:pPr>
      <w:r w:rsidRPr="00AB1F43">
        <w:rPr>
          <w:rFonts w:cstheme="minorHAnsi"/>
          <w:sz w:val="18"/>
          <w:szCs w:val="18"/>
        </w:rPr>
        <w:t>- Including concepts related to stereotypes, biases, equal rights, gender equality, equal opportunities and treatment between women and men, discrimination, and multiple discrimination in school programs, according to the curriculum development schedule for high school and middle school.</w:t>
      </w:r>
    </w:p>
    <w:p w14:paraId="3F2C02EE" w14:textId="77777777" w:rsidR="00C9745A" w:rsidRPr="00AB1F43" w:rsidRDefault="00C9745A" w:rsidP="00C9745A">
      <w:pPr>
        <w:ind w:left="360"/>
        <w:jc w:val="both"/>
        <w:rPr>
          <w:rFonts w:cstheme="minorHAnsi"/>
          <w:sz w:val="18"/>
          <w:szCs w:val="18"/>
        </w:rPr>
      </w:pPr>
      <w:r w:rsidRPr="00AB1F43">
        <w:rPr>
          <w:rFonts w:cstheme="minorHAnsi"/>
          <w:sz w:val="18"/>
          <w:szCs w:val="18"/>
        </w:rPr>
        <w:t>- Inclusion in the national "Different School" program in pre-university educational units of activities aimed at promoting equal opportunities and treatment.</w:t>
      </w:r>
    </w:p>
    <w:p w14:paraId="16794B6A" w14:textId="77777777" w:rsidR="00C9745A" w:rsidRPr="00AB1F43" w:rsidRDefault="00C9745A" w:rsidP="00C9745A">
      <w:pPr>
        <w:ind w:left="360"/>
        <w:jc w:val="both"/>
        <w:rPr>
          <w:rFonts w:cstheme="minorHAnsi"/>
          <w:sz w:val="18"/>
          <w:szCs w:val="18"/>
        </w:rPr>
      </w:pPr>
      <w:r w:rsidRPr="00AB1F43">
        <w:rPr>
          <w:rFonts w:cstheme="minorHAnsi"/>
          <w:sz w:val="18"/>
          <w:szCs w:val="18"/>
        </w:rPr>
        <w:t>- Hiring/appointing an equality expert at the level of school inspectorates and/or educational units, who, in carrying out their duties, organizes periodic information sessions and interactive exercises with students, parents, and educational staff to promote equal opportunities and treatment between women and men.</w:t>
      </w:r>
    </w:p>
    <w:p w14:paraId="464EEB03" w14:textId="77777777" w:rsidR="00C9745A" w:rsidRPr="00AB1F43" w:rsidRDefault="00C9745A" w:rsidP="00C9745A">
      <w:pPr>
        <w:ind w:left="360"/>
        <w:jc w:val="both"/>
        <w:rPr>
          <w:rFonts w:cstheme="minorHAnsi"/>
          <w:sz w:val="18"/>
          <w:szCs w:val="18"/>
        </w:rPr>
      </w:pPr>
      <w:r w:rsidRPr="00AB1F43">
        <w:rPr>
          <w:rFonts w:cstheme="minorHAnsi"/>
          <w:sz w:val="18"/>
          <w:szCs w:val="18"/>
        </w:rPr>
        <w:t>- Initial and continuous training of equality experts from the School Inspectorates and educational units, as well as teaching staff, including school principals and counsellors, in pre-university education to have a pedagogical approach that promotes equal opportunities and treatment between women and men.</w:t>
      </w:r>
    </w:p>
    <w:p w14:paraId="5C9AB332" w14:textId="77777777" w:rsidR="00C9745A" w:rsidRPr="00AB1F43" w:rsidRDefault="00C9745A" w:rsidP="00C9745A">
      <w:pPr>
        <w:ind w:left="360"/>
        <w:jc w:val="both"/>
        <w:rPr>
          <w:rFonts w:cstheme="minorHAnsi"/>
          <w:sz w:val="18"/>
          <w:szCs w:val="18"/>
        </w:rPr>
      </w:pPr>
      <w:r w:rsidRPr="00AB1F43">
        <w:rPr>
          <w:rFonts w:cstheme="minorHAnsi"/>
          <w:sz w:val="18"/>
          <w:szCs w:val="18"/>
        </w:rPr>
        <w:t>- National campaign addressing stereotypes, targeting the general public, especially parents, legal representatives, and caregivers.</w:t>
      </w:r>
    </w:p>
    <w:p w14:paraId="35D96E97" w14:textId="77777777" w:rsidR="00C9745A" w:rsidRPr="00AB1F43" w:rsidRDefault="00C9745A" w:rsidP="00C9745A">
      <w:pPr>
        <w:ind w:left="360"/>
        <w:jc w:val="both"/>
        <w:rPr>
          <w:rFonts w:cstheme="minorHAnsi"/>
          <w:sz w:val="18"/>
          <w:szCs w:val="18"/>
        </w:rPr>
      </w:pPr>
      <w:r w:rsidRPr="00AB1F43">
        <w:rPr>
          <w:rFonts w:cstheme="minorHAnsi"/>
          <w:sz w:val="18"/>
          <w:szCs w:val="18"/>
        </w:rPr>
        <w:t>- National campaign on respecting the right to equal treatment for individuals facing multiple discriminations (gender, disability, ethnicity, socioeconomic status, migration, religion, etc.), targeting students and pupils.</w:t>
      </w:r>
    </w:p>
    <w:p w14:paraId="71746022" w14:textId="77777777" w:rsidR="00C9745A" w:rsidRPr="00AB1F43" w:rsidRDefault="00C9745A" w:rsidP="00C9745A">
      <w:pPr>
        <w:ind w:left="360"/>
        <w:jc w:val="both"/>
        <w:rPr>
          <w:rFonts w:cstheme="minorHAnsi"/>
          <w:sz w:val="18"/>
          <w:szCs w:val="18"/>
        </w:rPr>
      </w:pPr>
      <w:r w:rsidRPr="00AB1F43">
        <w:rPr>
          <w:rFonts w:cstheme="minorHAnsi"/>
          <w:sz w:val="18"/>
          <w:szCs w:val="18"/>
        </w:rPr>
        <w:t>- National development of a guidance and counseling program to encourage balanced participation of girls/women and boys/men in STEM fields.</w:t>
      </w:r>
    </w:p>
    <w:p w14:paraId="307391F5" w14:textId="1898EAEB" w:rsidR="00C9745A" w:rsidRPr="00AB1F43" w:rsidRDefault="00C9745A" w:rsidP="00C9745A">
      <w:pPr>
        <w:ind w:left="360"/>
        <w:jc w:val="both"/>
        <w:rPr>
          <w:rFonts w:cstheme="minorHAnsi"/>
          <w:sz w:val="18"/>
          <w:szCs w:val="18"/>
        </w:rPr>
      </w:pPr>
      <w:r w:rsidRPr="00AB1F43">
        <w:rPr>
          <w:rFonts w:cstheme="minorHAnsi"/>
          <w:sz w:val="18"/>
          <w:szCs w:val="18"/>
        </w:rPr>
        <w:t>- Identification of the causes leading to the decrease in the proportion of women continuing master's and doctoral studies.</w:t>
      </w:r>
    </w:p>
    <w:p w14:paraId="583592BB" w14:textId="531DB0E1" w:rsidR="003771C0" w:rsidRPr="00AB1F43" w:rsidRDefault="00AB1F43" w:rsidP="00AB1F43">
      <w:pPr>
        <w:jc w:val="both"/>
        <w:rPr>
          <w:rFonts w:cstheme="minorHAnsi"/>
          <w:b/>
          <w:bCs/>
          <w:sz w:val="18"/>
          <w:szCs w:val="18"/>
        </w:rPr>
      </w:pPr>
      <w:r>
        <w:rPr>
          <w:rFonts w:cstheme="minorHAnsi"/>
          <w:sz w:val="18"/>
          <w:szCs w:val="18"/>
        </w:rPr>
        <w:t xml:space="preserve">        </w:t>
      </w:r>
      <w:r w:rsidR="003771C0" w:rsidRPr="00AB1F43">
        <w:rPr>
          <w:rFonts w:cstheme="minorHAnsi"/>
          <w:b/>
          <w:bCs/>
          <w:sz w:val="18"/>
          <w:szCs w:val="18"/>
        </w:rPr>
        <w:t>Gender-based violence against women</w:t>
      </w:r>
    </w:p>
    <w:p w14:paraId="11DB7799" w14:textId="1A4AF6AA" w:rsidR="003771C0" w:rsidRPr="00AB1F43" w:rsidRDefault="003771C0" w:rsidP="003771C0">
      <w:pPr>
        <w:ind w:left="360"/>
        <w:jc w:val="both"/>
        <w:rPr>
          <w:rFonts w:cstheme="minorHAnsi"/>
          <w:b/>
          <w:bCs/>
          <w:sz w:val="18"/>
          <w:szCs w:val="18"/>
        </w:rPr>
      </w:pPr>
      <w:r w:rsidRPr="00AB1F43">
        <w:rPr>
          <w:rFonts w:cstheme="minorHAnsi"/>
          <w:b/>
          <w:bCs/>
          <w:sz w:val="18"/>
          <w:szCs w:val="18"/>
        </w:rPr>
        <w:lastRenderedPageBreak/>
        <w:t>10.</w:t>
      </w:r>
      <w:r w:rsidRPr="00AB1F43">
        <w:rPr>
          <w:rFonts w:cstheme="minorHAnsi"/>
          <w:b/>
          <w:bCs/>
          <w:sz w:val="18"/>
          <w:szCs w:val="18"/>
        </w:rPr>
        <w:tab/>
        <w:t>In the light of the Committee’s previous recommendations (para. 19), please provide disaggregated data on cases of gender-based violence and discrimination against women brought before the courts and on the number of protection orders accorded. Please also indicate what steps have been taken by the State party to:</w:t>
      </w:r>
    </w:p>
    <w:p w14:paraId="0DBE5F59" w14:textId="4AD4C944" w:rsidR="003771C0" w:rsidRPr="00AB1F43" w:rsidRDefault="003771C0" w:rsidP="003771C0">
      <w:pPr>
        <w:ind w:left="360"/>
        <w:jc w:val="both"/>
        <w:rPr>
          <w:rFonts w:cstheme="minorHAnsi"/>
          <w:b/>
          <w:bCs/>
          <w:sz w:val="18"/>
          <w:szCs w:val="18"/>
        </w:rPr>
      </w:pPr>
      <w:r w:rsidRPr="00AB1F43">
        <w:rPr>
          <w:rFonts w:cstheme="minorHAnsi"/>
          <w:b/>
          <w:bCs/>
          <w:sz w:val="18"/>
          <w:szCs w:val="18"/>
        </w:rPr>
        <w:t>(a)</w:t>
      </w:r>
      <w:r w:rsidRPr="00AB1F43">
        <w:rPr>
          <w:rFonts w:cstheme="minorHAnsi"/>
          <w:b/>
          <w:bCs/>
          <w:sz w:val="18"/>
          <w:szCs w:val="18"/>
        </w:rPr>
        <w:tab/>
        <w:t>Address the continued underreporting of violence against women and domestic violence, in particular in cases of sexual violence;</w:t>
      </w:r>
    </w:p>
    <w:p w14:paraId="3E91BD1B" w14:textId="17A000B1" w:rsidR="003771C0" w:rsidRPr="00AB1F43" w:rsidRDefault="003771C0" w:rsidP="003771C0">
      <w:pPr>
        <w:ind w:left="360"/>
        <w:jc w:val="both"/>
        <w:rPr>
          <w:rFonts w:cstheme="minorHAnsi"/>
          <w:sz w:val="18"/>
          <w:szCs w:val="18"/>
        </w:rPr>
      </w:pPr>
      <w:r w:rsidRPr="00AB1F43">
        <w:rPr>
          <w:rFonts w:cstheme="minorHAnsi"/>
          <w:sz w:val="18"/>
          <w:szCs w:val="18"/>
        </w:rPr>
        <w:t>By Government Decision no. 1547/2022 it was approved the National Strategy regarding the equal opportunities and treatment between women and men and preventing and combating domestic violence for the period 2022 - 2027 elaborated by the Ministry of Family, Youth and Equal Opportunities through the National Agency for Equal Opportunities between Women and Men, which aimed at ensuring the continuity of the integrated vision of content on the two areas of competence of ANES and guaranteeing the coherence of the institutional mechanisms for implementing and monitoring the measures provided for in the programmatic document.</w:t>
      </w:r>
    </w:p>
    <w:p w14:paraId="7810953D" w14:textId="77777777" w:rsidR="003771C0" w:rsidRPr="00AB1F43" w:rsidRDefault="003771C0" w:rsidP="003771C0">
      <w:pPr>
        <w:ind w:left="360"/>
        <w:jc w:val="both"/>
        <w:rPr>
          <w:rFonts w:cstheme="minorHAnsi"/>
          <w:sz w:val="18"/>
          <w:szCs w:val="18"/>
        </w:rPr>
      </w:pPr>
      <w:r w:rsidRPr="00AB1F43">
        <w:rPr>
          <w:rFonts w:cstheme="minorHAnsi"/>
          <w:sz w:val="18"/>
          <w:szCs w:val="18"/>
        </w:rPr>
        <w:t>Within Pillar II of the Strategy, called "Domestic violence and violence against women", actions and measures are included in priority areas, as presented in the annex of the report within the contribution of ANES.</w:t>
      </w:r>
    </w:p>
    <w:p w14:paraId="2F3A3C99" w14:textId="77777777" w:rsidR="003771C0" w:rsidRPr="00AB1F43" w:rsidRDefault="003771C0" w:rsidP="003771C0">
      <w:pPr>
        <w:ind w:left="360"/>
        <w:jc w:val="both"/>
        <w:rPr>
          <w:rFonts w:cstheme="minorHAnsi"/>
          <w:sz w:val="18"/>
          <w:szCs w:val="18"/>
        </w:rPr>
      </w:pPr>
      <w:r w:rsidRPr="00AB1F43">
        <w:rPr>
          <w:rFonts w:cstheme="minorHAnsi"/>
          <w:sz w:val="18"/>
          <w:szCs w:val="18"/>
        </w:rPr>
        <w:t>1. Development of a unitary system of services aimed at the effective protection of victims of domestic violence and violence against women as well as their rights;</w:t>
      </w:r>
    </w:p>
    <w:p w14:paraId="683381BC" w14:textId="77777777" w:rsidR="003771C0" w:rsidRPr="00AB1F43" w:rsidRDefault="003771C0" w:rsidP="003771C0">
      <w:pPr>
        <w:ind w:left="360"/>
        <w:jc w:val="both"/>
        <w:rPr>
          <w:rFonts w:cstheme="minorHAnsi"/>
          <w:sz w:val="18"/>
          <w:szCs w:val="18"/>
        </w:rPr>
      </w:pPr>
      <w:r w:rsidRPr="00AB1F43">
        <w:rPr>
          <w:rFonts w:cstheme="minorHAnsi"/>
          <w:sz w:val="18"/>
          <w:szCs w:val="18"/>
        </w:rPr>
        <w:t>2. Strengthening the intervention capacity of the police in the field of domestic violence, in the sense of ensuring modern technical solutions for the effective proof of acts of domestic violence;</w:t>
      </w:r>
    </w:p>
    <w:p w14:paraId="1B05066E" w14:textId="77777777" w:rsidR="003771C0" w:rsidRPr="00AB1F43" w:rsidRDefault="003771C0" w:rsidP="003771C0">
      <w:pPr>
        <w:ind w:left="360"/>
        <w:jc w:val="both"/>
        <w:rPr>
          <w:rFonts w:cstheme="minorHAnsi"/>
          <w:sz w:val="18"/>
          <w:szCs w:val="18"/>
        </w:rPr>
      </w:pPr>
      <w:r w:rsidRPr="00AB1F43">
        <w:rPr>
          <w:rFonts w:cstheme="minorHAnsi"/>
          <w:sz w:val="18"/>
          <w:szCs w:val="18"/>
        </w:rPr>
        <w:t>3. Ensuring the prevention of domestic violence and violence against women, taking into account the specific needs of vulnerable groups, through an approach sensitive to cultural, age and gender differences;</w:t>
      </w:r>
    </w:p>
    <w:p w14:paraId="2AD46A7A" w14:textId="77777777" w:rsidR="003771C0" w:rsidRPr="00AB1F43" w:rsidRDefault="003771C0" w:rsidP="003771C0">
      <w:pPr>
        <w:ind w:left="360"/>
        <w:jc w:val="both"/>
        <w:rPr>
          <w:rFonts w:cstheme="minorHAnsi"/>
          <w:sz w:val="18"/>
          <w:szCs w:val="18"/>
        </w:rPr>
      </w:pPr>
      <w:r w:rsidRPr="00AB1F43">
        <w:rPr>
          <w:rFonts w:cstheme="minorHAnsi"/>
          <w:sz w:val="18"/>
          <w:szCs w:val="18"/>
        </w:rPr>
        <w:t>4. Combating violence against women in the public and private spheres in all areas of social life, including in educational institutions and the workplace, at the central and local level;</w:t>
      </w:r>
    </w:p>
    <w:p w14:paraId="32058CDC" w14:textId="77777777" w:rsidR="003771C0" w:rsidRPr="00AB1F43" w:rsidRDefault="003771C0" w:rsidP="003771C0">
      <w:pPr>
        <w:ind w:left="360"/>
        <w:jc w:val="both"/>
        <w:rPr>
          <w:rFonts w:cstheme="minorHAnsi"/>
          <w:sz w:val="18"/>
          <w:szCs w:val="18"/>
        </w:rPr>
      </w:pPr>
      <w:r w:rsidRPr="00AB1F43">
        <w:rPr>
          <w:rFonts w:cstheme="minorHAnsi"/>
          <w:sz w:val="18"/>
          <w:szCs w:val="18"/>
        </w:rPr>
        <w:t>5. Specific and adequate training of all categories of professionals with specific skills in the field of domestic violence and violence against women, in order to effectively prevent and combat this phenomenon;</w:t>
      </w:r>
    </w:p>
    <w:p w14:paraId="19F992CA" w14:textId="77777777" w:rsidR="003771C0" w:rsidRPr="00AB1F43" w:rsidRDefault="003771C0" w:rsidP="003771C0">
      <w:pPr>
        <w:ind w:left="360"/>
        <w:jc w:val="both"/>
        <w:rPr>
          <w:rFonts w:cstheme="minorHAnsi"/>
          <w:sz w:val="18"/>
          <w:szCs w:val="18"/>
        </w:rPr>
      </w:pPr>
      <w:r w:rsidRPr="00AB1F43">
        <w:rPr>
          <w:rFonts w:cstheme="minorHAnsi"/>
          <w:sz w:val="18"/>
          <w:szCs w:val="18"/>
        </w:rPr>
        <w:t>6. Real knowledge and quantification of the phenomenon of domestic violence;</w:t>
      </w:r>
    </w:p>
    <w:p w14:paraId="16811212" w14:textId="77777777" w:rsidR="003771C0" w:rsidRPr="00AB1F43" w:rsidRDefault="003771C0" w:rsidP="003771C0">
      <w:pPr>
        <w:ind w:left="360"/>
        <w:jc w:val="both"/>
        <w:rPr>
          <w:rFonts w:cstheme="minorHAnsi"/>
          <w:sz w:val="18"/>
          <w:szCs w:val="18"/>
        </w:rPr>
      </w:pPr>
      <w:r w:rsidRPr="00AB1F43">
        <w:rPr>
          <w:rFonts w:cstheme="minorHAnsi"/>
          <w:sz w:val="18"/>
          <w:szCs w:val="18"/>
        </w:rPr>
        <w:t>7. Continuation of the process of strengthening the national legislation in the field of preventing and combating domestic violence.</w:t>
      </w:r>
    </w:p>
    <w:p w14:paraId="709F0957" w14:textId="77777777" w:rsidR="003771C0" w:rsidRPr="00AB1F43" w:rsidRDefault="003771C0" w:rsidP="003771C0">
      <w:pPr>
        <w:ind w:left="360"/>
        <w:jc w:val="both"/>
        <w:rPr>
          <w:rFonts w:cstheme="minorHAnsi"/>
          <w:sz w:val="18"/>
          <w:szCs w:val="18"/>
        </w:rPr>
      </w:pPr>
      <w:r w:rsidRPr="00AB1F43">
        <w:rPr>
          <w:rFonts w:cstheme="minorHAnsi"/>
          <w:sz w:val="18"/>
          <w:szCs w:val="18"/>
        </w:rPr>
        <w:t>The national strategy for preventing and combating sexual violence "SYNERGY" 2021-2030 approved by Government Decision no. 592/2021, developed and monitored at the level of the Ministry of Family, Youth and Equal Opportunities through the National Agency for Equal Opportunities between Women and Men, includes measures aimed at reducing the increase in sexual violence cases and preventing relapse, in general, through actions of counselling for children, girls and women, as well as through other measures to support and improve the intervention of professionals.</w:t>
      </w:r>
    </w:p>
    <w:p w14:paraId="20362F6A" w14:textId="77777777" w:rsidR="003771C0" w:rsidRPr="00AB1F43" w:rsidRDefault="003771C0" w:rsidP="003771C0">
      <w:pPr>
        <w:ind w:left="360"/>
        <w:jc w:val="both"/>
        <w:rPr>
          <w:rFonts w:cstheme="minorHAnsi"/>
          <w:sz w:val="18"/>
          <w:szCs w:val="18"/>
        </w:rPr>
      </w:pPr>
      <w:r w:rsidRPr="00AB1F43">
        <w:rPr>
          <w:rFonts w:cstheme="minorHAnsi"/>
          <w:sz w:val="18"/>
          <w:szCs w:val="18"/>
        </w:rPr>
        <w:t>In Romania, sexual violence against women, including cases where this form of violence takes place within the family, is currently regulated and legally recognized as a form of gender-based violence and discrimination against women, but also as a criminal offense in the Criminal Code, however, in addition to the legal provisions in the criminal field in force, through the approval of the "SINERGIE" Strategy 2021 - 2030, the realization of prevention and protection measures, as well as the creation of specialized services for victims of sexual violence, through actions focused on the following strategic directions, were targeted:</w:t>
      </w:r>
    </w:p>
    <w:p w14:paraId="59C5C30F" w14:textId="77777777" w:rsidR="003771C0" w:rsidRPr="00AB1F43" w:rsidRDefault="003771C0" w:rsidP="003771C0">
      <w:pPr>
        <w:ind w:left="360"/>
        <w:jc w:val="both"/>
        <w:rPr>
          <w:rFonts w:cstheme="minorHAnsi"/>
          <w:sz w:val="18"/>
          <w:szCs w:val="18"/>
        </w:rPr>
      </w:pPr>
      <w:r w:rsidRPr="00AB1F43">
        <w:rPr>
          <w:rFonts w:cstheme="minorHAnsi"/>
          <w:sz w:val="18"/>
          <w:szCs w:val="18"/>
        </w:rPr>
        <w:t>1. Informing and training community members and social partners in order to achieve primary prevention by supporting education at all levels, information events, specific continuous training, development of community initiatives, facilitation of information through innovative instruments, including electronic means and the use of media resources.</w:t>
      </w:r>
    </w:p>
    <w:p w14:paraId="12D8F037" w14:textId="77777777" w:rsidR="003771C0" w:rsidRPr="00AB1F43" w:rsidRDefault="003771C0" w:rsidP="003771C0">
      <w:pPr>
        <w:ind w:left="360"/>
        <w:jc w:val="both"/>
        <w:rPr>
          <w:rFonts w:cstheme="minorHAnsi"/>
          <w:sz w:val="18"/>
          <w:szCs w:val="18"/>
        </w:rPr>
      </w:pPr>
      <w:r w:rsidRPr="00AB1F43">
        <w:rPr>
          <w:rFonts w:cstheme="minorHAnsi"/>
          <w:sz w:val="18"/>
          <w:szCs w:val="18"/>
        </w:rPr>
        <w:t>2. The preparation and training of the central and local public administration representatives, of all professionals with attributions in the field, in order to strengthen the institutional capacity and the capacity for intervention to achieve secondary and tertiary prevention and support also protection measures for sexual violence victims. The inclusion of this topic in regional and local development strategies and programs, also at county level.</w:t>
      </w:r>
    </w:p>
    <w:p w14:paraId="278438B0" w14:textId="77777777" w:rsidR="003771C0" w:rsidRPr="00AB1F43" w:rsidRDefault="003771C0" w:rsidP="003771C0">
      <w:pPr>
        <w:ind w:left="360"/>
        <w:jc w:val="both"/>
        <w:rPr>
          <w:rFonts w:cstheme="minorHAnsi"/>
          <w:sz w:val="18"/>
          <w:szCs w:val="18"/>
        </w:rPr>
      </w:pPr>
      <w:r w:rsidRPr="00AB1F43">
        <w:rPr>
          <w:rFonts w:cstheme="minorHAnsi"/>
          <w:sz w:val="18"/>
          <w:szCs w:val="18"/>
        </w:rPr>
        <w:lastRenderedPageBreak/>
        <w:t>3. Strengthening collaboration and strengthening inter-institutional partnerships for the purpose of an integrated approach and formulating an adequate response to the issue of sexual violence through various means, including the development and implementation in partnership of specific actions and/or programs/projects.</w:t>
      </w:r>
    </w:p>
    <w:p w14:paraId="167F6F16" w14:textId="77777777" w:rsidR="003771C0" w:rsidRPr="00AB1F43" w:rsidRDefault="003771C0" w:rsidP="003771C0">
      <w:pPr>
        <w:ind w:left="360"/>
        <w:jc w:val="both"/>
        <w:rPr>
          <w:rFonts w:cstheme="minorHAnsi"/>
          <w:sz w:val="18"/>
          <w:szCs w:val="18"/>
        </w:rPr>
      </w:pPr>
      <w:r w:rsidRPr="00AB1F43">
        <w:rPr>
          <w:rFonts w:cstheme="minorHAnsi"/>
          <w:sz w:val="18"/>
          <w:szCs w:val="18"/>
        </w:rPr>
        <w:t>4. Promoting the gender perspective at all levels and in all types of interventions in addressing sexual violence as a form of gender-based violence by including concrete measures at county level and in local strategies.</w:t>
      </w:r>
    </w:p>
    <w:p w14:paraId="31D56CD8" w14:textId="77777777" w:rsidR="003771C0" w:rsidRPr="00AB1F43" w:rsidRDefault="003771C0" w:rsidP="003771C0">
      <w:pPr>
        <w:ind w:left="360"/>
        <w:jc w:val="both"/>
        <w:rPr>
          <w:rFonts w:cstheme="minorHAnsi"/>
          <w:sz w:val="18"/>
          <w:szCs w:val="18"/>
        </w:rPr>
      </w:pPr>
      <w:r w:rsidRPr="00AB1F43">
        <w:rPr>
          <w:rFonts w:cstheme="minorHAnsi"/>
          <w:sz w:val="18"/>
          <w:szCs w:val="18"/>
        </w:rPr>
        <w:t>5. Real knowledge and quantification of the phenomenon of sexual violence through the collection of relevant and up-to-date statistical data, analyses, sociological studies and research, psychological studies, criminology/criminology studies and works, identifying and taking over examples of good practice from other states and developing cooperation bilateral/multilateral in order to achieve the transfer of know-how.</w:t>
      </w:r>
    </w:p>
    <w:p w14:paraId="4CCE090C" w14:textId="622078F2" w:rsidR="006B7DB6" w:rsidRPr="00AB1F43" w:rsidRDefault="003771C0" w:rsidP="00AB1F43">
      <w:pPr>
        <w:ind w:left="360"/>
        <w:jc w:val="both"/>
        <w:rPr>
          <w:rFonts w:cstheme="minorHAnsi"/>
          <w:sz w:val="18"/>
          <w:szCs w:val="18"/>
        </w:rPr>
      </w:pPr>
      <w:r w:rsidRPr="00AB1F43">
        <w:rPr>
          <w:rFonts w:cstheme="minorHAnsi"/>
          <w:sz w:val="18"/>
          <w:szCs w:val="18"/>
        </w:rPr>
        <w:t>6. Improving the monitoring/evaluation/reporting capacity of the National Strategy for the prevention and combating of sexual violence "SYNERGY" 2021-2030.</w:t>
      </w:r>
    </w:p>
    <w:p w14:paraId="2D7FE774" w14:textId="3517839A" w:rsidR="006B7DB6" w:rsidRPr="00AB1F43" w:rsidRDefault="006B7DB6" w:rsidP="006B7DB6">
      <w:pPr>
        <w:ind w:left="360"/>
        <w:jc w:val="both"/>
        <w:rPr>
          <w:rFonts w:cstheme="minorHAnsi"/>
          <w:b/>
          <w:bCs/>
          <w:sz w:val="18"/>
          <w:szCs w:val="18"/>
        </w:rPr>
      </w:pPr>
      <w:r w:rsidRPr="00AB1F43">
        <w:rPr>
          <w:rFonts w:cstheme="minorHAnsi"/>
          <w:b/>
          <w:bCs/>
          <w:sz w:val="18"/>
          <w:szCs w:val="18"/>
        </w:rPr>
        <w:t>Participation in political and public life</w:t>
      </w:r>
    </w:p>
    <w:p w14:paraId="1EDF10BA" w14:textId="77777777" w:rsidR="006B7DB6" w:rsidRPr="00AB1F43" w:rsidRDefault="006B7DB6" w:rsidP="006B7DB6">
      <w:pPr>
        <w:ind w:left="360"/>
        <w:jc w:val="both"/>
        <w:rPr>
          <w:rFonts w:cstheme="minorHAnsi"/>
          <w:b/>
          <w:bCs/>
          <w:sz w:val="18"/>
          <w:szCs w:val="18"/>
        </w:rPr>
      </w:pPr>
      <w:r w:rsidRPr="00AB1F43">
        <w:rPr>
          <w:rFonts w:cstheme="minorHAnsi"/>
          <w:b/>
          <w:bCs/>
          <w:sz w:val="18"/>
          <w:szCs w:val="18"/>
        </w:rPr>
        <w:t>13.</w:t>
      </w:r>
      <w:r w:rsidRPr="00AB1F43">
        <w:rPr>
          <w:rFonts w:cstheme="minorHAnsi"/>
          <w:b/>
          <w:bCs/>
          <w:sz w:val="18"/>
          <w:szCs w:val="18"/>
        </w:rPr>
        <w:tab/>
        <w:t xml:space="preserve">In the light of the Committee’s previous recommendations (para. 25), please describe efforts to: </w:t>
      </w:r>
    </w:p>
    <w:p w14:paraId="3D4F76E2" w14:textId="40BAC1AE" w:rsidR="006B7DB6" w:rsidRPr="00AB1F43" w:rsidRDefault="006B7DB6" w:rsidP="006B7DB6">
      <w:pPr>
        <w:ind w:left="360"/>
        <w:jc w:val="both"/>
        <w:rPr>
          <w:rFonts w:cstheme="minorHAnsi"/>
          <w:b/>
          <w:bCs/>
          <w:sz w:val="18"/>
          <w:szCs w:val="18"/>
        </w:rPr>
      </w:pPr>
      <w:r w:rsidRPr="00AB1F43">
        <w:rPr>
          <w:rFonts w:cstheme="minorHAnsi"/>
          <w:b/>
          <w:bCs/>
          <w:sz w:val="18"/>
          <w:szCs w:val="18"/>
        </w:rPr>
        <w:tab/>
        <w:t>(b) Study the root causes that prevent women, in particular women belonging to ethnic minority groups, from participating in public and political life and design strategies to overcome such barriers;</w:t>
      </w:r>
    </w:p>
    <w:p w14:paraId="0FF16B05" w14:textId="2ED60DC9" w:rsidR="006B7DB6" w:rsidRPr="00AB1F43" w:rsidRDefault="006B7DB6" w:rsidP="006B7DB6">
      <w:pPr>
        <w:ind w:left="360"/>
        <w:jc w:val="both"/>
        <w:rPr>
          <w:rFonts w:cstheme="minorHAnsi"/>
          <w:sz w:val="18"/>
          <w:szCs w:val="18"/>
        </w:rPr>
      </w:pPr>
      <w:r w:rsidRPr="00AB1F43">
        <w:rPr>
          <w:rFonts w:cstheme="minorHAnsi"/>
          <w:sz w:val="18"/>
          <w:szCs w:val="18"/>
        </w:rPr>
        <w:t>National Strategy on the promotion of equal opportunities and treatment between women and men and the prevention and combating of domestic violence for the period 2022-2027 – measures and actions within the intervention area Participation in decision-making:</w:t>
      </w:r>
    </w:p>
    <w:p w14:paraId="6FB0CC3D" w14:textId="77777777" w:rsidR="006B7DB6" w:rsidRPr="00AB1F43" w:rsidRDefault="006B7DB6" w:rsidP="006B7DB6">
      <w:pPr>
        <w:ind w:left="360"/>
        <w:jc w:val="both"/>
        <w:rPr>
          <w:rFonts w:cstheme="minorHAnsi"/>
          <w:sz w:val="18"/>
          <w:szCs w:val="18"/>
        </w:rPr>
      </w:pPr>
      <w:r w:rsidRPr="00AB1F43">
        <w:rPr>
          <w:rFonts w:cstheme="minorHAnsi"/>
          <w:sz w:val="18"/>
          <w:szCs w:val="18"/>
        </w:rPr>
        <w:t>- Carrying out analyzes regarding the balanced participation of women and men in decision-making positions at the level of the central public administration;</w:t>
      </w:r>
    </w:p>
    <w:p w14:paraId="6C9828FC" w14:textId="77777777" w:rsidR="006B7DB6" w:rsidRPr="00AB1F43" w:rsidRDefault="006B7DB6" w:rsidP="006B7DB6">
      <w:pPr>
        <w:ind w:left="360"/>
        <w:jc w:val="both"/>
        <w:rPr>
          <w:rFonts w:cstheme="minorHAnsi"/>
          <w:sz w:val="18"/>
          <w:szCs w:val="18"/>
        </w:rPr>
      </w:pPr>
      <w:r w:rsidRPr="00AB1F43">
        <w:rPr>
          <w:rFonts w:cstheme="minorHAnsi"/>
          <w:sz w:val="18"/>
          <w:szCs w:val="18"/>
        </w:rPr>
        <w:t>- Carrying out analyzes regarding the participation of women and men in electoral processes;</w:t>
      </w:r>
    </w:p>
    <w:p w14:paraId="246929E2" w14:textId="77777777" w:rsidR="006B7DB6" w:rsidRPr="00AB1F43" w:rsidRDefault="006B7DB6" w:rsidP="006B7DB6">
      <w:pPr>
        <w:ind w:left="360"/>
        <w:jc w:val="both"/>
        <w:rPr>
          <w:rFonts w:cstheme="minorHAnsi"/>
          <w:sz w:val="18"/>
          <w:szCs w:val="18"/>
        </w:rPr>
      </w:pPr>
      <w:r w:rsidRPr="00AB1F43">
        <w:rPr>
          <w:rFonts w:cstheme="minorHAnsi"/>
          <w:sz w:val="18"/>
          <w:szCs w:val="18"/>
        </w:rPr>
        <w:t>- Carrying out analyzes regarding the participation of women and men in decision-making positions within political parties, at the level of all structures;</w:t>
      </w:r>
    </w:p>
    <w:p w14:paraId="717890F3" w14:textId="77777777" w:rsidR="006B7DB6" w:rsidRPr="00AB1F43" w:rsidRDefault="006B7DB6" w:rsidP="006B7DB6">
      <w:pPr>
        <w:ind w:left="360"/>
        <w:jc w:val="both"/>
        <w:rPr>
          <w:rFonts w:cstheme="minorHAnsi"/>
          <w:sz w:val="18"/>
          <w:szCs w:val="18"/>
        </w:rPr>
      </w:pPr>
      <w:r w:rsidRPr="00AB1F43">
        <w:rPr>
          <w:rFonts w:cstheme="minorHAnsi"/>
          <w:sz w:val="18"/>
          <w:szCs w:val="18"/>
        </w:rPr>
        <w:t>- Identifying good practices that can improve the balance regarding women's participation in decision-making in the public and private environment;</w:t>
      </w:r>
    </w:p>
    <w:p w14:paraId="7205D23C" w14:textId="52E6D8F7" w:rsidR="00611FE2" w:rsidRPr="00AB1F43" w:rsidRDefault="006B7DB6" w:rsidP="00AB1F43">
      <w:pPr>
        <w:ind w:left="360"/>
        <w:jc w:val="both"/>
        <w:rPr>
          <w:rFonts w:cstheme="minorHAnsi"/>
          <w:sz w:val="18"/>
          <w:szCs w:val="18"/>
        </w:rPr>
      </w:pPr>
      <w:r w:rsidRPr="00AB1F43">
        <w:rPr>
          <w:rFonts w:cstheme="minorHAnsi"/>
          <w:sz w:val="18"/>
          <w:szCs w:val="18"/>
        </w:rPr>
        <w:t>- Increasing the representation and significant participation of women in peace negotiations, mediation processes and peacekeeping missions.</w:t>
      </w:r>
    </w:p>
    <w:p w14:paraId="31ED6CB4" w14:textId="735BF61A" w:rsidR="00611FE2" w:rsidRPr="00AB1F43" w:rsidRDefault="00611FE2" w:rsidP="00611FE2">
      <w:pPr>
        <w:pStyle w:val="ListParagraph"/>
        <w:numPr>
          <w:ilvl w:val="0"/>
          <w:numId w:val="2"/>
        </w:numPr>
        <w:jc w:val="both"/>
        <w:rPr>
          <w:rFonts w:cstheme="minorHAnsi"/>
          <w:b/>
          <w:bCs/>
          <w:sz w:val="18"/>
          <w:szCs w:val="18"/>
        </w:rPr>
      </w:pPr>
      <w:bookmarkStart w:id="17" w:name="_Hlk181693525"/>
      <w:r w:rsidRPr="00AB1F43">
        <w:rPr>
          <w:rFonts w:cstheme="minorHAnsi"/>
          <w:b/>
          <w:bCs/>
          <w:sz w:val="18"/>
          <w:szCs w:val="18"/>
        </w:rPr>
        <w:t>National Authority for the Protection of Children's Rights and Adoption -ANPDCA</w:t>
      </w:r>
    </w:p>
    <w:bookmarkEnd w:id="17"/>
    <w:p w14:paraId="71E3C05E" w14:textId="417B1BB5" w:rsidR="00611FE2" w:rsidRPr="00AB1F43" w:rsidRDefault="00611FE2" w:rsidP="00611FE2">
      <w:pPr>
        <w:ind w:left="360"/>
        <w:jc w:val="both"/>
        <w:rPr>
          <w:rFonts w:cstheme="minorHAnsi"/>
          <w:b/>
          <w:bCs/>
          <w:sz w:val="18"/>
          <w:szCs w:val="18"/>
        </w:rPr>
      </w:pPr>
      <w:r w:rsidRPr="00AB1F43">
        <w:rPr>
          <w:rFonts w:cstheme="minorHAnsi"/>
          <w:b/>
          <w:bCs/>
          <w:sz w:val="18"/>
          <w:szCs w:val="18"/>
        </w:rPr>
        <w:t>Harmful practices</w:t>
      </w:r>
    </w:p>
    <w:p w14:paraId="752CFCA2" w14:textId="4957C4BE" w:rsidR="00611FE2" w:rsidRPr="00AB1F43" w:rsidRDefault="00611FE2" w:rsidP="00611FE2">
      <w:pPr>
        <w:ind w:left="360"/>
        <w:jc w:val="both"/>
        <w:rPr>
          <w:rFonts w:cstheme="minorHAnsi"/>
          <w:b/>
          <w:bCs/>
          <w:sz w:val="18"/>
          <w:szCs w:val="18"/>
        </w:rPr>
      </w:pPr>
      <w:r w:rsidRPr="00AB1F43">
        <w:rPr>
          <w:rFonts w:cstheme="minorHAnsi"/>
          <w:b/>
          <w:bCs/>
          <w:sz w:val="18"/>
          <w:szCs w:val="18"/>
        </w:rPr>
        <w:t>9.</w:t>
      </w:r>
      <w:r w:rsidRPr="00AB1F43">
        <w:rPr>
          <w:rFonts w:cstheme="minorHAnsi"/>
          <w:b/>
          <w:bCs/>
          <w:sz w:val="18"/>
          <w:szCs w:val="18"/>
        </w:rPr>
        <w:tab/>
        <w:t>In the light of the Committee’s previous recommendations (para. 17), please indicate whether a study has been carried out on the scale and consequences of forced marriage, early marriage and child marriage. Please describe what steps have been taken, including awareness-raising activities on the negative impact of such marriages on girls, to prevent such forms of marriage, in line with joint general recommendation No. 31 of the Committee on the Elimination of Discrimination against Women/general comment No. 18 of the Committee on the Rights of the Child (2019) on harmful practices. Please also indicate what steps have been taken to amend legislation to remove exceptions allowing marriage under the age of 18 years and to prosecute and adequately punish the perpetrators.</w:t>
      </w:r>
    </w:p>
    <w:p w14:paraId="43FFA367" w14:textId="77777777" w:rsidR="00611FE2" w:rsidRPr="00AB1F43" w:rsidRDefault="00611FE2" w:rsidP="00611FE2">
      <w:pPr>
        <w:ind w:left="360"/>
        <w:jc w:val="both"/>
        <w:rPr>
          <w:rFonts w:cstheme="minorHAnsi"/>
          <w:sz w:val="18"/>
          <w:szCs w:val="18"/>
        </w:rPr>
      </w:pPr>
      <w:r w:rsidRPr="00AB1F43">
        <w:rPr>
          <w:rFonts w:cstheme="minorHAnsi"/>
          <w:sz w:val="18"/>
          <w:szCs w:val="18"/>
        </w:rPr>
        <w:t>In 2022, the situation presented as follows:</w:t>
      </w:r>
    </w:p>
    <w:p w14:paraId="412C83B4" w14:textId="77777777" w:rsidR="00611FE2" w:rsidRPr="00AB1F43" w:rsidRDefault="00611FE2" w:rsidP="00611FE2">
      <w:pPr>
        <w:ind w:left="360"/>
        <w:jc w:val="both"/>
        <w:rPr>
          <w:rFonts w:cstheme="minorHAnsi"/>
          <w:sz w:val="18"/>
          <w:szCs w:val="18"/>
        </w:rPr>
      </w:pPr>
      <w:r w:rsidRPr="00AB1F43">
        <w:rPr>
          <w:rFonts w:cstheme="minorHAnsi"/>
          <w:sz w:val="18"/>
          <w:szCs w:val="18"/>
        </w:rPr>
        <w:t>-</w:t>
      </w:r>
      <w:r w:rsidRPr="00AB1F43">
        <w:rPr>
          <w:rFonts w:cstheme="minorHAnsi"/>
          <w:sz w:val="18"/>
          <w:szCs w:val="18"/>
        </w:rPr>
        <w:tab/>
        <w:t>At the DGASPC and SPAS level, a total number of 4,441 pregnant girls and minor mothers were registered, out of which: 1,183 pregnant girls and 3,258 minor mothers</w:t>
      </w:r>
    </w:p>
    <w:p w14:paraId="63C56FB3" w14:textId="77777777" w:rsidR="00611FE2" w:rsidRPr="00AB1F43" w:rsidRDefault="00611FE2" w:rsidP="00611FE2">
      <w:pPr>
        <w:ind w:left="360"/>
        <w:jc w:val="both"/>
        <w:rPr>
          <w:rFonts w:cstheme="minorHAnsi"/>
          <w:sz w:val="18"/>
          <w:szCs w:val="18"/>
        </w:rPr>
      </w:pPr>
      <w:r w:rsidRPr="00AB1F43">
        <w:rPr>
          <w:rFonts w:cstheme="minorHAnsi"/>
          <w:sz w:val="18"/>
          <w:szCs w:val="18"/>
        </w:rPr>
        <w:t>-</w:t>
      </w:r>
      <w:r w:rsidRPr="00AB1F43">
        <w:rPr>
          <w:rFonts w:cstheme="minorHAnsi"/>
          <w:sz w:val="18"/>
          <w:szCs w:val="18"/>
        </w:rPr>
        <w:tab/>
        <w:t xml:space="preserve">The pregnant girl with the youngest age was registered in </w:t>
      </w:r>
      <w:proofErr w:type="gramStart"/>
      <w:r w:rsidRPr="00AB1F43">
        <w:rPr>
          <w:rFonts w:cstheme="minorHAnsi"/>
          <w:sz w:val="18"/>
          <w:szCs w:val="18"/>
        </w:rPr>
        <w:t>Mureș county</w:t>
      </w:r>
      <w:proofErr w:type="gramEnd"/>
      <w:r w:rsidRPr="00AB1F43">
        <w:rPr>
          <w:rFonts w:cstheme="minorHAnsi"/>
          <w:sz w:val="18"/>
          <w:szCs w:val="18"/>
        </w:rPr>
        <w:t xml:space="preserve"> (11 years old) and the minor mothers with the youngest age in </w:t>
      </w:r>
      <w:proofErr w:type="spellStart"/>
      <w:r w:rsidRPr="00AB1F43">
        <w:rPr>
          <w:rFonts w:cstheme="minorHAnsi"/>
          <w:sz w:val="18"/>
          <w:szCs w:val="18"/>
        </w:rPr>
        <w:t>Călărași</w:t>
      </w:r>
      <w:proofErr w:type="spellEnd"/>
      <w:r w:rsidRPr="00AB1F43">
        <w:rPr>
          <w:rFonts w:cstheme="minorHAnsi"/>
          <w:sz w:val="18"/>
          <w:szCs w:val="18"/>
        </w:rPr>
        <w:t xml:space="preserve"> and </w:t>
      </w:r>
      <w:proofErr w:type="spellStart"/>
      <w:r w:rsidRPr="00AB1F43">
        <w:rPr>
          <w:rFonts w:cstheme="minorHAnsi"/>
          <w:sz w:val="18"/>
          <w:szCs w:val="18"/>
        </w:rPr>
        <w:t>Galați</w:t>
      </w:r>
      <w:proofErr w:type="spellEnd"/>
      <w:r w:rsidRPr="00AB1F43">
        <w:rPr>
          <w:rFonts w:cstheme="minorHAnsi"/>
          <w:sz w:val="18"/>
          <w:szCs w:val="18"/>
        </w:rPr>
        <w:t xml:space="preserve"> (12 years old)</w:t>
      </w:r>
    </w:p>
    <w:p w14:paraId="285B01AB" w14:textId="77777777" w:rsidR="00611FE2" w:rsidRPr="00AB1F43" w:rsidRDefault="00611FE2" w:rsidP="00611FE2">
      <w:pPr>
        <w:ind w:left="360"/>
        <w:jc w:val="both"/>
        <w:rPr>
          <w:rFonts w:cstheme="minorHAnsi"/>
          <w:sz w:val="18"/>
          <w:szCs w:val="18"/>
        </w:rPr>
      </w:pPr>
      <w:r w:rsidRPr="00AB1F43">
        <w:rPr>
          <w:rFonts w:cstheme="minorHAnsi"/>
          <w:sz w:val="18"/>
          <w:szCs w:val="18"/>
        </w:rPr>
        <w:lastRenderedPageBreak/>
        <w:t>-</w:t>
      </w:r>
      <w:r w:rsidRPr="00AB1F43">
        <w:rPr>
          <w:rFonts w:cstheme="minorHAnsi"/>
          <w:sz w:val="18"/>
          <w:szCs w:val="18"/>
        </w:rPr>
        <w:tab/>
        <w:t>Out of the total of 4,441, 4,128 pregnant girls and minor mothers remained in the family, respectively: 2,868 in the family of origin and 1,260 in another family (extended family, family of the spouse/ partner, with spouse/ partner)</w:t>
      </w:r>
    </w:p>
    <w:p w14:paraId="465BB637" w14:textId="77777777" w:rsidR="00611FE2" w:rsidRPr="00AB1F43" w:rsidRDefault="00611FE2" w:rsidP="00611FE2">
      <w:pPr>
        <w:ind w:left="360"/>
        <w:jc w:val="both"/>
        <w:rPr>
          <w:rFonts w:cstheme="minorHAnsi"/>
          <w:sz w:val="18"/>
          <w:szCs w:val="18"/>
        </w:rPr>
      </w:pPr>
      <w:r w:rsidRPr="00AB1F43">
        <w:rPr>
          <w:rFonts w:cstheme="minorHAnsi"/>
          <w:sz w:val="18"/>
          <w:szCs w:val="18"/>
        </w:rPr>
        <w:t>-</w:t>
      </w:r>
      <w:r w:rsidRPr="00AB1F43">
        <w:rPr>
          <w:rFonts w:cstheme="minorHAnsi"/>
          <w:sz w:val="18"/>
          <w:szCs w:val="18"/>
        </w:rPr>
        <w:tab/>
        <w:t xml:space="preserve">242 pregnant girls and minor mothers were sheltered and protected in maternal </w:t>
      </w:r>
      <w:proofErr w:type="spellStart"/>
      <w:r w:rsidRPr="00AB1F43">
        <w:rPr>
          <w:rFonts w:cstheme="minorHAnsi"/>
          <w:sz w:val="18"/>
          <w:szCs w:val="18"/>
        </w:rPr>
        <w:t>centres</w:t>
      </w:r>
      <w:proofErr w:type="spellEnd"/>
      <w:r w:rsidRPr="00AB1F43">
        <w:rPr>
          <w:rFonts w:cstheme="minorHAnsi"/>
          <w:sz w:val="18"/>
          <w:szCs w:val="18"/>
        </w:rPr>
        <w:t xml:space="preserve"> of the DGASPC, out of which 79 were reintegrated into the family</w:t>
      </w:r>
    </w:p>
    <w:p w14:paraId="476A458E" w14:textId="77777777" w:rsidR="00611FE2" w:rsidRPr="00AB1F43" w:rsidRDefault="00611FE2" w:rsidP="00611FE2">
      <w:pPr>
        <w:ind w:left="360"/>
        <w:jc w:val="both"/>
        <w:rPr>
          <w:rFonts w:cstheme="minorHAnsi"/>
          <w:sz w:val="18"/>
          <w:szCs w:val="18"/>
        </w:rPr>
      </w:pPr>
      <w:r w:rsidRPr="00AB1F43">
        <w:rPr>
          <w:rFonts w:cstheme="minorHAnsi"/>
          <w:sz w:val="18"/>
          <w:szCs w:val="18"/>
        </w:rPr>
        <w:t>-</w:t>
      </w:r>
      <w:r w:rsidRPr="00AB1F43">
        <w:rPr>
          <w:rFonts w:cstheme="minorHAnsi"/>
          <w:sz w:val="18"/>
          <w:szCs w:val="18"/>
        </w:rPr>
        <w:tab/>
        <w:t>For 1,515 pregnant girls and minor mothers, DGASPC and SPAS notified the police for the suspicion of sexual crime: 885 under the age of 16 and 660 over the age of 16; for 16, NUP was given</w:t>
      </w:r>
    </w:p>
    <w:p w14:paraId="52FB2FCD" w14:textId="77777777" w:rsidR="00611FE2" w:rsidRPr="00AB1F43" w:rsidRDefault="00611FE2" w:rsidP="00611FE2">
      <w:pPr>
        <w:ind w:left="360"/>
        <w:jc w:val="both"/>
        <w:rPr>
          <w:rFonts w:cstheme="minorHAnsi"/>
          <w:sz w:val="18"/>
          <w:szCs w:val="18"/>
        </w:rPr>
      </w:pPr>
      <w:r w:rsidRPr="00AB1F43">
        <w:rPr>
          <w:rFonts w:cstheme="minorHAnsi"/>
          <w:sz w:val="18"/>
          <w:szCs w:val="18"/>
        </w:rPr>
        <w:t xml:space="preserve">Besides the maternal </w:t>
      </w:r>
      <w:proofErr w:type="spellStart"/>
      <w:r w:rsidRPr="00AB1F43">
        <w:rPr>
          <w:rFonts w:cstheme="minorHAnsi"/>
          <w:sz w:val="18"/>
          <w:szCs w:val="18"/>
        </w:rPr>
        <w:t>centres</w:t>
      </w:r>
      <w:proofErr w:type="spellEnd"/>
      <w:r w:rsidRPr="00AB1F43">
        <w:rPr>
          <w:rFonts w:cstheme="minorHAnsi"/>
          <w:sz w:val="18"/>
          <w:szCs w:val="18"/>
        </w:rPr>
        <w:t>, DGASPC also offered other services for pregnant girls and minor mothers, as follows:</w:t>
      </w:r>
    </w:p>
    <w:p w14:paraId="0965B5CD" w14:textId="77777777" w:rsidR="00611FE2" w:rsidRPr="00AB1F43" w:rsidRDefault="00611FE2" w:rsidP="00611FE2">
      <w:pPr>
        <w:ind w:left="360"/>
        <w:jc w:val="both"/>
        <w:rPr>
          <w:rFonts w:cstheme="minorHAnsi"/>
          <w:sz w:val="18"/>
          <w:szCs w:val="18"/>
        </w:rPr>
      </w:pPr>
      <w:r w:rsidRPr="00AB1F43">
        <w:rPr>
          <w:rFonts w:cstheme="minorHAnsi"/>
          <w:sz w:val="18"/>
          <w:szCs w:val="18"/>
        </w:rPr>
        <w:t>- Information on their rights</w:t>
      </w:r>
    </w:p>
    <w:p w14:paraId="1DFC2349" w14:textId="77777777" w:rsidR="00611FE2" w:rsidRPr="00AB1F43" w:rsidRDefault="00611FE2" w:rsidP="00611FE2">
      <w:pPr>
        <w:ind w:left="360"/>
        <w:jc w:val="both"/>
        <w:rPr>
          <w:rFonts w:cstheme="minorHAnsi"/>
          <w:sz w:val="18"/>
          <w:szCs w:val="18"/>
        </w:rPr>
      </w:pPr>
      <w:r w:rsidRPr="00AB1F43">
        <w:rPr>
          <w:rFonts w:cstheme="minorHAnsi"/>
          <w:sz w:val="18"/>
          <w:szCs w:val="18"/>
        </w:rPr>
        <w:t>- Social, psychological, legal, parental counselling</w:t>
      </w:r>
    </w:p>
    <w:p w14:paraId="6CE268A1" w14:textId="77777777" w:rsidR="00611FE2" w:rsidRPr="00AB1F43" w:rsidRDefault="00611FE2" w:rsidP="00611FE2">
      <w:pPr>
        <w:ind w:left="360"/>
        <w:jc w:val="both"/>
        <w:rPr>
          <w:rFonts w:cstheme="minorHAnsi"/>
          <w:sz w:val="18"/>
          <w:szCs w:val="18"/>
        </w:rPr>
      </w:pPr>
      <w:r w:rsidRPr="00AB1F43">
        <w:rPr>
          <w:rFonts w:cstheme="minorHAnsi"/>
          <w:sz w:val="18"/>
          <w:szCs w:val="18"/>
        </w:rPr>
        <w:t>- Family planning services</w:t>
      </w:r>
    </w:p>
    <w:p w14:paraId="44D4E2C5" w14:textId="77777777" w:rsidR="00611FE2" w:rsidRPr="00AB1F43" w:rsidRDefault="00611FE2" w:rsidP="00611FE2">
      <w:pPr>
        <w:ind w:left="360"/>
        <w:jc w:val="both"/>
        <w:rPr>
          <w:rFonts w:cstheme="minorHAnsi"/>
          <w:sz w:val="18"/>
          <w:szCs w:val="18"/>
        </w:rPr>
      </w:pPr>
      <w:r w:rsidRPr="00AB1F43">
        <w:rPr>
          <w:rFonts w:cstheme="minorHAnsi"/>
          <w:sz w:val="18"/>
          <w:szCs w:val="18"/>
        </w:rPr>
        <w:t>- development of independent life skills</w:t>
      </w:r>
    </w:p>
    <w:p w14:paraId="5A64134F" w14:textId="7BC412DC" w:rsidR="00611FE2" w:rsidRPr="00AB1F43" w:rsidRDefault="00611FE2" w:rsidP="00611FE2">
      <w:pPr>
        <w:ind w:left="360"/>
        <w:jc w:val="both"/>
        <w:rPr>
          <w:rFonts w:cstheme="minorHAnsi"/>
          <w:sz w:val="18"/>
          <w:szCs w:val="18"/>
        </w:rPr>
      </w:pPr>
      <w:r w:rsidRPr="00AB1F43">
        <w:rPr>
          <w:rFonts w:cstheme="minorHAnsi"/>
          <w:sz w:val="18"/>
          <w:szCs w:val="18"/>
        </w:rPr>
        <w:t>- Facilitating access to specialized medical services (pregnancy monitoring, periodic medical evaluations)</w:t>
      </w:r>
      <w:r w:rsidR="00FA7ACE" w:rsidRPr="00AB1F43">
        <w:rPr>
          <w:rFonts w:cstheme="minorHAnsi"/>
          <w:sz w:val="18"/>
          <w:szCs w:val="18"/>
        </w:rPr>
        <w:t>.</w:t>
      </w:r>
    </w:p>
    <w:p w14:paraId="4D5DF903" w14:textId="18B7D43D" w:rsidR="00FA7ACE" w:rsidRPr="00AB1F43" w:rsidRDefault="00FA7ACE" w:rsidP="00FA7ACE">
      <w:pPr>
        <w:ind w:left="360"/>
        <w:jc w:val="both"/>
        <w:rPr>
          <w:rFonts w:cstheme="minorHAnsi"/>
          <w:b/>
          <w:bCs/>
          <w:sz w:val="18"/>
          <w:szCs w:val="18"/>
        </w:rPr>
      </w:pPr>
      <w:r w:rsidRPr="00AB1F43">
        <w:rPr>
          <w:rFonts w:cstheme="minorHAnsi"/>
          <w:b/>
          <w:bCs/>
          <w:sz w:val="18"/>
          <w:szCs w:val="18"/>
        </w:rPr>
        <w:t>Trafficking and exploitation of prostitution</w:t>
      </w:r>
    </w:p>
    <w:p w14:paraId="2926C1A2" w14:textId="77777777" w:rsidR="00FA7ACE" w:rsidRPr="00AB1F43" w:rsidRDefault="00FA7ACE" w:rsidP="00FA7ACE">
      <w:pPr>
        <w:ind w:left="360"/>
        <w:jc w:val="both"/>
        <w:rPr>
          <w:rFonts w:cstheme="minorHAnsi"/>
          <w:b/>
          <w:bCs/>
          <w:sz w:val="18"/>
          <w:szCs w:val="18"/>
        </w:rPr>
      </w:pPr>
      <w:r w:rsidRPr="00AB1F43">
        <w:rPr>
          <w:rFonts w:cstheme="minorHAnsi"/>
          <w:b/>
          <w:bCs/>
          <w:sz w:val="18"/>
          <w:szCs w:val="18"/>
        </w:rPr>
        <w:t>11.</w:t>
      </w:r>
      <w:r w:rsidRPr="00AB1F43">
        <w:rPr>
          <w:rFonts w:cstheme="minorHAnsi"/>
          <w:b/>
          <w:bCs/>
          <w:sz w:val="18"/>
          <w:szCs w:val="18"/>
        </w:rPr>
        <w:tab/>
        <w:t xml:space="preserve">In the light of the Committee’s previous recommendations (para. 21) and its general recommendation No. 38 (2020) on trafficking in women and girls in the context of global migration, please outline the measures taken to: </w:t>
      </w:r>
    </w:p>
    <w:p w14:paraId="7AAD1154" w14:textId="048C2514" w:rsidR="00FA7ACE" w:rsidRPr="00AB1F43" w:rsidRDefault="00FA7ACE" w:rsidP="00FA7ACE">
      <w:pPr>
        <w:ind w:left="360"/>
        <w:jc w:val="both"/>
        <w:rPr>
          <w:rFonts w:cstheme="minorHAnsi"/>
          <w:b/>
          <w:bCs/>
          <w:sz w:val="18"/>
          <w:szCs w:val="18"/>
        </w:rPr>
      </w:pPr>
      <w:r w:rsidRPr="00AB1F43">
        <w:rPr>
          <w:rFonts w:cstheme="minorHAnsi"/>
          <w:b/>
          <w:bCs/>
          <w:sz w:val="18"/>
          <w:szCs w:val="18"/>
        </w:rPr>
        <w:t>(b)</w:t>
      </w:r>
      <w:r w:rsidRPr="00AB1F43">
        <w:rPr>
          <w:rFonts w:cstheme="minorHAnsi"/>
          <w:b/>
          <w:bCs/>
          <w:sz w:val="18"/>
          <w:szCs w:val="18"/>
        </w:rPr>
        <w:tab/>
        <w:t>Focus on vulnerable groups, such as refugee women, in particular Ukrainian refugees, rural and Roma women, undocumented women migrant workers and girls exploited by begging rings, including girls who are victims of sexual exploitation;</w:t>
      </w:r>
    </w:p>
    <w:p w14:paraId="5438B22A" w14:textId="125B4605" w:rsidR="00FA7ACE" w:rsidRPr="00AB1F43" w:rsidRDefault="00FA7ACE" w:rsidP="00AB1F43">
      <w:pPr>
        <w:ind w:left="360"/>
        <w:jc w:val="both"/>
        <w:rPr>
          <w:rFonts w:cstheme="minorHAnsi"/>
          <w:sz w:val="18"/>
          <w:szCs w:val="18"/>
        </w:rPr>
      </w:pPr>
      <w:r w:rsidRPr="00AB1F43">
        <w:rPr>
          <w:rFonts w:cstheme="minorHAnsi"/>
          <w:sz w:val="18"/>
          <w:szCs w:val="18"/>
        </w:rPr>
        <w:t>ANPDCA adapted, with the support of UNICEF, the PRIMERO application for the registration of children from Ukraine, in which a section refers to the initial assessment covering aspects related to acts of violence against children, including child trafficking.</w:t>
      </w:r>
      <w:r w:rsidR="00AB1F43">
        <w:rPr>
          <w:rFonts w:cstheme="minorHAnsi"/>
          <w:sz w:val="18"/>
          <w:szCs w:val="18"/>
        </w:rPr>
        <w:t xml:space="preserve"> </w:t>
      </w:r>
      <w:r w:rsidRPr="00AB1F43">
        <w:rPr>
          <w:rFonts w:cstheme="minorHAnsi"/>
          <w:sz w:val="18"/>
          <w:szCs w:val="18"/>
        </w:rPr>
        <w:t xml:space="preserve">PRIMERO has the role of supporting, in Romania, the rapid identification and registration of all children from Ukraine, with an emphasis on unaccompanied and separated children (UASC). In the current context, UASC also refers to children who travel with their parents' consent with another family or with a caregiver. These children can be identified on the move, in transit, or located in the general population; they can be children who intend to stay in the place of registration or who want to move to Romania or beyond the </w:t>
      </w:r>
      <w:r w:rsidR="00AB1F43" w:rsidRPr="00AB1F43">
        <w:rPr>
          <w:rFonts w:cstheme="minorHAnsi"/>
          <w:sz w:val="18"/>
          <w:szCs w:val="18"/>
        </w:rPr>
        <w:t>borders. The</w:t>
      </w:r>
      <w:r w:rsidRPr="00AB1F43">
        <w:rPr>
          <w:rFonts w:cstheme="minorHAnsi"/>
          <w:sz w:val="18"/>
          <w:szCs w:val="18"/>
        </w:rPr>
        <w:t xml:space="preserve"> purpose of PRIMERO is to ensure that each child is registered and referred to child protection authorities for case management or other services relevant to the child's situation and to facilitate cross-location or cross-border tracking where necessary (to maximize support and minimize risk suspicions).</w:t>
      </w:r>
    </w:p>
    <w:p w14:paraId="1639782D" w14:textId="75398258" w:rsidR="00FA7ACE" w:rsidRPr="00AB1F43" w:rsidRDefault="00FA7ACE" w:rsidP="00AB1F43">
      <w:pPr>
        <w:ind w:left="360"/>
        <w:jc w:val="both"/>
        <w:rPr>
          <w:rFonts w:cstheme="minorHAnsi"/>
          <w:sz w:val="18"/>
          <w:szCs w:val="18"/>
        </w:rPr>
      </w:pPr>
      <w:r w:rsidRPr="00AB1F43">
        <w:rPr>
          <w:rFonts w:cstheme="minorHAnsi"/>
          <w:sz w:val="18"/>
          <w:szCs w:val="18"/>
        </w:rPr>
        <w:t>The registration form, implemented in PRIMERO, is filled out on tablets by social workers and psychologists from DGASPC.</w:t>
      </w:r>
      <w:r w:rsidR="00AB1F43">
        <w:rPr>
          <w:rFonts w:cstheme="minorHAnsi"/>
          <w:sz w:val="18"/>
          <w:szCs w:val="18"/>
        </w:rPr>
        <w:t xml:space="preserve"> </w:t>
      </w:r>
      <w:r w:rsidRPr="00AB1F43">
        <w:rPr>
          <w:rFonts w:cstheme="minorHAnsi"/>
          <w:sz w:val="18"/>
          <w:szCs w:val="18"/>
        </w:rPr>
        <w:t>The registration process comprises 6 main parts:</w:t>
      </w:r>
    </w:p>
    <w:p w14:paraId="35C401A8" w14:textId="77777777" w:rsidR="00FA7ACE" w:rsidRPr="00AB1F43" w:rsidRDefault="00FA7ACE" w:rsidP="00FA7ACE">
      <w:pPr>
        <w:ind w:left="360"/>
        <w:jc w:val="both"/>
        <w:rPr>
          <w:rFonts w:cstheme="minorHAnsi"/>
          <w:sz w:val="18"/>
          <w:szCs w:val="18"/>
        </w:rPr>
      </w:pPr>
      <w:r w:rsidRPr="00AB1F43">
        <w:rPr>
          <w:rFonts w:cstheme="minorHAnsi"/>
          <w:sz w:val="18"/>
          <w:szCs w:val="18"/>
        </w:rPr>
        <w:t>1. case registration and early identification,</w:t>
      </w:r>
    </w:p>
    <w:p w14:paraId="3B80636C" w14:textId="77777777" w:rsidR="00FA7ACE" w:rsidRPr="00AB1F43" w:rsidRDefault="00FA7ACE" w:rsidP="00FA7ACE">
      <w:pPr>
        <w:ind w:left="360"/>
        <w:jc w:val="both"/>
        <w:rPr>
          <w:rFonts w:cstheme="minorHAnsi"/>
          <w:sz w:val="18"/>
          <w:szCs w:val="18"/>
        </w:rPr>
      </w:pPr>
      <w:r w:rsidRPr="00AB1F43">
        <w:rPr>
          <w:rFonts w:cstheme="minorHAnsi"/>
          <w:sz w:val="18"/>
          <w:szCs w:val="18"/>
        </w:rPr>
        <w:t>2. the initial assessment, which involves the generation of suspicions of risk, as well as the association of a risk level for the case,</w:t>
      </w:r>
    </w:p>
    <w:p w14:paraId="4772F476" w14:textId="77777777" w:rsidR="00FA7ACE" w:rsidRPr="00AB1F43" w:rsidRDefault="00FA7ACE" w:rsidP="00FA7ACE">
      <w:pPr>
        <w:ind w:left="360"/>
        <w:jc w:val="both"/>
        <w:rPr>
          <w:rFonts w:cstheme="minorHAnsi"/>
          <w:sz w:val="18"/>
          <w:szCs w:val="18"/>
        </w:rPr>
      </w:pPr>
      <w:r w:rsidRPr="00AB1F43">
        <w:rPr>
          <w:rFonts w:cstheme="minorHAnsi"/>
          <w:sz w:val="18"/>
          <w:szCs w:val="18"/>
        </w:rPr>
        <w:t>3. entering the data for the reference together with the details associated with the institution to which the reference is made,</w:t>
      </w:r>
    </w:p>
    <w:p w14:paraId="20191E9F" w14:textId="77777777" w:rsidR="00FA7ACE" w:rsidRPr="00AB1F43" w:rsidRDefault="00FA7ACE" w:rsidP="00FA7ACE">
      <w:pPr>
        <w:ind w:left="360"/>
        <w:jc w:val="both"/>
        <w:rPr>
          <w:rFonts w:cstheme="minorHAnsi"/>
          <w:sz w:val="18"/>
          <w:szCs w:val="18"/>
        </w:rPr>
      </w:pPr>
      <w:r w:rsidRPr="00AB1F43">
        <w:rPr>
          <w:rFonts w:cstheme="minorHAnsi"/>
          <w:sz w:val="18"/>
          <w:szCs w:val="18"/>
        </w:rPr>
        <w:t>4. obtaining feedback from the child/ caregiver regarding the registration process,</w:t>
      </w:r>
    </w:p>
    <w:p w14:paraId="7EB885BC" w14:textId="77777777" w:rsidR="00FA7ACE" w:rsidRPr="00AB1F43" w:rsidRDefault="00FA7ACE" w:rsidP="00FA7ACE">
      <w:pPr>
        <w:ind w:left="360"/>
        <w:jc w:val="both"/>
        <w:rPr>
          <w:rFonts w:cstheme="minorHAnsi"/>
          <w:sz w:val="18"/>
          <w:szCs w:val="18"/>
        </w:rPr>
      </w:pPr>
      <w:r w:rsidRPr="00AB1F43">
        <w:rPr>
          <w:rFonts w:cstheme="minorHAnsi"/>
          <w:sz w:val="18"/>
          <w:szCs w:val="18"/>
        </w:rPr>
        <w:t>5. verification of the finality of the referral and</w:t>
      </w:r>
    </w:p>
    <w:p w14:paraId="07EF848C" w14:textId="77777777" w:rsidR="00FA7ACE" w:rsidRPr="00AB1F43" w:rsidRDefault="00FA7ACE" w:rsidP="00FA7ACE">
      <w:pPr>
        <w:ind w:left="360"/>
        <w:jc w:val="both"/>
        <w:rPr>
          <w:rFonts w:cstheme="minorHAnsi"/>
          <w:sz w:val="18"/>
          <w:szCs w:val="18"/>
        </w:rPr>
      </w:pPr>
      <w:r w:rsidRPr="00AB1F43">
        <w:rPr>
          <w:rFonts w:cstheme="minorHAnsi"/>
          <w:sz w:val="18"/>
          <w:szCs w:val="18"/>
        </w:rPr>
        <w:t>6. closing the registration</w:t>
      </w:r>
    </w:p>
    <w:p w14:paraId="0ABC9D18" w14:textId="77777777" w:rsidR="00FA7ACE" w:rsidRPr="00AB1F43" w:rsidRDefault="00FA7ACE" w:rsidP="00FA7ACE">
      <w:pPr>
        <w:ind w:left="360"/>
        <w:jc w:val="both"/>
        <w:rPr>
          <w:rFonts w:cstheme="minorHAnsi"/>
          <w:sz w:val="18"/>
          <w:szCs w:val="18"/>
        </w:rPr>
      </w:pPr>
      <w:r w:rsidRPr="00AB1F43">
        <w:rPr>
          <w:rFonts w:cstheme="minorHAnsi"/>
          <w:sz w:val="18"/>
          <w:szCs w:val="18"/>
        </w:rPr>
        <w:t>On December 31st, 2023, 33,936 children from Ukraine were identified and registered in PRIMERO, out of which:</w:t>
      </w:r>
    </w:p>
    <w:p w14:paraId="5BA4A939" w14:textId="638F3758" w:rsidR="00167206" w:rsidRPr="00AB1F43" w:rsidRDefault="00FA7ACE" w:rsidP="00AB1F43">
      <w:pPr>
        <w:ind w:left="360"/>
        <w:jc w:val="both"/>
        <w:rPr>
          <w:rFonts w:cstheme="minorHAnsi"/>
          <w:sz w:val="18"/>
          <w:szCs w:val="18"/>
        </w:rPr>
      </w:pPr>
      <w:r w:rsidRPr="00AB1F43">
        <w:rPr>
          <w:rFonts w:cstheme="minorHAnsi"/>
          <w:sz w:val="18"/>
          <w:szCs w:val="18"/>
        </w:rPr>
        <w:t>- 17,036 boys and 16,900 girls</w:t>
      </w:r>
      <w:r w:rsidR="00AB1F43">
        <w:rPr>
          <w:rFonts w:cstheme="minorHAnsi"/>
          <w:sz w:val="18"/>
          <w:szCs w:val="18"/>
        </w:rPr>
        <w:t xml:space="preserve">, </w:t>
      </w:r>
      <w:r w:rsidRPr="00AB1F43">
        <w:rPr>
          <w:rFonts w:cstheme="minorHAnsi"/>
          <w:sz w:val="18"/>
          <w:szCs w:val="18"/>
        </w:rPr>
        <w:t xml:space="preserve">8,164 from the age group birth-5 years, 18,073 from the age group 6-13 years and 7,699 from the age group 14-17 </w:t>
      </w:r>
      <w:r w:rsidR="00AB1F43" w:rsidRPr="00AB1F43">
        <w:rPr>
          <w:rFonts w:cstheme="minorHAnsi"/>
          <w:sz w:val="18"/>
          <w:szCs w:val="18"/>
        </w:rPr>
        <w:t>years</w:t>
      </w:r>
      <w:r w:rsidR="00AB1F43">
        <w:rPr>
          <w:rFonts w:cstheme="minorHAnsi"/>
          <w:sz w:val="18"/>
          <w:szCs w:val="18"/>
        </w:rPr>
        <w:t xml:space="preserve">, </w:t>
      </w:r>
      <w:r w:rsidR="00AB1F43" w:rsidRPr="00AB1F43">
        <w:rPr>
          <w:rFonts w:cstheme="minorHAnsi"/>
          <w:sz w:val="18"/>
          <w:szCs w:val="18"/>
        </w:rPr>
        <w:t>33,817</w:t>
      </w:r>
      <w:r w:rsidRPr="00AB1F43">
        <w:rPr>
          <w:rFonts w:cstheme="minorHAnsi"/>
          <w:sz w:val="18"/>
          <w:szCs w:val="18"/>
        </w:rPr>
        <w:t xml:space="preserve"> children were in the community with parents or other adults and 119 were in the special child protection system in Romania</w:t>
      </w:r>
      <w:r w:rsidR="00AB1F43">
        <w:rPr>
          <w:rFonts w:cstheme="minorHAnsi"/>
          <w:sz w:val="18"/>
          <w:szCs w:val="18"/>
        </w:rPr>
        <w:t xml:space="preserve">. </w:t>
      </w:r>
      <w:r w:rsidRPr="00AB1F43">
        <w:rPr>
          <w:rFonts w:cstheme="minorHAnsi"/>
          <w:sz w:val="18"/>
          <w:szCs w:val="18"/>
        </w:rPr>
        <w:t>No case of violence against the child was recorded, including trafficking and other forms.</w:t>
      </w:r>
    </w:p>
    <w:sectPr w:rsidR="00167206" w:rsidRPr="00AB1F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023E2E"/>
    <w:multiLevelType w:val="hybridMultilevel"/>
    <w:tmpl w:val="1BF872E6"/>
    <w:lvl w:ilvl="0" w:tplc="CB1C73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9B755D"/>
    <w:multiLevelType w:val="hybridMultilevel"/>
    <w:tmpl w:val="676CFCC0"/>
    <w:lvl w:ilvl="0" w:tplc="752C8046">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A2D0E75"/>
    <w:multiLevelType w:val="hybridMultilevel"/>
    <w:tmpl w:val="83D63B0A"/>
    <w:lvl w:ilvl="0" w:tplc="BE1240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79700280">
    <w:abstractNumId w:val="0"/>
  </w:num>
  <w:num w:numId="2" w16cid:durableId="106898809">
    <w:abstractNumId w:val="1"/>
  </w:num>
  <w:num w:numId="3" w16cid:durableId="1861430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17"/>
    <w:rsid w:val="0001704A"/>
    <w:rsid w:val="000237CB"/>
    <w:rsid w:val="000F5166"/>
    <w:rsid w:val="00145517"/>
    <w:rsid w:val="00167206"/>
    <w:rsid w:val="001D20F3"/>
    <w:rsid w:val="0022321D"/>
    <w:rsid w:val="00242EC6"/>
    <w:rsid w:val="00282268"/>
    <w:rsid w:val="00346EBA"/>
    <w:rsid w:val="00352731"/>
    <w:rsid w:val="003771C0"/>
    <w:rsid w:val="00461C4E"/>
    <w:rsid w:val="00470469"/>
    <w:rsid w:val="00507D54"/>
    <w:rsid w:val="00561C9B"/>
    <w:rsid w:val="00611FE2"/>
    <w:rsid w:val="00635DA1"/>
    <w:rsid w:val="00667F29"/>
    <w:rsid w:val="006707C7"/>
    <w:rsid w:val="006A3FCE"/>
    <w:rsid w:val="006B7DB6"/>
    <w:rsid w:val="00770D7B"/>
    <w:rsid w:val="007E2E3A"/>
    <w:rsid w:val="0082200D"/>
    <w:rsid w:val="00964238"/>
    <w:rsid w:val="00986AF7"/>
    <w:rsid w:val="00AB1F43"/>
    <w:rsid w:val="00B455ED"/>
    <w:rsid w:val="00B61570"/>
    <w:rsid w:val="00C3033E"/>
    <w:rsid w:val="00C35F71"/>
    <w:rsid w:val="00C85FDA"/>
    <w:rsid w:val="00C9745A"/>
    <w:rsid w:val="00CB1379"/>
    <w:rsid w:val="00CC2590"/>
    <w:rsid w:val="00D74E4E"/>
    <w:rsid w:val="00E03D1A"/>
    <w:rsid w:val="00E70CED"/>
    <w:rsid w:val="00E746F9"/>
    <w:rsid w:val="00E83C47"/>
    <w:rsid w:val="00F847B1"/>
    <w:rsid w:val="00FA1622"/>
    <w:rsid w:val="00FA7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A214"/>
  <w15:chartTrackingRefBased/>
  <w15:docId w15:val="{960C1056-D484-426F-A745-8F0DFBAE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35F71"/>
    <w:pPr>
      <w:suppressAutoHyphens/>
      <w:spacing w:after="0" w:line="240" w:lineRule="auto"/>
    </w:pPr>
    <w:rPr>
      <w:rFonts w:ascii="Times New Roman" w:hAnsi="Times New Roman" w:cs="Times New Roman"/>
      <w:b/>
      <w:bCs/>
      <w:color w:val="4F81BD"/>
      <w:spacing w:val="4"/>
      <w:w w:val="103"/>
      <w:kern w:val="14"/>
      <w:sz w:val="18"/>
      <w:szCs w:val="18"/>
      <w:lang w:val="en-GB"/>
      <w14:ligatures w14:val="none"/>
    </w:rPr>
  </w:style>
  <w:style w:type="paragraph" w:styleId="ListParagraph">
    <w:name w:val="List Paragraph"/>
    <w:basedOn w:val="Normal"/>
    <w:uiPriority w:val="34"/>
    <w:qFormat/>
    <w:rsid w:val="00986AF7"/>
    <w:pPr>
      <w:ind w:left="720"/>
      <w:contextualSpacing/>
    </w:pPr>
  </w:style>
  <w:style w:type="character" w:styleId="Hyperlink">
    <w:name w:val="Hyperlink"/>
    <w:basedOn w:val="DefaultParagraphFont"/>
    <w:uiPriority w:val="99"/>
    <w:unhideWhenUsed/>
    <w:rsid w:val="00986AF7"/>
    <w:rPr>
      <w:color w:val="0563C1" w:themeColor="hyperlink"/>
      <w:u w:val="single"/>
    </w:rPr>
  </w:style>
  <w:style w:type="character" w:styleId="UnresolvedMention">
    <w:name w:val="Unresolved Mention"/>
    <w:basedOn w:val="DefaultParagraphFont"/>
    <w:uiPriority w:val="99"/>
    <w:semiHidden/>
    <w:unhideWhenUsed/>
    <w:rsid w:val="00986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pd.gov.ro/web/dizabilitate/ghid-privind-obtinerea-certificatului-de-dizabilitate-pentru-persoonele-stramutate-din-ukraina/"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sogr.ro/wp-content/uploads/2019/11/35.-Avortul-medicamentos.pd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public.ro/ro/content/date-statistice-privind-victimele-violen%C8%9Bei-%C3%AEn-familie" TargetMode="External"/><Relationship Id="rId11" Type="http://schemas.openxmlformats.org/officeDocument/2006/relationships/customXml" Target="../customXml/item1.xml"/><Relationship Id="rId5" Type="http://schemas.openxmlformats.org/officeDocument/2006/relationships/chart" Target="charts/chart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5055521905915608E-2"/>
          <c:y val="8.2389289392378995E-2"/>
          <c:w val="0.92075644390605016"/>
          <c:h val="0.66692345743084891"/>
        </c:manualLayout>
      </c:layout>
      <c:barChart>
        <c:barDir val="col"/>
        <c:grouping val="stacked"/>
        <c:varyColors val="0"/>
        <c:ser>
          <c:idx val="0"/>
          <c:order val="0"/>
          <c:tx>
            <c:strRef>
              <c:f>Foaie1!$B$1</c:f>
              <c:strCache>
                <c:ptCount val="1"/>
                <c:pt idx="0">
                  <c:v>Serie 1</c:v>
                </c:pt>
              </c:strCache>
            </c:strRef>
          </c:tx>
          <c:spPr>
            <a:solidFill>
              <a:schemeClr val="accent1"/>
            </a:solidFill>
            <a:ln>
              <a:noFill/>
            </a:ln>
            <a:effectLst/>
          </c:spPr>
          <c:invertIfNegative val="0"/>
          <c:dLbls>
            <c:dLbl>
              <c:idx val="0"/>
              <c:tx>
                <c:rich>
                  <a:bodyPr/>
                  <a:lstStyle/>
                  <a:p>
                    <a:r>
                      <a:rPr lang="en-US" sz="900" baseline="0"/>
                      <a:t>99.7%</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3F4-4462-8A01-31250815C85D}"/>
                </c:ext>
              </c:extLst>
            </c:dLbl>
            <c:dLbl>
              <c:idx val="1"/>
              <c:tx>
                <c:rich>
                  <a:bodyPr/>
                  <a:lstStyle/>
                  <a:p>
                    <a:r>
                      <a:rPr lang="en-US" sz="900" baseline="0"/>
                      <a:t>92.6%</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3F4-4462-8A01-31250815C85D}"/>
                </c:ext>
              </c:extLst>
            </c:dLbl>
            <c:dLbl>
              <c:idx val="2"/>
              <c:tx>
                <c:rich>
                  <a:bodyPr/>
                  <a:lstStyle/>
                  <a:p>
                    <a:r>
                      <a:rPr lang="en-US" sz="900" baseline="0"/>
                      <a:t>74%</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3F4-4462-8A01-31250815C85D}"/>
                </c:ext>
              </c:extLst>
            </c:dLbl>
            <c:dLbl>
              <c:idx val="3"/>
              <c:tx>
                <c:rich>
                  <a:bodyPr/>
                  <a:lstStyle/>
                  <a:p>
                    <a:r>
                      <a:rPr lang="en-US" sz="900" baseline="0"/>
                      <a:t>72.7%</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53F4-4462-8A01-31250815C85D}"/>
                </c:ext>
              </c:extLst>
            </c:dLbl>
            <c:dLbl>
              <c:idx val="4"/>
              <c:tx>
                <c:rich>
                  <a:bodyPr/>
                  <a:lstStyle/>
                  <a:p>
                    <a:r>
                      <a:rPr lang="en-US" sz="900" baseline="0"/>
                      <a:t>66.9%</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3F4-4462-8A01-31250815C85D}"/>
                </c:ext>
              </c:extLst>
            </c:dLbl>
            <c:dLbl>
              <c:idx val="5"/>
              <c:tx>
                <c:rich>
                  <a:bodyPr/>
                  <a:lstStyle/>
                  <a:p>
                    <a:r>
                      <a:rPr lang="en-US" sz="900" baseline="0"/>
                      <a:t>79.1%</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3F4-4462-8A01-31250815C85D}"/>
                </c:ext>
              </c:extLst>
            </c:dLbl>
            <c:spPr>
              <a:noFill/>
              <a:ln>
                <a:noFill/>
              </a:ln>
              <a:effectLst/>
            </c:spPr>
            <c:txPr>
              <a:bodyPr/>
              <a:lstStyle/>
              <a:p>
                <a:pPr>
                  <a:defRPr sz="9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Foaie1!$A$2:$A$7</c:f>
              <c:strCache>
                <c:ptCount val="6"/>
                <c:pt idx="0">
                  <c:v>Preșcolar</c:v>
                </c:pt>
                <c:pt idx="1">
                  <c:v>Primar</c:v>
                </c:pt>
                <c:pt idx="2">
                  <c:v>Gimnaziu</c:v>
                </c:pt>
                <c:pt idx="3">
                  <c:v>Liceu</c:v>
                </c:pt>
                <c:pt idx="4">
                  <c:v>Profesional/SAM</c:v>
                </c:pt>
                <c:pt idx="5">
                  <c:v>Postliceal</c:v>
                </c:pt>
              </c:strCache>
            </c:strRef>
          </c:cat>
          <c:val>
            <c:numRef>
              <c:f>Foaie1!$B$2:$B$7</c:f>
              <c:numCache>
                <c:formatCode>General</c:formatCode>
                <c:ptCount val="6"/>
                <c:pt idx="0">
                  <c:v>99.7</c:v>
                </c:pt>
                <c:pt idx="1">
                  <c:v>93.2</c:v>
                </c:pt>
                <c:pt idx="2">
                  <c:v>74.400000000000006</c:v>
                </c:pt>
                <c:pt idx="3">
                  <c:v>72.8</c:v>
                </c:pt>
                <c:pt idx="4">
                  <c:v>68.3</c:v>
                </c:pt>
                <c:pt idx="5">
                  <c:v>76.8</c:v>
                </c:pt>
              </c:numCache>
            </c:numRef>
          </c:val>
          <c:extLst>
            <c:ext xmlns:c16="http://schemas.microsoft.com/office/drawing/2014/chart" uri="{C3380CC4-5D6E-409C-BE32-E72D297353CC}">
              <c16:uniqueId val="{00000006-53F4-4462-8A01-31250815C85D}"/>
            </c:ext>
          </c:extLst>
        </c:ser>
        <c:dLbls>
          <c:showLegendKey val="0"/>
          <c:showVal val="0"/>
          <c:showCatName val="0"/>
          <c:showSerName val="0"/>
          <c:showPercent val="0"/>
          <c:showBubbleSize val="0"/>
        </c:dLbls>
        <c:gapWidth val="150"/>
        <c:overlap val="100"/>
        <c:axId val="523866680"/>
        <c:axId val="523870992"/>
      </c:barChart>
      <c:catAx>
        <c:axId val="523866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23870992"/>
        <c:crosses val="autoZero"/>
        <c:auto val="1"/>
        <c:lblAlgn val="ctr"/>
        <c:lblOffset val="100"/>
        <c:noMultiLvlLbl val="0"/>
      </c:catAx>
      <c:valAx>
        <c:axId val="523870992"/>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23866680"/>
        <c:crosses val="autoZero"/>
        <c:crossBetween val="between"/>
      </c:valAx>
      <c:spPr>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2024-11-07T14:27:59+00:00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19909DC-C565-4A09-89A7-38AF172A0E9A}"/>
</file>

<file path=customXml/itemProps2.xml><?xml version="1.0" encoding="utf-8"?>
<ds:datastoreItem xmlns:ds="http://schemas.openxmlformats.org/officeDocument/2006/customXml" ds:itemID="{842599D5-57EA-4F5C-AB67-20199FA97FFB}"/>
</file>

<file path=customXml/itemProps3.xml><?xml version="1.0" encoding="utf-8"?>
<ds:datastoreItem xmlns:ds="http://schemas.openxmlformats.org/officeDocument/2006/customXml" ds:itemID="{0D182180-22BC-4BDD-9F99-E4F714E8B4F2}"/>
</file>

<file path=docProps/app.xml><?xml version="1.0" encoding="utf-8"?>
<Properties xmlns="http://schemas.openxmlformats.org/officeDocument/2006/extended-properties" xmlns:vt="http://schemas.openxmlformats.org/officeDocument/2006/docPropsVTypes">
  <Template>Normal</Template>
  <TotalTime>56</TotalTime>
  <Pages>26</Pages>
  <Words>16625</Words>
  <Characters>94763</Characters>
  <Application>Microsoft Office Word</Application>
  <DocSecurity>0</DocSecurity>
  <Lines>789</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Pascu</dc:creator>
  <cp:keywords/>
  <dc:description/>
  <cp:lastModifiedBy>Andreea Pascu</cp:lastModifiedBy>
  <cp:revision>12</cp:revision>
  <dcterms:created xsi:type="dcterms:W3CDTF">2024-11-01T14:23:00Z</dcterms:created>
  <dcterms:modified xsi:type="dcterms:W3CDTF">2024-11-05T13:03:00Z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