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DB84B" w14:textId="77777777" w:rsidR="003C74A7" w:rsidRDefault="006E7037">
      <w:pPr>
        <w:keepNext/>
        <w:widowControl w:val="0"/>
        <w:jc w:val="center"/>
      </w:pPr>
      <w:r>
        <w:rPr>
          <w:b/>
        </w:rPr>
        <w:t xml:space="preserve"> </w:t>
      </w:r>
    </w:p>
    <w:p w14:paraId="417404E4" w14:textId="77777777" w:rsidR="003C74A7" w:rsidRDefault="006E7037">
      <w:pPr>
        <w:pBdr>
          <w:top w:val="single" w:sz="4" w:space="1" w:color="000000"/>
          <w:bottom w:val="single" w:sz="4" w:space="1" w:color="000000"/>
        </w:pBdr>
        <w:jc w:val="center"/>
        <w:rPr>
          <w:b/>
          <w:highlight w:val="white"/>
        </w:rPr>
      </w:pPr>
      <w:bookmarkStart w:id="0" w:name="_gjdgxs" w:colFirst="0" w:colLast="0"/>
      <w:bookmarkEnd w:id="0"/>
      <w:r>
        <w:rPr>
          <w:b/>
        </w:rPr>
        <w:t xml:space="preserve">ORAL INTERVENTION FOR </w:t>
      </w:r>
      <w:r>
        <w:rPr>
          <w:b/>
          <w:highlight w:val="white"/>
        </w:rPr>
        <w:t>THE  86</w:t>
      </w:r>
      <w:r>
        <w:rPr>
          <w:b/>
          <w:highlight w:val="white"/>
          <w:vertAlign w:val="superscript"/>
        </w:rPr>
        <w:t>th</w:t>
      </w:r>
      <w:r>
        <w:rPr>
          <w:b/>
          <w:highlight w:val="white"/>
        </w:rPr>
        <w:t xml:space="preserve"> SESSION OF THE COMMITTEE ON THE ELIMINATION OF ALL FORMS OF DISCRIMINATION AGAINST WOMEN (CEDAW)</w:t>
      </w:r>
    </w:p>
    <w:p w14:paraId="1AEC6B08" w14:textId="77777777" w:rsidR="003C74A7" w:rsidRDefault="006E7037">
      <w:pPr>
        <w:pBdr>
          <w:top w:val="single" w:sz="4" w:space="1" w:color="000000"/>
          <w:bottom w:val="single" w:sz="4" w:space="1" w:color="000000"/>
        </w:pBdr>
        <w:jc w:val="center"/>
        <w:rPr>
          <w:b/>
          <w:highlight w:val="white"/>
        </w:rPr>
      </w:pPr>
      <w:r>
        <w:rPr>
          <w:b/>
          <w:highlight w:val="white"/>
        </w:rPr>
        <w:t>COMMISSION ON HUMAN RIGHTS OF THE PHILIPPINES</w:t>
      </w:r>
    </w:p>
    <w:p w14:paraId="7AD2E154" w14:textId="090D4AD9" w:rsidR="003C74A7" w:rsidRDefault="00A31894">
      <w:pPr>
        <w:pBdr>
          <w:top w:val="single" w:sz="4" w:space="1" w:color="000000"/>
          <w:bottom w:val="single" w:sz="4" w:space="1" w:color="000000"/>
        </w:pBdr>
        <w:jc w:val="center"/>
      </w:pPr>
      <w:r>
        <w:t xml:space="preserve">11 </w:t>
      </w:r>
      <w:bookmarkStart w:id="1" w:name="_GoBack"/>
      <w:bookmarkEnd w:id="1"/>
      <w:r w:rsidR="006E7037">
        <w:t>October 2023</w:t>
      </w:r>
    </w:p>
    <w:p w14:paraId="071B420A" w14:textId="77777777" w:rsidR="003C74A7" w:rsidRDefault="003C74A7">
      <w:pPr>
        <w:pBdr>
          <w:top w:val="nil"/>
          <w:left w:val="nil"/>
          <w:bottom w:val="nil"/>
          <w:right w:val="nil"/>
          <w:between w:val="nil"/>
        </w:pBdr>
        <w:jc w:val="both"/>
        <w:rPr>
          <w:b/>
        </w:rPr>
      </w:pPr>
    </w:p>
    <w:p w14:paraId="3BC12A1D" w14:textId="77777777" w:rsidR="003C74A7" w:rsidRDefault="006E7037">
      <w:pPr>
        <w:numPr>
          <w:ilvl w:val="0"/>
          <w:numId w:val="2"/>
        </w:numPr>
        <w:pBdr>
          <w:top w:val="nil"/>
          <w:left w:val="nil"/>
          <w:bottom w:val="nil"/>
          <w:right w:val="nil"/>
          <w:between w:val="nil"/>
        </w:pBdr>
        <w:jc w:val="both"/>
      </w:pPr>
      <w:proofErr w:type="spellStart"/>
      <w:r>
        <w:rPr>
          <w:i/>
        </w:rPr>
        <w:t>Assalamualaikum</w:t>
      </w:r>
      <w:proofErr w:type="spellEnd"/>
      <w:r>
        <w:t xml:space="preserve">.  The Commission on Human Rights of the Philippines expresses its sincere gratitude to the UN CEDAW Committee for the opportunity to present its views on the occasion of the State’s review. </w:t>
      </w:r>
    </w:p>
    <w:p w14:paraId="7C796203" w14:textId="77777777" w:rsidR="003C74A7" w:rsidRDefault="003C74A7">
      <w:pPr>
        <w:pBdr>
          <w:top w:val="nil"/>
          <w:left w:val="nil"/>
          <w:bottom w:val="nil"/>
          <w:right w:val="nil"/>
          <w:between w:val="nil"/>
        </w:pBdr>
        <w:ind w:left="720"/>
        <w:jc w:val="both"/>
      </w:pPr>
    </w:p>
    <w:p w14:paraId="57B2183B" w14:textId="77777777" w:rsidR="003C74A7" w:rsidRDefault="006E7037">
      <w:pPr>
        <w:numPr>
          <w:ilvl w:val="0"/>
          <w:numId w:val="2"/>
        </w:numPr>
        <w:pBdr>
          <w:top w:val="nil"/>
          <w:left w:val="nil"/>
          <w:bottom w:val="nil"/>
          <w:right w:val="nil"/>
          <w:between w:val="nil"/>
        </w:pBdr>
        <w:jc w:val="both"/>
        <w:rPr>
          <w:b/>
        </w:rPr>
      </w:pPr>
      <w:r>
        <w:t xml:space="preserve">The Commission acknowledges and welcomes the passage of key legislations protecting women and girls’ rights, and recognizes the State’s increased ranking from 19 to 16 in the Global Gender Gap Index. However, the Commission </w:t>
      </w:r>
      <w:r>
        <w:rPr>
          <w:b/>
        </w:rPr>
        <w:t xml:space="preserve">remains concerned with the persistent and continuing challenges in the </w:t>
      </w:r>
      <w:r>
        <w:rPr>
          <w:b/>
          <w:i/>
        </w:rPr>
        <w:t>de facto</w:t>
      </w:r>
      <w:r>
        <w:rPr>
          <w:b/>
        </w:rPr>
        <w:t xml:space="preserve"> enjoyment of women and girls’ human rights. </w:t>
      </w:r>
    </w:p>
    <w:p w14:paraId="6658751C" w14:textId="77777777" w:rsidR="003C74A7" w:rsidRDefault="003C74A7">
      <w:pPr>
        <w:pBdr>
          <w:top w:val="nil"/>
          <w:left w:val="nil"/>
          <w:bottom w:val="nil"/>
          <w:right w:val="nil"/>
          <w:between w:val="nil"/>
        </w:pBdr>
        <w:ind w:left="643"/>
        <w:jc w:val="both"/>
        <w:rPr>
          <w:b/>
        </w:rPr>
      </w:pPr>
    </w:p>
    <w:p w14:paraId="6A919FAA" w14:textId="55DEB427" w:rsidR="003C74A7" w:rsidRDefault="006E7037">
      <w:pPr>
        <w:numPr>
          <w:ilvl w:val="0"/>
          <w:numId w:val="2"/>
        </w:numPr>
        <w:pBdr>
          <w:top w:val="nil"/>
          <w:left w:val="nil"/>
          <w:bottom w:val="nil"/>
          <w:right w:val="nil"/>
          <w:between w:val="nil"/>
        </w:pBdr>
        <w:jc w:val="both"/>
        <w:rPr>
          <w:b/>
        </w:rPr>
      </w:pPr>
      <w:r>
        <w:rPr>
          <w:color w:val="000000"/>
        </w:rPr>
        <w:t xml:space="preserve">The Commission is concerned about the recurring pattern of WHRDs facing baseless charges and later being acquitted. </w:t>
      </w:r>
      <w:r>
        <w:t>These</w:t>
      </w:r>
      <w:r>
        <w:rPr>
          <w:color w:val="000000"/>
        </w:rPr>
        <w:t xml:space="preserve"> acquittals are welcome developments, but </w:t>
      </w:r>
      <w:r>
        <w:t xml:space="preserve">it does </w:t>
      </w:r>
      <w:proofErr w:type="gramStart"/>
      <w:r>
        <w:t xml:space="preserve">not </w:t>
      </w:r>
      <w:r>
        <w:rPr>
          <w:color w:val="000000"/>
        </w:rPr>
        <w:t xml:space="preserve"> erase</w:t>
      </w:r>
      <w:proofErr w:type="gramEnd"/>
      <w:r>
        <w:rPr>
          <w:color w:val="000000"/>
        </w:rPr>
        <w:t xml:space="preserve"> threats to security and liberty, the trauma inflicted, and the impact of the pattern of criminalization. </w:t>
      </w:r>
      <w:r>
        <w:rPr>
          <w:b/>
        </w:rPr>
        <w:t xml:space="preserve">Thus, </w:t>
      </w:r>
      <w:r>
        <w:rPr>
          <w:b/>
          <w:color w:val="000000"/>
        </w:rPr>
        <w:t>the Committee may seek commitment from the State to</w:t>
      </w:r>
      <w:r>
        <w:rPr>
          <w:b/>
        </w:rPr>
        <w:t xml:space="preserve"> strengthen accountability against malicious prosecution and other human rights violations, ensure the expeditious resolution of WHRDs cases; and the review and amendment of the Anti-Terror law and EO 70;</w:t>
      </w:r>
    </w:p>
    <w:p w14:paraId="6FA73D8F" w14:textId="77777777" w:rsidR="003C74A7" w:rsidRDefault="003C74A7">
      <w:pPr>
        <w:pBdr>
          <w:top w:val="nil"/>
          <w:left w:val="nil"/>
          <w:bottom w:val="nil"/>
          <w:right w:val="nil"/>
          <w:between w:val="nil"/>
        </w:pBdr>
        <w:ind w:left="643"/>
        <w:jc w:val="both"/>
        <w:rPr>
          <w:b/>
        </w:rPr>
      </w:pPr>
    </w:p>
    <w:p w14:paraId="7DF17A00" w14:textId="77777777" w:rsidR="003C74A7" w:rsidRDefault="006E7037">
      <w:pPr>
        <w:numPr>
          <w:ilvl w:val="0"/>
          <w:numId w:val="1"/>
        </w:numPr>
        <w:jc w:val="both"/>
      </w:pPr>
      <w:r>
        <w:t xml:space="preserve">On access to justice and </w:t>
      </w:r>
      <w:r>
        <w:rPr>
          <w:i/>
        </w:rPr>
        <w:t xml:space="preserve">de facto </w:t>
      </w:r>
      <w:r>
        <w:t xml:space="preserve">enjoyment of rights, the Commission is concerned that crucial legislations on women’s human rights remain pending. </w:t>
      </w:r>
      <w:r>
        <w:rPr>
          <w:b/>
        </w:rPr>
        <w:t>The Committee may urge the State to review the 3rd party consent in accessing SRHR services and the continuing criminalization of abortion; to expedite the passage of the law on divorce,</w:t>
      </w:r>
      <w:r>
        <w:rPr>
          <w:b/>
          <w:vertAlign w:val="superscript"/>
        </w:rPr>
        <w:footnoteReference w:id="1"/>
      </w:r>
      <w:r>
        <w:rPr>
          <w:b/>
        </w:rPr>
        <w:t xml:space="preserve"> Magna Carta of Workers in the Informal Economy (MACWEI),</w:t>
      </w:r>
      <w:r>
        <w:rPr>
          <w:b/>
          <w:vertAlign w:val="superscript"/>
        </w:rPr>
        <w:footnoteReference w:id="2"/>
      </w:r>
      <w:r>
        <w:rPr>
          <w:b/>
        </w:rPr>
        <w:t xml:space="preserve"> the </w:t>
      </w:r>
      <w:proofErr w:type="spellStart"/>
      <w:r>
        <w:rPr>
          <w:b/>
        </w:rPr>
        <w:t>HRDBill</w:t>
      </w:r>
      <w:proofErr w:type="spellEnd"/>
      <w:r>
        <w:rPr>
          <w:b/>
        </w:rPr>
        <w:t>, the Adolescent Pregnancy Prevention Bill</w:t>
      </w:r>
      <w:r>
        <w:rPr>
          <w:b/>
          <w:vertAlign w:val="superscript"/>
        </w:rPr>
        <w:footnoteReference w:id="3"/>
      </w:r>
      <w:r>
        <w:rPr>
          <w:b/>
        </w:rPr>
        <w:t xml:space="preserve"> and the SOGIE Equality Bill, pending for 23 years. </w:t>
      </w:r>
    </w:p>
    <w:p w14:paraId="33E2574C" w14:textId="77777777" w:rsidR="003C74A7" w:rsidRDefault="003C74A7">
      <w:pPr>
        <w:ind w:left="720"/>
        <w:jc w:val="both"/>
        <w:rPr>
          <w:b/>
        </w:rPr>
      </w:pPr>
    </w:p>
    <w:p w14:paraId="0D3BDDD9" w14:textId="77777777" w:rsidR="003C74A7" w:rsidRDefault="006E7037">
      <w:pPr>
        <w:numPr>
          <w:ilvl w:val="0"/>
          <w:numId w:val="1"/>
        </w:numPr>
        <w:jc w:val="both"/>
        <w:rPr>
          <w:b/>
        </w:rPr>
      </w:pPr>
      <w:r>
        <w:rPr>
          <w:b/>
        </w:rPr>
        <w:t>We also call for the passage of the CHR Charter for full compliance with the Paris Principles.</w:t>
      </w:r>
    </w:p>
    <w:p w14:paraId="4CBA7C23" w14:textId="77777777" w:rsidR="003C74A7" w:rsidRDefault="003C74A7">
      <w:pPr>
        <w:ind w:left="720"/>
      </w:pPr>
    </w:p>
    <w:p w14:paraId="29392E4C" w14:textId="7F2DF8FC" w:rsidR="003C74A7" w:rsidRDefault="003123FF">
      <w:pPr>
        <w:numPr>
          <w:ilvl w:val="0"/>
          <w:numId w:val="1"/>
        </w:numPr>
        <w:jc w:val="both"/>
      </w:pPr>
      <w:r>
        <w:t>On</w:t>
      </w:r>
      <w:r w:rsidR="006E7037">
        <w:t xml:space="preserve"> the resistance in the implementation of the law prohibiting child marriage and the Safe Spaces </w:t>
      </w:r>
      <w:r>
        <w:t xml:space="preserve">the </w:t>
      </w:r>
      <w:r w:rsidR="006E7037">
        <w:rPr>
          <w:b/>
        </w:rPr>
        <w:t>Committee may urge the State to ensure full implementation of these laws</w:t>
      </w:r>
      <w:r w:rsidR="00A928A5">
        <w:rPr>
          <w:b/>
        </w:rPr>
        <w:t>;</w:t>
      </w:r>
    </w:p>
    <w:p w14:paraId="11B1DC73" w14:textId="77777777" w:rsidR="003C74A7" w:rsidRDefault="003C74A7">
      <w:pPr>
        <w:ind w:left="720"/>
        <w:jc w:val="both"/>
      </w:pPr>
    </w:p>
    <w:p w14:paraId="6F62DC26" w14:textId="26BD109E" w:rsidR="003C74A7" w:rsidRDefault="006E7037">
      <w:pPr>
        <w:numPr>
          <w:ilvl w:val="0"/>
          <w:numId w:val="1"/>
        </w:numPr>
        <w:jc w:val="both"/>
        <w:rPr>
          <w:b/>
        </w:rPr>
      </w:pPr>
      <w:r>
        <w:t xml:space="preserve">On the provision of effective remedies, </w:t>
      </w:r>
      <w:r w:rsidR="003123FF">
        <w:t>while</w:t>
      </w:r>
      <w:r>
        <w:t xml:space="preserve"> the State has issued a directive, concrete updates have yet been provided on the State’s compliance with the Committee’s views on the Malaya </w:t>
      </w:r>
      <w:proofErr w:type="spellStart"/>
      <w:r>
        <w:t>Lolas</w:t>
      </w:r>
      <w:proofErr w:type="spellEnd"/>
      <w:r>
        <w:t xml:space="preserve">. </w:t>
      </w:r>
      <w:r>
        <w:rPr>
          <w:b/>
        </w:rPr>
        <w:t xml:space="preserve">The Committee may urge the State to provide compensation for KTV and RPB, and </w:t>
      </w:r>
      <w:r w:rsidR="00A928A5">
        <w:rPr>
          <w:b/>
        </w:rPr>
        <w:t>swiftly deliver</w:t>
      </w:r>
      <w:r>
        <w:rPr>
          <w:b/>
        </w:rPr>
        <w:t xml:space="preserve"> remedies for the Malaya </w:t>
      </w:r>
      <w:proofErr w:type="spellStart"/>
      <w:r>
        <w:rPr>
          <w:b/>
        </w:rPr>
        <w:t>Lolas</w:t>
      </w:r>
      <w:proofErr w:type="spellEnd"/>
      <w:r>
        <w:rPr>
          <w:b/>
        </w:rPr>
        <w:t>.</w:t>
      </w:r>
    </w:p>
    <w:p w14:paraId="3EA49CBC" w14:textId="77777777" w:rsidR="003C74A7" w:rsidRDefault="003C74A7">
      <w:pPr>
        <w:ind w:left="720"/>
        <w:jc w:val="both"/>
        <w:rPr>
          <w:b/>
        </w:rPr>
      </w:pPr>
    </w:p>
    <w:p w14:paraId="4C1DA6BF" w14:textId="3E3349D3" w:rsidR="003C74A7" w:rsidRDefault="006E7037">
      <w:pPr>
        <w:numPr>
          <w:ilvl w:val="0"/>
          <w:numId w:val="1"/>
        </w:numPr>
        <w:jc w:val="both"/>
        <w:rPr>
          <w:b/>
        </w:rPr>
      </w:pPr>
      <w:r>
        <w:t xml:space="preserve">State responses to GBV fall short in addressing the specific needs of survivors, especially those with intersecting identities and vulnerabilities. The perpetuation of gender-based myths and stereotypes among duty bearers lead to biased treatment and victim-blaming. </w:t>
      </w:r>
      <w:r>
        <w:rPr>
          <w:b/>
        </w:rPr>
        <w:t>The Committee may urge the State to institutionalize survivor-centered, and intersectional responses to GBV; to act with due diligence in responding to cases of GBV, ensure accountability of duty bearers; and</w:t>
      </w:r>
      <w:r>
        <w:t xml:space="preserve"> </w:t>
      </w:r>
      <w:r>
        <w:rPr>
          <w:b/>
        </w:rPr>
        <w:t xml:space="preserve">enhance support for women with disabilities and other community women; </w:t>
      </w:r>
    </w:p>
    <w:p w14:paraId="2892CE0C" w14:textId="77777777" w:rsidR="003C74A7" w:rsidRDefault="003C74A7">
      <w:pPr>
        <w:ind w:left="720"/>
        <w:jc w:val="both"/>
        <w:rPr>
          <w:b/>
        </w:rPr>
      </w:pPr>
    </w:p>
    <w:p w14:paraId="22F761FA" w14:textId="4FE9BC39" w:rsidR="003C74A7" w:rsidRDefault="006E7037">
      <w:pPr>
        <w:numPr>
          <w:ilvl w:val="0"/>
          <w:numId w:val="1"/>
        </w:numPr>
        <w:jc w:val="both"/>
        <w:rPr>
          <w:b/>
        </w:rPr>
      </w:pPr>
      <w:r>
        <w:t xml:space="preserve">The Commission has worked with survivors of trafficking, indigenous women and girls, women with disabilities, adolescent girls, women in the informal sector, women deprived of liberty, women and girls in street situations, solo parents, LGBTQI, and migrant workers - all recommend the need for the State to ensure critical participation and recognition of the sector. </w:t>
      </w:r>
      <w:r>
        <w:rPr>
          <w:b/>
        </w:rPr>
        <w:t xml:space="preserve">The Committee may urge the state to ensure critical and meaningful participation of marginalized groups of women. </w:t>
      </w:r>
    </w:p>
    <w:p w14:paraId="07766F78" w14:textId="77777777" w:rsidR="003C74A7" w:rsidRDefault="003C74A7">
      <w:pPr>
        <w:ind w:left="720"/>
        <w:jc w:val="both"/>
        <w:rPr>
          <w:b/>
        </w:rPr>
      </w:pPr>
    </w:p>
    <w:p w14:paraId="659EF22F" w14:textId="54E6C18E" w:rsidR="003C74A7" w:rsidRPr="00124804" w:rsidRDefault="006E7037">
      <w:pPr>
        <w:numPr>
          <w:ilvl w:val="0"/>
          <w:numId w:val="1"/>
        </w:numPr>
        <w:jc w:val="both"/>
      </w:pPr>
      <w:r>
        <w:t xml:space="preserve">Finally, the COVID-19 pandemic exacerbated the impact of the existing inequalities, thus, the State is urged to: </w:t>
      </w:r>
      <w:r>
        <w:rPr>
          <w:b/>
        </w:rPr>
        <w:t>institutionalize and localize gender-responsive and intersectional responses to health crises and other emergencies and to Institutionalize access to services and information;</w:t>
      </w:r>
    </w:p>
    <w:p w14:paraId="285465FE" w14:textId="77777777" w:rsidR="00124804" w:rsidRPr="00124804" w:rsidRDefault="00124804" w:rsidP="00124804">
      <w:pPr>
        <w:pStyle w:val="ListParagraph"/>
        <w:rPr>
          <w:rFonts w:ascii="Times New Roman" w:hAnsi="Times New Roman" w:cs="Times New Roman"/>
          <w:color w:val="000000" w:themeColor="text1"/>
          <w:sz w:val="24"/>
          <w:szCs w:val="24"/>
        </w:rPr>
      </w:pPr>
    </w:p>
    <w:p w14:paraId="2FDA6AF7" w14:textId="779BF5E1" w:rsidR="00124804" w:rsidRPr="00124804" w:rsidRDefault="00124804" w:rsidP="00124804">
      <w:pPr>
        <w:numPr>
          <w:ilvl w:val="0"/>
          <w:numId w:val="1"/>
        </w:numPr>
        <w:jc w:val="both"/>
        <w:rPr>
          <w:color w:val="000000" w:themeColor="text1"/>
        </w:rPr>
      </w:pPr>
      <w:r w:rsidRPr="00124804">
        <w:rPr>
          <w:rFonts w:eastAsia="Arial"/>
          <w:color w:val="000000" w:themeColor="text1"/>
          <w:lang w:eastAsia="en-PH"/>
        </w:rPr>
        <w:t xml:space="preserve">In sum, as the Commission on Human Rights of the Philippines, we emphasize the imperative for the State to heed the voices of the marginalized women and girls we have tirelessly advocated for. The COVID-19 pandemic underscored the urgency of inclusive, gender-responsive, and intersectional approaches to crises. We earnestly implore the Committee to urge the State to commit to these vital measures - ensuring the critical participation and recognition of all sectors of women and institutionalizing gender-responsive and intersectional responses to future emergencies. It is our shared responsibility to build a society where every woman and girl, regardless of their background, enjoys the full spectrum of human rights and freedoms.  </w:t>
      </w:r>
      <w:r w:rsidR="003123FF" w:rsidRPr="003123FF">
        <w:rPr>
          <w:rFonts w:eastAsia="Arial"/>
          <w:i/>
          <w:color w:val="000000" w:themeColor="text1"/>
          <w:lang w:eastAsia="en-PH"/>
        </w:rPr>
        <w:t>Masha Allah.</w:t>
      </w:r>
      <w:r w:rsidR="003123FF">
        <w:rPr>
          <w:rFonts w:eastAsia="Arial"/>
          <w:color w:val="000000" w:themeColor="text1"/>
          <w:lang w:eastAsia="en-PH"/>
        </w:rPr>
        <w:t xml:space="preserve"> </w:t>
      </w:r>
      <w:r w:rsidRPr="00124804">
        <w:rPr>
          <w:rFonts w:eastAsia="Arial"/>
          <w:color w:val="000000" w:themeColor="text1"/>
          <w:lang w:eastAsia="en-PH"/>
        </w:rPr>
        <w:t>Thank you and Mabuhay!</w:t>
      </w:r>
    </w:p>
    <w:p w14:paraId="5D89EAF7" w14:textId="77777777" w:rsidR="003C74A7" w:rsidRDefault="003C74A7" w:rsidP="006E7037">
      <w:pPr>
        <w:ind w:left="720"/>
        <w:jc w:val="both"/>
      </w:pPr>
    </w:p>
    <w:p w14:paraId="0F07E32B" w14:textId="77777777" w:rsidR="003C74A7" w:rsidRDefault="003C74A7">
      <w:pPr>
        <w:jc w:val="both"/>
        <w:rPr>
          <w:b/>
        </w:rPr>
      </w:pPr>
    </w:p>
    <w:p w14:paraId="3CA2AF81" w14:textId="77777777" w:rsidR="003C74A7" w:rsidRDefault="003C74A7"/>
    <w:sectPr w:rsidR="003C74A7">
      <w:headerReference w:type="default" r:id="rId8"/>
      <w:headerReference w:type="first" r:id="rId9"/>
      <w:footerReference w:type="first" r:id="rId10"/>
      <w:pgSz w:w="12240" w:h="15840"/>
      <w:pgMar w:top="117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AC24D" w14:textId="77777777" w:rsidR="00A902DF" w:rsidRDefault="00A902DF">
      <w:r>
        <w:separator/>
      </w:r>
    </w:p>
  </w:endnote>
  <w:endnote w:type="continuationSeparator" w:id="0">
    <w:p w14:paraId="5DF81264" w14:textId="77777777" w:rsidR="00A902DF" w:rsidRDefault="00A90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B0332" w14:textId="77777777" w:rsidR="003C74A7" w:rsidRDefault="003C74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002D1" w14:textId="77777777" w:rsidR="00A902DF" w:rsidRDefault="00A902DF">
      <w:r>
        <w:separator/>
      </w:r>
    </w:p>
  </w:footnote>
  <w:footnote w:type="continuationSeparator" w:id="0">
    <w:p w14:paraId="284A71B2" w14:textId="77777777" w:rsidR="00A902DF" w:rsidRDefault="00A902DF">
      <w:r>
        <w:continuationSeparator/>
      </w:r>
    </w:p>
  </w:footnote>
  <w:footnote w:id="1">
    <w:p w14:paraId="490A30A0" w14:textId="77777777" w:rsidR="003C74A7" w:rsidRDefault="006E7037">
      <w:pPr>
        <w:jc w:val="both"/>
        <w:rPr>
          <w:sz w:val="18"/>
          <w:szCs w:val="18"/>
        </w:rPr>
      </w:pPr>
      <w:r>
        <w:rPr>
          <w:vertAlign w:val="superscript"/>
        </w:rPr>
        <w:footnoteRef/>
      </w:r>
      <w:r>
        <w:rPr>
          <w:sz w:val="18"/>
          <w:szCs w:val="18"/>
        </w:rPr>
        <w:t xml:space="preserve"> The Philippines remains the only state in the world without a Divorce law. Despite the fact that several divorce bills have been pending at the Committee levels of both Senate and House of Representatives (HOR),</w:t>
      </w:r>
      <w:r>
        <w:rPr>
          <w:sz w:val="18"/>
          <w:szCs w:val="18"/>
          <w:vertAlign w:val="superscript"/>
        </w:rPr>
        <w:t xml:space="preserve"> </w:t>
      </w:r>
      <w:r>
        <w:rPr>
          <w:sz w:val="18"/>
          <w:szCs w:val="18"/>
        </w:rPr>
        <w:t>legislators experience strong opposition from the catholic church and religious communities, making it difficult to garner support.</w:t>
      </w:r>
    </w:p>
  </w:footnote>
  <w:footnote w:id="2">
    <w:p w14:paraId="26F84983" w14:textId="77777777" w:rsidR="003C74A7" w:rsidRDefault="006E7037">
      <w:pPr>
        <w:rPr>
          <w:sz w:val="20"/>
          <w:szCs w:val="20"/>
        </w:rPr>
      </w:pPr>
      <w:r>
        <w:rPr>
          <w:vertAlign w:val="superscript"/>
        </w:rPr>
        <w:footnoteRef/>
      </w:r>
      <w:r>
        <w:rPr>
          <w:sz w:val="20"/>
          <w:szCs w:val="20"/>
        </w:rPr>
        <w:t xml:space="preserve"> </w:t>
      </w:r>
      <w:proofErr w:type="spellStart"/>
      <w:r>
        <w:rPr>
          <w:sz w:val="20"/>
          <w:szCs w:val="20"/>
        </w:rPr>
        <w:t>Mangaluz</w:t>
      </w:r>
      <w:proofErr w:type="spellEnd"/>
      <w:r>
        <w:rPr>
          <w:sz w:val="20"/>
          <w:szCs w:val="20"/>
        </w:rPr>
        <w:t xml:space="preserve">. J. Magna Carta for Informal Workers pushed anew in the house. Inquirer.Net. 23 November 2022. </w:t>
      </w:r>
      <w:hyperlink r:id="rId1">
        <w:r>
          <w:rPr>
            <w:color w:val="1155CC"/>
            <w:sz w:val="20"/>
            <w:szCs w:val="20"/>
            <w:u w:val="single"/>
          </w:rPr>
          <w:t>https://newsinfo.inquirer.net/1696985/magna-carta-for-informal-workers-pushed-anew-in-house</w:t>
        </w:r>
      </w:hyperlink>
      <w:r>
        <w:rPr>
          <w:sz w:val="20"/>
          <w:szCs w:val="20"/>
        </w:rPr>
        <w:t xml:space="preserve"> </w:t>
      </w:r>
      <w:r>
        <w:rPr>
          <w:sz w:val="18"/>
          <w:szCs w:val="18"/>
        </w:rPr>
        <w:t>(last accessed 7 September 2023).</w:t>
      </w:r>
    </w:p>
  </w:footnote>
  <w:footnote w:id="3">
    <w:p w14:paraId="1E28E2D6" w14:textId="77777777" w:rsidR="003C74A7" w:rsidRDefault="006E7037">
      <w:pPr>
        <w:jc w:val="both"/>
        <w:rPr>
          <w:sz w:val="16"/>
          <w:szCs w:val="16"/>
        </w:rPr>
      </w:pPr>
      <w:r>
        <w:rPr>
          <w:vertAlign w:val="superscript"/>
        </w:rPr>
        <w:footnoteRef/>
      </w:r>
      <w:r>
        <w:rPr>
          <w:sz w:val="16"/>
          <w:szCs w:val="16"/>
        </w:rPr>
        <w:t xml:space="preserve"> </w:t>
      </w:r>
      <w:r>
        <w:rPr>
          <w:sz w:val="18"/>
          <w:szCs w:val="18"/>
        </w:rPr>
        <w:t>There are currently several pending bills before Congress advancing an Adolescent Pregnancy Prevention Act that would give adolescents and youth access to modern contraceptives even without their parents’ consent. As of writing, Prevention of Adolescent Pregnancy Bills pending before the Senate have been approved by the appropriate committee and submitted to the plenary.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64429" w14:textId="77777777" w:rsidR="003C74A7" w:rsidRDefault="003C74A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88710" w14:textId="77777777" w:rsidR="003C74A7" w:rsidRDefault="006E7037">
    <w:pPr>
      <w:keepNext/>
      <w:widowControl w:val="0"/>
      <w:jc w:val="center"/>
    </w:pPr>
    <w:r>
      <w:rPr>
        <w:b/>
        <w:noProof/>
      </w:rPr>
      <w:drawing>
        <wp:inline distT="114300" distB="114300" distL="114300" distR="114300" wp14:anchorId="19DCF085" wp14:editId="4C03CE32">
          <wp:extent cx="2976215" cy="137252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976215" cy="1372526"/>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B64E78"/>
    <w:multiLevelType w:val="multilevel"/>
    <w:tmpl w:val="1A7C8D04"/>
    <w:lvl w:ilvl="0">
      <w:start w:val="1"/>
      <w:numFmt w:val="decimal"/>
      <w:lvlText w:val="%1."/>
      <w:lvlJc w:val="left"/>
      <w:pPr>
        <w:ind w:left="643"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D3D5FE3"/>
    <w:multiLevelType w:val="multilevel"/>
    <w:tmpl w:val="A934A904"/>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4A7"/>
    <w:rsid w:val="000A4C76"/>
    <w:rsid w:val="00124804"/>
    <w:rsid w:val="003123FF"/>
    <w:rsid w:val="00333E4D"/>
    <w:rsid w:val="003C74A7"/>
    <w:rsid w:val="00696B9D"/>
    <w:rsid w:val="006E7037"/>
    <w:rsid w:val="00A31894"/>
    <w:rsid w:val="00A902DF"/>
    <w:rsid w:val="00A928A5"/>
    <w:rsid w:val="00FD0E4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3A6DA7"/>
  <w15:docId w15:val="{49E0C6C5-6994-49D5-97B3-6047E8646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PH"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4804"/>
    <w:pPr>
      <w:spacing w:line="240" w:lineRule="auto"/>
    </w:pPr>
    <w:rPr>
      <w:rFonts w:ascii="Times New Roman" w:eastAsia="Times New Roman" w:hAnsi="Times New Roman" w:cs="Times New Roman"/>
      <w:sz w:val="24"/>
      <w:szCs w:val="24"/>
      <w:lang w:val="en-PH" w:eastAsia="en-US"/>
    </w:rPr>
  </w:style>
  <w:style w:type="paragraph" w:styleId="Heading1">
    <w:name w:val="heading 1"/>
    <w:basedOn w:val="Normal"/>
    <w:next w:val="Normal"/>
    <w:uiPriority w:val="9"/>
    <w:qFormat/>
    <w:pPr>
      <w:keepNext/>
      <w:keepLines/>
      <w:spacing w:before="480" w:after="120" w:line="276" w:lineRule="auto"/>
      <w:outlineLvl w:val="0"/>
    </w:pPr>
    <w:rPr>
      <w:rFonts w:ascii="Arial" w:eastAsia="Arial" w:hAnsi="Arial" w:cs="Arial"/>
      <w:b/>
      <w:sz w:val="48"/>
      <w:szCs w:val="48"/>
      <w:lang w:val="en" w:eastAsia="en-PH"/>
    </w:rPr>
  </w:style>
  <w:style w:type="paragraph" w:styleId="Heading2">
    <w:name w:val="heading 2"/>
    <w:basedOn w:val="Normal"/>
    <w:next w:val="Normal"/>
    <w:uiPriority w:val="9"/>
    <w:semiHidden/>
    <w:unhideWhenUsed/>
    <w:qFormat/>
    <w:pPr>
      <w:keepNext/>
      <w:keepLines/>
      <w:spacing w:before="360" w:after="80" w:line="276" w:lineRule="auto"/>
      <w:outlineLvl w:val="1"/>
    </w:pPr>
    <w:rPr>
      <w:rFonts w:ascii="Arial" w:eastAsia="Arial" w:hAnsi="Arial" w:cs="Arial"/>
      <w:b/>
      <w:sz w:val="36"/>
      <w:szCs w:val="36"/>
      <w:lang w:val="en" w:eastAsia="en-PH"/>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76" w:lineRule="auto"/>
    </w:pPr>
    <w:rPr>
      <w:rFonts w:ascii="Arial" w:eastAsia="Arial" w:hAnsi="Arial" w:cs="Arial"/>
      <w:b/>
      <w:sz w:val="72"/>
      <w:szCs w:val="72"/>
      <w:lang w:val="en" w:eastAsia="en-PH"/>
    </w:rPr>
  </w:style>
  <w:style w:type="paragraph" w:styleId="Subtitle">
    <w:name w:val="Subtitle"/>
    <w:basedOn w:val="Normal"/>
    <w:next w:val="Normal"/>
    <w:uiPriority w:val="11"/>
    <w:qFormat/>
    <w:pPr>
      <w:keepNext/>
      <w:keepLines/>
      <w:spacing w:before="360" w:after="80" w:line="276" w:lineRule="auto"/>
    </w:pPr>
    <w:rPr>
      <w:rFonts w:ascii="Georgia" w:eastAsia="Georgia" w:hAnsi="Georgia" w:cs="Georgia"/>
      <w:i/>
      <w:color w:val="666666"/>
      <w:sz w:val="48"/>
      <w:szCs w:val="48"/>
      <w:lang w:val="en" w:eastAsia="en-PH"/>
    </w:rPr>
  </w:style>
  <w:style w:type="paragraph" w:styleId="ListParagraph">
    <w:name w:val="List Paragraph"/>
    <w:basedOn w:val="Normal"/>
    <w:uiPriority w:val="34"/>
    <w:qFormat/>
    <w:rsid w:val="006E7037"/>
    <w:pPr>
      <w:spacing w:line="276" w:lineRule="auto"/>
      <w:ind w:left="720"/>
      <w:contextualSpacing/>
    </w:pPr>
    <w:rPr>
      <w:rFonts w:ascii="Arial" w:eastAsia="Arial" w:hAnsi="Arial" w:cs="Arial"/>
      <w:sz w:val="22"/>
      <w:szCs w:val="22"/>
      <w:lang w:val="en"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84524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newsinfo.inquirer.net/1696985/magna-carta-for-informal-workers-pushed-anew-in-hou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47C61-41F2-4725-A120-7E17C814C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671</Words>
  <Characters>3827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christa balonkita</dc:creator>
  <cp:lastModifiedBy>IOMD</cp:lastModifiedBy>
  <cp:revision>2</cp:revision>
  <dcterms:created xsi:type="dcterms:W3CDTF">2023-10-09T06:53:00Z</dcterms:created>
  <dcterms:modified xsi:type="dcterms:W3CDTF">2023-10-09T06:53:00Z</dcterms:modified>
</cp:coreProperties>
</file>