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BA0915" w14:textId="39E14AA0" w:rsidR="0064735C" w:rsidRPr="00C22738" w:rsidRDefault="0064735C" w:rsidP="0064735C">
      <w:pPr>
        <w:jc w:val="center"/>
        <w:rPr>
          <w:rFonts w:ascii="Verdana" w:hAnsi="Verdana"/>
          <w:b/>
          <w:bCs/>
          <w:sz w:val="20"/>
          <w:szCs w:val="20"/>
        </w:rPr>
      </w:pPr>
      <w:r w:rsidRPr="00C22738">
        <w:rPr>
          <w:rFonts w:ascii="Verdana" w:hAnsi="Verdana"/>
          <w:noProof/>
          <w:sz w:val="20"/>
          <w:szCs w:val="20"/>
        </w:rPr>
        <w:drawing>
          <wp:anchor distT="0" distB="0" distL="114300" distR="114300" simplePos="0" relativeHeight="251659264" behindDoc="0" locked="0" layoutInCell="1" allowOverlap="1" wp14:anchorId="12F8BDAF" wp14:editId="71813208">
            <wp:simplePos x="0" y="0"/>
            <wp:positionH relativeFrom="column">
              <wp:posOffset>2135361</wp:posOffset>
            </wp:positionH>
            <wp:positionV relativeFrom="paragraph">
              <wp:posOffset>-5286</wp:posOffset>
            </wp:positionV>
            <wp:extent cx="2024587" cy="771276"/>
            <wp:effectExtent l="0" t="0" r="0" b="0"/>
            <wp:wrapNone/>
            <wp:docPr id="1073741825" name="image1.png" descr="Blue letters and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5" name="image1.png" descr="Blue letters and numbers on a white background&#10;&#10;Description automatically generated"/>
                    <pic:cNvPicPr>
                      <a:picLocks noChangeAspect="1"/>
                    </pic:cNvPicPr>
                  </pic:nvPicPr>
                  <pic:blipFill>
                    <a:blip r:embed="rId8"/>
                    <a:stretch>
                      <a:fillRect/>
                    </a:stretch>
                  </pic:blipFill>
                  <pic:spPr>
                    <a:xfrm>
                      <a:off x="0" y="0"/>
                      <a:ext cx="2024587" cy="771276"/>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6E656162" w14:textId="77777777" w:rsidR="0064735C" w:rsidRPr="00C22738" w:rsidRDefault="0064735C" w:rsidP="0064735C">
      <w:pPr>
        <w:jc w:val="center"/>
        <w:rPr>
          <w:rFonts w:ascii="Verdana" w:hAnsi="Verdana"/>
          <w:b/>
          <w:bCs/>
          <w:sz w:val="20"/>
          <w:szCs w:val="20"/>
        </w:rPr>
      </w:pPr>
    </w:p>
    <w:p w14:paraId="722E91D3" w14:textId="77777777" w:rsidR="0064735C" w:rsidRPr="00C22738" w:rsidRDefault="0064735C" w:rsidP="0064735C">
      <w:pPr>
        <w:jc w:val="center"/>
        <w:rPr>
          <w:rFonts w:ascii="Verdana" w:hAnsi="Verdana"/>
          <w:b/>
          <w:bCs/>
          <w:sz w:val="20"/>
          <w:szCs w:val="20"/>
        </w:rPr>
      </w:pPr>
    </w:p>
    <w:p w14:paraId="5111FB44" w14:textId="77777777" w:rsidR="0064735C" w:rsidRPr="00C22738" w:rsidRDefault="0064735C" w:rsidP="0064735C">
      <w:pPr>
        <w:jc w:val="center"/>
        <w:rPr>
          <w:rFonts w:ascii="Verdana" w:hAnsi="Verdana"/>
          <w:b/>
          <w:bCs/>
          <w:sz w:val="20"/>
          <w:szCs w:val="20"/>
        </w:rPr>
      </w:pPr>
    </w:p>
    <w:p w14:paraId="160491F8" w14:textId="77777777" w:rsidR="0064735C" w:rsidRPr="00C22738" w:rsidRDefault="0064735C" w:rsidP="0064735C">
      <w:pPr>
        <w:jc w:val="center"/>
        <w:rPr>
          <w:rFonts w:ascii="Verdana" w:hAnsi="Verdana"/>
          <w:sz w:val="20"/>
          <w:szCs w:val="20"/>
        </w:rPr>
      </w:pPr>
      <w:r w:rsidRPr="00C22738">
        <w:rPr>
          <w:rFonts w:ascii="Verdana" w:hAnsi="Verdana"/>
          <w:sz w:val="20"/>
          <w:szCs w:val="20"/>
        </w:rPr>
        <w:t xml:space="preserve">COMMITTEE ON THE ELIMINATION OF DISCRIMINATION AGAINST WOMEN </w:t>
      </w:r>
    </w:p>
    <w:p w14:paraId="324CD7AF" w14:textId="2CEA9377" w:rsidR="0064735C" w:rsidRPr="00C22738" w:rsidRDefault="00BB7660" w:rsidP="0064735C">
      <w:pPr>
        <w:jc w:val="center"/>
        <w:rPr>
          <w:rFonts w:ascii="Verdana" w:hAnsi="Verdana"/>
          <w:sz w:val="20"/>
          <w:szCs w:val="20"/>
          <w:cs/>
        </w:rPr>
      </w:pPr>
      <w:r w:rsidRPr="00C22738">
        <w:rPr>
          <w:rFonts w:ascii="Verdana" w:hAnsi="Verdana"/>
          <w:sz w:val="20"/>
          <w:szCs w:val="20"/>
        </w:rPr>
        <w:t>89th</w:t>
      </w:r>
      <w:r w:rsidR="0064735C" w:rsidRPr="00C22738">
        <w:rPr>
          <w:rFonts w:ascii="Verdana" w:hAnsi="Verdana"/>
          <w:sz w:val="20"/>
          <w:szCs w:val="20"/>
        </w:rPr>
        <w:t xml:space="preserve"> Session</w:t>
      </w:r>
      <w:r w:rsidR="002C44D9" w:rsidRPr="00C22738">
        <w:rPr>
          <w:rFonts w:ascii="Verdana" w:hAnsi="Verdana"/>
          <w:sz w:val="20"/>
          <w:szCs w:val="20"/>
        </w:rPr>
        <w:t xml:space="preserve"> (7</w:t>
      </w:r>
      <w:r w:rsidR="0064735C" w:rsidRPr="00C22738">
        <w:rPr>
          <w:rFonts w:ascii="Verdana" w:hAnsi="Verdana"/>
          <w:sz w:val="20"/>
          <w:szCs w:val="20"/>
        </w:rPr>
        <w:t xml:space="preserve"> October to 2</w:t>
      </w:r>
      <w:r w:rsidR="002C44D9" w:rsidRPr="00C22738">
        <w:rPr>
          <w:rFonts w:ascii="Verdana" w:hAnsi="Verdana"/>
          <w:sz w:val="20"/>
          <w:szCs w:val="20"/>
        </w:rPr>
        <w:t>5 October</w:t>
      </w:r>
      <w:r w:rsidR="0064735C" w:rsidRPr="00C22738">
        <w:rPr>
          <w:rFonts w:ascii="Verdana" w:hAnsi="Verdana"/>
          <w:sz w:val="20"/>
          <w:szCs w:val="20"/>
        </w:rPr>
        <w:t xml:space="preserve"> 2024</w:t>
      </w:r>
      <w:r w:rsidR="002C44D9" w:rsidRPr="00C22738">
        <w:rPr>
          <w:rFonts w:ascii="Verdana" w:hAnsi="Verdana"/>
          <w:sz w:val="20"/>
          <w:szCs w:val="20"/>
        </w:rPr>
        <w:t>)</w:t>
      </w:r>
    </w:p>
    <w:p w14:paraId="630397D5" w14:textId="77777777" w:rsidR="0064735C" w:rsidRPr="00C22738" w:rsidRDefault="0064735C" w:rsidP="0064735C">
      <w:pPr>
        <w:jc w:val="center"/>
        <w:rPr>
          <w:rFonts w:ascii="Verdana" w:hAnsi="Verdana"/>
          <w:b/>
          <w:bCs/>
          <w:sz w:val="20"/>
          <w:szCs w:val="20"/>
        </w:rPr>
      </w:pPr>
    </w:p>
    <w:p w14:paraId="50649DC7" w14:textId="52BE406A" w:rsidR="0064735C" w:rsidRPr="00C22738" w:rsidRDefault="0064735C" w:rsidP="0064735C">
      <w:pPr>
        <w:spacing w:after="0"/>
        <w:jc w:val="center"/>
        <w:rPr>
          <w:rFonts w:ascii="Verdana" w:hAnsi="Verdana"/>
          <w:b/>
          <w:bCs/>
          <w:sz w:val="20"/>
          <w:szCs w:val="20"/>
        </w:rPr>
      </w:pPr>
      <w:r w:rsidRPr="00C22738">
        <w:rPr>
          <w:rFonts w:ascii="Verdana" w:hAnsi="Verdana"/>
          <w:b/>
          <w:bCs/>
          <w:sz w:val="20"/>
          <w:szCs w:val="20"/>
        </w:rPr>
        <w:t>SUBMISSION OF THE INTERNATIONAL COMMISSION OF JURISTS TO THE</w:t>
      </w:r>
    </w:p>
    <w:p w14:paraId="3F05B74E" w14:textId="77777777" w:rsidR="0064735C" w:rsidRPr="00C22738" w:rsidRDefault="0064735C" w:rsidP="0064735C">
      <w:pPr>
        <w:spacing w:after="0"/>
        <w:jc w:val="center"/>
        <w:rPr>
          <w:rFonts w:ascii="Verdana" w:hAnsi="Verdana"/>
          <w:b/>
          <w:bCs/>
          <w:sz w:val="20"/>
          <w:szCs w:val="20"/>
        </w:rPr>
      </w:pPr>
      <w:r w:rsidRPr="00C22738">
        <w:rPr>
          <w:rFonts w:ascii="Verdana" w:hAnsi="Verdana"/>
          <w:b/>
          <w:bCs/>
          <w:sz w:val="20"/>
          <w:szCs w:val="20"/>
        </w:rPr>
        <w:t>COMMITTEE ON THE ELIMINATION OF DISCRIMINATION AGAINST WOMEN IN</w:t>
      </w:r>
    </w:p>
    <w:p w14:paraId="44B8E0E7" w14:textId="77777777" w:rsidR="0064735C" w:rsidRPr="00C22738" w:rsidRDefault="0064735C" w:rsidP="0064735C">
      <w:pPr>
        <w:spacing w:after="0"/>
        <w:jc w:val="center"/>
        <w:rPr>
          <w:rFonts w:ascii="Verdana" w:hAnsi="Verdana"/>
          <w:b/>
          <w:bCs/>
          <w:sz w:val="20"/>
          <w:szCs w:val="20"/>
        </w:rPr>
      </w:pPr>
      <w:r w:rsidRPr="00C22738">
        <w:rPr>
          <w:rFonts w:ascii="Verdana" w:hAnsi="Verdana"/>
          <w:b/>
          <w:bCs/>
          <w:sz w:val="20"/>
          <w:szCs w:val="20"/>
        </w:rPr>
        <w:t xml:space="preserve">ADVANCE OF THE EXAMINATION OF LAO PEOPLE’S DEMOCRATIC REPUBLIC’S </w:t>
      </w:r>
    </w:p>
    <w:p w14:paraId="1E0B05C9" w14:textId="189A37C8" w:rsidR="00A0224C" w:rsidRPr="00C22738" w:rsidRDefault="0064735C" w:rsidP="003A7353">
      <w:pPr>
        <w:spacing w:after="0"/>
        <w:jc w:val="center"/>
        <w:rPr>
          <w:rFonts w:ascii="Verdana" w:hAnsi="Verdana"/>
          <w:b/>
          <w:bCs/>
          <w:sz w:val="20"/>
          <w:szCs w:val="20"/>
        </w:rPr>
      </w:pPr>
      <w:r w:rsidRPr="00C22738">
        <w:rPr>
          <w:rFonts w:ascii="Verdana" w:hAnsi="Verdana"/>
          <w:b/>
          <w:bCs/>
          <w:sz w:val="20"/>
          <w:szCs w:val="20"/>
        </w:rPr>
        <w:t>TENTH PERIODIC REPORT UNDER THE CONVENTION ON THE ELIMINATION OF ALL FORMS OF</w:t>
      </w:r>
      <w:r w:rsidR="003A7353" w:rsidRPr="00C22738">
        <w:rPr>
          <w:rFonts w:ascii="Verdana" w:hAnsi="Verdana"/>
          <w:b/>
          <w:bCs/>
          <w:sz w:val="20"/>
          <w:szCs w:val="20"/>
        </w:rPr>
        <w:t xml:space="preserve"> </w:t>
      </w:r>
      <w:r w:rsidRPr="00C22738">
        <w:rPr>
          <w:rFonts w:ascii="Verdana" w:hAnsi="Verdana"/>
          <w:b/>
          <w:bCs/>
          <w:sz w:val="20"/>
          <w:szCs w:val="20"/>
        </w:rPr>
        <w:t>DISCRIMINATION AGAINST WOMEN</w:t>
      </w:r>
    </w:p>
    <w:p w14:paraId="08D9FF26" w14:textId="77777777" w:rsidR="0064735C" w:rsidRPr="00C22738" w:rsidRDefault="0064735C" w:rsidP="0064735C">
      <w:pPr>
        <w:jc w:val="center"/>
        <w:rPr>
          <w:rFonts w:ascii="Verdana" w:hAnsi="Verdana"/>
          <w:b/>
          <w:bCs/>
          <w:sz w:val="20"/>
          <w:szCs w:val="20"/>
        </w:rPr>
      </w:pPr>
    </w:p>
    <w:p w14:paraId="37D587B5" w14:textId="77777777" w:rsidR="003A7353" w:rsidRPr="00C22738" w:rsidRDefault="003A7353" w:rsidP="0064735C">
      <w:pPr>
        <w:jc w:val="center"/>
        <w:rPr>
          <w:rFonts w:ascii="Verdana" w:hAnsi="Verdana"/>
          <w:b/>
          <w:bCs/>
          <w:sz w:val="20"/>
          <w:szCs w:val="20"/>
        </w:rPr>
      </w:pPr>
    </w:p>
    <w:p w14:paraId="19E8D125" w14:textId="01ABBF0B" w:rsidR="0064735C" w:rsidRPr="00C22738" w:rsidRDefault="0064735C" w:rsidP="0064735C">
      <w:pPr>
        <w:pStyle w:val="BodyA"/>
        <w:spacing w:after="0" w:line="240" w:lineRule="auto"/>
        <w:jc w:val="center"/>
        <w:rPr>
          <w:rFonts w:ascii="Verdana" w:hAnsi="Verdana"/>
          <w:color w:val="auto"/>
          <w:sz w:val="20"/>
          <w:szCs w:val="20"/>
        </w:rPr>
      </w:pPr>
      <w:r w:rsidRPr="00C22738">
        <w:rPr>
          <w:rStyle w:val="PageNumber"/>
          <w:rFonts w:ascii="Verdana" w:hAnsi="Verdana"/>
          <w:color w:val="auto"/>
          <w:sz w:val="20"/>
          <w:szCs w:val="20"/>
        </w:rPr>
        <w:t>Submitted on 9 September 2024</w:t>
      </w:r>
    </w:p>
    <w:p w14:paraId="13AC3164" w14:textId="77777777" w:rsidR="0064735C" w:rsidRPr="00C22738" w:rsidRDefault="0064735C" w:rsidP="0064735C">
      <w:pPr>
        <w:pStyle w:val="NormalWeb"/>
        <w:spacing w:before="0" w:after="0" w:line="240" w:lineRule="auto"/>
        <w:jc w:val="center"/>
        <w:rPr>
          <w:rFonts w:ascii="Verdana" w:hAnsi="Verdana"/>
        </w:rPr>
      </w:pPr>
    </w:p>
    <w:p w14:paraId="4FEF7E9A" w14:textId="77777777" w:rsidR="0064735C" w:rsidRPr="00C22738" w:rsidRDefault="0064735C" w:rsidP="0064735C">
      <w:pPr>
        <w:pStyle w:val="NormalWeb"/>
        <w:spacing w:before="0" w:after="0" w:line="240" w:lineRule="auto"/>
        <w:jc w:val="center"/>
        <w:rPr>
          <w:rFonts w:ascii="Verdana" w:hAnsi="Verdana"/>
        </w:rPr>
      </w:pPr>
    </w:p>
    <w:p w14:paraId="036319AF" w14:textId="77777777" w:rsidR="003A7353" w:rsidRPr="00C22738" w:rsidRDefault="003A7353" w:rsidP="0064735C">
      <w:pPr>
        <w:pStyle w:val="BodyA"/>
        <w:spacing w:after="0" w:line="240" w:lineRule="auto"/>
        <w:jc w:val="both"/>
        <w:rPr>
          <w:rStyle w:val="PageNumber"/>
          <w:rFonts w:ascii="Verdana" w:hAnsi="Verdana"/>
          <w:i/>
          <w:iCs/>
          <w:sz w:val="20"/>
          <w:szCs w:val="20"/>
        </w:rPr>
      </w:pPr>
    </w:p>
    <w:p w14:paraId="31D8B968" w14:textId="6F5AA46F" w:rsidR="0064735C" w:rsidRPr="00C22738" w:rsidRDefault="0064735C" w:rsidP="0064735C">
      <w:pPr>
        <w:pStyle w:val="BodyA"/>
        <w:spacing w:after="0" w:line="240" w:lineRule="auto"/>
        <w:jc w:val="both"/>
        <w:rPr>
          <w:rFonts w:ascii="Verdana" w:hAnsi="Verdana"/>
          <w:sz w:val="20"/>
          <w:szCs w:val="20"/>
        </w:rPr>
      </w:pPr>
      <w:r w:rsidRPr="00C22738">
        <w:rPr>
          <w:rStyle w:val="PageNumber"/>
          <w:rFonts w:ascii="Verdana" w:hAnsi="Verdana"/>
          <w:i/>
          <w:iCs/>
          <w:sz w:val="20"/>
          <w:szCs w:val="20"/>
        </w:rPr>
        <w:t>Composed of 60 eminent judges and lawyers from all regions of the world, the International Commission of Jurists (ICJ) promotes and protects human rights through the Rule of Law, by using its unique legal expertise to develop and strengthen national and international justice systems. Established in 1952, in consultative status with the Economic and Social Council since 1957, and active on five continents, the ICJ aims to ensure the progressive development and effective implementation of international human rights and international humanitarian law; secure the realization of civil, cultural, economic, political and social rights; safeguard the separation of powers; and guarantee the independence of the judiciary and legal profession.</w:t>
      </w:r>
    </w:p>
    <w:p w14:paraId="624D8DFD" w14:textId="77777777" w:rsidR="0064735C" w:rsidRPr="00C22738" w:rsidRDefault="0064735C" w:rsidP="0064735C">
      <w:pPr>
        <w:pStyle w:val="BodyA"/>
        <w:spacing w:after="0" w:line="240" w:lineRule="auto"/>
        <w:jc w:val="both"/>
        <w:rPr>
          <w:rFonts w:ascii="Verdana" w:hAnsi="Verdana"/>
          <w:sz w:val="20"/>
          <w:szCs w:val="20"/>
        </w:rPr>
      </w:pPr>
    </w:p>
    <w:p w14:paraId="2DE445BC" w14:textId="77777777" w:rsidR="0064735C" w:rsidRPr="00C22738" w:rsidRDefault="0064735C" w:rsidP="0064735C">
      <w:pPr>
        <w:jc w:val="center"/>
        <w:rPr>
          <w:rFonts w:ascii="Verdana" w:hAnsi="Verdana"/>
          <w:b/>
          <w:bCs/>
          <w:sz w:val="20"/>
          <w:szCs w:val="20"/>
        </w:rPr>
      </w:pPr>
    </w:p>
    <w:p w14:paraId="18959C13" w14:textId="77777777" w:rsidR="0064735C" w:rsidRPr="00C22738" w:rsidRDefault="0064735C" w:rsidP="0064735C">
      <w:pPr>
        <w:jc w:val="center"/>
        <w:rPr>
          <w:rFonts w:ascii="Verdana" w:hAnsi="Verdana"/>
          <w:b/>
          <w:bCs/>
          <w:sz w:val="20"/>
          <w:szCs w:val="20"/>
        </w:rPr>
      </w:pPr>
    </w:p>
    <w:p w14:paraId="1A58DF42" w14:textId="77777777" w:rsidR="003A7353" w:rsidRPr="00C22738" w:rsidRDefault="003A7353" w:rsidP="0064735C">
      <w:pPr>
        <w:jc w:val="center"/>
        <w:rPr>
          <w:rFonts w:ascii="Verdana" w:hAnsi="Verdana"/>
          <w:b/>
          <w:bCs/>
          <w:sz w:val="20"/>
          <w:szCs w:val="20"/>
        </w:rPr>
      </w:pPr>
    </w:p>
    <w:p w14:paraId="53DC521D" w14:textId="14C9580E" w:rsidR="0064735C" w:rsidRPr="00C22738" w:rsidRDefault="0064735C" w:rsidP="0064735C">
      <w:pPr>
        <w:pStyle w:val="BodyA"/>
        <w:spacing w:after="0" w:line="240" w:lineRule="auto"/>
        <w:jc w:val="center"/>
        <w:rPr>
          <w:rStyle w:val="PageNumber"/>
          <w:rFonts w:ascii="Verdana" w:hAnsi="Verdana"/>
          <w:sz w:val="20"/>
          <w:szCs w:val="20"/>
        </w:rPr>
      </w:pPr>
      <w:r w:rsidRPr="00C22738">
        <w:rPr>
          <w:rStyle w:val="PageNumber"/>
          <w:rFonts w:ascii="Verdana" w:hAnsi="Verdana"/>
          <w:sz w:val="20"/>
          <w:szCs w:val="20"/>
        </w:rPr>
        <w:t xml:space="preserve">P.O. Box 1740, Rue des Buis, 3, 1211 Geneva 1, Switzerland </w:t>
      </w:r>
    </w:p>
    <w:p w14:paraId="46470657" w14:textId="77777777" w:rsidR="0064735C" w:rsidRPr="00C22738" w:rsidRDefault="0064735C" w:rsidP="0064735C">
      <w:pPr>
        <w:pStyle w:val="BodyA"/>
        <w:spacing w:after="0" w:line="240" w:lineRule="auto"/>
        <w:jc w:val="center"/>
        <w:rPr>
          <w:rStyle w:val="PageNumber"/>
          <w:rFonts w:ascii="Verdana" w:hAnsi="Verdana"/>
          <w:sz w:val="20"/>
          <w:szCs w:val="20"/>
        </w:rPr>
      </w:pPr>
    </w:p>
    <w:p w14:paraId="2DCB0F59" w14:textId="77777777" w:rsidR="0064735C" w:rsidRPr="00C22738" w:rsidRDefault="0064735C" w:rsidP="0064735C">
      <w:pPr>
        <w:pStyle w:val="BodyA"/>
        <w:spacing w:after="0" w:line="240" w:lineRule="auto"/>
        <w:jc w:val="center"/>
        <w:rPr>
          <w:rStyle w:val="PageNumber"/>
          <w:rFonts w:ascii="Verdana" w:hAnsi="Verdana"/>
          <w:sz w:val="20"/>
          <w:szCs w:val="20"/>
        </w:rPr>
      </w:pPr>
      <w:r w:rsidRPr="00C22738">
        <w:rPr>
          <w:rStyle w:val="PageNumber"/>
          <w:rFonts w:ascii="Verdana" w:hAnsi="Verdana"/>
          <w:sz w:val="20"/>
          <w:szCs w:val="20"/>
        </w:rPr>
        <w:t xml:space="preserve">Tel: +41(0)22 979 3800 - Fax: +40(1)22 979 3801 – Website:  </w:t>
      </w:r>
      <w:hyperlink r:id="rId9" w:history="1">
        <w:r w:rsidRPr="00C22738">
          <w:rPr>
            <w:rStyle w:val="Hyperlink0"/>
            <w:sz w:val="20"/>
            <w:szCs w:val="20"/>
          </w:rPr>
          <w:t>http://www.icj.org</w:t>
        </w:r>
      </w:hyperlink>
      <w:r w:rsidRPr="00C22738">
        <w:rPr>
          <w:rStyle w:val="PageNumber"/>
          <w:rFonts w:ascii="Verdana" w:hAnsi="Verdana"/>
          <w:sz w:val="20"/>
          <w:szCs w:val="20"/>
        </w:rPr>
        <w:t xml:space="preserve">  </w:t>
      </w:r>
    </w:p>
    <w:p w14:paraId="621897B5" w14:textId="77777777" w:rsidR="0064735C" w:rsidRPr="00C22738" w:rsidRDefault="0064735C" w:rsidP="0064735C">
      <w:pPr>
        <w:pStyle w:val="BodyA"/>
        <w:spacing w:after="0" w:line="240" w:lineRule="auto"/>
        <w:jc w:val="center"/>
        <w:rPr>
          <w:rFonts w:ascii="Verdana" w:hAnsi="Verdana"/>
          <w:sz w:val="20"/>
          <w:szCs w:val="20"/>
        </w:rPr>
      </w:pPr>
    </w:p>
    <w:p w14:paraId="6480D471" w14:textId="77777777" w:rsidR="0064735C" w:rsidRPr="00C22738" w:rsidRDefault="0064735C" w:rsidP="0064735C">
      <w:pPr>
        <w:pStyle w:val="BodyA"/>
        <w:spacing w:after="0" w:line="240" w:lineRule="auto"/>
        <w:jc w:val="center"/>
        <w:rPr>
          <w:rFonts w:ascii="Verdana" w:hAnsi="Verdana"/>
          <w:sz w:val="20"/>
          <w:szCs w:val="20"/>
        </w:rPr>
      </w:pPr>
      <w:r w:rsidRPr="00C22738">
        <w:rPr>
          <w:rStyle w:val="PageNumber"/>
          <w:rFonts w:ascii="Verdana" w:hAnsi="Verdana"/>
          <w:sz w:val="20"/>
          <w:szCs w:val="20"/>
        </w:rPr>
        <w:t xml:space="preserve">E-mail: </w:t>
      </w:r>
      <w:hyperlink r:id="rId10" w:history="1">
        <w:r w:rsidRPr="00C22738">
          <w:rPr>
            <w:rStyle w:val="Hyperlink1"/>
            <w:sz w:val="20"/>
            <w:szCs w:val="20"/>
          </w:rPr>
          <w:t>info@icj.org</w:t>
        </w:r>
      </w:hyperlink>
    </w:p>
    <w:p w14:paraId="0BFF2DCC" w14:textId="0EC37B73" w:rsidR="002C44D9" w:rsidRPr="00C22738" w:rsidRDefault="002C44D9">
      <w:pPr>
        <w:rPr>
          <w:rFonts w:ascii="Verdana" w:hAnsi="Verdana"/>
          <w:b/>
          <w:bCs/>
          <w:sz w:val="20"/>
          <w:szCs w:val="20"/>
          <w:cs/>
        </w:rPr>
      </w:pPr>
      <w:r w:rsidRPr="00C22738">
        <w:rPr>
          <w:rFonts w:ascii="Verdana" w:hAnsi="Verdana"/>
          <w:b/>
          <w:bCs/>
          <w:sz w:val="20"/>
          <w:szCs w:val="20"/>
          <w:cs/>
        </w:rPr>
        <w:br w:type="page"/>
      </w:r>
    </w:p>
    <w:p w14:paraId="707E2654" w14:textId="7DC9DB37" w:rsidR="002C44D9" w:rsidRPr="00C22738" w:rsidRDefault="002C44D9" w:rsidP="00297669">
      <w:pPr>
        <w:spacing w:after="0" w:line="240" w:lineRule="auto"/>
        <w:rPr>
          <w:rFonts w:ascii="Verdana" w:hAnsi="Verdana"/>
          <w:b/>
          <w:bCs/>
          <w:sz w:val="20"/>
          <w:szCs w:val="20"/>
        </w:rPr>
      </w:pPr>
      <w:r w:rsidRPr="00C22738">
        <w:rPr>
          <w:rFonts w:ascii="Verdana" w:hAnsi="Verdana"/>
          <w:b/>
          <w:bCs/>
          <w:sz w:val="20"/>
          <w:szCs w:val="20"/>
        </w:rPr>
        <w:lastRenderedPageBreak/>
        <w:t>I. Introduction</w:t>
      </w:r>
    </w:p>
    <w:p w14:paraId="38717325" w14:textId="77777777" w:rsidR="00297669" w:rsidRPr="00C22738" w:rsidRDefault="00297669" w:rsidP="00297669">
      <w:pPr>
        <w:spacing w:after="0" w:line="240" w:lineRule="auto"/>
        <w:rPr>
          <w:rFonts w:ascii="Verdana" w:hAnsi="Verdana"/>
          <w:b/>
          <w:bCs/>
          <w:sz w:val="20"/>
          <w:szCs w:val="20"/>
        </w:rPr>
      </w:pPr>
    </w:p>
    <w:p w14:paraId="21F6113B" w14:textId="57E26C6B" w:rsidR="003C79B5" w:rsidRPr="00C22738" w:rsidRDefault="003C79B5" w:rsidP="00297669">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The International Commission of Jurists (ICJ) welcomes the opportunity to contribute to the UN Committee on the Elimination of Discrimination against Women’s (Committee) review of the implementation of the Convention on the Elimination of All Forms of Discrimination against Women (CEDAW) by the Lao People’s Democratic Republic (Lao PDR).</w:t>
      </w:r>
    </w:p>
    <w:p w14:paraId="57FCB051" w14:textId="77777777" w:rsidR="002C44D9" w:rsidRPr="00C22738" w:rsidRDefault="002C44D9" w:rsidP="00297669">
      <w:pPr>
        <w:pStyle w:val="ListParagraph"/>
        <w:spacing w:after="0" w:line="240" w:lineRule="auto"/>
        <w:contextualSpacing w:val="0"/>
        <w:jc w:val="thaiDistribute"/>
        <w:rPr>
          <w:rFonts w:ascii="Verdana" w:hAnsi="Verdana"/>
          <w:sz w:val="20"/>
          <w:szCs w:val="20"/>
        </w:rPr>
      </w:pPr>
    </w:p>
    <w:p w14:paraId="641BA0D9" w14:textId="679F8077" w:rsidR="002C44D9" w:rsidRPr="00C22738" w:rsidRDefault="00DC711C" w:rsidP="00297669">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In this submission, the ICJ draw</w:t>
      </w:r>
      <w:r w:rsidR="00D90B1C" w:rsidRPr="00C22738">
        <w:rPr>
          <w:rFonts w:ascii="Verdana" w:hAnsi="Verdana"/>
          <w:sz w:val="20"/>
          <w:szCs w:val="20"/>
        </w:rPr>
        <w:t>s</w:t>
      </w:r>
      <w:r w:rsidRPr="00C22738">
        <w:rPr>
          <w:rFonts w:ascii="Verdana" w:hAnsi="Verdana"/>
          <w:sz w:val="20"/>
          <w:szCs w:val="20"/>
        </w:rPr>
        <w:t xml:space="preserve"> the Committee’s attention to several</w:t>
      </w:r>
      <w:r w:rsidR="00D90B1C" w:rsidRPr="00C22738">
        <w:rPr>
          <w:rFonts w:ascii="Verdana" w:hAnsi="Verdana"/>
          <w:sz w:val="20"/>
          <w:szCs w:val="20"/>
        </w:rPr>
        <w:t xml:space="preserve"> areas regarding the discharge of the </w:t>
      </w:r>
      <w:r w:rsidR="007E5A49" w:rsidRPr="00C22738">
        <w:rPr>
          <w:rFonts w:ascii="Verdana" w:hAnsi="Verdana"/>
          <w:sz w:val="20"/>
          <w:szCs w:val="20"/>
        </w:rPr>
        <w:t>Lao PDR’s obligations under the Convention, which have adversely</w:t>
      </w:r>
      <w:r w:rsidRPr="00C22738">
        <w:rPr>
          <w:rFonts w:ascii="Verdana" w:hAnsi="Verdana"/>
          <w:sz w:val="20"/>
          <w:szCs w:val="20"/>
        </w:rPr>
        <w:t xml:space="preserve"> affect</w:t>
      </w:r>
      <w:r w:rsidR="007E5A49" w:rsidRPr="00C22738">
        <w:rPr>
          <w:rFonts w:ascii="Verdana" w:hAnsi="Verdana"/>
          <w:sz w:val="20"/>
          <w:szCs w:val="20"/>
        </w:rPr>
        <w:t>ed the</w:t>
      </w:r>
      <w:r w:rsidRPr="00C22738">
        <w:rPr>
          <w:rFonts w:ascii="Verdana" w:hAnsi="Verdana"/>
          <w:sz w:val="20"/>
          <w:szCs w:val="20"/>
        </w:rPr>
        <w:t xml:space="preserve"> exercise </w:t>
      </w:r>
      <w:r w:rsidR="007E5A49" w:rsidRPr="00C22738">
        <w:rPr>
          <w:rFonts w:ascii="Verdana" w:hAnsi="Verdana"/>
          <w:sz w:val="20"/>
          <w:szCs w:val="20"/>
        </w:rPr>
        <w:t xml:space="preserve">and enjoyment of </w:t>
      </w:r>
      <w:r w:rsidR="00D11A1A" w:rsidRPr="00C22738">
        <w:rPr>
          <w:rFonts w:ascii="Verdana" w:hAnsi="Verdana"/>
          <w:sz w:val="20"/>
          <w:szCs w:val="20"/>
        </w:rPr>
        <w:t>protected</w:t>
      </w:r>
      <w:r w:rsidRPr="00C22738">
        <w:rPr>
          <w:rFonts w:ascii="Verdana" w:hAnsi="Verdana"/>
          <w:sz w:val="20"/>
          <w:szCs w:val="20"/>
        </w:rPr>
        <w:t xml:space="preserve"> rights</w:t>
      </w:r>
      <w:r w:rsidR="00D11A1A" w:rsidRPr="00C22738">
        <w:rPr>
          <w:rFonts w:ascii="Verdana" w:hAnsi="Verdana"/>
          <w:sz w:val="20"/>
          <w:szCs w:val="20"/>
        </w:rPr>
        <w:t xml:space="preserve"> by women in the country. </w:t>
      </w:r>
      <w:proofErr w:type="gramStart"/>
      <w:r w:rsidR="00D11A1A" w:rsidRPr="00C22738">
        <w:rPr>
          <w:rFonts w:ascii="Verdana" w:hAnsi="Verdana"/>
          <w:sz w:val="20"/>
          <w:szCs w:val="20"/>
        </w:rPr>
        <w:t>In particular, this</w:t>
      </w:r>
      <w:proofErr w:type="gramEnd"/>
      <w:r w:rsidR="00D11A1A" w:rsidRPr="00C22738">
        <w:rPr>
          <w:rFonts w:ascii="Verdana" w:hAnsi="Verdana"/>
          <w:sz w:val="20"/>
          <w:szCs w:val="20"/>
        </w:rPr>
        <w:t xml:space="preserve"> submission</w:t>
      </w:r>
      <w:r w:rsidRPr="00C22738">
        <w:rPr>
          <w:rFonts w:ascii="Verdana" w:hAnsi="Verdana"/>
          <w:sz w:val="20"/>
          <w:szCs w:val="20"/>
        </w:rPr>
        <w:t xml:space="preserve"> focus</w:t>
      </w:r>
      <w:r w:rsidR="00D11A1A" w:rsidRPr="00C22738">
        <w:rPr>
          <w:rFonts w:ascii="Verdana" w:hAnsi="Verdana"/>
          <w:sz w:val="20"/>
          <w:szCs w:val="20"/>
        </w:rPr>
        <w:t>es</w:t>
      </w:r>
      <w:r w:rsidRPr="00C22738">
        <w:rPr>
          <w:rFonts w:ascii="Verdana" w:hAnsi="Verdana"/>
          <w:sz w:val="20"/>
          <w:szCs w:val="20"/>
        </w:rPr>
        <w:t xml:space="preserve"> on</w:t>
      </w:r>
      <w:r w:rsidR="00D73291" w:rsidRPr="00C22738">
        <w:rPr>
          <w:rFonts w:ascii="Verdana" w:hAnsi="Verdana"/>
          <w:sz w:val="20"/>
          <w:szCs w:val="20"/>
        </w:rPr>
        <w:t>:</w:t>
      </w:r>
    </w:p>
    <w:p w14:paraId="1E4FD420" w14:textId="77777777" w:rsidR="002B39D2" w:rsidRPr="00C22738" w:rsidRDefault="002B39D2" w:rsidP="002B39D2">
      <w:pPr>
        <w:pStyle w:val="ListParagraph"/>
        <w:rPr>
          <w:rFonts w:ascii="Verdana" w:hAnsi="Verdana"/>
          <w:sz w:val="20"/>
          <w:szCs w:val="20"/>
        </w:rPr>
      </w:pPr>
    </w:p>
    <w:p w14:paraId="37539B85" w14:textId="284A621C" w:rsidR="007A15E7" w:rsidRPr="00C22738" w:rsidRDefault="00D11A1A" w:rsidP="00813D56">
      <w:pPr>
        <w:pStyle w:val="ListParagraph"/>
        <w:numPr>
          <w:ilvl w:val="1"/>
          <w:numId w:val="2"/>
        </w:numPr>
        <w:spacing w:after="120" w:line="240" w:lineRule="auto"/>
        <w:contextualSpacing w:val="0"/>
        <w:jc w:val="thaiDistribute"/>
        <w:rPr>
          <w:rFonts w:ascii="Verdana" w:hAnsi="Verdana"/>
          <w:sz w:val="20"/>
          <w:szCs w:val="20"/>
        </w:rPr>
      </w:pPr>
      <w:r w:rsidRPr="00C22738">
        <w:rPr>
          <w:rFonts w:ascii="Verdana" w:hAnsi="Verdana"/>
          <w:sz w:val="20"/>
          <w:szCs w:val="20"/>
        </w:rPr>
        <w:t>Applicable</w:t>
      </w:r>
      <w:r w:rsidR="007A15E7" w:rsidRPr="00C22738">
        <w:rPr>
          <w:rFonts w:ascii="Verdana" w:hAnsi="Verdana"/>
          <w:sz w:val="20"/>
          <w:szCs w:val="20"/>
        </w:rPr>
        <w:t xml:space="preserve"> legal </w:t>
      </w:r>
      <w:r w:rsidRPr="00C22738">
        <w:rPr>
          <w:rFonts w:ascii="Verdana" w:hAnsi="Verdana"/>
          <w:sz w:val="20"/>
          <w:szCs w:val="20"/>
        </w:rPr>
        <w:t>provisions</w:t>
      </w:r>
      <w:r w:rsidR="007A15E7" w:rsidRPr="00C22738">
        <w:rPr>
          <w:rFonts w:ascii="Verdana" w:hAnsi="Verdana"/>
          <w:sz w:val="20"/>
          <w:szCs w:val="20"/>
        </w:rPr>
        <w:t xml:space="preserve"> and their shortcomings in combatting </w:t>
      </w:r>
      <w:r w:rsidRPr="00C22738">
        <w:rPr>
          <w:rFonts w:ascii="Verdana" w:hAnsi="Verdana"/>
          <w:sz w:val="20"/>
          <w:szCs w:val="20"/>
        </w:rPr>
        <w:t>g</w:t>
      </w:r>
      <w:r w:rsidR="007A15E7" w:rsidRPr="00C22738">
        <w:rPr>
          <w:rFonts w:ascii="Verdana" w:hAnsi="Verdana"/>
          <w:sz w:val="20"/>
          <w:szCs w:val="20"/>
        </w:rPr>
        <w:t>ender-</w:t>
      </w:r>
      <w:r w:rsidRPr="00C22738">
        <w:rPr>
          <w:rFonts w:ascii="Verdana" w:hAnsi="Verdana"/>
          <w:sz w:val="20"/>
          <w:szCs w:val="20"/>
        </w:rPr>
        <w:t>b</w:t>
      </w:r>
      <w:r w:rsidR="007A15E7" w:rsidRPr="00C22738">
        <w:rPr>
          <w:rFonts w:ascii="Verdana" w:hAnsi="Verdana"/>
          <w:sz w:val="20"/>
          <w:szCs w:val="20"/>
        </w:rPr>
        <w:t xml:space="preserve">ased </w:t>
      </w:r>
      <w:r w:rsidRPr="00C22738">
        <w:rPr>
          <w:rFonts w:ascii="Verdana" w:hAnsi="Verdana"/>
          <w:sz w:val="20"/>
          <w:szCs w:val="20"/>
        </w:rPr>
        <w:t>v</w:t>
      </w:r>
      <w:r w:rsidR="007A15E7" w:rsidRPr="00C22738">
        <w:rPr>
          <w:rFonts w:ascii="Verdana" w:hAnsi="Verdana"/>
          <w:sz w:val="20"/>
          <w:szCs w:val="20"/>
        </w:rPr>
        <w:t>iolence (GBV) (articles 1</w:t>
      </w:r>
      <w:r w:rsidR="0080724B" w:rsidRPr="00C22738">
        <w:rPr>
          <w:rFonts w:ascii="Verdana" w:hAnsi="Verdana"/>
          <w:sz w:val="20"/>
          <w:szCs w:val="20"/>
        </w:rPr>
        <w:t>,</w:t>
      </w:r>
      <w:r w:rsidR="007A15E7" w:rsidRPr="00C22738">
        <w:rPr>
          <w:rFonts w:ascii="Verdana" w:hAnsi="Verdana"/>
          <w:sz w:val="20"/>
          <w:szCs w:val="20"/>
        </w:rPr>
        <w:t xml:space="preserve"> 2</w:t>
      </w:r>
      <w:r w:rsidR="0080724B" w:rsidRPr="00C22738">
        <w:rPr>
          <w:rFonts w:ascii="Verdana" w:hAnsi="Verdana"/>
          <w:sz w:val="20"/>
          <w:szCs w:val="20"/>
        </w:rPr>
        <w:t xml:space="preserve"> and 5</w:t>
      </w:r>
      <w:r w:rsidR="007A15E7" w:rsidRPr="00C22738">
        <w:rPr>
          <w:rFonts w:ascii="Verdana" w:hAnsi="Verdana"/>
          <w:sz w:val="20"/>
          <w:szCs w:val="20"/>
        </w:rPr>
        <w:t>); and</w:t>
      </w:r>
    </w:p>
    <w:p w14:paraId="3CA84445" w14:textId="1629DF03" w:rsidR="002B39D2" w:rsidRPr="00C22738" w:rsidRDefault="007A15E7" w:rsidP="00813D56">
      <w:pPr>
        <w:pStyle w:val="ListParagraph"/>
        <w:numPr>
          <w:ilvl w:val="1"/>
          <w:numId w:val="2"/>
        </w:numPr>
        <w:spacing w:after="0" w:line="240" w:lineRule="auto"/>
        <w:contextualSpacing w:val="0"/>
        <w:jc w:val="thaiDistribute"/>
        <w:rPr>
          <w:rFonts w:ascii="Verdana" w:hAnsi="Verdana"/>
          <w:sz w:val="20"/>
          <w:szCs w:val="20"/>
        </w:rPr>
      </w:pPr>
      <w:r w:rsidRPr="00C22738">
        <w:rPr>
          <w:rFonts w:ascii="Verdana" w:hAnsi="Verdana"/>
          <w:sz w:val="20"/>
          <w:szCs w:val="20"/>
        </w:rPr>
        <w:t>Barriers to accessing justice for GBV victims/survivors (articles 1, 2</w:t>
      </w:r>
      <w:r w:rsidR="00E84693" w:rsidRPr="00C22738">
        <w:rPr>
          <w:rFonts w:ascii="Verdana" w:hAnsi="Verdana"/>
          <w:sz w:val="20"/>
          <w:szCs w:val="20"/>
        </w:rPr>
        <w:t>, 5</w:t>
      </w:r>
      <w:r w:rsidRPr="00C22738">
        <w:rPr>
          <w:rFonts w:ascii="Verdana" w:hAnsi="Verdana"/>
          <w:sz w:val="20"/>
          <w:szCs w:val="20"/>
        </w:rPr>
        <w:t xml:space="preserve"> and 15)</w:t>
      </w:r>
      <w:r w:rsidR="0031448B" w:rsidRPr="00C22738">
        <w:rPr>
          <w:rFonts w:ascii="Verdana" w:hAnsi="Verdana"/>
          <w:sz w:val="20"/>
          <w:szCs w:val="20"/>
        </w:rPr>
        <w:t>.</w:t>
      </w:r>
    </w:p>
    <w:p w14:paraId="25AA1CED" w14:textId="77777777" w:rsidR="009A6233" w:rsidRPr="00C22738" w:rsidRDefault="009A6233" w:rsidP="00297669">
      <w:pPr>
        <w:pStyle w:val="ListParagraph"/>
        <w:spacing w:after="0" w:line="240" w:lineRule="auto"/>
        <w:contextualSpacing w:val="0"/>
        <w:jc w:val="thaiDistribute"/>
        <w:rPr>
          <w:rFonts w:ascii="Verdana" w:hAnsi="Verdana"/>
          <w:sz w:val="20"/>
          <w:szCs w:val="20"/>
        </w:rPr>
      </w:pPr>
    </w:p>
    <w:p w14:paraId="496B3BF8" w14:textId="1E976301" w:rsidR="006B4CDC" w:rsidRPr="00C22738" w:rsidRDefault="00B21382" w:rsidP="00297669">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 xml:space="preserve">The information presented here comprises the ICJ’s </w:t>
      </w:r>
      <w:r w:rsidR="00AF3D4E" w:rsidRPr="00C22738">
        <w:rPr>
          <w:rFonts w:ascii="Verdana" w:hAnsi="Verdana"/>
          <w:sz w:val="20"/>
          <w:szCs w:val="20"/>
        </w:rPr>
        <w:t>own</w:t>
      </w:r>
      <w:r w:rsidRPr="00C22738">
        <w:rPr>
          <w:rFonts w:ascii="Verdana" w:hAnsi="Verdana"/>
          <w:sz w:val="20"/>
          <w:szCs w:val="20"/>
        </w:rPr>
        <w:t xml:space="preserve"> </w:t>
      </w:r>
      <w:r w:rsidR="00AF3D4E" w:rsidRPr="00C22738">
        <w:rPr>
          <w:rFonts w:ascii="Verdana" w:hAnsi="Verdana"/>
          <w:sz w:val="20"/>
          <w:szCs w:val="20"/>
        </w:rPr>
        <w:t xml:space="preserve">legal </w:t>
      </w:r>
      <w:r w:rsidRPr="00C22738">
        <w:rPr>
          <w:rFonts w:ascii="Verdana" w:hAnsi="Verdana"/>
          <w:sz w:val="20"/>
          <w:szCs w:val="20"/>
        </w:rPr>
        <w:t xml:space="preserve">analysis, </w:t>
      </w:r>
      <w:r w:rsidR="00AF3D4E" w:rsidRPr="00C22738">
        <w:rPr>
          <w:rFonts w:ascii="Verdana" w:hAnsi="Verdana"/>
          <w:sz w:val="20"/>
          <w:szCs w:val="20"/>
        </w:rPr>
        <w:t>largely informed</w:t>
      </w:r>
      <w:r w:rsidRPr="00C22738">
        <w:rPr>
          <w:rFonts w:ascii="Verdana" w:hAnsi="Verdana"/>
          <w:sz w:val="20"/>
          <w:szCs w:val="20"/>
        </w:rPr>
        <w:t xml:space="preserve"> by data gathered from interviews with </w:t>
      </w:r>
      <w:r w:rsidR="0033793E" w:rsidRPr="00C22738">
        <w:rPr>
          <w:rFonts w:ascii="Verdana" w:hAnsi="Verdana"/>
          <w:sz w:val="20"/>
          <w:szCs w:val="20"/>
        </w:rPr>
        <w:t>academics</w:t>
      </w:r>
      <w:r w:rsidRPr="00C22738">
        <w:rPr>
          <w:rFonts w:ascii="Verdana" w:hAnsi="Verdana"/>
          <w:sz w:val="20"/>
          <w:szCs w:val="20"/>
        </w:rPr>
        <w:t xml:space="preserve"> and members of civil society </w:t>
      </w:r>
      <w:r w:rsidR="008B55E7" w:rsidRPr="00C22738">
        <w:rPr>
          <w:rFonts w:ascii="Verdana" w:hAnsi="Verdana"/>
          <w:sz w:val="20"/>
          <w:szCs w:val="20"/>
        </w:rPr>
        <w:t xml:space="preserve">organizations </w:t>
      </w:r>
      <w:r w:rsidRPr="00C22738">
        <w:rPr>
          <w:rFonts w:ascii="Verdana" w:hAnsi="Verdana"/>
          <w:sz w:val="20"/>
          <w:szCs w:val="20"/>
        </w:rPr>
        <w:t>actively supporting victims/survivors of GBV in Lao PDR.</w:t>
      </w:r>
    </w:p>
    <w:p w14:paraId="20CD9451" w14:textId="77777777" w:rsidR="009353F0" w:rsidRPr="00C22738" w:rsidRDefault="009353F0" w:rsidP="00297669">
      <w:pPr>
        <w:spacing w:after="0" w:line="240" w:lineRule="auto"/>
        <w:jc w:val="thaiDistribute"/>
        <w:rPr>
          <w:rFonts w:ascii="Verdana" w:hAnsi="Verdana"/>
          <w:sz w:val="20"/>
          <w:szCs w:val="20"/>
        </w:rPr>
      </w:pPr>
    </w:p>
    <w:p w14:paraId="2633DEB3" w14:textId="538A8461" w:rsidR="006B4CDC" w:rsidRPr="00C22738" w:rsidRDefault="009C7F20" w:rsidP="00297669">
      <w:pPr>
        <w:spacing w:after="0" w:line="240" w:lineRule="auto"/>
        <w:jc w:val="thaiDistribute"/>
        <w:rPr>
          <w:rFonts w:ascii="Verdana" w:hAnsi="Verdana"/>
          <w:b/>
          <w:bCs/>
          <w:sz w:val="20"/>
          <w:szCs w:val="20"/>
        </w:rPr>
      </w:pPr>
      <w:r w:rsidRPr="00C22738">
        <w:rPr>
          <w:rFonts w:ascii="Verdana" w:hAnsi="Verdana"/>
          <w:b/>
          <w:bCs/>
          <w:sz w:val="20"/>
          <w:szCs w:val="20"/>
        </w:rPr>
        <w:t xml:space="preserve">II. </w:t>
      </w:r>
      <w:r w:rsidR="00AF3D4E" w:rsidRPr="00C22738">
        <w:rPr>
          <w:rFonts w:ascii="Verdana" w:hAnsi="Verdana"/>
          <w:b/>
          <w:bCs/>
          <w:sz w:val="20"/>
          <w:szCs w:val="20"/>
        </w:rPr>
        <w:t>L</w:t>
      </w:r>
      <w:r w:rsidR="00425CDF" w:rsidRPr="00C22738">
        <w:rPr>
          <w:rFonts w:ascii="Verdana" w:hAnsi="Verdana"/>
          <w:b/>
          <w:bCs/>
          <w:sz w:val="20"/>
          <w:szCs w:val="20"/>
        </w:rPr>
        <w:t xml:space="preserve">egal </w:t>
      </w:r>
      <w:r w:rsidR="00304E4B" w:rsidRPr="00C22738">
        <w:rPr>
          <w:rFonts w:ascii="Verdana" w:hAnsi="Verdana"/>
          <w:b/>
          <w:bCs/>
          <w:sz w:val="20"/>
          <w:szCs w:val="20"/>
        </w:rPr>
        <w:t>f</w:t>
      </w:r>
      <w:r w:rsidR="00425CDF" w:rsidRPr="00C22738">
        <w:rPr>
          <w:rFonts w:ascii="Verdana" w:hAnsi="Verdana"/>
          <w:b/>
          <w:bCs/>
          <w:sz w:val="20"/>
          <w:szCs w:val="20"/>
        </w:rPr>
        <w:t xml:space="preserve">ramework </w:t>
      </w:r>
      <w:r w:rsidR="00382467" w:rsidRPr="00C22738">
        <w:rPr>
          <w:rFonts w:ascii="Verdana" w:hAnsi="Verdana"/>
          <w:b/>
          <w:bCs/>
          <w:sz w:val="20"/>
          <w:szCs w:val="20"/>
        </w:rPr>
        <w:t>for</w:t>
      </w:r>
      <w:r w:rsidR="00425CDF" w:rsidRPr="00C22738">
        <w:rPr>
          <w:rFonts w:ascii="Verdana" w:hAnsi="Verdana"/>
          <w:b/>
          <w:bCs/>
          <w:sz w:val="20"/>
          <w:szCs w:val="20"/>
        </w:rPr>
        <w:t xml:space="preserve"> </w:t>
      </w:r>
      <w:r w:rsidR="00304E4B" w:rsidRPr="00C22738">
        <w:rPr>
          <w:rFonts w:ascii="Verdana" w:hAnsi="Verdana"/>
          <w:b/>
          <w:bCs/>
          <w:sz w:val="20"/>
          <w:szCs w:val="20"/>
        </w:rPr>
        <w:t>c</w:t>
      </w:r>
      <w:r w:rsidR="00425CDF" w:rsidRPr="00C22738">
        <w:rPr>
          <w:rFonts w:ascii="Verdana" w:hAnsi="Verdana"/>
          <w:b/>
          <w:bCs/>
          <w:sz w:val="20"/>
          <w:szCs w:val="20"/>
        </w:rPr>
        <w:t>ombatting G</w:t>
      </w:r>
      <w:r w:rsidR="004C259B" w:rsidRPr="00C22738">
        <w:rPr>
          <w:rFonts w:ascii="Verdana" w:hAnsi="Verdana"/>
          <w:b/>
          <w:bCs/>
          <w:sz w:val="20"/>
          <w:szCs w:val="20"/>
        </w:rPr>
        <w:t>BV</w:t>
      </w:r>
      <w:r w:rsidR="003660F1" w:rsidRPr="00C22738">
        <w:rPr>
          <w:rFonts w:ascii="Verdana" w:hAnsi="Verdana"/>
          <w:b/>
          <w:bCs/>
          <w:sz w:val="20"/>
          <w:szCs w:val="20"/>
        </w:rPr>
        <w:t xml:space="preserve"> (</w:t>
      </w:r>
      <w:r w:rsidR="00666898" w:rsidRPr="00C22738">
        <w:rPr>
          <w:rFonts w:ascii="Verdana" w:hAnsi="Verdana"/>
          <w:b/>
          <w:bCs/>
          <w:sz w:val="20"/>
          <w:szCs w:val="20"/>
        </w:rPr>
        <w:t>articles 1</w:t>
      </w:r>
      <w:r w:rsidR="0080724B" w:rsidRPr="00C22738">
        <w:rPr>
          <w:rFonts w:ascii="Verdana" w:hAnsi="Verdana"/>
          <w:b/>
          <w:bCs/>
          <w:sz w:val="20"/>
          <w:szCs w:val="20"/>
        </w:rPr>
        <w:t xml:space="preserve">, </w:t>
      </w:r>
      <w:r w:rsidR="00666898" w:rsidRPr="00C22738">
        <w:rPr>
          <w:rFonts w:ascii="Verdana" w:hAnsi="Verdana"/>
          <w:b/>
          <w:bCs/>
          <w:sz w:val="20"/>
          <w:szCs w:val="20"/>
        </w:rPr>
        <w:t>2</w:t>
      </w:r>
      <w:r w:rsidR="0080724B" w:rsidRPr="00C22738">
        <w:rPr>
          <w:rFonts w:ascii="Verdana" w:hAnsi="Verdana"/>
          <w:b/>
          <w:bCs/>
          <w:sz w:val="20"/>
          <w:szCs w:val="20"/>
        </w:rPr>
        <w:t xml:space="preserve"> and 5</w:t>
      </w:r>
      <w:r w:rsidR="003660F1" w:rsidRPr="00C22738">
        <w:rPr>
          <w:rFonts w:ascii="Verdana" w:hAnsi="Verdana"/>
          <w:b/>
          <w:bCs/>
          <w:sz w:val="20"/>
          <w:szCs w:val="20"/>
        </w:rPr>
        <w:t>)</w:t>
      </w:r>
    </w:p>
    <w:p w14:paraId="2D4C7391" w14:textId="77777777" w:rsidR="009353F0" w:rsidRPr="00C22738" w:rsidRDefault="009353F0" w:rsidP="00297669">
      <w:pPr>
        <w:spacing w:after="0" w:line="240" w:lineRule="auto"/>
        <w:jc w:val="thaiDistribute"/>
        <w:rPr>
          <w:rFonts w:ascii="Verdana" w:hAnsi="Verdana"/>
          <w:b/>
          <w:bCs/>
          <w:sz w:val="20"/>
          <w:szCs w:val="20"/>
        </w:rPr>
      </w:pPr>
    </w:p>
    <w:p w14:paraId="5A8FBD90" w14:textId="12B72542" w:rsidR="00360877" w:rsidRPr="00C22738" w:rsidRDefault="00821698" w:rsidP="00297669">
      <w:pPr>
        <w:spacing w:after="0" w:line="240" w:lineRule="auto"/>
        <w:jc w:val="thaiDistribute"/>
        <w:rPr>
          <w:rFonts w:ascii="Verdana" w:hAnsi="Verdana"/>
          <w:sz w:val="20"/>
          <w:szCs w:val="20"/>
          <w:u w:val="single"/>
        </w:rPr>
      </w:pPr>
      <w:r w:rsidRPr="00C22738">
        <w:rPr>
          <w:rFonts w:ascii="Verdana" w:hAnsi="Verdana"/>
          <w:sz w:val="20"/>
          <w:szCs w:val="20"/>
          <w:u w:val="single"/>
        </w:rPr>
        <w:t>Rape</w:t>
      </w:r>
    </w:p>
    <w:p w14:paraId="2BE38270" w14:textId="77777777" w:rsidR="00297669" w:rsidRPr="00C22738" w:rsidRDefault="00297669" w:rsidP="00297669">
      <w:pPr>
        <w:spacing w:after="0" w:line="240" w:lineRule="auto"/>
        <w:jc w:val="thaiDistribute"/>
        <w:rPr>
          <w:rFonts w:ascii="Verdana" w:hAnsi="Verdana"/>
          <w:sz w:val="20"/>
          <w:szCs w:val="20"/>
          <w:u w:val="single"/>
        </w:rPr>
      </w:pPr>
    </w:p>
    <w:p w14:paraId="78C2D028" w14:textId="50AE0551" w:rsidR="00720101" w:rsidRPr="00C22738" w:rsidRDefault="00377350" w:rsidP="00297669">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 xml:space="preserve">In response to the Committee’s query in the List of Issues and its questions regarding the tenth periodic report of Lao PDR ('List of Issues') </w:t>
      </w:r>
      <w:r w:rsidR="00AF3D4E" w:rsidRPr="00C22738">
        <w:rPr>
          <w:rFonts w:ascii="Verdana" w:hAnsi="Verdana"/>
          <w:sz w:val="20"/>
          <w:szCs w:val="20"/>
        </w:rPr>
        <w:t>on</w:t>
      </w:r>
      <w:r w:rsidRPr="00C22738">
        <w:rPr>
          <w:rFonts w:ascii="Verdana" w:hAnsi="Verdana"/>
          <w:sz w:val="20"/>
          <w:szCs w:val="20"/>
        </w:rPr>
        <w:t xml:space="preserve"> the definition of rape in Lao PDR’s Penal Code</w:t>
      </w:r>
      <w:r w:rsidR="00923F5E" w:rsidRPr="00C22738">
        <w:rPr>
          <w:rFonts w:ascii="Verdana" w:hAnsi="Verdana"/>
          <w:sz w:val="20"/>
          <w:szCs w:val="20"/>
        </w:rPr>
        <w:t>,</w:t>
      </w:r>
      <w:r w:rsidR="00513BA2" w:rsidRPr="00C22738">
        <w:rPr>
          <w:rStyle w:val="FootnoteReference"/>
          <w:rFonts w:ascii="Verdana" w:hAnsi="Verdana"/>
          <w:sz w:val="20"/>
          <w:szCs w:val="20"/>
        </w:rPr>
        <w:t xml:space="preserve"> </w:t>
      </w:r>
      <w:r w:rsidR="00513BA2" w:rsidRPr="00C22738">
        <w:rPr>
          <w:rStyle w:val="FootnoteReference"/>
          <w:rFonts w:ascii="Verdana" w:hAnsi="Verdana"/>
          <w:sz w:val="20"/>
          <w:szCs w:val="20"/>
        </w:rPr>
        <w:footnoteReference w:id="1"/>
      </w:r>
      <w:r w:rsidR="00923F5E" w:rsidRPr="00C22738">
        <w:rPr>
          <w:rFonts w:ascii="Verdana" w:hAnsi="Verdana"/>
          <w:sz w:val="20"/>
          <w:szCs w:val="20"/>
        </w:rPr>
        <w:t xml:space="preserve"> </w:t>
      </w:r>
      <w:r w:rsidR="00F32E0F" w:rsidRPr="00C22738">
        <w:rPr>
          <w:rFonts w:ascii="Verdana" w:hAnsi="Verdana"/>
          <w:sz w:val="20"/>
          <w:szCs w:val="20"/>
        </w:rPr>
        <w:t xml:space="preserve">the ICJ </w:t>
      </w:r>
      <w:r w:rsidR="00AF3D4E" w:rsidRPr="00C22738">
        <w:rPr>
          <w:rFonts w:ascii="Verdana" w:hAnsi="Verdana"/>
          <w:sz w:val="20"/>
          <w:szCs w:val="20"/>
        </w:rPr>
        <w:t>considers</w:t>
      </w:r>
      <w:r w:rsidR="00F32E0F" w:rsidRPr="00C22738">
        <w:rPr>
          <w:rFonts w:ascii="Verdana" w:hAnsi="Verdana"/>
          <w:sz w:val="20"/>
          <w:szCs w:val="20"/>
        </w:rPr>
        <w:t xml:space="preserve"> that the current definition is inadequate</w:t>
      </w:r>
      <w:r w:rsidR="00F50109" w:rsidRPr="00C22738">
        <w:rPr>
          <w:rFonts w:ascii="Verdana" w:hAnsi="Verdana"/>
          <w:sz w:val="20"/>
          <w:szCs w:val="20"/>
        </w:rPr>
        <w:t xml:space="preserve"> and non-compliant</w:t>
      </w:r>
      <w:r w:rsidR="00486C3F" w:rsidRPr="00C22738">
        <w:rPr>
          <w:rFonts w:ascii="Verdana" w:hAnsi="Verdana"/>
          <w:sz w:val="20"/>
          <w:szCs w:val="20"/>
        </w:rPr>
        <w:t xml:space="preserve"> with </w:t>
      </w:r>
      <w:r w:rsidR="00CA0A12" w:rsidRPr="00C22738">
        <w:rPr>
          <w:rFonts w:ascii="Verdana" w:hAnsi="Verdana"/>
          <w:sz w:val="20"/>
          <w:szCs w:val="20"/>
        </w:rPr>
        <w:t xml:space="preserve">the </w:t>
      </w:r>
      <w:r w:rsidR="00486C3F" w:rsidRPr="00C22738">
        <w:rPr>
          <w:rFonts w:ascii="Verdana" w:hAnsi="Verdana"/>
          <w:sz w:val="20"/>
          <w:szCs w:val="20"/>
        </w:rPr>
        <w:t>Convention</w:t>
      </w:r>
      <w:r w:rsidR="008B4A95" w:rsidRPr="00C22738">
        <w:rPr>
          <w:rFonts w:ascii="Verdana" w:hAnsi="Verdana"/>
          <w:sz w:val="20"/>
          <w:szCs w:val="20"/>
        </w:rPr>
        <w:t>. The applicable provision</w:t>
      </w:r>
      <w:r w:rsidR="00F32E0F" w:rsidRPr="00C22738">
        <w:rPr>
          <w:rFonts w:ascii="Verdana" w:hAnsi="Verdana"/>
          <w:sz w:val="20"/>
          <w:szCs w:val="20"/>
        </w:rPr>
        <w:t xml:space="preserve"> is not </w:t>
      </w:r>
      <w:r w:rsidR="00805D2D" w:rsidRPr="00C22738">
        <w:rPr>
          <w:rFonts w:ascii="Verdana" w:hAnsi="Verdana"/>
          <w:sz w:val="20"/>
          <w:szCs w:val="20"/>
        </w:rPr>
        <w:t xml:space="preserve">explicitly </w:t>
      </w:r>
      <w:r w:rsidR="00F32E0F" w:rsidRPr="00C22738">
        <w:rPr>
          <w:rFonts w:ascii="Verdana" w:hAnsi="Verdana"/>
          <w:sz w:val="20"/>
          <w:szCs w:val="20"/>
        </w:rPr>
        <w:t>based on the absence of freely given consent</w:t>
      </w:r>
      <w:r w:rsidR="008B4A95" w:rsidRPr="00C22738">
        <w:rPr>
          <w:rFonts w:ascii="Verdana" w:hAnsi="Verdana"/>
          <w:sz w:val="20"/>
          <w:szCs w:val="20"/>
        </w:rPr>
        <w:t xml:space="preserve">, which must be </w:t>
      </w:r>
      <w:r w:rsidR="00F72D2E" w:rsidRPr="00C22738">
        <w:rPr>
          <w:rFonts w:ascii="Verdana" w:hAnsi="Verdana"/>
          <w:sz w:val="20"/>
          <w:szCs w:val="20"/>
        </w:rPr>
        <w:t xml:space="preserve">made </w:t>
      </w:r>
      <w:r w:rsidR="00F32E0F" w:rsidRPr="00C22738">
        <w:rPr>
          <w:rFonts w:ascii="Verdana" w:hAnsi="Verdana"/>
          <w:sz w:val="20"/>
          <w:szCs w:val="20"/>
        </w:rPr>
        <w:t>an essential element of the crime, as</w:t>
      </w:r>
      <w:r w:rsidR="00F72D2E" w:rsidRPr="00C22738">
        <w:rPr>
          <w:rFonts w:ascii="Verdana" w:hAnsi="Verdana"/>
          <w:sz w:val="20"/>
          <w:szCs w:val="20"/>
        </w:rPr>
        <w:t xml:space="preserve"> this Committee</w:t>
      </w:r>
      <w:r w:rsidR="00F32E0F" w:rsidRPr="00C22738">
        <w:rPr>
          <w:rFonts w:ascii="Verdana" w:hAnsi="Verdana"/>
          <w:sz w:val="20"/>
          <w:szCs w:val="20"/>
        </w:rPr>
        <w:t xml:space="preserve"> reaffirmed in General Recommendation No. 35 and related jurisprudence</w:t>
      </w:r>
      <w:r w:rsidR="001878C6" w:rsidRPr="00C22738">
        <w:rPr>
          <w:rFonts w:ascii="Verdana" w:hAnsi="Verdana"/>
          <w:sz w:val="20"/>
          <w:szCs w:val="20"/>
        </w:rPr>
        <w:t>.</w:t>
      </w:r>
      <w:r w:rsidR="00720101" w:rsidRPr="00C22738">
        <w:rPr>
          <w:rStyle w:val="FootnoteReference"/>
          <w:rFonts w:ascii="Verdana" w:hAnsi="Verdana"/>
          <w:sz w:val="20"/>
          <w:szCs w:val="20"/>
        </w:rPr>
        <w:footnoteReference w:id="2"/>
      </w:r>
      <w:r w:rsidR="001878C6" w:rsidRPr="00C22738">
        <w:rPr>
          <w:rFonts w:ascii="Verdana" w:hAnsi="Verdana"/>
          <w:sz w:val="20"/>
          <w:szCs w:val="20"/>
        </w:rPr>
        <w:t xml:space="preserve"> </w:t>
      </w:r>
      <w:r w:rsidR="000C5BCF" w:rsidRPr="00C22738">
        <w:rPr>
          <w:rFonts w:ascii="Verdana" w:hAnsi="Verdana"/>
          <w:sz w:val="20"/>
          <w:szCs w:val="20"/>
        </w:rPr>
        <w:t xml:space="preserve">The law </w:t>
      </w:r>
      <w:r w:rsidR="007A176F" w:rsidRPr="00C22738">
        <w:rPr>
          <w:rFonts w:ascii="Verdana" w:hAnsi="Verdana"/>
          <w:sz w:val="20"/>
          <w:szCs w:val="20"/>
        </w:rPr>
        <w:t>fails to include elemen</w:t>
      </w:r>
      <w:r w:rsidR="001B7075" w:rsidRPr="00C22738">
        <w:rPr>
          <w:rFonts w:ascii="Verdana" w:hAnsi="Verdana"/>
          <w:sz w:val="20"/>
          <w:szCs w:val="20"/>
        </w:rPr>
        <w:t>ts</w:t>
      </w:r>
      <w:r w:rsidR="007A176F" w:rsidRPr="00C22738">
        <w:rPr>
          <w:rFonts w:ascii="Verdana" w:hAnsi="Verdana"/>
          <w:sz w:val="20"/>
          <w:szCs w:val="20"/>
        </w:rPr>
        <w:t xml:space="preserve"> indicate what constitutes </w:t>
      </w:r>
      <w:r w:rsidR="000C5BCF" w:rsidRPr="00C22738">
        <w:rPr>
          <w:rFonts w:ascii="Verdana" w:hAnsi="Verdana"/>
          <w:sz w:val="20"/>
          <w:szCs w:val="20"/>
        </w:rPr>
        <w:t xml:space="preserve">consent and the relationship between consent and coercive circumstances. This omission </w:t>
      </w:r>
      <w:r w:rsidR="001B7075" w:rsidRPr="00C22738">
        <w:rPr>
          <w:rFonts w:ascii="Verdana" w:hAnsi="Verdana"/>
          <w:sz w:val="20"/>
          <w:szCs w:val="20"/>
        </w:rPr>
        <w:t>amounts to a failure to implement the protective guarantees of the Convention and facilitates violations of</w:t>
      </w:r>
      <w:r w:rsidR="000C5BCF" w:rsidRPr="00C22738">
        <w:rPr>
          <w:rFonts w:ascii="Verdana" w:hAnsi="Verdana"/>
          <w:sz w:val="20"/>
          <w:szCs w:val="20"/>
        </w:rPr>
        <w:t xml:space="preserve"> women’s rights to personal security, autonomy, and bodily integrity.</w:t>
      </w:r>
    </w:p>
    <w:p w14:paraId="184DF9EF" w14:textId="77777777" w:rsidR="006730A4" w:rsidRPr="00C22738" w:rsidRDefault="006730A4" w:rsidP="00297669">
      <w:pPr>
        <w:pStyle w:val="ListParagraph"/>
        <w:spacing w:after="0" w:line="240" w:lineRule="auto"/>
        <w:contextualSpacing w:val="0"/>
        <w:jc w:val="thaiDistribute"/>
        <w:rPr>
          <w:rFonts w:ascii="Verdana" w:hAnsi="Verdana"/>
          <w:sz w:val="20"/>
          <w:szCs w:val="20"/>
        </w:rPr>
      </w:pPr>
    </w:p>
    <w:p w14:paraId="18DB9262" w14:textId="286C9FE4" w:rsidR="009C16C4" w:rsidRPr="00C22738" w:rsidRDefault="001B7075" w:rsidP="00A44F43">
      <w:pPr>
        <w:pStyle w:val="ListParagraph"/>
        <w:numPr>
          <w:ilvl w:val="0"/>
          <w:numId w:val="2"/>
        </w:numPr>
        <w:spacing w:after="0" w:line="240" w:lineRule="auto"/>
        <w:contextualSpacing w:val="0"/>
        <w:jc w:val="thaiDistribute"/>
        <w:rPr>
          <w:rFonts w:ascii="Verdana" w:hAnsi="Verdana"/>
          <w:sz w:val="20"/>
          <w:szCs w:val="20"/>
        </w:rPr>
      </w:pPr>
      <w:proofErr w:type="gramStart"/>
      <w:r w:rsidRPr="00C22738">
        <w:rPr>
          <w:rFonts w:ascii="Verdana" w:hAnsi="Verdana"/>
          <w:sz w:val="20"/>
          <w:szCs w:val="20"/>
        </w:rPr>
        <w:t xml:space="preserve">In particular, </w:t>
      </w:r>
      <w:r w:rsidR="005C43CB" w:rsidRPr="00C22738">
        <w:rPr>
          <w:rFonts w:ascii="Verdana" w:hAnsi="Verdana"/>
          <w:sz w:val="20"/>
          <w:szCs w:val="20"/>
        </w:rPr>
        <w:t>Article</w:t>
      </w:r>
      <w:proofErr w:type="gramEnd"/>
      <w:r w:rsidR="005C43CB" w:rsidRPr="00C22738">
        <w:rPr>
          <w:rFonts w:ascii="Verdana" w:hAnsi="Verdana"/>
          <w:sz w:val="20"/>
          <w:szCs w:val="20"/>
        </w:rPr>
        <w:t xml:space="preserve"> 4 of the </w:t>
      </w:r>
      <w:bookmarkStart w:id="0" w:name="_Hlk175954932"/>
      <w:r w:rsidR="005C43CB" w:rsidRPr="00C22738">
        <w:rPr>
          <w:rFonts w:ascii="Verdana" w:hAnsi="Verdana"/>
          <w:sz w:val="20"/>
          <w:szCs w:val="20"/>
        </w:rPr>
        <w:t>Law on Prevention and Elimination of Violence against Women and Children</w:t>
      </w:r>
      <w:r w:rsidR="002049A2" w:rsidRPr="00C22738">
        <w:rPr>
          <w:rFonts w:ascii="Verdana" w:hAnsi="Verdana"/>
          <w:sz w:val="20"/>
          <w:szCs w:val="20"/>
        </w:rPr>
        <w:t xml:space="preserve"> No. 56/NA/2014</w:t>
      </w:r>
      <w:bookmarkEnd w:id="0"/>
      <w:r w:rsidR="00CF00D0" w:rsidRPr="00C22738">
        <w:rPr>
          <w:rFonts w:ascii="Verdana" w:hAnsi="Verdana"/>
          <w:sz w:val="20"/>
          <w:szCs w:val="20"/>
        </w:rPr>
        <w:t xml:space="preserve"> (‘LPVWC’)</w:t>
      </w:r>
      <w:r w:rsidR="005C43CB" w:rsidRPr="00C22738">
        <w:rPr>
          <w:rStyle w:val="FootnoteReference"/>
          <w:rFonts w:ascii="Verdana" w:hAnsi="Verdana"/>
          <w:sz w:val="20"/>
          <w:szCs w:val="20"/>
        </w:rPr>
        <w:footnoteReference w:id="3"/>
      </w:r>
      <w:r w:rsidR="005C43CB" w:rsidRPr="00C22738">
        <w:rPr>
          <w:rFonts w:ascii="Verdana" w:hAnsi="Verdana"/>
          <w:sz w:val="20"/>
          <w:szCs w:val="20"/>
        </w:rPr>
        <w:t xml:space="preserve"> </w:t>
      </w:r>
      <w:r w:rsidR="001A35F6" w:rsidRPr="00C22738">
        <w:rPr>
          <w:rFonts w:ascii="Verdana" w:hAnsi="Verdana"/>
          <w:sz w:val="20"/>
          <w:szCs w:val="20"/>
        </w:rPr>
        <w:t>provides for a highly flawed</w:t>
      </w:r>
      <w:r w:rsidR="005C43CB" w:rsidRPr="00C22738">
        <w:rPr>
          <w:rFonts w:ascii="Verdana" w:hAnsi="Verdana"/>
          <w:sz w:val="20"/>
          <w:szCs w:val="20"/>
        </w:rPr>
        <w:t xml:space="preserve"> </w:t>
      </w:r>
      <w:r w:rsidR="005C43CB" w:rsidRPr="00C22738">
        <w:rPr>
          <w:rFonts w:ascii="Verdana" w:hAnsi="Verdana"/>
          <w:sz w:val="20"/>
          <w:szCs w:val="20"/>
        </w:rPr>
        <w:lastRenderedPageBreak/>
        <w:t>defin</w:t>
      </w:r>
      <w:r w:rsidR="001A35F6" w:rsidRPr="00C22738">
        <w:rPr>
          <w:rFonts w:ascii="Verdana" w:hAnsi="Verdana"/>
          <w:sz w:val="20"/>
          <w:szCs w:val="20"/>
        </w:rPr>
        <w:t>ition of</w:t>
      </w:r>
      <w:r w:rsidR="005C43CB" w:rsidRPr="00C22738">
        <w:rPr>
          <w:rFonts w:ascii="Verdana" w:hAnsi="Verdana"/>
          <w:sz w:val="20"/>
          <w:szCs w:val="20"/>
        </w:rPr>
        <w:t xml:space="preserve"> </w:t>
      </w:r>
      <w:r w:rsidR="004231F4" w:rsidRPr="00C22738">
        <w:rPr>
          <w:rFonts w:ascii="Verdana" w:hAnsi="Verdana"/>
          <w:sz w:val="20"/>
          <w:szCs w:val="20"/>
        </w:rPr>
        <w:t>“</w:t>
      </w:r>
      <w:r w:rsidR="005C43CB" w:rsidRPr="00C22738">
        <w:rPr>
          <w:rFonts w:ascii="Verdana" w:hAnsi="Verdana"/>
          <w:sz w:val="20"/>
          <w:szCs w:val="20"/>
        </w:rPr>
        <w:t>rape</w:t>
      </w:r>
      <w:r w:rsidR="004231F4" w:rsidRPr="00C22738">
        <w:rPr>
          <w:rFonts w:ascii="Verdana" w:hAnsi="Verdana"/>
          <w:sz w:val="20"/>
          <w:szCs w:val="20"/>
        </w:rPr>
        <w:t>”</w:t>
      </w:r>
      <w:r w:rsidR="005C43CB" w:rsidRPr="00C22738">
        <w:rPr>
          <w:rFonts w:ascii="Verdana" w:hAnsi="Verdana"/>
          <w:sz w:val="20"/>
          <w:szCs w:val="20"/>
        </w:rPr>
        <w:t xml:space="preserve"> against women and children.</w:t>
      </w:r>
      <w:r w:rsidR="000F17BC" w:rsidRPr="00C22738">
        <w:rPr>
          <w:rStyle w:val="FootnoteReference"/>
          <w:rFonts w:ascii="Verdana" w:hAnsi="Verdana"/>
          <w:sz w:val="20"/>
          <w:szCs w:val="20"/>
        </w:rPr>
        <w:footnoteReference w:id="4"/>
      </w:r>
      <w:r w:rsidR="005C43CB" w:rsidRPr="00C22738">
        <w:rPr>
          <w:rFonts w:ascii="Verdana" w:hAnsi="Verdana"/>
          <w:sz w:val="20"/>
          <w:szCs w:val="20"/>
        </w:rPr>
        <w:t xml:space="preserve"> This same definition is a</w:t>
      </w:r>
      <w:r w:rsidR="001A35F6" w:rsidRPr="00C22738">
        <w:rPr>
          <w:rFonts w:ascii="Verdana" w:hAnsi="Verdana"/>
          <w:sz w:val="20"/>
          <w:szCs w:val="20"/>
        </w:rPr>
        <w:t>lso containe</w:t>
      </w:r>
      <w:r w:rsidR="00575E0C" w:rsidRPr="00C22738">
        <w:rPr>
          <w:rFonts w:ascii="Verdana" w:hAnsi="Verdana"/>
          <w:sz w:val="20"/>
          <w:szCs w:val="20"/>
        </w:rPr>
        <w:t>d</w:t>
      </w:r>
      <w:r w:rsidR="005C43CB" w:rsidRPr="00C22738">
        <w:rPr>
          <w:rFonts w:ascii="Verdana" w:hAnsi="Verdana"/>
          <w:sz w:val="20"/>
          <w:szCs w:val="20"/>
        </w:rPr>
        <w:t xml:space="preserve"> in Section 248 of the Penal Code No. 26/NA/2017,</w:t>
      </w:r>
      <w:r w:rsidR="008A2A11" w:rsidRPr="00C22738">
        <w:rPr>
          <w:rStyle w:val="FootnoteReference"/>
          <w:rFonts w:ascii="Verdana" w:hAnsi="Verdana"/>
          <w:sz w:val="20"/>
          <w:szCs w:val="20"/>
        </w:rPr>
        <w:footnoteReference w:id="5"/>
      </w:r>
      <w:r w:rsidR="005C43CB" w:rsidRPr="00C22738">
        <w:rPr>
          <w:rFonts w:ascii="Verdana" w:hAnsi="Verdana"/>
          <w:sz w:val="20"/>
          <w:szCs w:val="20"/>
        </w:rPr>
        <w:t xml:space="preserve"> which </w:t>
      </w:r>
      <w:r w:rsidR="001A35F6" w:rsidRPr="00C22738">
        <w:rPr>
          <w:rFonts w:ascii="Verdana" w:hAnsi="Verdana"/>
          <w:sz w:val="20"/>
          <w:szCs w:val="20"/>
        </w:rPr>
        <w:t xml:space="preserve">provides for </w:t>
      </w:r>
      <w:r w:rsidR="005C43CB" w:rsidRPr="00C22738">
        <w:rPr>
          <w:rFonts w:ascii="Verdana" w:hAnsi="Verdana"/>
          <w:sz w:val="20"/>
          <w:szCs w:val="20"/>
        </w:rPr>
        <w:t>criminal</w:t>
      </w:r>
      <w:r w:rsidR="001A35F6" w:rsidRPr="00C22738">
        <w:rPr>
          <w:rFonts w:ascii="Verdana" w:hAnsi="Verdana"/>
          <w:sz w:val="20"/>
          <w:szCs w:val="20"/>
        </w:rPr>
        <w:t xml:space="preserve"> liability for</w:t>
      </w:r>
      <w:r w:rsidR="005C43CB" w:rsidRPr="00C22738">
        <w:rPr>
          <w:rFonts w:ascii="Verdana" w:hAnsi="Verdana"/>
          <w:sz w:val="20"/>
          <w:szCs w:val="20"/>
        </w:rPr>
        <w:t xml:space="preserve"> rape and attempted rape. </w:t>
      </w:r>
      <w:r w:rsidR="009D44D3" w:rsidRPr="00C22738">
        <w:rPr>
          <w:rFonts w:ascii="Verdana" w:hAnsi="Verdana"/>
          <w:sz w:val="20"/>
          <w:szCs w:val="20"/>
        </w:rPr>
        <w:t>Subject to the Penal Code,</w:t>
      </w:r>
      <w:r w:rsidR="005C43CB" w:rsidRPr="00C22738">
        <w:rPr>
          <w:rFonts w:ascii="Verdana" w:hAnsi="Verdana"/>
          <w:sz w:val="20"/>
          <w:szCs w:val="20"/>
        </w:rPr>
        <w:t xml:space="preserve"> rape is defined as “the use of force, armed threats, chloroform or other substances, or other means to place a woman in a state of </w:t>
      </w:r>
      <w:proofErr w:type="gramStart"/>
      <w:r w:rsidR="005C43CB" w:rsidRPr="00C22738">
        <w:rPr>
          <w:rFonts w:ascii="Verdana" w:hAnsi="Verdana"/>
          <w:sz w:val="20"/>
          <w:szCs w:val="20"/>
        </w:rPr>
        <w:t>helplessness</w:t>
      </w:r>
      <w:r w:rsidR="00BB0FAB" w:rsidRPr="00C22738">
        <w:rPr>
          <w:rFonts w:ascii="Verdana" w:hAnsi="Verdana"/>
          <w:sz w:val="20"/>
          <w:szCs w:val="20"/>
        </w:rPr>
        <w:t>,</w:t>
      </w:r>
      <w:r w:rsidR="005C43CB" w:rsidRPr="00C22738">
        <w:rPr>
          <w:rFonts w:ascii="Verdana" w:hAnsi="Verdana"/>
          <w:sz w:val="20"/>
          <w:szCs w:val="20"/>
        </w:rPr>
        <w:t xml:space="preserve"> or</w:t>
      </w:r>
      <w:proofErr w:type="gramEnd"/>
      <w:r w:rsidR="005C43CB" w:rsidRPr="00C22738">
        <w:rPr>
          <w:rFonts w:ascii="Verdana" w:hAnsi="Verdana"/>
          <w:sz w:val="20"/>
          <w:szCs w:val="20"/>
        </w:rPr>
        <w:t xml:space="preserve"> abusing the opportunity to have sexual intercourse with the woman against her will.” </w:t>
      </w:r>
      <w:r w:rsidR="0097167B" w:rsidRPr="00C22738">
        <w:rPr>
          <w:rFonts w:ascii="Verdana" w:hAnsi="Verdana"/>
          <w:sz w:val="20"/>
          <w:szCs w:val="20"/>
        </w:rPr>
        <w:t xml:space="preserve">Article 251 </w:t>
      </w:r>
      <w:r w:rsidR="001F46FA" w:rsidRPr="00C22738">
        <w:rPr>
          <w:rFonts w:ascii="Verdana" w:hAnsi="Verdana"/>
          <w:sz w:val="20"/>
          <w:szCs w:val="20"/>
        </w:rPr>
        <w:t xml:space="preserve">makes a criminal offence </w:t>
      </w:r>
      <w:r w:rsidR="0097167B" w:rsidRPr="00C22738">
        <w:rPr>
          <w:rFonts w:ascii="Verdana" w:hAnsi="Verdana"/>
          <w:sz w:val="20"/>
          <w:szCs w:val="20"/>
        </w:rPr>
        <w:t xml:space="preserve">the use of </w:t>
      </w:r>
      <w:r w:rsidR="001A35F6" w:rsidRPr="00C22738">
        <w:rPr>
          <w:rFonts w:ascii="Verdana" w:hAnsi="Verdana"/>
          <w:sz w:val="20"/>
          <w:szCs w:val="20"/>
        </w:rPr>
        <w:t>“</w:t>
      </w:r>
      <w:r w:rsidR="0097167B" w:rsidRPr="00C22738">
        <w:rPr>
          <w:rFonts w:ascii="Verdana" w:hAnsi="Verdana"/>
          <w:sz w:val="20"/>
          <w:szCs w:val="20"/>
        </w:rPr>
        <w:t>trickery</w:t>
      </w:r>
      <w:r w:rsidR="001A35F6" w:rsidRPr="00C22738">
        <w:rPr>
          <w:rFonts w:ascii="Verdana" w:hAnsi="Verdana"/>
          <w:sz w:val="20"/>
          <w:szCs w:val="20"/>
        </w:rPr>
        <w:t>”</w:t>
      </w:r>
      <w:r w:rsidR="0097167B" w:rsidRPr="00C22738">
        <w:rPr>
          <w:rFonts w:ascii="Verdana" w:hAnsi="Verdana"/>
          <w:sz w:val="20"/>
          <w:szCs w:val="20"/>
        </w:rPr>
        <w:t xml:space="preserve"> to make a woman have sex with the offender or with another person against her will. </w:t>
      </w:r>
      <w:r w:rsidR="001F46FA" w:rsidRPr="00C22738">
        <w:rPr>
          <w:rFonts w:ascii="Verdana" w:hAnsi="Verdana"/>
          <w:sz w:val="20"/>
          <w:szCs w:val="20"/>
        </w:rPr>
        <w:t>Regarding marital rape</w:t>
      </w:r>
      <w:r w:rsidR="009C16C4" w:rsidRPr="00C22738">
        <w:rPr>
          <w:rFonts w:ascii="Verdana" w:hAnsi="Verdana"/>
          <w:sz w:val="20"/>
          <w:szCs w:val="20"/>
        </w:rPr>
        <w:t xml:space="preserve">, the </w:t>
      </w:r>
      <w:r w:rsidR="00CF00D0" w:rsidRPr="00C22738">
        <w:rPr>
          <w:rFonts w:ascii="Verdana" w:hAnsi="Verdana"/>
          <w:sz w:val="20"/>
          <w:szCs w:val="20"/>
        </w:rPr>
        <w:t>LPVWC</w:t>
      </w:r>
      <w:r w:rsidR="009C16C4" w:rsidRPr="00C22738">
        <w:rPr>
          <w:rFonts w:ascii="Verdana" w:hAnsi="Verdana"/>
          <w:sz w:val="20"/>
          <w:szCs w:val="20"/>
        </w:rPr>
        <w:t>,</w:t>
      </w:r>
      <w:r w:rsidR="005B75C3" w:rsidRPr="00C22738">
        <w:rPr>
          <w:rStyle w:val="FootnoteReference"/>
          <w:rFonts w:ascii="Verdana" w:hAnsi="Verdana"/>
          <w:sz w:val="20"/>
          <w:szCs w:val="20"/>
        </w:rPr>
        <w:footnoteReference w:id="6"/>
      </w:r>
      <w:r w:rsidR="009C16C4" w:rsidRPr="00C22738">
        <w:rPr>
          <w:rFonts w:ascii="Verdana" w:hAnsi="Verdana"/>
          <w:sz w:val="20"/>
          <w:szCs w:val="20"/>
        </w:rPr>
        <w:t xml:space="preserve"> along with Article 252 of the Penal Code, defines </w:t>
      </w:r>
      <w:r w:rsidR="001F46FA" w:rsidRPr="00C22738">
        <w:rPr>
          <w:rFonts w:ascii="Verdana" w:hAnsi="Verdana"/>
          <w:sz w:val="20"/>
          <w:szCs w:val="20"/>
        </w:rPr>
        <w:t xml:space="preserve">this crime </w:t>
      </w:r>
      <w:r w:rsidR="009C16C4" w:rsidRPr="00C22738">
        <w:rPr>
          <w:rFonts w:ascii="Verdana" w:hAnsi="Verdana"/>
          <w:sz w:val="20"/>
          <w:szCs w:val="20"/>
        </w:rPr>
        <w:t>as “a person having sexual intercourse with his wife against her will by using force, threats, or when the wife is not in a state of readiness.”</w:t>
      </w:r>
      <w:r w:rsidR="0068557A" w:rsidRPr="00C22738">
        <w:rPr>
          <w:rFonts w:ascii="Verdana" w:hAnsi="Verdana"/>
          <w:sz w:val="20"/>
          <w:szCs w:val="20"/>
        </w:rPr>
        <w:t xml:space="preserve"> </w:t>
      </w:r>
      <w:r w:rsidR="008820F1" w:rsidRPr="00C22738">
        <w:rPr>
          <w:rFonts w:ascii="Verdana" w:hAnsi="Verdana"/>
          <w:sz w:val="20"/>
          <w:szCs w:val="20"/>
        </w:rPr>
        <w:t>The plain language of these provisions indicates that rape and marital rape are not defined based on consent</w:t>
      </w:r>
      <w:r w:rsidR="004A4028" w:rsidRPr="00C22738">
        <w:rPr>
          <w:rFonts w:ascii="Verdana" w:hAnsi="Verdana"/>
          <w:sz w:val="20"/>
          <w:szCs w:val="20"/>
        </w:rPr>
        <w:t xml:space="preserve"> in broad terms,</w:t>
      </w:r>
      <w:r w:rsidR="008820F1" w:rsidRPr="00C22738">
        <w:rPr>
          <w:rFonts w:ascii="Verdana" w:hAnsi="Verdana"/>
          <w:sz w:val="20"/>
          <w:szCs w:val="20"/>
        </w:rPr>
        <w:t xml:space="preserve"> but instead rely on the use or threat of force or deception</w:t>
      </w:r>
      <w:r w:rsidR="005B75C3" w:rsidRPr="00C22738">
        <w:rPr>
          <w:rFonts w:ascii="Verdana" w:hAnsi="Verdana"/>
          <w:sz w:val="20"/>
          <w:szCs w:val="20"/>
        </w:rPr>
        <w:t>.</w:t>
      </w:r>
      <w:r w:rsidR="00B6475C" w:rsidRPr="00C22738">
        <w:rPr>
          <w:rStyle w:val="FootnoteReference"/>
          <w:rFonts w:ascii="Verdana" w:hAnsi="Verdana"/>
          <w:sz w:val="20"/>
          <w:szCs w:val="20"/>
        </w:rPr>
        <w:footnoteReference w:id="7"/>
      </w:r>
      <w:r w:rsidR="005B75C3" w:rsidRPr="00C22738">
        <w:rPr>
          <w:rFonts w:ascii="Verdana" w:hAnsi="Verdana"/>
          <w:sz w:val="20"/>
          <w:szCs w:val="20"/>
        </w:rPr>
        <w:t xml:space="preserve"> Additionally, reference</w:t>
      </w:r>
      <w:r w:rsidR="008820F1" w:rsidRPr="00C22738">
        <w:rPr>
          <w:rFonts w:ascii="Verdana" w:hAnsi="Verdana"/>
          <w:sz w:val="20"/>
          <w:szCs w:val="20"/>
        </w:rPr>
        <w:t>s</w:t>
      </w:r>
      <w:r w:rsidR="005B75C3" w:rsidRPr="00C22738">
        <w:rPr>
          <w:rFonts w:ascii="Verdana" w:hAnsi="Verdana"/>
          <w:sz w:val="20"/>
          <w:szCs w:val="20"/>
        </w:rPr>
        <w:t xml:space="preserve"> to a “situation in which they cannot help themselves”</w:t>
      </w:r>
      <w:r w:rsidR="00133159" w:rsidRPr="00C22738">
        <w:rPr>
          <w:rFonts w:ascii="Verdana" w:hAnsi="Verdana"/>
          <w:sz w:val="20"/>
          <w:szCs w:val="20"/>
        </w:rPr>
        <w:t xml:space="preserve"> or</w:t>
      </w:r>
      <w:r w:rsidR="004E7ADD" w:rsidRPr="00C22738">
        <w:rPr>
          <w:rFonts w:ascii="Verdana" w:hAnsi="Verdana"/>
          <w:sz w:val="20"/>
          <w:szCs w:val="20"/>
        </w:rPr>
        <w:t xml:space="preserve"> “not in a state of readiness</w:t>
      </w:r>
      <w:r w:rsidR="003E413E" w:rsidRPr="00C22738">
        <w:rPr>
          <w:rFonts w:ascii="Verdana" w:hAnsi="Verdana"/>
          <w:sz w:val="20"/>
          <w:szCs w:val="20"/>
        </w:rPr>
        <w:t>”</w:t>
      </w:r>
      <w:r w:rsidR="005B75C3" w:rsidRPr="00C22738">
        <w:rPr>
          <w:rFonts w:ascii="Verdana" w:hAnsi="Verdana"/>
          <w:sz w:val="20"/>
          <w:szCs w:val="20"/>
        </w:rPr>
        <w:t xml:space="preserve"> </w:t>
      </w:r>
      <w:r w:rsidR="001B2C88" w:rsidRPr="00C22738">
        <w:rPr>
          <w:rFonts w:ascii="Verdana" w:hAnsi="Verdana"/>
          <w:sz w:val="20"/>
          <w:szCs w:val="20"/>
        </w:rPr>
        <w:t xml:space="preserve">do not </w:t>
      </w:r>
      <w:r w:rsidR="004A4028" w:rsidRPr="00C22738">
        <w:rPr>
          <w:rFonts w:ascii="Verdana" w:hAnsi="Verdana"/>
          <w:sz w:val="20"/>
          <w:szCs w:val="20"/>
        </w:rPr>
        <w:t>fully</w:t>
      </w:r>
      <w:r w:rsidR="001B2C88" w:rsidRPr="00C22738">
        <w:rPr>
          <w:rFonts w:ascii="Verdana" w:hAnsi="Verdana"/>
          <w:sz w:val="20"/>
          <w:szCs w:val="20"/>
        </w:rPr>
        <w:t xml:space="preserve"> capture the concept of lack of consent</w:t>
      </w:r>
      <w:r w:rsidR="005B75C3" w:rsidRPr="00C22738">
        <w:rPr>
          <w:rFonts w:ascii="Verdana" w:hAnsi="Verdana"/>
          <w:sz w:val="20"/>
          <w:szCs w:val="20"/>
        </w:rPr>
        <w:t>.</w:t>
      </w:r>
      <w:r w:rsidR="001B2C88" w:rsidRPr="00C22738">
        <w:rPr>
          <w:rStyle w:val="FootnoteReference"/>
          <w:rFonts w:ascii="Verdana" w:hAnsi="Verdana"/>
          <w:sz w:val="20"/>
          <w:szCs w:val="20"/>
        </w:rPr>
        <w:footnoteReference w:id="8"/>
      </w:r>
      <w:r w:rsidR="000469E4" w:rsidRPr="00C22738">
        <w:rPr>
          <w:rFonts w:ascii="Verdana" w:hAnsi="Verdana"/>
          <w:sz w:val="20"/>
          <w:szCs w:val="20"/>
        </w:rPr>
        <w:t xml:space="preserve"> </w:t>
      </w:r>
      <w:r w:rsidR="005B2AAA" w:rsidRPr="00C22738">
        <w:rPr>
          <w:rFonts w:ascii="Verdana" w:hAnsi="Verdana"/>
          <w:sz w:val="20"/>
          <w:szCs w:val="20"/>
        </w:rPr>
        <w:t xml:space="preserve">The definition </w:t>
      </w:r>
      <w:r w:rsidR="00133159" w:rsidRPr="00C22738">
        <w:rPr>
          <w:rFonts w:ascii="Verdana" w:hAnsi="Verdana"/>
          <w:sz w:val="20"/>
          <w:szCs w:val="20"/>
        </w:rPr>
        <w:t xml:space="preserve">also </w:t>
      </w:r>
      <w:r w:rsidR="005B2AAA" w:rsidRPr="00C22738">
        <w:rPr>
          <w:rFonts w:ascii="Verdana" w:hAnsi="Verdana"/>
          <w:sz w:val="20"/>
          <w:szCs w:val="20"/>
        </w:rPr>
        <w:t>fails to include the element that</w:t>
      </w:r>
      <w:r w:rsidR="006170FC" w:rsidRPr="00C22738">
        <w:rPr>
          <w:rFonts w:ascii="Verdana" w:hAnsi="Verdana"/>
          <w:sz w:val="20"/>
          <w:szCs w:val="20"/>
        </w:rPr>
        <w:t xml:space="preserve"> </w:t>
      </w:r>
      <w:r w:rsidR="0009409B" w:rsidRPr="00C22738">
        <w:rPr>
          <w:rFonts w:ascii="Verdana" w:hAnsi="Verdana"/>
          <w:sz w:val="20"/>
          <w:szCs w:val="20"/>
        </w:rPr>
        <w:t>“against her will” must take into account coercive elements</w:t>
      </w:r>
      <w:r w:rsidR="0056092C" w:rsidRPr="00C22738">
        <w:rPr>
          <w:rFonts w:ascii="Verdana" w:hAnsi="Verdana"/>
          <w:sz w:val="20"/>
          <w:szCs w:val="20"/>
        </w:rPr>
        <w:t>.</w:t>
      </w:r>
    </w:p>
    <w:p w14:paraId="46A5383E" w14:textId="77777777" w:rsidR="00301DC9" w:rsidRPr="00C22738" w:rsidRDefault="00301DC9" w:rsidP="006170FC">
      <w:pPr>
        <w:spacing w:after="0" w:line="240" w:lineRule="auto"/>
        <w:jc w:val="thaiDistribute"/>
        <w:rPr>
          <w:rFonts w:ascii="Verdana" w:hAnsi="Verdana"/>
          <w:sz w:val="20"/>
          <w:szCs w:val="20"/>
        </w:rPr>
      </w:pPr>
    </w:p>
    <w:p w14:paraId="34700683" w14:textId="102652AA" w:rsidR="00301DC9" w:rsidRPr="00C22738" w:rsidRDefault="00301DC9" w:rsidP="00596319">
      <w:pPr>
        <w:pStyle w:val="ListParagraph"/>
        <w:numPr>
          <w:ilvl w:val="0"/>
          <w:numId w:val="2"/>
        </w:numPr>
        <w:spacing w:after="0" w:line="240" w:lineRule="auto"/>
        <w:jc w:val="thaiDistribute"/>
        <w:rPr>
          <w:rFonts w:ascii="Verdana" w:hAnsi="Verdana"/>
          <w:sz w:val="20"/>
          <w:szCs w:val="20"/>
        </w:rPr>
      </w:pPr>
      <w:r w:rsidRPr="00C22738">
        <w:rPr>
          <w:rFonts w:ascii="Verdana" w:hAnsi="Verdana"/>
          <w:sz w:val="20"/>
          <w:szCs w:val="20"/>
        </w:rPr>
        <w:t>The definition of sexual intercourse in Article 3.8 of the Penal Code is also unduly narrow, applying only to the use of sexual organs or the use of one sexual organ with another’s bodily organs, while it should explicitly include all types of penetration of a sexual nature, however slight, by any bodily part or object, as also indicated by the UN Special Rapporteur in her report.</w:t>
      </w:r>
      <w:r w:rsidRPr="00C22738">
        <w:rPr>
          <w:rStyle w:val="FootnoteReference"/>
          <w:rFonts w:ascii="Verdana" w:hAnsi="Verdana"/>
          <w:sz w:val="20"/>
          <w:szCs w:val="20"/>
        </w:rPr>
        <w:footnoteReference w:id="9"/>
      </w:r>
    </w:p>
    <w:p w14:paraId="27148468" w14:textId="77777777" w:rsidR="00017B12" w:rsidRPr="00C22738" w:rsidRDefault="00017B12" w:rsidP="008514D0">
      <w:pPr>
        <w:pStyle w:val="ListParagraph"/>
        <w:rPr>
          <w:rFonts w:ascii="Verdana" w:hAnsi="Verdana"/>
          <w:sz w:val="20"/>
          <w:szCs w:val="20"/>
        </w:rPr>
      </w:pPr>
    </w:p>
    <w:p w14:paraId="01A4B731" w14:textId="15479CAF" w:rsidR="00017B12" w:rsidRPr="00C22738" w:rsidRDefault="00D3287C" w:rsidP="008514D0">
      <w:pPr>
        <w:pStyle w:val="ListParagraph"/>
        <w:numPr>
          <w:ilvl w:val="0"/>
          <w:numId w:val="2"/>
        </w:numPr>
        <w:spacing w:after="0" w:line="240" w:lineRule="auto"/>
        <w:jc w:val="thaiDistribute"/>
        <w:rPr>
          <w:rFonts w:ascii="Verdana" w:hAnsi="Verdana"/>
          <w:sz w:val="20"/>
          <w:szCs w:val="20"/>
        </w:rPr>
      </w:pPr>
      <w:r w:rsidRPr="00C22738">
        <w:rPr>
          <w:rFonts w:ascii="Verdana" w:hAnsi="Verdana"/>
          <w:sz w:val="20"/>
          <w:szCs w:val="20"/>
        </w:rPr>
        <w:t xml:space="preserve">Further, under the Penal Code, rape is defined as occurring only with women, </w:t>
      </w:r>
      <w:r w:rsidR="00382467" w:rsidRPr="00C22738">
        <w:rPr>
          <w:rFonts w:ascii="Verdana" w:hAnsi="Verdana"/>
          <w:sz w:val="20"/>
          <w:szCs w:val="20"/>
        </w:rPr>
        <w:t>whereas under international human rights law</w:t>
      </w:r>
      <w:r w:rsidR="0009409B" w:rsidRPr="00C22738">
        <w:rPr>
          <w:rFonts w:ascii="Verdana" w:hAnsi="Verdana"/>
          <w:sz w:val="20"/>
          <w:szCs w:val="20"/>
        </w:rPr>
        <w:t>,</w:t>
      </w:r>
      <w:r w:rsidRPr="00C22738">
        <w:rPr>
          <w:rFonts w:ascii="Verdana" w:hAnsi="Verdana"/>
          <w:sz w:val="20"/>
          <w:szCs w:val="20"/>
        </w:rPr>
        <w:t xml:space="preserve"> all persons </w:t>
      </w:r>
      <w:r w:rsidR="0009409B" w:rsidRPr="00C22738">
        <w:rPr>
          <w:rFonts w:ascii="Verdana" w:hAnsi="Verdana"/>
          <w:sz w:val="20"/>
          <w:szCs w:val="20"/>
        </w:rPr>
        <w:t xml:space="preserve">must be protected from rape and other forms of violence </w:t>
      </w:r>
      <w:r w:rsidRPr="00C22738">
        <w:rPr>
          <w:rFonts w:ascii="Verdana" w:hAnsi="Verdana"/>
          <w:sz w:val="20"/>
          <w:szCs w:val="20"/>
        </w:rPr>
        <w:t xml:space="preserve">without discrimination, including men and gender-diverse persons. </w:t>
      </w:r>
    </w:p>
    <w:p w14:paraId="0A19D41B" w14:textId="77777777" w:rsidR="005074C2" w:rsidRPr="00C22738" w:rsidRDefault="005074C2" w:rsidP="00297669">
      <w:pPr>
        <w:pStyle w:val="ListParagraph"/>
        <w:spacing w:after="0" w:line="240" w:lineRule="auto"/>
        <w:contextualSpacing w:val="0"/>
        <w:jc w:val="thaiDistribute"/>
        <w:rPr>
          <w:rFonts w:ascii="Verdana" w:hAnsi="Verdana"/>
          <w:sz w:val="20"/>
          <w:szCs w:val="20"/>
        </w:rPr>
      </w:pPr>
    </w:p>
    <w:p w14:paraId="497B65AF" w14:textId="720DD0ED" w:rsidR="00D0124F" w:rsidRPr="00C22738" w:rsidRDefault="00D0124F" w:rsidP="00297669">
      <w:pPr>
        <w:spacing w:after="0" w:line="240" w:lineRule="auto"/>
        <w:jc w:val="thaiDistribute"/>
        <w:rPr>
          <w:rFonts w:ascii="Verdana" w:hAnsi="Verdana"/>
          <w:sz w:val="20"/>
          <w:szCs w:val="20"/>
          <w:u w:val="single"/>
        </w:rPr>
      </w:pPr>
      <w:r w:rsidRPr="00C22738">
        <w:rPr>
          <w:rFonts w:ascii="Verdana" w:hAnsi="Verdana"/>
          <w:sz w:val="20"/>
          <w:szCs w:val="20"/>
          <w:u w:val="single"/>
        </w:rPr>
        <w:t xml:space="preserve">Consensual sexual conduct with </w:t>
      </w:r>
      <w:r w:rsidR="005229C3" w:rsidRPr="00C22738">
        <w:rPr>
          <w:rFonts w:ascii="Verdana" w:hAnsi="Verdana"/>
          <w:sz w:val="20"/>
          <w:szCs w:val="20"/>
          <w:u w:val="single"/>
        </w:rPr>
        <w:t>persons below 18 years old</w:t>
      </w:r>
    </w:p>
    <w:p w14:paraId="1DF8B7C1" w14:textId="77777777" w:rsidR="00D0124F" w:rsidRPr="00C22738" w:rsidRDefault="00D0124F" w:rsidP="00297669">
      <w:pPr>
        <w:pStyle w:val="ListParagraph"/>
        <w:spacing w:after="0" w:line="240" w:lineRule="auto"/>
        <w:contextualSpacing w:val="0"/>
        <w:rPr>
          <w:rFonts w:ascii="Verdana" w:hAnsi="Verdana"/>
          <w:sz w:val="20"/>
          <w:szCs w:val="20"/>
        </w:rPr>
      </w:pPr>
    </w:p>
    <w:p w14:paraId="11D7F539" w14:textId="033FD6AA" w:rsidR="00F24EDC" w:rsidRPr="00C22738" w:rsidRDefault="00C43F7F" w:rsidP="00563852">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The LPVWC</w:t>
      </w:r>
      <w:r w:rsidR="006B2708" w:rsidRPr="00C22738">
        <w:rPr>
          <w:rFonts w:ascii="Verdana" w:hAnsi="Verdana"/>
          <w:sz w:val="20"/>
          <w:szCs w:val="20"/>
        </w:rPr>
        <w:t xml:space="preserve"> and Article 250 of the Penal Code</w:t>
      </w:r>
      <w:r w:rsidRPr="00C22738">
        <w:rPr>
          <w:rFonts w:ascii="Verdana" w:hAnsi="Verdana"/>
          <w:sz w:val="20"/>
          <w:szCs w:val="20"/>
        </w:rPr>
        <w:t xml:space="preserve"> impose criminal penalties, including prison sentences, on individuals who engage in sexual conduct with a person below eighteen years of age, with penalties varying depending on the child's age</w:t>
      </w:r>
      <w:r w:rsidR="0083033C" w:rsidRPr="00C22738">
        <w:rPr>
          <w:rFonts w:ascii="Verdana" w:hAnsi="Verdana"/>
          <w:sz w:val="20"/>
          <w:szCs w:val="20"/>
        </w:rPr>
        <w:t>.</w:t>
      </w:r>
      <w:r w:rsidR="00B51632" w:rsidRPr="00C22738">
        <w:rPr>
          <w:rStyle w:val="FootnoteReference"/>
          <w:rFonts w:ascii="Verdana" w:hAnsi="Verdana"/>
          <w:sz w:val="20"/>
          <w:szCs w:val="20"/>
        </w:rPr>
        <w:footnoteReference w:id="10"/>
      </w:r>
      <w:r w:rsidR="005074C2" w:rsidRPr="00C22738">
        <w:rPr>
          <w:rFonts w:ascii="Verdana" w:hAnsi="Verdana"/>
          <w:sz w:val="20"/>
          <w:szCs w:val="20"/>
        </w:rPr>
        <w:t xml:space="preserve"> </w:t>
      </w:r>
      <w:r w:rsidR="001C2CB7" w:rsidRPr="00C22738">
        <w:rPr>
          <w:rFonts w:ascii="Verdana" w:hAnsi="Verdana"/>
          <w:sz w:val="20"/>
          <w:szCs w:val="20"/>
        </w:rPr>
        <w:lastRenderedPageBreak/>
        <w:t>Considering that the minimum age of criminal liability is set at 15 in Lao PDR</w:t>
      </w:r>
      <w:r w:rsidR="00557A15" w:rsidRPr="00C22738">
        <w:rPr>
          <w:rFonts w:ascii="Verdana" w:hAnsi="Verdana"/>
          <w:sz w:val="20"/>
          <w:szCs w:val="20"/>
        </w:rPr>
        <w:t>,</w:t>
      </w:r>
      <w:r w:rsidR="00557A15" w:rsidRPr="00C22738">
        <w:rPr>
          <w:rStyle w:val="FootnoteReference"/>
          <w:rFonts w:ascii="Verdana" w:hAnsi="Verdana"/>
          <w:sz w:val="20"/>
          <w:szCs w:val="20"/>
        </w:rPr>
        <w:footnoteReference w:id="11"/>
      </w:r>
      <w:r w:rsidR="00876F76" w:rsidRPr="00C22738">
        <w:rPr>
          <w:rFonts w:ascii="Verdana" w:hAnsi="Verdana"/>
          <w:sz w:val="20"/>
          <w:szCs w:val="20"/>
        </w:rPr>
        <w:t xml:space="preserve"> </w:t>
      </w:r>
      <w:r w:rsidR="001D32C6" w:rsidRPr="00C22738">
        <w:rPr>
          <w:rFonts w:ascii="Verdana" w:hAnsi="Verdana"/>
          <w:sz w:val="20"/>
          <w:szCs w:val="20"/>
        </w:rPr>
        <w:t>these provisions have led to situations where anyone over 15 years old could be subject to criminal penalties for consensual sexual conduct with individuals under 18, without considering the rights and capacity of those under eighteen to make decisions about consensual sexual activity</w:t>
      </w:r>
      <w:r w:rsidR="00BE6E80" w:rsidRPr="00C22738">
        <w:rPr>
          <w:rFonts w:ascii="Verdana" w:hAnsi="Verdana"/>
          <w:sz w:val="20"/>
          <w:szCs w:val="20"/>
        </w:rPr>
        <w:t>,</w:t>
      </w:r>
      <w:r w:rsidR="000037B9" w:rsidRPr="00C22738">
        <w:rPr>
          <w:rStyle w:val="FootnoteReference"/>
          <w:rFonts w:ascii="Verdana" w:hAnsi="Verdana"/>
          <w:sz w:val="20"/>
          <w:szCs w:val="20"/>
        </w:rPr>
        <w:footnoteReference w:id="12"/>
      </w:r>
      <w:r w:rsidR="00097137" w:rsidRPr="00C22738">
        <w:rPr>
          <w:rFonts w:ascii="Verdana" w:hAnsi="Verdana"/>
          <w:sz w:val="20"/>
          <w:szCs w:val="20"/>
        </w:rPr>
        <w:t xml:space="preserve"> </w:t>
      </w:r>
      <w:r w:rsidR="00521B1B" w:rsidRPr="00C22738">
        <w:rPr>
          <w:rFonts w:ascii="Verdana" w:hAnsi="Verdana"/>
          <w:sz w:val="20"/>
          <w:szCs w:val="20"/>
        </w:rPr>
        <w:t xml:space="preserve"> </w:t>
      </w:r>
      <w:r w:rsidR="00F40C98" w:rsidRPr="00C22738">
        <w:rPr>
          <w:rFonts w:ascii="Verdana" w:hAnsi="Verdana"/>
          <w:sz w:val="20"/>
          <w:szCs w:val="20"/>
        </w:rPr>
        <w:t xml:space="preserve">as affirmed by the Committee on the Rights of the Child in their </w:t>
      </w:r>
      <w:r w:rsidR="00F60513" w:rsidRPr="00C22738">
        <w:rPr>
          <w:rFonts w:ascii="Verdana" w:hAnsi="Verdana"/>
          <w:sz w:val="20"/>
          <w:szCs w:val="20"/>
        </w:rPr>
        <w:t>G</w:t>
      </w:r>
      <w:r w:rsidR="00F40C98" w:rsidRPr="00C22738">
        <w:rPr>
          <w:rFonts w:ascii="Verdana" w:hAnsi="Verdana"/>
          <w:sz w:val="20"/>
          <w:szCs w:val="20"/>
        </w:rPr>
        <w:t xml:space="preserve">eneral </w:t>
      </w:r>
      <w:r w:rsidR="00F60513" w:rsidRPr="00C22738">
        <w:rPr>
          <w:rFonts w:ascii="Verdana" w:hAnsi="Verdana"/>
          <w:sz w:val="20"/>
          <w:szCs w:val="20"/>
        </w:rPr>
        <w:t>C</w:t>
      </w:r>
      <w:r w:rsidR="00F40C98" w:rsidRPr="00C22738">
        <w:rPr>
          <w:rFonts w:ascii="Verdana" w:hAnsi="Verdana"/>
          <w:sz w:val="20"/>
          <w:szCs w:val="20"/>
        </w:rPr>
        <w:t>omment.</w:t>
      </w:r>
      <w:r w:rsidR="006560E6" w:rsidRPr="00C22738">
        <w:rPr>
          <w:rStyle w:val="FootnoteReference"/>
          <w:rFonts w:ascii="Verdana" w:hAnsi="Verdana"/>
          <w:sz w:val="20"/>
          <w:szCs w:val="20"/>
        </w:rPr>
        <w:footnoteReference w:id="13"/>
      </w:r>
    </w:p>
    <w:p w14:paraId="66ACA485" w14:textId="77777777" w:rsidR="00980A60" w:rsidRPr="00C22738" w:rsidRDefault="00980A60" w:rsidP="00297669">
      <w:pPr>
        <w:spacing w:after="0" w:line="240" w:lineRule="auto"/>
        <w:jc w:val="thaiDistribute"/>
        <w:rPr>
          <w:rFonts w:ascii="Verdana" w:hAnsi="Verdana"/>
          <w:sz w:val="20"/>
          <w:szCs w:val="20"/>
          <w:u w:val="single"/>
        </w:rPr>
      </w:pPr>
    </w:p>
    <w:p w14:paraId="6B4B5FD0" w14:textId="66A97D26" w:rsidR="001A0593" w:rsidRPr="00C22738" w:rsidRDefault="007C7FB0" w:rsidP="00297669">
      <w:pPr>
        <w:spacing w:after="0" w:line="240" w:lineRule="auto"/>
        <w:jc w:val="thaiDistribute"/>
        <w:rPr>
          <w:rFonts w:ascii="Verdana" w:hAnsi="Verdana"/>
          <w:sz w:val="20"/>
          <w:szCs w:val="20"/>
          <w:u w:val="single"/>
        </w:rPr>
      </w:pPr>
      <w:r w:rsidRPr="00C22738">
        <w:rPr>
          <w:rFonts w:ascii="Verdana" w:hAnsi="Verdana"/>
          <w:sz w:val="20"/>
          <w:szCs w:val="20"/>
          <w:u w:val="single"/>
        </w:rPr>
        <w:t xml:space="preserve">Discriminatory provisions in the Penal Code: prostitution, adultery, </w:t>
      </w:r>
      <w:r w:rsidR="001D3C7D" w:rsidRPr="00C22738">
        <w:rPr>
          <w:rFonts w:ascii="Verdana" w:hAnsi="Verdana"/>
          <w:sz w:val="20"/>
          <w:szCs w:val="20"/>
          <w:u w:val="single"/>
        </w:rPr>
        <w:t>dissemination of pornography</w:t>
      </w:r>
      <w:r w:rsidR="001D3C7D" w:rsidRPr="00C22738">
        <w:rPr>
          <w:rFonts w:ascii="Verdana" w:hAnsi="Verdana"/>
          <w:sz w:val="20"/>
          <w:szCs w:val="20"/>
          <w:u w:val="single"/>
        </w:rPr>
        <w:t xml:space="preserve">, </w:t>
      </w:r>
      <w:r w:rsidRPr="00C22738">
        <w:rPr>
          <w:rFonts w:ascii="Verdana" w:hAnsi="Verdana"/>
          <w:sz w:val="20"/>
          <w:szCs w:val="20"/>
          <w:u w:val="single"/>
        </w:rPr>
        <w:t>sexual acts with monks</w:t>
      </w:r>
      <w:r w:rsidR="00F51550" w:rsidRPr="00C22738">
        <w:rPr>
          <w:rFonts w:ascii="Verdana" w:hAnsi="Verdana"/>
          <w:sz w:val="20"/>
          <w:szCs w:val="20"/>
          <w:u w:val="single"/>
        </w:rPr>
        <w:t xml:space="preserve"> and illegal abortion</w:t>
      </w:r>
    </w:p>
    <w:p w14:paraId="7829BCB8" w14:textId="77777777" w:rsidR="001A0593" w:rsidRPr="00C22738" w:rsidRDefault="001A0593" w:rsidP="00297669">
      <w:pPr>
        <w:pStyle w:val="ListParagraph"/>
        <w:spacing w:after="0" w:line="240" w:lineRule="auto"/>
        <w:contextualSpacing w:val="0"/>
        <w:jc w:val="thaiDistribute"/>
        <w:rPr>
          <w:rFonts w:ascii="Verdana" w:hAnsi="Verdana"/>
          <w:sz w:val="20"/>
          <w:szCs w:val="20"/>
        </w:rPr>
      </w:pPr>
    </w:p>
    <w:p w14:paraId="51A9F262" w14:textId="0562ACC3" w:rsidR="00344D97" w:rsidRPr="00C22738" w:rsidRDefault="00BF770E" w:rsidP="00292CD9">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The Penal Code contains provisions that discriminate against women, in contravention of Article 2(g) of CEDAW</w:t>
      </w:r>
      <w:r w:rsidR="00A06F24" w:rsidRPr="00C22738">
        <w:rPr>
          <w:rFonts w:ascii="Verdana" w:hAnsi="Verdana"/>
          <w:sz w:val="20"/>
          <w:szCs w:val="20"/>
        </w:rPr>
        <w:t>.</w:t>
      </w:r>
      <w:r w:rsidRPr="00C22738">
        <w:rPr>
          <w:rFonts w:ascii="Verdana" w:hAnsi="Verdana"/>
          <w:sz w:val="20"/>
          <w:szCs w:val="20"/>
        </w:rPr>
        <w:t xml:space="preserve"> </w:t>
      </w:r>
      <w:r w:rsidR="00A06F24" w:rsidRPr="00C22738">
        <w:rPr>
          <w:rFonts w:ascii="Verdana" w:hAnsi="Verdana"/>
          <w:sz w:val="20"/>
          <w:szCs w:val="20"/>
        </w:rPr>
        <w:t xml:space="preserve">These include </w:t>
      </w:r>
      <w:r w:rsidRPr="00C22738">
        <w:rPr>
          <w:rFonts w:ascii="Verdana" w:hAnsi="Verdana"/>
          <w:sz w:val="20"/>
          <w:szCs w:val="20"/>
        </w:rPr>
        <w:t>the criminalization of prostitution</w:t>
      </w:r>
      <w:r w:rsidR="007C27D8" w:rsidRPr="00C22738">
        <w:rPr>
          <w:rFonts w:ascii="Verdana" w:hAnsi="Verdana"/>
          <w:sz w:val="20"/>
          <w:szCs w:val="20"/>
        </w:rPr>
        <w:t>,</w:t>
      </w:r>
      <w:r w:rsidR="00175A2B" w:rsidRPr="00C22738">
        <w:rPr>
          <w:rStyle w:val="FootnoteReference"/>
          <w:rFonts w:ascii="Verdana" w:hAnsi="Verdana"/>
          <w:sz w:val="20"/>
          <w:szCs w:val="20"/>
        </w:rPr>
        <w:footnoteReference w:id="14"/>
      </w:r>
      <w:r w:rsidRPr="00C22738">
        <w:rPr>
          <w:rFonts w:ascii="Verdana" w:hAnsi="Verdana"/>
          <w:sz w:val="20"/>
          <w:szCs w:val="20"/>
        </w:rPr>
        <w:t xml:space="preserve"> adultery,</w:t>
      </w:r>
      <w:r w:rsidR="00BF004E" w:rsidRPr="00C22738">
        <w:rPr>
          <w:rStyle w:val="FootnoteReference"/>
          <w:rFonts w:ascii="Verdana" w:hAnsi="Verdana"/>
          <w:sz w:val="20"/>
          <w:szCs w:val="20"/>
        </w:rPr>
        <w:footnoteReference w:id="15"/>
      </w:r>
      <w:r w:rsidR="007C27D8" w:rsidRPr="00C22738">
        <w:rPr>
          <w:rFonts w:ascii="Verdana" w:hAnsi="Verdana"/>
          <w:sz w:val="20"/>
          <w:szCs w:val="20"/>
        </w:rPr>
        <w:t xml:space="preserve"> </w:t>
      </w:r>
      <w:r w:rsidR="00461ABC" w:rsidRPr="00C22738">
        <w:rPr>
          <w:rFonts w:ascii="Verdana" w:hAnsi="Verdana"/>
          <w:sz w:val="20"/>
          <w:szCs w:val="20"/>
        </w:rPr>
        <w:t xml:space="preserve">consensual </w:t>
      </w:r>
      <w:r w:rsidR="00E64326" w:rsidRPr="00C22738">
        <w:rPr>
          <w:rFonts w:ascii="Verdana" w:hAnsi="Verdana"/>
          <w:sz w:val="20"/>
          <w:szCs w:val="20"/>
        </w:rPr>
        <w:t>dissemination of pornography</w:t>
      </w:r>
      <w:r w:rsidR="008F2EFD" w:rsidRPr="00C22738">
        <w:rPr>
          <w:rFonts w:ascii="Verdana" w:hAnsi="Verdana"/>
          <w:sz w:val="20"/>
          <w:szCs w:val="20"/>
        </w:rPr>
        <w:t xml:space="preserve"> (</w:t>
      </w:r>
      <w:r w:rsidR="008F2EFD" w:rsidRPr="00C22738">
        <w:rPr>
          <w:rFonts w:ascii="Verdana" w:hAnsi="Verdana"/>
          <w:sz w:val="20"/>
          <w:szCs w:val="20"/>
        </w:rPr>
        <w:t>except in cases involving child pornography</w:t>
      </w:r>
      <w:r w:rsidR="008F2EFD" w:rsidRPr="00C22738">
        <w:rPr>
          <w:rFonts w:ascii="Verdana" w:hAnsi="Verdana"/>
          <w:sz w:val="20"/>
          <w:szCs w:val="20"/>
        </w:rPr>
        <w:t>)</w:t>
      </w:r>
      <w:r w:rsidR="00E64326" w:rsidRPr="00C22738">
        <w:rPr>
          <w:rFonts w:ascii="Verdana" w:hAnsi="Verdana"/>
          <w:sz w:val="20"/>
          <w:szCs w:val="20"/>
        </w:rPr>
        <w:t>,</w:t>
      </w:r>
      <w:r w:rsidR="00E70891" w:rsidRPr="00C22738">
        <w:rPr>
          <w:rStyle w:val="FootnoteReference"/>
          <w:rFonts w:ascii="Verdana" w:hAnsi="Verdana"/>
          <w:sz w:val="20"/>
          <w:szCs w:val="20"/>
        </w:rPr>
        <w:footnoteReference w:id="16"/>
      </w:r>
      <w:r w:rsidR="00E64326" w:rsidRPr="00C22738">
        <w:rPr>
          <w:rFonts w:ascii="Verdana" w:hAnsi="Verdana"/>
          <w:sz w:val="20"/>
          <w:szCs w:val="20"/>
        </w:rPr>
        <w:t xml:space="preserve"> </w:t>
      </w:r>
      <w:r w:rsidR="00175A2B" w:rsidRPr="00C22738">
        <w:rPr>
          <w:rFonts w:ascii="Verdana" w:hAnsi="Verdana"/>
          <w:sz w:val="20"/>
          <w:szCs w:val="20"/>
        </w:rPr>
        <w:t xml:space="preserve">and </w:t>
      </w:r>
      <w:r w:rsidR="00D719D8" w:rsidRPr="00C22738">
        <w:rPr>
          <w:rFonts w:ascii="Verdana" w:hAnsi="Verdana"/>
          <w:sz w:val="20"/>
          <w:szCs w:val="20"/>
        </w:rPr>
        <w:t xml:space="preserve">consensual </w:t>
      </w:r>
      <w:r w:rsidR="007C27D8" w:rsidRPr="00C22738">
        <w:rPr>
          <w:rFonts w:ascii="Verdana" w:hAnsi="Verdana"/>
          <w:sz w:val="20"/>
          <w:szCs w:val="20"/>
        </w:rPr>
        <w:t>sexual acts with monks</w:t>
      </w:r>
      <w:r w:rsidR="00F51550" w:rsidRPr="00C22738">
        <w:rPr>
          <w:rFonts w:ascii="Verdana" w:hAnsi="Verdana"/>
          <w:sz w:val="20"/>
          <w:szCs w:val="20"/>
        </w:rPr>
        <w:t xml:space="preserve">, </w:t>
      </w:r>
      <w:r w:rsidR="00B75FAB" w:rsidRPr="00C22738">
        <w:rPr>
          <w:rFonts w:ascii="Verdana" w:hAnsi="Verdana"/>
          <w:sz w:val="20"/>
          <w:szCs w:val="20"/>
        </w:rPr>
        <w:t>novices, nuns, or hermits,</w:t>
      </w:r>
      <w:r w:rsidR="00175A2B" w:rsidRPr="00C22738">
        <w:rPr>
          <w:rStyle w:val="FootnoteReference"/>
          <w:rFonts w:ascii="Verdana" w:hAnsi="Verdana"/>
          <w:sz w:val="20"/>
          <w:szCs w:val="20"/>
        </w:rPr>
        <w:footnoteReference w:id="17"/>
      </w:r>
      <w:r w:rsidR="00B75FAB" w:rsidRPr="00C22738">
        <w:rPr>
          <w:rFonts w:ascii="Verdana" w:hAnsi="Verdana"/>
          <w:sz w:val="20"/>
          <w:szCs w:val="20"/>
        </w:rPr>
        <w:t xml:space="preserve"> </w:t>
      </w:r>
      <w:r w:rsidRPr="00C22738">
        <w:rPr>
          <w:rFonts w:ascii="Verdana" w:hAnsi="Verdana"/>
          <w:sz w:val="20"/>
          <w:szCs w:val="20"/>
        </w:rPr>
        <w:t>which could disproportionately affect women due to their situation or sta</w:t>
      </w:r>
      <w:r w:rsidR="00037F28" w:rsidRPr="00C22738">
        <w:rPr>
          <w:rFonts w:ascii="Verdana" w:hAnsi="Verdana"/>
          <w:sz w:val="20"/>
          <w:szCs w:val="20"/>
        </w:rPr>
        <w:t>tus</w:t>
      </w:r>
      <w:r w:rsidR="00F24EDC" w:rsidRPr="00C22738">
        <w:rPr>
          <w:rFonts w:ascii="Verdana" w:hAnsi="Verdana"/>
          <w:sz w:val="20"/>
          <w:szCs w:val="20"/>
        </w:rPr>
        <w:t>.</w:t>
      </w:r>
      <w:r w:rsidR="00F24EDC" w:rsidRPr="00C22738">
        <w:rPr>
          <w:rStyle w:val="FootnoteReference"/>
          <w:rFonts w:ascii="Verdana" w:hAnsi="Verdana"/>
          <w:sz w:val="20"/>
          <w:szCs w:val="20"/>
        </w:rPr>
        <w:footnoteReference w:id="18"/>
      </w:r>
      <w:r w:rsidR="00F24EDC" w:rsidRPr="00C22738">
        <w:rPr>
          <w:rFonts w:ascii="Verdana" w:hAnsi="Verdana"/>
          <w:sz w:val="20"/>
          <w:szCs w:val="20"/>
        </w:rPr>
        <w:t xml:space="preserve"> </w:t>
      </w:r>
      <w:r w:rsidR="005A3A04" w:rsidRPr="00C22738">
        <w:rPr>
          <w:rFonts w:ascii="Verdana" w:hAnsi="Verdana"/>
          <w:sz w:val="20"/>
          <w:szCs w:val="20"/>
        </w:rPr>
        <w:t xml:space="preserve">These provisions also create </w:t>
      </w:r>
      <w:r w:rsidR="00ED69C4" w:rsidRPr="00C22738">
        <w:rPr>
          <w:rFonts w:ascii="Verdana" w:hAnsi="Verdana"/>
          <w:sz w:val="20"/>
          <w:szCs w:val="20"/>
        </w:rPr>
        <w:t xml:space="preserve">substantial </w:t>
      </w:r>
      <w:r w:rsidR="005A3A04" w:rsidRPr="00C22738">
        <w:rPr>
          <w:rFonts w:ascii="Verdana" w:hAnsi="Verdana"/>
          <w:sz w:val="20"/>
          <w:szCs w:val="20"/>
        </w:rPr>
        <w:t>barrier</w:t>
      </w:r>
      <w:r w:rsidR="00ED69C4" w:rsidRPr="00C22738">
        <w:rPr>
          <w:rFonts w:ascii="Verdana" w:hAnsi="Verdana"/>
          <w:sz w:val="20"/>
          <w:szCs w:val="20"/>
        </w:rPr>
        <w:t>s to access to justice</w:t>
      </w:r>
      <w:r w:rsidR="005A3A04" w:rsidRPr="00C22738">
        <w:rPr>
          <w:rFonts w:ascii="Verdana" w:hAnsi="Verdana"/>
          <w:sz w:val="20"/>
          <w:szCs w:val="20"/>
        </w:rPr>
        <w:t xml:space="preserve">, making it more difficult </w:t>
      </w:r>
      <w:r w:rsidR="005A3A04" w:rsidRPr="00C22738">
        <w:rPr>
          <w:rFonts w:ascii="Verdana" w:hAnsi="Verdana"/>
          <w:sz w:val="20"/>
          <w:szCs w:val="20"/>
        </w:rPr>
        <w:lastRenderedPageBreak/>
        <w:t xml:space="preserve">for women who are survivors of GBV to access justice by instilling fear of arrest and prosecution, </w:t>
      </w:r>
      <w:r w:rsidR="00ED69C4" w:rsidRPr="00C22738">
        <w:rPr>
          <w:rFonts w:ascii="Verdana" w:hAnsi="Verdana"/>
          <w:sz w:val="20"/>
          <w:szCs w:val="20"/>
        </w:rPr>
        <w:t>and are thereby non-compliant with</w:t>
      </w:r>
      <w:r w:rsidR="005A3A04" w:rsidRPr="00C22738">
        <w:rPr>
          <w:rFonts w:ascii="Verdana" w:hAnsi="Verdana"/>
          <w:sz w:val="20"/>
          <w:szCs w:val="20"/>
        </w:rPr>
        <w:t xml:space="preserve"> Articles 2 and 15 of CEDAW</w:t>
      </w:r>
      <w:r w:rsidR="00A544D6" w:rsidRPr="00C22738">
        <w:rPr>
          <w:rFonts w:ascii="Verdana" w:hAnsi="Verdana"/>
          <w:sz w:val="20"/>
          <w:szCs w:val="20"/>
        </w:rPr>
        <w:t>.</w:t>
      </w:r>
      <w:r w:rsidR="00A544D6" w:rsidRPr="00C22738">
        <w:rPr>
          <w:rStyle w:val="FootnoteReference"/>
          <w:rFonts w:ascii="Verdana" w:hAnsi="Verdana"/>
          <w:sz w:val="20"/>
          <w:szCs w:val="20"/>
        </w:rPr>
        <w:footnoteReference w:id="19"/>
      </w:r>
      <w:r w:rsidR="00A544D6" w:rsidRPr="00C22738">
        <w:rPr>
          <w:rFonts w:ascii="Verdana" w:hAnsi="Verdana"/>
          <w:sz w:val="20"/>
          <w:szCs w:val="20"/>
        </w:rPr>
        <w:t xml:space="preserve"> </w:t>
      </w:r>
    </w:p>
    <w:p w14:paraId="3B8C0D7E" w14:textId="77777777" w:rsidR="00F51550" w:rsidRPr="00C22738" w:rsidRDefault="00F51550" w:rsidP="008514D0">
      <w:pPr>
        <w:pStyle w:val="ListParagraph"/>
        <w:rPr>
          <w:rFonts w:ascii="Verdana" w:hAnsi="Verdana"/>
          <w:sz w:val="20"/>
          <w:szCs w:val="20"/>
        </w:rPr>
      </w:pPr>
    </w:p>
    <w:p w14:paraId="274B2BB4" w14:textId="3DDB5CBF" w:rsidR="0019304B" w:rsidRPr="00C22738" w:rsidRDefault="00F86BDB" w:rsidP="008514D0">
      <w:pPr>
        <w:pStyle w:val="ListParagraph"/>
        <w:numPr>
          <w:ilvl w:val="0"/>
          <w:numId w:val="2"/>
        </w:numPr>
        <w:spacing w:after="0" w:line="240" w:lineRule="auto"/>
        <w:jc w:val="thaiDistribute"/>
        <w:rPr>
          <w:rFonts w:ascii="Verdana" w:hAnsi="Verdana"/>
          <w:sz w:val="20"/>
          <w:szCs w:val="20"/>
        </w:rPr>
      </w:pPr>
      <w:r w:rsidRPr="00C22738">
        <w:rPr>
          <w:rFonts w:ascii="Verdana" w:hAnsi="Verdana"/>
          <w:sz w:val="20"/>
          <w:szCs w:val="20"/>
        </w:rPr>
        <w:t xml:space="preserve">In violation of women’s sexual and reproductive health and rights, Article 201 of the Penal Code criminalizes the act of </w:t>
      </w:r>
      <w:r w:rsidR="00F51550" w:rsidRPr="00C22738">
        <w:rPr>
          <w:rFonts w:ascii="Verdana" w:hAnsi="Verdana"/>
          <w:sz w:val="20"/>
          <w:szCs w:val="20"/>
        </w:rPr>
        <w:t>“</w:t>
      </w:r>
      <w:r w:rsidRPr="00C22738">
        <w:rPr>
          <w:rFonts w:ascii="Verdana" w:hAnsi="Verdana"/>
          <w:sz w:val="20"/>
          <w:szCs w:val="20"/>
        </w:rPr>
        <w:t>illegal abortion</w:t>
      </w:r>
      <w:r w:rsidR="00F51550" w:rsidRPr="00C22738">
        <w:rPr>
          <w:rFonts w:ascii="Verdana" w:hAnsi="Verdana"/>
          <w:sz w:val="20"/>
          <w:szCs w:val="20"/>
        </w:rPr>
        <w:t>”</w:t>
      </w:r>
      <w:r w:rsidR="005B56E3" w:rsidRPr="00C22738">
        <w:rPr>
          <w:rFonts w:ascii="Verdana" w:hAnsi="Verdana"/>
          <w:sz w:val="20"/>
          <w:szCs w:val="20"/>
        </w:rPr>
        <w:t>.</w:t>
      </w:r>
      <w:r w:rsidR="004435F5" w:rsidRPr="00C22738">
        <w:rPr>
          <w:rStyle w:val="FootnoteReference"/>
          <w:rFonts w:ascii="Verdana" w:hAnsi="Verdana"/>
          <w:sz w:val="20"/>
          <w:szCs w:val="20"/>
        </w:rPr>
        <w:footnoteReference w:id="20"/>
      </w:r>
      <w:r w:rsidR="00A44953" w:rsidRPr="00C22738">
        <w:rPr>
          <w:rFonts w:ascii="Verdana" w:hAnsi="Verdana"/>
          <w:sz w:val="20"/>
          <w:szCs w:val="20"/>
        </w:rPr>
        <w:t xml:space="preserve"> </w:t>
      </w:r>
      <w:r w:rsidR="007432C8" w:rsidRPr="00C22738">
        <w:rPr>
          <w:rFonts w:ascii="Verdana" w:hAnsi="Verdana"/>
          <w:sz w:val="20"/>
          <w:szCs w:val="20"/>
        </w:rPr>
        <w:t>Ministerial approvals in 2021 outlined the circumstances under which abortion is legal, including medical issues, rape, failed contraceptives, having more than four children, poverty, and young age</w:t>
      </w:r>
      <w:r w:rsidR="00E878B0" w:rsidRPr="00C22738">
        <w:rPr>
          <w:rFonts w:ascii="Verdana" w:hAnsi="Verdana"/>
          <w:sz w:val="20"/>
          <w:szCs w:val="20"/>
        </w:rPr>
        <w:t>.</w:t>
      </w:r>
      <w:r w:rsidR="00E878B0" w:rsidRPr="00C22738">
        <w:rPr>
          <w:rStyle w:val="FootnoteReference"/>
          <w:rFonts w:ascii="Verdana" w:hAnsi="Verdana"/>
          <w:sz w:val="20"/>
          <w:szCs w:val="20"/>
        </w:rPr>
        <w:footnoteReference w:id="21"/>
      </w:r>
      <w:r w:rsidR="00F00AA7" w:rsidRPr="00C22738">
        <w:rPr>
          <w:rFonts w:ascii="Verdana" w:hAnsi="Verdana"/>
          <w:sz w:val="20"/>
          <w:szCs w:val="20"/>
        </w:rPr>
        <w:t xml:space="preserve"> </w:t>
      </w:r>
      <w:r w:rsidR="001F445F" w:rsidRPr="00C22738">
        <w:rPr>
          <w:rFonts w:ascii="Verdana" w:hAnsi="Verdana"/>
          <w:sz w:val="20"/>
          <w:szCs w:val="20"/>
        </w:rPr>
        <w:t>However</w:t>
      </w:r>
      <w:r w:rsidR="00424217" w:rsidRPr="00C22738">
        <w:rPr>
          <w:rFonts w:ascii="Verdana" w:hAnsi="Verdana"/>
          <w:sz w:val="20"/>
          <w:szCs w:val="20"/>
        </w:rPr>
        <w:t xml:space="preserve">, </w:t>
      </w:r>
      <w:r w:rsidR="001F445F" w:rsidRPr="00C22738">
        <w:rPr>
          <w:rFonts w:ascii="Verdana" w:hAnsi="Verdana"/>
          <w:sz w:val="20"/>
          <w:szCs w:val="20"/>
        </w:rPr>
        <w:t>despite the need for abortion to be fully decriminalized</w:t>
      </w:r>
      <w:r w:rsidR="00424217" w:rsidRPr="00C22738">
        <w:rPr>
          <w:rFonts w:ascii="Verdana" w:hAnsi="Verdana"/>
          <w:sz w:val="20"/>
          <w:szCs w:val="20"/>
        </w:rPr>
        <w:t>,</w:t>
      </w:r>
      <w:r w:rsidR="00C10BDD" w:rsidRPr="00C22738">
        <w:rPr>
          <w:rStyle w:val="FootnoteReference"/>
          <w:rFonts w:ascii="Verdana" w:hAnsi="Verdana"/>
          <w:sz w:val="20"/>
          <w:szCs w:val="20"/>
        </w:rPr>
        <w:footnoteReference w:id="22"/>
      </w:r>
      <w:r w:rsidR="00424217" w:rsidRPr="00C22738">
        <w:rPr>
          <w:rFonts w:ascii="Verdana" w:hAnsi="Verdana"/>
          <w:sz w:val="20"/>
          <w:szCs w:val="20"/>
        </w:rPr>
        <w:t xml:space="preserve"> </w:t>
      </w:r>
      <w:r w:rsidR="00E12E89" w:rsidRPr="00C22738">
        <w:rPr>
          <w:rFonts w:ascii="Verdana" w:hAnsi="Verdana"/>
          <w:sz w:val="20"/>
          <w:szCs w:val="20"/>
        </w:rPr>
        <w:t>safe abortion remains largely inaccessible under existing Lao law due to social stigma and other factors</w:t>
      </w:r>
      <w:r w:rsidR="004E1C6A" w:rsidRPr="00C22738">
        <w:rPr>
          <w:rFonts w:ascii="Verdana" w:hAnsi="Verdana"/>
          <w:sz w:val="20"/>
          <w:szCs w:val="20"/>
        </w:rPr>
        <w:t>.</w:t>
      </w:r>
    </w:p>
    <w:p w14:paraId="1AFE3448" w14:textId="77777777" w:rsidR="00D35C7F" w:rsidRPr="00C22738" w:rsidRDefault="00D35C7F" w:rsidP="00297669">
      <w:pPr>
        <w:pStyle w:val="ListParagraph"/>
        <w:spacing w:after="0" w:line="240" w:lineRule="auto"/>
        <w:contextualSpacing w:val="0"/>
        <w:rPr>
          <w:rFonts w:ascii="Verdana" w:hAnsi="Verdana"/>
          <w:sz w:val="20"/>
          <w:szCs w:val="20"/>
        </w:rPr>
      </w:pPr>
    </w:p>
    <w:p w14:paraId="02BBDC19" w14:textId="4AD3F41A" w:rsidR="001879F7" w:rsidRPr="00C22738" w:rsidRDefault="001879F7" w:rsidP="001879F7">
      <w:pPr>
        <w:spacing w:after="0" w:line="240" w:lineRule="auto"/>
        <w:jc w:val="thaiDistribute"/>
        <w:rPr>
          <w:rFonts w:ascii="Verdana" w:hAnsi="Verdana"/>
          <w:sz w:val="20"/>
          <w:szCs w:val="20"/>
          <w:u w:val="single"/>
        </w:rPr>
      </w:pPr>
      <w:r w:rsidRPr="00C22738">
        <w:rPr>
          <w:rFonts w:ascii="Verdana" w:hAnsi="Verdana"/>
          <w:sz w:val="20"/>
          <w:szCs w:val="20"/>
          <w:u w:val="single"/>
        </w:rPr>
        <w:t>Gender-based discrimination and the discrimination against lesbian, bisexual, and transgender (LBT) women</w:t>
      </w:r>
    </w:p>
    <w:p w14:paraId="7BF74B39" w14:textId="77777777" w:rsidR="001879F7" w:rsidRPr="00C22738" w:rsidRDefault="001879F7" w:rsidP="001879F7">
      <w:pPr>
        <w:spacing w:after="0" w:line="240" w:lineRule="auto"/>
        <w:jc w:val="thaiDistribute"/>
        <w:rPr>
          <w:rFonts w:ascii="Verdana" w:hAnsi="Verdana"/>
          <w:sz w:val="20"/>
          <w:szCs w:val="20"/>
          <w:u w:val="single"/>
        </w:rPr>
      </w:pPr>
    </w:p>
    <w:p w14:paraId="5D2A8271" w14:textId="2E1FBDC1" w:rsidR="0022328F" w:rsidRPr="00C22738" w:rsidRDefault="001879F7" w:rsidP="005F1FC8">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In relation to the Committee’s query, as outlined in the List of Issues</w:t>
      </w:r>
      <w:r w:rsidR="00513BA2" w:rsidRPr="00C22738">
        <w:rPr>
          <w:rStyle w:val="FootnoteReference"/>
          <w:rFonts w:ascii="Verdana" w:hAnsi="Verdana"/>
          <w:sz w:val="20"/>
          <w:szCs w:val="20"/>
        </w:rPr>
        <w:footnoteReference w:id="23"/>
      </w:r>
      <w:r w:rsidRPr="00C22738">
        <w:rPr>
          <w:rFonts w:ascii="Verdana" w:hAnsi="Verdana"/>
          <w:sz w:val="20"/>
          <w:szCs w:val="20"/>
        </w:rPr>
        <w:t xml:space="preserve"> concerning the absence of a specific provision in the Constitution of Lao PDR No. 63/NA/2015 ('Constitution') prohibiting gender-based discrimination, we regret that, there is still no equivalent provision </w:t>
      </w:r>
      <w:r w:rsidR="00830493" w:rsidRPr="00C22738">
        <w:rPr>
          <w:rFonts w:ascii="Verdana" w:hAnsi="Verdana"/>
          <w:sz w:val="20"/>
          <w:szCs w:val="20"/>
        </w:rPr>
        <w:t>to Article 8</w:t>
      </w:r>
      <w:r w:rsidR="00830493" w:rsidRPr="00C22738">
        <w:rPr>
          <w:rStyle w:val="FootnoteReference"/>
          <w:rFonts w:ascii="Verdana" w:hAnsi="Verdana"/>
          <w:sz w:val="20"/>
          <w:szCs w:val="20"/>
        </w:rPr>
        <w:footnoteReference w:id="24"/>
      </w:r>
      <w:r w:rsidR="00830493" w:rsidRPr="00C22738">
        <w:rPr>
          <w:rFonts w:ascii="Verdana" w:hAnsi="Verdana"/>
          <w:sz w:val="20"/>
          <w:szCs w:val="20"/>
        </w:rPr>
        <w:t xml:space="preserve"> of the Constitution </w:t>
      </w:r>
      <w:r w:rsidR="00A7719B" w:rsidRPr="00C22738">
        <w:rPr>
          <w:rFonts w:ascii="Verdana" w:hAnsi="Verdana"/>
          <w:sz w:val="20"/>
          <w:szCs w:val="20"/>
        </w:rPr>
        <w:t>explicitly addressing gender-based discrimination, despite its recognition of the principle of equality between men and women</w:t>
      </w:r>
      <w:r w:rsidR="0022328F" w:rsidRPr="00C22738">
        <w:rPr>
          <w:rFonts w:ascii="Verdana" w:hAnsi="Verdana"/>
          <w:sz w:val="20"/>
          <w:szCs w:val="20"/>
        </w:rPr>
        <w:t>.</w:t>
      </w:r>
      <w:r w:rsidRPr="00C22738">
        <w:rPr>
          <w:rStyle w:val="FootnoteReference"/>
          <w:rFonts w:ascii="Verdana" w:hAnsi="Verdana"/>
          <w:sz w:val="20"/>
          <w:szCs w:val="20"/>
        </w:rPr>
        <w:footnoteReference w:id="25"/>
      </w:r>
      <w:r w:rsidR="0022328F" w:rsidRPr="00C22738">
        <w:rPr>
          <w:rFonts w:ascii="Verdana" w:hAnsi="Verdana"/>
          <w:sz w:val="20"/>
          <w:szCs w:val="20"/>
        </w:rPr>
        <w:t xml:space="preserve"> </w:t>
      </w:r>
    </w:p>
    <w:p w14:paraId="42DB15C6" w14:textId="77777777" w:rsidR="0022328F" w:rsidRPr="00C22738" w:rsidRDefault="0022328F" w:rsidP="0022328F">
      <w:pPr>
        <w:pStyle w:val="ListParagraph"/>
        <w:rPr>
          <w:rFonts w:ascii="Verdana" w:hAnsi="Verdana"/>
          <w:sz w:val="20"/>
          <w:szCs w:val="20"/>
        </w:rPr>
      </w:pPr>
    </w:p>
    <w:p w14:paraId="2EE07007" w14:textId="55D4EEC7" w:rsidR="00450E2F" w:rsidRPr="00C22738" w:rsidRDefault="00DF2AF9" w:rsidP="006C3CEA">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 xml:space="preserve">Moreover, sexual orientation, gender identity, and gender expression (SOGIE) are not explicitly mentioned in the Constitution. To our knowledge, no other laws in force in Lao PDR offer protection against discrimination based on </w:t>
      </w:r>
      <w:r w:rsidR="00002012" w:rsidRPr="00C22738">
        <w:rPr>
          <w:rFonts w:ascii="Verdana" w:hAnsi="Verdana"/>
          <w:sz w:val="20"/>
          <w:szCs w:val="20"/>
        </w:rPr>
        <w:t>SOGIE.</w:t>
      </w:r>
      <w:r w:rsidRPr="00C22738">
        <w:rPr>
          <w:rFonts w:ascii="Verdana" w:hAnsi="Verdana"/>
          <w:sz w:val="20"/>
          <w:szCs w:val="20"/>
        </w:rPr>
        <w:t xml:space="preserve"> The country also lacks a comprehensive legislative framework to protect LBT women. Notably, there is no legal gender recognition for transgender women and gender-diverse persons in Lao PDR, leaving a significant gap in protection for </w:t>
      </w:r>
      <w:r w:rsidR="00165771" w:rsidRPr="00C22738">
        <w:rPr>
          <w:rFonts w:ascii="Verdana" w:hAnsi="Verdana"/>
          <w:sz w:val="20"/>
          <w:szCs w:val="20"/>
        </w:rPr>
        <w:t xml:space="preserve">persons from </w:t>
      </w:r>
      <w:r w:rsidRPr="00C22738">
        <w:rPr>
          <w:rFonts w:ascii="Verdana" w:hAnsi="Verdana"/>
          <w:sz w:val="20"/>
          <w:szCs w:val="20"/>
        </w:rPr>
        <w:t>these groups</w:t>
      </w:r>
      <w:r w:rsidR="00450E2F" w:rsidRPr="00C22738">
        <w:rPr>
          <w:rFonts w:ascii="Verdana" w:hAnsi="Verdana"/>
          <w:sz w:val="20"/>
          <w:szCs w:val="20"/>
        </w:rPr>
        <w:t>.</w:t>
      </w:r>
    </w:p>
    <w:p w14:paraId="0B58D719" w14:textId="77777777" w:rsidR="006E5349" w:rsidRPr="00C22738" w:rsidRDefault="006E5349" w:rsidP="006E5349">
      <w:pPr>
        <w:pStyle w:val="ListParagraph"/>
        <w:rPr>
          <w:rFonts w:ascii="Verdana" w:hAnsi="Verdana"/>
          <w:sz w:val="20"/>
          <w:szCs w:val="20"/>
        </w:rPr>
      </w:pPr>
    </w:p>
    <w:p w14:paraId="60711DC3" w14:textId="72C0C82C" w:rsidR="00450E2F" w:rsidRPr="00C22738" w:rsidRDefault="00A45AC5" w:rsidP="0022328F">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 xml:space="preserve">While Article 224 of the Penal Code </w:t>
      </w:r>
      <w:r w:rsidR="00F552B5" w:rsidRPr="00C22738">
        <w:rPr>
          <w:rFonts w:ascii="Verdana" w:hAnsi="Verdana"/>
          <w:sz w:val="20"/>
          <w:szCs w:val="20"/>
        </w:rPr>
        <w:t xml:space="preserve">provides for criminal liability for </w:t>
      </w:r>
      <w:r w:rsidRPr="00C22738">
        <w:rPr>
          <w:rFonts w:ascii="Verdana" w:hAnsi="Verdana"/>
          <w:sz w:val="20"/>
          <w:szCs w:val="20"/>
        </w:rPr>
        <w:t xml:space="preserve">“discrimination against women,” </w:t>
      </w:r>
      <w:r w:rsidR="001D0580" w:rsidRPr="00C22738">
        <w:rPr>
          <w:rFonts w:ascii="Verdana" w:hAnsi="Verdana"/>
          <w:sz w:val="20"/>
          <w:szCs w:val="20"/>
        </w:rPr>
        <w:t>academics</w:t>
      </w:r>
      <w:r w:rsidRPr="00C22738">
        <w:rPr>
          <w:rFonts w:ascii="Verdana" w:hAnsi="Verdana"/>
          <w:sz w:val="20"/>
          <w:szCs w:val="20"/>
        </w:rPr>
        <w:t xml:space="preserve"> interviewed by the ICJ have reported that the justice system </w:t>
      </w:r>
      <w:r w:rsidR="00FB2490" w:rsidRPr="00C22738">
        <w:rPr>
          <w:rFonts w:ascii="Verdana" w:hAnsi="Verdana"/>
          <w:sz w:val="20"/>
          <w:szCs w:val="20"/>
        </w:rPr>
        <w:t xml:space="preserve">normally </w:t>
      </w:r>
      <w:r w:rsidRPr="00C22738">
        <w:rPr>
          <w:rFonts w:ascii="Verdana" w:hAnsi="Verdana"/>
          <w:sz w:val="20"/>
          <w:szCs w:val="20"/>
        </w:rPr>
        <w:t xml:space="preserve">considers discrimination based on biological sex at birth. This narrow </w:t>
      </w:r>
      <w:r w:rsidRPr="00C22738">
        <w:rPr>
          <w:rFonts w:ascii="Verdana" w:hAnsi="Verdana"/>
          <w:sz w:val="20"/>
          <w:szCs w:val="20"/>
        </w:rPr>
        <w:lastRenderedPageBreak/>
        <w:t>interpretation excludes LBT women, who may face discrimination based on SOGIE, further underscoring the need for more inclusive legal provisions</w:t>
      </w:r>
      <w:r w:rsidR="00450E2F" w:rsidRPr="00C22738">
        <w:rPr>
          <w:rFonts w:ascii="Verdana" w:hAnsi="Verdana"/>
          <w:sz w:val="20"/>
          <w:szCs w:val="20"/>
        </w:rPr>
        <w:t>.</w:t>
      </w:r>
      <w:r w:rsidR="001E33BF" w:rsidRPr="00C22738">
        <w:rPr>
          <w:rStyle w:val="FootnoteReference"/>
          <w:rFonts w:ascii="Verdana" w:hAnsi="Verdana"/>
          <w:sz w:val="20"/>
          <w:szCs w:val="20"/>
        </w:rPr>
        <w:footnoteReference w:id="26"/>
      </w:r>
      <w:r w:rsidR="00450E2F" w:rsidRPr="00C22738">
        <w:rPr>
          <w:rFonts w:ascii="Verdana" w:hAnsi="Verdana"/>
          <w:sz w:val="20"/>
          <w:szCs w:val="20"/>
        </w:rPr>
        <w:t xml:space="preserve"> </w:t>
      </w:r>
    </w:p>
    <w:p w14:paraId="0EE91D26" w14:textId="77777777" w:rsidR="007B164B" w:rsidRPr="00C22738" w:rsidRDefault="007B164B" w:rsidP="00C0217B">
      <w:pPr>
        <w:pStyle w:val="ListParagraph"/>
        <w:spacing w:after="0" w:line="240" w:lineRule="auto"/>
        <w:contextualSpacing w:val="0"/>
        <w:jc w:val="thaiDistribute"/>
        <w:rPr>
          <w:rFonts w:ascii="Verdana" w:hAnsi="Verdana"/>
          <w:sz w:val="20"/>
          <w:szCs w:val="20"/>
        </w:rPr>
      </w:pPr>
    </w:p>
    <w:p w14:paraId="37203ECF" w14:textId="4AC86A4E" w:rsidR="00E45F66" w:rsidRPr="00C22738" w:rsidRDefault="009C7F20" w:rsidP="00C0217B">
      <w:pPr>
        <w:spacing w:after="0" w:line="240" w:lineRule="auto"/>
        <w:jc w:val="thaiDistribute"/>
        <w:rPr>
          <w:rFonts w:ascii="Verdana" w:hAnsi="Verdana"/>
          <w:b/>
          <w:bCs/>
          <w:sz w:val="20"/>
          <w:szCs w:val="20"/>
        </w:rPr>
      </w:pPr>
      <w:r w:rsidRPr="00C22738">
        <w:rPr>
          <w:rFonts w:ascii="Verdana" w:hAnsi="Verdana"/>
          <w:b/>
          <w:bCs/>
          <w:sz w:val="20"/>
          <w:szCs w:val="20"/>
        </w:rPr>
        <w:t xml:space="preserve">III. </w:t>
      </w:r>
      <w:r w:rsidR="000F45D5" w:rsidRPr="00C22738">
        <w:rPr>
          <w:rFonts w:ascii="Verdana" w:hAnsi="Verdana"/>
          <w:b/>
          <w:bCs/>
          <w:sz w:val="20"/>
          <w:szCs w:val="20"/>
        </w:rPr>
        <w:t xml:space="preserve">Barriers </w:t>
      </w:r>
      <w:r w:rsidR="00D954B5" w:rsidRPr="00C22738">
        <w:rPr>
          <w:rFonts w:ascii="Verdana" w:hAnsi="Verdana"/>
          <w:b/>
          <w:bCs/>
          <w:sz w:val="20"/>
          <w:szCs w:val="20"/>
        </w:rPr>
        <w:t>to</w:t>
      </w:r>
      <w:r w:rsidR="000F45D5" w:rsidRPr="00C22738">
        <w:rPr>
          <w:rFonts w:ascii="Verdana" w:hAnsi="Verdana"/>
          <w:b/>
          <w:bCs/>
          <w:sz w:val="20"/>
          <w:szCs w:val="20"/>
        </w:rPr>
        <w:t xml:space="preserve"> </w:t>
      </w:r>
      <w:r w:rsidR="00C11B9A" w:rsidRPr="00C22738">
        <w:rPr>
          <w:rFonts w:ascii="Verdana" w:hAnsi="Verdana"/>
          <w:b/>
          <w:bCs/>
          <w:sz w:val="20"/>
          <w:szCs w:val="20"/>
        </w:rPr>
        <w:t>a</w:t>
      </w:r>
      <w:r w:rsidR="00E45F66" w:rsidRPr="00C22738">
        <w:rPr>
          <w:rFonts w:ascii="Verdana" w:hAnsi="Verdana"/>
          <w:b/>
          <w:bCs/>
          <w:sz w:val="20"/>
          <w:szCs w:val="20"/>
        </w:rPr>
        <w:t>ccess</w:t>
      </w:r>
      <w:r w:rsidR="000F45D5" w:rsidRPr="00C22738">
        <w:rPr>
          <w:rFonts w:ascii="Verdana" w:hAnsi="Verdana"/>
          <w:b/>
          <w:bCs/>
          <w:sz w:val="20"/>
          <w:szCs w:val="20"/>
        </w:rPr>
        <w:t>ing</w:t>
      </w:r>
      <w:r w:rsidR="00E45F66" w:rsidRPr="00C22738">
        <w:rPr>
          <w:rFonts w:ascii="Verdana" w:hAnsi="Verdana"/>
          <w:b/>
          <w:bCs/>
          <w:sz w:val="20"/>
          <w:szCs w:val="20"/>
        </w:rPr>
        <w:t xml:space="preserve"> </w:t>
      </w:r>
      <w:r w:rsidR="00C11B9A" w:rsidRPr="00C22738">
        <w:rPr>
          <w:rFonts w:ascii="Verdana" w:hAnsi="Verdana"/>
          <w:b/>
          <w:bCs/>
          <w:sz w:val="20"/>
          <w:szCs w:val="20"/>
        </w:rPr>
        <w:t>j</w:t>
      </w:r>
      <w:r w:rsidR="00E45F66" w:rsidRPr="00C22738">
        <w:rPr>
          <w:rFonts w:ascii="Verdana" w:hAnsi="Verdana"/>
          <w:b/>
          <w:bCs/>
          <w:sz w:val="20"/>
          <w:szCs w:val="20"/>
        </w:rPr>
        <w:t xml:space="preserve">ustice for </w:t>
      </w:r>
      <w:r w:rsidR="00F96B0C" w:rsidRPr="00C22738">
        <w:rPr>
          <w:rFonts w:ascii="Verdana" w:hAnsi="Verdana"/>
          <w:b/>
          <w:bCs/>
          <w:sz w:val="20"/>
          <w:szCs w:val="20"/>
        </w:rPr>
        <w:t xml:space="preserve">GBV </w:t>
      </w:r>
      <w:r w:rsidR="00C11B9A" w:rsidRPr="00C22738">
        <w:rPr>
          <w:rFonts w:ascii="Verdana" w:hAnsi="Verdana"/>
          <w:b/>
          <w:bCs/>
          <w:sz w:val="20"/>
          <w:szCs w:val="20"/>
        </w:rPr>
        <w:t>v</w:t>
      </w:r>
      <w:r w:rsidR="00E45F66" w:rsidRPr="00C22738">
        <w:rPr>
          <w:rFonts w:ascii="Verdana" w:hAnsi="Verdana"/>
          <w:b/>
          <w:bCs/>
          <w:sz w:val="20"/>
          <w:szCs w:val="20"/>
        </w:rPr>
        <w:t>ictims/</w:t>
      </w:r>
      <w:r w:rsidR="00C11B9A" w:rsidRPr="00C22738">
        <w:rPr>
          <w:rFonts w:ascii="Verdana" w:hAnsi="Verdana"/>
          <w:b/>
          <w:bCs/>
          <w:sz w:val="20"/>
          <w:szCs w:val="20"/>
        </w:rPr>
        <w:t>s</w:t>
      </w:r>
      <w:r w:rsidR="00E45F66" w:rsidRPr="00C22738">
        <w:rPr>
          <w:rFonts w:ascii="Verdana" w:hAnsi="Verdana"/>
          <w:b/>
          <w:bCs/>
          <w:sz w:val="20"/>
          <w:szCs w:val="20"/>
        </w:rPr>
        <w:t xml:space="preserve">urvivors </w:t>
      </w:r>
      <w:r w:rsidR="00447AB0" w:rsidRPr="00C22738">
        <w:rPr>
          <w:rFonts w:ascii="Verdana" w:hAnsi="Verdana"/>
          <w:b/>
          <w:bCs/>
          <w:sz w:val="20"/>
          <w:szCs w:val="20"/>
        </w:rPr>
        <w:t>(article</w:t>
      </w:r>
      <w:r w:rsidR="0033344F" w:rsidRPr="00C22738">
        <w:rPr>
          <w:rFonts w:ascii="Verdana" w:hAnsi="Verdana"/>
          <w:b/>
          <w:bCs/>
          <w:sz w:val="20"/>
          <w:szCs w:val="20"/>
        </w:rPr>
        <w:t>s</w:t>
      </w:r>
      <w:r w:rsidR="00447AB0" w:rsidRPr="00C22738">
        <w:rPr>
          <w:rFonts w:ascii="Verdana" w:hAnsi="Verdana"/>
          <w:b/>
          <w:bCs/>
          <w:sz w:val="20"/>
          <w:szCs w:val="20"/>
        </w:rPr>
        <w:t xml:space="preserve"> 1, 2</w:t>
      </w:r>
      <w:r w:rsidR="00E84693" w:rsidRPr="00C22738">
        <w:rPr>
          <w:rFonts w:ascii="Verdana" w:hAnsi="Verdana"/>
          <w:b/>
          <w:bCs/>
          <w:sz w:val="20"/>
          <w:szCs w:val="20"/>
        </w:rPr>
        <w:t>, 5</w:t>
      </w:r>
      <w:r w:rsidR="00447AB0" w:rsidRPr="00C22738">
        <w:rPr>
          <w:rFonts w:ascii="Verdana" w:hAnsi="Verdana"/>
          <w:b/>
          <w:bCs/>
          <w:sz w:val="20"/>
          <w:szCs w:val="20"/>
        </w:rPr>
        <w:t xml:space="preserve"> and 15)</w:t>
      </w:r>
    </w:p>
    <w:p w14:paraId="42C8FA63" w14:textId="77777777" w:rsidR="009A3749" w:rsidRPr="00C22738" w:rsidRDefault="009A3749" w:rsidP="00C0217B">
      <w:pPr>
        <w:spacing w:after="0" w:line="240" w:lineRule="auto"/>
        <w:jc w:val="thaiDistribute"/>
        <w:rPr>
          <w:rFonts w:ascii="Verdana" w:hAnsi="Verdana"/>
          <w:b/>
          <w:bCs/>
          <w:sz w:val="20"/>
          <w:szCs w:val="20"/>
        </w:rPr>
      </w:pPr>
    </w:p>
    <w:p w14:paraId="5E72AFA2" w14:textId="08B24134" w:rsidR="002753BB" w:rsidRPr="00C22738" w:rsidRDefault="006E398F" w:rsidP="0022328F">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 xml:space="preserve">Significant barriers continue to prevent victims/survivors of GBV from effectively accessing justice, in contravention </w:t>
      </w:r>
      <w:r w:rsidR="00BA5D32" w:rsidRPr="00C22738">
        <w:rPr>
          <w:rFonts w:ascii="Verdana" w:hAnsi="Verdana"/>
          <w:sz w:val="20"/>
          <w:szCs w:val="20"/>
        </w:rPr>
        <w:t xml:space="preserve">of </w:t>
      </w:r>
      <w:r w:rsidRPr="00C22738">
        <w:rPr>
          <w:rFonts w:ascii="Verdana" w:hAnsi="Verdana"/>
          <w:sz w:val="20"/>
          <w:szCs w:val="20"/>
        </w:rPr>
        <w:t xml:space="preserve">Articles 2 and 15, </w:t>
      </w:r>
      <w:r w:rsidR="00E40F50" w:rsidRPr="00C22738">
        <w:rPr>
          <w:rFonts w:ascii="Verdana" w:hAnsi="Verdana"/>
          <w:sz w:val="20"/>
          <w:szCs w:val="20"/>
        </w:rPr>
        <w:t xml:space="preserve">particularly </w:t>
      </w:r>
      <w:r w:rsidRPr="00C22738">
        <w:rPr>
          <w:rFonts w:ascii="Verdana" w:hAnsi="Verdana"/>
          <w:sz w:val="20"/>
          <w:szCs w:val="20"/>
        </w:rPr>
        <w:t xml:space="preserve">as </w:t>
      </w:r>
      <w:r w:rsidR="00E40F50" w:rsidRPr="00C22738">
        <w:rPr>
          <w:rFonts w:ascii="Verdana" w:hAnsi="Verdana"/>
          <w:sz w:val="20"/>
          <w:szCs w:val="20"/>
        </w:rPr>
        <w:t>construed</w:t>
      </w:r>
      <w:r w:rsidRPr="00C22738">
        <w:rPr>
          <w:rFonts w:ascii="Verdana" w:hAnsi="Verdana"/>
          <w:sz w:val="20"/>
          <w:szCs w:val="20"/>
        </w:rPr>
        <w:t xml:space="preserve"> by the CEDAW Committee’s General Recommendations No. 33 and 35</w:t>
      </w:r>
      <w:r w:rsidR="00480743" w:rsidRPr="00C22738">
        <w:rPr>
          <w:rFonts w:ascii="Verdana" w:hAnsi="Verdana"/>
          <w:sz w:val="20"/>
          <w:szCs w:val="20"/>
        </w:rPr>
        <w:t>.</w:t>
      </w:r>
      <w:r w:rsidR="00B64FDA" w:rsidRPr="00C22738">
        <w:rPr>
          <w:rStyle w:val="FootnoteReference"/>
          <w:rFonts w:ascii="Verdana" w:hAnsi="Verdana"/>
          <w:sz w:val="20"/>
          <w:szCs w:val="20"/>
        </w:rPr>
        <w:footnoteReference w:id="27"/>
      </w:r>
      <w:r w:rsidR="00BA5D32" w:rsidRPr="00C22738">
        <w:rPr>
          <w:rFonts w:ascii="Verdana" w:hAnsi="Verdana"/>
          <w:sz w:val="20"/>
          <w:szCs w:val="20"/>
        </w:rPr>
        <w:t xml:space="preserve"> </w:t>
      </w:r>
      <w:r w:rsidR="006C62A3" w:rsidRPr="00C22738">
        <w:rPr>
          <w:rFonts w:ascii="Verdana" w:hAnsi="Verdana"/>
          <w:sz w:val="20"/>
          <w:szCs w:val="20"/>
        </w:rPr>
        <w:t>These barriers, highlighted in the 2018 Concluding Observations,</w:t>
      </w:r>
      <w:r w:rsidR="006C62A3" w:rsidRPr="00C22738">
        <w:rPr>
          <w:rStyle w:val="FootnoteReference"/>
          <w:rFonts w:ascii="Verdana" w:hAnsi="Verdana"/>
          <w:sz w:val="20"/>
          <w:szCs w:val="20"/>
        </w:rPr>
        <w:footnoteReference w:id="28"/>
      </w:r>
      <w:r w:rsidR="006C62A3" w:rsidRPr="00C22738">
        <w:rPr>
          <w:rFonts w:ascii="Verdana" w:hAnsi="Verdana"/>
          <w:sz w:val="20"/>
          <w:szCs w:val="20"/>
        </w:rPr>
        <w:t xml:space="preserve"> persist despite the Committee’s recommendations</w:t>
      </w:r>
      <w:r w:rsidR="000515ED" w:rsidRPr="00C22738">
        <w:rPr>
          <w:rFonts w:ascii="Verdana" w:hAnsi="Verdana"/>
          <w:sz w:val="20"/>
          <w:szCs w:val="20"/>
        </w:rPr>
        <w:t>, as</w:t>
      </w:r>
      <w:r w:rsidR="00212C13" w:rsidRPr="00C22738">
        <w:rPr>
          <w:rFonts w:ascii="Verdana" w:hAnsi="Verdana"/>
          <w:sz w:val="20"/>
          <w:szCs w:val="20"/>
        </w:rPr>
        <w:t xml:space="preserve"> also</w:t>
      </w:r>
      <w:r w:rsidR="000515ED" w:rsidRPr="00C22738">
        <w:rPr>
          <w:rFonts w:ascii="Verdana" w:hAnsi="Verdana"/>
          <w:sz w:val="20"/>
          <w:szCs w:val="20"/>
        </w:rPr>
        <w:t xml:space="preserve"> noted in the List of Issues by the Committee for clarification from Lao PDR</w:t>
      </w:r>
      <w:r w:rsidR="005375FA" w:rsidRPr="00C22738">
        <w:rPr>
          <w:rFonts w:ascii="Verdana" w:hAnsi="Verdana"/>
          <w:sz w:val="20"/>
          <w:szCs w:val="20"/>
        </w:rPr>
        <w:t>.</w:t>
      </w:r>
      <w:r w:rsidR="005375FA" w:rsidRPr="00C22738">
        <w:rPr>
          <w:rStyle w:val="FootnoteReference"/>
          <w:rFonts w:ascii="Verdana" w:hAnsi="Verdana"/>
          <w:sz w:val="20"/>
          <w:szCs w:val="20"/>
        </w:rPr>
        <w:footnoteReference w:id="29"/>
      </w:r>
      <w:r w:rsidR="00FC03AA" w:rsidRPr="00C22738">
        <w:rPr>
          <w:rFonts w:ascii="Verdana" w:hAnsi="Verdana"/>
          <w:sz w:val="20"/>
          <w:szCs w:val="20"/>
        </w:rPr>
        <w:t xml:space="preserve"> </w:t>
      </w:r>
    </w:p>
    <w:p w14:paraId="5F23B927" w14:textId="77777777" w:rsidR="002753BB" w:rsidRPr="00C22738" w:rsidRDefault="002753BB" w:rsidP="00C0217B">
      <w:pPr>
        <w:pStyle w:val="ListParagraph"/>
        <w:spacing w:after="0" w:line="240" w:lineRule="auto"/>
        <w:contextualSpacing w:val="0"/>
        <w:jc w:val="thaiDistribute"/>
        <w:rPr>
          <w:rFonts w:ascii="Verdana" w:hAnsi="Verdana"/>
          <w:sz w:val="20"/>
          <w:szCs w:val="20"/>
        </w:rPr>
      </w:pPr>
    </w:p>
    <w:p w14:paraId="4F0BF5BA" w14:textId="31C15246" w:rsidR="00655D8B" w:rsidRPr="00C22738" w:rsidRDefault="00655D8B" w:rsidP="0022328F">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 xml:space="preserve">Several factors </w:t>
      </w:r>
      <w:r w:rsidR="00E40F50" w:rsidRPr="00C22738">
        <w:rPr>
          <w:rFonts w:ascii="Verdana" w:hAnsi="Verdana"/>
          <w:sz w:val="20"/>
          <w:szCs w:val="20"/>
        </w:rPr>
        <w:t xml:space="preserve">serve to facilitate such barriers, </w:t>
      </w:r>
      <w:r w:rsidRPr="00C22738">
        <w:rPr>
          <w:rFonts w:ascii="Verdana" w:hAnsi="Verdana"/>
          <w:sz w:val="20"/>
          <w:szCs w:val="20"/>
        </w:rPr>
        <w:t>including the ina</w:t>
      </w:r>
      <w:r w:rsidR="00203670" w:rsidRPr="00C22738">
        <w:rPr>
          <w:rFonts w:ascii="Verdana" w:hAnsi="Verdana"/>
          <w:sz w:val="20"/>
          <w:szCs w:val="20"/>
        </w:rPr>
        <w:t>ppropriate</w:t>
      </w:r>
      <w:r w:rsidRPr="00C22738">
        <w:rPr>
          <w:rFonts w:ascii="Verdana" w:hAnsi="Verdana"/>
          <w:sz w:val="20"/>
          <w:szCs w:val="20"/>
        </w:rPr>
        <w:t xml:space="preserve"> </w:t>
      </w:r>
      <w:r w:rsidR="00203670" w:rsidRPr="00C22738">
        <w:rPr>
          <w:rFonts w:ascii="Verdana" w:hAnsi="Verdana"/>
          <w:sz w:val="20"/>
          <w:szCs w:val="20"/>
        </w:rPr>
        <w:t>u</w:t>
      </w:r>
      <w:r w:rsidRPr="00C22738">
        <w:rPr>
          <w:rFonts w:ascii="Verdana" w:hAnsi="Verdana"/>
          <w:sz w:val="20"/>
          <w:szCs w:val="20"/>
        </w:rPr>
        <w:t>se of alternative dispute resolution mechanisms for GBV</w:t>
      </w:r>
      <w:r w:rsidR="0007593E" w:rsidRPr="00C22738">
        <w:rPr>
          <w:rFonts w:ascii="Verdana" w:hAnsi="Verdana"/>
          <w:sz w:val="20"/>
          <w:szCs w:val="20"/>
        </w:rPr>
        <w:t xml:space="preserve"> cases</w:t>
      </w:r>
      <w:r w:rsidRPr="00C22738">
        <w:rPr>
          <w:rFonts w:ascii="Verdana" w:hAnsi="Verdana"/>
          <w:sz w:val="20"/>
          <w:szCs w:val="20"/>
        </w:rPr>
        <w:t xml:space="preserve">, harmful gender stereotypes </w:t>
      </w:r>
      <w:r w:rsidR="004819CA" w:rsidRPr="00C22738">
        <w:rPr>
          <w:rFonts w:ascii="Verdana" w:hAnsi="Verdana"/>
          <w:sz w:val="20"/>
          <w:szCs w:val="20"/>
        </w:rPr>
        <w:t>maintained</w:t>
      </w:r>
      <w:r w:rsidRPr="00C22738">
        <w:rPr>
          <w:rFonts w:ascii="Verdana" w:hAnsi="Verdana"/>
          <w:sz w:val="20"/>
          <w:szCs w:val="20"/>
        </w:rPr>
        <w:t xml:space="preserve"> by </w:t>
      </w:r>
      <w:r w:rsidR="004819CA" w:rsidRPr="00C22738">
        <w:rPr>
          <w:rFonts w:ascii="Verdana" w:hAnsi="Verdana"/>
          <w:sz w:val="20"/>
          <w:szCs w:val="20"/>
        </w:rPr>
        <w:t xml:space="preserve">many </w:t>
      </w:r>
      <w:r w:rsidRPr="00C22738">
        <w:rPr>
          <w:rFonts w:ascii="Verdana" w:hAnsi="Verdana"/>
          <w:sz w:val="20"/>
          <w:szCs w:val="20"/>
        </w:rPr>
        <w:t>justice sector actors, the failure of re</w:t>
      </w:r>
      <w:r w:rsidR="004819CA" w:rsidRPr="00C22738">
        <w:rPr>
          <w:rFonts w:ascii="Verdana" w:hAnsi="Verdana"/>
          <w:sz w:val="20"/>
          <w:szCs w:val="20"/>
        </w:rPr>
        <w:t>sponsible</w:t>
      </w:r>
      <w:r w:rsidRPr="00C22738">
        <w:rPr>
          <w:rFonts w:ascii="Verdana" w:hAnsi="Verdana"/>
          <w:sz w:val="20"/>
          <w:szCs w:val="20"/>
        </w:rPr>
        <w:t xml:space="preserve"> authorities to take </w:t>
      </w:r>
      <w:r w:rsidR="004819CA" w:rsidRPr="00C22738">
        <w:rPr>
          <w:rFonts w:ascii="Verdana" w:hAnsi="Verdana"/>
          <w:sz w:val="20"/>
          <w:szCs w:val="20"/>
        </w:rPr>
        <w:t xml:space="preserve">effective </w:t>
      </w:r>
      <w:r w:rsidRPr="00C22738">
        <w:rPr>
          <w:rFonts w:ascii="Verdana" w:hAnsi="Verdana"/>
          <w:sz w:val="20"/>
          <w:szCs w:val="20"/>
        </w:rPr>
        <w:t xml:space="preserve">measures to protect GBV survivors from secondary victimization, </w:t>
      </w:r>
      <w:r w:rsidR="0088535E" w:rsidRPr="00C22738">
        <w:rPr>
          <w:rFonts w:ascii="Verdana" w:hAnsi="Verdana"/>
          <w:sz w:val="20"/>
          <w:szCs w:val="20"/>
        </w:rPr>
        <w:t>and the</w:t>
      </w:r>
      <w:r w:rsidR="008B3D9A" w:rsidRPr="00C22738">
        <w:rPr>
          <w:rFonts w:ascii="Verdana" w:hAnsi="Verdana"/>
          <w:sz w:val="20"/>
          <w:szCs w:val="20"/>
        </w:rPr>
        <w:t xml:space="preserve"> </w:t>
      </w:r>
      <w:r w:rsidRPr="00C22738">
        <w:rPr>
          <w:rFonts w:ascii="Verdana" w:hAnsi="Verdana"/>
          <w:sz w:val="20"/>
          <w:szCs w:val="20"/>
        </w:rPr>
        <w:t>lack of specific funds and inadequate assistance.</w:t>
      </w:r>
    </w:p>
    <w:p w14:paraId="60EDC833" w14:textId="77777777" w:rsidR="009D5E62" w:rsidRPr="00C22738" w:rsidRDefault="009D5E62" w:rsidP="00C0217B">
      <w:pPr>
        <w:pStyle w:val="ListParagraph"/>
        <w:spacing w:after="0" w:line="240" w:lineRule="auto"/>
        <w:contextualSpacing w:val="0"/>
        <w:jc w:val="thaiDistribute"/>
        <w:rPr>
          <w:rFonts w:ascii="Verdana" w:hAnsi="Verdana"/>
          <w:sz w:val="20"/>
          <w:szCs w:val="20"/>
          <w:u w:val="single"/>
        </w:rPr>
      </w:pPr>
    </w:p>
    <w:p w14:paraId="5B0A74F9" w14:textId="4FD17108" w:rsidR="00D365EA" w:rsidRPr="00C22738" w:rsidRDefault="00D365EA" w:rsidP="001E03C2">
      <w:pPr>
        <w:spacing w:after="0" w:line="240" w:lineRule="auto"/>
        <w:jc w:val="thaiDistribute"/>
        <w:rPr>
          <w:rFonts w:ascii="Verdana" w:hAnsi="Verdana"/>
          <w:sz w:val="20"/>
          <w:szCs w:val="20"/>
          <w:u w:val="single"/>
        </w:rPr>
      </w:pPr>
      <w:r w:rsidRPr="00C22738">
        <w:rPr>
          <w:rFonts w:ascii="Verdana" w:hAnsi="Verdana"/>
          <w:sz w:val="20"/>
          <w:szCs w:val="20"/>
          <w:u w:val="single"/>
        </w:rPr>
        <w:t>The use of alternative dispute resolution</w:t>
      </w:r>
    </w:p>
    <w:p w14:paraId="7DBE03B2" w14:textId="407CBD85" w:rsidR="00371985" w:rsidRPr="00C22738" w:rsidRDefault="00371985" w:rsidP="00C0217B">
      <w:pPr>
        <w:pStyle w:val="ListParagraph"/>
        <w:spacing w:after="0" w:line="240" w:lineRule="auto"/>
        <w:contextualSpacing w:val="0"/>
        <w:jc w:val="thaiDistribute"/>
        <w:rPr>
          <w:rFonts w:ascii="Verdana" w:hAnsi="Verdana"/>
          <w:sz w:val="20"/>
          <w:szCs w:val="20"/>
        </w:rPr>
      </w:pPr>
    </w:p>
    <w:p w14:paraId="67009EC4" w14:textId="5F514B5F" w:rsidR="00275C65" w:rsidRPr="00C22738" w:rsidRDefault="00CF3110" w:rsidP="001C58A9">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One of the key concerns that may impede GBV victims/survivors from accessing justice is the use of alternative dispute resolution processes, such as seeking help from family or village elders for “re-education</w:t>
      </w:r>
      <w:r w:rsidRPr="00C22738">
        <w:rPr>
          <w:rStyle w:val="FootnoteReference"/>
          <w:rFonts w:ascii="Verdana" w:hAnsi="Verdana"/>
          <w:sz w:val="20"/>
          <w:szCs w:val="20"/>
        </w:rPr>
        <w:footnoteReference w:id="30"/>
      </w:r>
      <w:r w:rsidRPr="00C22738">
        <w:rPr>
          <w:rFonts w:ascii="Verdana" w:hAnsi="Verdana"/>
          <w:sz w:val="20"/>
          <w:szCs w:val="20"/>
        </w:rPr>
        <w:t xml:space="preserve"> and compromise” (Articles 48–50 of the LPVWC) and mediation by the Village Mediation Committee under the Village Mediation Units (Articles 51–56 of the LPVWC)</w:t>
      </w:r>
      <w:r w:rsidR="000E5326" w:rsidRPr="00C22738">
        <w:rPr>
          <w:rFonts w:ascii="Verdana" w:hAnsi="Verdana"/>
          <w:sz w:val="20"/>
          <w:szCs w:val="20"/>
        </w:rPr>
        <w:t>,</w:t>
      </w:r>
      <w:r w:rsidR="00EF21D0" w:rsidRPr="00C22738">
        <w:rPr>
          <w:rFonts w:ascii="Verdana" w:hAnsi="Verdana"/>
          <w:sz w:val="20"/>
          <w:szCs w:val="20"/>
        </w:rPr>
        <w:t xml:space="preserve"> which usually consists of village elders or other community members</w:t>
      </w:r>
      <w:r w:rsidRPr="00C22738">
        <w:rPr>
          <w:rFonts w:ascii="Verdana" w:hAnsi="Verdana"/>
          <w:sz w:val="20"/>
          <w:szCs w:val="20"/>
        </w:rPr>
        <w:t>. These practices are common in cases involving GBV, including domestic violence</w:t>
      </w:r>
      <w:r w:rsidR="00203670" w:rsidRPr="00C22738">
        <w:rPr>
          <w:rFonts w:ascii="Verdana" w:hAnsi="Verdana"/>
          <w:sz w:val="20"/>
          <w:szCs w:val="20"/>
        </w:rPr>
        <w:t xml:space="preserve">. However, they are typically </w:t>
      </w:r>
      <w:r w:rsidR="002529AA" w:rsidRPr="00C22738">
        <w:rPr>
          <w:rFonts w:ascii="Verdana" w:hAnsi="Verdana"/>
          <w:sz w:val="20"/>
          <w:szCs w:val="20"/>
        </w:rPr>
        <w:t>inappropriate and wholly inadequate means of achieving just</w:t>
      </w:r>
      <w:r w:rsidR="006451D7" w:rsidRPr="00C22738">
        <w:rPr>
          <w:rFonts w:ascii="Verdana" w:hAnsi="Verdana"/>
          <w:sz w:val="20"/>
          <w:szCs w:val="20"/>
        </w:rPr>
        <w:t>ice</w:t>
      </w:r>
      <w:r w:rsidR="002529AA" w:rsidRPr="00C22738">
        <w:rPr>
          <w:rFonts w:ascii="Verdana" w:hAnsi="Verdana"/>
          <w:sz w:val="20"/>
          <w:szCs w:val="20"/>
        </w:rPr>
        <w:t xml:space="preserve"> and</w:t>
      </w:r>
      <w:r w:rsidRPr="00C22738">
        <w:rPr>
          <w:rFonts w:ascii="Verdana" w:hAnsi="Verdana"/>
          <w:sz w:val="20"/>
          <w:szCs w:val="20"/>
        </w:rPr>
        <w:t xml:space="preserve"> contra</w:t>
      </w:r>
      <w:r w:rsidR="002529AA" w:rsidRPr="00C22738">
        <w:rPr>
          <w:rFonts w:ascii="Verdana" w:hAnsi="Verdana"/>
          <w:sz w:val="20"/>
          <w:szCs w:val="20"/>
        </w:rPr>
        <w:t>ve</w:t>
      </w:r>
      <w:r w:rsidR="00627C9C" w:rsidRPr="00C22738">
        <w:rPr>
          <w:rFonts w:ascii="Verdana" w:hAnsi="Verdana"/>
          <w:sz w:val="20"/>
          <w:szCs w:val="20"/>
        </w:rPr>
        <w:t>ne</w:t>
      </w:r>
      <w:r w:rsidRPr="00C22738">
        <w:rPr>
          <w:rFonts w:ascii="Verdana" w:hAnsi="Verdana"/>
          <w:sz w:val="20"/>
          <w:szCs w:val="20"/>
        </w:rPr>
        <w:t xml:space="preserve"> the Committee’s </w:t>
      </w:r>
      <w:r w:rsidR="002529AA" w:rsidRPr="00C22738">
        <w:rPr>
          <w:rFonts w:ascii="Verdana" w:hAnsi="Verdana"/>
          <w:sz w:val="20"/>
          <w:szCs w:val="20"/>
        </w:rPr>
        <w:t>prescriptions</w:t>
      </w:r>
      <w:r w:rsidRPr="00C22738">
        <w:rPr>
          <w:rFonts w:ascii="Verdana" w:hAnsi="Verdana"/>
          <w:sz w:val="20"/>
          <w:szCs w:val="20"/>
        </w:rPr>
        <w:t xml:space="preserve"> outlined in General Recommendation No. 33, which advises against using such </w:t>
      </w:r>
      <w:r w:rsidR="00911535" w:rsidRPr="00C22738">
        <w:rPr>
          <w:rFonts w:ascii="Verdana" w:hAnsi="Verdana"/>
          <w:sz w:val="20"/>
          <w:szCs w:val="20"/>
        </w:rPr>
        <w:t>mechanisms</w:t>
      </w:r>
      <w:r w:rsidRPr="00C22738">
        <w:rPr>
          <w:rFonts w:ascii="Verdana" w:hAnsi="Verdana"/>
          <w:sz w:val="20"/>
          <w:szCs w:val="20"/>
        </w:rPr>
        <w:t xml:space="preserve"> to address crimes of this nature.</w:t>
      </w:r>
      <w:r w:rsidR="00E77416" w:rsidRPr="00C22738">
        <w:rPr>
          <w:rStyle w:val="FootnoteReference"/>
          <w:rFonts w:ascii="Verdana" w:hAnsi="Verdana"/>
          <w:sz w:val="20"/>
          <w:szCs w:val="20"/>
        </w:rPr>
        <w:footnoteReference w:id="31"/>
      </w:r>
      <w:r w:rsidR="00EC42F2" w:rsidRPr="00C22738">
        <w:rPr>
          <w:rFonts w:ascii="Verdana" w:hAnsi="Verdana"/>
          <w:sz w:val="20"/>
          <w:szCs w:val="20"/>
        </w:rPr>
        <w:t xml:space="preserve"> </w:t>
      </w:r>
    </w:p>
    <w:p w14:paraId="44875188" w14:textId="77777777" w:rsidR="00F15B48" w:rsidRPr="00C22738" w:rsidRDefault="00F15B48" w:rsidP="00F15B48">
      <w:pPr>
        <w:pStyle w:val="ListParagraph"/>
        <w:rPr>
          <w:rFonts w:ascii="Verdana" w:hAnsi="Verdana"/>
          <w:sz w:val="20"/>
          <w:szCs w:val="20"/>
        </w:rPr>
      </w:pPr>
    </w:p>
    <w:p w14:paraId="7E2C0B7D" w14:textId="6E714E24" w:rsidR="00473902" w:rsidRPr="00C22738" w:rsidRDefault="00F15B48" w:rsidP="00BC1899">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lastRenderedPageBreak/>
        <w:t xml:space="preserve">There is also confusion about which cases </w:t>
      </w:r>
      <w:r w:rsidR="00044115" w:rsidRPr="00C22738">
        <w:rPr>
          <w:rFonts w:ascii="Verdana" w:hAnsi="Verdana"/>
          <w:sz w:val="20"/>
          <w:szCs w:val="20"/>
        </w:rPr>
        <w:t>should be</w:t>
      </w:r>
      <w:r w:rsidRPr="00C22738">
        <w:rPr>
          <w:rFonts w:ascii="Verdana" w:hAnsi="Verdana"/>
          <w:sz w:val="20"/>
          <w:szCs w:val="20"/>
        </w:rPr>
        <w:t xml:space="preserve"> directed to alternative dispute resolution and which proceed through the formal justice system.</w:t>
      </w:r>
      <w:r w:rsidRPr="00C22738">
        <w:rPr>
          <w:rStyle w:val="FootnoteReference"/>
          <w:rFonts w:ascii="Verdana" w:hAnsi="Verdana"/>
          <w:sz w:val="20"/>
          <w:szCs w:val="20"/>
        </w:rPr>
        <w:footnoteReference w:id="32"/>
      </w:r>
      <w:r w:rsidRPr="00C22738">
        <w:rPr>
          <w:rFonts w:ascii="Verdana" w:hAnsi="Verdana"/>
          <w:sz w:val="20"/>
          <w:szCs w:val="20"/>
        </w:rPr>
        <w:t xml:space="preserve"> Under the LPVWC, </w:t>
      </w:r>
      <w:r w:rsidR="007B193D" w:rsidRPr="00C22738">
        <w:rPr>
          <w:rFonts w:ascii="Verdana" w:hAnsi="Verdana"/>
          <w:sz w:val="20"/>
          <w:szCs w:val="20"/>
        </w:rPr>
        <w:t>“</w:t>
      </w:r>
      <w:r w:rsidRPr="00C22738">
        <w:rPr>
          <w:rFonts w:ascii="Verdana" w:hAnsi="Verdana"/>
          <w:sz w:val="20"/>
          <w:szCs w:val="20"/>
        </w:rPr>
        <w:t>re-education and compromise</w:t>
      </w:r>
      <w:r w:rsidR="007B193D" w:rsidRPr="00C22738">
        <w:rPr>
          <w:rFonts w:ascii="Verdana" w:hAnsi="Verdana"/>
          <w:sz w:val="20"/>
          <w:szCs w:val="20"/>
        </w:rPr>
        <w:t>”</w:t>
      </w:r>
      <w:r w:rsidRPr="00C22738">
        <w:rPr>
          <w:rFonts w:ascii="Verdana" w:hAnsi="Verdana"/>
          <w:sz w:val="20"/>
          <w:szCs w:val="20"/>
        </w:rPr>
        <w:t xml:space="preserve"> are </w:t>
      </w:r>
      <w:r w:rsidR="002529AA" w:rsidRPr="00C22738">
        <w:rPr>
          <w:rFonts w:ascii="Verdana" w:hAnsi="Verdana"/>
          <w:sz w:val="20"/>
          <w:szCs w:val="20"/>
        </w:rPr>
        <w:t xml:space="preserve">to be </w:t>
      </w:r>
      <w:r w:rsidRPr="00C22738">
        <w:rPr>
          <w:rFonts w:ascii="Verdana" w:hAnsi="Verdana"/>
          <w:sz w:val="20"/>
          <w:szCs w:val="20"/>
        </w:rPr>
        <w:t>applied in cases where the violence is deemed</w:t>
      </w:r>
      <w:r w:rsidR="00BA74FF" w:rsidRPr="00C22738">
        <w:rPr>
          <w:rFonts w:ascii="Verdana" w:hAnsi="Verdana"/>
          <w:sz w:val="20"/>
          <w:szCs w:val="20"/>
        </w:rPr>
        <w:t xml:space="preserve"> </w:t>
      </w:r>
      <w:r w:rsidRPr="00C22738">
        <w:rPr>
          <w:rFonts w:ascii="Verdana" w:hAnsi="Verdana"/>
          <w:sz w:val="20"/>
          <w:szCs w:val="20"/>
        </w:rPr>
        <w:t xml:space="preserve">to </w:t>
      </w:r>
      <w:r w:rsidR="007B193D" w:rsidRPr="00C22738">
        <w:rPr>
          <w:rFonts w:ascii="Verdana" w:hAnsi="Verdana"/>
          <w:sz w:val="20"/>
          <w:szCs w:val="20"/>
        </w:rPr>
        <w:t>“</w:t>
      </w:r>
      <w:r w:rsidRPr="00C22738">
        <w:rPr>
          <w:rFonts w:ascii="Verdana" w:hAnsi="Verdana"/>
          <w:sz w:val="20"/>
          <w:szCs w:val="20"/>
        </w:rPr>
        <w:t>not cause much harm</w:t>
      </w:r>
      <w:r w:rsidR="00D87199" w:rsidRPr="00C22738">
        <w:rPr>
          <w:rFonts w:ascii="Verdana" w:hAnsi="Verdana"/>
          <w:sz w:val="20"/>
          <w:szCs w:val="20"/>
        </w:rPr>
        <w:t>,</w:t>
      </w:r>
      <w:r w:rsidR="007B193D" w:rsidRPr="00C22738">
        <w:rPr>
          <w:rFonts w:ascii="Verdana" w:hAnsi="Verdana"/>
          <w:sz w:val="20"/>
          <w:szCs w:val="20"/>
        </w:rPr>
        <w:t>”</w:t>
      </w:r>
      <w:r w:rsidRPr="00C22738">
        <w:rPr>
          <w:rStyle w:val="FootnoteReference"/>
          <w:rFonts w:ascii="Verdana" w:hAnsi="Verdana"/>
          <w:sz w:val="20"/>
          <w:szCs w:val="20"/>
        </w:rPr>
        <w:footnoteReference w:id="33"/>
      </w:r>
      <w:r w:rsidR="00D87199" w:rsidRPr="00C22738">
        <w:rPr>
          <w:rFonts w:ascii="Verdana" w:hAnsi="Verdana"/>
          <w:sz w:val="20"/>
          <w:szCs w:val="20"/>
        </w:rPr>
        <w:t xml:space="preserve"> </w:t>
      </w:r>
      <w:r w:rsidR="00421B75" w:rsidRPr="00C22738">
        <w:rPr>
          <w:rFonts w:ascii="Verdana" w:hAnsi="Verdana"/>
          <w:sz w:val="20"/>
          <w:szCs w:val="20"/>
        </w:rPr>
        <w:t>though it remains unclear who makes this distinction</w:t>
      </w:r>
      <w:r w:rsidR="00D87199" w:rsidRPr="00C22738">
        <w:rPr>
          <w:rFonts w:ascii="Verdana" w:hAnsi="Verdana"/>
          <w:sz w:val="20"/>
          <w:szCs w:val="20"/>
        </w:rPr>
        <w:t>.</w:t>
      </w:r>
      <w:r w:rsidRPr="00C22738">
        <w:rPr>
          <w:rFonts w:ascii="Verdana" w:hAnsi="Verdana"/>
          <w:sz w:val="20"/>
          <w:szCs w:val="20"/>
        </w:rPr>
        <w:t xml:space="preserve"> </w:t>
      </w:r>
      <w:r w:rsidR="007B193D" w:rsidRPr="00C22738">
        <w:rPr>
          <w:rFonts w:ascii="Verdana" w:hAnsi="Verdana"/>
          <w:sz w:val="20"/>
          <w:szCs w:val="20"/>
        </w:rPr>
        <w:t>“</w:t>
      </w:r>
      <w:r w:rsidR="008938D7" w:rsidRPr="00C22738">
        <w:rPr>
          <w:rFonts w:ascii="Verdana" w:hAnsi="Verdana"/>
          <w:sz w:val="20"/>
          <w:szCs w:val="20"/>
        </w:rPr>
        <w:t>M</w:t>
      </w:r>
      <w:r w:rsidR="00BA74FF" w:rsidRPr="00C22738">
        <w:rPr>
          <w:rFonts w:ascii="Verdana" w:hAnsi="Verdana"/>
          <w:sz w:val="20"/>
          <w:szCs w:val="20"/>
        </w:rPr>
        <w:t xml:space="preserve">uch harm” is </w:t>
      </w:r>
      <w:r w:rsidR="008543E2" w:rsidRPr="00C22738">
        <w:rPr>
          <w:rFonts w:ascii="Verdana" w:hAnsi="Verdana"/>
          <w:sz w:val="20"/>
          <w:szCs w:val="20"/>
        </w:rPr>
        <w:t xml:space="preserve">also a </w:t>
      </w:r>
      <w:r w:rsidR="00BA74FF" w:rsidRPr="00C22738">
        <w:rPr>
          <w:rFonts w:ascii="Verdana" w:hAnsi="Verdana"/>
          <w:sz w:val="20"/>
          <w:szCs w:val="20"/>
        </w:rPr>
        <w:t>vague formulation, a</w:t>
      </w:r>
      <w:r w:rsidR="008543E2" w:rsidRPr="00C22738">
        <w:rPr>
          <w:rFonts w:ascii="Verdana" w:hAnsi="Verdana"/>
          <w:sz w:val="20"/>
          <w:szCs w:val="20"/>
        </w:rPr>
        <w:t>s</w:t>
      </w:r>
      <w:r w:rsidR="00BA74FF" w:rsidRPr="00C22738">
        <w:rPr>
          <w:rFonts w:ascii="Verdana" w:hAnsi="Verdana"/>
          <w:sz w:val="20"/>
          <w:szCs w:val="20"/>
        </w:rPr>
        <w:t xml:space="preserve"> violence by its very nature is per se harmful, </w:t>
      </w:r>
      <w:r w:rsidR="00107AC5" w:rsidRPr="00C22738">
        <w:rPr>
          <w:rFonts w:ascii="Verdana" w:hAnsi="Verdana"/>
          <w:sz w:val="20"/>
          <w:szCs w:val="20"/>
        </w:rPr>
        <w:t>and in any event</w:t>
      </w:r>
      <w:r w:rsidR="00421B75" w:rsidRPr="00C22738">
        <w:rPr>
          <w:rFonts w:ascii="Verdana" w:hAnsi="Verdana"/>
          <w:sz w:val="20"/>
          <w:szCs w:val="20"/>
        </w:rPr>
        <w:t>,</w:t>
      </w:r>
      <w:r w:rsidR="00107AC5" w:rsidRPr="00C22738">
        <w:rPr>
          <w:rFonts w:ascii="Verdana" w:hAnsi="Verdana"/>
          <w:sz w:val="20"/>
          <w:szCs w:val="20"/>
        </w:rPr>
        <w:t xml:space="preserve"> something for the survivor to determine</w:t>
      </w:r>
      <w:r w:rsidRPr="00C22738">
        <w:rPr>
          <w:rFonts w:ascii="Verdana" w:hAnsi="Verdana"/>
          <w:sz w:val="20"/>
          <w:szCs w:val="20"/>
        </w:rPr>
        <w:t xml:space="preserve">. </w:t>
      </w:r>
      <w:r w:rsidR="00107AC5" w:rsidRPr="00C22738">
        <w:rPr>
          <w:rFonts w:ascii="Verdana" w:hAnsi="Verdana"/>
          <w:sz w:val="20"/>
          <w:szCs w:val="20"/>
        </w:rPr>
        <w:t>In addition</w:t>
      </w:r>
      <w:r w:rsidRPr="00C22738">
        <w:rPr>
          <w:rFonts w:ascii="Verdana" w:hAnsi="Verdana"/>
          <w:sz w:val="20"/>
          <w:szCs w:val="20"/>
        </w:rPr>
        <w:t>, mediation by Village Mediation Units is permitted for offenses categorized as minor or punishable by less than one year of imprisonment.</w:t>
      </w:r>
      <w:r w:rsidRPr="00C22738">
        <w:rPr>
          <w:rStyle w:val="FootnoteReference"/>
          <w:rFonts w:ascii="Verdana" w:hAnsi="Verdana"/>
          <w:sz w:val="20"/>
          <w:szCs w:val="20"/>
        </w:rPr>
        <w:footnoteReference w:id="34"/>
      </w:r>
      <w:r w:rsidRPr="00C22738">
        <w:rPr>
          <w:rFonts w:ascii="Verdana" w:hAnsi="Verdana"/>
          <w:sz w:val="20"/>
          <w:szCs w:val="20"/>
        </w:rPr>
        <w:t xml:space="preserve"> However, in practice, </w:t>
      </w:r>
      <w:r w:rsidR="00013EC6" w:rsidRPr="00C22738">
        <w:rPr>
          <w:rFonts w:ascii="Verdana" w:hAnsi="Verdana"/>
          <w:sz w:val="20"/>
          <w:szCs w:val="20"/>
        </w:rPr>
        <w:t xml:space="preserve">Lao </w:t>
      </w:r>
      <w:r w:rsidR="00F602ED" w:rsidRPr="00C22738">
        <w:rPr>
          <w:rFonts w:ascii="Verdana" w:hAnsi="Verdana"/>
          <w:sz w:val="20"/>
          <w:szCs w:val="20"/>
        </w:rPr>
        <w:t xml:space="preserve">CSOs </w:t>
      </w:r>
      <w:r w:rsidRPr="00C22738">
        <w:rPr>
          <w:rFonts w:ascii="Verdana" w:hAnsi="Verdana"/>
          <w:sz w:val="20"/>
          <w:szCs w:val="20"/>
        </w:rPr>
        <w:t>have observed numerous instances where cases ineligible for mediation, including serious crimes like rape, have been mediated instead of being pursued through formal judicial channels.</w:t>
      </w:r>
      <w:r w:rsidR="00627D91" w:rsidRPr="00C22738">
        <w:rPr>
          <w:rStyle w:val="FootnoteReference"/>
          <w:rFonts w:ascii="Verdana" w:hAnsi="Verdana"/>
          <w:sz w:val="20"/>
          <w:szCs w:val="20"/>
        </w:rPr>
        <w:footnoteReference w:id="35"/>
      </w:r>
      <w:r w:rsidR="00473902" w:rsidRPr="00C22738">
        <w:rPr>
          <w:rFonts w:ascii="Verdana" w:hAnsi="Verdana"/>
          <w:sz w:val="20"/>
          <w:szCs w:val="20"/>
        </w:rPr>
        <w:t xml:space="preserve"> </w:t>
      </w:r>
    </w:p>
    <w:p w14:paraId="659552B1" w14:textId="77777777" w:rsidR="00F41875" w:rsidRPr="00C22738" w:rsidRDefault="00F41875" w:rsidP="00F41875">
      <w:pPr>
        <w:pStyle w:val="ListParagraph"/>
        <w:rPr>
          <w:rFonts w:ascii="Verdana" w:hAnsi="Verdana"/>
          <w:sz w:val="20"/>
          <w:szCs w:val="20"/>
        </w:rPr>
      </w:pPr>
    </w:p>
    <w:p w14:paraId="299F1B63" w14:textId="49ACDFC4" w:rsidR="00B008C6" w:rsidRPr="00C22738" w:rsidRDefault="00B008C6" w:rsidP="00BC1899">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 xml:space="preserve">The use of such alternative dispute resolution mechanisms often </w:t>
      </w:r>
      <w:r w:rsidR="00107AC5" w:rsidRPr="00C22738">
        <w:rPr>
          <w:rFonts w:ascii="Verdana" w:hAnsi="Verdana"/>
          <w:sz w:val="20"/>
          <w:szCs w:val="20"/>
        </w:rPr>
        <w:t>fails to</w:t>
      </w:r>
      <w:r w:rsidRPr="00C22738">
        <w:rPr>
          <w:rFonts w:ascii="Verdana" w:hAnsi="Verdana"/>
          <w:sz w:val="20"/>
          <w:szCs w:val="20"/>
        </w:rPr>
        <w:t xml:space="preserve"> comply with the preconditions </w:t>
      </w:r>
      <w:r w:rsidR="00107AC5" w:rsidRPr="00C22738">
        <w:rPr>
          <w:rFonts w:ascii="Verdana" w:hAnsi="Verdana"/>
          <w:sz w:val="20"/>
          <w:szCs w:val="20"/>
        </w:rPr>
        <w:t>prescribed</w:t>
      </w:r>
      <w:r w:rsidRPr="00C22738">
        <w:rPr>
          <w:rFonts w:ascii="Verdana" w:hAnsi="Verdana"/>
          <w:sz w:val="20"/>
          <w:szCs w:val="20"/>
        </w:rPr>
        <w:t xml:space="preserve"> by the Committee in its </w:t>
      </w:r>
      <w:r w:rsidR="00F02C43" w:rsidRPr="00C22738">
        <w:rPr>
          <w:rFonts w:ascii="Verdana" w:hAnsi="Verdana"/>
          <w:sz w:val="20"/>
          <w:szCs w:val="20"/>
        </w:rPr>
        <w:t>General</w:t>
      </w:r>
      <w:r w:rsidRPr="00C22738">
        <w:rPr>
          <w:rFonts w:ascii="Verdana" w:hAnsi="Verdana"/>
          <w:sz w:val="20"/>
          <w:szCs w:val="20"/>
        </w:rPr>
        <w:t xml:space="preserve"> Recommendation</w:t>
      </w:r>
      <w:r w:rsidR="00107AC5" w:rsidRPr="00C22738">
        <w:rPr>
          <w:rFonts w:ascii="Verdana" w:hAnsi="Verdana"/>
          <w:sz w:val="20"/>
          <w:szCs w:val="20"/>
        </w:rPr>
        <w:t xml:space="preserve"> 35</w:t>
      </w:r>
      <w:r w:rsidRPr="00C22738">
        <w:rPr>
          <w:rFonts w:ascii="Verdana" w:hAnsi="Verdana"/>
          <w:sz w:val="20"/>
          <w:szCs w:val="20"/>
        </w:rPr>
        <w:t>.</w:t>
      </w:r>
      <w:r w:rsidRPr="00C22738">
        <w:rPr>
          <w:rStyle w:val="FootnoteReference"/>
          <w:rFonts w:ascii="Verdana" w:hAnsi="Verdana"/>
          <w:sz w:val="20"/>
          <w:szCs w:val="20"/>
        </w:rPr>
        <w:footnoteReference w:id="36"/>
      </w:r>
      <w:r w:rsidRPr="00C22738">
        <w:rPr>
          <w:rFonts w:ascii="Verdana" w:hAnsi="Verdana"/>
          <w:sz w:val="20"/>
          <w:szCs w:val="20"/>
        </w:rPr>
        <w:t xml:space="preserve"> The law does not require prior evaluation by a specialized team to ensure the free and informed consent of survivors, nor does it empower survivors. This flaw is evident in the LPVWC, where the consent of survivors does not appear to be mandatory in cases of "re-education and compromise." Additionally, the LPVWC allows those responsible for "re-education and compromise" to prioritize family solidarity over the safety of survivors.</w:t>
      </w:r>
      <w:r w:rsidR="002C6C50" w:rsidRPr="00C22738">
        <w:rPr>
          <w:rStyle w:val="FootnoteReference"/>
          <w:rFonts w:ascii="Verdana" w:hAnsi="Verdana"/>
          <w:sz w:val="20"/>
          <w:szCs w:val="20"/>
        </w:rPr>
        <w:footnoteReference w:id="37"/>
      </w:r>
    </w:p>
    <w:p w14:paraId="5699882B" w14:textId="77777777" w:rsidR="00182478" w:rsidRPr="00C22738" w:rsidRDefault="00182478" w:rsidP="00182478">
      <w:pPr>
        <w:pStyle w:val="ListParagraph"/>
        <w:rPr>
          <w:rFonts w:ascii="Verdana" w:hAnsi="Verdana"/>
          <w:sz w:val="20"/>
          <w:szCs w:val="20"/>
        </w:rPr>
      </w:pPr>
    </w:p>
    <w:p w14:paraId="4352B293" w14:textId="0A550E09" w:rsidR="00182478" w:rsidRPr="00C22738" w:rsidRDefault="00182478" w:rsidP="00615D5C">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 xml:space="preserve">Regarding mediation, while Article 53 of the LPVWC mandates that mediation must be consensual, prioritize victim safety, and ensure voluntary acceptance of outcomes by </w:t>
      </w:r>
      <w:r w:rsidR="00144509" w:rsidRPr="00C22738">
        <w:rPr>
          <w:rFonts w:ascii="Verdana" w:hAnsi="Verdana"/>
          <w:sz w:val="20"/>
          <w:szCs w:val="20"/>
        </w:rPr>
        <w:t>survivors</w:t>
      </w:r>
      <w:r w:rsidRPr="00C22738">
        <w:rPr>
          <w:rFonts w:ascii="Verdana" w:hAnsi="Verdana"/>
          <w:sz w:val="20"/>
          <w:szCs w:val="20"/>
        </w:rPr>
        <w:t>, it is concerning that</w:t>
      </w:r>
      <w:r w:rsidR="00FB19D5" w:rsidRPr="00C22738">
        <w:rPr>
          <w:rFonts w:ascii="Verdana" w:hAnsi="Verdana"/>
          <w:sz w:val="20"/>
          <w:szCs w:val="20"/>
        </w:rPr>
        <w:t xml:space="preserve"> </w:t>
      </w:r>
      <w:r w:rsidRPr="00C22738">
        <w:rPr>
          <w:rFonts w:ascii="Verdana" w:hAnsi="Verdana"/>
          <w:sz w:val="20"/>
          <w:szCs w:val="20"/>
        </w:rPr>
        <w:t xml:space="preserve">these alternative dispute resolution mechanisms may still expose women to further </w:t>
      </w:r>
      <w:r w:rsidR="006F7366" w:rsidRPr="00C22738">
        <w:rPr>
          <w:rFonts w:ascii="Verdana" w:hAnsi="Verdana"/>
          <w:sz w:val="20"/>
          <w:szCs w:val="20"/>
        </w:rPr>
        <w:t xml:space="preserve">harm, including human </w:t>
      </w:r>
      <w:r w:rsidRPr="00C22738">
        <w:rPr>
          <w:rFonts w:ascii="Verdana" w:hAnsi="Verdana"/>
          <w:sz w:val="20"/>
          <w:szCs w:val="20"/>
        </w:rPr>
        <w:t xml:space="preserve">rights violations </w:t>
      </w:r>
      <w:r w:rsidR="006F7366" w:rsidRPr="00C22738">
        <w:rPr>
          <w:rFonts w:ascii="Verdana" w:hAnsi="Verdana"/>
          <w:sz w:val="20"/>
          <w:szCs w:val="20"/>
        </w:rPr>
        <w:t xml:space="preserve">or abuses, </w:t>
      </w:r>
      <w:r w:rsidRPr="00C22738">
        <w:rPr>
          <w:rFonts w:ascii="Verdana" w:hAnsi="Verdana"/>
          <w:sz w:val="20"/>
          <w:szCs w:val="20"/>
        </w:rPr>
        <w:t xml:space="preserve">and perpetuate impunity for perpetrators. This is largely because these mechanisms </w:t>
      </w:r>
      <w:r w:rsidR="00415088" w:rsidRPr="00C22738">
        <w:rPr>
          <w:rFonts w:ascii="Verdana" w:hAnsi="Verdana"/>
          <w:sz w:val="20"/>
          <w:szCs w:val="20"/>
        </w:rPr>
        <w:t xml:space="preserve">are </w:t>
      </w:r>
      <w:r w:rsidRPr="00C22738">
        <w:rPr>
          <w:rFonts w:ascii="Verdana" w:hAnsi="Verdana"/>
          <w:sz w:val="20"/>
          <w:szCs w:val="20"/>
        </w:rPr>
        <w:t xml:space="preserve">often </w:t>
      </w:r>
      <w:r w:rsidR="00A4407B" w:rsidRPr="00C22738">
        <w:rPr>
          <w:rFonts w:ascii="Verdana" w:hAnsi="Verdana"/>
          <w:sz w:val="20"/>
          <w:szCs w:val="20"/>
        </w:rPr>
        <w:t xml:space="preserve">implemented by </w:t>
      </w:r>
      <w:proofErr w:type="gramStart"/>
      <w:r w:rsidR="00A4407B" w:rsidRPr="00C22738">
        <w:rPr>
          <w:rFonts w:ascii="Verdana" w:hAnsi="Verdana"/>
          <w:sz w:val="20"/>
          <w:szCs w:val="20"/>
        </w:rPr>
        <w:t>persons</w:t>
      </w:r>
      <w:proofErr w:type="gramEnd"/>
      <w:r w:rsidR="00A4407B" w:rsidRPr="00C22738">
        <w:rPr>
          <w:rFonts w:ascii="Verdana" w:hAnsi="Verdana"/>
          <w:sz w:val="20"/>
          <w:szCs w:val="20"/>
        </w:rPr>
        <w:t xml:space="preserve"> who have internalized</w:t>
      </w:r>
      <w:r w:rsidR="009C01DF" w:rsidRPr="00C22738">
        <w:rPr>
          <w:rFonts w:ascii="Verdana" w:hAnsi="Verdana"/>
          <w:sz w:val="20"/>
          <w:szCs w:val="20"/>
        </w:rPr>
        <w:t xml:space="preserve"> </w:t>
      </w:r>
      <w:r w:rsidR="00A4407B" w:rsidRPr="00C22738">
        <w:rPr>
          <w:rFonts w:ascii="Verdana" w:hAnsi="Verdana"/>
          <w:sz w:val="20"/>
          <w:szCs w:val="20"/>
        </w:rPr>
        <w:t>gender stereotypes</w:t>
      </w:r>
      <w:r w:rsidRPr="00C22738">
        <w:rPr>
          <w:rFonts w:ascii="Verdana" w:hAnsi="Verdana"/>
          <w:sz w:val="20"/>
          <w:szCs w:val="20"/>
        </w:rPr>
        <w:t xml:space="preserve">. </w:t>
      </w:r>
      <w:r w:rsidR="00555AC5" w:rsidRPr="00C22738">
        <w:rPr>
          <w:rFonts w:ascii="Verdana" w:hAnsi="Verdana"/>
          <w:sz w:val="20"/>
          <w:szCs w:val="20"/>
        </w:rPr>
        <w:t>According to the experiences of CSOs and academics we interviewed, members of the Village Mediation Units are not professionals specifically trained to understand and adequately intervene in GBV cases</w:t>
      </w:r>
      <w:r w:rsidR="007B544F" w:rsidRPr="00C22738">
        <w:rPr>
          <w:rFonts w:ascii="Verdana" w:hAnsi="Verdana"/>
          <w:sz w:val="20"/>
          <w:szCs w:val="20"/>
        </w:rPr>
        <w:t xml:space="preserve">. </w:t>
      </w:r>
      <w:r w:rsidR="00555AC5" w:rsidRPr="00C22738">
        <w:rPr>
          <w:rFonts w:ascii="Verdana" w:hAnsi="Verdana"/>
          <w:sz w:val="20"/>
          <w:szCs w:val="20"/>
        </w:rPr>
        <w:t>As a result, these interventions frequently fail to protect the rights of women and children, reinforcing stereotypes and revictimizing women</w:t>
      </w:r>
      <w:r w:rsidRPr="00C22738">
        <w:rPr>
          <w:rFonts w:ascii="Verdana" w:hAnsi="Verdana"/>
          <w:sz w:val="20"/>
          <w:szCs w:val="20"/>
        </w:rPr>
        <w:t>.</w:t>
      </w:r>
    </w:p>
    <w:p w14:paraId="41B7BC63" w14:textId="77777777" w:rsidR="00D974A3" w:rsidRPr="00C22738" w:rsidRDefault="00D974A3" w:rsidP="00615D5C">
      <w:pPr>
        <w:spacing w:after="0" w:line="240" w:lineRule="auto"/>
        <w:ind w:left="360"/>
        <w:rPr>
          <w:rFonts w:ascii="Verdana" w:hAnsi="Verdana"/>
          <w:sz w:val="20"/>
          <w:szCs w:val="20"/>
        </w:rPr>
      </w:pPr>
    </w:p>
    <w:p w14:paraId="5F1E4B93" w14:textId="77777777" w:rsidR="00415088" w:rsidRPr="00C22738" w:rsidRDefault="00415088">
      <w:pPr>
        <w:rPr>
          <w:rFonts w:ascii="Verdana" w:hAnsi="Verdana"/>
          <w:sz w:val="20"/>
          <w:szCs w:val="20"/>
          <w:u w:val="single"/>
        </w:rPr>
      </w:pPr>
      <w:r w:rsidRPr="00C22738">
        <w:rPr>
          <w:rFonts w:ascii="Verdana" w:hAnsi="Verdana"/>
          <w:sz w:val="20"/>
          <w:szCs w:val="20"/>
          <w:u w:val="single"/>
        </w:rPr>
        <w:br w:type="page"/>
      </w:r>
    </w:p>
    <w:p w14:paraId="18D10C90" w14:textId="7C082271" w:rsidR="006B0076" w:rsidRPr="00C22738" w:rsidRDefault="00AB3E5E" w:rsidP="00615D5C">
      <w:pPr>
        <w:spacing w:after="0" w:line="240" w:lineRule="auto"/>
        <w:ind w:left="360"/>
        <w:rPr>
          <w:rFonts w:ascii="Verdana" w:hAnsi="Verdana"/>
          <w:sz w:val="20"/>
          <w:szCs w:val="20"/>
          <w:u w:val="single"/>
        </w:rPr>
      </w:pPr>
      <w:r w:rsidRPr="00C22738">
        <w:rPr>
          <w:rFonts w:ascii="Verdana" w:hAnsi="Verdana"/>
          <w:sz w:val="20"/>
          <w:szCs w:val="20"/>
          <w:u w:val="single"/>
        </w:rPr>
        <w:lastRenderedPageBreak/>
        <w:t>Gender stereotypes within the justice system</w:t>
      </w:r>
      <w:r w:rsidR="000515ED" w:rsidRPr="00C22738">
        <w:rPr>
          <w:rFonts w:ascii="Verdana" w:hAnsi="Verdana"/>
          <w:sz w:val="20"/>
          <w:szCs w:val="20"/>
          <w:u w:val="single"/>
        </w:rPr>
        <w:t xml:space="preserve"> </w:t>
      </w:r>
    </w:p>
    <w:p w14:paraId="66EDC85B" w14:textId="77777777" w:rsidR="000515ED" w:rsidRPr="00C22738" w:rsidRDefault="000515ED" w:rsidP="007B164B">
      <w:pPr>
        <w:spacing w:after="0" w:line="240" w:lineRule="auto"/>
        <w:ind w:left="360"/>
        <w:rPr>
          <w:rFonts w:ascii="Verdana" w:hAnsi="Verdana"/>
          <w:sz w:val="20"/>
          <w:szCs w:val="20"/>
          <w:u w:val="single"/>
        </w:rPr>
      </w:pPr>
    </w:p>
    <w:p w14:paraId="5402035F" w14:textId="1289AF4D" w:rsidR="00FF4CB7" w:rsidRPr="00C22738" w:rsidRDefault="00FF4CB7" w:rsidP="003C465C">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Harmful gender stereotypes and the stigmatization of survivors persist, not only among village authorities, as the Committee sought clarification on in the List of Issues,</w:t>
      </w:r>
      <w:r w:rsidRPr="00C22738">
        <w:rPr>
          <w:rStyle w:val="FootnoteReference"/>
          <w:rFonts w:ascii="Verdana" w:hAnsi="Verdana"/>
          <w:sz w:val="20"/>
          <w:szCs w:val="20"/>
        </w:rPr>
        <w:footnoteReference w:id="38"/>
      </w:r>
      <w:r w:rsidRPr="00C22738">
        <w:rPr>
          <w:rFonts w:ascii="Verdana" w:hAnsi="Verdana"/>
          <w:sz w:val="20"/>
          <w:szCs w:val="20"/>
        </w:rPr>
        <w:t xml:space="preserve"> but also within the justice sector. </w:t>
      </w:r>
      <w:r w:rsidR="00FB33E4" w:rsidRPr="00C22738">
        <w:rPr>
          <w:rFonts w:ascii="Verdana" w:hAnsi="Verdana"/>
          <w:sz w:val="20"/>
          <w:szCs w:val="20"/>
        </w:rPr>
        <w:t>Survivors</w:t>
      </w:r>
      <w:r w:rsidRPr="00C22738">
        <w:rPr>
          <w:rFonts w:ascii="Verdana" w:hAnsi="Verdana"/>
          <w:sz w:val="20"/>
          <w:szCs w:val="20"/>
        </w:rPr>
        <w:t xml:space="preserve"> of GBV frequently face victim-blaming and revictimization, in direct violation of Articles 2(d), 2(f), and 5(a) of CEDAW.</w:t>
      </w:r>
    </w:p>
    <w:p w14:paraId="698D6805" w14:textId="77777777" w:rsidR="00B343D7" w:rsidRPr="00C22738" w:rsidRDefault="00B343D7" w:rsidP="00B343D7">
      <w:pPr>
        <w:pStyle w:val="ListParagraph"/>
        <w:rPr>
          <w:rFonts w:ascii="Verdana" w:hAnsi="Verdana"/>
          <w:sz w:val="20"/>
          <w:szCs w:val="20"/>
        </w:rPr>
      </w:pPr>
    </w:p>
    <w:p w14:paraId="7227696B" w14:textId="1C79DA67" w:rsidR="008501B9" w:rsidRPr="00C22738" w:rsidRDefault="006B2A39" w:rsidP="003C465C">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G</w:t>
      </w:r>
      <w:r w:rsidR="00A81CB1" w:rsidRPr="00C22738">
        <w:rPr>
          <w:rFonts w:ascii="Verdana" w:hAnsi="Verdana"/>
          <w:sz w:val="20"/>
          <w:szCs w:val="20"/>
        </w:rPr>
        <w:t>ender stereotypes, as well as unresponsive and insensitive attitudes among justice sector actors, are evident in how they question GBV victims/survivors</w:t>
      </w:r>
      <w:r w:rsidR="00B343D7" w:rsidRPr="00C22738">
        <w:rPr>
          <w:rFonts w:ascii="Verdana" w:hAnsi="Verdana"/>
          <w:sz w:val="20"/>
          <w:szCs w:val="20"/>
        </w:rPr>
        <w:t xml:space="preserve">. </w:t>
      </w:r>
      <w:r w:rsidRPr="00C22738">
        <w:rPr>
          <w:rFonts w:ascii="Verdana" w:hAnsi="Verdana"/>
          <w:sz w:val="20"/>
          <w:szCs w:val="20"/>
        </w:rPr>
        <w:t xml:space="preserve">CSOs </w:t>
      </w:r>
      <w:r w:rsidR="00B343D7" w:rsidRPr="00C22738">
        <w:rPr>
          <w:rFonts w:ascii="Verdana" w:hAnsi="Verdana"/>
          <w:sz w:val="20"/>
          <w:szCs w:val="20"/>
        </w:rPr>
        <w:t>reported that police, public prosecutors, and judges failed to adopt a confidential and gender-sensitive approach to avoid stigmatization</w:t>
      </w:r>
      <w:r w:rsidR="00C33400" w:rsidRPr="00C22738">
        <w:rPr>
          <w:rFonts w:ascii="Verdana" w:hAnsi="Verdana"/>
          <w:sz w:val="20"/>
          <w:szCs w:val="20"/>
        </w:rPr>
        <w:t xml:space="preserve"> </w:t>
      </w:r>
      <w:r w:rsidR="00B343D7" w:rsidRPr="00C22738">
        <w:rPr>
          <w:rFonts w:ascii="Verdana" w:hAnsi="Verdana"/>
          <w:sz w:val="20"/>
          <w:szCs w:val="20"/>
        </w:rPr>
        <w:t>during legal proceedings.</w:t>
      </w:r>
      <w:r w:rsidR="00B343D7" w:rsidRPr="00C22738">
        <w:rPr>
          <w:rStyle w:val="FootnoteReference"/>
          <w:rFonts w:ascii="Verdana" w:hAnsi="Verdana"/>
          <w:sz w:val="20"/>
          <w:szCs w:val="20"/>
        </w:rPr>
        <w:footnoteReference w:id="39"/>
      </w:r>
      <w:r w:rsidR="00B343D7" w:rsidRPr="00C22738">
        <w:rPr>
          <w:rFonts w:ascii="Verdana" w:hAnsi="Verdana"/>
          <w:sz w:val="20"/>
          <w:szCs w:val="20"/>
        </w:rPr>
        <w:t xml:space="preserve"> Instead, authorities relied on gender stereotypes and discriminatory assumptions, using blaming, shaming, and retraumatizing language. For example, in rape cases, </w:t>
      </w:r>
      <w:r w:rsidRPr="00C22738">
        <w:rPr>
          <w:rFonts w:ascii="Verdana" w:hAnsi="Verdana"/>
          <w:sz w:val="20"/>
          <w:szCs w:val="20"/>
        </w:rPr>
        <w:t xml:space="preserve">members of CSOs </w:t>
      </w:r>
      <w:r w:rsidR="00B343D7" w:rsidRPr="00C22738">
        <w:rPr>
          <w:rFonts w:ascii="Verdana" w:hAnsi="Verdana"/>
          <w:sz w:val="20"/>
          <w:szCs w:val="20"/>
        </w:rPr>
        <w:t>witnessed several justice sector officers ask questions such as</w:t>
      </w:r>
      <w:proofErr w:type="gramStart"/>
      <w:r w:rsidR="00FB33E4" w:rsidRPr="00C22738">
        <w:rPr>
          <w:rFonts w:ascii="Verdana" w:hAnsi="Verdana"/>
          <w:sz w:val="20"/>
          <w:szCs w:val="20"/>
        </w:rPr>
        <w:t xml:space="preserve">: </w:t>
      </w:r>
      <w:r w:rsidR="00B343D7" w:rsidRPr="00C22738">
        <w:rPr>
          <w:rFonts w:ascii="Verdana" w:hAnsi="Verdana"/>
          <w:sz w:val="20"/>
          <w:szCs w:val="20"/>
        </w:rPr>
        <w:t xml:space="preserve"> “</w:t>
      </w:r>
      <w:proofErr w:type="gramEnd"/>
      <w:r w:rsidR="00B343D7" w:rsidRPr="00C22738">
        <w:rPr>
          <w:rFonts w:ascii="Verdana" w:hAnsi="Verdana"/>
          <w:sz w:val="20"/>
          <w:szCs w:val="20"/>
        </w:rPr>
        <w:t>Did the offender pick you up or vice versa?”</w:t>
      </w:r>
      <w:r w:rsidR="00FB33E4" w:rsidRPr="00C22738">
        <w:rPr>
          <w:rFonts w:ascii="Verdana" w:hAnsi="Verdana"/>
          <w:sz w:val="20"/>
          <w:szCs w:val="20"/>
        </w:rPr>
        <w:t>;</w:t>
      </w:r>
      <w:r w:rsidR="00B343D7" w:rsidRPr="00C22738">
        <w:rPr>
          <w:rFonts w:ascii="Verdana" w:hAnsi="Verdana"/>
          <w:sz w:val="20"/>
          <w:szCs w:val="20"/>
        </w:rPr>
        <w:t xml:space="preserve"> “Why did you follow the offender?”</w:t>
      </w:r>
      <w:r w:rsidR="005A09D1" w:rsidRPr="00C22738">
        <w:rPr>
          <w:rFonts w:ascii="Verdana" w:hAnsi="Verdana"/>
          <w:sz w:val="20"/>
          <w:szCs w:val="20"/>
        </w:rPr>
        <w:t>;</w:t>
      </w:r>
      <w:r w:rsidR="00B343D7" w:rsidRPr="00C22738">
        <w:rPr>
          <w:rFonts w:ascii="Verdana" w:hAnsi="Verdana"/>
          <w:sz w:val="20"/>
          <w:szCs w:val="20"/>
        </w:rPr>
        <w:t xml:space="preserve"> “Why didn’t you fight back?”</w:t>
      </w:r>
      <w:r w:rsidR="00FB33E4" w:rsidRPr="00C22738">
        <w:rPr>
          <w:rFonts w:ascii="Verdana" w:hAnsi="Verdana"/>
          <w:sz w:val="20"/>
          <w:szCs w:val="20"/>
        </w:rPr>
        <w:t>;</w:t>
      </w:r>
      <w:r w:rsidR="00B343D7" w:rsidRPr="00C22738">
        <w:rPr>
          <w:rFonts w:ascii="Verdana" w:hAnsi="Verdana"/>
          <w:sz w:val="20"/>
          <w:szCs w:val="20"/>
        </w:rPr>
        <w:t xml:space="preserve"> and “Why are you only reporting this now?</w:t>
      </w:r>
      <w:r w:rsidR="006E4673" w:rsidRPr="00C22738">
        <w:rPr>
          <w:rFonts w:ascii="Verdana" w:hAnsi="Verdana"/>
          <w:sz w:val="20"/>
          <w:szCs w:val="20"/>
        </w:rPr>
        <w:t>.</w:t>
      </w:r>
      <w:r w:rsidR="00B343D7" w:rsidRPr="00C22738">
        <w:rPr>
          <w:rFonts w:ascii="Verdana" w:hAnsi="Verdana"/>
          <w:sz w:val="20"/>
          <w:szCs w:val="20"/>
        </w:rPr>
        <w:t>”</w:t>
      </w:r>
      <w:r w:rsidR="00972FF4" w:rsidRPr="00C22738">
        <w:rPr>
          <w:rStyle w:val="FootnoteReference"/>
          <w:rFonts w:ascii="Verdana" w:hAnsi="Verdana"/>
          <w:sz w:val="20"/>
          <w:szCs w:val="20"/>
        </w:rPr>
        <w:footnoteReference w:id="40"/>
      </w:r>
    </w:p>
    <w:p w14:paraId="213A4D37" w14:textId="77777777" w:rsidR="00C33400" w:rsidRPr="00C22738" w:rsidRDefault="00C33400" w:rsidP="00E74167">
      <w:pPr>
        <w:spacing w:after="0" w:line="240" w:lineRule="auto"/>
        <w:jc w:val="thaiDistribute"/>
        <w:rPr>
          <w:rFonts w:ascii="Verdana" w:hAnsi="Verdana"/>
          <w:sz w:val="20"/>
          <w:szCs w:val="20"/>
        </w:rPr>
      </w:pPr>
    </w:p>
    <w:p w14:paraId="61B6DC93" w14:textId="72DDF511" w:rsidR="00E74167" w:rsidRPr="00C22738" w:rsidRDefault="00B8505E" w:rsidP="00E74167">
      <w:pPr>
        <w:spacing w:after="0" w:line="240" w:lineRule="auto"/>
        <w:jc w:val="thaiDistribute"/>
        <w:rPr>
          <w:rFonts w:ascii="Verdana" w:hAnsi="Verdana"/>
          <w:sz w:val="20"/>
          <w:szCs w:val="20"/>
          <w:u w:val="single"/>
        </w:rPr>
      </w:pPr>
      <w:r w:rsidRPr="00C22738">
        <w:rPr>
          <w:rFonts w:ascii="Verdana" w:hAnsi="Verdana"/>
          <w:sz w:val="20"/>
          <w:szCs w:val="20"/>
          <w:u w:val="single"/>
        </w:rPr>
        <w:t xml:space="preserve">Failure to protect </w:t>
      </w:r>
      <w:r w:rsidR="00296268" w:rsidRPr="00C22738">
        <w:rPr>
          <w:rFonts w:ascii="Verdana" w:hAnsi="Verdana"/>
          <w:sz w:val="20"/>
          <w:szCs w:val="20"/>
          <w:u w:val="single"/>
        </w:rPr>
        <w:t>GBV victims/survivors</w:t>
      </w:r>
      <w:r w:rsidRPr="00C22738">
        <w:rPr>
          <w:rFonts w:ascii="Verdana" w:hAnsi="Verdana"/>
          <w:sz w:val="20"/>
          <w:szCs w:val="20"/>
          <w:u w:val="single"/>
        </w:rPr>
        <w:t xml:space="preserve"> from secondary victimization</w:t>
      </w:r>
    </w:p>
    <w:p w14:paraId="760A56F8" w14:textId="77777777" w:rsidR="00803CB4" w:rsidRPr="00C22738" w:rsidRDefault="00803CB4" w:rsidP="00803CB4">
      <w:pPr>
        <w:pStyle w:val="ListParagraph"/>
        <w:rPr>
          <w:rFonts w:ascii="Verdana" w:hAnsi="Verdana"/>
          <w:sz w:val="20"/>
          <w:szCs w:val="20"/>
        </w:rPr>
      </w:pPr>
    </w:p>
    <w:p w14:paraId="5A436B26" w14:textId="2DD3EE34" w:rsidR="001604AB" w:rsidRPr="00C22738" w:rsidRDefault="001604AB" w:rsidP="003C465C">
      <w:pPr>
        <w:pStyle w:val="ListParagraph"/>
        <w:numPr>
          <w:ilvl w:val="0"/>
          <w:numId w:val="2"/>
        </w:numPr>
        <w:spacing w:after="0" w:line="240" w:lineRule="auto"/>
        <w:jc w:val="thaiDistribute"/>
        <w:rPr>
          <w:rFonts w:ascii="Verdana" w:hAnsi="Verdana"/>
          <w:sz w:val="20"/>
          <w:szCs w:val="20"/>
        </w:rPr>
      </w:pPr>
      <w:r w:rsidRPr="00C22738">
        <w:rPr>
          <w:rFonts w:ascii="Verdana" w:hAnsi="Verdana"/>
          <w:sz w:val="20"/>
          <w:szCs w:val="20"/>
        </w:rPr>
        <w:t xml:space="preserve">GBV survivors were frequently subject to secondary victimization in their interactions with judicial authorities, in contradiction to the Committee’s </w:t>
      </w:r>
      <w:r w:rsidR="00FB33E4" w:rsidRPr="00C22738">
        <w:rPr>
          <w:rFonts w:ascii="Verdana" w:hAnsi="Verdana"/>
          <w:sz w:val="20"/>
          <w:szCs w:val="20"/>
        </w:rPr>
        <w:t>General R</w:t>
      </w:r>
      <w:r w:rsidRPr="00C22738">
        <w:rPr>
          <w:rFonts w:ascii="Verdana" w:hAnsi="Verdana"/>
          <w:sz w:val="20"/>
          <w:szCs w:val="20"/>
        </w:rPr>
        <w:t>ecommendation</w:t>
      </w:r>
      <w:r w:rsidR="00FB33E4" w:rsidRPr="00C22738">
        <w:rPr>
          <w:rFonts w:ascii="Verdana" w:hAnsi="Verdana"/>
          <w:sz w:val="20"/>
          <w:szCs w:val="20"/>
        </w:rPr>
        <w:t xml:space="preserve"> 33</w:t>
      </w:r>
      <w:r w:rsidRPr="00C22738">
        <w:rPr>
          <w:rFonts w:ascii="Verdana" w:hAnsi="Verdana"/>
          <w:sz w:val="20"/>
          <w:szCs w:val="20"/>
        </w:rPr>
        <w:t>.</w:t>
      </w:r>
      <w:r w:rsidRPr="00C22738">
        <w:rPr>
          <w:rStyle w:val="FootnoteReference"/>
          <w:rFonts w:ascii="Verdana" w:hAnsi="Verdana"/>
          <w:sz w:val="20"/>
          <w:szCs w:val="20"/>
        </w:rPr>
        <w:footnoteReference w:id="41"/>
      </w:r>
      <w:r w:rsidRPr="00C22738">
        <w:rPr>
          <w:rFonts w:ascii="Verdana" w:hAnsi="Verdana"/>
          <w:sz w:val="20"/>
          <w:szCs w:val="20"/>
        </w:rPr>
        <w:t xml:space="preserve"> For example, </w:t>
      </w:r>
      <w:r w:rsidR="00F9190C" w:rsidRPr="00C22738">
        <w:rPr>
          <w:rFonts w:ascii="Verdana" w:hAnsi="Verdana"/>
          <w:sz w:val="20"/>
          <w:szCs w:val="20"/>
        </w:rPr>
        <w:t xml:space="preserve">GBV </w:t>
      </w:r>
      <w:r w:rsidRPr="00C22738">
        <w:rPr>
          <w:rFonts w:ascii="Verdana" w:hAnsi="Verdana"/>
          <w:sz w:val="20"/>
          <w:szCs w:val="20"/>
        </w:rPr>
        <w:t>survivors were often interviewed multiple times</w:t>
      </w:r>
      <w:r w:rsidR="00B956BA" w:rsidRPr="00C22738">
        <w:rPr>
          <w:rFonts w:ascii="Verdana" w:hAnsi="Verdana"/>
          <w:sz w:val="20"/>
          <w:szCs w:val="20"/>
        </w:rPr>
        <w:t xml:space="preserve"> without the assistance of psychological experts</w:t>
      </w:r>
      <w:r w:rsidR="00B75CB0" w:rsidRPr="00C22738">
        <w:rPr>
          <w:rFonts w:ascii="Verdana" w:hAnsi="Verdana"/>
          <w:sz w:val="20"/>
          <w:szCs w:val="20"/>
        </w:rPr>
        <w:t>.</w:t>
      </w:r>
      <w:r w:rsidRPr="00C22738">
        <w:rPr>
          <w:rFonts w:ascii="Verdana" w:hAnsi="Verdana"/>
          <w:sz w:val="20"/>
          <w:szCs w:val="20"/>
        </w:rPr>
        <w:t xml:space="preserve"> </w:t>
      </w:r>
      <w:r w:rsidR="00B75CB0" w:rsidRPr="00C22738">
        <w:rPr>
          <w:rFonts w:ascii="Verdana" w:hAnsi="Verdana"/>
          <w:sz w:val="20"/>
          <w:szCs w:val="20"/>
        </w:rPr>
        <w:t>O</w:t>
      </w:r>
      <w:r w:rsidRPr="00C22738">
        <w:rPr>
          <w:rFonts w:ascii="Verdana" w:hAnsi="Verdana"/>
          <w:sz w:val="20"/>
          <w:szCs w:val="20"/>
        </w:rPr>
        <w:t xml:space="preserve">ne </w:t>
      </w:r>
      <w:r w:rsidR="00157D3D" w:rsidRPr="00C22738">
        <w:rPr>
          <w:rFonts w:ascii="Verdana" w:hAnsi="Verdana"/>
          <w:sz w:val="20"/>
          <w:szCs w:val="20"/>
        </w:rPr>
        <w:t>lawyer</w:t>
      </w:r>
      <w:r w:rsidR="00F063AB" w:rsidRPr="00C22738">
        <w:rPr>
          <w:rFonts w:ascii="Verdana" w:hAnsi="Verdana"/>
          <w:sz w:val="20"/>
          <w:szCs w:val="20"/>
        </w:rPr>
        <w:t xml:space="preserve"> </w:t>
      </w:r>
      <w:r w:rsidRPr="00C22738">
        <w:rPr>
          <w:rFonts w:ascii="Verdana" w:hAnsi="Verdana"/>
          <w:sz w:val="20"/>
          <w:szCs w:val="20"/>
        </w:rPr>
        <w:t>recall</w:t>
      </w:r>
      <w:r w:rsidR="00B75CB0" w:rsidRPr="00C22738">
        <w:rPr>
          <w:rFonts w:ascii="Verdana" w:hAnsi="Verdana"/>
          <w:sz w:val="20"/>
          <w:szCs w:val="20"/>
        </w:rPr>
        <w:t>ed</w:t>
      </w:r>
      <w:r w:rsidRPr="00C22738">
        <w:rPr>
          <w:rFonts w:ascii="Verdana" w:hAnsi="Verdana"/>
          <w:sz w:val="20"/>
          <w:szCs w:val="20"/>
        </w:rPr>
        <w:t xml:space="preserve"> a case where a survivor was asked to recount the violence up to five times because the police </w:t>
      </w:r>
      <w:r w:rsidR="00432BEF" w:rsidRPr="00C22738">
        <w:rPr>
          <w:rFonts w:ascii="Verdana" w:hAnsi="Verdana"/>
          <w:sz w:val="20"/>
          <w:szCs w:val="20"/>
        </w:rPr>
        <w:t xml:space="preserve">purportedly </w:t>
      </w:r>
      <w:r w:rsidRPr="00C22738">
        <w:rPr>
          <w:rFonts w:ascii="Verdana" w:hAnsi="Verdana"/>
          <w:sz w:val="20"/>
          <w:szCs w:val="20"/>
        </w:rPr>
        <w:t>required more information or clarification.</w:t>
      </w:r>
    </w:p>
    <w:p w14:paraId="52EE9203" w14:textId="77777777" w:rsidR="00D47EAF" w:rsidRPr="00C22738" w:rsidRDefault="00D47EAF" w:rsidP="00D47EAF">
      <w:pPr>
        <w:pStyle w:val="ListParagraph"/>
        <w:rPr>
          <w:rFonts w:ascii="Verdana" w:hAnsi="Verdana"/>
          <w:sz w:val="20"/>
          <w:szCs w:val="20"/>
        </w:rPr>
      </w:pPr>
    </w:p>
    <w:p w14:paraId="6F776870" w14:textId="1E6F244D" w:rsidR="00D47EAF" w:rsidRPr="00C22738" w:rsidRDefault="00B75CB0" w:rsidP="003C465C">
      <w:pPr>
        <w:pStyle w:val="ListParagraph"/>
        <w:numPr>
          <w:ilvl w:val="0"/>
          <w:numId w:val="2"/>
        </w:numPr>
        <w:jc w:val="thaiDistribute"/>
        <w:rPr>
          <w:rFonts w:ascii="Verdana" w:hAnsi="Verdana"/>
          <w:sz w:val="20"/>
          <w:szCs w:val="20"/>
        </w:rPr>
      </w:pPr>
      <w:r w:rsidRPr="00C22738">
        <w:rPr>
          <w:rFonts w:ascii="Verdana" w:hAnsi="Verdana"/>
          <w:sz w:val="20"/>
          <w:szCs w:val="20"/>
        </w:rPr>
        <w:t>I</w:t>
      </w:r>
      <w:r w:rsidR="00D47EAF" w:rsidRPr="00C22738">
        <w:rPr>
          <w:rFonts w:ascii="Verdana" w:hAnsi="Verdana"/>
          <w:sz w:val="20"/>
          <w:szCs w:val="20"/>
        </w:rPr>
        <w:t xml:space="preserve">nteractions </w:t>
      </w:r>
      <w:r w:rsidR="009E1E16" w:rsidRPr="00C22738">
        <w:rPr>
          <w:rFonts w:ascii="Verdana" w:hAnsi="Verdana"/>
          <w:sz w:val="20"/>
          <w:szCs w:val="20"/>
        </w:rPr>
        <w:t xml:space="preserve">were </w:t>
      </w:r>
      <w:r w:rsidR="00D21242" w:rsidRPr="00C22738">
        <w:rPr>
          <w:rFonts w:ascii="Verdana" w:hAnsi="Verdana"/>
          <w:sz w:val="20"/>
          <w:szCs w:val="20"/>
        </w:rPr>
        <w:t>frequently</w:t>
      </w:r>
      <w:r w:rsidRPr="00C22738">
        <w:rPr>
          <w:rFonts w:ascii="Verdana" w:hAnsi="Verdana"/>
          <w:sz w:val="20"/>
          <w:szCs w:val="20"/>
        </w:rPr>
        <w:t xml:space="preserve"> undertaken without</w:t>
      </w:r>
      <w:r w:rsidR="00D47EAF" w:rsidRPr="00C22738">
        <w:rPr>
          <w:rFonts w:ascii="Verdana" w:hAnsi="Verdana"/>
          <w:sz w:val="20"/>
          <w:szCs w:val="20"/>
        </w:rPr>
        <w:t xml:space="preserve"> the supportive environment necessary </w:t>
      </w:r>
      <w:r w:rsidR="006E4673" w:rsidRPr="00C22738">
        <w:rPr>
          <w:rFonts w:ascii="Verdana" w:hAnsi="Verdana"/>
          <w:sz w:val="20"/>
          <w:szCs w:val="20"/>
        </w:rPr>
        <w:t>for</w:t>
      </w:r>
      <w:r w:rsidR="00D47EAF" w:rsidRPr="00C22738">
        <w:rPr>
          <w:rFonts w:ascii="Verdana" w:hAnsi="Verdana"/>
          <w:sz w:val="20"/>
          <w:szCs w:val="20"/>
        </w:rPr>
        <w:t xml:space="preserve"> women </w:t>
      </w:r>
      <w:r w:rsidR="006E4673" w:rsidRPr="00C22738">
        <w:rPr>
          <w:rFonts w:ascii="Verdana" w:hAnsi="Verdana"/>
          <w:sz w:val="20"/>
          <w:szCs w:val="20"/>
        </w:rPr>
        <w:t>to</w:t>
      </w:r>
      <w:r w:rsidR="00D47EAF" w:rsidRPr="00C22738">
        <w:rPr>
          <w:rFonts w:ascii="Verdana" w:hAnsi="Verdana"/>
          <w:sz w:val="20"/>
          <w:szCs w:val="20"/>
        </w:rPr>
        <w:t xml:space="preserve"> </w:t>
      </w:r>
      <w:r w:rsidR="009E1E16" w:rsidRPr="00C22738">
        <w:rPr>
          <w:rFonts w:ascii="Verdana" w:hAnsi="Verdana"/>
          <w:sz w:val="20"/>
          <w:szCs w:val="20"/>
        </w:rPr>
        <w:t>exercis</w:t>
      </w:r>
      <w:r w:rsidR="006E4673" w:rsidRPr="00C22738">
        <w:rPr>
          <w:rFonts w:ascii="Verdana" w:hAnsi="Verdana"/>
          <w:sz w:val="20"/>
          <w:szCs w:val="20"/>
        </w:rPr>
        <w:t>e</w:t>
      </w:r>
      <w:r w:rsidR="00D47EAF" w:rsidRPr="00C22738">
        <w:rPr>
          <w:rFonts w:ascii="Verdana" w:hAnsi="Verdana"/>
          <w:sz w:val="20"/>
          <w:szCs w:val="20"/>
        </w:rPr>
        <w:t xml:space="preserve"> their rights, report crimes, and actively participate in criminal justice processes.</w:t>
      </w:r>
      <w:r w:rsidR="00D47EAF" w:rsidRPr="00C22738">
        <w:rPr>
          <w:rStyle w:val="FootnoteReference"/>
          <w:rFonts w:ascii="Verdana" w:hAnsi="Verdana"/>
          <w:sz w:val="20"/>
          <w:szCs w:val="20"/>
        </w:rPr>
        <w:footnoteReference w:id="42"/>
      </w:r>
      <w:r w:rsidR="00D47EAF" w:rsidRPr="00C22738">
        <w:rPr>
          <w:rFonts w:ascii="Verdana" w:hAnsi="Verdana"/>
          <w:sz w:val="20"/>
          <w:szCs w:val="20"/>
        </w:rPr>
        <w:t xml:space="preserve"> </w:t>
      </w:r>
      <w:r w:rsidR="00F063AB" w:rsidRPr="00C22738">
        <w:rPr>
          <w:rFonts w:ascii="Verdana" w:hAnsi="Verdana"/>
          <w:sz w:val="20"/>
          <w:szCs w:val="20"/>
        </w:rPr>
        <w:t>A</w:t>
      </w:r>
      <w:r w:rsidR="00C218FB" w:rsidRPr="00C22738">
        <w:rPr>
          <w:rFonts w:ascii="Verdana" w:hAnsi="Verdana"/>
          <w:sz w:val="20"/>
          <w:szCs w:val="20"/>
        </w:rPr>
        <w:t>t the police stage, there were no separate waiting areas or private rooms for survivors to register their concerns confidentially, and interviews with GBV survivors were sometimes conducted in the presence of offenders</w:t>
      </w:r>
      <w:r w:rsidR="00FB34BA" w:rsidRPr="00C22738">
        <w:rPr>
          <w:rFonts w:ascii="Verdana" w:hAnsi="Verdana"/>
          <w:sz w:val="20"/>
          <w:szCs w:val="20"/>
        </w:rPr>
        <w:t xml:space="preserve">. </w:t>
      </w:r>
      <w:r w:rsidR="005A4895" w:rsidRPr="00C22738">
        <w:rPr>
          <w:rFonts w:ascii="Verdana" w:hAnsi="Verdana"/>
          <w:sz w:val="20"/>
          <w:szCs w:val="20"/>
        </w:rPr>
        <w:t xml:space="preserve">Similarly, in court, </w:t>
      </w:r>
      <w:r w:rsidR="00144509" w:rsidRPr="00C22738">
        <w:rPr>
          <w:rFonts w:ascii="Verdana" w:hAnsi="Verdana"/>
          <w:sz w:val="20"/>
          <w:szCs w:val="20"/>
        </w:rPr>
        <w:t>survivors</w:t>
      </w:r>
      <w:r w:rsidR="005A4895" w:rsidRPr="00C22738">
        <w:rPr>
          <w:rFonts w:ascii="Verdana" w:hAnsi="Verdana"/>
          <w:sz w:val="20"/>
          <w:szCs w:val="20"/>
        </w:rPr>
        <w:t xml:space="preserve"> had no option to request a separate entrance, for legal proceedings to be held privately unless requested by their lawyer, or to give testimony remotely or via communication equipment</w:t>
      </w:r>
      <w:r w:rsidR="001118B1" w:rsidRPr="00C22738">
        <w:rPr>
          <w:rFonts w:ascii="Verdana" w:hAnsi="Verdana"/>
          <w:sz w:val="20"/>
          <w:szCs w:val="20"/>
        </w:rPr>
        <w:t>. Instead, GBV survivors often had to testify in confrontation with the offender, alongside unrelated parties testifying in separate cases on the same day</w:t>
      </w:r>
      <w:r w:rsidR="00D47EAF" w:rsidRPr="00C22738">
        <w:rPr>
          <w:rFonts w:ascii="Verdana" w:hAnsi="Verdana"/>
          <w:sz w:val="20"/>
          <w:szCs w:val="20"/>
        </w:rPr>
        <w:t>.</w:t>
      </w:r>
    </w:p>
    <w:p w14:paraId="1737A1E3" w14:textId="77777777" w:rsidR="004D461E" w:rsidRPr="00C22738" w:rsidRDefault="004D461E" w:rsidP="004D461E">
      <w:pPr>
        <w:pStyle w:val="ListParagraph"/>
        <w:rPr>
          <w:rFonts w:ascii="Verdana" w:hAnsi="Verdana"/>
          <w:sz w:val="20"/>
          <w:szCs w:val="20"/>
        </w:rPr>
      </w:pPr>
    </w:p>
    <w:p w14:paraId="209BE1F1" w14:textId="2BDD48BA" w:rsidR="004D461E" w:rsidRPr="00C22738" w:rsidRDefault="00286AF6" w:rsidP="003C465C">
      <w:pPr>
        <w:pStyle w:val="ListParagraph"/>
        <w:numPr>
          <w:ilvl w:val="0"/>
          <w:numId w:val="2"/>
        </w:numPr>
        <w:jc w:val="thaiDistribute"/>
        <w:rPr>
          <w:rFonts w:ascii="Verdana" w:hAnsi="Verdana"/>
          <w:sz w:val="20"/>
          <w:szCs w:val="20"/>
        </w:rPr>
      </w:pPr>
      <w:r w:rsidRPr="00C22738">
        <w:rPr>
          <w:rFonts w:ascii="Verdana" w:hAnsi="Verdana"/>
          <w:sz w:val="20"/>
          <w:szCs w:val="20"/>
        </w:rPr>
        <w:t>Information received by the ICJ indicates</w:t>
      </w:r>
      <w:r w:rsidR="007B39F1" w:rsidRPr="00C22738">
        <w:rPr>
          <w:rFonts w:ascii="Verdana" w:hAnsi="Verdana"/>
          <w:sz w:val="20"/>
          <w:szCs w:val="20"/>
        </w:rPr>
        <w:t xml:space="preserve"> a significant shortage of female police officers. </w:t>
      </w:r>
      <w:r w:rsidR="005555CF" w:rsidRPr="00C22738">
        <w:rPr>
          <w:rFonts w:ascii="Verdana" w:hAnsi="Verdana"/>
          <w:sz w:val="20"/>
          <w:szCs w:val="20"/>
        </w:rPr>
        <w:t xml:space="preserve">Members of CSOs </w:t>
      </w:r>
      <w:r w:rsidR="007B39F1" w:rsidRPr="00C22738">
        <w:rPr>
          <w:rFonts w:ascii="Verdana" w:hAnsi="Verdana"/>
          <w:sz w:val="20"/>
          <w:szCs w:val="20"/>
        </w:rPr>
        <w:t>interviewed reported that female police officers are rarely found, even in the capital, Vientiane. This challenge mirrors the situation in Village Mediation Units, where</w:t>
      </w:r>
      <w:r w:rsidR="00066876" w:rsidRPr="00C22738">
        <w:rPr>
          <w:rFonts w:ascii="Verdana" w:hAnsi="Verdana"/>
          <w:sz w:val="20"/>
          <w:szCs w:val="20"/>
        </w:rPr>
        <w:t xml:space="preserve"> </w:t>
      </w:r>
      <w:r w:rsidR="007B39F1" w:rsidRPr="00C22738">
        <w:rPr>
          <w:rFonts w:ascii="Verdana" w:hAnsi="Verdana"/>
          <w:sz w:val="20"/>
          <w:szCs w:val="20"/>
        </w:rPr>
        <w:t>committee members were predominantly men</w:t>
      </w:r>
      <w:r w:rsidR="00674AFD" w:rsidRPr="00C22738">
        <w:rPr>
          <w:rFonts w:ascii="Verdana" w:hAnsi="Verdana"/>
          <w:sz w:val="20"/>
          <w:szCs w:val="20"/>
        </w:rPr>
        <w:t>.</w:t>
      </w:r>
    </w:p>
    <w:p w14:paraId="10703F0C" w14:textId="77777777" w:rsidR="00782462" w:rsidRPr="00C22738" w:rsidRDefault="00782462" w:rsidP="00782462">
      <w:pPr>
        <w:pStyle w:val="ListParagraph"/>
        <w:rPr>
          <w:rFonts w:ascii="Verdana" w:hAnsi="Verdana"/>
          <w:sz w:val="20"/>
          <w:szCs w:val="20"/>
        </w:rPr>
      </w:pPr>
    </w:p>
    <w:p w14:paraId="1F2489D9" w14:textId="50D498D3" w:rsidR="002B52FD" w:rsidRPr="00C22738" w:rsidRDefault="002B52FD" w:rsidP="003C465C">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lastRenderedPageBreak/>
        <w:t>In line with the Committee's General Recommendation</w:t>
      </w:r>
      <w:r w:rsidR="00286AF6" w:rsidRPr="00C22738">
        <w:rPr>
          <w:rFonts w:ascii="Verdana" w:hAnsi="Verdana"/>
          <w:sz w:val="20"/>
          <w:szCs w:val="20"/>
        </w:rPr>
        <w:t xml:space="preserve"> 33</w:t>
      </w:r>
      <w:r w:rsidRPr="00C22738">
        <w:rPr>
          <w:rFonts w:ascii="Verdana" w:hAnsi="Verdana"/>
          <w:sz w:val="20"/>
          <w:szCs w:val="20"/>
        </w:rPr>
        <w:t>, re</w:t>
      </w:r>
      <w:r w:rsidR="00286AF6" w:rsidRPr="00C22738">
        <w:rPr>
          <w:rFonts w:ascii="Verdana" w:hAnsi="Verdana"/>
          <w:sz w:val="20"/>
          <w:szCs w:val="20"/>
        </w:rPr>
        <w:t>sponsible</w:t>
      </w:r>
      <w:r w:rsidRPr="00C22738">
        <w:rPr>
          <w:rFonts w:ascii="Verdana" w:hAnsi="Verdana"/>
          <w:sz w:val="20"/>
          <w:szCs w:val="20"/>
        </w:rPr>
        <w:t xml:space="preserve"> authorities should take measures to prevent retaliation against women seeking recourse in the justice system</w:t>
      </w:r>
      <w:r w:rsidRPr="00C22738">
        <w:rPr>
          <w:rStyle w:val="FootnoteReference"/>
          <w:rFonts w:ascii="Verdana" w:hAnsi="Verdana"/>
          <w:sz w:val="20"/>
          <w:szCs w:val="20"/>
        </w:rPr>
        <w:footnoteReference w:id="43"/>
      </w:r>
      <w:r w:rsidR="001A0A7C" w:rsidRPr="00C22738">
        <w:rPr>
          <w:rFonts w:ascii="Verdana" w:hAnsi="Verdana"/>
          <w:sz w:val="20"/>
          <w:szCs w:val="20"/>
        </w:rPr>
        <w:t xml:space="preserve"> -</w:t>
      </w:r>
      <w:r w:rsidRPr="00C22738">
        <w:rPr>
          <w:rFonts w:ascii="Verdana" w:hAnsi="Verdana"/>
          <w:sz w:val="20"/>
          <w:szCs w:val="20"/>
        </w:rPr>
        <w:t xml:space="preserve"> </w:t>
      </w:r>
      <w:r w:rsidR="00286AF6" w:rsidRPr="00C22738">
        <w:rPr>
          <w:rFonts w:ascii="Verdana" w:hAnsi="Verdana"/>
          <w:sz w:val="20"/>
          <w:szCs w:val="20"/>
        </w:rPr>
        <w:t xml:space="preserve">a duty </w:t>
      </w:r>
      <w:r w:rsidR="001A0A7C" w:rsidRPr="00C22738">
        <w:rPr>
          <w:rFonts w:ascii="Verdana" w:hAnsi="Verdana"/>
          <w:sz w:val="20"/>
          <w:szCs w:val="20"/>
        </w:rPr>
        <w:t>which</w:t>
      </w:r>
      <w:r w:rsidR="007C4A7B" w:rsidRPr="00C22738">
        <w:rPr>
          <w:rFonts w:ascii="Verdana" w:hAnsi="Verdana"/>
          <w:sz w:val="20"/>
          <w:szCs w:val="20"/>
        </w:rPr>
        <w:t xml:space="preserve"> is also enshrined in the LPVWC</w:t>
      </w:r>
      <w:r w:rsidRPr="00C22738">
        <w:rPr>
          <w:rFonts w:ascii="Verdana" w:hAnsi="Verdana"/>
          <w:sz w:val="20"/>
          <w:szCs w:val="20"/>
        </w:rPr>
        <w:t>.</w:t>
      </w:r>
      <w:r w:rsidR="00B2027C" w:rsidRPr="00C22738">
        <w:rPr>
          <w:rStyle w:val="FootnoteReference"/>
          <w:rFonts w:ascii="Verdana" w:hAnsi="Verdana"/>
          <w:sz w:val="20"/>
          <w:szCs w:val="20"/>
        </w:rPr>
        <w:footnoteReference w:id="44"/>
      </w:r>
      <w:r w:rsidRPr="00C22738">
        <w:rPr>
          <w:rFonts w:ascii="Verdana" w:hAnsi="Verdana"/>
          <w:sz w:val="20"/>
          <w:szCs w:val="20"/>
        </w:rPr>
        <w:t xml:space="preserve"> However, according to several </w:t>
      </w:r>
      <w:r w:rsidR="00FF316A" w:rsidRPr="00C22738">
        <w:rPr>
          <w:rFonts w:ascii="Verdana" w:hAnsi="Verdana"/>
          <w:sz w:val="20"/>
          <w:szCs w:val="20"/>
        </w:rPr>
        <w:t xml:space="preserve">members of CSOs </w:t>
      </w:r>
      <w:r w:rsidRPr="00C22738">
        <w:rPr>
          <w:rFonts w:ascii="Verdana" w:hAnsi="Verdana"/>
          <w:sz w:val="20"/>
          <w:szCs w:val="20"/>
        </w:rPr>
        <w:t>we interviewed, when concerns about the security of GBV survivors</w:t>
      </w:r>
      <w:r w:rsidR="009D47BD" w:rsidRPr="00C22738">
        <w:rPr>
          <w:rFonts w:ascii="Verdana" w:hAnsi="Verdana"/>
          <w:sz w:val="20"/>
          <w:szCs w:val="20"/>
        </w:rPr>
        <w:t xml:space="preserve"> </w:t>
      </w:r>
      <w:r w:rsidRPr="00C22738">
        <w:rPr>
          <w:rFonts w:ascii="Verdana" w:hAnsi="Verdana"/>
          <w:sz w:val="20"/>
          <w:szCs w:val="20"/>
        </w:rPr>
        <w:t>were raised with the police, the</w:t>
      </w:r>
      <w:r w:rsidR="00286AF6" w:rsidRPr="00C22738">
        <w:rPr>
          <w:rFonts w:ascii="Verdana" w:hAnsi="Verdana"/>
          <w:sz w:val="20"/>
          <w:szCs w:val="20"/>
        </w:rPr>
        <w:t>y</w:t>
      </w:r>
      <w:r w:rsidRPr="00C22738">
        <w:rPr>
          <w:rFonts w:ascii="Verdana" w:hAnsi="Verdana"/>
          <w:sz w:val="20"/>
          <w:szCs w:val="20"/>
        </w:rPr>
        <w:t xml:space="preserve"> were often ignored. Police did not</w:t>
      </w:r>
      <w:r w:rsidR="00F2216D" w:rsidRPr="00C22738">
        <w:rPr>
          <w:rFonts w:ascii="Verdana" w:hAnsi="Verdana"/>
          <w:sz w:val="20"/>
          <w:szCs w:val="20"/>
        </w:rPr>
        <w:t xml:space="preserve"> always</w:t>
      </w:r>
      <w:r w:rsidRPr="00C22738">
        <w:rPr>
          <w:rFonts w:ascii="Verdana" w:hAnsi="Verdana"/>
          <w:sz w:val="20"/>
          <w:szCs w:val="20"/>
        </w:rPr>
        <w:t xml:space="preserve"> intervene or impose emergency measures, even when warranted, and in some cases, violence, including retaliation against survivors for reporting, occurred without police taking further action.</w:t>
      </w:r>
    </w:p>
    <w:p w14:paraId="6ED13882" w14:textId="77777777" w:rsidR="00BF72B1" w:rsidRPr="00C22738" w:rsidRDefault="00BF72B1" w:rsidP="007B164B">
      <w:pPr>
        <w:spacing w:after="0" w:line="240" w:lineRule="auto"/>
        <w:rPr>
          <w:rFonts w:ascii="Verdana" w:hAnsi="Verdana"/>
          <w:sz w:val="20"/>
          <w:szCs w:val="20"/>
          <w:u w:val="single"/>
        </w:rPr>
      </w:pPr>
    </w:p>
    <w:p w14:paraId="28F3E3B3" w14:textId="5604A135" w:rsidR="00614C31" w:rsidRPr="00C22738" w:rsidRDefault="00B17682" w:rsidP="007B164B">
      <w:pPr>
        <w:spacing w:after="0" w:line="240" w:lineRule="auto"/>
        <w:rPr>
          <w:rFonts w:ascii="Verdana" w:hAnsi="Verdana"/>
          <w:sz w:val="20"/>
          <w:szCs w:val="20"/>
          <w:u w:val="single"/>
        </w:rPr>
      </w:pPr>
      <w:r w:rsidRPr="00C22738">
        <w:rPr>
          <w:rFonts w:ascii="Verdana" w:hAnsi="Verdana"/>
          <w:sz w:val="20"/>
          <w:szCs w:val="20"/>
          <w:u w:val="single"/>
        </w:rPr>
        <w:t>O</w:t>
      </w:r>
      <w:r w:rsidR="006874B2" w:rsidRPr="00C22738">
        <w:rPr>
          <w:rFonts w:ascii="Verdana" w:hAnsi="Verdana"/>
          <w:sz w:val="20"/>
          <w:szCs w:val="20"/>
          <w:u w:val="single"/>
        </w:rPr>
        <w:t xml:space="preserve">ther </w:t>
      </w:r>
      <w:r w:rsidR="002E1BAD" w:rsidRPr="00C22738">
        <w:rPr>
          <w:rFonts w:ascii="Verdana" w:hAnsi="Verdana"/>
          <w:sz w:val="20"/>
          <w:szCs w:val="20"/>
          <w:u w:val="single"/>
        </w:rPr>
        <w:t xml:space="preserve">practical </w:t>
      </w:r>
      <w:r w:rsidR="006874B2" w:rsidRPr="00C22738">
        <w:rPr>
          <w:rFonts w:ascii="Verdana" w:hAnsi="Verdana"/>
          <w:sz w:val="20"/>
          <w:szCs w:val="20"/>
          <w:u w:val="single"/>
        </w:rPr>
        <w:t>o</w:t>
      </w:r>
      <w:r w:rsidR="00534D6A" w:rsidRPr="00C22738">
        <w:rPr>
          <w:rFonts w:ascii="Verdana" w:hAnsi="Verdana"/>
          <w:sz w:val="20"/>
          <w:szCs w:val="20"/>
          <w:u w:val="single"/>
        </w:rPr>
        <w:t>bstacles</w:t>
      </w:r>
      <w:r w:rsidR="006874B2" w:rsidRPr="00C22738">
        <w:rPr>
          <w:rFonts w:ascii="Verdana" w:hAnsi="Verdana"/>
          <w:sz w:val="20"/>
          <w:szCs w:val="20"/>
          <w:u w:val="single"/>
        </w:rPr>
        <w:t xml:space="preserve"> </w:t>
      </w:r>
      <w:r w:rsidR="00674AFD" w:rsidRPr="00C22738">
        <w:rPr>
          <w:rFonts w:ascii="Verdana" w:hAnsi="Verdana"/>
          <w:sz w:val="20"/>
          <w:szCs w:val="20"/>
          <w:u w:val="single"/>
        </w:rPr>
        <w:t xml:space="preserve"> </w:t>
      </w:r>
      <w:r w:rsidR="006874B2" w:rsidRPr="00C22738">
        <w:rPr>
          <w:rFonts w:ascii="Verdana" w:hAnsi="Verdana"/>
          <w:sz w:val="20"/>
          <w:szCs w:val="20"/>
          <w:u w:val="single"/>
        </w:rPr>
        <w:t xml:space="preserve"> </w:t>
      </w:r>
    </w:p>
    <w:p w14:paraId="477A5D15" w14:textId="77777777" w:rsidR="00252844" w:rsidRPr="00C22738" w:rsidRDefault="00252844" w:rsidP="007B164B">
      <w:pPr>
        <w:spacing w:after="0" w:line="240" w:lineRule="auto"/>
        <w:rPr>
          <w:rFonts w:ascii="Verdana" w:hAnsi="Verdana"/>
          <w:sz w:val="20"/>
          <w:szCs w:val="20"/>
          <w:u w:val="single"/>
        </w:rPr>
      </w:pPr>
    </w:p>
    <w:p w14:paraId="355C52CC" w14:textId="0E2D3F59" w:rsidR="001B1B99" w:rsidRPr="00C22738" w:rsidRDefault="00EE4061" w:rsidP="003C465C">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eastAsia="Times New Roman" w:hAnsi="Verdana" w:cs="Times New Roman"/>
          <w:bCs/>
          <w:sz w:val="20"/>
          <w:szCs w:val="20"/>
          <w:lang w:bidi="lo-LA"/>
        </w:rPr>
        <w:t>Several p</w:t>
      </w:r>
      <w:r w:rsidR="005C26ED" w:rsidRPr="00C22738">
        <w:rPr>
          <w:rFonts w:ascii="Verdana" w:eastAsia="Times New Roman" w:hAnsi="Verdana" w:cs="Times New Roman"/>
          <w:bCs/>
          <w:sz w:val="20"/>
          <w:szCs w:val="20"/>
          <w:lang w:bidi="lo-LA"/>
        </w:rPr>
        <w:t>ractical barriers further impede access to justice for GBV victims/survivors, including a shortage of female lawyers. According to the Lao Bar Association (LBA), as of 1 September 2024, in a country of 7.5 million people, there are only 5</w:t>
      </w:r>
      <w:r w:rsidR="008A756E" w:rsidRPr="00C22738">
        <w:rPr>
          <w:rFonts w:ascii="Verdana" w:eastAsia="Times New Roman" w:hAnsi="Verdana" w:cs="Times New Roman"/>
          <w:bCs/>
          <w:sz w:val="20"/>
          <w:szCs w:val="20"/>
          <w:lang w:bidi="lo-LA"/>
        </w:rPr>
        <w:t>29</w:t>
      </w:r>
      <w:r w:rsidR="005C26ED" w:rsidRPr="00C22738">
        <w:rPr>
          <w:rFonts w:ascii="Verdana" w:eastAsia="Times New Roman" w:hAnsi="Verdana" w:cs="Times New Roman"/>
          <w:bCs/>
          <w:sz w:val="20"/>
          <w:szCs w:val="20"/>
          <w:lang w:bidi="lo-LA"/>
        </w:rPr>
        <w:t xml:space="preserve"> lawyers registered with the LBA,</w:t>
      </w:r>
      <w:r w:rsidR="00495351" w:rsidRPr="00C22738">
        <w:rPr>
          <w:rFonts w:ascii="Verdana" w:eastAsia="Times New Roman" w:hAnsi="Verdana" w:cs="Times New Roman"/>
          <w:bCs/>
          <w:sz w:val="20"/>
          <w:szCs w:val="20"/>
          <w:lang w:bidi="lo-LA"/>
        </w:rPr>
        <w:t xml:space="preserve"> which is a requirement to practice law,</w:t>
      </w:r>
      <w:r w:rsidR="005C26ED" w:rsidRPr="00C22738">
        <w:rPr>
          <w:rFonts w:ascii="Verdana" w:eastAsia="Times New Roman" w:hAnsi="Verdana" w:cs="Times New Roman"/>
          <w:bCs/>
          <w:sz w:val="20"/>
          <w:szCs w:val="20"/>
          <w:lang w:bidi="lo-LA"/>
        </w:rPr>
        <w:t xml:space="preserve"> </w:t>
      </w:r>
      <w:r w:rsidR="00495351" w:rsidRPr="00C22738">
        <w:rPr>
          <w:rFonts w:ascii="Verdana" w:eastAsia="Times New Roman" w:hAnsi="Verdana" w:cs="Times New Roman"/>
          <w:bCs/>
          <w:sz w:val="20"/>
          <w:szCs w:val="20"/>
          <w:lang w:bidi="lo-LA"/>
        </w:rPr>
        <w:t>and</w:t>
      </w:r>
      <w:r w:rsidR="005C26ED" w:rsidRPr="00C22738">
        <w:rPr>
          <w:rFonts w:ascii="Verdana" w:eastAsia="Times New Roman" w:hAnsi="Verdana" w:cs="Times New Roman"/>
          <w:bCs/>
          <w:sz w:val="20"/>
          <w:szCs w:val="20"/>
          <w:lang w:bidi="lo-LA"/>
        </w:rPr>
        <w:t xml:space="preserve"> only 1</w:t>
      </w:r>
      <w:r w:rsidR="008A756E" w:rsidRPr="00C22738">
        <w:rPr>
          <w:rFonts w:ascii="Verdana" w:eastAsia="Times New Roman" w:hAnsi="Verdana" w:cs="Times New Roman"/>
          <w:bCs/>
          <w:sz w:val="20"/>
          <w:szCs w:val="20"/>
          <w:lang w:bidi="lo-LA"/>
        </w:rPr>
        <w:t>33</w:t>
      </w:r>
      <w:r w:rsidR="005C26ED" w:rsidRPr="00C22738">
        <w:rPr>
          <w:rFonts w:ascii="Verdana" w:eastAsia="Times New Roman" w:hAnsi="Verdana" w:cs="Times New Roman"/>
          <w:bCs/>
          <w:sz w:val="20"/>
          <w:szCs w:val="20"/>
          <w:lang w:bidi="lo-LA"/>
        </w:rPr>
        <w:t xml:space="preserve"> </w:t>
      </w:r>
      <w:r w:rsidR="00495351" w:rsidRPr="00C22738">
        <w:rPr>
          <w:rFonts w:ascii="Verdana" w:eastAsia="Times New Roman" w:hAnsi="Verdana" w:cs="Times New Roman"/>
          <w:bCs/>
          <w:sz w:val="20"/>
          <w:szCs w:val="20"/>
          <w:lang w:bidi="lo-LA"/>
        </w:rPr>
        <w:t xml:space="preserve">of them </w:t>
      </w:r>
      <w:r w:rsidR="005C26ED" w:rsidRPr="00C22738">
        <w:rPr>
          <w:rFonts w:ascii="Verdana" w:eastAsia="Times New Roman" w:hAnsi="Verdana" w:cs="Times New Roman"/>
          <w:bCs/>
          <w:sz w:val="20"/>
          <w:szCs w:val="20"/>
          <w:lang w:bidi="lo-LA"/>
        </w:rPr>
        <w:t>are women.</w:t>
      </w:r>
    </w:p>
    <w:p w14:paraId="1A4770C3" w14:textId="77777777" w:rsidR="008B4F47" w:rsidRPr="00C22738" w:rsidRDefault="008B4F47" w:rsidP="008B4F47">
      <w:pPr>
        <w:pStyle w:val="ListParagraph"/>
        <w:spacing w:after="0" w:line="240" w:lineRule="auto"/>
        <w:contextualSpacing w:val="0"/>
        <w:jc w:val="thaiDistribute"/>
        <w:rPr>
          <w:rFonts w:ascii="Verdana" w:hAnsi="Verdana"/>
          <w:sz w:val="20"/>
          <w:szCs w:val="20"/>
        </w:rPr>
      </w:pPr>
    </w:p>
    <w:p w14:paraId="0088A8A7" w14:textId="0C8029CE" w:rsidR="00A44001" w:rsidRPr="00C22738" w:rsidRDefault="00B50E50" w:rsidP="003C465C">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 xml:space="preserve">Lawyers, including those officially appointed by the State, frequently encounter difficulties accessing case files and evidence collected by the police and public prosecutors </w:t>
      </w:r>
      <w:r w:rsidR="00C075C7" w:rsidRPr="00C22738">
        <w:rPr>
          <w:rFonts w:ascii="Verdana" w:hAnsi="Verdana"/>
          <w:sz w:val="20"/>
          <w:szCs w:val="20"/>
        </w:rPr>
        <w:t>when acting and</w:t>
      </w:r>
      <w:r w:rsidR="000C28B7" w:rsidRPr="00C22738">
        <w:rPr>
          <w:rFonts w:ascii="Verdana" w:hAnsi="Verdana"/>
          <w:sz w:val="20"/>
          <w:szCs w:val="20"/>
        </w:rPr>
        <w:t xml:space="preserve"> providing support to their clients who are GBV survivors</w:t>
      </w:r>
      <w:r w:rsidR="00C075C7" w:rsidRPr="00C22738">
        <w:rPr>
          <w:rFonts w:ascii="Verdana" w:hAnsi="Verdana"/>
          <w:sz w:val="20"/>
          <w:szCs w:val="20"/>
        </w:rPr>
        <w:t>.</w:t>
      </w:r>
      <w:r w:rsidR="000C28B7" w:rsidRPr="00C22738">
        <w:rPr>
          <w:rFonts w:ascii="Verdana" w:hAnsi="Verdana"/>
          <w:sz w:val="20"/>
          <w:szCs w:val="20"/>
        </w:rPr>
        <w:t xml:space="preserve"> Article 71 of the Criminal Procedure Code guarantees the right of lawyers to </w:t>
      </w:r>
      <w:r w:rsidR="00FB7E49" w:rsidRPr="00C22738">
        <w:rPr>
          <w:rFonts w:ascii="Verdana" w:hAnsi="Verdana"/>
          <w:sz w:val="20"/>
          <w:szCs w:val="20"/>
        </w:rPr>
        <w:t>access</w:t>
      </w:r>
      <w:r w:rsidR="000C28B7" w:rsidRPr="00C22738">
        <w:rPr>
          <w:rFonts w:ascii="Verdana" w:hAnsi="Verdana"/>
          <w:sz w:val="20"/>
          <w:szCs w:val="20"/>
        </w:rPr>
        <w:t xml:space="preserve"> and </w:t>
      </w:r>
      <w:r w:rsidR="00FB7E49" w:rsidRPr="00C22738">
        <w:rPr>
          <w:rFonts w:ascii="Verdana" w:hAnsi="Verdana"/>
          <w:sz w:val="20"/>
          <w:szCs w:val="20"/>
        </w:rPr>
        <w:t xml:space="preserve">make a copy of </w:t>
      </w:r>
      <w:r w:rsidR="000C28B7" w:rsidRPr="00C22738">
        <w:rPr>
          <w:rFonts w:ascii="Verdana" w:hAnsi="Verdana"/>
          <w:sz w:val="20"/>
          <w:szCs w:val="20"/>
        </w:rPr>
        <w:t xml:space="preserve">documents from the case file, </w:t>
      </w:r>
      <w:r w:rsidR="00C075C7" w:rsidRPr="00C22738">
        <w:rPr>
          <w:rFonts w:ascii="Verdana" w:hAnsi="Verdana"/>
          <w:sz w:val="20"/>
          <w:szCs w:val="20"/>
        </w:rPr>
        <w:t xml:space="preserve">yet </w:t>
      </w:r>
      <w:r w:rsidR="000C28B7" w:rsidRPr="00C22738">
        <w:rPr>
          <w:rFonts w:ascii="Verdana" w:hAnsi="Verdana"/>
          <w:sz w:val="20"/>
          <w:szCs w:val="20"/>
        </w:rPr>
        <w:t xml:space="preserve">lawyers report that </w:t>
      </w:r>
      <w:r w:rsidR="00C075C7" w:rsidRPr="00C22738">
        <w:rPr>
          <w:rFonts w:ascii="Verdana" w:hAnsi="Verdana"/>
          <w:sz w:val="20"/>
          <w:szCs w:val="20"/>
        </w:rPr>
        <w:t xml:space="preserve">in practice </w:t>
      </w:r>
      <w:r w:rsidR="000C28B7" w:rsidRPr="00C22738">
        <w:rPr>
          <w:rFonts w:ascii="Verdana" w:hAnsi="Verdana"/>
          <w:sz w:val="20"/>
          <w:szCs w:val="20"/>
        </w:rPr>
        <w:t xml:space="preserve">access is often denied. </w:t>
      </w:r>
      <w:r w:rsidR="008E39D0" w:rsidRPr="00C22738">
        <w:rPr>
          <w:rFonts w:ascii="Verdana" w:hAnsi="Verdana"/>
          <w:sz w:val="20"/>
          <w:szCs w:val="20"/>
        </w:rPr>
        <w:t>Police and prosecutors commonly justify this by claiming that sharing the files might impede the investigation or that the information is confidential—troubling practices that hinder women's access to high-quality, gender-sensitive legal advice and their ability to seek justice</w:t>
      </w:r>
      <w:r w:rsidR="0092562F" w:rsidRPr="00C22738">
        <w:rPr>
          <w:rFonts w:ascii="Verdana" w:hAnsi="Verdana"/>
          <w:sz w:val="20"/>
          <w:szCs w:val="20"/>
        </w:rPr>
        <w:t>.</w:t>
      </w:r>
      <w:r w:rsidR="00BA44BE" w:rsidRPr="00C22738">
        <w:rPr>
          <w:rStyle w:val="FootnoteReference"/>
          <w:rFonts w:ascii="Verdana" w:hAnsi="Verdana"/>
          <w:sz w:val="20"/>
          <w:szCs w:val="20"/>
        </w:rPr>
        <w:footnoteReference w:id="45"/>
      </w:r>
    </w:p>
    <w:p w14:paraId="093E5504" w14:textId="77777777" w:rsidR="002E1BAD" w:rsidRPr="00C22738" w:rsidRDefault="002E1BAD" w:rsidP="008514D0">
      <w:pPr>
        <w:pStyle w:val="ListParagraph"/>
        <w:rPr>
          <w:rFonts w:ascii="Verdana" w:hAnsi="Verdana"/>
          <w:sz w:val="20"/>
          <w:szCs w:val="20"/>
        </w:rPr>
      </w:pPr>
    </w:p>
    <w:p w14:paraId="1173E534" w14:textId="53895C5E" w:rsidR="006874B2" w:rsidRPr="00C22738" w:rsidRDefault="006874B2" w:rsidP="006874B2">
      <w:pPr>
        <w:pStyle w:val="ListParagraph"/>
        <w:numPr>
          <w:ilvl w:val="0"/>
          <w:numId w:val="2"/>
        </w:numPr>
        <w:spacing w:after="0" w:line="240" w:lineRule="auto"/>
        <w:contextualSpacing w:val="0"/>
        <w:jc w:val="thaiDistribute"/>
        <w:rPr>
          <w:rFonts w:ascii="Verdana" w:eastAsia="Times New Roman" w:hAnsi="Verdana" w:cs="Times New Roman"/>
          <w:bCs/>
          <w:sz w:val="20"/>
          <w:szCs w:val="20"/>
          <w:lang w:bidi="lo-LA"/>
        </w:rPr>
      </w:pPr>
      <w:r w:rsidRPr="00C22738">
        <w:rPr>
          <w:rFonts w:ascii="Verdana" w:eastAsia="Times New Roman" w:hAnsi="Verdana" w:cs="Times New Roman"/>
          <w:bCs/>
          <w:sz w:val="20"/>
          <w:szCs w:val="20"/>
          <w:lang w:bidi="lo-LA"/>
        </w:rPr>
        <w:t xml:space="preserve">Another barrier identified by </w:t>
      </w:r>
      <w:r w:rsidR="00A14C2B" w:rsidRPr="00C22738">
        <w:rPr>
          <w:rFonts w:ascii="Verdana" w:eastAsia="Times New Roman" w:hAnsi="Verdana" w:cs="Times New Roman"/>
          <w:bCs/>
          <w:sz w:val="20"/>
          <w:szCs w:val="20"/>
          <w:lang w:bidi="lo-LA"/>
        </w:rPr>
        <w:t>members of CSOs</w:t>
      </w:r>
      <w:r w:rsidRPr="00C22738">
        <w:rPr>
          <w:rFonts w:ascii="Verdana" w:eastAsia="Times New Roman" w:hAnsi="Verdana" w:cs="Times New Roman"/>
          <w:bCs/>
          <w:sz w:val="20"/>
          <w:szCs w:val="20"/>
          <w:lang w:bidi="lo-LA"/>
        </w:rPr>
        <w:t xml:space="preserve"> was the lack of capacity, understanding, and resources among justice sector officers for the collection and preservation of forensic evidence in GBV cases. In most cases, this results in GBV survivors having to request medical evidence at their own expense. </w:t>
      </w:r>
    </w:p>
    <w:p w14:paraId="711AB0C0" w14:textId="77777777" w:rsidR="008738BC" w:rsidRPr="00C22738" w:rsidRDefault="008738BC" w:rsidP="00F2259B">
      <w:pPr>
        <w:pStyle w:val="ListParagraph"/>
        <w:spacing w:after="0" w:line="240" w:lineRule="auto"/>
        <w:contextualSpacing w:val="0"/>
        <w:rPr>
          <w:rFonts w:ascii="Verdana" w:eastAsia="Times New Roman" w:hAnsi="Verdana" w:cs="Times New Roman"/>
          <w:bCs/>
          <w:sz w:val="20"/>
          <w:szCs w:val="20"/>
          <w:lang w:bidi="lo-LA"/>
        </w:rPr>
      </w:pPr>
    </w:p>
    <w:p w14:paraId="7FD5B0A7" w14:textId="5CF836A0" w:rsidR="00674AFD" w:rsidRPr="00C22738" w:rsidRDefault="00B33925" w:rsidP="00674AFD">
      <w:pPr>
        <w:spacing w:after="0" w:line="240" w:lineRule="auto"/>
        <w:rPr>
          <w:rFonts w:ascii="Verdana" w:eastAsia="Times New Roman" w:hAnsi="Verdana" w:cs="Times New Roman"/>
          <w:bCs/>
          <w:sz w:val="20"/>
          <w:szCs w:val="20"/>
          <w:u w:val="single"/>
          <w:lang w:bidi="lo-LA"/>
        </w:rPr>
      </w:pPr>
      <w:r w:rsidRPr="00C22738">
        <w:rPr>
          <w:rFonts w:ascii="Verdana" w:eastAsia="Times New Roman" w:hAnsi="Verdana" w:cs="Times New Roman"/>
          <w:bCs/>
          <w:sz w:val="20"/>
          <w:szCs w:val="20"/>
          <w:u w:val="single"/>
          <w:lang w:bidi="lo-LA"/>
        </w:rPr>
        <w:t>Provision of specific fund</w:t>
      </w:r>
      <w:r w:rsidR="00F26D22" w:rsidRPr="00C22738">
        <w:rPr>
          <w:rFonts w:ascii="Verdana" w:eastAsia="Times New Roman" w:hAnsi="Verdana" w:cs="Times New Roman"/>
          <w:bCs/>
          <w:sz w:val="20"/>
          <w:szCs w:val="20"/>
          <w:u w:val="single"/>
          <w:lang w:bidi="lo-LA"/>
        </w:rPr>
        <w:t>s</w:t>
      </w:r>
      <w:r w:rsidRPr="00C22738">
        <w:rPr>
          <w:rFonts w:ascii="Verdana" w:eastAsia="Times New Roman" w:hAnsi="Verdana" w:cs="Times New Roman"/>
          <w:bCs/>
          <w:sz w:val="20"/>
          <w:szCs w:val="20"/>
          <w:u w:val="single"/>
          <w:lang w:bidi="lo-LA"/>
        </w:rPr>
        <w:t xml:space="preserve"> and other </w:t>
      </w:r>
      <w:r w:rsidR="004C5AB9" w:rsidRPr="00C22738">
        <w:rPr>
          <w:rFonts w:ascii="Verdana" w:eastAsia="Times New Roman" w:hAnsi="Verdana" w:cs="Times New Roman"/>
          <w:bCs/>
          <w:sz w:val="20"/>
          <w:szCs w:val="20"/>
          <w:u w:val="single"/>
          <w:lang w:bidi="lo-LA"/>
        </w:rPr>
        <w:t>assistance</w:t>
      </w:r>
    </w:p>
    <w:p w14:paraId="057A0344" w14:textId="77777777" w:rsidR="00731AC4" w:rsidRPr="00C22738" w:rsidRDefault="00731AC4" w:rsidP="00731AC4">
      <w:pPr>
        <w:pStyle w:val="ListParagraph"/>
        <w:rPr>
          <w:rFonts w:ascii="Verdana" w:eastAsia="Times New Roman" w:hAnsi="Verdana" w:cs="Times New Roman"/>
          <w:bCs/>
          <w:sz w:val="20"/>
          <w:szCs w:val="20"/>
          <w:lang w:bidi="lo-LA"/>
        </w:rPr>
      </w:pPr>
    </w:p>
    <w:p w14:paraId="08CC222B" w14:textId="16A83CA5" w:rsidR="00CA00AB" w:rsidRPr="00C22738" w:rsidRDefault="001C10B1" w:rsidP="003C465C">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 xml:space="preserve">There are no specific funds allocated for reparations to GBV survivors, nor are there women-specific funds to ensure that women receive adequate reparations when </w:t>
      </w:r>
      <w:r w:rsidR="00135639" w:rsidRPr="00C22738">
        <w:rPr>
          <w:rFonts w:ascii="Verdana" w:hAnsi="Verdana"/>
          <w:sz w:val="20"/>
          <w:szCs w:val="20"/>
        </w:rPr>
        <w:t>those</w:t>
      </w:r>
      <w:r w:rsidRPr="00C22738">
        <w:rPr>
          <w:rFonts w:ascii="Verdana" w:hAnsi="Verdana"/>
          <w:sz w:val="20"/>
          <w:szCs w:val="20"/>
        </w:rPr>
        <w:t xml:space="preserve"> responsible for </w:t>
      </w:r>
      <w:r w:rsidR="002C3760" w:rsidRPr="00C22738">
        <w:rPr>
          <w:rFonts w:ascii="Verdana" w:hAnsi="Verdana"/>
          <w:sz w:val="20"/>
          <w:szCs w:val="20"/>
        </w:rPr>
        <w:t xml:space="preserve">abusing </w:t>
      </w:r>
      <w:r w:rsidRPr="00C22738">
        <w:rPr>
          <w:rFonts w:ascii="Verdana" w:hAnsi="Verdana"/>
          <w:sz w:val="20"/>
          <w:szCs w:val="20"/>
        </w:rPr>
        <w:t xml:space="preserve">their rights are unable or unwilling to provide such reparations. This </w:t>
      </w:r>
      <w:r w:rsidR="002C3760" w:rsidRPr="00C22738">
        <w:rPr>
          <w:rFonts w:ascii="Verdana" w:hAnsi="Verdana"/>
          <w:sz w:val="20"/>
          <w:szCs w:val="20"/>
        </w:rPr>
        <w:t>dereliction is odd with repeated prescriptions by</w:t>
      </w:r>
      <w:r w:rsidRPr="00C22738">
        <w:rPr>
          <w:rFonts w:ascii="Verdana" w:hAnsi="Verdana"/>
          <w:sz w:val="20"/>
          <w:szCs w:val="20"/>
        </w:rPr>
        <w:t xml:space="preserve"> the Committee.</w:t>
      </w:r>
      <w:r w:rsidR="00CA00AB" w:rsidRPr="00C22738">
        <w:rPr>
          <w:rStyle w:val="FootnoteReference"/>
          <w:rFonts w:ascii="Verdana" w:eastAsia="Times New Roman" w:hAnsi="Verdana" w:cs="Times New Roman"/>
          <w:bCs/>
          <w:sz w:val="20"/>
          <w:szCs w:val="20"/>
          <w:lang w:bidi="lo-LA"/>
        </w:rPr>
        <w:footnoteReference w:id="46"/>
      </w:r>
    </w:p>
    <w:p w14:paraId="1E38D99F" w14:textId="77777777" w:rsidR="00CA00AB" w:rsidRPr="00C22738" w:rsidRDefault="00CA00AB" w:rsidP="00B33925">
      <w:pPr>
        <w:pStyle w:val="ListParagraph"/>
        <w:spacing w:after="0" w:line="240" w:lineRule="auto"/>
        <w:contextualSpacing w:val="0"/>
        <w:jc w:val="thaiDistribute"/>
        <w:rPr>
          <w:rFonts w:ascii="Verdana" w:hAnsi="Verdana"/>
          <w:sz w:val="20"/>
          <w:szCs w:val="20"/>
        </w:rPr>
      </w:pPr>
    </w:p>
    <w:p w14:paraId="3566536B" w14:textId="2388B0FB" w:rsidR="00FE2059" w:rsidRPr="00C22738" w:rsidRDefault="008933E0" w:rsidP="00D61E11">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To our knowledge, there are three government-run protection shelters for survivors of GBV provided by the Lao Women’s Union.</w:t>
      </w:r>
      <w:r w:rsidRPr="00C22738">
        <w:rPr>
          <w:rStyle w:val="FootnoteReference"/>
          <w:rFonts w:ascii="Verdana" w:hAnsi="Verdana"/>
          <w:sz w:val="20"/>
          <w:szCs w:val="20"/>
        </w:rPr>
        <w:footnoteReference w:id="47"/>
      </w:r>
      <w:r w:rsidRPr="00C22738">
        <w:rPr>
          <w:rFonts w:ascii="Verdana" w:hAnsi="Verdana"/>
          <w:sz w:val="20"/>
          <w:szCs w:val="20"/>
        </w:rPr>
        <w:t xml:space="preserve"> While these shelters are critical to </w:t>
      </w:r>
      <w:r w:rsidRPr="00C22738">
        <w:rPr>
          <w:rFonts w:ascii="Verdana" w:hAnsi="Verdana"/>
          <w:sz w:val="20"/>
          <w:szCs w:val="20"/>
        </w:rPr>
        <w:lastRenderedPageBreak/>
        <w:t>ensuring access to justice,</w:t>
      </w:r>
      <w:r w:rsidRPr="00C22738">
        <w:rPr>
          <w:rStyle w:val="FootnoteReference"/>
          <w:rFonts w:ascii="Verdana" w:hAnsi="Verdana"/>
          <w:sz w:val="20"/>
          <w:szCs w:val="20"/>
        </w:rPr>
        <w:footnoteReference w:id="48"/>
      </w:r>
      <w:r w:rsidRPr="00C22738">
        <w:rPr>
          <w:rFonts w:ascii="Verdana" w:hAnsi="Verdana"/>
          <w:sz w:val="20"/>
          <w:szCs w:val="20"/>
        </w:rPr>
        <w:t xml:space="preserve"> </w:t>
      </w:r>
      <w:r w:rsidR="007E3E4B" w:rsidRPr="00C22738">
        <w:rPr>
          <w:rFonts w:ascii="Verdana" w:hAnsi="Verdana"/>
          <w:sz w:val="20"/>
          <w:szCs w:val="20"/>
        </w:rPr>
        <w:t xml:space="preserve">they are far too </w:t>
      </w:r>
      <w:proofErr w:type="gramStart"/>
      <w:r w:rsidR="007E3E4B" w:rsidRPr="00C22738">
        <w:rPr>
          <w:rFonts w:ascii="Verdana" w:hAnsi="Verdana"/>
          <w:sz w:val="20"/>
          <w:szCs w:val="20"/>
        </w:rPr>
        <w:t>few in number</w:t>
      </w:r>
      <w:proofErr w:type="gramEnd"/>
      <w:r w:rsidR="007E3E4B" w:rsidRPr="00C22738">
        <w:rPr>
          <w:rFonts w:ascii="Verdana" w:hAnsi="Verdana"/>
          <w:sz w:val="20"/>
          <w:szCs w:val="20"/>
        </w:rPr>
        <w:t xml:space="preserve"> to provide adequate support and are not always accessible for the duration needed by GBV survivors due to limited space</w:t>
      </w:r>
      <w:r w:rsidRPr="00C22738">
        <w:rPr>
          <w:rFonts w:ascii="Verdana" w:hAnsi="Verdana"/>
          <w:sz w:val="20"/>
          <w:szCs w:val="20"/>
        </w:rPr>
        <w:t xml:space="preserve">. </w:t>
      </w:r>
      <w:r w:rsidR="001B36B9" w:rsidRPr="00C22738">
        <w:rPr>
          <w:rFonts w:ascii="Verdana" w:hAnsi="Verdana"/>
          <w:sz w:val="20"/>
          <w:szCs w:val="20"/>
        </w:rPr>
        <w:t xml:space="preserve">CSO </w:t>
      </w:r>
      <w:r w:rsidR="00A76A22" w:rsidRPr="00C22738">
        <w:rPr>
          <w:rFonts w:ascii="Verdana" w:hAnsi="Verdana"/>
          <w:sz w:val="20"/>
          <w:szCs w:val="20"/>
        </w:rPr>
        <w:t xml:space="preserve">members report that </w:t>
      </w:r>
      <w:r w:rsidR="001B36B9" w:rsidRPr="00C22738">
        <w:rPr>
          <w:rFonts w:ascii="Verdana" w:hAnsi="Verdana"/>
          <w:sz w:val="20"/>
          <w:szCs w:val="20"/>
        </w:rPr>
        <w:t>accessing these shelters requires numerous documents, which take time to gather and place a significant burden on survivors</w:t>
      </w:r>
      <w:r w:rsidR="007F4192" w:rsidRPr="00C22738">
        <w:rPr>
          <w:rFonts w:ascii="Verdana" w:hAnsi="Verdana"/>
          <w:sz w:val="20"/>
          <w:szCs w:val="20"/>
        </w:rPr>
        <w:t>.</w:t>
      </w:r>
    </w:p>
    <w:p w14:paraId="7E08805D" w14:textId="77777777" w:rsidR="00126961" w:rsidRPr="00C22738" w:rsidRDefault="00126961" w:rsidP="008514D0">
      <w:pPr>
        <w:pStyle w:val="ListParagraph"/>
        <w:rPr>
          <w:rFonts w:ascii="Verdana" w:hAnsi="Verdana"/>
          <w:sz w:val="20"/>
          <w:szCs w:val="20"/>
        </w:rPr>
      </w:pPr>
    </w:p>
    <w:p w14:paraId="19CD8F8B" w14:textId="2C885454" w:rsidR="00126961" w:rsidRPr="00C22738" w:rsidRDefault="00666CAE" w:rsidP="00126961">
      <w:pPr>
        <w:pStyle w:val="ListParagraph"/>
        <w:numPr>
          <w:ilvl w:val="0"/>
          <w:numId w:val="2"/>
        </w:numPr>
        <w:spacing w:after="0" w:line="240" w:lineRule="auto"/>
        <w:contextualSpacing w:val="0"/>
        <w:jc w:val="thaiDistribute"/>
        <w:rPr>
          <w:rFonts w:ascii="Verdana" w:hAnsi="Verdana"/>
          <w:sz w:val="20"/>
          <w:szCs w:val="20"/>
        </w:rPr>
      </w:pPr>
      <w:r w:rsidRPr="00C22738">
        <w:rPr>
          <w:rFonts w:ascii="Verdana" w:hAnsi="Verdana"/>
          <w:sz w:val="20"/>
          <w:szCs w:val="20"/>
        </w:rPr>
        <w:t xml:space="preserve">In terms of language assistance, while the Lao government recognizes 50 ethnic groups in Lao PDR, there is a clear lack of professional interpreters in ethnic </w:t>
      </w:r>
      <w:r w:rsidR="00A76A22" w:rsidRPr="00C22738">
        <w:rPr>
          <w:rFonts w:ascii="Verdana" w:hAnsi="Verdana"/>
          <w:sz w:val="20"/>
          <w:szCs w:val="20"/>
        </w:rPr>
        <w:t xml:space="preserve">minority </w:t>
      </w:r>
      <w:r w:rsidRPr="00C22738">
        <w:rPr>
          <w:rFonts w:ascii="Verdana" w:hAnsi="Verdana"/>
          <w:sz w:val="20"/>
          <w:szCs w:val="20"/>
        </w:rPr>
        <w:t>languages, particularly female interpreters, according to several experts interviewed by the ICJ</w:t>
      </w:r>
      <w:r w:rsidR="00126961" w:rsidRPr="00C22738">
        <w:rPr>
          <w:rFonts w:ascii="Verdana" w:hAnsi="Verdana"/>
          <w:sz w:val="20"/>
          <w:szCs w:val="20"/>
        </w:rPr>
        <w:t>.</w:t>
      </w:r>
    </w:p>
    <w:p w14:paraId="7EE75E7F" w14:textId="77777777" w:rsidR="00D61E11" w:rsidRPr="00C22738" w:rsidRDefault="00D61E11" w:rsidP="004B0CE9">
      <w:pPr>
        <w:spacing w:after="0" w:line="240" w:lineRule="auto"/>
        <w:jc w:val="thaiDistribute"/>
        <w:rPr>
          <w:rFonts w:ascii="Verdana" w:hAnsi="Verdana"/>
          <w:sz w:val="20"/>
          <w:szCs w:val="20"/>
          <w:u w:val="single"/>
        </w:rPr>
      </w:pPr>
    </w:p>
    <w:p w14:paraId="2ED00352" w14:textId="7BD2C7EF" w:rsidR="00451EA7" w:rsidRPr="00C22738" w:rsidRDefault="00451EA7" w:rsidP="004B0CE9">
      <w:pPr>
        <w:spacing w:after="0" w:line="240" w:lineRule="auto"/>
        <w:rPr>
          <w:rFonts w:ascii="Verdana" w:hAnsi="Verdana"/>
          <w:b/>
          <w:bCs/>
          <w:sz w:val="20"/>
          <w:szCs w:val="20"/>
        </w:rPr>
      </w:pPr>
      <w:r w:rsidRPr="00C22738">
        <w:rPr>
          <w:rFonts w:ascii="Verdana" w:hAnsi="Verdana"/>
          <w:b/>
          <w:bCs/>
          <w:sz w:val="20"/>
          <w:szCs w:val="20"/>
        </w:rPr>
        <w:t>IV. Recommendations</w:t>
      </w:r>
    </w:p>
    <w:p w14:paraId="363F19B7" w14:textId="77777777" w:rsidR="004B0CE9" w:rsidRPr="00C22738" w:rsidRDefault="004B0CE9" w:rsidP="004B0CE9">
      <w:pPr>
        <w:spacing w:after="0" w:line="240" w:lineRule="auto"/>
        <w:rPr>
          <w:rFonts w:ascii="Verdana" w:hAnsi="Verdana"/>
          <w:b/>
          <w:bCs/>
          <w:sz w:val="20"/>
          <w:szCs w:val="20"/>
        </w:rPr>
      </w:pPr>
    </w:p>
    <w:p w14:paraId="21401BD3" w14:textId="74283CE2" w:rsidR="009C7F20" w:rsidRPr="00C22738" w:rsidRDefault="009C7F20" w:rsidP="004B0CE9">
      <w:pPr>
        <w:spacing w:after="0" w:line="240" w:lineRule="auto"/>
        <w:jc w:val="thaiDistribute"/>
        <w:rPr>
          <w:rFonts w:ascii="Verdana" w:hAnsi="Verdana"/>
          <w:sz w:val="20"/>
          <w:szCs w:val="20"/>
        </w:rPr>
      </w:pPr>
      <w:proofErr w:type="gramStart"/>
      <w:r w:rsidRPr="00C22738">
        <w:rPr>
          <w:rFonts w:ascii="Verdana" w:hAnsi="Verdana"/>
          <w:sz w:val="20"/>
          <w:szCs w:val="20"/>
        </w:rPr>
        <w:t>In light of</w:t>
      </w:r>
      <w:proofErr w:type="gramEnd"/>
      <w:r w:rsidRPr="00C22738">
        <w:rPr>
          <w:rFonts w:ascii="Verdana" w:hAnsi="Verdana"/>
          <w:sz w:val="20"/>
          <w:szCs w:val="20"/>
        </w:rPr>
        <w:t xml:space="preserve"> the above concerns, the ICJ </w:t>
      </w:r>
      <w:r w:rsidR="00A76A22" w:rsidRPr="00C22738">
        <w:rPr>
          <w:rFonts w:ascii="Verdana" w:hAnsi="Verdana"/>
          <w:sz w:val="20"/>
          <w:szCs w:val="20"/>
        </w:rPr>
        <w:t>requests this</w:t>
      </w:r>
      <w:r w:rsidRPr="00C22738">
        <w:rPr>
          <w:rFonts w:ascii="Verdana" w:hAnsi="Verdana"/>
          <w:sz w:val="20"/>
          <w:szCs w:val="20"/>
        </w:rPr>
        <w:t xml:space="preserve"> Committee to make the </w:t>
      </w:r>
      <w:r w:rsidR="00FE76C0" w:rsidRPr="00C22738">
        <w:rPr>
          <w:rFonts w:ascii="Verdana" w:hAnsi="Verdana"/>
          <w:sz w:val="20"/>
          <w:szCs w:val="20"/>
        </w:rPr>
        <w:t xml:space="preserve">following </w:t>
      </w:r>
      <w:r w:rsidRPr="00C22738">
        <w:rPr>
          <w:rFonts w:ascii="Verdana" w:hAnsi="Verdana"/>
          <w:sz w:val="20"/>
          <w:szCs w:val="20"/>
        </w:rPr>
        <w:t xml:space="preserve">recommendations to the authorities of </w:t>
      </w:r>
      <w:r w:rsidR="00451EA7" w:rsidRPr="00C22738">
        <w:rPr>
          <w:rFonts w:ascii="Verdana" w:hAnsi="Verdana"/>
          <w:sz w:val="20"/>
          <w:szCs w:val="20"/>
        </w:rPr>
        <w:t>Lao PDR</w:t>
      </w:r>
      <w:r w:rsidRPr="00C22738">
        <w:rPr>
          <w:rFonts w:ascii="Verdana" w:hAnsi="Verdana"/>
          <w:sz w:val="20"/>
          <w:szCs w:val="20"/>
        </w:rPr>
        <w:t>:</w:t>
      </w:r>
    </w:p>
    <w:p w14:paraId="4735296D" w14:textId="77777777" w:rsidR="004B0CE9" w:rsidRPr="00C22738" w:rsidRDefault="004B0CE9" w:rsidP="004B0CE9">
      <w:pPr>
        <w:spacing w:after="0" w:line="240" w:lineRule="auto"/>
        <w:jc w:val="thaiDistribute"/>
        <w:rPr>
          <w:rFonts w:ascii="Verdana" w:hAnsi="Verdana"/>
          <w:sz w:val="20"/>
          <w:szCs w:val="20"/>
        </w:rPr>
      </w:pPr>
    </w:p>
    <w:p w14:paraId="32F2D816" w14:textId="7252A899" w:rsidR="009353F0" w:rsidRPr="00C22738" w:rsidRDefault="00B01B7C" w:rsidP="004B0CE9">
      <w:pPr>
        <w:spacing w:after="0" w:line="240" w:lineRule="auto"/>
        <w:jc w:val="thaiDistribute"/>
        <w:rPr>
          <w:rFonts w:ascii="Verdana" w:hAnsi="Verdana"/>
          <w:sz w:val="20"/>
          <w:szCs w:val="20"/>
          <w:u w:val="single"/>
        </w:rPr>
      </w:pPr>
      <w:r w:rsidRPr="00C22738">
        <w:rPr>
          <w:rFonts w:ascii="Verdana" w:hAnsi="Verdana"/>
          <w:sz w:val="20"/>
          <w:szCs w:val="20"/>
          <w:u w:val="single"/>
        </w:rPr>
        <w:t>In relation</w:t>
      </w:r>
      <w:r w:rsidR="009353F0" w:rsidRPr="00C22738">
        <w:rPr>
          <w:rFonts w:ascii="Verdana" w:hAnsi="Verdana"/>
          <w:sz w:val="20"/>
          <w:szCs w:val="20"/>
          <w:u w:val="single"/>
        </w:rPr>
        <w:t xml:space="preserve"> to the legal </w:t>
      </w:r>
      <w:r w:rsidR="00A76A22" w:rsidRPr="00C22738">
        <w:rPr>
          <w:rFonts w:ascii="Verdana" w:hAnsi="Verdana"/>
          <w:sz w:val="20"/>
          <w:szCs w:val="20"/>
          <w:u w:val="single"/>
        </w:rPr>
        <w:t>provisions</w:t>
      </w:r>
      <w:r w:rsidR="009353F0" w:rsidRPr="00C22738">
        <w:rPr>
          <w:rFonts w:ascii="Verdana" w:hAnsi="Verdana"/>
          <w:sz w:val="20"/>
          <w:szCs w:val="20"/>
          <w:u w:val="single"/>
        </w:rPr>
        <w:t xml:space="preserve"> and their </w:t>
      </w:r>
      <w:r w:rsidR="00575E0C" w:rsidRPr="00C22738">
        <w:rPr>
          <w:rFonts w:ascii="Verdana" w:hAnsi="Verdana"/>
          <w:sz w:val="20"/>
          <w:szCs w:val="20"/>
          <w:u w:val="single"/>
        </w:rPr>
        <w:t>non</w:t>
      </w:r>
      <w:r w:rsidR="00D57208" w:rsidRPr="00C22738">
        <w:rPr>
          <w:rFonts w:ascii="Verdana" w:hAnsi="Verdana"/>
          <w:sz w:val="20"/>
          <w:szCs w:val="20"/>
          <w:u w:val="single"/>
        </w:rPr>
        <w:t>-</w:t>
      </w:r>
      <w:r w:rsidR="00575E0C" w:rsidRPr="00C22738">
        <w:rPr>
          <w:rFonts w:ascii="Verdana" w:hAnsi="Verdana"/>
          <w:sz w:val="20"/>
          <w:szCs w:val="20"/>
          <w:u w:val="single"/>
        </w:rPr>
        <w:t>compliance with Convention obligations</w:t>
      </w:r>
      <w:r w:rsidR="009353F0" w:rsidRPr="00C22738">
        <w:rPr>
          <w:rFonts w:ascii="Verdana" w:hAnsi="Verdana"/>
          <w:sz w:val="20"/>
          <w:szCs w:val="20"/>
          <w:u w:val="single"/>
        </w:rPr>
        <w:t xml:space="preserve"> in</w:t>
      </w:r>
      <w:r w:rsidR="00575E0C" w:rsidRPr="00C22738">
        <w:rPr>
          <w:rFonts w:ascii="Verdana" w:hAnsi="Verdana"/>
          <w:sz w:val="20"/>
          <w:szCs w:val="20"/>
          <w:u w:val="single"/>
        </w:rPr>
        <w:t xml:space="preserve"> respect of</w:t>
      </w:r>
      <w:r w:rsidR="009353F0" w:rsidRPr="00C22738">
        <w:rPr>
          <w:rFonts w:ascii="Verdana" w:hAnsi="Verdana"/>
          <w:sz w:val="20"/>
          <w:szCs w:val="20"/>
          <w:u w:val="single"/>
        </w:rPr>
        <w:t xml:space="preserve"> combatting GBV</w:t>
      </w:r>
    </w:p>
    <w:p w14:paraId="097195D4" w14:textId="77777777" w:rsidR="004B0CE9" w:rsidRPr="00C22738" w:rsidRDefault="004B0CE9" w:rsidP="004B0CE9">
      <w:pPr>
        <w:spacing w:after="0" w:line="240" w:lineRule="auto"/>
        <w:jc w:val="thaiDistribute"/>
        <w:rPr>
          <w:rFonts w:ascii="Verdana" w:hAnsi="Verdana"/>
          <w:sz w:val="20"/>
          <w:szCs w:val="20"/>
          <w:u w:val="single"/>
        </w:rPr>
      </w:pPr>
    </w:p>
    <w:p w14:paraId="48527E8D" w14:textId="2A21117E" w:rsidR="009353F0" w:rsidRPr="00C22738" w:rsidRDefault="004B1466" w:rsidP="006932EF">
      <w:pPr>
        <w:pStyle w:val="ListParagraph"/>
        <w:numPr>
          <w:ilvl w:val="0"/>
          <w:numId w:val="6"/>
        </w:numPr>
        <w:spacing w:after="140" w:line="240" w:lineRule="auto"/>
        <w:contextualSpacing w:val="0"/>
        <w:jc w:val="thaiDistribute"/>
        <w:rPr>
          <w:rFonts w:ascii="Verdana" w:hAnsi="Verdana"/>
          <w:sz w:val="20"/>
          <w:szCs w:val="20"/>
        </w:rPr>
      </w:pPr>
      <w:r w:rsidRPr="00C22738">
        <w:rPr>
          <w:rFonts w:ascii="Verdana" w:hAnsi="Verdana"/>
          <w:sz w:val="20"/>
          <w:szCs w:val="20"/>
        </w:rPr>
        <w:t xml:space="preserve">Adopt a legal definition of rape and marital rape in the Penal Code and the LPVWC that centers on the lack of consent, </w:t>
      </w:r>
      <w:r w:rsidR="00575E0C" w:rsidRPr="00C22738">
        <w:rPr>
          <w:rFonts w:ascii="Verdana" w:hAnsi="Verdana"/>
          <w:sz w:val="20"/>
          <w:szCs w:val="20"/>
        </w:rPr>
        <w:t xml:space="preserve">including an express provision regarding the need to </w:t>
      </w:r>
      <w:proofErr w:type="gramStart"/>
      <w:r w:rsidR="00575E0C" w:rsidRPr="00C22738">
        <w:rPr>
          <w:rFonts w:ascii="Verdana" w:hAnsi="Verdana"/>
          <w:sz w:val="20"/>
          <w:szCs w:val="20"/>
        </w:rPr>
        <w:t>take into account</w:t>
      </w:r>
      <w:proofErr w:type="gramEnd"/>
      <w:r w:rsidR="00575E0C" w:rsidRPr="00C22738">
        <w:rPr>
          <w:rFonts w:ascii="Verdana" w:hAnsi="Verdana"/>
          <w:sz w:val="20"/>
          <w:szCs w:val="20"/>
        </w:rPr>
        <w:t xml:space="preserve"> coercive </w:t>
      </w:r>
      <w:r w:rsidR="004B19D0" w:rsidRPr="00C22738">
        <w:rPr>
          <w:rFonts w:ascii="Verdana" w:hAnsi="Verdana"/>
          <w:sz w:val="20"/>
          <w:szCs w:val="20"/>
        </w:rPr>
        <w:t>circumstances in determining consent</w:t>
      </w:r>
      <w:r w:rsidR="00575E0C" w:rsidRPr="00C22738">
        <w:rPr>
          <w:rFonts w:ascii="Verdana" w:hAnsi="Verdana"/>
          <w:sz w:val="20"/>
          <w:szCs w:val="20"/>
        </w:rPr>
        <w:t xml:space="preserve">. The </w:t>
      </w:r>
      <w:r w:rsidR="004B19D0" w:rsidRPr="00C22738">
        <w:rPr>
          <w:rFonts w:ascii="Verdana" w:hAnsi="Verdana"/>
          <w:sz w:val="20"/>
          <w:szCs w:val="20"/>
        </w:rPr>
        <w:t xml:space="preserve">legislation should </w:t>
      </w:r>
      <w:r w:rsidR="00D57208" w:rsidRPr="00C22738">
        <w:rPr>
          <w:rFonts w:ascii="Verdana" w:hAnsi="Verdana"/>
          <w:sz w:val="20"/>
          <w:szCs w:val="20"/>
        </w:rPr>
        <w:t xml:space="preserve">also </w:t>
      </w:r>
      <w:r w:rsidRPr="00C22738">
        <w:rPr>
          <w:rFonts w:ascii="Verdana" w:hAnsi="Verdana"/>
          <w:sz w:val="20"/>
          <w:szCs w:val="20"/>
        </w:rPr>
        <w:t xml:space="preserve">cover and protect all persons without discrimination and include all types of penetration of a sexual </w:t>
      </w:r>
      <w:proofErr w:type="gramStart"/>
      <w:r w:rsidRPr="00C22738">
        <w:rPr>
          <w:rFonts w:ascii="Verdana" w:hAnsi="Verdana"/>
          <w:sz w:val="20"/>
          <w:szCs w:val="20"/>
        </w:rPr>
        <w:t>nature</w:t>
      </w:r>
      <w:r w:rsidR="009353F0" w:rsidRPr="00C22738">
        <w:rPr>
          <w:rFonts w:ascii="Verdana" w:hAnsi="Verdana"/>
          <w:sz w:val="20"/>
          <w:szCs w:val="20"/>
        </w:rPr>
        <w:t>;</w:t>
      </w:r>
      <w:proofErr w:type="gramEnd"/>
    </w:p>
    <w:p w14:paraId="1FCDB7C6" w14:textId="51A8CD90" w:rsidR="009353F0" w:rsidRPr="00C22738" w:rsidRDefault="009353F0" w:rsidP="006932EF">
      <w:pPr>
        <w:pStyle w:val="ListParagraph"/>
        <w:numPr>
          <w:ilvl w:val="0"/>
          <w:numId w:val="6"/>
        </w:numPr>
        <w:spacing w:after="140" w:line="240" w:lineRule="auto"/>
        <w:contextualSpacing w:val="0"/>
        <w:jc w:val="thaiDistribute"/>
        <w:rPr>
          <w:rFonts w:ascii="Verdana" w:hAnsi="Verdana"/>
          <w:sz w:val="20"/>
          <w:szCs w:val="20"/>
        </w:rPr>
      </w:pPr>
      <w:r w:rsidRPr="00C22738">
        <w:rPr>
          <w:rFonts w:ascii="Verdana" w:hAnsi="Verdana"/>
          <w:sz w:val="20"/>
          <w:szCs w:val="20"/>
        </w:rPr>
        <w:t xml:space="preserve">Amend the </w:t>
      </w:r>
      <w:r w:rsidR="004B19D0" w:rsidRPr="00C22738">
        <w:rPr>
          <w:rFonts w:ascii="Verdana" w:hAnsi="Verdana"/>
          <w:sz w:val="20"/>
          <w:szCs w:val="20"/>
        </w:rPr>
        <w:t xml:space="preserve">legislation addressing </w:t>
      </w:r>
      <w:r w:rsidR="006F3064" w:rsidRPr="00C22738">
        <w:rPr>
          <w:rFonts w:ascii="Verdana" w:hAnsi="Verdana"/>
          <w:sz w:val="20"/>
          <w:szCs w:val="20"/>
        </w:rPr>
        <w:t xml:space="preserve">the </w:t>
      </w:r>
      <w:r w:rsidRPr="00C22738">
        <w:rPr>
          <w:rFonts w:ascii="Verdana" w:hAnsi="Verdana"/>
          <w:sz w:val="20"/>
          <w:szCs w:val="20"/>
        </w:rPr>
        <w:t>criminalization of sexual conduct with persons below eighteen years of age to reflect the rights and capacity of those under eighteen to make decisions about consensual sexual conduct</w:t>
      </w:r>
      <w:r w:rsidR="004B19D0" w:rsidRPr="00C22738">
        <w:rPr>
          <w:rFonts w:ascii="Verdana" w:hAnsi="Verdana"/>
          <w:sz w:val="20"/>
          <w:szCs w:val="20"/>
        </w:rPr>
        <w:t xml:space="preserve"> and to ensure that there is no criminal liability for factually consensual and non-expl</w:t>
      </w:r>
      <w:r w:rsidR="00907EED" w:rsidRPr="00C22738">
        <w:rPr>
          <w:rFonts w:ascii="Verdana" w:hAnsi="Verdana"/>
          <w:sz w:val="20"/>
          <w:szCs w:val="20"/>
        </w:rPr>
        <w:t>oitative sexual relations</w:t>
      </w:r>
      <w:r w:rsidR="004B19D0" w:rsidRPr="00C22738">
        <w:rPr>
          <w:rFonts w:ascii="Verdana" w:hAnsi="Verdana"/>
          <w:sz w:val="20"/>
          <w:szCs w:val="20"/>
        </w:rPr>
        <w:t xml:space="preserve"> between adolescents of similar </w:t>
      </w:r>
      <w:proofErr w:type="gramStart"/>
      <w:r w:rsidR="004B19D0" w:rsidRPr="00C22738">
        <w:rPr>
          <w:rFonts w:ascii="Verdana" w:hAnsi="Verdana"/>
          <w:sz w:val="20"/>
          <w:szCs w:val="20"/>
        </w:rPr>
        <w:t>ages</w:t>
      </w:r>
      <w:r w:rsidRPr="00C22738">
        <w:rPr>
          <w:rFonts w:ascii="Verdana" w:hAnsi="Verdana"/>
          <w:sz w:val="20"/>
          <w:szCs w:val="20"/>
        </w:rPr>
        <w:t>;</w:t>
      </w:r>
      <w:proofErr w:type="gramEnd"/>
    </w:p>
    <w:p w14:paraId="320FE486" w14:textId="727AD61C" w:rsidR="009353F0" w:rsidRPr="00C22738" w:rsidRDefault="006E1726" w:rsidP="006932EF">
      <w:pPr>
        <w:pStyle w:val="ListParagraph"/>
        <w:numPr>
          <w:ilvl w:val="0"/>
          <w:numId w:val="6"/>
        </w:numPr>
        <w:spacing w:after="140" w:line="240" w:lineRule="auto"/>
        <w:contextualSpacing w:val="0"/>
        <w:jc w:val="thaiDistribute"/>
        <w:rPr>
          <w:rFonts w:ascii="Verdana" w:hAnsi="Verdana"/>
          <w:sz w:val="20"/>
          <w:szCs w:val="20"/>
        </w:rPr>
      </w:pPr>
      <w:r w:rsidRPr="00C22738">
        <w:rPr>
          <w:rFonts w:ascii="Verdana" w:hAnsi="Verdana"/>
          <w:sz w:val="20"/>
          <w:szCs w:val="20"/>
        </w:rPr>
        <w:t xml:space="preserve">Repeal provisions that criminalize prostitution, adultery, and sexual acts with a monk, novice, nun, or hermit. </w:t>
      </w:r>
      <w:r w:rsidR="00907EED" w:rsidRPr="00C22738">
        <w:rPr>
          <w:rFonts w:ascii="Verdana" w:hAnsi="Verdana"/>
          <w:sz w:val="20"/>
          <w:szCs w:val="20"/>
        </w:rPr>
        <w:t>A</w:t>
      </w:r>
      <w:r w:rsidRPr="00C22738">
        <w:rPr>
          <w:rFonts w:ascii="Verdana" w:hAnsi="Verdana"/>
          <w:sz w:val="20"/>
          <w:szCs w:val="20"/>
        </w:rPr>
        <w:t>dultery</w:t>
      </w:r>
      <w:r w:rsidR="00907EED" w:rsidRPr="00C22738">
        <w:rPr>
          <w:rFonts w:ascii="Verdana" w:hAnsi="Verdana"/>
          <w:sz w:val="20"/>
          <w:szCs w:val="20"/>
        </w:rPr>
        <w:t xml:space="preserve"> should be treated as a matter of civil </w:t>
      </w:r>
      <w:r w:rsidR="0013120C" w:rsidRPr="00C22738">
        <w:rPr>
          <w:rFonts w:ascii="Verdana" w:hAnsi="Verdana"/>
          <w:sz w:val="20"/>
          <w:szCs w:val="20"/>
        </w:rPr>
        <w:t xml:space="preserve">family law and should never entail criminal </w:t>
      </w:r>
      <w:proofErr w:type="gramStart"/>
      <w:r w:rsidR="0013120C" w:rsidRPr="00C22738">
        <w:rPr>
          <w:rFonts w:ascii="Verdana" w:hAnsi="Verdana"/>
          <w:sz w:val="20"/>
          <w:szCs w:val="20"/>
        </w:rPr>
        <w:t>liability</w:t>
      </w:r>
      <w:r w:rsidR="009353F0" w:rsidRPr="00C22738">
        <w:rPr>
          <w:rFonts w:ascii="Verdana" w:hAnsi="Verdana"/>
          <w:sz w:val="20"/>
          <w:szCs w:val="20"/>
        </w:rPr>
        <w:t>;</w:t>
      </w:r>
      <w:proofErr w:type="gramEnd"/>
    </w:p>
    <w:p w14:paraId="6330F7D0" w14:textId="54A19190" w:rsidR="00091E1F" w:rsidRPr="00C22738" w:rsidRDefault="00FB00FF" w:rsidP="006932EF">
      <w:pPr>
        <w:pStyle w:val="ListParagraph"/>
        <w:numPr>
          <w:ilvl w:val="0"/>
          <w:numId w:val="6"/>
        </w:numPr>
        <w:spacing w:after="140" w:line="240" w:lineRule="auto"/>
        <w:contextualSpacing w:val="0"/>
        <w:jc w:val="thaiDistribute"/>
        <w:rPr>
          <w:rFonts w:ascii="Verdana" w:hAnsi="Verdana"/>
          <w:sz w:val="20"/>
          <w:szCs w:val="20"/>
        </w:rPr>
      </w:pPr>
      <w:r w:rsidRPr="00C22738">
        <w:rPr>
          <w:rFonts w:ascii="Verdana" w:hAnsi="Verdana"/>
          <w:sz w:val="20"/>
          <w:szCs w:val="20"/>
        </w:rPr>
        <w:t xml:space="preserve">Amend the provisions related to the dissemination of pornography to limit them to non-consensual dissemination only, except in cases involving child </w:t>
      </w:r>
      <w:proofErr w:type="gramStart"/>
      <w:r w:rsidRPr="00C22738">
        <w:rPr>
          <w:rFonts w:ascii="Verdana" w:hAnsi="Verdana"/>
          <w:sz w:val="20"/>
          <w:szCs w:val="20"/>
        </w:rPr>
        <w:t>pornography</w:t>
      </w:r>
      <w:r w:rsidR="00091E1F" w:rsidRPr="00C22738">
        <w:rPr>
          <w:rFonts w:ascii="Verdana" w:hAnsi="Verdana"/>
          <w:sz w:val="20"/>
          <w:szCs w:val="20"/>
        </w:rPr>
        <w:t>;</w:t>
      </w:r>
      <w:proofErr w:type="gramEnd"/>
    </w:p>
    <w:p w14:paraId="559ED233" w14:textId="30B641CB" w:rsidR="00A16A36" w:rsidRPr="00C22738" w:rsidRDefault="00A21B58" w:rsidP="006932EF">
      <w:pPr>
        <w:pStyle w:val="ListParagraph"/>
        <w:numPr>
          <w:ilvl w:val="0"/>
          <w:numId w:val="6"/>
        </w:numPr>
        <w:spacing w:after="140" w:line="240" w:lineRule="auto"/>
        <w:contextualSpacing w:val="0"/>
        <w:jc w:val="thaiDistribute"/>
        <w:rPr>
          <w:rFonts w:ascii="Verdana" w:hAnsi="Verdana"/>
          <w:sz w:val="20"/>
          <w:szCs w:val="20"/>
        </w:rPr>
      </w:pPr>
      <w:r w:rsidRPr="00C22738">
        <w:rPr>
          <w:rFonts w:ascii="Verdana" w:hAnsi="Verdana"/>
          <w:sz w:val="20"/>
          <w:szCs w:val="20"/>
        </w:rPr>
        <w:t xml:space="preserve">Repeal provisions that criminalize abortion, and enhance women's access to sexual and reproductive healthcare with women’s sexual and reproductive health and rights at the </w:t>
      </w:r>
      <w:proofErr w:type="gramStart"/>
      <w:r w:rsidRPr="00C22738">
        <w:rPr>
          <w:rFonts w:ascii="Verdana" w:hAnsi="Verdana"/>
          <w:sz w:val="20"/>
          <w:szCs w:val="20"/>
        </w:rPr>
        <w:t>center</w:t>
      </w:r>
      <w:r w:rsidR="0096346D" w:rsidRPr="00C22738">
        <w:rPr>
          <w:rFonts w:ascii="Verdana" w:hAnsi="Verdana"/>
          <w:sz w:val="20"/>
          <w:szCs w:val="20"/>
        </w:rPr>
        <w:t>;</w:t>
      </w:r>
      <w:proofErr w:type="gramEnd"/>
    </w:p>
    <w:p w14:paraId="17E5C1F5" w14:textId="691FCD83" w:rsidR="00EC3B5A" w:rsidRPr="00C22738" w:rsidRDefault="00EC3B5A" w:rsidP="006932EF">
      <w:pPr>
        <w:pStyle w:val="ListParagraph"/>
        <w:numPr>
          <w:ilvl w:val="0"/>
          <w:numId w:val="6"/>
        </w:numPr>
        <w:spacing w:after="140" w:line="240" w:lineRule="auto"/>
        <w:contextualSpacing w:val="0"/>
        <w:jc w:val="thaiDistribute"/>
        <w:rPr>
          <w:rFonts w:ascii="Verdana" w:hAnsi="Verdana"/>
          <w:sz w:val="20"/>
          <w:szCs w:val="20"/>
        </w:rPr>
      </w:pPr>
      <w:r w:rsidRPr="00C22738">
        <w:rPr>
          <w:rFonts w:ascii="Verdana" w:hAnsi="Verdana"/>
          <w:sz w:val="20"/>
          <w:szCs w:val="20"/>
        </w:rPr>
        <w:t>Include a specific provision in the Constitution prohibiting gender-based discrimination; and</w:t>
      </w:r>
    </w:p>
    <w:p w14:paraId="54140B01" w14:textId="1D2BE27A" w:rsidR="009353F0" w:rsidRPr="00C22738" w:rsidRDefault="009353F0" w:rsidP="006932EF">
      <w:pPr>
        <w:pStyle w:val="ListParagraph"/>
        <w:numPr>
          <w:ilvl w:val="0"/>
          <w:numId w:val="6"/>
        </w:numPr>
        <w:spacing w:after="140" w:line="240" w:lineRule="auto"/>
        <w:contextualSpacing w:val="0"/>
        <w:jc w:val="thaiDistribute"/>
        <w:rPr>
          <w:rFonts w:ascii="Verdana" w:hAnsi="Verdana"/>
          <w:sz w:val="20"/>
          <w:szCs w:val="20"/>
        </w:rPr>
      </w:pPr>
      <w:r w:rsidRPr="00C22738">
        <w:rPr>
          <w:rFonts w:ascii="Verdana" w:hAnsi="Verdana"/>
          <w:sz w:val="20"/>
          <w:szCs w:val="20"/>
        </w:rPr>
        <w:t>Enact comprehensive anti-discrimination laws that recognize SOGIE as protected characteristics and prohibit discrimination on these grounds</w:t>
      </w:r>
      <w:r w:rsidR="00EC3B5A" w:rsidRPr="00C22738">
        <w:rPr>
          <w:rFonts w:ascii="Verdana" w:hAnsi="Verdana"/>
          <w:sz w:val="20"/>
          <w:szCs w:val="20"/>
        </w:rPr>
        <w:t>.</w:t>
      </w:r>
    </w:p>
    <w:p w14:paraId="1FB47999" w14:textId="69A9B48D" w:rsidR="004B0CE9" w:rsidRPr="00C22738" w:rsidRDefault="00750EE8" w:rsidP="004B0CE9">
      <w:pPr>
        <w:spacing w:after="120" w:line="240" w:lineRule="auto"/>
        <w:jc w:val="thaiDistribute"/>
        <w:rPr>
          <w:rFonts w:ascii="Verdana" w:hAnsi="Verdana"/>
          <w:sz w:val="20"/>
          <w:szCs w:val="20"/>
          <w:u w:val="single"/>
        </w:rPr>
      </w:pPr>
      <w:r w:rsidRPr="00C22738">
        <w:rPr>
          <w:rFonts w:ascii="Verdana" w:hAnsi="Verdana"/>
          <w:sz w:val="20"/>
          <w:szCs w:val="20"/>
          <w:u w:val="single"/>
        </w:rPr>
        <w:t xml:space="preserve">In relation to </w:t>
      </w:r>
      <w:r w:rsidR="005C7105" w:rsidRPr="00C22738">
        <w:rPr>
          <w:rFonts w:ascii="Verdana" w:hAnsi="Verdana"/>
          <w:sz w:val="20"/>
          <w:szCs w:val="20"/>
          <w:u w:val="single"/>
        </w:rPr>
        <w:t>barriers to accessing justice for GBV victims/survivors</w:t>
      </w:r>
    </w:p>
    <w:p w14:paraId="26A70510" w14:textId="3AD9B736" w:rsidR="009F1D30" w:rsidRPr="00C22738" w:rsidRDefault="0005050A" w:rsidP="006932EF">
      <w:pPr>
        <w:pStyle w:val="ListParagraph"/>
        <w:numPr>
          <w:ilvl w:val="0"/>
          <w:numId w:val="6"/>
        </w:numPr>
        <w:spacing w:after="180" w:line="240" w:lineRule="auto"/>
        <w:contextualSpacing w:val="0"/>
        <w:jc w:val="thaiDistribute"/>
        <w:rPr>
          <w:rFonts w:ascii="Verdana" w:hAnsi="Verdana"/>
          <w:sz w:val="20"/>
          <w:szCs w:val="20"/>
        </w:rPr>
      </w:pPr>
      <w:r w:rsidRPr="00C22738">
        <w:rPr>
          <w:rFonts w:ascii="Verdana" w:hAnsi="Verdana"/>
          <w:sz w:val="20"/>
          <w:szCs w:val="20"/>
        </w:rPr>
        <w:t xml:space="preserve">Amend the LPVWC to ensure that </w:t>
      </w:r>
      <w:r w:rsidR="00BB5533" w:rsidRPr="00C22738">
        <w:rPr>
          <w:rFonts w:ascii="Verdana" w:hAnsi="Verdana"/>
          <w:sz w:val="20"/>
          <w:szCs w:val="20"/>
        </w:rPr>
        <w:t>any</w:t>
      </w:r>
      <w:r w:rsidRPr="00C22738">
        <w:rPr>
          <w:rFonts w:ascii="Verdana" w:hAnsi="Verdana"/>
          <w:sz w:val="20"/>
          <w:szCs w:val="20"/>
        </w:rPr>
        <w:t xml:space="preserve"> use of alternative dispute resolution mechanisms complies with CEDAW and General Recommendations No. 33 and 35</w:t>
      </w:r>
      <w:r w:rsidR="005D2FAA" w:rsidRPr="00C22738">
        <w:rPr>
          <w:rFonts w:ascii="Verdana" w:hAnsi="Verdana"/>
          <w:sz w:val="20"/>
          <w:szCs w:val="20"/>
        </w:rPr>
        <w:t>.  The law should be amen</w:t>
      </w:r>
      <w:r w:rsidR="00CB2B37" w:rsidRPr="00C22738">
        <w:rPr>
          <w:rFonts w:ascii="Verdana" w:hAnsi="Verdana"/>
          <w:sz w:val="20"/>
          <w:szCs w:val="20"/>
        </w:rPr>
        <w:t>d</w:t>
      </w:r>
      <w:r w:rsidR="005D2FAA" w:rsidRPr="00C22738">
        <w:rPr>
          <w:rFonts w:ascii="Verdana" w:hAnsi="Verdana"/>
          <w:sz w:val="20"/>
          <w:szCs w:val="20"/>
        </w:rPr>
        <w:t>ed to</w:t>
      </w:r>
      <w:r w:rsidR="009F1D30" w:rsidRPr="00C22738">
        <w:rPr>
          <w:rFonts w:ascii="Verdana" w:hAnsi="Verdana"/>
          <w:sz w:val="20"/>
          <w:szCs w:val="20"/>
        </w:rPr>
        <w:t>:</w:t>
      </w:r>
    </w:p>
    <w:p w14:paraId="64CFE918" w14:textId="257885D6" w:rsidR="00B808E3" w:rsidRPr="00C22738" w:rsidRDefault="00B808E3" w:rsidP="006932EF">
      <w:pPr>
        <w:pStyle w:val="ListParagraph"/>
        <w:numPr>
          <w:ilvl w:val="1"/>
          <w:numId w:val="6"/>
        </w:numPr>
        <w:spacing w:after="180" w:line="240" w:lineRule="auto"/>
        <w:contextualSpacing w:val="0"/>
        <w:jc w:val="thaiDistribute"/>
        <w:rPr>
          <w:rFonts w:ascii="Verdana" w:hAnsi="Verdana"/>
          <w:sz w:val="20"/>
          <w:szCs w:val="20"/>
        </w:rPr>
      </w:pPr>
      <w:r w:rsidRPr="00C22738">
        <w:rPr>
          <w:rFonts w:ascii="Verdana" w:hAnsi="Verdana"/>
          <w:sz w:val="20"/>
          <w:szCs w:val="20"/>
        </w:rPr>
        <w:lastRenderedPageBreak/>
        <w:t xml:space="preserve">Ensure that GBV victims/survivors are not automatically referred to alternative dispute resolution measures for </w:t>
      </w:r>
      <w:r w:rsidR="004D1584" w:rsidRPr="00C22738">
        <w:rPr>
          <w:rFonts w:ascii="Verdana" w:hAnsi="Verdana"/>
          <w:sz w:val="20"/>
          <w:szCs w:val="20"/>
        </w:rPr>
        <w:t>“</w:t>
      </w:r>
      <w:r w:rsidRPr="00C22738">
        <w:rPr>
          <w:rFonts w:ascii="Verdana" w:hAnsi="Verdana"/>
          <w:sz w:val="20"/>
          <w:szCs w:val="20"/>
        </w:rPr>
        <w:t>re-education</w:t>
      </w:r>
      <w:r w:rsidR="004D1584" w:rsidRPr="00C22738">
        <w:rPr>
          <w:rFonts w:ascii="Verdana" w:hAnsi="Verdana"/>
          <w:sz w:val="20"/>
          <w:szCs w:val="20"/>
        </w:rPr>
        <w:t>”</w:t>
      </w:r>
      <w:r w:rsidRPr="00C22738">
        <w:rPr>
          <w:rFonts w:ascii="Verdana" w:hAnsi="Verdana"/>
          <w:sz w:val="20"/>
          <w:szCs w:val="20"/>
        </w:rPr>
        <w:t xml:space="preserve">, </w:t>
      </w:r>
      <w:r w:rsidR="004D1584" w:rsidRPr="00C22738">
        <w:rPr>
          <w:rFonts w:ascii="Verdana" w:hAnsi="Verdana"/>
          <w:sz w:val="20"/>
          <w:szCs w:val="20"/>
        </w:rPr>
        <w:t>“</w:t>
      </w:r>
      <w:r w:rsidRPr="00C22738">
        <w:rPr>
          <w:rFonts w:ascii="Verdana" w:hAnsi="Verdana"/>
          <w:sz w:val="20"/>
          <w:szCs w:val="20"/>
        </w:rPr>
        <w:t>compromise</w:t>
      </w:r>
      <w:r w:rsidR="004D1584" w:rsidRPr="00C22738">
        <w:rPr>
          <w:rFonts w:ascii="Verdana" w:hAnsi="Verdana"/>
          <w:sz w:val="20"/>
          <w:szCs w:val="20"/>
        </w:rPr>
        <w:t>”</w:t>
      </w:r>
      <w:r w:rsidRPr="00C22738">
        <w:rPr>
          <w:rFonts w:ascii="Verdana" w:hAnsi="Verdana"/>
          <w:sz w:val="20"/>
          <w:szCs w:val="20"/>
        </w:rPr>
        <w:t>, and mediation;</w:t>
      </w:r>
      <w:r w:rsidR="009F3D34" w:rsidRPr="00C22738">
        <w:rPr>
          <w:rFonts w:ascii="Verdana" w:hAnsi="Verdana"/>
          <w:sz w:val="20"/>
          <w:szCs w:val="20"/>
        </w:rPr>
        <w:t xml:space="preserve"> and</w:t>
      </w:r>
    </w:p>
    <w:p w14:paraId="5EA0D6BD" w14:textId="2447153B" w:rsidR="00B808E3" w:rsidRPr="00C22738" w:rsidRDefault="009F3D34" w:rsidP="006932EF">
      <w:pPr>
        <w:pStyle w:val="ListParagraph"/>
        <w:numPr>
          <w:ilvl w:val="1"/>
          <w:numId w:val="6"/>
        </w:numPr>
        <w:spacing w:after="180" w:line="240" w:lineRule="auto"/>
        <w:contextualSpacing w:val="0"/>
        <w:jc w:val="thaiDistribute"/>
        <w:rPr>
          <w:rFonts w:ascii="Verdana" w:hAnsi="Verdana"/>
          <w:sz w:val="20"/>
          <w:szCs w:val="20"/>
        </w:rPr>
      </w:pPr>
      <w:r w:rsidRPr="00C22738">
        <w:rPr>
          <w:rFonts w:ascii="Verdana" w:hAnsi="Verdana"/>
          <w:sz w:val="20"/>
          <w:szCs w:val="20"/>
        </w:rPr>
        <w:t xml:space="preserve">If alternative dispute resolutions are allowed, ensure that they are conducted only with the free and informed consent of the </w:t>
      </w:r>
      <w:r w:rsidR="00500A04" w:rsidRPr="00C22738">
        <w:rPr>
          <w:rFonts w:ascii="Verdana" w:hAnsi="Verdana"/>
          <w:sz w:val="20"/>
          <w:szCs w:val="20"/>
        </w:rPr>
        <w:t>survivor</w:t>
      </w:r>
      <w:r w:rsidRPr="00C22738">
        <w:rPr>
          <w:rFonts w:ascii="Verdana" w:hAnsi="Verdana"/>
          <w:sz w:val="20"/>
          <w:szCs w:val="20"/>
        </w:rPr>
        <w:t xml:space="preserve">, assessed by a specialized team, and carried out by independent mediators and conciliators—professionals who are specially trained to understand and adequately intervene in cases of GBV. Additionally, ensure that these processes do not prioritize </w:t>
      </w:r>
      <w:r w:rsidR="00B60C16" w:rsidRPr="00C22738">
        <w:rPr>
          <w:rFonts w:ascii="Verdana" w:hAnsi="Verdana"/>
          <w:sz w:val="20"/>
          <w:szCs w:val="20"/>
        </w:rPr>
        <w:t>so-called “</w:t>
      </w:r>
      <w:r w:rsidRPr="00C22738">
        <w:rPr>
          <w:rFonts w:ascii="Verdana" w:hAnsi="Verdana"/>
          <w:sz w:val="20"/>
          <w:szCs w:val="20"/>
        </w:rPr>
        <w:t>family solidarity</w:t>
      </w:r>
      <w:r w:rsidR="00B60C16" w:rsidRPr="00C22738">
        <w:rPr>
          <w:rFonts w:ascii="Verdana" w:hAnsi="Verdana"/>
          <w:sz w:val="20"/>
          <w:szCs w:val="20"/>
        </w:rPr>
        <w:t>”</w:t>
      </w:r>
      <w:r w:rsidRPr="00C22738">
        <w:rPr>
          <w:rFonts w:ascii="Verdana" w:hAnsi="Verdana"/>
          <w:sz w:val="20"/>
          <w:szCs w:val="20"/>
        </w:rPr>
        <w:t xml:space="preserve"> over the safety of survivors and prevent gender stereotyping</w:t>
      </w:r>
      <w:r w:rsidR="005C5168" w:rsidRPr="00C22738">
        <w:rPr>
          <w:rFonts w:ascii="Verdana" w:hAnsi="Verdana"/>
          <w:sz w:val="20"/>
          <w:szCs w:val="20"/>
        </w:rPr>
        <w:t>.</w:t>
      </w:r>
    </w:p>
    <w:p w14:paraId="617BE5E7" w14:textId="556966EB" w:rsidR="009F1D30" w:rsidRPr="00C22738" w:rsidRDefault="009F1D30" w:rsidP="006932EF">
      <w:pPr>
        <w:pStyle w:val="ListParagraph"/>
        <w:numPr>
          <w:ilvl w:val="0"/>
          <w:numId w:val="6"/>
        </w:numPr>
        <w:spacing w:after="180" w:line="240" w:lineRule="auto"/>
        <w:contextualSpacing w:val="0"/>
        <w:jc w:val="thaiDistribute"/>
        <w:rPr>
          <w:rFonts w:ascii="Verdana" w:hAnsi="Verdana"/>
          <w:sz w:val="20"/>
          <w:szCs w:val="20"/>
        </w:rPr>
      </w:pPr>
      <w:r w:rsidRPr="00C22738">
        <w:rPr>
          <w:rFonts w:ascii="Verdana" w:hAnsi="Verdana"/>
          <w:sz w:val="20"/>
          <w:szCs w:val="20"/>
        </w:rPr>
        <w:t xml:space="preserve">Increase public awareness about the law and the protection mechanisms available to GBV survivors, ensuring that women are fully informed about their legal options and judicial forums available for their </w:t>
      </w:r>
      <w:proofErr w:type="gramStart"/>
      <w:r w:rsidRPr="00C22738">
        <w:rPr>
          <w:rFonts w:ascii="Verdana" w:hAnsi="Verdana"/>
          <w:sz w:val="20"/>
          <w:szCs w:val="20"/>
        </w:rPr>
        <w:t>claims</w:t>
      </w:r>
      <w:r w:rsidR="00F86F49" w:rsidRPr="00C22738">
        <w:rPr>
          <w:rFonts w:ascii="Verdana" w:hAnsi="Verdana"/>
          <w:sz w:val="20"/>
          <w:szCs w:val="20"/>
        </w:rPr>
        <w:t>;</w:t>
      </w:r>
      <w:proofErr w:type="gramEnd"/>
    </w:p>
    <w:p w14:paraId="653EA294" w14:textId="78887CE5" w:rsidR="009F1D30" w:rsidRPr="00C22738" w:rsidRDefault="00DA7CB3" w:rsidP="006932EF">
      <w:pPr>
        <w:pStyle w:val="ListParagraph"/>
        <w:numPr>
          <w:ilvl w:val="0"/>
          <w:numId w:val="6"/>
        </w:numPr>
        <w:spacing w:after="180" w:line="240" w:lineRule="auto"/>
        <w:contextualSpacing w:val="0"/>
        <w:jc w:val="thaiDistribute"/>
        <w:rPr>
          <w:rFonts w:ascii="Verdana" w:hAnsi="Verdana"/>
          <w:sz w:val="20"/>
          <w:szCs w:val="20"/>
        </w:rPr>
      </w:pPr>
      <w:r w:rsidRPr="00C22738">
        <w:rPr>
          <w:rFonts w:ascii="Verdana" w:hAnsi="Verdana"/>
          <w:sz w:val="20"/>
          <w:szCs w:val="20"/>
        </w:rPr>
        <w:t>Enhance training efforts for justice sector actors and other re</w:t>
      </w:r>
      <w:r w:rsidR="00B60C16" w:rsidRPr="00C22738">
        <w:rPr>
          <w:rFonts w:ascii="Verdana" w:hAnsi="Verdana"/>
          <w:sz w:val="20"/>
          <w:szCs w:val="20"/>
        </w:rPr>
        <w:t>sponsible</w:t>
      </w:r>
      <w:r w:rsidRPr="00C22738">
        <w:rPr>
          <w:rFonts w:ascii="Verdana" w:hAnsi="Verdana"/>
          <w:sz w:val="20"/>
          <w:szCs w:val="20"/>
        </w:rPr>
        <w:t xml:space="preserve"> authorities on CEDAW, its general recommendations, and the application of international human rights law and standards to the investigation, prosecution, adjudication, and sentencing of GBV-related criminal </w:t>
      </w:r>
      <w:proofErr w:type="gramStart"/>
      <w:r w:rsidRPr="00C22738">
        <w:rPr>
          <w:rFonts w:ascii="Verdana" w:hAnsi="Verdana"/>
          <w:sz w:val="20"/>
          <w:szCs w:val="20"/>
        </w:rPr>
        <w:t>offenses</w:t>
      </w:r>
      <w:r w:rsidR="00F86F49" w:rsidRPr="00C22738">
        <w:rPr>
          <w:rFonts w:ascii="Verdana" w:hAnsi="Verdana"/>
          <w:sz w:val="20"/>
          <w:szCs w:val="20"/>
        </w:rPr>
        <w:t>;</w:t>
      </w:r>
      <w:proofErr w:type="gramEnd"/>
    </w:p>
    <w:p w14:paraId="43E84665" w14:textId="6FAB4720" w:rsidR="009F1D30" w:rsidRPr="00C22738" w:rsidRDefault="00F35273" w:rsidP="006932EF">
      <w:pPr>
        <w:pStyle w:val="ListParagraph"/>
        <w:numPr>
          <w:ilvl w:val="0"/>
          <w:numId w:val="6"/>
        </w:numPr>
        <w:spacing w:after="180" w:line="240" w:lineRule="auto"/>
        <w:contextualSpacing w:val="0"/>
        <w:jc w:val="thaiDistribute"/>
        <w:rPr>
          <w:rFonts w:ascii="Verdana" w:hAnsi="Verdana"/>
          <w:sz w:val="20"/>
          <w:szCs w:val="20"/>
        </w:rPr>
      </w:pPr>
      <w:r w:rsidRPr="00C22738">
        <w:rPr>
          <w:rFonts w:ascii="Verdana" w:hAnsi="Verdana"/>
          <w:sz w:val="20"/>
          <w:szCs w:val="20"/>
        </w:rPr>
        <w:t xml:space="preserve">Prevent and address gender stereotypes, promote gender sensitivity among justice system professionals by increasing training within the justice sector, and consider establishing specialized gender units within the police and prosecution </w:t>
      </w:r>
      <w:proofErr w:type="gramStart"/>
      <w:r w:rsidRPr="00C22738">
        <w:rPr>
          <w:rFonts w:ascii="Verdana" w:hAnsi="Verdana"/>
          <w:sz w:val="20"/>
          <w:szCs w:val="20"/>
        </w:rPr>
        <w:t>systems</w:t>
      </w:r>
      <w:r w:rsidR="00680B85" w:rsidRPr="00C22738">
        <w:rPr>
          <w:rFonts w:ascii="Verdana" w:hAnsi="Verdana"/>
          <w:sz w:val="20"/>
          <w:szCs w:val="20"/>
        </w:rPr>
        <w:t>;</w:t>
      </w:r>
      <w:proofErr w:type="gramEnd"/>
    </w:p>
    <w:p w14:paraId="756E38A0" w14:textId="46579F4E" w:rsidR="00C20E58" w:rsidRPr="00C22738" w:rsidRDefault="00C20E58" w:rsidP="006932EF">
      <w:pPr>
        <w:pStyle w:val="ListParagraph"/>
        <w:numPr>
          <w:ilvl w:val="0"/>
          <w:numId w:val="6"/>
        </w:numPr>
        <w:spacing w:after="180" w:line="240" w:lineRule="auto"/>
        <w:contextualSpacing w:val="0"/>
        <w:jc w:val="thaiDistribute"/>
        <w:rPr>
          <w:rFonts w:ascii="Verdana" w:hAnsi="Verdana"/>
          <w:sz w:val="20"/>
          <w:szCs w:val="20"/>
        </w:rPr>
      </w:pPr>
      <w:r w:rsidRPr="00C22738">
        <w:rPr>
          <w:rFonts w:ascii="Verdana" w:hAnsi="Verdana"/>
          <w:sz w:val="20"/>
          <w:szCs w:val="20"/>
        </w:rPr>
        <w:t xml:space="preserve">Provide training and allocate adequate financial resources for police and healthcare providers on the collection and preservation of forensic evidence in GBV </w:t>
      </w:r>
      <w:proofErr w:type="gramStart"/>
      <w:r w:rsidRPr="00C22738">
        <w:rPr>
          <w:rFonts w:ascii="Verdana" w:hAnsi="Verdana"/>
          <w:sz w:val="20"/>
          <w:szCs w:val="20"/>
        </w:rPr>
        <w:t>cases;</w:t>
      </w:r>
      <w:proofErr w:type="gramEnd"/>
    </w:p>
    <w:p w14:paraId="21D4FFAF" w14:textId="56063CD8" w:rsidR="009F1D30" w:rsidRPr="00C22738" w:rsidRDefault="009F1D30" w:rsidP="006932EF">
      <w:pPr>
        <w:pStyle w:val="ListParagraph"/>
        <w:numPr>
          <w:ilvl w:val="0"/>
          <w:numId w:val="6"/>
        </w:numPr>
        <w:spacing w:after="180" w:line="240" w:lineRule="auto"/>
        <w:contextualSpacing w:val="0"/>
        <w:jc w:val="thaiDistribute"/>
        <w:rPr>
          <w:rFonts w:ascii="Verdana" w:hAnsi="Verdana"/>
          <w:sz w:val="20"/>
          <w:szCs w:val="20"/>
        </w:rPr>
      </w:pPr>
      <w:r w:rsidRPr="00C22738">
        <w:rPr>
          <w:rFonts w:ascii="Verdana" w:hAnsi="Verdana"/>
          <w:sz w:val="20"/>
          <w:szCs w:val="20"/>
        </w:rPr>
        <w:t xml:space="preserve">Eliminate practices that subject GBV survivors to secondary victimization throughout legal proceedings, and ensure the creation of supportive environments that encourage women to claim their </w:t>
      </w:r>
      <w:proofErr w:type="gramStart"/>
      <w:r w:rsidRPr="00C22738">
        <w:rPr>
          <w:rFonts w:ascii="Verdana" w:hAnsi="Verdana"/>
          <w:sz w:val="20"/>
          <w:szCs w:val="20"/>
        </w:rPr>
        <w:t>rights</w:t>
      </w:r>
      <w:r w:rsidR="00680B85" w:rsidRPr="00C22738">
        <w:rPr>
          <w:rFonts w:ascii="Verdana" w:hAnsi="Verdana"/>
          <w:sz w:val="20"/>
          <w:szCs w:val="20"/>
        </w:rPr>
        <w:t>;</w:t>
      </w:r>
      <w:proofErr w:type="gramEnd"/>
    </w:p>
    <w:p w14:paraId="5574DFA1" w14:textId="21879210" w:rsidR="009F1D30" w:rsidRPr="00C22738" w:rsidRDefault="009F1D30" w:rsidP="006932EF">
      <w:pPr>
        <w:pStyle w:val="ListParagraph"/>
        <w:numPr>
          <w:ilvl w:val="0"/>
          <w:numId w:val="6"/>
        </w:numPr>
        <w:spacing w:after="180" w:line="240" w:lineRule="auto"/>
        <w:contextualSpacing w:val="0"/>
        <w:jc w:val="thaiDistribute"/>
        <w:rPr>
          <w:rFonts w:ascii="Verdana" w:hAnsi="Verdana"/>
          <w:sz w:val="20"/>
          <w:szCs w:val="20"/>
        </w:rPr>
      </w:pPr>
      <w:r w:rsidRPr="00C22738">
        <w:rPr>
          <w:rFonts w:ascii="Verdana" w:hAnsi="Verdana"/>
          <w:sz w:val="20"/>
          <w:szCs w:val="20"/>
        </w:rPr>
        <w:t xml:space="preserve">Prevent retaliation against women seeking recourse in the justice system by providing adequate protection </w:t>
      </w:r>
      <w:proofErr w:type="gramStart"/>
      <w:r w:rsidRPr="00C22738">
        <w:rPr>
          <w:rFonts w:ascii="Verdana" w:hAnsi="Verdana"/>
          <w:sz w:val="20"/>
          <w:szCs w:val="20"/>
        </w:rPr>
        <w:t>measures</w:t>
      </w:r>
      <w:r w:rsidR="00680B85" w:rsidRPr="00C22738">
        <w:rPr>
          <w:rFonts w:ascii="Verdana" w:hAnsi="Verdana"/>
          <w:sz w:val="20"/>
          <w:szCs w:val="20"/>
        </w:rPr>
        <w:t>;</w:t>
      </w:r>
      <w:proofErr w:type="gramEnd"/>
    </w:p>
    <w:p w14:paraId="37F60695" w14:textId="07617C9C" w:rsidR="009F1D30" w:rsidRPr="00C22738" w:rsidRDefault="009F1D30" w:rsidP="006932EF">
      <w:pPr>
        <w:pStyle w:val="ListParagraph"/>
        <w:numPr>
          <w:ilvl w:val="0"/>
          <w:numId w:val="6"/>
        </w:numPr>
        <w:spacing w:after="180" w:line="240" w:lineRule="auto"/>
        <w:contextualSpacing w:val="0"/>
        <w:jc w:val="thaiDistribute"/>
        <w:rPr>
          <w:rFonts w:ascii="Verdana" w:hAnsi="Verdana"/>
          <w:sz w:val="20"/>
          <w:szCs w:val="20"/>
        </w:rPr>
      </w:pPr>
      <w:r w:rsidRPr="00C22738">
        <w:rPr>
          <w:rFonts w:ascii="Verdana" w:hAnsi="Verdana"/>
          <w:sz w:val="20"/>
          <w:szCs w:val="20"/>
        </w:rPr>
        <w:t xml:space="preserve">Increase the number of female police officers and enhance women's participation in the justice sector as a matter of </w:t>
      </w:r>
      <w:proofErr w:type="gramStart"/>
      <w:r w:rsidRPr="00C22738">
        <w:rPr>
          <w:rFonts w:ascii="Verdana" w:hAnsi="Verdana"/>
          <w:sz w:val="20"/>
          <w:szCs w:val="20"/>
        </w:rPr>
        <w:t>urgency</w:t>
      </w:r>
      <w:r w:rsidR="008417A8" w:rsidRPr="00C22738">
        <w:rPr>
          <w:rFonts w:ascii="Verdana" w:hAnsi="Verdana"/>
          <w:sz w:val="20"/>
          <w:szCs w:val="20"/>
        </w:rPr>
        <w:t>;</w:t>
      </w:r>
      <w:proofErr w:type="gramEnd"/>
    </w:p>
    <w:p w14:paraId="3D487EDE" w14:textId="1CAEC749" w:rsidR="009F1D30" w:rsidRPr="00C22738" w:rsidRDefault="009F1D30" w:rsidP="006932EF">
      <w:pPr>
        <w:pStyle w:val="ListParagraph"/>
        <w:numPr>
          <w:ilvl w:val="0"/>
          <w:numId w:val="6"/>
        </w:numPr>
        <w:spacing w:after="180" w:line="240" w:lineRule="auto"/>
        <w:contextualSpacing w:val="0"/>
        <w:jc w:val="thaiDistribute"/>
        <w:rPr>
          <w:rFonts w:ascii="Verdana" w:hAnsi="Verdana"/>
          <w:sz w:val="20"/>
          <w:szCs w:val="20"/>
        </w:rPr>
      </w:pPr>
      <w:r w:rsidRPr="00C22738">
        <w:rPr>
          <w:rFonts w:ascii="Verdana" w:hAnsi="Verdana"/>
          <w:sz w:val="20"/>
          <w:szCs w:val="20"/>
        </w:rPr>
        <w:t xml:space="preserve">Increase the number of female lawyers and ensure that they can effectively carry out their work to provide high-quality, gender-sensitive legal advice and support justice-seeking </w:t>
      </w:r>
      <w:proofErr w:type="gramStart"/>
      <w:r w:rsidRPr="00C22738">
        <w:rPr>
          <w:rFonts w:ascii="Verdana" w:hAnsi="Verdana"/>
          <w:sz w:val="20"/>
          <w:szCs w:val="20"/>
        </w:rPr>
        <w:t>efforts</w:t>
      </w:r>
      <w:r w:rsidR="008417A8" w:rsidRPr="00C22738">
        <w:rPr>
          <w:rFonts w:ascii="Verdana" w:hAnsi="Verdana"/>
          <w:sz w:val="20"/>
          <w:szCs w:val="20"/>
        </w:rPr>
        <w:t>;</w:t>
      </w:r>
      <w:proofErr w:type="gramEnd"/>
    </w:p>
    <w:p w14:paraId="1AB7BAE0" w14:textId="6ECC8C48" w:rsidR="00C20E58" w:rsidRPr="00C22738" w:rsidRDefault="00D336C7" w:rsidP="006932EF">
      <w:pPr>
        <w:pStyle w:val="ListParagraph"/>
        <w:numPr>
          <w:ilvl w:val="0"/>
          <w:numId w:val="6"/>
        </w:numPr>
        <w:spacing w:after="180" w:line="240" w:lineRule="auto"/>
        <w:contextualSpacing w:val="0"/>
        <w:jc w:val="thaiDistribute"/>
        <w:rPr>
          <w:rFonts w:ascii="Verdana" w:hAnsi="Verdana"/>
          <w:sz w:val="20"/>
          <w:szCs w:val="20"/>
        </w:rPr>
      </w:pPr>
      <w:r w:rsidRPr="00C22738">
        <w:rPr>
          <w:rFonts w:ascii="Verdana" w:hAnsi="Verdana"/>
          <w:sz w:val="20"/>
          <w:szCs w:val="20"/>
        </w:rPr>
        <w:t xml:space="preserve">Increase the number of interpreters in ethnic languages, particularly female </w:t>
      </w:r>
      <w:proofErr w:type="gramStart"/>
      <w:r w:rsidRPr="00C22738">
        <w:rPr>
          <w:rFonts w:ascii="Verdana" w:hAnsi="Verdana"/>
          <w:sz w:val="20"/>
          <w:szCs w:val="20"/>
        </w:rPr>
        <w:t>interpreters</w:t>
      </w:r>
      <w:r w:rsidR="00C20E58" w:rsidRPr="00C22738">
        <w:rPr>
          <w:rFonts w:ascii="Verdana" w:hAnsi="Verdana"/>
          <w:sz w:val="20"/>
          <w:szCs w:val="20"/>
        </w:rPr>
        <w:t>;</w:t>
      </w:r>
      <w:proofErr w:type="gramEnd"/>
    </w:p>
    <w:p w14:paraId="78E659D6" w14:textId="4858FE17" w:rsidR="009F1D30" w:rsidRPr="00C22738" w:rsidRDefault="009F1D30" w:rsidP="006932EF">
      <w:pPr>
        <w:pStyle w:val="ListParagraph"/>
        <w:numPr>
          <w:ilvl w:val="0"/>
          <w:numId w:val="6"/>
        </w:numPr>
        <w:spacing w:after="180" w:line="240" w:lineRule="auto"/>
        <w:contextualSpacing w:val="0"/>
        <w:jc w:val="thaiDistribute"/>
        <w:rPr>
          <w:rFonts w:ascii="Verdana" w:hAnsi="Verdana"/>
          <w:sz w:val="20"/>
          <w:szCs w:val="20"/>
        </w:rPr>
      </w:pPr>
      <w:r w:rsidRPr="00C22738">
        <w:rPr>
          <w:rFonts w:ascii="Verdana" w:hAnsi="Verdana"/>
          <w:sz w:val="20"/>
          <w:szCs w:val="20"/>
        </w:rPr>
        <w:t xml:space="preserve">Establish specific funds allocated for reparations to GBV victims/survivors, or women-specific funds to ensure that women receive adequate reparations when </w:t>
      </w:r>
      <w:r w:rsidR="00A1437E" w:rsidRPr="00C22738">
        <w:rPr>
          <w:rFonts w:ascii="Verdana" w:hAnsi="Verdana"/>
          <w:sz w:val="20"/>
          <w:szCs w:val="20"/>
        </w:rPr>
        <w:t>those</w:t>
      </w:r>
      <w:r w:rsidRPr="00C22738">
        <w:rPr>
          <w:rFonts w:ascii="Verdana" w:hAnsi="Verdana"/>
          <w:sz w:val="20"/>
          <w:szCs w:val="20"/>
        </w:rPr>
        <w:t xml:space="preserve"> responsible for violating their rights are unable or unwilling to provide such reparations</w:t>
      </w:r>
      <w:r w:rsidR="008417A8" w:rsidRPr="00C22738">
        <w:rPr>
          <w:rFonts w:ascii="Verdana" w:hAnsi="Verdana"/>
          <w:sz w:val="20"/>
          <w:szCs w:val="20"/>
        </w:rPr>
        <w:t>;</w:t>
      </w:r>
      <w:r w:rsidR="00A1437E" w:rsidRPr="00C22738">
        <w:rPr>
          <w:rFonts w:ascii="Verdana" w:hAnsi="Verdana"/>
          <w:sz w:val="20"/>
          <w:szCs w:val="20"/>
        </w:rPr>
        <w:t xml:space="preserve"> and</w:t>
      </w:r>
    </w:p>
    <w:p w14:paraId="4A42CE4E" w14:textId="77FD8557" w:rsidR="001879F7" w:rsidRPr="00C22738" w:rsidRDefault="009F1D30" w:rsidP="006932EF">
      <w:pPr>
        <w:pStyle w:val="ListParagraph"/>
        <w:numPr>
          <w:ilvl w:val="0"/>
          <w:numId w:val="6"/>
        </w:numPr>
        <w:spacing w:after="180" w:line="240" w:lineRule="auto"/>
        <w:contextualSpacing w:val="0"/>
        <w:jc w:val="thaiDistribute"/>
      </w:pPr>
      <w:r w:rsidRPr="00C22738">
        <w:rPr>
          <w:rFonts w:ascii="Verdana" w:hAnsi="Verdana"/>
          <w:sz w:val="20"/>
          <w:szCs w:val="20"/>
        </w:rPr>
        <w:t>Address practical concerns related to accessing shelters and ensure they are available to all those in need</w:t>
      </w:r>
      <w:r w:rsidR="00A1437E" w:rsidRPr="00C22738">
        <w:rPr>
          <w:rFonts w:ascii="Verdana" w:hAnsi="Verdana"/>
          <w:sz w:val="20"/>
          <w:szCs w:val="20"/>
        </w:rPr>
        <w:t xml:space="preserve">. </w:t>
      </w:r>
    </w:p>
    <w:p w14:paraId="6C0FD828" w14:textId="5DBDADFE" w:rsidR="00451EA7" w:rsidRPr="009353F0" w:rsidRDefault="00451EA7" w:rsidP="009353F0">
      <w:pPr>
        <w:rPr>
          <w:rFonts w:ascii="Verdana" w:hAnsi="Verdana"/>
          <w:sz w:val="20"/>
          <w:szCs w:val="20"/>
        </w:rPr>
      </w:pPr>
    </w:p>
    <w:sectPr w:rsidR="00451EA7" w:rsidRPr="009353F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380667" w14:textId="77777777" w:rsidR="00E72298" w:rsidRDefault="00E72298" w:rsidP="00CD68AB">
      <w:pPr>
        <w:spacing w:after="0" w:line="240" w:lineRule="auto"/>
      </w:pPr>
      <w:r>
        <w:separator/>
      </w:r>
    </w:p>
  </w:endnote>
  <w:endnote w:type="continuationSeparator" w:id="0">
    <w:p w14:paraId="5A8131F1" w14:textId="77777777" w:rsidR="00E72298" w:rsidRDefault="00E72298" w:rsidP="00CD6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rdia New">
    <w:panose1 w:val="020B0304020202020204"/>
    <w:charset w:val="00"/>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Times">
    <w:altName w:val="Times New Roman"/>
    <w:panose1 w:val="02020603050405020304"/>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altName w:val="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7447441"/>
      <w:docPartObj>
        <w:docPartGallery w:val="Page Numbers (Bottom of Page)"/>
        <w:docPartUnique/>
      </w:docPartObj>
    </w:sdtPr>
    <w:sdtEndPr>
      <w:rPr>
        <w:noProof/>
      </w:rPr>
    </w:sdtEndPr>
    <w:sdtContent>
      <w:p w14:paraId="0CDEC84D" w14:textId="42873DAB" w:rsidR="00E44EBF" w:rsidRDefault="00E44E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01102A" w14:textId="77777777" w:rsidR="00E44EBF" w:rsidRDefault="00E44E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AABFB4" w14:textId="77777777" w:rsidR="00E72298" w:rsidRDefault="00E72298" w:rsidP="00CD68AB">
      <w:pPr>
        <w:spacing w:after="0" w:line="240" w:lineRule="auto"/>
      </w:pPr>
      <w:r>
        <w:separator/>
      </w:r>
    </w:p>
  </w:footnote>
  <w:footnote w:type="continuationSeparator" w:id="0">
    <w:p w14:paraId="372604C7" w14:textId="77777777" w:rsidR="00E72298" w:rsidRDefault="00E72298" w:rsidP="00CD68AB">
      <w:pPr>
        <w:spacing w:after="0" w:line="240" w:lineRule="auto"/>
      </w:pPr>
      <w:r>
        <w:continuationSeparator/>
      </w:r>
    </w:p>
  </w:footnote>
  <w:footnote w:id="1">
    <w:p w14:paraId="4F11B839" w14:textId="6CD5785B" w:rsidR="00513BA2" w:rsidRPr="00C22738" w:rsidRDefault="00513BA2"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Committee on the Elimination of Discrimination against Women (CEDAW), ‘List of issues and questions in relation to the tenth periodic report of the Lao People’s Democratic Republic,’ CEDAW/C/LAO/Q/10, 14 November 2023, para 10(g) (‘List of Issues’).</w:t>
      </w:r>
    </w:p>
  </w:footnote>
  <w:footnote w:id="2">
    <w:p w14:paraId="499C1154" w14:textId="2540BB2A" w:rsidR="00720101" w:rsidRPr="00C22738" w:rsidRDefault="00720101"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CEDAW, ‘General recommendation No. 35 (2017) on gender-based violence against women, updating general recommendation No. 19 (1992),’ CEDAW/C/GC/35, 26 July 2017, para 29(e) (</w:t>
      </w:r>
      <w:r w:rsidR="003C178A" w:rsidRPr="00C22738">
        <w:rPr>
          <w:rFonts w:ascii="Verdana" w:hAnsi="Verdana"/>
          <w:sz w:val="18"/>
          <w:szCs w:val="18"/>
        </w:rPr>
        <w:t>‘</w:t>
      </w:r>
      <w:r w:rsidRPr="00C22738">
        <w:rPr>
          <w:rFonts w:ascii="Verdana" w:hAnsi="Verdana"/>
          <w:sz w:val="18"/>
          <w:szCs w:val="18"/>
        </w:rPr>
        <w:t>CEDAW’s GR No. 35</w:t>
      </w:r>
      <w:r w:rsidR="003C178A" w:rsidRPr="00C22738">
        <w:rPr>
          <w:rFonts w:ascii="Verdana" w:hAnsi="Verdana"/>
          <w:sz w:val="18"/>
          <w:szCs w:val="18"/>
        </w:rPr>
        <w:t>’</w:t>
      </w:r>
      <w:r w:rsidRPr="00C22738">
        <w:rPr>
          <w:rFonts w:ascii="Verdana" w:hAnsi="Verdana"/>
          <w:sz w:val="18"/>
          <w:szCs w:val="18"/>
        </w:rPr>
        <w:t xml:space="preserve">); CEDAW, ‘Committee Communication No. 34/2011, R. P. B. v. the Philippines,’ CEDAW/C/57/D/34/2011, para 8.10; CEDAW, ‘Committee Communication No. 18/2008, </w:t>
      </w:r>
      <w:proofErr w:type="spellStart"/>
      <w:r w:rsidRPr="00C22738">
        <w:rPr>
          <w:rFonts w:ascii="Verdana" w:hAnsi="Verdana"/>
          <w:sz w:val="18"/>
          <w:szCs w:val="18"/>
        </w:rPr>
        <w:t>Vertido</w:t>
      </w:r>
      <w:proofErr w:type="spellEnd"/>
      <w:r w:rsidRPr="00C22738">
        <w:rPr>
          <w:rFonts w:ascii="Verdana" w:hAnsi="Verdana"/>
          <w:sz w:val="18"/>
          <w:szCs w:val="18"/>
        </w:rPr>
        <w:t xml:space="preserve"> v. the Philippines,’ CEDAW/C/46/D/18/2008, para. 8.7.</w:t>
      </w:r>
    </w:p>
  </w:footnote>
  <w:footnote w:id="3">
    <w:p w14:paraId="0E881521" w14:textId="593A310F" w:rsidR="005C43CB" w:rsidRPr="00C22738" w:rsidRDefault="005C43CB"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w:t>
      </w:r>
      <w:r w:rsidR="002049A2" w:rsidRPr="00C22738">
        <w:rPr>
          <w:rFonts w:ascii="Verdana" w:hAnsi="Verdana"/>
          <w:sz w:val="18"/>
          <w:szCs w:val="18"/>
        </w:rPr>
        <w:t>Law on Prevention and Elimination of Violence against Women and Children No. 56/NA/2014, 23 December 2014, a</w:t>
      </w:r>
      <w:r w:rsidRPr="00C22738">
        <w:rPr>
          <w:rFonts w:ascii="Verdana" w:hAnsi="Verdana"/>
          <w:sz w:val="18"/>
          <w:szCs w:val="18"/>
        </w:rPr>
        <w:t xml:space="preserve">vailable at: </w:t>
      </w:r>
      <w:hyperlink r:id="rId1" w:history="1">
        <w:r w:rsidR="004231F4" w:rsidRPr="00C22738">
          <w:rPr>
            <w:rStyle w:val="Hyperlink"/>
            <w:rFonts w:ascii="Verdana" w:hAnsi="Verdana"/>
            <w:sz w:val="18"/>
            <w:szCs w:val="18"/>
          </w:rPr>
          <w:t>https://faolex.fao.org/docs/pdf/lao209036.pdf</w:t>
        </w:r>
      </w:hyperlink>
      <w:r w:rsidR="004231F4" w:rsidRPr="00C22738">
        <w:rPr>
          <w:rFonts w:ascii="Verdana" w:hAnsi="Verdana"/>
          <w:sz w:val="18"/>
          <w:szCs w:val="18"/>
        </w:rPr>
        <w:t xml:space="preserve"> </w:t>
      </w:r>
    </w:p>
  </w:footnote>
  <w:footnote w:id="4">
    <w:p w14:paraId="1ED1282A" w14:textId="1524D844" w:rsidR="000F17BC" w:rsidRPr="00C22738" w:rsidRDefault="000F17BC"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Article 4 </w:t>
      </w:r>
      <w:r w:rsidR="008E37BD" w:rsidRPr="00C22738">
        <w:rPr>
          <w:rFonts w:ascii="Verdana" w:hAnsi="Verdana"/>
          <w:sz w:val="18"/>
          <w:szCs w:val="18"/>
        </w:rPr>
        <w:t xml:space="preserve">of the Law on Prevention and Elimination of Violence against Women and Children </w:t>
      </w:r>
      <w:r w:rsidRPr="00C22738">
        <w:rPr>
          <w:rFonts w:ascii="Verdana" w:hAnsi="Verdana"/>
          <w:sz w:val="18"/>
          <w:szCs w:val="18"/>
        </w:rPr>
        <w:t>defines rape as “the use of force, use of a weapon to threaten, use of anesthesia drug, use of alcohol or other methods that place women and children in situation that they cannot help themselves, to have sexual relations with women and children.”</w:t>
      </w:r>
    </w:p>
  </w:footnote>
  <w:footnote w:id="5">
    <w:p w14:paraId="28F430EC" w14:textId="1DCB57D9" w:rsidR="008A2A11" w:rsidRPr="00C22738" w:rsidRDefault="008A2A11"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w:t>
      </w:r>
      <w:r w:rsidR="002C22CD" w:rsidRPr="00C22738">
        <w:rPr>
          <w:rFonts w:ascii="Verdana" w:hAnsi="Verdana"/>
          <w:sz w:val="18"/>
          <w:szCs w:val="18"/>
        </w:rPr>
        <w:t>Penal Code No. 26/NA/2017, 17 May 2017, a</w:t>
      </w:r>
      <w:r w:rsidRPr="00C22738">
        <w:rPr>
          <w:rFonts w:ascii="Verdana" w:hAnsi="Verdana"/>
          <w:sz w:val="18"/>
          <w:szCs w:val="18"/>
        </w:rPr>
        <w:t xml:space="preserve">vailable at: </w:t>
      </w:r>
      <w:hyperlink r:id="rId2" w:history="1">
        <w:r w:rsidRPr="00C22738">
          <w:rPr>
            <w:rStyle w:val="Hyperlink"/>
            <w:rFonts w:ascii="Verdana" w:hAnsi="Verdana"/>
            <w:sz w:val="18"/>
            <w:szCs w:val="18"/>
          </w:rPr>
          <w:t>https://www.bic.moe.go.th/images/stories/pdf/Law_of_Laos_1-11-2562.pdf</w:t>
        </w:r>
      </w:hyperlink>
      <w:r w:rsidRPr="00C22738">
        <w:rPr>
          <w:rFonts w:ascii="Verdana" w:hAnsi="Verdana"/>
          <w:sz w:val="18"/>
          <w:szCs w:val="18"/>
        </w:rPr>
        <w:t xml:space="preserve"> </w:t>
      </w:r>
    </w:p>
  </w:footnote>
  <w:footnote w:id="6">
    <w:p w14:paraId="4AACE590" w14:textId="3F58F96C" w:rsidR="005B75C3" w:rsidRPr="00C22738" w:rsidRDefault="005B75C3"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w:t>
      </w:r>
      <w:r w:rsidR="008E37BD" w:rsidRPr="00C22738">
        <w:rPr>
          <w:rFonts w:ascii="Verdana" w:hAnsi="Verdana"/>
          <w:sz w:val="18"/>
          <w:szCs w:val="18"/>
        </w:rPr>
        <w:t xml:space="preserve">Article 4 of the </w:t>
      </w:r>
      <w:r w:rsidR="0053504A" w:rsidRPr="00C22738">
        <w:rPr>
          <w:rFonts w:ascii="Verdana" w:hAnsi="Verdana"/>
          <w:sz w:val="18"/>
          <w:szCs w:val="18"/>
        </w:rPr>
        <w:t>LPVWC</w:t>
      </w:r>
      <w:r w:rsidR="008E37BD" w:rsidRPr="00C22738">
        <w:rPr>
          <w:rFonts w:ascii="Verdana" w:hAnsi="Verdana"/>
          <w:sz w:val="18"/>
          <w:szCs w:val="18"/>
        </w:rPr>
        <w:t xml:space="preserve"> defines </w:t>
      </w:r>
      <w:r w:rsidR="0053504A" w:rsidRPr="00C22738">
        <w:rPr>
          <w:rFonts w:ascii="Verdana" w:hAnsi="Verdana"/>
          <w:sz w:val="18"/>
          <w:szCs w:val="18"/>
        </w:rPr>
        <w:t>“</w:t>
      </w:r>
      <w:r w:rsidR="008E37BD" w:rsidRPr="00C22738">
        <w:rPr>
          <w:rFonts w:ascii="Verdana" w:hAnsi="Verdana"/>
          <w:sz w:val="18"/>
          <w:szCs w:val="18"/>
        </w:rPr>
        <w:t>forced sex within marriage</w:t>
      </w:r>
      <w:r w:rsidR="0053504A" w:rsidRPr="00C22738">
        <w:rPr>
          <w:rFonts w:ascii="Verdana" w:hAnsi="Verdana"/>
          <w:sz w:val="18"/>
          <w:szCs w:val="18"/>
        </w:rPr>
        <w:t>”</w:t>
      </w:r>
      <w:r w:rsidR="008E37BD" w:rsidRPr="00C22738">
        <w:rPr>
          <w:rFonts w:ascii="Verdana" w:hAnsi="Verdana"/>
          <w:sz w:val="18"/>
          <w:szCs w:val="18"/>
        </w:rPr>
        <w:t xml:space="preserve"> as “</w:t>
      </w:r>
      <w:r w:rsidR="004E7ADD" w:rsidRPr="00C22738">
        <w:rPr>
          <w:rFonts w:ascii="Verdana" w:hAnsi="Verdana"/>
          <w:sz w:val="18"/>
          <w:szCs w:val="18"/>
        </w:rPr>
        <w:t>any act by a husband to have sexual intercourse with his wife by using force, coercion, threats when the wife does not want to have sex or is in situation when she is not ready to have sex</w:t>
      </w:r>
      <w:r w:rsidR="003C178A" w:rsidRPr="00C22738">
        <w:rPr>
          <w:rFonts w:ascii="Verdana" w:hAnsi="Verdana"/>
          <w:sz w:val="18"/>
          <w:szCs w:val="18"/>
        </w:rPr>
        <w:t>.</w:t>
      </w:r>
      <w:r w:rsidR="004E7ADD" w:rsidRPr="00C22738">
        <w:rPr>
          <w:rFonts w:ascii="Verdana" w:hAnsi="Verdana"/>
          <w:sz w:val="18"/>
          <w:szCs w:val="18"/>
        </w:rPr>
        <w:t>”</w:t>
      </w:r>
    </w:p>
  </w:footnote>
  <w:footnote w:id="7">
    <w:p w14:paraId="29EDF33D" w14:textId="4A8D49A5" w:rsidR="00B6475C" w:rsidRPr="00C22738" w:rsidRDefault="00B6475C"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w:t>
      </w:r>
      <w:r w:rsidR="00615830" w:rsidRPr="00C22738">
        <w:rPr>
          <w:rFonts w:ascii="Verdana" w:hAnsi="Verdana"/>
          <w:sz w:val="18"/>
          <w:szCs w:val="18"/>
        </w:rPr>
        <w:t>See also Article 251 of the Penal Code regarding the offense of deceit for sexual intercourse.</w:t>
      </w:r>
    </w:p>
  </w:footnote>
  <w:footnote w:id="8">
    <w:p w14:paraId="13FE2019" w14:textId="5DBA8A00" w:rsidR="001B2C88" w:rsidRPr="00C22738" w:rsidRDefault="001B2C88"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See also: Dubravka Simonovic, ‘A framework for legislation on rape (Model Rape Law</w:t>
      </w:r>
      <w:proofErr w:type="gramStart"/>
      <w:r w:rsidRPr="00C22738">
        <w:rPr>
          <w:rFonts w:ascii="Verdana" w:hAnsi="Verdana"/>
          <w:sz w:val="18"/>
          <w:szCs w:val="18"/>
        </w:rPr>
        <w:t>)</w:t>
      </w:r>
      <w:r w:rsidR="003C178A" w:rsidRPr="00C22738">
        <w:rPr>
          <w:rFonts w:ascii="Verdana" w:hAnsi="Verdana"/>
          <w:sz w:val="18"/>
          <w:szCs w:val="18"/>
        </w:rPr>
        <w:t xml:space="preserve"> </w:t>
      </w:r>
      <w:r w:rsidRPr="00C22738">
        <w:rPr>
          <w:rFonts w:ascii="Verdana" w:hAnsi="Verdana"/>
          <w:sz w:val="18"/>
          <w:szCs w:val="18"/>
        </w:rPr>
        <w:t>:</w:t>
      </w:r>
      <w:proofErr w:type="gramEnd"/>
      <w:r w:rsidRPr="00C22738">
        <w:rPr>
          <w:rFonts w:ascii="Verdana" w:hAnsi="Verdana"/>
          <w:sz w:val="18"/>
          <w:szCs w:val="18"/>
        </w:rPr>
        <w:t xml:space="preserve"> report of the Special Rapporteur on Violence against Women, Its Causes and Consequences,’ A/HRC/47/26/Add.1, 15 June 2021.</w:t>
      </w:r>
    </w:p>
  </w:footnote>
  <w:footnote w:id="9">
    <w:p w14:paraId="79024AD5" w14:textId="77777777" w:rsidR="00301DC9" w:rsidRPr="00C22738" w:rsidRDefault="00301DC9"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Ibid</w:t>
      </w:r>
    </w:p>
  </w:footnote>
  <w:footnote w:id="10">
    <w:p w14:paraId="1FE77F0C" w14:textId="584CFB77" w:rsidR="00B51632" w:rsidRPr="00C22738" w:rsidRDefault="00B51632"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Article </w:t>
      </w:r>
      <w:r w:rsidR="000037B9" w:rsidRPr="00C22738">
        <w:rPr>
          <w:rFonts w:ascii="Verdana" w:hAnsi="Verdana"/>
          <w:sz w:val="18"/>
          <w:szCs w:val="18"/>
        </w:rPr>
        <w:t>79</w:t>
      </w:r>
      <w:r w:rsidRPr="00C22738">
        <w:rPr>
          <w:rFonts w:ascii="Verdana" w:hAnsi="Verdana"/>
          <w:sz w:val="18"/>
          <w:szCs w:val="18"/>
        </w:rPr>
        <w:t>, Law on Prevention and Elimination of Violence against Women and Children</w:t>
      </w:r>
      <w:r w:rsidR="003C178A" w:rsidRPr="00C22738">
        <w:rPr>
          <w:rFonts w:ascii="Verdana" w:hAnsi="Verdana"/>
          <w:sz w:val="18"/>
          <w:szCs w:val="18"/>
        </w:rPr>
        <w:t>.</w:t>
      </w:r>
    </w:p>
  </w:footnote>
  <w:footnote w:id="11">
    <w:p w14:paraId="41360981" w14:textId="73598179" w:rsidR="00557A15" w:rsidRPr="00C22738" w:rsidRDefault="00557A15"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Article 12, Penal Code.</w:t>
      </w:r>
    </w:p>
  </w:footnote>
  <w:footnote w:id="12">
    <w:p w14:paraId="33D54B9F" w14:textId="4C90B322" w:rsidR="000037B9" w:rsidRPr="00C22738" w:rsidRDefault="000037B9"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ICJ, </w:t>
      </w:r>
      <w:r w:rsidR="00653878" w:rsidRPr="00C22738">
        <w:rPr>
          <w:rFonts w:ascii="Verdana" w:hAnsi="Verdana"/>
          <w:sz w:val="18"/>
          <w:szCs w:val="18"/>
        </w:rPr>
        <w:t>‘The 8 March Principles for Human Rights-Based Approach to Criminal Law Proscribing Conduct Associated with Sex, Reproduction, Drug Use, HIV, Homelessness and Poverty</w:t>
      </w:r>
      <w:r w:rsidRPr="00C22738">
        <w:rPr>
          <w:rFonts w:ascii="Verdana" w:hAnsi="Verdana"/>
          <w:sz w:val="18"/>
          <w:szCs w:val="18"/>
        </w:rPr>
        <w:t>,</w:t>
      </w:r>
      <w:r w:rsidR="00653878" w:rsidRPr="00C22738">
        <w:rPr>
          <w:rFonts w:ascii="Verdana" w:hAnsi="Verdana"/>
          <w:sz w:val="18"/>
          <w:szCs w:val="18"/>
        </w:rPr>
        <w:t>’</w:t>
      </w:r>
      <w:r w:rsidRPr="00C22738">
        <w:rPr>
          <w:rFonts w:ascii="Verdana" w:hAnsi="Verdana"/>
          <w:sz w:val="18"/>
          <w:szCs w:val="18"/>
        </w:rPr>
        <w:t xml:space="preserve"> </w:t>
      </w:r>
      <w:r w:rsidR="00A57B1D" w:rsidRPr="00C22738">
        <w:rPr>
          <w:rFonts w:ascii="Verdana" w:hAnsi="Verdana"/>
          <w:sz w:val="18"/>
          <w:szCs w:val="18"/>
        </w:rPr>
        <w:t xml:space="preserve">8 March 2023, </w:t>
      </w:r>
      <w:r w:rsidRPr="00C22738">
        <w:rPr>
          <w:rFonts w:ascii="Verdana" w:hAnsi="Verdana"/>
          <w:sz w:val="18"/>
          <w:szCs w:val="18"/>
        </w:rPr>
        <w:t>Principle 18</w:t>
      </w:r>
      <w:r w:rsidR="00A57B1D" w:rsidRPr="00C22738">
        <w:rPr>
          <w:rFonts w:ascii="Verdana" w:hAnsi="Verdana"/>
          <w:sz w:val="18"/>
          <w:szCs w:val="18"/>
        </w:rPr>
        <w:t xml:space="preserve">, available at: </w:t>
      </w:r>
      <w:hyperlink r:id="rId3" w:history="1">
        <w:r w:rsidR="00A57B1D" w:rsidRPr="00C22738">
          <w:rPr>
            <w:rStyle w:val="Hyperlink"/>
            <w:rFonts w:ascii="Verdana" w:hAnsi="Verdana"/>
            <w:sz w:val="18"/>
            <w:szCs w:val="18"/>
          </w:rPr>
          <w:t>https://www.icj.org/wp-content/uploads/2023/03/8-March-Principles-Report_final_print-version.pdf</w:t>
        </w:r>
      </w:hyperlink>
      <w:r w:rsidR="00A57B1D" w:rsidRPr="00C22738">
        <w:rPr>
          <w:rFonts w:ascii="Verdana" w:hAnsi="Verdana"/>
          <w:sz w:val="18"/>
          <w:szCs w:val="18"/>
        </w:rPr>
        <w:t xml:space="preserve"> </w:t>
      </w:r>
      <w:r w:rsidR="00F24EDC" w:rsidRPr="00C22738">
        <w:rPr>
          <w:rFonts w:ascii="Verdana" w:hAnsi="Verdana"/>
          <w:sz w:val="18"/>
          <w:szCs w:val="18"/>
        </w:rPr>
        <w:t>(‘8 March Principles’)</w:t>
      </w:r>
    </w:p>
  </w:footnote>
  <w:footnote w:id="13">
    <w:p w14:paraId="5DA9EEBC" w14:textId="7A9FCEBD" w:rsidR="006560E6" w:rsidRPr="00C22738" w:rsidRDefault="006560E6"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w:t>
      </w:r>
      <w:r w:rsidR="00BE6E80" w:rsidRPr="00C22738">
        <w:rPr>
          <w:rFonts w:ascii="Verdana" w:hAnsi="Verdana"/>
          <w:sz w:val="18"/>
          <w:szCs w:val="18"/>
        </w:rPr>
        <w:t>The Committee affir</w:t>
      </w:r>
      <w:r w:rsidR="00F40C98" w:rsidRPr="00C22738">
        <w:rPr>
          <w:rFonts w:ascii="Verdana" w:hAnsi="Verdana"/>
          <w:sz w:val="18"/>
          <w:szCs w:val="18"/>
        </w:rPr>
        <w:t>m</w:t>
      </w:r>
      <w:r w:rsidR="00BE6E80" w:rsidRPr="00C22738">
        <w:rPr>
          <w:rFonts w:ascii="Verdana" w:hAnsi="Verdana"/>
          <w:sz w:val="18"/>
          <w:szCs w:val="18"/>
        </w:rPr>
        <w:t xml:space="preserve">ed that “States…should take into account the need to balance protection and evolving </w:t>
      </w:r>
      <w:proofErr w:type="gramStart"/>
      <w:r w:rsidR="00BE6E80" w:rsidRPr="00C22738">
        <w:rPr>
          <w:rFonts w:ascii="Verdana" w:hAnsi="Verdana"/>
          <w:sz w:val="18"/>
          <w:szCs w:val="18"/>
        </w:rPr>
        <w:t>capacities, and</w:t>
      </w:r>
      <w:proofErr w:type="gramEnd"/>
      <w:r w:rsidR="00BE6E80" w:rsidRPr="00C22738">
        <w:rPr>
          <w:rFonts w:ascii="Verdana" w:hAnsi="Verdana"/>
          <w:sz w:val="18"/>
          <w:szCs w:val="18"/>
        </w:rPr>
        <w:t xml:space="preserve"> define an acceptable minimum age when determining the legal age for sexual consent.  States should avoid criminalizing adolescents of similar ages for factually consensual and non-exploitative sexual activity.” See: </w:t>
      </w:r>
      <w:r w:rsidR="00F17169" w:rsidRPr="00C22738">
        <w:rPr>
          <w:rFonts w:ascii="Verdana" w:hAnsi="Verdana"/>
          <w:sz w:val="18"/>
          <w:szCs w:val="18"/>
        </w:rPr>
        <w:t>Committee on the Rights of the Child, ‘General comment No. 20 (2016) on the implementation of the rights of the child during adolescence,’ CRC/C/GC/20, 6 December 2016, para 40</w:t>
      </w:r>
      <w:r w:rsidR="00BE6E80" w:rsidRPr="00C22738">
        <w:rPr>
          <w:rFonts w:ascii="Verdana" w:hAnsi="Verdana"/>
          <w:sz w:val="18"/>
          <w:szCs w:val="18"/>
        </w:rPr>
        <w:t>.</w:t>
      </w:r>
    </w:p>
  </w:footnote>
  <w:footnote w:id="14">
    <w:p w14:paraId="3259CB2B" w14:textId="1B23EA72" w:rsidR="00175A2B" w:rsidRPr="00C22738" w:rsidRDefault="00175A2B"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Article 260 criminalizes individuals engaging in prostitution.</w:t>
      </w:r>
    </w:p>
  </w:footnote>
  <w:footnote w:id="15">
    <w:p w14:paraId="3F4E6944" w14:textId="71B9CF40" w:rsidR="00BF004E" w:rsidRPr="00C22738" w:rsidRDefault="00BF004E"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Article 247 of the Penal Code criminalizes “a married person having a sexual relationship with a third person,” as well as the partner in the adultery, and attempts to commit this offence.</w:t>
      </w:r>
      <w:r w:rsidR="00175A2B" w:rsidRPr="00C22738">
        <w:rPr>
          <w:rFonts w:ascii="Verdana" w:hAnsi="Verdana"/>
          <w:sz w:val="18"/>
          <w:szCs w:val="18"/>
        </w:rPr>
        <w:t xml:space="preserve"> In this regard, the 8 March Principles, among other things, emphasize that consensual sexual conduct, irrespective of the marital status of the people involved, may not be criminalized in any circumstances. See, Principle 16, which, among other things states “[c]</w:t>
      </w:r>
      <w:proofErr w:type="spellStart"/>
      <w:r w:rsidR="00175A2B" w:rsidRPr="00C22738">
        <w:rPr>
          <w:rFonts w:ascii="Verdana" w:hAnsi="Verdana"/>
          <w:sz w:val="18"/>
          <w:szCs w:val="18"/>
        </w:rPr>
        <w:t>onsensual</w:t>
      </w:r>
      <w:proofErr w:type="spellEnd"/>
      <w:r w:rsidR="00175A2B" w:rsidRPr="00C22738">
        <w:rPr>
          <w:rFonts w:ascii="Verdana" w:hAnsi="Verdana"/>
          <w:sz w:val="18"/>
          <w:szCs w:val="18"/>
        </w:rPr>
        <w:t xml:space="preserve"> sexual conduct, irrespective of the type of sexual activity, the sex/ gender, sexual orientation, gender identity or gender expression of the people involved or their marital status, may not be criminalized in any circumstances. Consensual same-sex, as well as consensual different-sex sexual relations, or consensual sexual relations with or between trans, non-binary and other gender-diverse people, or outside marriage – whether pre-marital or extramarital – may, therefore, never be criminalized.”</w:t>
      </w:r>
    </w:p>
  </w:footnote>
  <w:footnote w:id="16">
    <w:p w14:paraId="5609CCF6" w14:textId="347F9291" w:rsidR="00E70891" w:rsidRPr="00C22738" w:rsidRDefault="00E70891"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w:t>
      </w:r>
      <w:r w:rsidR="007D6715" w:rsidRPr="00C22738">
        <w:rPr>
          <w:rFonts w:ascii="Verdana" w:hAnsi="Verdana"/>
          <w:sz w:val="18"/>
          <w:szCs w:val="18"/>
        </w:rPr>
        <w:t xml:space="preserve">Article 267 of the Penal Code criminalizes any person </w:t>
      </w:r>
      <w:r w:rsidR="00091E1F" w:rsidRPr="00C22738">
        <w:rPr>
          <w:rFonts w:ascii="Verdana" w:hAnsi="Verdana"/>
          <w:sz w:val="18"/>
          <w:szCs w:val="18"/>
        </w:rPr>
        <w:t>“</w:t>
      </w:r>
      <w:r w:rsidR="007D6715" w:rsidRPr="00C22738">
        <w:rPr>
          <w:rFonts w:ascii="Verdana" w:hAnsi="Verdana"/>
          <w:sz w:val="18"/>
          <w:szCs w:val="18"/>
        </w:rPr>
        <w:t>engaging in the widespread production […] distribution, or dissemination of pornographic items, magazines, pictures, video cassettes, and other materials contrary to fine traditions.</w:t>
      </w:r>
      <w:r w:rsidR="00091E1F" w:rsidRPr="00C22738">
        <w:rPr>
          <w:rFonts w:ascii="Verdana" w:hAnsi="Verdana"/>
          <w:sz w:val="18"/>
          <w:szCs w:val="18"/>
        </w:rPr>
        <w:t>”</w:t>
      </w:r>
      <w:r w:rsidR="007D6715" w:rsidRPr="00C22738">
        <w:rPr>
          <w:rFonts w:ascii="Verdana" w:hAnsi="Verdana"/>
          <w:sz w:val="18"/>
          <w:szCs w:val="18"/>
        </w:rPr>
        <w:t xml:space="preserve"> Articles 14 and 62 of the Law on Prevention and Combating Cyber Crime No. 61/NA/2015 criminalize the dissemination of pornography, including offenses related to selling, buying, distributing, transferring, introducing, and disseminating pornography. Both provisions are overly broad and contrary to the principle of legality, as well as potentially conflicting with the harm principle, given that </w:t>
      </w:r>
      <w:r w:rsidR="00C13BA4" w:rsidRPr="00C22738">
        <w:rPr>
          <w:rFonts w:ascii="Verdana" w:hAnsi="Verdana"/>
          <w:sz w:val="18"/>
          <w:szCs w:val="18"/>
        </w:rPr>
        <w:t>“</w:t>
      </w:r>
      <w:r w:rsidR="007D6715" w:rsidRPr="00C22738">
        <w:rPr>
          <w:rFonts w:ascii="Verdana" w:hAnsi="Verdana"/>
          <w:sz w:val="18"/>
          <w:szCs w:val="18"/>
        </w:rPr>
        <w:t>fine traditions</w:t>
      </w:r>
      <w:r w:rsidR="00C13BA4" w:rsidRPr="00C22738">
        <w:rPr>
          <w:rFonts w:ascii="Verdana" w:hAnsi="Verdana"/>
          <w:sz w:val="18"/>
          <w:szCs w:val="18"/>
        </w:rPr>
        <w:t>”</w:t>
      </w:r>
      <w:r w:rsidR="007D6715" w:rsidRPr="00C22738">
        <w:rPr>
          <w:rFonts w:ascii="Verdana" w:hAnsi="Verdana"/>
          <w:sz w:val="18"/>
          <w:szCs w:val="18"/>
        </w:rPr>
        <w:t xml:space="preserve"> are not narrowly defined.</w:t>
      </w:r>
    </w:p>
  </w:footnote>
  <w:footnote w:id="17">
    <w:p w14:paraId="44FCD0FC" w14:textId="33067D44" w:rsidR="00175A2B" w:rsidRPr="00C22738" w:rsidRDefault="00175A2B"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Article 266 criminalizes a female or male person who willingly commits a sexual act with a monk, novice, nun, or hermit, and vice versa.</w:t>
      </w:r>
    </w:p>
  </w:footnote>
  <w:footnote w:id="18">
    <w:p w14:paraId="121B1629" w14:textId="7434ACA0" w:rsidR="00F24EDC" w:rsidRPr="00C22738" w:rsidRDefault="00F24EDC"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w:t>
      </w:r>
      <w:r w:rsidR="005B1C4C" w:rsidRPr="00C22738">
        <w:rPr>
          <w:rFonts w:ascii="Verdana" w:hAnsi="Verdana"/>
          <w:sz w:val="18"/>
          <w:szCs w:val="18"/>
        </w:rPr>
        <w:t xml:space="preserve">CEDAW’s GR No. </w:t>
      </w:r>
      <w:r w:rsidRPr="00C22738">
        <w:rPr>
          <w:rFonts w:ascii="Verdana" w:hAnsi="Verdana"/>
          <w:sz w:val="18"/>
          <w:szCs w:val="18"/>
        </w:rPr>
        <w:t>35, para 29 c(</w:t>
      </w:r>
      <w:proofErr w:type="spellStart"/>
      <w:r w:rsidRPr="00C22738">
        <w:rPr>
          <w:rFonts w:ascii="Verdana" w:hAnsi="Verdana"/>
          <w:sz w:val="18"/>
          <w:szCs w:val="18"/>
        </w:rPr>
        <w:t>i</w:t>
      </w:r>
      <w:proofErr w:type="spellEnd"/>
      <w:r w:rsidRPr="00C22738">
        <w:rPr>
          <w:rFonts w:ascii="Verdana" w:hAnsi="Verdana"/>
          <w:sz w:val="18"/>
          <w:szCs w:val="18"/>
        </w:rPr>
        <w:t>)</w:t>
      </w:r>
      <w:r w:rsidR="00C13BA4" w:rsidRPr="00C22738">
        <w:rPr>
          <w:rFonts w:ascii="Verdana" w:hAnsi="Verdana"/>
          <w:sz w:val="18"/>
          <w:szCs w:val="18"/>
        </w:rPr>
        <w:t>; and</w:t>
      </w:r>
      <w:r w:rsidRPr="00C22738">
        <w:rPr>
          <w:rFonts w:ascii="Verdana" w:hAnsi="Verdana"/>
          <w:sz w:val="18"/>
          <w:szCs w:val="18"/>
        </w:rPr>
        <w:t xml:space="preserve"> See also 8 March Principles, Principle 16.</w:t>
      </w:r>
    </w:p>
  </w:footnote>
  <w:footnote w:id="19">
    <w:p w14:paraId="167F454C" w14:textId="7AB85BFD" w:rsidR="00A544D6" w:rsidRPr="00C22738" w:rsidRDefault="00A544D6"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w:t>
      </w:r>
      <w:r w:rsidR="00B33416" w:rsidRPr="00C22738">
        <w:rPr>
          <w:rFonts w:ascii="Verdana" w:hAnsi="Verdana"/>
          <w:sz w:val="18"/>
          <w:szCs w:val="18"/>
        </w:rPr>
        <w:t>CEDAW, ‘General recommendation No. 33 on women’s access to justice’, CEDAW/C/GC/33, 3 August 2015, p</w:t>
      </w:r>
      <w:r w:rsidRPr="00C22738">
        <w:rPr>
          <w:rFonts w:ascii="Verdana" w:hAnsi="Verdana"/>
          <w:sz w:val="18"/>
          <w:szCs w:val="18"/>
        </w:rPr>
        <w:t>ara</w:t>
      </w:r>
      <w:r w:rsidR="00B33416" w:rsidRPr="00C22738">
        <w:rPr>
          <w:rFonts w:ascii="Verdana" w:hAnsi="Verdana"/>
          <w:sz w:val="18"/>
          <w:szCs w:val="18"/>
        </w:rPr>
        <w:t>s</w:t>
      </w:r>
      <w:r w:rsidRPr="00C22738">
        <w:rPr>
          <w:rFonts w:ascii="Verdana" w:hAnsi="Verdana"/>
          <w:sz w:val="18"/>
          <w:szCs w:val="18"/>
        </w:rPr>
        <w:t xml:space="preserve"> 9 and 10</w:t>
      </w:r>
      <w:r w:rsidR="00B33416" w:rsidRPr="00C22738">
        <w:rPr>
          <w:rFonts w:ascii="Verdana" w:hAnsi="Verdana"/>
          <w:sz w:val="18"/>
          <w:szCs w:val="18"/>
        </w:rPr>
        <w:t xml:space="preserve"> (</w:t>
      </w:r>
      <w:r w:rsidR="00C13BA4" w:rsidRPr="00C22738">
        <w:rPr>
          <w:rFonts w:ascii="Verdana" w:hAnsi="Verdana"/>
          <w:sz w:val="18"/>
          <w:szCs w:val="18"/>
        </w:rPr>
        <w:t>‘</w:t>
      </w:r>
      <w:r w:rsidR="005B1C4C" w:rsidRPr="00C22738">
        <w:rPr>
          <w:rFonts w:ascii="Verdana" w:hAnsi="Verdana"/>
          <w:sz w:val="18"/>
          <w:szCs w:val="18"/>
        </w:rPr>
        <w:t>CEDAW’s GR No. 33</w:t>
      </w:r>
      <w:r w:rsidR="00C13BA4" w:rsidRPr="00C22738">
        <w:rPr>
          <w:rFonts w:ascii="Verdana" w:hAnsi="Verdana"/>
          <w:sz w:val="18"/>
          <w:szCs w:val="18"/>
        </w:rPr>
        <w:t>’</w:t>
      </w:r>
      <w:r w:rsidR="00B33416" w:rsidRPr="00C22738">
        <w:rPr>
          <w:rFonts w:ascii="Verdana" w:hAnsi="Verdana"/>
          <w:sz w:val="18"/>
          <w:szCs w:val="18"/>
        </w:rPr>
        <w:t>)</w:t>
      </w:r>
      <w:r w:rsidRPr="00C22738">
        <w:rPr>
          <w:rFonts w:ascii="Verdana" w:hAnsi="Verdana"/>
          <w:sz w:val="18"/>
          <w:szCs w:val="18"/>
        </w:rPr>
        <w:t>.</w:t>
      </w:r>
    </w:p>
  </w:footnote>
  <w:footnote w:id="20">
    <w:p w14:paraId="78201657" w14:textId="367B8E51" w:rsidR="004435F5" w:rsidRPr="00C22738" w:rsidRDefault="004435F5"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including performing an abortion on another person, a woman performing an abortion on herself, unlawfully recruiting someone to perform such an operation, and attempts to commit these offenses.</w:t>
      </w:r>
    </w:p>
  </w:footnote>
  <w:footnote w:id="21">
    <w:p w14:paraId="795FCFC7" w14:textId="5885DC61" w:rsidR="00E878B0" w:rsidRPr="00C22738" w:rsidRDefault="00E878B0"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w:t>
      </w:r>
      <w:r w:rsidR="009C489C" w:rsidRPr="00C22738">
        <w:rPr>
          <w:rFonts w:ascii="Verdana" w:hAnsi="Verdana"/>
          <w:sz w:val="18"/>
          <w:szCs w:val="18"/>
        </w:rPr>
        <w:t>Ministry of Health Lao PDR (MoH)</w:t>
      </w:r>
      <w:r w:rsidR="00C13BA4" w:rsidRPr="00C22738">
        <w:rPr>
          <w:rFonts w:ascii="Verdana" w:hAnsi="Verdana"/>
          <w:sz w:val="18"/>
          <w:szCs w:val="18"/>
        </w:rPr>
        <w:t>,</w:t>
      </w:r>
      <w:r w:rsidR="009C489C" w:rsidRPr="00C22738">
        <w:rPr>
          <w:rFonts w:ascii="Verdana" w:hAnsi="Verdana"/>
          <w:sz w:val="18"/>
          <w:szCs w:val="18"/>
        </w:rPr>
        <w:t xml:space="preserve"> “</w:t>
      </w:r>
      <w:r w:rsidR="009C489C" w:rsidRPr="00C22738">
        <w:rPr>
          <w:rFonts w:ascii="Verdana" w:hAnsi="Verdana" w:cs="DokChampa"/>
          <w:sz w:val="18"/>
          <w:szCs w:val="18"/>
          <w:cs/>
          <w:lang w:bidi="lo-LA"/>
        </w:rPr>
        <w:t>ຂໍ້ຕົກລົງວ່າດ້ວຍການຄຸ້ມຄອງ ການໃຫ້ຖືພາແທນ ແລະການໃຫ້ຫລຸລູກ</w:t>
      </w:r>
      <w:r w:rsidR="009C489C" w:rsidRPr="00C22738">
        <w:rPr>
          <w:rFonts w:ascii="Verdana" w:hAnsi="Verdana" w:cs="DokChampa"/>
          <w:sz w:val="18"/>
          <w:szCs w:val="18"/>
          <w:lang w:bidi="lo-LA"/>
        </w:rPr>
        <w:t xml:space="preserve"> </w:t>
      </w:r>
      <w:r w:rsidR="00C13BA4" w:rsidRPr="00C22738">
        <w:rPr>
          <w:rFonts w:ascii="Verdana" w:hAnsi="Verdana" w:cs="DokChampa"/>
          <w:sz w:val="18"/>
          <w:szCs w:val="18"/>
          <w:lang w:bidi="lo-LA"/>
        </w:rPr>
        <w:t>(</w:t>
      </w:r>
      <w:r w:rsidR="009C489C" w:rsidRPr="00C22738">
        <w:rPr>
          <w:rFonts w:ascii="Verdana" w:hAnsi="Verdana"/>
          <w:sz w:val="18"/>
          <w:szCs w:val="18"/>
        </w:rPr>
        <w:t>Health Minister Approvals on the Governance of Surrogacy and Abortion</w:t>
      </w:r>
      <w:r w:rsidR="00C13BA4" w:rsidRPr="00C22738">
        <w:rPr>
          <w:rFonts w:ascii="Verdana" w:hAnsi="Verdana"/>
          <w:sz w:val="18"/>
          <w:szCs w:val="18"/>
        </w:rPr>
        <w:t>),</w:t>
      </w:r>
      <w:r w:rsidR="00401A58" w:rsidRPr="00C22738">
        <w:rPr>
          <w:rFonts w:ascii="Verdana" w:hAnsi="Verdana"/>
          <w:sz w:val="18"/>
          <w:szCs w:val="18"/>
        </w:rPr>
        <w:t>’</w:t>
      </w:r>
      <w:r w:rsidR="009C489C" w:rsidRPr="00C22738">
        <w:rPr>
          <w:rFonts w:ascii="Verdana" w:hAnsi="Verdana"/>
          <w:sz w:val="18"/>
          <w:szCs w:val="18"/>
        </w:rPr>
        <w:t xml:space="preserve"> 8 July 2021</w:t>
      </w:r>
      <w:r w:rsidR="007432C8" w:rsidRPr="00C22738">
        <w:rPr>
          <w:rFonts w:ascii="Verdana" w:hAnsi="Verdana"/>
          <w:sz w:val="18"/>
          <w:szCs w:val="18"/>
        </w:rPr>
        <w:t xml:space="preserve">; and </w:t>
      </w:r>
      <w:r w:rsidR="00034744" w:rsidRPr="00C22738">
        <w:rPr>
          <w:rFonts w:ascii="Verdana" w:hAnsi="Verdana"/>
          <w:sz w:val="18"/>
          <w:szCs w:val="18"/>
        </w:rPr>
        <w:t xml:space="preserve">Laotian Times, ‘Authorities Draft New Legislation on Surrogacy and Abortion in Laos,’ 21 July 2021, </w:t>
      </w:r>
      <w:r w:rsidR="00401A58" w:rsidRPr="00C22738">
        <w:rPr>
          <w:rFonts w:ascii="Verdana" w:hAnsi="Verdana"/>
          <w:sz w:val="18"/>
          <w:szCs w:val="18"/>
        </w:rPr>
        <w:t>available</w:t>
      </w:r>
      <w:r w:rsidR="00034744" w:rsidRPr="00C22738">
        <w:rPr>
          <w:rFonts w:ascii="Verdana" w:hAnsi="Verdana"/>
          <w:sz w:val="18"/>
          <w:szCs w:val="18"/>
        </w:rPr>
        <w:t xml:space="preserve"> at: </w:t>
      </w:r>
      <w:hyperlink r:id="rId4" w:history="1">
        <w:r w:rsidR="0055520E" w:rsidRPr="00C22738">
          <w:rPr>
            <w:rStyle w:val="Hyperlink"/>
            <w:rFonts w:ascii="Verdana" w:hAnsi="Verdana"/>
            <w:sz w:val="18"/>
            <w:szCs w:val="18"/>
          </w:rPr>
          <w:t>https://laotiantimes.com/2021/07/21/authorities-draft-new-legislation-on-surrogacy-and-abortion-in-laos/</w:t>
        </w:r>
      </w:hyperlink>
      <w:r w:rsidR="0055520E" w:rsidRPr="00C22738">
        <w:rPr>
          <w:rFonts w:ascii="Verdana" w:hAnsi="Verdana"/>
          <w:sz w:val="18"/>
          <w:szCs w:val="18"/>
        </w:rPr>
        <w:t xml:space="preserve"> </w:t>
      </w:r>
    </w:p>
  </w:footnote>
  <w:footnote w:id="22">
    <w:p w14:paraId="12F05B34" w14:textId="7E90948B" w:rsidR="00C10BDD" w:rsidRPr="00C22738" w:rsidRDefault="00C10BDD"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8 March Principles</w:t>
      </w:r>
      <w:r w:rsidR="00D2532E" w:rsidRPr="00C22738">
        <w:rPr>
          <w:rFonts w:ascii="Verdana" w:hAnsi="Verdana"/>
          <w:sz w:val="18"/>
          <w:szCs w:val="18"/>
        </w:rPr>
        <w:t>, Principle 15</w:t>
      </w:r>
      <w:r w:rsidR="00401A58" w:rsidRPr="00C22738">
        <w:rPr>
          <w:rFonts w:ascii="Verdana" w:hAnsi="Verdana"/>
          <w:sz w:val="18"/>
          <w:szCs w:val="18"/>
        </w:rPr>
        <w:t>.</w:t>
      </w:r>
    </w:p>
  </w:footnote>
  <w:footnote w:id="23">
    <w:p w14:paraId="2DBA3159" w14:textId="0B9FA092" w:rsidR="00513BA2" w:rsidRPr="00C22738" w:rsidRDefault="00513BA2"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List of Issues, para 2</w:t>
      </w:r>
      <w:r w:rsidR="00401A58" w:rsidRPr="00C22738">
        <w:rPr>
          <w:rFonts w:ascii="Verdana" w:hAnsi="Verdana"/>
          <w:sz w:val="18"/>
          <w:szCs w:val="18"/>
        </w:rPr>
        <w:t>.</w:t>
      </w:r>
    </w:p>
  </w:footnote>
  <w:footnote w:id="24">
    <w:p w14:paraId="458E9C93" w14:textId="77777777" w:rsidR="00830493" w:rsidRPr="00C22738" w:rsidRDefault="00830493"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Constitution of the Lao PDR No. 63/NA/2015, 8 December 2015, available at: </w:t>
      </w:r>
      <w:hyperlink r:id="rId5" w:history="1">
        <w:r w:rsidRPr="00C22738">
          <w:rPr>
            <w:rStyle w:val="Hyperlink"/>
            <w:rFonts w:ascii="Verdana" w:hAnsi="Verdana"/>
            <w:sz w:val="18"/>
            <w:szCs w:val="18"/>
          </w:rPr>
          <w:t>https://www.parliament.go.th/ewtadmin/ewt/ac/ewt_dl_link.php?nid=119&amp;filename=parsystem2</w:t>
        </w:r>
      </w:hyperlink>
      <w:r w:rsidRPr="00C22738">
        <w:rPr>
          <w:rStyle w:val="Hyperlink"/>
          <w:rFonts w:ascii="Verdana" w:hAnsi="Verdana"/>
          <w:sz w:val="18"/>
          <w:szCs w:val="18"/>
        </w:rPr>
        <w:t xml:space="preserve"> </w:t>
      </w:r>
      <w:r w:rsidRPr="00C22738">
        <w:rPr>
          <w:rFonts w:ascii="Verdana" w:hAnsi="Verdana"/>
          <w:sz w:val="18"/>
          <w:szCs w:val="18"/>
        </w:rPr>
        <w:t>Article 8 of the Constitution provides that “The State pursues the policy of promoting unity and equality among all ethnic groups. … All acts creating division and discrimination among ethnic groups are prohibited.”</w:t>
      </w:r>
    </w:p>
  </w:footnote>
  <w:footnote w:id="25">
    <w:p w14:paraId="5C526391" w14:textId="77777777" w:rsidR="001879F7" w:rsidRPr="00C22738" w:rsidRDefault="001879F7"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Article 35 of the Constitution provides that “Lao citizens are all equal before the law irrespective of their gender, social status, education, beliefs and ethnic group.” Article 37 states that “Citizens of both genders enjoy equal rights in the political, economic, cultural and social fields and in family affairs”.</w:t>
      </w:r>
    </w:p>
  </w:footnote>
  <w:footnote w:id="26">
    <w:p w14:paraId="7D1B8AD7" w14:textId="07ABC580" w:rsidR="001E33BF" w:rsidRPr="00C22738" w:rsidRDefault="001E33BF"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On the other hand, the Penal Code also criminalizes discrimination against persons with disabilities, children, and ethnic minorities under Articles 225, 226, and 227, respectively.</w:t>
      </w:r>
    </w:p>
  </w:footnote>
  <w:footnote w:id="27">
    <w:p w14:paraId="6BC5EE8C" w14:textId="63D3BEA4" w:rsidR="00B64FDA" w:rsidRPr="00C22738" w:rsidRDefault="00B64FDA"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These include the Lao PDR’s due diligence obligation to prevent, investigate, prosecute, punish, and provide reparations for acts or omissions by non-State actors that result in GBV against women.</w:t>
      </w:r>
    </w:p>
  </w:footnote>
  <w:footnote w:id="28">
    <w:p w14:paraId="11967E59" w14:textId="34677C2F" w:rsidR="006C62A3" w:rsidRPr="00C22738" w:rsidRDefault="006C62A3"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w:t>
      </w:r>
      <w:r w:rsidR="00B764E5" w:rsidRPr="00C22738">
        <w:rPr>
          <w:rFonts w:ascii="Verdana" w:hAnsi="Verdana"/>
          <w:sz w:val="18"/>
          <w:szCs w:val="18"/>
        </w:rPr>
        <w:t xml:space="preserve">CEDAW, </w:t>
      </w:r>
      <w:r w:rsidR="00B7766B" w:rsidRPr="00C22738">
        <w:rPr>
          <w:rFonts w:ascii="Verdana" w:hAnsi="Verdana"/>
          <w:sz w:val="18"/>
          <w:szCs w:val="18"/>
        </w:rPr>
        <w:t xml:space="preserve">‘Concluding observations on the combined eighth and ninth periodic reports of the Lao People’s Democratic Republic,’ CEDAW/C/LAO/CO/8-9, 14 November 2018, paras. </w:t>
      </w:r>
      <w:r w:rsidR="00463267" w:rsidRPr="00C22738">
        <w:rPr>
          <w:rFonts w:ascii="Verdana" w:hAnsi="Verdana"/>
          <w:sz w:val="18"/>
          <w:szCs w:val="18"/>
        </w:rPr>
        <w:t>25-26</w:t>
      </w:r>
      <w:r w:rsidR="006116E1" w:rsidRPr="00C22738">
        <w:rPr>
          <w:rFonts w:ascii="Verdana" w:hAnsi="Verdana"/>
          <w:sz w:val="18"/>
          <w:szCs w:val="18"/>
        </w:rPr>
        <w:t xml:space="preserve"> (</w:t>
      </w:r>
      <w:r w:rsidR="00C85FDD" w:rsidRPr="00C22738">
        <w:rPr>
          <w:rFonts w:ascii="Verdana" w:hAnsi="Verdana"/>
          <w:sz w:val="18"/>
          <w:szCs w:val="18"/>
        </w:rPr>
        <w:t>‘2018 Concluding Observations’</w:t>
      </w:r>
      <w:r w:rsidR="006116E1" w:rsidRPr="00C22738">
        <w:rPr>
          <w:rFonts w:ascii="Verdana" w:hAnsi="Verdana"/>
          <w:sz w:val="18"/>
          <w:szCs w:val="18"/>
        </w:rPr>
        <w:t>)</w:t>
      </w:r>
      <w:r w:rsidR="00463267" w:rsidRPr="00C22738">
        <w:rPr>
          <w:rFonts w:ascii="Verdana" w:hAnsi="Verdana"/>
          <w:sz w:val="18"/>
          <w:szCs w:val="18"/>
        </w:rPr>
        <w:t>.</w:t>
      </w:r>
    </w:p>
  </w:footnote>
  <w:footnote w:id="29">
    <w:p w14:paraId="2644C04C" w14:textId="24EAF00F" w:rsidR="005375FA" w:rsidRPr="00C22738" w:rsidRDefault="005375FA"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w:t>
      </w:r>
      <w:r w:rsidR="00B97C6D" w:rsidRPr="00C22738">
        <w:rPr>
          <w:rFonts w:ascii="Verdana" w:hAnsi="Verdana"/>
          <w:sz w:val="18"/>
          <w:szCs w:val="18"/>
        </w:rPr>
        <w:t>List of Issues, para 10</w:t>
      </w:r>
      <w:r w:rsidR="00212C13" w:rsidRPr="00C22738">
        <w:rPr>
          <w:rFonts w:ascii="Verdana" w:hAnsi="Verdana"/>
          <w:sz w:val="18"/>
          <w:szCs w:val="18"/>
        </w:rPr>
        <w:t>. These include inadequate safeguards ensuring that GBV victims/survivors have a real choice between mediation and formal complaint mechanisms, and insufficient sensitization efforts targeting village authorities who have an attitude that women should endure violence to keep the family together.</w:t>
      </w:r>
    </w:p>
  </w:footnote>
  <w:footnote w:id="30">
    <w:p w14:paraId="31D0BDF4" w14:textId="059E3CEA" w:rsidR="00CF3110" w:rsidRPr="00C22738" w:rsidRDefault="00CF3110"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Article 76 of the LPVWC provides that “An individual, legal entity or organization that has committed violence against women or children within the family, their staff member, employee or other people, that does not cause much </w:t>
      </w:r>
      <w:proofErr w:type="gramStart"/>
      <w:r w:rsidRPr="00C22738">
        <w:rPr>
          <w:rFonts w:ascii="Verdana" w:hAnsi="Verdana"/>
          <w:sz w:val="18"/>
          <w:szCs w:val="18"/>
        </w:rPr>
        <w:t>harm</w:t>
      </w:r>
      <w:proofErr w:type="gramEnd"/>
      <w:r w:rsidRPr="00C22738">
        <w:rPr>
          <w:rFonts w:ascii="Verdana" w:hAnsi="Verdana"/>
          <w:sz w:val="18"/>
          <w:szCs w:val="18"/>
        </w:rPr>
        <w:t xml:space="preserve"> and it is the first time, shall be warned and re-educated with </w:t>
      </w:r>
      <w:r w:rsidR="00DB1AE4" w:rsidRPr="00C22738">
        <w:rPr>
          <w:rFonts w:ascii="Verdana" w:hAnsi="Verdana"/>
          <w:sz w:val="18"/>
          <w:szCs w:val="18"/>
        </w:rPr>
        <w:t xml:space="preserve">the </w:t>
      </w:r>
      <w:r w:rsidRPr="00C22738">
        <w:rPr>
          <w:rFonts w:ascii="Verdana" w:hAnsi="Verdana"/>
          <w:sz w:val="18"/>
          <w:szCs w:val="18"/>
        </w:rPr>
        <w:t>record.”</w:t>
      </w:r>
    </w:p>
  </w:footnote>
  <w:footnote w:id="31">
    <w:p w14:paraId="2029A979" w14:textId="47DB14B3" w:rsidR="00E77416" w:rsidRPr="00C22738" w:rsidRDefault="00E77416"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CEDAW’s GR No. 33, para. 57(c).</w:t>
      </w:r>
      <w:r w:rsidR="00E97B82" w:rsidRPr="00C22738">
        <w:rPr>
          <w:rFonts w:ascii="Verdana" w:hAnsi="Verdana"/>
          <w:sz w:val="18"/>
          <w:szCs w:val="18"/>
        </w:rPr>
        <w:t xml:space="preserve"> In addition, CEDAW’s General Recommendation No. 35 discourages mandatory referrals of GBV cases to alternative dispute resolution. See: CEDAW’s CR No. 35, para 32(b).</w:t>
      </w:r>
    </w:p>
  </w:footnote>
  <w:footnote w:id="32">
    <w:p w14:paraId="0CA4A09D" w14:textId="7AF8D86A" w:rsidR="00F15B48" w:rsidRPr="00C22738" w:rsidRDefault="00F15B48"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See also</w:t>
      </w:r>
      <w:r w:rsidR="00DB1AE4" w:rsidRPr="00C22738">
        <w:rPr>
          <w:rFonts w:ascii="Verdana" w:hAnsi="Verdana"/>
          <w:sz w:val="18"/>
          <w:szCs w:val="18"/>
        </w:rPr>
        <w:t>,</w:t>
      </w:r>
      <w:r w:rsidRPr="00C22738">
        <w:rPr>
          <w:rFonts w:ascii="Verdana" w:hAnsi="Verdana"/>
          <w:sz w:val="18"/>
          <w:szCs w:val="18"/>
        </w:rPr>
        <w:t xml:space="preserve"> the List of Issues, para 10(c).</w:t>
      </w:r>
    </w:p>
  </w:footnote>
  <w:footnote w:id="33">
    <w:p w14:paraId="64C1DA27" w14:textId="7EE913C9" w:rsidR="00F15B48" w:rsidRPr="00C22738" w:rsidRDefault="00F15B48"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Articles 47- 50, LPVWC</w:t>
      </w:r>
      <w:r w:rsidR="00DB1AE4" w:rsidRPr="00C22738">
        <w:rPr>
          <w:rFonts w:ascii="Verdana" w:hAnsi="Verdana"/>
          <w:sz w:val="18"/>
          <w:szCs w:val="18"/>
        </w:rPr>
        <w:t>.</w:t>
      </w:r>
    </w:p>
  </w:footnote>
  <w:footnote w:id="34">
    <w:p w14:paraId="2A3344CD" w14:textId="77777777" w:rsidR="00F15B48" w:rsidRPr="00C22738" w:rsidRDefault="00F15B48"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Article 51-52, LPVWC. </w:t>
      </w:r>
    </w:p>
  </w:footnote>
  <w:footnote w:id="35">
    <w:p w14:paraId="4A96EE5D" w14:textId="7CA9AA5D" w:rsidR="00627D91" w:rsidRPr="00C22738" w:rsidRDefault="00627D91"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See also: World Bank Group, ‘GBV Institutional Mapping Report,</w:t>
      </w:r>
      <w:r w:rsidR="00DB1AE4" w:rsidRPr="00C22738">
        <w:rPr>
          <w:rFonts w:ascii="Verdana" w:hAnsi="Verdana"/>
          <w:sz w:val="18"/>
          <w:szCs w:val="18"/>
        </w:rPr>
        <w:t>’</w:t>
      </w:r>
      <w:r w:rsidRPr="00C22738">
        <w:rPr>
          <w:rFonts w:ascii="Verdana" w:hAnsi="Verdana"/>
          <w:sz w:val="18"/>
          <w:szCs w:val="18"/>
        </w:rPr>
        <w:t xml:space="preserve"> April 2020, at 13-14, 16-17, available at: </w:t>
      </w:r>
      <w:hyperlink r:id="rId6" w:history="1">
        <w:r w:rsidRPr="00C22738">
          <w:rPr>
            <w:rStyle w:val="Hyperlink"/>
            <w:rFonts w:ascii="Verdana" w:hAnsi="Verdana"/>
            <w:sz w:val="18"/>
            <w:szCs w:val="18"/>
          </w:rPr>
          <w:t>https://documents1.worldbank.org/curated/en/300891594091530233/pdf/Lao-PDR-Gender-Based-Violence-Institutional-Mapping-Report.pdf?fbclid=IwAR3yLCpqLfsLrevmDoGeVJHLkAbwtsrLU0ufbAyOgBE8-3sDE8TIJCMv7bw</w:t>
        </w:r>
      </w:hyperlink>
      <w:r w:rsidRPr="00C22738">
        <w:rPr>
          <w:rFonts w:ascii="Verdana" w:hAnsi="Verdana"/>
          <w:sz w:val="18"/>
          <w:szCs w:val="18"/>
        </w:rPr>
        <w:t xml:space="preserve"> </w:t>
      </w:r>
    </w:p>
  </w:footnote>
  <w:footnote w:id="36">
    <w:p w14:paraId="0D915A9B" w14:textId="13F9A40E" w:rsidR="00B008C6" w:rsidRPr="00C22738" w:rsidRDefault="00B008C6"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CEDAW’s </w:t>
      </w:r>
      <w:r w:rsidR="00B72A46" w:rsidRPr="00C22738">
        <w:rPr>
          <w:rFonts w:ascii="Verdana" w:hAnsi="Verdana"/>
          <w:sz w:val="18"/>
          <w:szCs w:val="18"/>
        </w:rPr>
        <w:t>G</w:t>
      </w:r>
      <w:r w:rsidRPr="00C22738">
        <w:rPr>
          <w:rFonts w:ascii="Verdana" w:hAnsi="Verdana"/>
          <w:sz w:val="18"/>
          <w:szCs w:val="18"/>
        </w:rPr>
        <w:t>R No. 35, para 32(b)</w:t>
      </w:r>
      <w:r w:rsidR="00DB1AE4" w:rsidRPr="00C22738">
        <w:rPr>
          <w:rFonts w:ascii="Verdana" w:hAnsi="Verdana"/>
          <w:sz w:val="18"/>
          <w:szCs w:val="18"/>
        </w:rPr>
        <w:t>.</w:t>
      </w:r>
    </w:p>
  </w:footnote>
  <w:footnote w:id="37">
    <w:p w14:paraId="2B9C2455" w14:textId="211392DE" w:rsidR="002C6C50" w:rsidRPr="00C22738" w:rsidRDefault="002C6C50"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Under Articles 48 and 49 of the LPVWC, re-education and compromise can be conducted by family members aiming to resolve violence within the family to "maintain family status, security, and solidarity." If unsuccessful, close relatives or village elders may intervene “to foster understanding, love, reconciliation, and to stop the use of violence.” Article 50 further assigns this responsibility to the organization to which the victim or perpetrator belongs, aiming to “maintain solidarity, reconciliation, cooperation, and to stop the use of violence.”</w:t>
      </w:r>
    </w:p>
  </w:footnote>
  <w:footnote w:id="38">
    <w:p w14:paraId="57167BF4" w14:textId="77777777" w:rsidR="00FF4CB7" w:rsidRPr="00C22738" w:rsidRDefault="00FF4CB7"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List of Issues, para 10(d)</w:t>
      </w:r>
    </w:p>
  </w:footnote>
  <w:footnote w:id="39">
    <w:p w14:paraId="1E8771C2" w14:textId="6AB723A3" w:rsidR="00B343D7" w:rsidRPr="00C22738" w:rsidRDefault="00B343D7"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CEDAW’s </w:t>
      </w:r>
      <w:r w:rsidR="00B72A46" w:rsidRPr="00C22738">
        <w:rPr>
          <w:rFonts w:ascii="Verdana" w:hAnsi="Verdana"/>
          <w:sz w:val="18"/>
          <w:szCs w:val="18"/>
        </w:rPr>
        <w:t>G</w:t>
      </w:r>
      <w:r w:rsidRPr="00C22738">
        <w:rPr>
          <w:rFonts w:ascii="Verdana" w:hAnsi="Verdana"/>
          <w:sz w:val="18"/>
          <w:szCs w:val="18"/>
        </w:rPr>
        <w:t>R No. 33, para 51(g)</w:t>
      </w:r>
    </w:p>
  </w:footnote>
  <w:footnote w:id="40">
    <w:p w14:paraId="794D7A85" w14:textId="77777777" w:rsidR="00972FF4" w:rsidRPr="00C22738" w:rsidRDefault="00972FF4"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CEDAW’s GR No. 35, para 26(c)</w:t>
      </w:r>
    </w:p>
  </w:footnote>
  <w:footnote w:id="41">
    <w:p w14:paraId="02F486F9" w14:textId="77777777" w:rsidR="001604AB" w:rsidRPr="00C22738" w:rsidRDefault="001604AB"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CEDAW’s GR No. 33, para 14-15 and 51 (c) </w:t>
      </w:r>
    </w:p>
  </w:footnote>
  <w:footnote w:id="42">
    <w:p w14:paraId="1119101C" w14:textId="77777777" w:rsidR="00D47EAF" w:rsidRPr="00C22738" w:rsidRDefault="00D47EAF"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CEDAW’s GR No. 33, para 51 (d)</w:t>
      </w:r>
    </w:p>
  </w:footnote>
  <w:footnote w:id="43">
    <w:p w14:paraId="1A2362A3" w14:textId="77777777" w:rsidR="002B52FD" w:rsidRPr="00C22738" w:rsidRDefault="002B52FD"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CEDAW’s GR No. 33, para 51 (d)</w:t>
      </w:r>
    </w:p>
  </w:footnote>
  <w:footnote w:id="44">
    <w:p w14:paraId="63185DDA" w14:textId="37054F33" w:rsidR="00B2027C" w:rsidRPr="00C22738" w:rsidRDefault="00B2027C"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For instance, Articles 29 and 30 of the LPVWC empower the police to intervene immediately to stop violence and assist the victim by interviewing, collecting data, and assessing the situation</w:t>
      </w:r>
      <w:r w:rsidR="005F1B7A" w:rsidRPr="00C22738">
        <w:rPr>
          <w:rFonts w:ascii="Verdana" w:hAnsi="Verdana"/>
          <w:sz w:val="18"/>
          <w:szCs w:val="18"/>
        </w:rPr>
        <w:t>.</w:t>
      </w:r>
      <w:r w:rsidR="003E6DB2" w:rsidRPr="00C22738">
        <w:rPr>
          <w:rFonts w:ascii="Verdana" w:hAnsi="Verdana"/>
          <w:sz w:val="18"/>
          <w:szCs w:val="18"/>
        </w:rPr>
        <w:t xml:space="preserve"> </w:t>
      </w:r>
      <w:r w:rsidRPr="00C22738">
        <w:rPr>
          <w:rFonts w:ascii="Verdana" w:hAnsi="Verdana"/>
          <w:sz w:val="18"/>
          <w:szCs w:val="18"/>
        </w:rPr>
        <w:t xml:space="preserve">Additionally, police are tasked with referring cases to the court for protection measures under Article 43, </w:t>
      </w:r>
      <w:r w:rsidR="003E6DB2" w:rsidRPr="00C22738">
        <w:rPr>
          <w:rFonts w:ascii="Verdana" w:hAnsi="Verdana"/>
          <w:sz w:val="18"/>
          <w:szCs w:val="18"/>
        </w:rPr>
        <w:t xml:space="preserve">and </w:t>
      </w:r>
      <w:r w:rsidRPr="00C22738">
        <w:rPr>
          <w:rFonts w:ascii="Verdana" w:hAnsi="Verdana"/>
          <w:sz w:val="18"/>
          <w:szCs w:val="18"/>
        </w:rPr>
        <w:t xml:space="preserve">imposing emergency protection measures when </w:t>
      </w:r>
      <w:proofErr w:type="gramStart"/>
      <w:r w:rsidRPr="00C22738">
        <w:rPr>
          <w:rFonts w:ascii="Verdana" w:hAnsi="Verdana"/>
          <w:sz w:val="18"/>
          <w:szCs w:val="18"/>
        </w:rPr>
        <w:t>necessary</w:t>
      </w:r>
      <w:proofErr w:type="gramEnd"/>
      <w:r w:rsidRPr="00C22738">
        <w:rPr>
          <w:rFonts w:ascii="Verdana" w:hAnsi="Verdana"/>
          <w:sz w:val="18"/>
          <w:szCs w:val="18"/>
        </w:rPr>
        <w:t xml:space="preserve"> under Article 44.</w:t>
      </w:r>
    </w:p>
  </w:footnote>
  <w:footnote w:id="45">
    <w:p w14:paraId="254D4EC1" w14:textId="5F5A6C62" w:rsidR="00BA44BE" w:rsidRPr="00C22738" w:rsidRDefault="00BA44BE"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CEDAW’s CR No. 33, paras 13 and 16(c)</w:t>
      </w:r>
    </w:p>
  </w:footnote>
  <w:footnote w:id="46">
    <w:p w14:paraId="7AD57434" w14:textId="133D8468" w:rsidR="00CA00AB" w:rsidRPr="00C22738" w:rsidRDefault="00CA00AB"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CEDAW’s CR No. 35, para</w:t>
      </w:r>
      <w:r w:rsidR="00DC3613" w:rsidRPr="00C22738">
        <w:rPr>
          <w:rFonts w:ascii="Verdana" w:hAnsi="Verdana"/>
          <w:sz w:val="18"/>
          <w:szCs w:val="18"/>
        </w:rPr>
        <w:t xml:space="preserve"> 33(b); and CEDAW’s CR No. 33, para</w:t>
      </w:r>
      <w:r w:rsidR="00B33925" w:rsidRPr="00C22738">
        <w:rPr>
          <w:rFonts w:ascii="Verdana" w:hAnsi="Verdana"/>
          <w:sz w:val="18"/>
          <w:szCs w:val="18"/>
        </w:rPr>
        <w:t xml:space="preserve"> 19(d).</w:t>
      </w:r>
    </w:p>
  </w:footnote>
  <w:footnote w:id="47">
    <w:p w14:paraId="7A8E74B3" w14:textId="78756B51" w:rsidR="008933E0" w:rsidRPr="00C22738" w:rsidRDefault="008933E0"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w:t>
      </w:r>
      <w:r w:rsidR="0006205B" w:rsidRPr="00C22738">
        <w:rPr>
          <w:rFonts w:ascii="Verdana" w:hAnsi="Verdana"/>
          <w:sz w:val="18"/>
          <w:szCs w:val="18"/>
        </w:rPr>
        <w:t xml:space="preserve">Lao News Agency, ‘Bokeo opens women and children’s protection shelter,’ 26 April 2023, available at: </w:t>
      </w:r>
      <w:hyperlink r:id="rId7" w:history="1">
        <w:r w:rsidR="002E626A" w:rsidRPr="00C22738">
          <w:rPr>
            <w:rStyle w:val="Hyperlink"/>
            <w:rFonts w:ascii="Verdana" w:hAnsi="Verdana"/>
            <w:sz w:val="18"/>
            <w:szCs w:val="18"/>
          </w:rPr>
          <w:t>https://kpl.gov.la/EN/detail.aspx?id=72694</w:t>
        </w:r>
      </w:hyperlink>
      <w:r w:rsidR="002E626A" w:rsidRPr="00C22738">
        <w:rPr>
          <w:rFonts w:ascii="Verdana" w:hAnsi="Verdana"/>
          <w:sz w:val="18"/>
          <w:szCs w:val="18"/>
        </w:rPr>
        <w:t xml:space="preserve"> </w:t>
      </w:r>
    </w:p>
  </w:footnote>
  <w:footnote w:id="48">
    <w:p w14:paraId="5CC3B8AB" w14:textId="77777777" w:rsidR="008933E0" w:rsidRPr="00C22738" w:rsidRDefault="008933E0" w:rsidP="00C22738">
      <w:pPr>
        <w:pStyle w:val="FootnoteText"/>
        <w:spacing w:after="120"/>
        <w:rPr>
          <w:rFonts w:ascii="Verdana" w:hAnsi="Verdana"/>
          <w:sz w:val="18"/>
          <w:szCs w:val="18"/>
        </w:rPr>
      </w:pPr>
      <w:r w:rsidRPr="00C22738">
        <w:rPr>
          <w:rStyle w:val="FootnoteReference"/>
          <w:rFonts w:ascii="Verdana" w:hAnsi="Verdana"/>
          <w:sz w:val="18"/>
          <w:szCs w:val="18"/>
        </w:rPr>
        <w:footnoteRef/>
      </w:r>
      <w:r w:rsidRPr="00C22738">
        <w:rPr>
          <w:rFonts w:ascii="Verdana" w:hAnsi="Verdana"/>
          <w:sz w:val="18"/>
          <w:szCs w:val="18"/>
        </w:rPr>
        <w:t xml:space="preserve"> CEDAW’s CR No. 33, para 16(b)</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0705F"/>
    <w:multiLevelType w:val="hybridMultilevel"/>
    <w:tmpl w:val="69D47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796656"/>
    <w:multiLevelType w:val="hybridMultilevel"/>
    <w:tmpl w:val="B87AC30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83691"/>
    <w:multiLevelType w:val="hybridMultilevel"/>
    <w:tmpl w:val="B972FE40"/>
    <w:lvl w:ilvl="0" w:tplc="FFFFFFF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5306BE"/>
    <w:multiLevelType w:val="hybridMultilevel"/>
    <w:tmpl w:val="CDB2DE64"/>
    <w:lvl w:ilvl="0" w:tplc="5F383C2A">
      <w:start w:val="5"/>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7903B4"/>
    <w:multiLevelType w:val="hybridMultilevel"/>
    <w:tmpl w:val="BE7E6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E21021"/>
    <w:multiLevelType w:val="hybridMultilevel"/>
    <w:tmpl w:val="99CA51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7BD6AA9"/>
    <w:multiLevelType w:val="hybridMultilevel"/>
    <w:tmpl w:val="8EE8DC4C"/>
    <w:lvl w:ilvl="0" w:tplc="5F383C2A">
      <w:start w:val="5"/>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967AD1"/>
    <w:multiLevelType w:val="hybridMultilevel"/>
    <w:tmpl w:val="3758B668"/>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602281C"/>
    <w:multiLevelType w:val="hybridMultilevel"/>
    <w:tmpl w:val="DC7AB0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0D224A"/>
    <w:multiLevelType w:val="hybridMultilevel"/>
    <w:tmpl w:val="E3F838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40D6909"/>
    <w:multiLevelType w:val="hybridMultilevel"/>
    <w:tmpl w:val="E3F838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9864B2F"/>
    <w:multiLevelType w:val="hybridMultilevel"/>
    <w:tmpl w:val="42E4AA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CDE23CE"/>
    <w:multiLevelType w:val="hybridMultilevel"/>
    <w:tmpl w:val="99CA51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00892315">
    <w:abstractNumId w:val="6"/>
  </w:num>
  <w:num w:numId="2" w16cid:durableId="1985423412">
    <w:abstractNumId w:val="2"/>
  </w:num>
  <w:num w:numId="3" w16cid:durableId="1550072086">
    <w:abstractNumId w:val="4"/>
  </w:num>
  <w:num w:numId="4" w16cid:durableId="836194695">
    <w:abstractNumId w:val="8"/>
  </w:num>
  <w:num w:numId="5" w16cid:durableId="1173835484">
    <w:abstractNumId w:val="3"/>
  </w:num>
  <w:num w:numId="6" w16cid:durableId="2093815262">
    <w:abstractNumId w:val="7"/>
  </w:num>
  <w:num w:numId="7" w16cid:durableId="720638703">
    <w:abstractNumId w:val="0"/>
  </w:num>
  <w:num w:numId="8" w16cid:durableId="2071074101">
    <w:abstractNumId w:val="5"/>
  </w:num>
  <w:num w:numId="9" w16cid:durableId="1584756800">
    <w:abstractNumId w:val="12"/>
  </w:num>
  <w:num w:numId="10" w16cid:durableId="1505590915">
    <w:abstractNumId w:val="10"/>
  </w:num>
  <w:num w:numId="11" w16cid:durableId="1183470035">
    <w:abstractNumId w:val="1"/>
  </w:num>
  <w:num w:numId="12" w16cid:durableId="959069113">
    <w:abstractNumId w:val="9"/>
  </w:num>
  <w:num w:numId="13" w16cid:durableId="1257036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35C"/>
    <w:rsid w:val="00000ACD"/>
    <w:rsid w:val="00001849"/>
    <w:rsid w:val="00002012"/>
    <w:rsid w:val="000037B9"/>
    <w:rsid w:val="00005808"/>
    <w:rsid w:val="000065D5"/>
    <w:rsid w:val="000114FC"/>
    <w:rsid w:val="00012090"/>
    <w:rsid w:val="00013EC6"/>
    <w:rsid w:val="0001425D"/>
    <w:rsid w:val="00016376"/>
    <w:rsid w:val="00017B12"/>
    <w:rsid w:val="00017F4B"/>
    <w:rsid w:val="00020DE8"/>
    <w:rsid w:val="00022B3A"/>
    <w:rsid w:val="000230C8"/>
    <w:rsid w:val="0002386A"/>
    <w:rsid w:val="00027006"/>
    <w:rsid w:val="00033DB3"/>
    <w:rsid w:val="000345C5"/>
    <w:rsid w:val="00034744"/>
    <w:rsid w:val="00036D73"/>
    <w:rsid w:val="00037F28"/>
    <w:rsid w:val="000408D8"/>
    <w:rsid w:val="00041107"/>
    <w:rsid w:val="000414A9"/>
    <w:rsid w:val="0004190C"/>
    <w:rsid w:val="00044115"/>
    <w:rsid w:val="00044270"/>
    <w:rsid w:val="000469E4"/>
    <w:rsid w:val="000477D6"/>
    <w:rsid w:val="0005050A"/>
    <w:rsid w:val="000515ED"/>
    <w:rsid w:val="00051A9A"/>
    <w:rsid w:val="00051CC4"/>
    <w:rsid w:val="00051CD0"/>
    <w:rsid w:val="000528D2"/>
    <w:rsid w:val="00054480"/>
    <w:rsid w:val="0005479C"/>
    <w:rsid w:val="0005496D"/>
    <w:rsid w:val="00054988"/>
    <w:rsid w:val="00054D72"/>
    <w:rsid w:val="00055930"/>
    <w:rsid w:val="00057C40"/>
    <w:rsid w:val="0006205B"/>
    <w:rsid w:val="000624CA"/>
    <w:rsid w:val="00066876"/>
    <w:rsid w:val="00067600"/>
    <w:rsid w:val="00067E37"/>
    <w:rsid w:val="0007001F"/>
    <w:rsid w:val="00070DE7"/>
    <w:rsid w:val="00071A63"/>
    <w:rsid w:val="00072598"/>
    <w:rsid w:val="0007593E"/>
    <w:rsid w:val="0008213A"/>
    <w:rsid w:val="00082DC6"/>
    <w:rsid w:val="000830E9"/>
    <w:rsid w:val="00083CFD"/>
    <w:rsid w:val="000853D5"/>
    <w:rsid w:val="00086ACB"/>
    <w:rsid w:val="0008796F"/>
    <w:rsid w:val="000902C7"/>
    <w:rsid w:val="00091E1F"/>
    <w:rsid w:val="0009409B"/>
    <w:rsid w:val="00097137"/>
    <w:rsid w:val="0009717F"/>
    <w:rsid w:val="000A07C7"/>
    <w:rsid w:val="000A2BED"/>
    <w:rsid w:val="000A4B3B"/>
    <w:rsid w:val="000A51F9"/>
    <w:rsid w:val="000A5AC2"/>
    <w:rsid w:val="000B0289"/>
    <w:rsid w:val="000B03DF"/>
    <w:rsid w:val="000B0969"/>
    <w:rsid w:val="000B2FAE"/>
    <w:rsid w:val="000B4A63"/>
    <w:rsid w:val="000B65D8"/>
    <w:rsid w:val="000B7BCE"/>
    <w:rsid w:val="000C00ED"/>
    <w:rsid w:val="000C0777"/>
    <w:rsid w:val="000C2765"/>
    <w:rsid w:val="000C28B7"/>
    <w:rsid w:val="000C3BE9"/>
    <w:rsid w:val="000C587C"/>
    <w:rsid w:val="000C5B50"/>
    <w:rsid w:val="000C5BCF"/>
    <w:rsid w:val="000D2C1F"/>
    <w:rsid w:val="000D370C"/>
    <w:rsid w:val="000D42B4"/>
    <w:rsid w:val="000D4860"/>
    <w:rsid w:val="000D7E95"/>
    <w:rsid w:val="000E1506"/>
    <w:rsid w:val="000E42D1"/>
    <w:rsid w:val="000E4380"/>
    <w:rsid w:val="000E5326"/>
    <w:rsid w:val="000E7E81"/>
    <w:rsid w:val="000F17BC"/>
    <w:rsid w:val="000F2A42"/>
    <w:rsid w:val="000F45D5"/>
    <w:rsid w:val="000F47A4"/>
    <w:rsid w:val="000F498F"/>
    <w:rsid w:val="000F4F76"/>
    <w:rsid w:val="000F5BD4"/>
    <w:rsid w:val="000F6024"/>
    <w:rsid w:val="0010452B"/>
    <w:rsid w:val="0010635F"/>
    <w:rsid w:val="00107AC5"/>
    <w:rsid w:val="001118B1"/>
    <w:rsid w:val="001118B9"/>
    <w:rsid w:val="0011221F"/>
    <w:rsid w:val="00113AA4"/>
    <w:rsid w:val="00115A9A"/>
    <w:rsid w:val="001177C1"/>
    <w:rsid w:val="00123916"/>
    <w:rsid w:val="00123DF3"/>
    <w:rsid w:val="00124FAB"/>
    <w:rsid w:val="00125A81"/>
    <w:rsid w:val="00125EE3"/>
    <w:rsid w:val="00126961"/>
    <w:rsid w:val="0013120C"/>
    <w:rsid w:val="001313FC"/>
    <w:rsid w:val="00133159"/>
    <w:rsid w:val="0013332B"/>
    <w:rsid w:val="001333C1"/>
    <w:rsid w:val="0013446A"/>
    <w:rsid w:val="00135639"/>
    <w:rsid w:val="00135797"/>
    <w:rsid w:val="001357C8"/>
    <w:rsid w:val="00135AF2"/>
    <w:rsid w:val="001373A7"/>
    <w:rsid w:val="001373D9"/>
    <w:rsid w:val="001423AC"/>
    <w:rsid w:val="00143770"/>
    <w:rsid w:val="00144509"/>
    <w:rsid w:val="0014528F"/>
    <w:rsid w:val="00147866"/>
    <w:rsid w:val="00147EE0"/>
    <w:rsid w:val="0015027C"/>
    <w:rsid w:val="00150331"/>
    <w:rsid w:val="001527CF"/>
    <w:rsid w:val="00152F7B"/>
    <w:rsid w:val="0015357D"/>
    <w:rsid w:val="001537CF"/>
    <w:rsid w:val="00154A16"/>
    <w:rsid w:val="0015668D"/>
    <w:rsid w:val="0015777D"/>
    <w:rsid w:val="00157D3D"/>
    <w:rsid w:val="001604AB"/>
    <w:rsid w:val="00161717"/>
    <w:rsid w:val="0016449F"/>
    <w:rsid w:val="00164D58"/>
    <w:rsid w:val="00165771"/>
    <w:rsid w:val="00166AC2"/>
    <w:rsid w:val="00166CCC"/>
    <w:rsid w:val="00166E76"/>
    <w:rsid w:val="00167587"/>
    <w:rsid w:val="00167A03"/>
    <w:rsid w:val="00170C1A"/>
    <w:rsid w:val="0017261C"/>
    <w:rsid w:val="00175A2B"/>
    <w:rsid w:val="00177091"/>
    <w:rsid w:val="00177998"/>
    <w:rsid w:val="0018039E"/>
    <w:rsid w:val="001808CD"/>
    <w:rsid w:val="001809F3"/>
    <w:rsid w:val="001810A5"/>
    <w:rsid w:val="0018132D"/>
    <w:rsid w:val="00182364"/>
    <w:rsid w:val="00182478"/>
    <w:rsid w:val="001878C6"/>
    <w:rsid w:val="001879F7"/>
    <w:rsid w:val="0019031D"/>
    <w:rsid w:val="00191DFB"/>
    <w:rsid w:val="0019304B"/>
    <w:rsid w:val="001934D6"/>
    <w:rsid w:val="00194EF5"/>
    <w:rsid w:val="0019539C"/>
    <w:rsid w:val="001955CF"/>
    <w:rsid w:val="00195687"/>
    <w:rsid w:val="001A0593"/>
    <w:rsid w:val="001A0911"/>
    <w:rsid w:val="001A0A7C"/>
    <w:rsid w:val="001A35A8"/>
    <w:rsid w:val="001A35F6"/>
    <w:rsid w:val="001A3DC7"/>
    <w:rsid w:val="001A5106"/>
    <w:rsid w:val="001A5271"/>
    <w:rsid w:val="001A5F3C"/>
    <w:rsid w:val="001A6478"/>
    <w:rsid w:val="001B121B"/>
    <w:rsid w:val="001B1B99"/>
    <w:rsid w:val="001B1F5B"/>
    <w:rsid w:val="001B2C88"/>
    <w:rsid w:val="001B36B9"/>
    <w:rsid w:val="001B7075"/>
    <w:rsid w:val="001C10B1"/>
    <w:rsid w:val="001C186F"/>
    <w:rsid w:val="001C2CB7"/>
    <w:rsid w:val="001C7A4B"/>
    <w:rsid w:val="001C7A74"/>
    <w:rsid w:val="001D0580"/>
    <w:rsid w:val="001D32C6"/>
    <w:rsid w:val="001D3C4D"/>
    <w:rsid w:val="001D3C7D"/>
    <w:rsid w:val="001D64AB"/>
    <w:rsid w:val="001D794A"/>
    <w:rsid w:val="001E03C2"/>
    <w:rsid w:val="001E1293"/>
    <w:rsid w:val="001E1992"/>
    <w:rsid w:val="001E1E73"/>
    <w:rsid w:val="001E33BF"/>
    <w:rsid w:val="001E3A8C"/>
    <w:rsid w:val="001E45C7"/>
    <w:rsid w:val="001E474B"/>
    <w:rsid w:val="001E4BD4"/>
    <w:rsid w:val="001E536B"/>
    <w:rsid w:val="001E67A1"/>
    <w:rsid w:val="001F01DF"/>
    <w:rsid w:val="001F433B"/>
    <w:rsid w:val="001F445F"/>
    <w:rsid w:val="001F46FA"/>
    <w:rsid w:val="001F5284"/>
    <w:rsid w:val="001F6A68"/>
    <w:rsid w:val="00200BFE"/>
    <w:rsid w:val="002010FE"/>
    <w:rsid w:val="00203670"/>
    <w:rsid w:val="002043BA"/>
    <w:rsid w:val="002044AB"/>
    <w:rsid w:val="002049A2"/>
    <w:rsid w:val="0020709E"/>
    <w:rsid w:val="00212C13"/>
    <w:rsid w:val="0021430C"/>
    <w:rsid w:val="0022328F"/>
    <w:rsid w:val="002247E3"/>
    <w:rsid w:val="0022484C"/>
    <w:rsid w:val="00224B8B"/>
    <w:rsid w:val="002310BC"/>
    <w:rsid w:val="00233F3D"/>
    <w:rsid w:val="002342D9"/>
    <w:rsid w:val="002344BD"/>
    <w:rsid w:val="00234EF9"/>
    <w:rsid w:val="0023783F"/>
    <w:rsid w:val="00237CE2"/>
    <w:rsid w:val="00237F8C"/>
    <w:rsid w:val="002410FB"/>
    <w:rsid w:val="00243694"/>
    <w:rsid w:val="0024446A"/>
    <w:rsid w:val="002444B3"/>
    <w:rsid w:val="0024656A"/>
    <w:rsid w:val="0025018C"/>
    <w:rsid w:val="00250B59"/>
    <w:rsid w:val="00251370"/>
    <w:rsid w:val="00252844"/>
    <w:rsid w:val="002529AA"/>
    <w:rsid w:val="0025364A"/>
    <w:rsid w:val="00254701"/>
    <w:rsid w:val="00256801"/>
    <w:rsid w:val="00257353"/>
    <w:rsid w:val="0026271D"/>
    <w:rsid w:val="00263C22"/>
    <w:rsid w:val="0026463E"/>
    <w:rsid w:val="002652A0"/>
    <w:rsid w:val="00270DED"/>
    <w:rsid w:val="0027130B"/>
    <w:rsid w:val="00273876"/>
    <w:rsid w:val="00274513"/>
    <w:rsid w:val="00274F79"/>
    <w:rsid w:val="002753BB"/>
    <w:rsid w:val="00275763"/>
    <w:rsid w:val="00275C65"/>
    <w:rsid w:val="0027737B"/>
    <w:rsid w:val="00277715"/>
    <w:rsid w:val="00277962"/>
    <w:rsid w:val="002812EA"/>
    <w:rsid w:val="00281847"/>
    <w:rsid w:val="00286AF6"/>
    <w:rsid w:val="00290605"/>
    <w:rsid w:val="0029087E"/>
    <w:rsid w:val="00291351"/>
    <w:rsid w:val="00296268"/>
    <w:rsid w:val="00296710"/>
    <w:rsid w:val="00296752"/>
    <w:rsid w:val="00297669"/>
    <w:rsid w:val="002A0404"/>
    <w:rsid w:val="002A21D7"/>
    <w:rsid w:val="002A23CC"/>
    <w:rsid w:val="002A2752"/>
    <w:rsid w:val="002A2E51"/>
    <w:rsid w:val="002A2F68"/>
    <w:rsid w:val="002A4E07"/>
    <w:rsid w:val="002A5693"/>
    <w:rsid w:val="002A5AD3"/>
    <w:rsid w:val="002B069F"/>
    <w:rsid w:val="002B1EA3"/>
    <w:rsid w:val="002B39D2"/>
    <w:rsid w:val="002B3BB2"/>
    <w:rsid w:val="002B52FD"/>
    <w:rsid w:val="002B63D4"/>
    <w:rsid w:val="002B69A8"/>
    <w:rsid w:val="002B6E7A"/>
    <w:rsid w:val="002C22CD"/>
    <w:rsid w:val="002C2586"/>
    <w:rsid w:val="002C3760"/>
    <w:rsid w:val="002C44D9"/>
    <w:rsid w:val="002C550B"/>
    <w:rsid w:val="002C62B9"/>
    <w:rsid w:val="002C6C50"/>
    <w:rsid w:val="002C6C7E"/>
    <w:rsid w:val="002D0112"/>
    <w:rsid w:val="002D0C08"/>
    <w:rsid w:val="002D3318"/>
    <w:rsid w:val="002D4171"/>
    <w:rsid w:val="002D641D"/>
    <w:rsid w:val="002D66D9"/>
    <w:rsid w:val="002E0619"/>
    <w:rsid w:val="002E0E36"/>
    <w:rsid w:val="002E17DF"/>
    <w:rsid w:val="002E1BAD"/>
    <w:rsid w:val="002E35E4"/>
    <w:rsid w:val="002E59FD"/>
    <w:rsid w:val="002E626A"/>
    <w:rsid w:val="002E7DA0"/>
    <w:rsid w:val="002F1A12"/>
    <w:rsid w:val="002F2204"/>
    <w:rsid w:val="002F480E"/>
    <w:rsid w:val="002F54A4"/>
    <w:rsid w:val="002F6567"/>
    <w:rsid w:val="003011F5"/>
    <w:rsid w:val="00301DC9"/>
    <w:rsid w:val="00304E4B"/>
    <w:rsid w:val="00305F9D"/>
    <w:rsid w:val="003109AE"/>
    <w:rsid w:val="0031448B"/>
    <w:rsid w:val="00315F90"/>
    <w:rsid w:val="003169BF"/>
    <w:rsid w:val="00317A99"/>
    <w:rsid w:val="00320832"/>
    <w:rsid w:val="00322597"/>
    <w:rsid w:val="00324B1F"/>
    <w:rsid w:val="00327F72"/>
    <w:rsid w:val="0033344F"/>
    <w:rsid w:val="00333D27"/>
    <w:rsid w:val="003353A2"/>
    <w:rsid w:val="00335405"/>
    <w:rsid w:val="0033793E"/>
    <w:rsid w:val="00340420"/>
    <w:rsid w:val="00344D97"/>
    <w:rsid w:val="00345B6A"/>
    <w:rsid w:val="00347571"/>
    <w:rsid w:val="00354595"/>
    <w:rsid w:val="00355500"/>
    <w:rsid w:val="00360877"/>
    <w:rsid w:val="00362E5F"/>
    <w:rsid w:val="003645B0"/>
    <w:rsid w:val="00364DD3"/>
    <w:rsid w:val="003660F1"/>
    <w:rsid w:val="00366475"/>
    <w:rsid w:val="00371985"/>
    <w:rsid w:val="00372133"/>
    <w:rsid w:val="00372AF5"/>
    <w:rsid w:val="00373953"/>
    <w:rsid w:val="00374D97"/>
    <w:rsid w:val="0037544F"/>
    <w:rsid w:val="00376754"/>
    <w:rsid w:val="0037695E"/>
    <w:rsid w:val="00377177"/>
    <w:rsid w:val="00377350"/>
    <w:rsid w:val="00381091"/>
    <w:rsid w:val="00382467"/>
    <w:rsid w:val="00384080"/>
    <w:rsid w:val="00386265"/>
    <w:rsid w:val="00386F77"/>
    <w:rsid w:val="00391A79"/>
    <w:rsid w:val="00393A7F"/>
    <w:rsid w:val="00395E36"/>
    <w:rsid w:val="00395EAF"/>
    <w:rsid w:val="003964F9"/>
    <w:rsid w:val="00396B01"/>
    <w:rsid w:val="00397C78"/>
    <w:rsid w:val="003A2A0B"/>
    <w:rsid w:val="003A38F6"/>
    <w:rsid w:val="003A4D80"/>
    <w:rsid w:val="003A5016"/>
    <w:rsid w:val="003A66E6"/>
    <w:rsid w:val="003A6E33"/>
    <w:rsid w:val="003A7353"/>
    <w:rsid w:val="003B001F"/>
    <w:rsid w:val="003B1C50"/>
    <w:rsid w:val="003B58BB"/>
    <w:rsid w:val="003B5B90"/>
    <w:rsid w:val="003B656B"/>
    <w:rsid w:val="003C0B37"/>
    <w:rsid w:val="003C178A"/>
    <w:rsid w:val="003C3941"/>
    <w:rsid w:val="003C3D87"/>
    <w:rsid w:val="003C465C"/>
    <w:rsid w:val="003C48C7"/>
    <w:rsid w:val="003C79B5"/>
    <w:rsid w:val="003D2C17"/>
    <w:rsid w:val="003D422A"/>
    <w:rsid w:val="003D4BC3"/>
    <w:rsid w:val="003D4F0B"/>
    <w:rsid w:val="003E0663"/>
    <w:rsid w:val="003E0D47"/>
    <w:rsid w:val="003E1CFA"/>
    <w:rsid w:val="003E2C69"/>
    <w:rsid w:val="003E37D4"/>
    <w:rsid w:val="003E413E"/>
    <w:rsid w:val="003E44FF"/>
    <w:rsid w:val="003E4B66"/>
    <w:rsid w:val="003E6DB2"/>
    <w:rsid w:val="003E79BC"/>
    <w:rsid w:val="003F0EFB"/>
    <w:rsid w:val="003F3FB1"/>
    <w:rsid w:val="003F6A56"/>
    <w:rsid w:val="00400D51"/>
    <w:rsid w:val="00401A58"/>
    <w:rsid w:val="0040497C"/>
    <w:rsid w:val="004109D5"/>
    <w:rsid w:val="00411DC0"/>
    <w:rsid w:val="00415088"/>
    <w:rsid w:val="00421B75"/>
    <w:rsid w:val="004231F4"/>
    <w:rsid w:val="004241F6"/>
    <w:rsid w:val="00424217"/>
    <w:rsid w:val="004249F2"/>
    <w:rsid w:val="00425CDF"/>
    <w:rsid w:val="00430CE7"/>
    <w:rsid w:val="00431ACD"/>
    <w:rsid w:val="00432BEF"/>
    <w:rsid w:val="00432DEB"/>
    <w:rsid w:val="00435811"/>
    <w:rsid w:val="00435E46"/>
    <w:rsid w:val="0043608D"/>
    <w:rsid w:val="004367F1"/>
    <w:rsid w:val="00436BF1"/>
    <w:rsid w:val="004405F3"/>
    <w:rsid w:val="004418E5"/>
    <w:rsid w:val="004435F5"/>
    <w:rsid w:val="00443764"/>
    <w:rsid w:val="00443829"/>
    <w:rsid w:val="00447AB0"/>
    <w:rsid w:val="00450418"/>
    <w:rsid w:val="004506AC"/>
    <w:rsid w:val="00450E2F"/>
    <w:rsid w:val="00451658"/>
    <w:rsid w:val="00451EA7"/>
    <w:rsid w:val="00452C05"/>
    <w:rsid w:val="00455AF1"/>
    <w:rsid w:val="00460F2F"/>
    <w:rsid w:val="00461ABC"/>
    <w:rsid w:val="0046269B"/>
    <w:rsid w:val="00462F04"/>
    <w:rsid w:val="00463267"/>
    <w:rsid w:val="00464FF7"/>
    <w:rsid w:val="00467040"/>
    <w:rsid w:val="004671C5"/>
    <w:rsid w:val="00470E8B"/>
    <w:rsid w:val="00473902"/>
    <w:rsid w:val="00473A7C"/>
    <w:rsid w:val="00474657"/>
    <w:rsid w:val="0047620D"/>
    <w:rsid w:val="00476985"/>
    <w:rsid w:val="00476A0C"/>
    <w:rsid w:val="004771C4"/>
    <w:rsid w:val="00480743"/>
    <w:rsid w:val="00481029"/>
    <w:rsid w:val="00481324"/>
    <w:rsid w:val="004819CA"/>
    <w:rsid w:val="0048256B"/>
    <w:rsid w:val="004842E6"/>
    <w:rsid w:val="0048482B"/>
    <w:rsid w:val="00486C3F"/>
    <w:rsid w:val="00487267"/>
    <w:rsid w:val="0048734B"/>
    <w:rsid w:val="00487377"/>
    <w:rsid w:val="004873D8"/>
    <w:rsid w:val="00490324"/>
    <w:rsid w:val="00490F43"/>
    <w:rsid w:val="00491ECA"/>
    <w:rsid w:val="00494DC8"/>
    <w:rsid w:val="00495351"/>
    <w:rsid w:val="00497C5D"/>
    <w:rsid w:val="004A0D76"/>
    <w:rsid w:val="004A11E1"/>
    <w:rsid w:val="004A267C"/>
    <w:rsid w:val="004A4028"/>
    <w:rsid w:val="004A50ED"/>
    <w:rsid w:val="004A6D1F"/>
    <w:rsid w:val="004A7490"/>
    <w:rsid w:val="004B0CE9"/>
    <w:rsid w:val="004B1142"/>
    <w:rsid w:val="004B1466"/>
    <w:rsid w:val="004B19D0"/>
    <w:rsid w:val="004B32E4"/>
    <w:rsid w:val="004B449E"/>
    <w:rsid w:val="004B6411"/>
    <w:rsid w:val="004C16AA"/>
    <w:rsid w:val="004C1AB8"/>
    <w:rsid w:val="004C1AD2"/>
    <w:rsid w:val="004C1C09"/>
    <w:rsid w:val="004C259B"/>
    <w:rsid w:val="004C355C"/>
    <w:rsid w:val="004C5AB9"/>
    <w:rsid w:val="004C624C"/>
    <w:rsid w:val="004C72B4"/>
    <w:rsid w:val="004D1584"/>
    <w:rsid w:val="004D2B8F"/>
    <w:rsid w:val="004D3A47"/>
    <w:rsid w:val="004D461E"/>
    <w:rsid w:val="004D503E"/>
    <w:rsid w:val="004D5112"/>
    <w:rsid w:val="004E0D4B"/>
    <w:rsid w:val="004E1C6A"/>
    <w:rsid w:val="004E3E88"/>
    <w:rsid w:val="004E5861"/>
    <w:rsid w:val="004E638E"/>
    <w:rsid w:val="004E7ADD"/>
    <w:rsid w:val="004F0911"/>
    <w:rsid w:val="004F1007"/>
    <w:rsid w:val="004F248E"/>
    <w:rsid w:val="004F5701"/>
    <w:rsid w:val="004F679B"/>
    <w:rsid w:val="004F6DBB"/>
    <w:rsid w:val="004F6F3C"/>
    <w:rsid w:val="004F75A0"/>
    <w:rsid w:val="00500893"/>
    <w:rsid w:val="00500A04"/>
    <w:rsid w:val="00503F29"/>
    <w:rsid w:val="00504D0B"/>
    <w:rsid w:val="005074C2"/>
    <w:rsid w:val="00507D86"/>
    <w:rsid w:val="0051012C"/>
    <w:rsid w:val="00511EB2"/>
    <w:rsid w:val="00512061"/>
    <w:rsid w:val="00513BA2"/>
    <w:rsid w:val="0051469F"/>
    <w:rsid w:val="00514F3D"/>
    <w:rsid w:val="005200FD"/>
    <w:rsid w:val="00521B1B"/>
    <w:rsid w:val="005229C3"/>
    <w:rsid w:val="00522E13"/>
    <w:rsid w:val="0052434A"/>
    <w:rsid w:val="005257CF"/>
    <w:rsid w:val="005263A7"/>
    <w:rsid w:val="005271F1"/>
    <w:rsid w:val="00530196"/>
    <w:rsid w:val="005332B3"/>
    <w:rsid w:val="00534D6A"/>
    <w:rsid w:val="0053504A"/>
    <w:rsid w:val="005365B3"/>
    <w:rsid w:val="005375FA"/>
    <w:rsid w:val="00537E2A"/>
    <w:rsid w:val="00542516"/>
    <w:rsid w:val="00542B0D"/>
    <w:rsid w:val="00543062"/>
    <w:rsid w:val="00543E5D"/>
    <w:rsid w:val="00544926"/>
    <w:rsid w:val="00546707"/>
    <w:rsid w:val="00547197"/>
    <w:rsid w:val="00547627"/>
    <w:rsid w:val="00550744"/>
    <w:rsid w:val="00550CDE"/>
    <w:rsid w:val="0055520E"/>
    <w:rsid w:val="005555CF"/>
    <w:rsid w:val="00555AC5"/>
    <w:rsid w:val="005566D1"/>
    <w:rsid w:val="00557141"/>
    <w:rsid w:val="00557A15"/>
    <w:rsid w:val="0056092C"/>
    <w:rsid w:val="0056095A"/>
    <w:rsid w:val="00560D07"/>
    <w:rsid w:val="00560D51"/>
    <w:rsid w:val="00563852"/>
    <w:rsid w:val="005644F6"/>
    <w:rsid w:val="00564B25"/>
    <w:rsid w:val="00564C1C"/>
    <w:rsid w:val="005661F2"/>
    <w:rsid w:val="00571153"/>
    <w:rsid w:val="005721F7"/>
    <w:rsid w:val="00573133"/>
    <w:rsid w:val="00574748"/>
    <w:rsid w:val="00574C79"/>
    <w:rsid w:val="00575E0C"/>
    <w:rsid w:val="00577A0B"/>
    <w:rsid w:val="00583585"/>
    <w:rsid w:val="00585C4C"/>
    <w:rsid w:val="005865CB"/>
    <w:rsid w:val="00590E53"/>
    <w:rsid w:val="00592A25"/>
    <w:rsid w:val="00594518"/>
    <w:rsid w:val="00595D39"/>
    <w:rsid w:val="00596319"/>
    <w:rsid w:val="00597811"/>
    <w:rsid w:val="005A0549"/>
    <w:rsid w:val="005A09D1"/>
    <w:rsid w:val="005A1D8E"/>
    <w:rsid w:val="005A2BC2"/>
    <w:rsid w:val="005A3A04"/>
    <w:rsid w:val="005A41DD"/>
    <w:rsid w:val="005A4895"/>
    <w:rsid w:val="005A515D"/>
    <w:rsid w:val="005A6CE0"/>
    <w:rsid w:val="005B1C4C"/>
    <w:rsid w:val="005B1E81"/>
    <w:rsid w:val="005B255F"/>
    <w:rsid w:val="005B2AAA"/>
    <w:rsid w:val="005B40AC"/>
    <w:rsid w:val="005B56E3"/>
    <w:rsid w:val="005B75C3"/>
    <w:rsid w:val="005B7D43"/>
    <w:rsid w:val="005C26ED"/>
    <w:rsid w:val="005C43CB"/>
    <w:rsid w:val="005C4CE1"/>
    <w:rsid w:val="005C4DCD"/>
    <w:rsid w:val="005C5168"/>
    <w:rsid w:val="005C5F95"/>
    <w:rsid w:val="005C6126"/>
    <w:rsid w:val="005C63C6"/>
    <w:rsid w:val="005C6F9F"/>
    <w:rsid w:val="005C7105"/>
    <w:rsid w:val="005C76D4"/>
    <w:rsid w:val="005D04E9"/>
    <w:rsid w:val="005D1479"/>
    <w:rsid w:val="005D2FAA"/>
    <w:rsid w:val="005D3CAE"/>
    <w:rsid w:val="005E214B"/>
    <w:rsid w:val="005E3ADE"/>
    <w:rsid w:val="005E4232"/>
    <w:rsid w:val="005E5DED"/>
    <w:rsid w:val="005E76E7"/>
    <w:rsid w:val="005E7895"/>
    <w:rsid w:val="005F162C"/>
    <w:rsid w:val="005F1B7A"/>
    <w:rsid w:val="005F24E8"/>
    <w:rsid w:val="005F3353"/>
    <w:rsid w:val="005F4F95"/>
    <w:rsid w:val="0060251B"/>
    <w:rsid w:val="00605295"/>
    <w:rsid w:val="006053FE"/>
    <w:rsid w:val="0060558D"/>
    <w:rsid w:val="00607A94"/>
    <w:rsid w:val="006116E1"/>
    <w:rsid w:val="00612EEA"/>
    <w:rsid w:val="00612F81"/>
    <w:rsid w:val="006134C6"/>
    <w:rsid w:val="00614C31"/>
    <w:rsid w:val="0061573E"/>
    <w:rsid w:val="00615830"/>
    <w:rsid w:val="00615D12"/>
    <w:rsid w:val="00615D5C"/>
    <w:rsid w:val="00615F91"/>
    <w:rsid w:val="006170FC"/>
    <w:rsid w:val="006175AB"/>
    <w:rsid w:val="00617EA0"/>
    <w:rsid w:val="006206BE"/>
    <w:rsid w:val="00621559"/>
    <w:rsid w:val="00621A23"/>
    <w:rsid w:val="00622026"/>
    <w:rsid w:val="0062251B"/>
    <w:rsid w:val="0062402F"/>
    <w:rsid w:val="00624E13"/>
    <w:rsid w:val="006262EB"/>
    <w:rsid w:val="006275E4"/>
    <w:rsid w:val="00627C18"/>
    <w:rsid w:val="00627C9C"/>
    <w:rsid w:val="00627D91"/>
    <w:rsid w:val="006303E2"/>
    <w:rsid w:val="00631F1F"/>
    <w:rsid w:val="00632DAD"/>
    <w:rsid w:val="00634CAB"/>
    <w:rsid w:val="00635D1F"/>
    <w:rsid w:val="0064140A"/>
    <w:rsid w:val="00641701"/>
    <w:rsid w:val="0064382D"/>
    <w:rsid w:val="006451D7"/>
    <w:rsid w:val="006459A8"/>
    <w:rsid w:val="00645B93"/>
    <w:rsid w:val="0064735C"/>
    <w:rsid w:val="00651A41"/>
    <w:rsid w:val="00653878"/>
    <w:rsid w:val="00654498"/>
    <w:rsid w:val="00654767"/>
    <w:rsid w:val="00654A65"/>
    <w:rsid w:val="00655D8B"/>
    <w:rsid w:val="006560E6"/>
    <w:rsid w:val="00657F90"/>
    <w:rsid w:val="00660DEF"/>
    <w:rsid w:val="006613B3"/>
    <w:rsid w:val="00662A78"/>
    <w:rsid w:val="00666898"/>
    <w:rsid w:val="006669B4"/>
    <w:rsid w:val="00666CAE"/>
    <w:rsid w:val="00671BC8"/>
    <w:rsid w:val="006730A4"/>
    <w:rsid w:val="006739D3"/>
    <w:rsid w:val="00674AFD"/>
    <w:rsid w:val="00676DFA"/>
    <w:rsid w:val="00680B85"/>
    <w:rsid w:val="006819CC"/>
    <w:rsid w:val="00681E93"/>
    <w:rsid w:val="00684512"/>
    <w:rsid w:val="006845B5"/>
    <w:rsid w:val="006853BC"/>
    <w:rsid w:val="0068557A"/>
    <w:rsid w:val="006874B2"/>
    <w:rsid w:val="00687F7D"/>
    <w:rsid w:val="006912F3"/>
    <w:rsid w:val="00692A5E"/>
    <w:rsid w:val="006932EF"/>
    <w:rsid w:val="00695417"/>
    <w:rsid w:val="00695E82"/>
    <w:rsid w:val="006A2AC5"/>
    <w:rsid w:val="006A3286"/>
    <w:rsid w:val="006A3CD3"/>
    <w:rsid w:val="006A43F6"/>
    <w:rsid w:val="006A50F3"/>
    <w:rsid w:val="006A5293"/>
    <w:rsid w:val="006A5D91"/>
    <w:rsid w:val="006B0076"/>
    <w:rsid w:val="006B0BA4"/>
    <w:rsid w:val="006B2708"/>
    <w:rsid w:val="006B2A39"/>
    <w:rsid w:val="006B37AF"/>
    <w:rsid w:val="006B4CDC"/>
    <w:rsid w:val="006B7BA5"/>
    <w:rsid w:val="006C3678"/>
    <w:rsid w:val="006C5825"/>
    <w:rsid w:val="006C62A3"/>
    <w:rsid w:val="006D054D"/>
    <w:rsid w:val="006D3172"/>
    <w:rsid w:val="006D319B"/>
    <w:rsid w:val="006D3FC6"/>
    <w:rsid w:val="006D6BAE"/>
    <w:rsid w:val="006D7334"/>
    <w:rsid w:val="006E061C"/>
    <w:rsid w:val="006E1726"/>
    <w:rsid w:val="006E38CB"/>
    <w:rsid w:val="006E398F"/>
    <w:rsid w:val="006E4673"/>
    <w:rsid w:val="006E5349"/>
    <w:rsid w:val="006E5592"/>
    <w:rsid w:val="006F1315"/>
    <w:rsid w:val="006F3064"/>
    <w:rsid w:val="006F3E13"/>
    <w:rsid w:val="006F4199"/>
    <w:rsid w:val="006F52D3"/>
    <w:rsid w:val="006F6A5D"/>
    <w:rsid w:val="006F7366"/>
    <w:rsid w:val="006F7F9B"/>
    <w:rsid w:val="0070090E"/>
    <w:rsid w:val="007019D4"/>
    <w:rsid w:val="007040A4"/>
    <w:rsid w:val="00704268"/>
    <w:rsid w:val="00704A4A"/>
    <w:rsid w:val="00705239"/>
    <w:rsid w:val="00710ABA"/>
    <w:rsid w:val="00711AB7"/>
    <w:rsid w:val="00713D41"/>
    <w:rsid w:val="00714A8B"/>
    <w:rsid w:val="00715235"/>
    <w:rsid w:val="00716D46"/>
    <w:rsid w:val="0071732C"/>
    <w:rsid w:val="00717F69"/>
    <w:rsid w:val="00720101"/>
    <w:rsid w:val="007207E4"/>
    <w:rsid w:val="007262A9"/>
    <w:rsid w:val="00726ADF"/>
    <w:rsid w:val="00727E89"/>
    <w:rsid w:val="00731AC4"/>
    <w:rsid w:val="00732B08"/>
    <w:rsid w:val="00733076"/>
    <w:rsid w:val="00733A90"/>
    <w:rsid w:val="007344F4"/>
    <w:rsid w:val="00741545"/>
    <w:rsid w:val="00742822"/>
    <w:rsid w:val="00742EE5"/>
    <w:rsid w:val="007432C8"/>
    <w:rsid w:val="007441F5"/>
    <w:rsid w:val="00747253"/>
    <w:rsid w:val="00750EE8"/>
    <w:rsid w:val="0075182A"/>
    <w:rsid w:val="0075217B"/>
    <w:rsid w:val="00752D73"/>
    <w:rsid w:val="0075511A"/>
    <w:rsid w:val="00760104"/>
    <w:rsid w:val="00761171"/>
    <w:rsid w:val="00762991"/>
    <w:rsid w:val="00764276"/>
    <w:rsid w:val="00764477"/>
    <w:rsid w:val="007672E6"/>
    <w:rsid w:val="00767D38"/>
    <w:rsid w:val="00770DED"/>
    <w:rsid w:val="00775BE4"/>
    <w:rsid w:val="00777522"/>
    <w:rsid w:val="00777910"/>
    <w:rsid w:val="00777EA3"/>
    <w:rsid w:val="00780645"/>
    <w:rsid w:val="00782462"/>
    <w:rsid w:val="007863D5"/>
    <w:rsid w:val="00786C6D"/>
    <w:rsid w:val="007900E8"/>
    <w:rsid w:val="00791FA1"/>
    <w:rsid w:val="00792A73"/>
    <w:rsid w:val="0079453F"/>
    <w:rsid w:val="00796658"/>
    <w:rsid w:val="007974E9"/>
    <w:rsid w:val="007A15E7"/>
    <w:rsid w:val="007A176F"/>
    <w:rsid w:val="007A273E"/>
    <w:rsid w:val="007A2C7F"/>
    <w:rsid w:val="007A2CA8"/>
    <w:rsid w:val="007A3052"/>
    <w:rsid w:val="007A3778"/>
    <w:rsid w:val="007A42E1"/>
    <w:rsid w:val="007A53B5"/>
    <w:rsid w:val="007A7491"/>
    <w:rsid w:val="007B164B"/>
    <w:rsid w:val="007B193D"/>
    <w:rsid w:val="007B1D64"/>
    <w:rsid w:val="007B39F1"/>
    <w:rsid w:val="007B544F"/>
    <w:rsid w:val="007B6100"/>
    <w:rsid w:val="007C058B"/>
    <w:rsid w:val="007C1955"/>
    <w:rsid w:val="007C233C"/>
    <w:rsid w:val="007C27D8"/>
    <w:rsid w:val="007C337F"/>
    <w:rsid w:val="007C3898"/>
    <w:rsid w:val="007C4A7B"/>
    <w:rsid w:val="007C4DEA"/>
    <w:rsid w:val="007C6B0D"/>
    <w:rsid w:val="007C7FB0"/>
    <w:rsid w:val="007D42B2"/>
    <w:rsid w:val="007D4BEF"/>
    <w:rsid w:val="007D6620"/>
    <w:rsid w:val="007D6715"/>
    <w:rsid w:val="007D6988"/>
    <w:rsid w:val="007D72F4"/>
    <w:rsid w:val="007E1790"/>
    <w:rsid w:val="007E33CB"/>
    <w:rsid w:val="007E3E4B"/>
    <w:rsid w:val="007E49B0"/>
    <w:rsid w:val="007E5373"/>
    <w:rsid w:val="007E53BC"/>
    <w:rsid w:val="007E5A49"/>
    <w:rsid w:val="007E7CCA"/>
    <w:rsid w:val="007F242B"/>
    <w:rsid w:val="007F2F1F"/>
    <w:rsid w:val="007F4192"/>
    <w:rsid w:val="007F4B89"/>
    <w:rsid w:val="008003FF"/>
    <w:rsid w:val="00801412"/>
    <w:rsid w:val="0080184F"/>
    <w:rsid w:val="008023F4"/>
    <w:rsid w:val="008030EE"/>
    <w:rsid w:val="00803CB4"/>
    <w:rsid w:val="00805010"/>
    <w:rsid w:val="00805D2D"/>
    <w:rsid w:val="008071B9"/>
    <w:rsid w:val="0080724B"/>
    <w:rsid w:val="00807AB7"/>
    <w:rsid w:val="00811A2A"/>
    <w:rsid w:val="00811CE3"/>
    <w:rsid w:val="00813C74"/>
    <w:rsid w:val="00813D56"/>
    <w:rsid w:val="00815A30"/>
    <w:rsid w:val="00817BA1"/>
    <w:rsid w:val="00821698"/>
    <w:rsid w:val="008223A2"/>
    <w:rsid w:val="0082414F"/>
    <w:rsid w:val="0083033C"/>
    <w:rsid w:val="00830493"/>
    <w:rsid w:val="00831F32"/>
    <w:rsid w:val="008322F4"/>
    <w:rsid w:val="00832312"/>
    <w:rsid w:val="00835CD4"/>
    <w:rsid w:val="00836079"/>
    <w:rsid w:val="00836F31"/>
    <w:rsid w:val="00837146"/>
    <w:rsid w:val="00837AA0"/>
    <w:rsid w:val="008416F8"/>
    <w:rsid w:val="008417A8"/>
    <w:rsid w:val="0084288B"/>
    <w:rsid w:val="00843091"/>
    <w:rsid w:val="008462A9"/>
    <w:rsid w:val="00847B71"/>
    <w:rsid w:val="008501B9"/>
    <w:rsid w:val="00851013"/>
    <w:rsid w:val="008514D0"/>
    <w:rsid w:val="00854375"/>
    <w:rsid w:val="008543E2"/>
    <w:rsid w:val="00854712"/>
    <w:rsid w:val="008556FD"/>
    <w:rsid w:val="00855C1A"/>
    <w:rsid w:val="00856000"/>
    <w:rsid w:val="00862728"/>
    <w:rsid w:val="008674EF"/>
    <w:rsid w:val="00870611"/>
    <w:rsid w:val="00871772"/>
    <w:rsid w:val="00871824"/>
    <w:rsid w:val="00871A3A"/>
    <w:rsid w:val="00872887"/>
    <w:rsid w:val="00872B11"/>
    <w:rsid w:val="008735A4"/>
    <w:rsid w:val="008738BC"/>
    <w:rsid w:val="00876F76"/>
    <w:rsid w:val="008802AC"/>
    <w:rsid w:val="00880F4F"/>
    <w:rsid w:val="0088198A"/>
    <w:rsid w:val="008820F1"/>
    <w:rsid w:val="00883689"/>
    <w:rsid w:val="00883ECD"/>
    <w:rsid w:val="008842ED"/>
    <w:rsid w:val="00884A61"/>
    <w:rsid w:val="0088535E"/>
    <w:rsid w:val="00890758"/>
    <w:rsid w:val="008933E0"/>
    <w:rsid w:val="008938D7"/>
    <w:rsid w:val="00897F11"/>
    <w:rsid w:val="008A134C"/>
    <w:rsid w:val="008A2A11"/>
    <w:rsid w:val="008A473F"/>
    <w:rsid w:val="008A495C"/>
    <w:rsid w:val="008A59FE"/>
    <w:rsid w:val="008A5C95"/>
    <w:rsid w:val="008A756E"/>
    <w:rsid w:val="008A7702"/>
    <w:rsid w:val="008A7F24"/>
    <w:rsid w:val="008B2313"/>
    <w:rsid w:val="008B3D9A"/>
    <w:rsid w:val="008B4A95"/>
    <w:rsid w:val="008B4F47"/>
    <w:rsid w:val="008B55E7"/>
    <w:rsid w:val="008B6EC1"/>
    <w:rsid w:val="008B730F"/>
    <w:rsid w:val="008B799D"/>
    <w:rsid w:val="008C1AAC"/>
    <w:rsid w:val="008C2EA6"/>
    <w:rsid w:val="008C37E4"/>
    <w:rsid w:val="008D0A13"/>
    <w:rsid w:val="008D2087"/>
    <w:rsid w:val="008D2F95"/>
    <w:rsid w:val="008D3CFE"/>
    <w:rsid w:val="008D5236"/>
    <w:rsid w:val="008D753F"/>
    <w:rsid w:val="008D75E9"/>
    <w:rsid w:val="008E0975"/>
    <w:rsid w:val="008E37BD"/>
    <w:rsid w:val="008E39D0"/>
    <w:rsid w:val="008E66B3"/>
    <w:rsid w:val="008E70FA"/>
    <w:rsid w:val="008E7241"/>
    <w:rsid w:val="008F0D16"/>
    <w:rsid w:val="008F19BF"/>
    <w:rsid w:val="008F2EFD"/>
    <w:rsid w:val="008F475D"/>
    <w:rsid w:val="00901656"/>
    <w:rsid w:val="009020DB"/>
    <w:rsid w:val="0090458D"/>
    <w:rsid w:val="00905DE1"/>
    <w:rsid w:val="00906831"/>
    <w:rsid w:val="00906A03"/>
    <w:rsid w:val="00907EED"/>
    <w:rsid w:val="00911535"/>
    <w:rsid w:val="00914E57"/>
    <w:rsid w:val="00915268"/>
    <w:rsid w:val="00916713"/>
    <w:rsid w:val="0092177D"/>
    <w:rsid w:val="009219CB"/>
    <w:rsid w:val="00923F5E"/>
    <w:rsid w:val="0092442E"/>
    <w:rsid w:val="0092493B"/>
    <w:rsid w:val="009254D3"/>
    <w:rsid w:val="0092562F"/>
    <w:rsid w:val="00926240"/>
    <w:rsid w:val="00926C2B"/>
    <w:rsid w:val="00927471"/>
    <w:rsid w:val="009279F9"/>
    <w:rsid w:val="00932559"/>
    <w:rsid w:val="00932928"/>
    <w:rsid w:val="00932E62"/>
    <w:rsid w:val="009353F0"/>
    <w:rsid w:val="009446A7"/>
    <w:rsid w:val="0094483E"/>
    <w:rsid w:val="00951070"/>
    <w:rsid w:val="009517A0"/>
    <w:rsid w:val="00951AEB"/>
    <w:rsid w:val="00954644"/>
    <w:rsid w:val="00961A88"/>
    <w:rsid w:val="0096246E"/>
    <w:rsid w:val="0096346D"/>
    <w:rsid w:val="00963973"/>
    <w:rsid w:val="00964575"/>
    <w:rsid w:val="00965FB5"/>
    <w:rsid w:val="009702D9"/>
    <w:rsid w:val="0097167B"/>
    <w:rsid w:val="00972FF4"/>
    <w:rsid w:val="00973F47"/>
    <w:rsid w:val="00975452"/>
    <w:rsid w:val="00975E08"/>
    <w:rsid w:val="009771D1"/>
    <w:rsid w:val="00980754"/>
    <w:rsid w:val="00980A60"/>
    <w:rsid w:val="009849ED"/>
    <w:rsid w:val="00985156"/>
    <w:rsid w:val="00985A20"/>
    <w:rsid w:val="009A09A9"/>
    <w:rsid w:val="009A1BB0"/>
    <w:rsid w:val="009A2C71"/>
    <w:rsid w:val="009A3749"/>
    <w:rsid w:val="009A46AA"/>
    <w:rsid w:val="009A6233"/>
    <w:rsid w:val="009A6C8A"/>
    <w:rsid w:val="009B013C"/>
    <w:rsid w:val="009B0F7E"/>
    <w:rsid w:val="009B266E"/>
    <w:rsid w:val="009B3DE8"/>
    <w:rsid w:val="009B5DA1"/>
    <w:rsid w:val="009C01DF"/>
    <w:rsid w:val="009C0D69"/>
    <w:rsid w:val="009C16C4"/>
    <w:rsid w:val="009C35E7"/>
    <w:rsid w:val="009C37D1"/>
    <w:rsid w:val="009C489C"/>
    <w:rsid w:val="009C528D"/>
    <w:rsid w:val="009C7F20"/>
    <w:rsid w:val="009D446E"/>
    <w:rsid w:val="009D44D3"/>
    <w:rsid w:val="009D47BD"/>
    <w:rsid w:val="009D5E62"/>
    <w:rsid w:val="009E1E16"/>
    <w:rsid w:val="009E289C"/>
    <w:rsid w:val="009E4610"/>
    <w:rsid w:val="009E716D"/>
    <w:rsid w:val="009F003C"/>
    <w:rsid w:val="009F1D30"/>
    <w:rsid w:val="009F33FD"/>
    <w:rsid w:val="009F3D34"/>
    <w:rsid w:val="009F751C"/>
    <w:rsid w:val="00A003AE"/>
    <w:rsid w:val="00A0224C"/>
    <w:rsid w:val="00A03703"/>
    <w:rsid w:val="00A06403"/>
    <w:rsid w:val="00A06F24"/>
    <w:rsid w:val="00A07A51"/>
    <w:rsid w:val="00A1083C"/>
    <w:rsid w:val="00A11263"/>
    <w:rsid w:val="00A1437E"/>
    <w:rsid w:val="00A14C2B"/>
    <w:rsid w:val="00A16A36"/>
    <w:rsid w:val="00A176F5"/>
    <w:rsid w:val="00A17CC3"/>
    <w:rsid w:val="00A20AC5"/>
    <w:rsid w:val="00A21B58"/>
    <w:rsid w:val="00A30D6C"/>
    <w:rsid w:val="00A30F30"/>
    <w:rsid w:val="00A317AC"/>
    <w:rsid w:val="00A33C03"/>
    <w:rsid w:val="00A401C3"/>
    <w:rsid w:val="00A40AEC"/>
    <w:rsid w:val="00A43436"/>
    <w:rsid w:val="00A44001"/>
    <w:rsid w:val="00A4407B"/>
    <w:rsid w:val="00A4488D"/>
    <w:rsid w:val="00A44953"/>
    <w:rsid w:val="00A45AC5"/>
    <w:rsid w:val="00A47EDC"/>
    <w:rsid w:val="00A5223C"/>
    <w:rsid w:val="00A544D6"/>
    <w:rsid w:val="00A55429"/>
    <w:rsid w:val="00A57B1D"/>
    <w:rsid w:val="00A61969"/>
    <w:rsid w:val="00A62889"/>
    <w:rsid w:val="00A64D58"/>
    <w:rsid w:val="00A67A7D"/>
    <w:rsid w:val="00A71383"/>
    <w:rsid w:val="00A722AC"/>
    <w:rsid w:val="00A73D00"/>
    <w:rsid w:val="00A74ED9"/>
    <w:rsid w:val="00A75FC8"/>
    <w:rsid w:val="00A7681E"/>
    <w:rsid w:val="00A76A22"/>
    <w:rsid w:val="00A7719B"/>
    <w:rsid w:val="00A778A9"/>
    <w:rsid w:val="00A80189"/>
    <w:rsid w:val="00A80A49"/>
    <w:rsid w:val="00A80B60"/>
    <w:rsid w:val="00A81CB1"/>
    <w:rsid w:val="00A8493B"/>
    <w:rsid w:val="00A84F97"/>
    <w:rsid w:val="00A87087"/>
    <w:rsid w:val="00A9203E"/>
    <w:rsid w:val="00A94B97"/>
    <w:rsid w:val="00A95E60"/>
    <w:rsid w:val="00A96027"/>
    <w:rsid w:val="00A9761B"/>
    <w:rsid w:val="00AA1BB5"/>
    <w:rsid w:val="00AA1C06"/>
    <w:rsid w:val="00AA221B"/>
    <w:rsid w:val="00AA3F37"/>
    <w:rsid w:val="00AA5DF6"/>
    <w:rsid w:val="00AB0D11"/>
    <w:rsid w:val="00AB1FF4"/>
    <w:rsid w:val="00AB3157"/>
    <w:rsid w:val="00AB31B8"/>
    <w:rsid w:val="00AB326C"/>
    <w:rsid w:val="00AB3E5E"/>
    <w:rsid w:val="00AB3E9E"/>
    <w:rsid w:val="00AB4446"/>
    <w:rsid w:val="00AB62EB"/>
    <w:rsid w:val="00AB6546"/>
    <w:rsid w:val="00AC0247"/>
    <w:rsid w:val="00AC0B5B"/>
    <w:rsid w:val="00AC1147"/>
    <w:rsid w:val="00AC1A73"/>
    <w:rsid w:val="00AC476E"/>
    <w:rsid w:val="00AD097E"/>
    <w:rsid w:val="00AD2ECA"/>
    <w:rsid w:val="00AD6B69"/>
    <w:rsid w:val="00AE1B15"/>
    <w:rsid w:val="00AE30ED"/>
    <w:rsid w:val="00AE3128"/>
    <w:rsid w:val="00AF3D4E"/>
    <w:rsid w:val="00AF4CE1"/>
    <w:rsid w:val="00AF77F9"/>
    <w:rsid w:val="00AF7AF1"/>
    <w:rsid w:val="00B001C8"/>
    <w:rsid w:val="00B008C6"/>
    <w:rsid w:val="00B01B7C"/>
    <w:rsid w:val="00B0209E"/>
    <w:rsid w:val="00B04438"/>
    <w:rsid w:val="00B06030"/>
    <w:rsid w:val="00B0616B"/>
    <w:rsid w:val="00B06AB3"/>
    <w:rsid w:val="00B07FBA"/>
    <w:rsid w:val="00B1048D"/>
    <w:rsid w:val="00B10F59"/>
    <w:rsid w:val="00B12539"/>
    <w:rsid w:val="00B138B7"/>
    <w:rsid w:val="00B17378"/>
    <w:rsid w:val="00B17682"/>
    <w:rsid w:val="00B178AA"/>
    <w:rsid w:val="00B2027C"/>
    <w:rsid w:val="00B21382"/>
    <w:rsid w:val="00B21AF8"/>
    <w:rsid w:val="00B21EE8"/>
    <w:rsid w:val="00B23E37"/>
    <w:rsid w:val="00B2494F"/>
    <w:rsid w:val="00B3037B"/>
    <w:rsid w:val="00B31BDC"/>
    <w:rsid w:val="00B32093"/>
    <w:rsid w:val="00B32C1E"/>
    <w:rsid w:val="00B33416"/>
    <w:rsid w:val="00B334B4"/>
    <w:rsid w:val="00B33925"/>
    <w:rsid w:val="00B343D7"/>
    <w:rsid w:val="00B35043"/>
    <w:rsid w:val="00B3794B"/>
    <w:rsid w:val="00B420DA"/>
    <w:rsid w:val="00B421F9"/>
    <w:rsid w:val="00B423D9"/>
    <w:rsid w:val="00B4274A"/>
    <w:rsid w:val="00B44481"/>
    <w:rsid w:val="00B4499F"/>
    <w:rsid w:val="00B44D0E"/>
    <w:rsid w:val="00B4620E"/>
    <w:rsid w:val="00B47980"/>
    <w:rsid w:val="00B505F4"/>
    <w:rsid w:val="00B50830"/>
    <w:rsid w:val="00B50E50"/>
    <w:rsid w:val="00B51632"/>
    <w:rsid w:val="00B52AD3"/>
    <w:rsid w:val="00B53FE3"/>
    <w:rsid w:val="00B56C46"/>
    <w:rsid w:val="00B60C16"/>
    <w:rsid w:val="00B6475C"/>
    <w:rsid w:val="00B64FDA"/>
    <w:rsid w:val="00B67F1C"/>
    <w:rsid w:val="00B72A46"/>
    <w:rsid w:val="00B75C87"/>
    <w:rsid w:val="00B75CB0"/>
    <w:rsid w:val="00B75FAB"/>
    <w:rsid w:val="00B764E5"/>
    <w:rsid w:val="00B76779"/>
    <w:rsid w:val="00B7766B"/>
    <w:rsid w:val="00B776BA"/>
    <w:rsid w:val="00B77A61"/>
    <w:rsid w:val="00B77CE5"/>
    <w:rsid w:val="00B808E3"/>
    <w:rsid w:val="00B817A3"/>
    <w:rsid w:val="00B81E8F"/>
    <w:rsid w:val="00B828B7"/>
    <w:rsid w:val="00B844F6"/>
    <w:rsid w:val="00B84922"/>
    <w:rsid w:val="00B8505E"/>
    <w:rsid w:val="00B9131B"/>
    <w:rsid w:val="00B91D88"/>
    <w:rsid w:val="00B94F7C"/>
    <w:rsid w:val="00B956BA"/>
    <w:rsid w:val="00B97C6D"/>
    <w:rsid w:val="00BA0DEF"/>
    <w:rsid w:val="00BA130A"/>
    <w:rsid w:val="00BA1E57"/>
    <w:rsid w:val="00BA248C"/>
    <w:rsid w:val="00BA44BE"/>
    <w:rsid w:val="00BA5D32"/>
    <w:rsid w:val="00BA5F46"/>
    <w:rsid w:val="00BA74CA"/>
    <w:rsid w:val="00BA74FF"/>
    <w:rsid w:val="00BB0FAB"/>
    <w:rsid w:val="00BB16AE"/>
    <w:rsid w:val="00BB34D1"/>
    <w:rsid w:val="00BB3C3C"/>
    <w:rsid w:val="00BB4262"/>
    <w:rsid w:val="00BB43CC"/>
    <w:rsid w:val="00BB4461"/>
    <w:rsid w:val="00BB5533"/>
    <w:rsid w:val="00BB64A8"/>
    <w:rsid w:val="00BB6D85"/>
    <w:rsid w:val="00BB7660"/>
    <w:rsid w:val="00BB77A0"/>
    <w:rsid w:val="00BC0EE2"/>
    <w:rsid w:val="00BC1121"/>
    <w:rsid w:val="00BC2B6E"/>
    <w:rsid w:val="00BC32F4"/>
    <w:rsid w:val="00BC36D8"/>
    <w:rsid w:val="00BC45EF"/>
    <w:rsid w:val="00BC7249"/>
    <w:rsid w:val="00BD1130"/>
    <w:rsid w:val="00BD1E0C"/>
    <w:rsid w:val="00BD3DB8"/>
    <w:rsid w:val="00BE02AE"/>
    <w:rsid w:val="00BE35FB"/>
    <w:rsid w:val="00BE3858"/>
    <w:rsid w:val="00BE437C"/>
    <w:rsid w:val="00BE4618"/>
    <w:rsid w:val="00BE49C7"/>
    <w:rsid w:val="00BE569F"/>
    <w:rsid w:val="00BE62EB"/>
    <w:rsid w:val="00BE6E80"/>
    <w:rsid w:val="00BF004E"/>
    <w:rsid w:val="00BF1DBD"/>
    <w:rsid w:val="00BF38CC"/>
    <w:rsid w:val="00BF5C79"/>
    <w:rsid w:val="00BF72B1"/>
    <w:rsid w:val="00BF76E7"/>
    <w:rsid w:val="00BF770E"/>
    <w:rsid w:val="00C0007B"/>
    <w:rsid w:val="00C009DA"/>
    <w:rsid w:val="00C01364"/>
    <w:rsid w:val="00C0217B"/>
    <w:rsid w:val="00C03CCA"/>
    <w:rsid w:val="00C06EE0"/>
    <w:rsid w:val="00C075C7"/>
    <w:rsid w:val="00C07724"/>
    <w:rsid w:val="00C1040D"/>
    <w:rsid w:val="00C1043A"/>
    <w:rsid w:val="00C10BDD"/>
    <w:rsid w:val="00C10DA9"/>
    <w:rsid w:val="00C11B9A"/>
    <w:rsid w:val="00C12018"/>
    <w:rsid w:val="00C125B8"/>
    <w:rsid w:val="00C13BA4"/>
    <w:rsid w:val="00C150DE"/>
    <w:rsid w:val="00C16989"/>
    <w:rsid w:val="00C17310"/>
    <w:rsid w:val="00C20E58"/>
    <w:rsid w:val="00C218FB"/>
    <w:rsid w:val="00C22738"/>
    <w:rsid w:val="00C2413B"/>
    <w:rsid w:val="00C27EB4"/>
    <w:rsid w:val="00C27EDD"/>
    <w:rsid w:val="00C32399"/>
    <w:rsid w:val="00C33400"/>
    <w:rsid w:val="00C40A65"/>
    <w:rsid w:val="00C43484"/>
    <w:rsid w:val="00C43D19"/>
    <w:rsid w:val="00C43F7F"/>
    <w:rsid w:val="00C44878"/>
    <w:rsid w:val="00C4677A"/>
    <w:rsid w:val="00C46FB4"/>
    <w:rsid w:val="00C47A36"/>
    <w:rsid w:val="00C50BDA"/>
    <w:rsid w:val="00C51EC5"/>
    <w:rsid w:val="00C5255A"/>
    <w:rsid w:val="00C52687"/>
    <w:rsid w:val="00C52F23"/>
    <w:rsid w:val="00C5309C"/>
    <w:rsid w:val="00C5370A"/>
    <w:rsid w:val="00C5407C"/>
    <w:rsid w:val="00C57678"/>
    <w:rsid w:val="00C61100"/>
    <w:rsid w:val="00C62054"/>
    <w:rsid w:val="00C6323A"/>
    <w:rsid w:val="00C66938"/>
    <w:rsid w:val="00C66B52"/>
    <w:rsid w:val="00C71069"/>
    <w:rsid w:val="00C73C4D"/>
    <w:rsid w:val="00C74650"/>
    <w:rsid w:val="00C747E9"/>
    <w:rsid w:val="00C80F7C"/>
    <w:rsid w:val="00C813B0"/>
    <w:rsid w:val="00C81DDC"/>
    <w:rsid w:val="00C82BDE"/>
    <w:rsid w:val="00C85291"/>
    <w:rsid w:val="00C85A4F"/>
    <w:rsid w:val="00C85CC2"/>
    <w:rsid w:val="00C85FDD"/>
    <w:rsid w:val="00C864C3"/>
    <w:rsid w:val="00C9086C"/>
    <w:rsid w:val="00C90EEF"/>
    <w:rsid w:val="00C912BF"/>
    <w:rsid w:val="00C9151B"/>
    <w:rsid w:val="00C9197D"/>
    <w:rsid w:val="00C9286F"/>
    <w:rsid w:val="00C92A16"/>
    <w:rsid w:val="00C934B0"/>
    <w:rsid w:val="00C963DA"/>
    <w:rsid w:val="00CA00AB"/>
    <w:rsid w:val="00CA0547"/>
    <w:rsid w:val="00CA0A12"/>
    <w:rsid w:val="00CA2D16"/>
    <w:rsid w:val="00CA4D2A"/>
    <w:rsid w:val="00CA5EA2"/>
    <w:rsid w:val="00CA5F2E"/>
    <w:rsid w:val="00CA6274"/>
    <w:rsid w:val="00CA694B"/>
    <w:rsid w:val="00CA6D47"/>
    <w:rsid w:val="00CA72E7"/>
    <w:rsid w:val="00CB02BD"/>
    <w:rsid w:val="00CB1A2E"/>
    <w:rsid w:val="00CB29CE"/>
    <w:rsid w:val="00CB2B37"/>
    <w:rsid w:val="00CB2D8A"/>
    <w:rsid w:val="00CC2388"/>
    <w:rsid w:val="00CC5FCD"/>
    <w:rsid w:val="00CC620D"/>
    <w:rsid w:val="00CC6DF2"/>
    <w:rsid w:val="00CD123B"/>
    <w:rsid w:val="00CD12C8"/>
    <w:rsid w:val="00CD1A1A"/>
    <w:rsid w:val="00CD20BB"/>
    <w:rsid w:val="00CD35BC"/>
    <w:rsid w:val="00CD5033"/>
    <w:rsid w:val="00CD5B15"/>
    <w:rsid w:val="00CD60B6"/>
    <w:rsid w:val="00CD638A"/>
    <w:rsid w:val="00CD68AB"/>
    <w:rsid w:val="00CE1DF1"/>
    <w:rsid w:val="00CE2AD3"/>
    <w:rsid w:val="00CE463A"/>
    <w:rsid w:val="00CE585E"/>
    <w:rsid w:val="00CE677A"/>
    <w:rsid w:val="00CE74F6"/>
    <w:rsid w:val="00CE7B01"/>
    <w:rsid w:val="00CF0071"/>
    <w:rsid w:val="00CF00D0"/>
    <w:rsid w:val="00CF0F71"/>
    <w:rsid w:val="00CF29BA"/>
    <w:rsid w:val="00CF3110"/>
    <w:rsid w:val="00CF3735"/>
    <w:rsid w:val="00CF38BB"/>
    <w:rsid w:val="00CF4701"/>
    <w:rsid w:val="00CF48E4"/>
    <w:rsid w:val="00CF661D"/>
    <w:rsid w:val="00D00933"/>
    <w:rsid w:val="00D0124F"/>
    <w:rsid w:val="00D03814"/>
    <w:rsid w:val="00D03956"/>
    <w:rsid w:val="00D03D96"/>
    <w:rsid w:val="00D0643B"/>
    <w:rsid w:val="00D1048F"/>
    <w:rsid w:val="00D10D5E"/>
    <w:rsid w:val="00D11A1A"/>
    <w:rsid w:val="00D131DB"/>
    <w:rsid w:val="00D159A2"/>
    <w:rsid w:val="00D162D1"/>
    <w:rsid w:val="00D16307"/>
    <w:rsid w:val="00D16F98"/>
    <w:rsid w:val="00D21242"/>
    <w:rsid w:val="00D21663"/>
    <w:rsid w:val="00D21EDA"/>
    <w:rsid w:val="00D24596"/>
    <w:rsid w:val="00D24944"/>
    <w:rsid w:val="00D2532E"/>
    <w:rsid w:val="00D25590"/>
    <w:rsid w:val="00D26188"/>
    <w:rsid w:val="00D276FF"/>
    <w:rsid w:val="00D3287C"/>
    <w:rsid w:val="00D336C7"/>
    <w:rsid w:val="00D35C7F"/>
    <w:rsid w:val="00D365EA"/>
    <w:rsid w:val="00D36D23"/>
    <w:rsid w:val="00D417B0"/>
    <w:rsid w:val="00D419EA"/>
    <w:rsid w:val="00D42E7E"/>
    <w:rsid w:val="00D43FC0"/>
    <w:rsid w:val="00D45413"/>
    <w:rsid w:val="00D4631F"/>
    <w:rsid w:val="00D47EAF"/>
    <w:rsid w:val="00D5016A"/>
    <w:rsid w:val="00D506B2"/>
    <w:rsid w:val="00D53A18"/>
    <w:rsid w:val="00D53C00"/>
    <w:rsid w:val="00D540D8"/>
    <w:rsid w:val="00D57208"/>
    <w:rsid w:val="00D57B83"/>
    <w:rsid w:val="00D57D80"/>
    <w:rsid w:val="00D61E11"/>
    <w:rsid w:val="00D62F37"/>
    <w:rsid w:val="00D63546"/>
    <w:rsid w:val="00D65014"/>
    <w:rsid w:val="00D65C64"/>
    <w:rsid w:val="00D66E75"/>
    <w:rsid w:val="00D66F5F"/>
    <w:rsid w:val="00D705F2"/>
    <w:rsid w:val="00D719D8"/>
    <w:rsid w:val="00D73291"/>
    <w:rsid w:val="00D75D8B"/>
    <w:rsid w:val="00D76203"/>
    <w:rsid w:val="00D76765"/>
    <w:rsid w:val="00D76AA2"/>
    <w:rsid w:val="00D80033"/>
    <w:rsid w:val="00D802AF"/>
    <w:rsid w:val="00D87199"/>
    <w:rsid w:val="00D90B1C"/>
    <w:rsid w:val="00D9130F"/>
    <w:rsid w:val="00D92098"/>
    <w:rsid w:val="00D92898"/>
    <w:rsid w:val="00D94D3F"/>
    <w:rsid w:val="00D954B5"/>
    <w:rsid w:val="00D9571D"/>
    <w:rsid w:val="00D95A04"/>
    <w:rsid w:val="00D95C42"/>
    <w:rsid w:val="00D961CF"/>
    <w:rsid w:val="00D974A3"/>
    <w:rsid w:val="00DA0124"/>
    <w:rsid w:val="00DA0616"/>
    <w:rsid w:val="00DA0882"/>
    <w:rsid w:val="00DA10F2"/>
    <w:rsid w:val="00DA7CB3"/>
    <w:rsid w:val="00DB0ACD"/>
    <w:rsid w:val="00DB1529"/>
    <w:rsid w:val="00DB1AE4"/>
    <w:rsid w:val="00DB3479"/>
    <w:rsid w:val="00DB36F1"/>
    <w:rsid w:val="00DB5225"/>
    <w:rsid w:val="00DB5D5F"/>
    <w:rsid w:val="00DB61F6"/>
    <w:rsid w:val="00DB66B4"/>
    <w:rsid w:val="00DB70CB"/>
    <w:rsid w:val="00DC130D"/>
    <w:rsid w:val="00DC2B37"/>
    <w:rsid w:val="00DC3613"/>
    <w:rsid w:val="00DC3996"/>
    <w:rsid w:val="00DC3ADC"/>
    <w:rsid w:val="00DC711C"/>
    <w:rsid w:val="00DC75A2"/>
    <w:rsid w:val="00DD1464"/>
    <w:rsid w:val="00DD1B28"/>
    <w:rsid w:val="00DD4666"/>
    <w:rsid w:val="00DD5331"/>
    <w:rsid w:val="00DD6E93"/>
    <w:rsid w:val="00DD7985"/>
    <w:rsid w:val="00DE0211"/>
    <w:rsid w:val="00DE296D"/>
    <w:rsid w:val="00DE2AF4"/>
    <w:rsid w:val="00DE350D"/>
    <w:rsid w:val="00DE5176"/>
    <w:rsid w:val="00DE5777"/>
    <w:rsid w:val="00DE6045"/>
    <w:rsid w:val="00DF20EF"/>
    <w:rsid w:val="00DF2AF9"/>
    <w:rsid w:val="00DF33BA"/>
    <w:rsid w:val="00DF4E0D"/>
    <w:rsid w:val="00DF5A3A"/>
    <w:rsid w:val="00DF7D9C"/>
    <w:rsid w:val="00DF7E1D"/>
    <w:rsid w:val="00E00403"/>
    <w:rsid w:val="00E05AF8"/>
    <w:rsid w:val="00E10A79"/>
    <w:rsid w:val="00E127AA"/>
    <w:rsid w:val="00E12E89"/>
    <w:rsid w:val="00E135F2"/>
    <w:rsid w:val="00E15B80"/>
    <w:rsid w:val="00E15E1F"/>
    <w:rsid w:val="00E209DF"/>
    <w:rsid w:val="00E20E82"/>
    <w:rsid w:val="00E23C6E"/>
    <w:rsid w:val="00E23EB9"/>
    <w:rsid w:val="00E2460C"/>
    <w:rsid w:val="00E2618D"/>
    <w:rsid w:val="00E30525"/>
    <w:rsid w:val="00E30722"/>
    <w:rsid w:val="00E3079D"/>
    <w:rsid w:val="00E32877"/>
    <w:rsid w:val="00E3464A"/>
    <w:rsid w:val="00E34E67"/>
    <w:rsid w:val="00E35923"/>
    <w:rsid w:val="00E36626"/>
    <w:rsid w:val="00E373C6"/>
    <w:rsid w:val="00E402CE"/>
    <w:rsid w:val="00E40F50"/>
    <w:rsid w:val="00E41727"/>
    <w:rsid w:val="00E42632"/>
    <w:rsid w:val="00E42F1E"/>
    <w:rsid w:val="00E43EE0"/>
    <w:rsid w:val="00E44EBF"/>
    <w:rsid w:val="00E455B2"/>
    <w:rsid w:val="00E45F66"/>
    <w:rsid w:val="00E50547"/>
    <w:rsid w:val="00E53976"/>
    <w:rsid w:val="00E53C68"/>
    <w:rsid w:val="00E54D1F"/>
    <w:rsid w:val="00E54FAC"/>
    <w:rsid w:val="00E55A57"/>
    <w:rsid w:val="00E570E2"/>
    <w:rsid w:val="00E57380"/>
    <w:rsid w:val="00E60178"/>
    <w:rsid w:val="00E634DA"/>
    <w:rsid w:val="00E63C81"/>
    <w:rsid w:val="00E63CC7"/>
    <w:rsid w:val="00E64053"/>
    <w:rsid w:val="00E64326"/>
    <w:rsid w:val="00E647DE"/>
    <w:rsid w:val="00E6751C"/>
    <w:rsid w:val="00E70891"/>
    <w:rsid w:val="00E7208D"/>
    <w:rsid w:val="00E72298"/>
    <w:rsid w:val="00E73CB0"/>
    <w:rsid w:val="00E74167"/>
    <w:rsid w:val="00E7430A"/>
    <w:rsid w:val="00E74C48"/>
    <w:rsid w:val="00E750C2"/>
    <w:rsid w:val="00E7567D"/>
    <w:rsid w:val="00E75816"/>
    <w:rsid w:val="00E75C6C"/>
    <w:rsid w:val="00E762B4"/>
    <w:rsid w:val="00E76E2F"/>
    <w:rsid w:val="00E77416"/>
    <w:rsid w:val="00E800C7"/>
    <w:rsid w:val="00E815B0"/>
    <w:rsid w:val="00E81C7C"/>
    <w:rsid w:val="00E82453"/>
    <w:rsid w:val="00E824CC"/>
    <w:rsid w:val="00E82DD9"/>
    <w:rsid w:val="00E83AB4"/>
    <w:rsid w:val="00E84693"/>
    <w:rsid w:val="00E84D35"/>
    <w:rsid w:val="00E852AB"/>
    <w:rsid w:val="00E8648B"/>
    <w:rsid w:val="00E86813"/>
    <w:rsid w:val="00E878B0"/>
    <w:rsid w:val="00E90758"/>
    <w:rsid w:val="00E91AEC"/>
    <w:rsid w:val="00E931B7"/>
    <w:rsid w:val="00E96282"/>
    <w:rsid w:val="00E973A0"/>
    <w:rsid w:val="00E973ED"/>
    <w:rsid w:val="00E97B82"/>
    <w:rsid w:val="00E97E20"/>
    <w:rsid w:val="00EA2656"/>
    <w:rsid w:val="00EA42E6"/>
    <w:rsid w:val="00EA7E3D"/>
    <w:rsid w:val="00EB4BC4"/>
    <w:rsid w:val="00EB5E46"/>
    <w:rsid w:val="00EB69E4"/>
    <w:rsid w:val="00EB712D"/>
    <w:rsid w:val="00EB7B8F"/>
    <w:rsid w:val="00EC27BB"/>
    <w:rsid w:val="00EC3011"/>
    <w:rsid w:val="00EC35D4"/>
    <w:rsid w:val="00EC3B21"/>
    <w:rsid w:val="00EC3B5A"/>
    <w:rsid w:val="00EC3C15"/>
    <w:rsid w:val="00EC3E45"/>
    <w:rsid w:val="00EC42B1"/>
    <w:rsid w:val="00EC42F2"/>
    <w:rsid w:val="00EC5DD5"/>
    <w:rsid w:val="00EC6B82"/>
    <w:rsid w:val="00EC759B"/>
    <w:rsid w:val="00EC791F"/>
    <w:rsid w:val="00EC7BC2"/>
    <w:rsid w:val="00ED14AC"/>
    <w:rsid w:val="00ED4047"/>
    <w:rsid w:val="00ED638F"/>
    <w:rsid w:val="00ED69C4"/>
    <w:rsid w:val="00ED6AE8"/>
    <w:rsid w:val="00ED7F7B"/>
    <w:rsid w:val="00EE22C4"/>
    <w:rsid w:val="00EE3069"/>
    <w:rsid w:val="00EE4061"/>
    <w:rsid w:val="00EE58F8"/>
    <w:rsid w:val="00EE5D8C"/>
    <w:rsid w:val="00EE77C7"/>
    <w:rsid w:val="00EF21D0"/>
    <w:rsid w:val="00EF4E47"/>
    <w:rsid w:val="00EF7A88"/>
    <w:rsid w:val="00F0092E"/>
    <w:rsid w:val="00F00AA7"/>
    <w:rsid w:val="00F00D54"/>
    <w:rsid w:val="00F02C43"/>
    <w:rsid w:val="00F04B61"/>
    <w:rsid w:val="00F053CB"/>
    <w:rsid w:val="00F063AB"/>
    <w:rsid w:val="00F0723F"/>
    <w:rsid w:val="00F100A6"/>
    <w:rsid w:val="00F10606"/>
    <w:rsid w:val="00F1307B"/>
    <w:rsid w:val="00F13596"/>
    <w:rsid w:val="00F14E39"/>
    <w:rsid w:val="00F15475"/>
    <w:rsid w:val="00F15B48"/>
    <w:rsid w:val="00F15E4B"/>
    <w:rsid w:val="00F17169"/>
    <w:rsid w:val="00F205E5"/>
    <w:rsid w:val="00F207D8"/>
    <w:rsid w:val="00F2216D"/>
    <w:rsid w:val="00F2259B"/>
    <w:rsid w:val="00F23607"/>
    <w:rsid w:val="00F236E5"/>
    <w:rsid w:val="00F24B39"/>
    <w:rsid w:val="00F24EDC"/>
    <w:rsid w:val="00F25D0E"/>
    <w:rsid w:val="00F2697D"/>
    <w:rsid w:val="00F26D22"/>
    <w:rsid w:val="00F26FB2"/>
    <w:rsid w:val="00F3076F"/>
    <w:rsid w:val="00F30BEA"/>
    <w:rsid w:val="00F31781"/>
    <w:rsid w:val="00F31C99"/>
    <w:rsid w:val="00F32856"/>
    <w:rsid w:val="00F32E0F"/>
    <w:rsid w:val="00F33C8A"/>
    <w:rsid w:val="00F33CCE"/>
    <w:rsid w:val="00F35273"/>
    <w:rsid w:val="00F35481"/>
    <w:rsid w:val="00F36548"/>
    <w:rsid w:val="00F36B89"/>
    <w:rsid w:val="00F40C98"/>
    <w:rsid w:val="00F41875"/>
    <w:rsid w:val="00F41C1E"/>
    <w:rsid w:val="00F46AEC"/>
    <w:rsid w:val="00F47730"/>
    <w:rsid w:val="00F479A9"/>
    <w:rsid w:val="00F500D9"/>
    <w:rsid w:val="00F50109"/>
    <w:rsid w:val="00F50D32"/>
    <w:rsid w:val="00F51550"/>
    <w:rsid w:val="00F533F6"/>
    <w:rsid w:val="00F54315"/>
    <w:rsid w:val="00F54E79"/>
    <w:rsid w:val="00F552B5"/>
    <w:rsid w:val="00F55AFE"/>
    <w:rsid w:val="00F56A5C"/>
    <w:rsid w:val="00F602ED"/>
    <w:rsid w:val="00F60513"/>
    <w:rsid w:val="00F61FAA"/>
    <w:rsid w:val="00F63E4D"/>
    <w:rsid w:val="00F63FB0"/>
    <w:rsid w:val="00F641A3"/>
    <w:rsid w:val="00F6437B"/>
    <w:rsid w:val="00F70F54"/>
    <w:rsid w:val="00F71007"/>
    <w:rsid w:val="00F72D2E"/>
    <w:rsid w:val="00F738B2"/>
    <w:rsid w:val="00F74B32"/>
    <w:rsid w:val="00F839FD"/>
    <w:rsid w:val="00F84151"/>
    <w:rsid w:val="00F85F78"/>
    <w:rsid w:val="00F86BDB"/>
    <w:rsid w:val="00F86F49"/>
    <w:rsid w:val="00F9190C"/>
    <w:rsid w:val="00F91EA9"/>
    <w:rsid w:val="00F926A8"/>
    <w:rsid w:val="00F967D2"/>
    <w:rsid w:val="00F96B0C"/>
    <w:rsid w:val="00F97982"/>
    <w:rsid w:val="00FA1C0C"/>
    <w:rsid w:val="00FA3D47"/>
    <w:rsid w:val="00FA5003"/>
    <w:rsid w:val="00FA7F54"/>
    <w:rsid w:val="00FB00FF"/>
    <w:rsid w:val="00FB19D5"/>
    <w:rsid w:val="00FB2490"/>
    <w:rsid w:val="00FB33E4"/>
    <w:rsid w:val="00FB34BA"/>
    <w:rsid w:val="00FB3506"/>
    <w:rsid w:val="00FB3CD8"/>
    <w:rsid w:val="00FB792C"/>
    <w:rsid w:val="00FB7E49"/>
    <w:rsid w:val="00FC03AA"/>
    <w:rsid w:val="00FC513F"/>
    <w:rsid w:val="00FC5AD0"/>
    <w:rsid w:val="00FC6528"/>
    <w:rsid w:val="00FD03F2"/>
    <w:rsid w:val="00FD28D6"/>
    <w:rsid w:val="00FD2DFB"/>
    <w:rsid w:val="00FD6091"/>
    <w:rsid w:val="00FD630F"/>
    <w:rsid w:val="00FD7165"/>
    <w:rsid w:val="00FD7CF2"/>
    <w:rsid w:val="00FE0FFA"/>
    <w:rsid w:val="00FE2059"/>
    <w:rsid w:val="00FE76C0"/>
    <w:rsid w:val="00FE79A1"/>
    <w:rsid w:val="00FE7E00"/>
    <w:rsid w:val="00FF0A54"/>
    <w:rsid w:val="00FF18D8"/>
    <w:rsid w:val="00FF242F"/>
    <w:rsid w:val="00FF24E4"/>
    <w:rsid w:val="00FF2D89"/>
    <w:rsid w:val="00FF316A"/>
    <w:rsid w:val="00FF4CB7"/>
    <w:rsid w:val="00FF7551"/>
    <w:rsid w:val="00FF760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3DFA9D"/>
  <w15:chartTrackingRefBased/>
  <w15:docId w15:val="{403FB5E6-23E1-437C-BAF5-5E1137419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735C"/>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64735C"/>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64735C"/>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6473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73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73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73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73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73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35C"/>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64735C"/>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64735C"/>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6473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73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73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73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73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735C"/>
    <w:rPr>
      <w:rFonts w:eastAsiaTheme="majorEastAsia" w:cstheme="majorBidi"/>
      <w:color w:val="272727" w:themeColor="text1" w:themeTint="D8"/>
    </w:rPr>
  </w:style>
  <w:style w:type="paragraph" w:styleId="Title">
    <w:name w:val="Title"/>
    <w:basedOn w:val="Normal"/>
    <w:next w:val="Normal"/>
    <w:link w:val="TitleChar"/>
    <w:uiPriority w:val="10"/>
    <w:qFormat/>
    <w:rsid w:val="0064735C"/>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64735C"/>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64735C"/>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64735C"/>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64735C"/>
    <w:pPr>
      <w:spacing w:before="160"/>
      <w:jc w:val="center"/>
    </w:pPr>
    <w:rPr>
      <w:i/>
      <w:iCs/>
      <w:color w:val="404040" w:themeColor="text1" w:themeTint="BF"/>
    </w:rPr>
  </w:style>
  <w:style w:type="character" w:customStyle="1" w:styleId="QuoteChar">
    <w:name w:val="Quote Char"/>
    <w:basedOn w:val="DefaultParagraphFont"/>
    <w:link w:val="Quote"/>
    <w:uiPriority w:val="29"/>
    <w:rsid w:val="0064735C"/>
    <w:rPr>
      <w:i/>
      <w:iCs/>
      <w:color w:val="404040" w:themeColor="text1" w:themeTint="BF"/>
    </w:rPr>
  </w:style>
  <w:style w:type="paragraph" w:styleId="ListParagraph">
    <w:name w:val="List Paragraph"/>
    <w:basedOn w:val="Normal"/>
    <w:uiPriority w:val="34"/>
    <w:qFormat/>
    <w:rsid w:val="0064735C"/>
    <w:pPr>
      <w:ind w:left="720"/>
      <w:contextualSpacing/>
    </w:pPr>
  </w:style>
  <w:style w:type="character" w:styleId="IntenseEmphasis">
    <w:name w:val="Intense Emphasis"/>
    <w:basedOn w:val="DefaultParagraphFont"/>
    <w:uiPriority w:val="21"/>
    <w:qFormat/>
    <w:rsid w:val="0064735C"/>
    <w:rPr>
      <w:i/>
      <w:iCs/>
      <w:color w:val="0F4761" w:themeColor="accent1" w:themeShade="BF"/>
    </w:rPr>
  </w:style>
  <w:style w:type="paragraph" w:styleId="IntenseQuote">
    <w:name w:val="Intense Quote"/>
    <w:basedOn w:val="Normal"/>
    <w:next w:val="Normal"/>
    <w:link w:val="IntenseQuoteChar"/>
    <w:uiPriority w:val="30"/>
    <w:qFormat/>
    <w:rsid w:val="006473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735C"/>
    <w:rPr>
      <w:i/>
      <w:iCs/>
      <w:color w:val="0F4761" w:themeColor="accent1" w:themeShade="BF"/>
    </w:rPr>
  </w:style>
  <w:style w:type="character" w:styleId="IntenseReference">
    <w:name w:val="Intense Reference"/>
    <w:basedOn w:val="DefaultParagraphFont"/>
    <w:uiPriority w:val="32"/>
    <w:qFormat/>
    <w:rsid w:val="0064735C"/>
    <w:rPr>
      <w:b/>
      <w:bCs/>
      <w:smallCaps/>
      <w:color w:val="0F4761" w:themeColor="accent1" w:themeShade="BF"/>
      <w:spacing w:val="5"/>
    </w:rPr>
  </w:style>
  <w:style w:type="character" w:styleId="PageNumber">
    <w:name w:val="page number"/>
    <w:rsid w:val="0064735C"/>
  </w:style>
  <w:style w:type="paragraph" w:styleId="NormalWeb">
    <w:name w:val="Normal (Web)"/>
    <w:uiPriority w:val="99"/>
    <w:rsid w:val="0064735C"/>
    <w:pPr>
      <w:pBdr>
        <w:top w:val="nil"/>
        <w:left w:val="nil"/>
        <w:bottom w:val="nil"/>
        <w:right w:val="nil"/>
        <w:between w:val="nil"/>
        <w:bar w:val="nil"/>
      </w:pBdr>
      <w:spacing w:before="100" w:after="100"/>
    </w:pPr>
    <w:rPr>
      <w:rFonts w:ascii="Times" w:eastAsia="Arial Unicode MS" w:hAnsi="Times" w:cs="Arial Unicode MS"/>
      <w:color w:val="000000"/>
      <w:kern w:val="0"/>
      <w:sz w:val="20"/>
      <w:szCs w:val="20"/>
      <w:u w:color="000000"/>
      <w:bdr w:val="nil"/>
      <w14:ligatures w14:val="none"/>
    </w:rPr>
  </w:style>
  <w:style w:type="paragraph" w:customStyle="1" w:styleId="BodyA">
    <w:name w:val="Body A"/>
    <w:rsid w:val="0064735C"/>
    <w:pPr>
      <w:pBdr>
        <w:top w:val="nil"/>
        <w:left w:val="nil"/>
        <w:bottom w:val="nil"/>
        <w:right w:val="nil"/>
        <w:between w:val="nil"/>
        <w:bar w:val="nil"/>
      </w:pBdr>
    </w:pPr>
    <w:rPr>
      <w:rFonts w:ascii="Cambria" w:eastAsia="Cambria" w:hAnsi="Cambria" w:cs="Cambria"/>
      <w:color w:val="000000"/>
      <w:kern w:val="0"/>
      <w:sz w:val="24"/>
      <w:szCs w:val="24"/>
      <w:u w:color="000000"/>
      <w:bdr w:val="nil"/>
      <w14:ligatures w14:val="none"/>
    </w:rPr>
  </w:style>
  <w:style w:type="character" w:styleId="Hyperlink">
    <w:name w:val="Hyperlink"/>
    <w:basedOn w:val="DefaultParagraphFont"/>
    <w:uiPriority w:val="99"/>
    <w:unhideWhenUsed/>
    <w:rsid w:val="0064735C"/>
    <w:rPr>
      <w:color w:val="467886" w:themeColor="hyperlink"/>
      <w:u w:val="single"/>
    </w:rPr>
  </w:style>
  <w:style w:type="character" w:styleId="UnresolvedMention">
    <w:name w:val="Unresolved Mention"/>
    <w:basedOn w:val="DefaultParagraphFont"/>
    <w:uiPriority w:val="99"/>
    <w:semiHidden/>
    <w:unhideWhenUsed/>
    <w:rsid w:val="0064735C"/>
    <w:rPr>
      <w:color w:val="605E5C"/>
      <w:shd w:val="clear" w:color="auto" w:fill="E1DFDD"/>
    </w:rPr>
  </w:style>
  <w:style w:type="character" w:customStyle="1" w:styleId="Hyperlink0">
    <w:name w:val="Hyperlink.0"/>
    <w:basedOn w:val="PageNumber"/>
    <w:rsid w:val="0064735C"/>
    <w:rPr>
      <w:rFonts w:ascii="Verdana" w:eastAsia="Verdana" w:hAnsi="Verdana" w:cs="Verdana"/>
      <w:color w:val="0000FF"/>
      <w:sz w:val="19"/>
      <w:szCs w:val="19"/>
      <w:u w:val="single" w:color="0000FF"/>
      <w:lang w:val="en-US"/>
    </w:rPr>
  </w:style>
  <w:style w:type="character" w:customStyle="1" w:styleId="Hyperlink1">
    <w:name w:val="Hyperlink.1"/>
    <w:basedOn w:val="PageNumber"/>
    <w:rsid w:val="0064735C"/>
    <w:rPr>
      <w:rFonts w:ascii="Verdana" w:eastAsia="Verdana" w:hAnsi="Verdana" w:cs="Verdana"/>
      <w:color w:val="0000FF"/>
      <w:sz w:val="19"/>
      <w:szCs w:val="19"/>
      <w:u w:val="single" w:color="0000FF"/>
    </w:rPr>
  </w:style>
  <w:style w:type="paragraph" w:styleId="FootnoteText">
    <w:name w:val="footnote text"/>
    <w:basedOn w:val="Normal"/>
    <w:link w:val="FootnoteTextChar"/>
    <w:uiPriority w:val="99"/>
    <w:unhideWhenUsed/>
    <w:rsid w:val="00CD68AB"/>
    <w:pPr>
      <w:spacing w:after="0" w:line="240" w:lineRule="auto"/>
    </w:pPr>
    <w:rPr>
      <w:sz w:val="20"/>
      <w:szCs w:val="25"/>
    </w:rPr>
  </w:style>
  <w:style w:type="character" w:customStyle="1" w:styleId="FootnoteTextChar">
    <w:name w:val="Footnote Text Char"/>
    <w:basedOn w:val="DefaultParagraphFont"/>
    <w:link w:val="FootnoteText"/>
    <w:uiPriority w:val="99"/>
    <w:rsid w:val="00CD68AB"/>
    <w:rPr>
      <w:sz w:val="20"/>
      <w:szCs w:val="25"/>
    </w:rPr>
  </w:style>
  <w:style w:type="character" w:styleId="FootnoteReference">
    <w:name w:val="footnote reference"/>
    <w:basedOn w:val="DefaultParagraphFont"/>
    <w:uiPriority w:val="99"/>
    <w:semiHidden/>
    <w:unhideWhenUsed/>
    <w:rsid w:val="00CD68AB"/>
    <w:rPr>
      <w:vertAlign w:val="superscript"/>
    </w:rPr>
  </w:style>
  <w:style w:type="paragraph" w:styleId="Header">
    <w:name w:val="header"/>
    <w:basedOn w:val="Normal"/>
    <w:link w:val="HeaderChar"/>
    <w:uiPriority w:val="99"/>
    <w:unhideWhenUsed/>
    <w:rsid w:val="00E44E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4EBF"/>
  </w:style>
  <w:style w:type="paragraph" w:styleId="Footer">
    <w:name w:val="footer"/>
    <w:basedOn w:val="Normal"/>
    <w:link w:val="FooterChar"/>
    <w:uiPriority w:val="99"/>
    <w:unhideWhenUsed/>
    <w:rsid w:val="00E44E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4EBF"/>
  </w:style>
  <w:style w:type="paragraph" w:styleId="Revision">
    <w:name w:val="Revision"/>
    <w:hidden/>
    <w:uiPriority w:val="99"/>
    <w:semiHidden/>
    <w:rsid w:val="00BA5D32"/>
    <w:pPr>
      <w:spacing w:after="0" w:line="240" w:lineRule="auto"/>
    </w:pPr>
  </w:style>
  <w:style w:type="character" w:styleId="CommentReference">
    <w:name w:val="annotation reference"/>
    <w:basedOn w:val="DefaultParagraphFont"/>
    <w:uiPriority w:val="99"/>
    <w:semiHidden/>
    <w:unhideWhenUsed/>
    <w:rsid w:val="00805D2D"/>
    <w:rPr>
      <w:sz w:val="16"/>
      <w:szCs w:val="16"/>
    </w:rPr>
  </w:style>
  <w:style w:type="paragraph" w:styleId="CommentText">
    <w:name w:val="annotation text"/>
    <w:basedOn w:val="Normal"/>
    <w:link w:val="CommentTextChar"/>
    <w:uiPriority w:val="99"/>
    <w:unhideWhenUsed/>
    <w:rsid w:val="00805D2D"/>
    <w:pPr>
      <w:spacing w:line="240" w:lineRule="auto"/>
    </w:pPr>
    <w:rPr>
      <w:sz w:val="20"/>
      <w:szCs w:val="25"/>
    </w:rPr>
  </w:style>
  <w:style w:type="character" w:customStyle="1" w:styleId="CommentTextChar">
    <w:name w:val="Comment Text Char"/>
    <w:basedOn w:val="DefaultParagraphFont"/>
    <w:link w:val="CommentText"/>
    <w:uiPriority w:val="99"/>
    <w:rsid w:val="00805D2D"/>
    <w:rPr>
      <w:sz w:val="20"/>
      <w:szCs w:val="25"/>
    </w:rPr>
  </w:style>
  <w:style w:type="paragraph" w:styleId="CommentSubject">
    <w:name w:val="annotation subject"/>
    <w:basedOn w:val="CommentText"/>
    <w:next w:val="CommentText"/>
    <w:link w:val="CommentSubjectChar"/>
    <w:uiPriority w:val="99"/>
    <w:semiHidden/>
    <w:unhideWhenUsed/>
    <w:rsid w:val="00805D2D"/>
    <w:rPr>
      <w:b/>
      <w:bCs/>
    </w:rPr>
  </w:style>
  <w:style w:type="character" w:customStyle="1" w:styleId="CommentSubjectChar">
    <w:name w:val="Comment Subject Char"/>
    <w:basedOn w:val="CommentTextChar"/>
    <w:link w:val="CommentSubject"/>
    <w:uiPriority w:val="99"/>
    <w:semiHidden/>
    <w:rsid w:val="00805D2D"/>
    <w:rPr>
      <w:b/>
      <w:bCs/>
      <w:sz w:val="20"/>
      <w:szCs w:val="25"/>
    </w:rPr>
  </w:style>
  <w:style w:type="character" w:customStyle="1" w:styleId="Hyperlink2">
    <w:name w:val="Hyperlink.2"/>
    <w:basedOn w:val="DefaultParagraphFont"/>
    <w:rsid w:val="00E455B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903807">
      <w:bodyDiv w:val="1"/>
      <w:marLeft w:val="0"/>
      <w:marRight w:val="0"/>
      <w:marTop w:val="0"/>
      <w:marBottom w:val="0"/>
      <w:divBdr>
        <w:top w:val="none" w:sz="0" w:space="0" w:color="auto"/>
        <w:left w:val="none" w:sz="0" w:space="0" w:color="auto"/>
        <w:bottom w:val="none" w:sz="0" w:space="0" w:color="auto"/>
        <w:right w:val="none" w:sz="0" w:space="0" w:color="auto"/>
      </w:divBdr>
      <w:divsChild>
        <w:div w:id="1671563204">
          <w:marLeft w:val="0"/>
          <w:marRight w:val="0"/>
          <w:marTop w:val="0"/>
          <w:marBottom w:val="0"/>
          <w:divBdr>
            <w:top w:val="none" w:sz="0" w:space="0" w:color="auto"/>
            <w:left w:val="none" w:sz="0" w:space="0" w:color="auto"/>
            <w:bottom w:val="none" w:sz="0" w:space="0" w:color="auto"/>
            <w:right w:val="none" w:sz="0" w:space="0" w:color="auto"/>
          </w:divBdr>
          <w:divsChild>
            <w:div w:id="1286542333">
              <w:marLeft w:val="0"/>
              <w:marRight w:val="0"/>
              <w:marTop w:val="0"/>
              <w:marBottom w:val="0"/>
              <w:divBdr>
                <w:top w:val="none" w:sz="0" w:space="0" w:color="auto"/>
                <w:left w:val="none" w:sz="0" w:space="0" w:color="auto"/>
                <w:bottom w:val="none" w:sz="0" w:space="0" w:color="auto"/>
                <w:right w:val="none" w:sz="0" w:space="0" w:color="auto"/>
              </w:divBdr>
              <w:divsChild>
                <w:div w:id="35219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1594">
      <w:bodyDiv w:val="1"/>
      <w:marLeft w:val="0"/>
      <w:marRight w:val="0"/>
      <w:marTop w:val="0"/>
      <w:marBottom w:val="0"/>
      <w:divBdr>
        <w:top w:val="none" w:sz="0" w:space="0" w:color="auto"/>
        <w:left w:val="none" w:sz="0" w:space="0" w:color="auto"/>
        <w:bottom w:val="none" w:sz="0" w:space="0" w:color="auto"/>
        <w:right w:val="none" w:sz="0" w:space="0" w:color="auto"/>
      </w:divBdr>
    </w:div>
    <w:div w:id="457450909">
      <w:bodyDiv w:val="1"/>
      <w:marLeft w:val="0"/>
      <w:marRight w:val="0"/>
      <w:marTop w:val="0"/>
      <w:marBottom w:val="0"/>
      <w:divBdr>
        <w:top w:val="none" w:sz="0" w:space="0" w:color="auto"/>
        <w:left w:val="none" w:sz="0" w:space="0" w:color="auto"/>
        <w:bottom w:val="none" w:sz="0" w:space="0" w:color="auto"/>
        <w:right w:val="none" w:sz="0" w:space="0" w:color="auto"/>
      </w:divBdr>
    </w:div>
    <w:div w:id="1078330440">
      <w:bodyDiv w:val="1"/>
      <w:marLeft w:val="0"/>
      <w:marRight w:val="0"/>
      <w:marTop w:val="0"/>
      <w:marBottom w:val="0"/>
      <w:divBdr>
        <w:top w:val="none" w:sz="0" w:space="0" w:color="auto"/>
        <w:left w:val="none" w:sz="0" w:space="0" w:color="auto"/>
        <w:bottom w:val="none" w:sz="0" w:space="0" w:color="auto"/>
        <w:right w:val="none" w:sz="0" w:space="0" w:color="auto"/>
      </w:divBdr>
    </w:div>
    <w:div w:id="1600747331">
      <w:bodyDiv w:val="1"/>
      <w:marLeft w:val="0"/>
      <w:marRight w:val="0"/>
      <w:marTop w:val="0"/>
      <w:marBottom w:val="0"/>
      <w:divBdr>
        <w:top w:val="none" w:sz="0" w:space="0" w:color="auto"/>
        <w:left w:val="none" w:sz="0" w:space="0" w:color="auto"/>
        <w:bottom w:val="none" w:sz="0" w:space="0" w:color="auto"/>
        <w:right w:val="none" w:sz="0" w:space="0" w:color="auto"/>
      </w:divBdr>
    </w:div>
    <w:div w:id="1975790280">
      <w:bodyDiv w:val="1"/>
      <w:marLeft w:val="0"/>
      <w:marRight w:val="0"/>
      <w:marTop w:val="0"/>
      <w:marBottom w:val="0"/>
      <w:divBdr>
        <w:top w:val="none" w:sz="0" w:space="0" w:color="auto"/>
        <w:left w:val="none" w:sz="0" w:space="0" w:color="auto"/>
        <w:bottom w:val="none" w:sz="0" w:space="0" w:color="auto"/>
        <w:right w:val="none" w:sz="0" w:space="0" w:color="auto"/>
      </w:divBdr>
      <w:divsChild>
        <w:div w:id="300579248">
          <w:marLeft w:val="0"/>
          <w:marRight w:val="0"/>
          <w:marTop w:val="0"/>
          <w:marBottom w:val="0"/>
          <w:divBdr>
            <w:top w:val="none" w:sz="0" w:space="0" w:color="auto"/>
            <w:left w:val="none" w:sz="0" w:space="0" w:color="auto"/>
            <w:bottom w:val="none" w:sz="0" w:space="0" w:color="auto"/>
            <w:right w:val="none" w:sz="0" w:space="0" w:color="auto"/>
          </w:divBdr>
          <w:divsChild>
            <w:div w:id="2073844346">
              <w:marLeft w:val="0"/>
              <w:marRight w:val="0"/>
              <w:marTop w:val="0"/>
              <w:marBottom w:val="0"/>
              <w:divBdr>
                <w:top w:val="none" w:sz="0" w:space="0" w:color="auto"/>
                <w:left w:val="none" w:sz="0" w:space="0" w:color="auto"/>
                <w:bottom w:val="none" w:sz="0" w:space="0" w:color="auto"/>
                <w:right w:val="none" w:sz="0" w:space="0" w:color="auto"/>
              </w:divBdr>
              <w:divsChild>
                <w:div w:id="107821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info@icj.org" TargetMode="External"/><Relationship Id="rId4" Type="http://schemas.openxmlformats.org/officeDocument/2006/relationships/settings" Target="settings.xml"/><Relationship Id="rId9" Type="http://schemas.openxmlformats.org/officeDocument/2006/relationships/hyperlink" Target="http://www.icj.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icj.org/wp-content/uploads/2023/03/8-March-Principles-Report_final_print-version.pdf" TargetMode="External"/><Relationship Id="rId7" Type="http://schemas.openxmlformats.org/officeDocument/2006/relationships/hyperlink" Target="https://kpl.gov.la/EN/detail.aspx?id=72694" TargetMode="External"/><Relationship Id="rId2" Type="http://schemas.openxmlformats.org/officeDocument/2006/relationships/hyperlink" Target="https://www.bic.moe.go.th/images/stories/pdf/Law_of_Laos_1-11-2562.pdf" TargetMode="External"/><Relationship Id="rId1" Type="http://schemas.openxmlformats.org/officeDocument/2006/relationships/hyperlink" Target="https://faolex.fao.org/docs/pdf/lao209036.pdf" TargetMode="External"/><Relationship Id="rId6" Type="http://schemas.openxmlformats.org/officeDocument/2006/relationships/hyperlink" Target="https://documents1.worldbank.org/curated/en/300891594091530233/pdf/Lao-PDR-Gender-Based-Violence-Institutional-Mapping-Report.pdf?fbclid=IwAR3yLCpqLfsLrevmDoGeVJHLkAbwtsrLU0ufbAyOgBE8-3sDE8TIJCMv7bw" TargetMode="External"/><Relationship Id="rId5" Type="http://schemas.openxmlformats.org/officeDocument/2006/relationships/hyperlink" Target="https://www.parliament.go.th/ewtadmin/ewt/ac/ewt_dl_link.php?nid=119&amp;filename=parsystem2" TargetMode="External"/><Relationship Id="rId4" Type="http://schemas.openxmlformats.org/officeDocument/2006/relationships/hyperlink" Target="https://laotiantimes.com/2021/07/21/authorities-draft-new-legislation-on-surrogacy-and-abortion-in-la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6A69C-075C-492A-A2FC-AAC6229DE096}">
  <ds:schemaRefs>
    <ds:schemaRef ds:uri="http://schemas.openxmlformats.org/officeDocument/2006/bibliography"/>
  </ds:schemaRefs>
</ds:datastoreItem>
</file>

<file path=customXml/itemProps2.xml><?xml version="1.0" encoding="utf-8"?>
<ds:datastoreItem xmlns:ds="http://schemas.openxmlformats.org/officeDocument/2006/customXml" ds:itemID="{67C887A3-0A29-4B46-83C8-0BC32039CA9C}"/>
</file>

<file path=customXml/itemProps3.xml><?xml version="1.0" encoding="utf-8"?>
<ds:datastoreItem xmlns:ds="http://schemas.openxmlformats.org/officeDocument/2006/customXml" ds:itemID="{2C16A820-D7E4-4A3B-ACA0-1425F32DCB0C}"/>
</file>

<file path=docProps/app.xml><?xml version="1.0" encoding="utf-8"?>
<Properties xmlns="http://schemas.openxmlformats.org/officeDocument/2006/extended-properties" xmlns:vt="http://schemas.openxmlformats.org/officeDocument/2006/docPropsVTypes">
  <Template>Normal</Template>
  <TotalTime>1</TotalTime>
  <Pages>11</Pages>
  <Words>3517</Words>
  <Characters>20241</Characters>
  <Application>Microsoft Office Word</Application>
  <DocSecurity>0</DocSecurity>
  <Lines>396</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Sanhawan Srisod</dc:creator>
  <cp:keywords/>
  <dc:description/>
  <cp:lastModifiedBy>Sanhawan Srisod</cp:lastModifiedBy>
  <cp:revision>2</cp:revision>
  <dcterms:created xsi:type="dcterms:W3CDTF">2024-09-09T12:03:00Z</dcterms:created>
  <dcterms:modified xsi:type="dcterms:W3CDTF">2024-09-09T12:03:00Z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a793dd6a-2ecf-457b-be6a-0132bb9579ff</vt:lpwstr>
  </property>
</Properties>
</file>