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E5" w:rsidRDefault="00342EE7" w:rsidP="00F965D1">
      <w:pPr>
        <w:pBdr>
          <w:top w:val="nil"/>
          <w:left w:val="nil"/>
          <w:bottom w:val="nil"/>
          <w:right w:val="nil"/>
          <w:between w:val="nil"/>
        </w:pBdr>
        <w:bidi w:val="0"/>
        <w:ind w:left="1440" w:hanging="777"/>
        <w:jc w:val="center"/>
        <w:rPr>
          <w:rFonts w:ascii="Sakkal Majalla" w:eastAsia="Sakkal Majalla" w:hAnsi="Sakkal Majalla" w:cs="Sakkal Majalla"/>
          <w:b/>
          <w:sz w:val="36"/>
          <w:szCs w:val="36"/>
          <w:u w:val="single"/>
        </w:rPr>
      </w:pPr>
      <w:r>
        <w:rPr>
          <w:rFonts w:ascii="Sakkal Majalla" w:eastAsia="Sakkal Majalla" w:hAnsi="Sakkal Majalla" w:cs="Sakkal Majalla"/>
          <w:b/>
          <w:sz w:val="36"/>
          <w:szCs w:val="36"/>
          <w:u w:val="single"/>
        </w:rPr>
        <w:t>The Situation of Women’s rights in Qatar</w:t>
      </w:r>
    </w:p>
    <w:p w:rsidR="00D249E5" w:rsidRDefault="00342EE7" w:rsidP="00F965D1">
      <w:pPr>
        <w:bidi w:val="0"/>
        <w:spacing w:line="240" w:lineRule="auto"/>
        <w:jc w:val="both"/>
        <w:rPr>
          <w:rFonts w:ascii="Sakkal Majalla" w:eastAsia="Sakkal Majalla" w:hAnsi="Sakkal Majalla" w:cs="Sakkal Majalla"/>
          <w:sz w:val="32"/>
          <w:szCs w:val="32"/>
        </w:rPr>
      </w:pPr>
      <w:r>
        <w:rPr>
          <w:rFonts w:ascii="Sakkal Majalla" w:eastAsia="Sakkal Majalla" w:hAnsi="Sakkal Majalla" w:cs="Sakkal Majalla"/>
          <w:b/>
          <w:sz w:val="32"/>
          <w:szCs w:val="32"/>
        </w:rPr>
        <w:t xml:space="preserve">Submitted to: </w:t>
      </w:r>
      <w:r>
        <w:rPr>
          <w:rFonts w:ascii="Sakkal Majalla" w:eastAsia="Sakkal Majalla" w:hAnsi="Sakkal Majalla" w:cs="Sakkal Majalla"/>
          <w:sz w:val="32"/>
          <w:szCs w:val="32"/>
        </w:rPr>
        <w:t>The Committee on the Elimination of All Forms of Discrimination against Women (CEDAW)</w:t>
      </w:r>
    </w:p>
    <w:p w:rsidR="000B5D82" w:rsidRPr="000B5D82" w:rsidRDefault="00342EE7" w:rsidP="000B5D82">
      <w:pPr>
        <w:bidi w:val="0"/>
        <w:jc w:val="both"/>
        <w:rPr>
          <w:rFonts w:ascii="Sakkal Majalla" w:eastAsia="Sakkal Majalla" w:hAnsi="Sakkal Majalla" w:cs="Sakkal Majalla"/>
          <w:sz w:val="32"/>
          <w:szCs w:val="32"/>
        </w:rPr>
      </w:pPr>
      <w:r>
        <w:rPr>
          <w:rFonts w:ascii="Sakkal Majalla" w:eastAsia="Sakkal Majalla" w:hAnsi="Sakkal Majalla" w:cs="Sakkal Majalla"/>
          <w:b/>
          <w:sz w:val="32"/>
          <w:szCs w:val="32"/>
        </w:rPr>
        <w:t>Submitted by</w:t>
      </w:r>
      <w:r>
        <w:rPr>
          <w:rFonts w:ascii="Sakkal Majalla" w:eastAsia="Sakkal Majalla" w:hAnsi="Sakkal Majalla" w:cs="Sakkal Majalla"/>
          <w:sz w:val="32"/>
          <w:szCs w:val="32"/>
        </w:rPr>
        <w:t>: Maat for Peace, Development and Human Rights (In a consultative status with UN ECOSOC)</w:t>
      </w:r>
      <w:r w:rsidR="000B5D82">
        <w:rPr>
          <w:rFonts w:ascii="Sakkal Majalla" w:eastAsia="Sakkal Majalla" w:hAnsi="Sakkal Majalla" w:cs="Sakkal Majalla"/>
          <w:sz w:val="32"/>
          <w:szCs w:val="32"/>
        </w:rPr>
        <w:t xml:space="preserve"> to be </w:t>
      </w:r>
      <w:r w:rsidR="000B5D82" w:rsidRPr="000B5D82">
        <w:rPr>
          <w:rFonts w:ascii="Sakkal Majalla" w:eastAsia="Sakkal Majalla" w:hAnsi="Sakkal Majalla" w:cs="Sakkal Majalla"/>
          <w:sz w:val="32"/>
          <w:szCs w:val="32"/>
        </w:rPr>
        <w:t xml:space="preserve">posted on the CEDAW website for public information purposes; </w:t>
      </w:r>
    </w:p>
    <w:p w:rsidR="00D249E5" w:rsidRDefault="00D249E5" w:rsidP="00F965D1">
      <w:pPr>
        <w:bidi w:val="0"/>
        <w:jc w:val="both"/>
        <w:rPr>
          <w:rFonts w:ascii="Sakkal Majalla" w:eastAsia="Sakkal Majalla" w:hAnsi="Sakkal Majalla" w:cs="Sakkal Majalla"/>
          <w:sz w:val="32"/>
          <w:szCs w:val="32"/>
        </w:rPr>
      </w:pPr>
    </w:p>
    <w:p w:rsidR="00D249E5" w:rsidRDefault="00342EE7" w:rsidP="00F965D1">
      <w:pPr>
        <w:bidi w:val="0"/>
        <w:jc w:val="both"/>
        <w:rPr>
          <w:rFonts w:ascii="Sakkal Majalla" w:eastAsia="Sakkal Majalla" w:hAnsi="Sakkal Majalla" w:cs="Sakkal Majalla"/>
          <w:sz w:val="32"/>
          <w:szCs w:val="32"/>
        </w:rPr>
      </w:pPr>
      <w:bookmarkStart w:id="0" w:name="_GoBack"/>
      <w:bookmarkEnd w:id="0"/>
      <w:r>
        <w:rPr>
          <w:rFonts w:ascii="Sakkal Majalla" w:eastAsia="Sakkal Majalla" w:hAnsi="Sakkal Majalla" w:cs="Sakkal Majalla"/>
          <w:b/>
          <w:sz w:val="32"/>
          <w:szCs w:val="32"/>
        </w:rPr>
        <w:t xml:space="preserve">Submitted on: </w:t>
      </w:r>
      <w:r>
        <w:rPr>
          <w:rFonts w:ascii="Sakkal Majalla" w:eastAsia="Sakkal Majalla" w:hAnsi="Sakkal Majalla" w:cs="Sakkal Majalla"/>
          <w:sz w:val="32"/>
          <w:szCs w:val="32"/>
        </w:rPr>
        <w:t>The State of Qatar</w:t>
      </w:r>
    </w:p>
    <w:p w:rsidR="00D249E5" w:rsidRDefault="00342EE7" w:rsidP="000B5D82">
      <w:pPr>
        <w:bidi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Date: </w:t>
      </w:r>
      <w:r w:rsidR="005B4D1B">
        <w:rPr>
          <w:rFonts w:ascii="Sakkal Majalla" w:eastAsia="Sakkal Majalla" w:hAnsi="Sakkal Majalla" w:cs="Sakkal Majalla"/>
          <w:b/>
          <w:sz w:val="32"/>
          <w:szCs w:val="32"/>
        </w:rPr>
        <w:t>2</w:t>
      </w:r>
      <w:r w:rsidR="000B5D82">
        <w:rPr>
          <w:rFonts w:ascii="Sakkal Majalla" w:eastAsia="Sakkal Majalla" w:hAnsi="Sakkal Majalla" w:cs="Sakkal Majalla"/>
          <w:b/>
          <w:sz w:val="32"/>
          <w:szCs w:val="32"/>
        </w:rPr>
        <w:t>8</w:t>
      </w:r>
      <w:r w:rsidR="005B4D1B">
        <w:rPr>
          <w:rFonts w:ascii="Sakkal Majalla" w:eastAsia="Sakkal Majalla" w:hAnsi="Sakkal Majalla" w:cs="Sakkal Majalla"/>
          <w:b/>
          <w:sz w:val="32"/>
          <w:szCs w:val="32"/>
        </w:rPr>
        <w:t xml:space="preserve"> May 2019</w:t>
      </w:r>
    </w:p>
    <w:p w:rsidR="00D249E5" w:rsidRDefault="00342EE7" w:rsidP="00F965D1">
      <w:pPr>
        <w:shd w:val="clear" w:color="auto" w:fill="00B0F0"/>
        <w:bidi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Introduction </w:t>
      </w:r>
    </w:p>
    <w:p w:rsidR="00D249E5" w:rsidRDefault="00342EE7" w:rsidP="00F965D1">
      <w:pPr>
        <w:bidi w:val="0"/>
        <w:spacing w:before="120" w:after="120"/>
        <w:ind w:left="-57"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On April 29, 2009, the State of Qatar ratified the Convention on the Elimination of All Forms of Discrimination against Women and made reservations to articles 1, 2 (a), 4, 9 (b), 15 (a) and (b) and 16 (a). The Committee on the Elimination of All Forms of Discrimination against Women considered the </w:t>
      </w:r>
      <w:r>
        <w:rPr>
          <w:rFonts w:ascii="Sakkal Majalla" w:eastAsia="Sakkal Majalla" w:hAnsi="Sakkal Majalla" w:cs="Sakkal Majalla"/>
          <w:sz w:val="32"/>
          <w:szCs w:val="32"/>
        </w:rPr>
        <w:lastRenderedPageBreak/>
        <w:t xml:space="preserve">first report of Qatar (CEDAW / C / QAT / 1) submitted by the State Party on November 28, 2011. The Committee issued its concluding report (CEDAW / C / QAT / CO / 1) on March 9, 2014, following its adoption at its fifty-seventh session on February 28, 2014, and submitted its second periodic report (CEDAW / C) / QAT / 2) </w:t>
      </w:r>
      <w:r w:rsidR="00F965D1">
        <w:rPr>
          <w:rFonts w:ascii="Sakkal Majalla" w:eastAsia="Sakkal Majalla" w:hAnsi="Sakkal Majalla" w:cs="Sakkal Majalla"/>
          <w:sz w:val="32"/>
          <w:szCs w:val="32"/>
        </w:rPr>
        <w:t>on January</w:t>
      </w:r>
      <w:r>
        <w:rPr>
          <w:rFonts w:ascii="Sakkal Majalla" w:eastAsia="Sakkal Majalla" w:hAnsi="Sakkal Majalla" w:cs="Sakkal Majalla"/>
          <w:sz w:val="32"/>
          <w:szCs w:val="32"/>
        </w:rPr>
        <w:t xml:space="preserve"> 31, 2018.</w:t>
      </w:r>
    </w:p>
    <w:p w:rsidR="00D249E5" w:rsidRDefault="00342EE7" w:rsidP="00F965D1">
      <w:pPr>
        <w:bidi w:val="0"/>
        <w:spacing w:before="120" w:after="120"/>
        <w:ind w:left="-57"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In the light of this review, and believing in the important role played by civil society organizations in the promotion of human rights, Maat for Peace, Development and Human Rights (Egypt) submits this report on the State of Qatar’s second periodic report to the Committee, it also presents the situation of  women's rights in Qatar, and makes recommendations to the State Party in the light of the State Party's latest report to the Committee on the Elimination of All Forms of Discrimination against Women.</w:t>
      </w:r>
    </w:p>
    <w:p w:rsidR="00D249E5" w:rsidRDefault="00342EE7" w:rsidP="00F965D1">
      <w:pPr>
        <w:shd w:val="clear" w:color="auto" w:fill="00B0F0"/>
        <w:bidi w:val="0"/>
        <w:spacing w:before="120" w:after="120"/>
        <w:ind w:hanging="30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Discrimination Against Women in the Constitution and National Laws</w:t>
      </w:r>
    </w:p>
    <w:p w:rsidR="00D249E5" w:rsidRDefault="00F965D1"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b/>
          <w:sz w:val="32"/>
          <w:szCs w:val="32"/>
        </w:rPr>
        <w:t xml:space="preserve"> </w:t>
      </w:r>
      <w:r w:rsidR="00342EE7">
        <w:rPr>
          <w:rFonts w:ascii="Sakkal Majalla" w:eastAsia="Sakkal Majalla" w:hAnsi="Sakkal Majalla" w:cs="Sakkal Majalla"/>
          <w:sz w:val="32"/>
          <w:szCs w:val="32"/>
        </w:rPr>
        <w:t xml:space="preserve"> Article 34 of Qatar’s Constitution states that</w:t>
      </w:r>
      <w:r w:rsidR="00342EE7">
        <w:rPr>
          <w:rFonts w:ascii="Sakkal Majalla" w:eastAsia="Sakkal Majalla" w:hAnsi="Sakkal Majalla" w:cs="Sakkal Majalla"/>
          <w:sz w:val="32"/>
          <w:szCs w:val="32"/>
          <w:vertAlign w:val="superscript"/>
        </w:rPr>
        <w:footnoteReference w:id="1"/>
      </w:r>
      <w:r w:rsidR="00342EE7">
        <w:rPr>
          <w:rFonts w:ascii="Sakkal Majalla" w:eastAsia="Sakkal Majalla" w:hAnsi="Sakkal Majalla" w:cs="Sakkal Majalla"/>
          <w:sz w:val="32"/>
          <w:szCs w:val="32"/>
        </w:rPr>
        <w:t xml:space="preserve"> “Citizens are equal in public rights and duties." Also, article 35 states that "People are equal before the law. There shall be no discrimination against them because of sex, race, language, or religion." However, there is no definition of discrimination in accordance with articles 1 and 2 of the Convention on the Elimination of All Forms of Discrimination against Women. Maat for Peace, Development and Human Rights (Egypt) is deeply concerned about the existence of many discriminatory provisions in Qatar’s national laws, including Family Law No. 22 of 2006,</w:t>
      </w:r>
      <w:r w:rsidR="00342EE7">
        <w:rPr>
          <w:rFonts w:ascii="Sakkal Majalla" w:eastAsia="Sakkal Majalla" w:hAnsi="Sakkal Majalla" w:cs="Sakkal Majalla"/>
          <w:sz w:val="32"/>
          <w:szCs w:val="32"/>
          <w:vertAlign w:val="superscript"/>
        </w:rPr>
        <w:footnoteReference w:id="2"/>
      </w:r>
      <w:r w:rsidR="00342EE7">
        <w:rPr>
          <w:rFonts w:ascii="Sakkal Majalla" w:eastAsia="Sakkal Majalla" w:hAnsi="Sakkal Majalla" w:cs="Sakkal Majalla"/>
          <w:sz w:val="32"/>
          <w:szCs w:val="32"/>
        </w:rPr>
        <w:t xml:space="preserve"> which allows,</w:t>
      </w:r>
      <w:r>
        <w:rPr>
          <w:rFonts w:ascii="Sakkal Majalla" w:eastAsia="Sakkal Majalla" w:hAnsi="Sakkal Majalla" w:cs="Sakkal Majalla"/>
          <w:sz w:val="32"/>
          <w:szCs w:val="32"/>
        </w:rPr>
        <w:t xml:space="preserve"> </w:t>
      </w:r>
      <w:r w:rsidR="00342EE7">
        <w:rPr>
          <w:rFonts w:ascii="Sakkal Majalla" w:eastAsia="Sakkal Majalla" w:hAnsi="Sakkal Majalla" w:cs="Sakkal Majalla"/>
          <w:sz w:val="32"/>
          <w:szCs w:val="32"/>
        </w:rPr>
        <w:t>in article (16), that a girl may marry before the age of sixteen. Furthermore, the Qatar’s Nationality Law No. 2 of 1961</w:t>
      </w:r>
      <w:r w:rsidR="00342EE7">
        <w:rPr>
          <w:rFonts w:ascii="Sakkal Majalla" w:eastAsia="Sakkal Majalla" w:hAnsi="Sakkal Majalla" w:cs="Sakkal Majalla"/>
          <w:sz w:val="32"/>
          <w:szCs w:val="32"/>
          <w:vertAlign w:val="superscript"/>
        </w:rPr>
        <w:footnoteReference w:id="3"/>
      </w:r>
      <w:r w:rsidR="00342EE7">
        <w:rPr>
          <w:rFonts w:ascii="Sakkal Majalla" w:eastAsia="Sakkal Majalla" w:hAnsi="Sakkal Majalla" w:cs="Sakkal Majalla"/>
          <w:sz w:val="32"/>
          <w:szCs w:val="32"/>
        </w:rPr>
        <w:t xml:space="preserve"> , which does not allow Qatari women to transfer their Qatari nationality to their children. However, the new amendments under the Permanent Residency Law, Qatari women and their husbands are not allowed to acquire citizenship. The amendment involves </w:t>
      </w:r>
      <w:proofErr w:type="spellStart"/>
      <w:proofErr w:type="gramStart"/>
      <w:r w:rsidR="00342EE7">
        <w:rPr>
          <w:rFonts w:ascii="Sakkal Majalla" w:eastAsia="Sakkal Majalla" w:hAnsi="Sakkal Majalla" w:cs="Sakkal Majalla"/>
          <w:sz w:val="32"/>
          <w:szCs w:val="32"/>
        </w:rPr>
        <w:t>a</w:t>
      </w:r>
      <w:proofErr w:type="spellEnd"/>
      <w:proofErr w:type="gramEnd"/>
      <w:r w:rsidR="00342EE7">
        <w:rPr>
          <w:rFonts w:ascii="Sakkal Majalla" w:eastAsia="Sakkal Majalla" w:hAnsi="Sakkal Majalla" w:cs="Sakkal Majalla"/>
          <w:sz w:val="32"/>
          <w:szCs w:val="32"/>
        </w:rPr>
        <w:t xml:space="preserve"> explicit discrimination since it gives the right to the children of Qatari men and their foreign wives to obtain citizenship.</w:t>
      </w:r>
      <w:r w:rsidR="00342EE7">
        <w:rPr>
          <w:rFonts w:ascii="Sakkal Majalla" w:eastAsia="Sakkal Majalla" w:hAnsi="Sakkal Majalla" w:cs="Sakkal Majalla"/>
          <w:sz w:val="32"/>
          <w:szCs w:val="32"/>
          <w:vertAlign w:val="superscript"/>
        </w:rPr>
        <w:footnoteReference w:id="4"/>
      </w: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w:t>
      </w: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342EE7" w:rsidP="00C73004">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In the same context, denial of the right to grant citizenship to children is what has placed Qatar among the 20 countries that still deny women the right to grant citizenship to their children on an equal basis with men, whereas it has announced its reservation to article 9 of the Convention on the Elimination of All Forms of Discrimination against Women, which guarantees women’s right to transfer their citizenship on an equal basis with men. Discrimination against women undermines their equality and freedom of choice their husbands, and leads to other human rights violations, and also affects children, women and their foreign spouses, including obstruction in access to public education, health care and freedom of  movement and mobility, as well as the dismantling of the family unit, within a clearly discriminatory framework that contradicts the provisions of the Qatari Constitution itself, which provides for equality of rights and duties between men and women and no discrimination on the basis of gender.</w:t>
      </w:r>
      <w:r>
        <w:rPr>
          <w:rFonts w:ascii="Sakkal Majalla" w:eastAsia="Sakkal Majalla" w:hAnsi="Sakkal Majalla" w:cs="Sakkal Majalla"/>
          <w:sz w:val="32"/>
          <w:szCs w:val="32"/>
          <w:vertAlign w:val="superscript"/>
        </w:rPr>
        <w:footnoteReference w:id="5"/>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In addition, Qatar's second periodic report (CEDAW / C / QAT / 2)</w:t>
      </w:r>
      <w:r>
        <w:rPr>
          <w:rFonts w:ascii="Sakkal Majalla" w:eastAsia="Sakkal Majalla" w:hAnsi="Sakkal Majalla" w:cs="Sakkal Majalla"/>
          <w:sz w:val="32"/>
          <w:szCs w:val="32"/>
          <w:vertAlign w:val="superscript"/>
        </w:rPr>
        <w:footnoteReference w:id="6"/>
      </w:r>
      <w:r>
        <w:rPr>
          <w:rFonts w:ascii="Sakkal Majalla" w:eastAsia="Sakkal Majalla" w:hAnsi="Sakkal Majalla" w:cs="Sakkal Majalla"/>
          <w:sz w:val="32"/>
          <w:szCs w:val="32"/>
        </w:rPr>
        <w:t xml:space="preserve"> has not address the right of men to divorce, while Qatari women are denied the same, as well as the default guardian in the case of divorce is the father, not the mother. Domestic violence and marital rape are not criminalized in the Qatari legislations. Moreover, Qatar's last report has not </w:t>
      </w:r>
      <w:r w:rsidR="00F965D1">
        <w:rPr>
          <w:rFonts w:ascii="Sakkal Majalla" w:eastAsia="Sakkal Majalla" w:hAnsi="Sakkal Majalla" w:cs="Sakkal Majalla"/>
          <w:sz w:val="32"/>
          <w:szCs w:val="32"/>
        </w:rPr>
        <w:t>addressed</w:t>
      </w:r>
      <w:r>
        <w:rPr>
          <w:rFonts w:ascii="Sakkal Majalla" w:eastAsia="Sakkal Majalla" w:hAnsi="Sakkal Majalla" w:cs="Sakkal Majalla"/>
          <w:sz w:val="32"/>
          <w:szCs w:val="32"/>
        </w:rPr>
        <w:t xml:space="preserve"> the number of cases in which Qatari women have been brought before the Qatari courts to claim their rights. Qatar’s Family Law No. 22 of 2006</w:t>
      </w:r>
      <w:r>
        <w:rPr>
          <w:rFonts w:ascii="Sakkal Majalla" w:eastAsia="Sakkal Majalla" w:hAnsi="Sakkal Majalla" w:cs="Sakkal Majalla"/>
          <w:sz w:val="32"/>
          <w:szCs w:val="32"/>
          <w:vertAlign w:val="superscript"/>
        </w:rPr>
        <w:footnoteReference w:id="7"/>
      </w:r>
      <w:r>
        <w:rPr>
          <w:rFonts w:ascii="Sakkal Majalla" w:eastAsia="Sakkal Majalla" w:hAnsi="Sakkal Majalla" w:cs="Sakkal Majalla"/>
          <w:sz w:val="32"/>
          <w:szCs w:val="32"/>
        </w:rPr>
        <w:t xml:space="preserve"> includes discriminatory provisions relating to the right of women to divorce, and to </w:t>
      </w:r>
      <w:r>
        <w:rPr>
          <w:rFonts w:ascii="Sakkal Majalla" w:eastAsia="Sakkal Majalla" w:hAnsi="Sakkal Majalla" w:cs="Sakkal Majalla"/>
          <w:sz w:val="32"/>
          <w:szCs w:val="32"/>
        </w:rPr>
        <w:lastRenderedPageBreak/>
        <w:t xml:space="preserve">obtain appropriate financial compensation as a result. Also, the last report of Qatar does not disclose any data or information on divorce cases in the past years, and does not explain the amount paid to women after their divorce. </w:t>
      </w:r>
      <w:r w:rsidR="00F965D1">
        <w:rPr>
          <w:rFonts w:ascii="Sakkal Majalla" w:eastAsia="Sakkal Majalla" w:hAnsi="Sakkal Majalla" w:cs="Sakkal Majalla"/>
          <w:sz w:val="32"/>
          <w:szCs w:val="32"/>
        </w:rPr>
        <w:t>This amount</w:t>
      </w:r>
      <w:r>
        <w:rPr>
          <w:rFonts w:ascii="Sakkal Majalla" w:eastAsia="Sakkal Majalla" w:hAnsi="Sakkal Majalla" w:cs="Sakkal Majalla"/>
          <w:sz w:val="32"/>
          <w:szCs w:val="32"/>
        </w:rPr>
        <w:t xml:space="preserve"> is divided unfairly, whereas it is different for a man married to one woman and a man married to several women.</w:t>
      </w:r>
      <w:r>
        <w:rPr>
          <w:rFonts w:ascii="Sakkal Majalla" w:eastAsia="Sakkal Majalla" w:hAnsi="Sakkal Majalla" w:cs="Sakkal Majalla"/>
          <w:sz w:val="32"/>
          <w:szCs w:val="32"/>
          <w:vertAlign w:val="superscript"/>
        </w:rPr>
        <w:footnoteReference w:id="8"/>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Law No. (2) of 2007 on the Housing System in Qatar</w:t>
      </w:r>
      <w:r>
        <w:rPr>
          <w:rFonts w:ascii="Sakkal Majalla" w:eastAsia="Sakkal Majalla" w:hAnsi="Sakkal Majalla" w:cs="Sakkal Majalla"/>
          <w:sz w:val="32"/>
          <w:szCs w:val="32"/>
          <w:vertAlign w:val="superscript"/>
        </w:rPr>
        <w:footnoteReference w:id="9"/>
      </w:r>
      <w:r>
        <w:rPr>
          <w:rFonts w:ascii="Sakkal Majalla" w:eastAsia="Sakkal Majalla" w:hAnsi="Sakkal Majalla" w:cs="Sakkal Majalla"/>
          <w:sz w:val="32"/>
          <w:szCs w:val="32"/>
        </w:rPr>
        <w:t xml:space="preserve"> constitutes a great challenge for Qatari women, especially widows and divorcees, because the Law on the Housing System  requires Qatari women to be 35 years of age without marriage, or divorced or widowed for 5 years, or married to non-Qatari, which is an explicit discriminatory violation against women in Qatar. Under these laws and internal legislation as well as general reservations to some articles of the Convention on the Elimination of All Forms of Discrimination against Women, Qatar rejects full recognition of women's equal rights, including issues related to personal status laws, marriage, inheritance, and child custody.</w:t>
      </w:r>
    </w:p>
    <w:p w:rsidR="00D249E5" w:rsidRDefault="00342EE7" w:rsidP="00F965D1">
      <w:pPr>
        <w:shd w:val="clear" w:color="auto" w:fill="00B0F0"/>
        <w:bidi w:val="0"/>
        <w:spacing w:before="120" w:after="12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Discriminatory Practices and Inferior Stereotypes of Women</w:t>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Maat for Peace, Development and Human Rights (Egypt) is deeply concerned about the persistence of the inferior stereotypes in the Qatari society towards women and their roles in the family and society. According to the Qatari Family Law No. 22 of 2006,</w:t>
      </w:r>
      <w:r>
        <w:rPr>
          <w:rFonts w:ascii="Sakkal Majalla" w:eastAsia="Sakkal Majalla" w:hAnsi="Sakkal Majalla" w:cs="Sakkal Majalla"/>
          <w:sz w:val="32"/>
          <w:szCs w:val="32"/>
          <w:vertAlign w:val="superscript"/>
        </w:rPr>
        <w:footnoteReference w:id="10"/>
      </w:r>
      <w:r>
        <w:rPr>
          <w:rFonts w:ascii="Sakkal Majalla" w:eastAsia="Sakkal Majalla" w:hAnsi="Sakkal Majalla" w:cs="Sakkal Majalla"/>
          <w:sz w:val="32"/>
          <w:szCs w:val="32"/>
        </w:rPr>
        <w:t xml:space="preserve"> article 101 provides for “</w:t>
      </w:r>
      <w:proofErr w:type="spellStart"/>
      <w:r>
        <w:rPr>
          <w:rFonts w:ascii="Sakkal Majalla" w:eastAsia="Sakkal Majalla" w:hAnsi="Sakkal Majalla" w:cs="Sakkal Majalla"/>
          <w:sz w:val="32"/>
          <w:szCs w:val="32"/>
        </w:rPr>
        <w:t>khul</w:t>
      </w:r>
      <w:proofErr w:type="spellEnd"/>
      <w:r>
        <w:rPr>
          <w:rFonts w:ascii="Sakkal Majalla" w:eastAsia="Sakkal Majalla" w:hAnsi="Sakkal Majalla" w:cs="Sakkal Majalla"/>
          <w:sz w:val="32"/>
          <w:szCs w:val="32"/>
        </w:rPr>
        <w:t>'” (redemptive divorce), but the husband shall be compensated rather than the wife, which means that the wife pays the husband for her freedom. In addition, the second periodic report of Qatar (CEDAW / C / QAT / 2)</w:t>
      </w:r>
      <w:r>
        <w:rPr>
          <w:rFonts w:ascii="Sakkal Majalla" w:eastAsia="Sakkal Majalla" w:hAnsi="Sakkal Majalla" w:cs="Sakkal Majalla"/>
          <w:sz w:val="32"/>
          <w:szCs w:val="32"/>
          <w:vertAlign w:val="superscript"/>
        </w:rPr>
        <w:footnoteReference w:id="11"/>
      </w:r>
      <w:r>
        <w:rPr>
          <w:rFonts w:ascii="Sakkal Majalla" w:eastAsia="Sakkal Majalla" w:hAnsi="Sakkal Majalla" w:cs="Sakkal Majalla"/>
          <w:sz w:val="32"/>
          <w:szCs w:val="32"/>
        </w:rPr>
        <w:t xml:space="preserve"> has not disclosed any information about the percentage of the amount of compensation or about the proportion of the amount of compensation from the monthly income within the national community. The report, also, has not specified neither the criteria used by the authorities to determine the amount of compensation to be paid by the woman, nor the measures taken by the authorities to reduce the amount of </w:t>
      </w:r>
      <w:proofErr w:type="spellStart"/>
      <w:r>
        <w:rPr>
          <w:rFonts w:ascii="Sakkal Majalla" w:eastAsia="Sakkal Majalla" w:hAnsi="Sakkal Majalla" w:cs="Sakkal Majalla"/>
          <w:sz w:val="32"/>
          <w:szCs w:val="32"/>
        </w:rPr>
        <w:t>khul</w:t>
      </w:r>
      <w:proofErr w:type="spellEnd"/>
      <w:r>
        <w:rPr>
          <w:rFonts w:ascii="Sakkal Majalla" w:eastAsia="Sakkal Majalla" w:hAnsi="Sakkal Majalla" w:cs="Sakkal Majalla"/>
          <w:sz w:val="32"/>
          <w:szCs w:val="32"/>
        </w:rPr>
        <w:t xml:space="preserve"> 'compensation that women are supposed to pay.</w:t>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 xml:space="preserve">     </w:t>
      </w: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The Qatari Constitution, in articles 34 and 35, stipulates equality between men and women in rights and duties and equality before law, however, Qatari women continue to suffer explicitly from all forms of discrimination in the public and private sectors, as well as gender bias stereotypes. Qatar's last report has not explained the measures taken by Qatar to overcome these discriminatory stereotypes. Domestic workers face the same discriminatory stereotypes as well as the violence they are subjected to. The second periodic report of Qatar (CEDAW / C / QAT / 2) states that Qatari women have held several leadership positions in Qatar, but it does include updated information or data on the full number of women in the </w:t>
      </w:r>
      <w:proofErr w:type="spellStart"/>
      <w:r>
        <w:rPr>
          <w:rFonts w:ascii="Sakkal Majalla" w:eastAsia="Sakkal Majalla" w:hAnsi="Sakkal Majalla" w:cs="Sakkal Majalla"/>
          <w:sz w:val="32"/>
          <w:szCs w:val="32"/>
        </w:rPr>
        <w:t>Shura</w:t>
      </w:r>
      <w:proofErr w:type="spellEnd"/>
      <w:r>
        <w:rPr>
          <w:rFonts w:ascii="Sakkal Majalla" w:eastAsia="Sakkal Majalla" w:hAnsi="Sakkal Majalla" w:cs="Sakkal Majalla"/>
          <w:sz w:val="32"/>
          <w:szCs w:val="32"/>
        </w:rPr>
        <w:t xml:space="preserve"> Council, the police, the judiciary and the diplomatic sector. The State Party's report (Qatar) also shows that the number of women candidates in the elections to the Central Municipal Council has declined significantly and that the State has taken no measures to ensure an enabling environment for women in which women's rights organizations could operate freely.</w:t>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Qatar’s Family Law No. 22 of 2006, in articles 26, 75, 171, 173, 176, 178, 180 and 183, involves further violations and discrimination with respect to guardianship of children, whereas the important decisions relating to the child's life are taken by </w:t>
      </w:r>
      <w:r w:rsidR="00F965D1">
        <w:rPr>
          <w:rFonts w:ascii="Sakkal Majalla" w:eastAsia="Sakkal Majalla" w:hAnsi="Sakkal Majalla" w:cs="Sakkal Majalla"/>
          <w:sz w:val="32"/>
          <w:szCs w:val="32"/>
        </w:rPr>
        <w:t xml:space="preserve">the </w:t>
      </w:r>
      <w:r>
        <w:rPr>
          <w:rFonts w:ascii="Sakkal Majalla" w:eastAsia="Sakkal Majalla" w:hAnsi="Sakkal Majalla" w:cs="Sakkal Majalla"/>
          <w:sz w:val="32"/>
          <w:szCs w:val="32"/>
        </w:rPr>
        <w:t>father alone, and he has the right to custody after the divorce. Divorced Qatari women lose custody of their children if the child reaches 13 years of age for a male and 15 years of age for a girl, or if a woman marries another man. The same applies to obtaining a passport, whereas the nationality is a subsidiary of the Qatari father, according to Qatar No. (2) of 1961.</w:t>
      </w:r>
      <w:r>
        <w:rPr>
          <w:rFonts w:ascii="Sakkal Majalla" w:eastAsia="Sakkal Majalla" w:hAnsi="Sakkal Majalla" w:cs="Sakkal Majalla"/>
          <w:sz w:val="32"/>
          <w:szCs w:val="32"/>
          <w:vertAlign w:val="superscript"/>
        </w:rPr>
        <w:footnoteReference w:id="12"/>
      </w:r>
      <w:r>
        <w:rPr>
          <w:rFonts w:ascii="Sakkal Majalla" w:eastAsia="Sakkal Majalla" w:hAnsi="Sakkal Majalla" w:cs="Sakkal Majalla"/>
          <w:sz w:val="32"/>
          <w:szCs w:val="32"/>
        </w:rPr>
        <w:t xml:space="preserve"> The latest report of the State Party (Qatar) presents no reason why the Qatari women loses custody of their children. In June 2017, the Committee on the Rights of the Child urged the authorities to investigate crimes related to gender-based violence and to bring the perpetrators to justice. </w:t>
      </w:r>
      <w:r w:rsidR="00F965D1">
        <w:rPr>
          <w:rFonts w:ascii="Sakkal Majalla" w:eastAsia="Sakkal Majalla" w:hAnsi="Sakkal Majalla" w:cs="Sakkal Majalla"/>
          <w:sz w:val="32"/>
          <w:szCs w:val="32"/>
        </w:rPr>
        <w:t>However, discrimination</w:t>
      </w:r>
      <w:r>
        <w:rPr>
          <w:rFonts w:ascii="Sakkal Majalla" w:eastAsia="Sakkal Majalla" w:hAnsi="Sakkal Majalla" w:cs="Sakkal Majalla"/>
          <w:sz w:val="32"/>
          <w:szCs w:val="32"/>
        </w:rPr>
        <w:t xml:space="preserve"> against women is still exercised in law and </w:t>
      </w:r>
      <w:r w:rsidR="00F965D1">
        <w:rPr>
          <w:rFonts w:ascii="Sakkal Majalla" w:eastAsia="Sakkal Majalla" w:hAnsi="Sakkal Majalla" w:cs="Sakkal Majalla"/>
          <w:sz w:val="32"/>
          <w:szCs w:val="32"/>
        </w:rPr>
        <w:t>practice.</w:t>
      </w:r>
      <w:r>
        <w:rPr>
          <w:rFonts w:ascii="Sakkal Majalla" w:eastAsia="Sakkal Majalla" w:hAnsi="Sakkal Majalla" w:cs="Sakkal Majalla"/>
          <w:sz w:val="32"/>
          <w:szCs w:val="32"/>
        </w:rPr>
        <w:t xml:space="preserve"> Personal status laws continue to discriminate against women in</w:t>
      </w:r>
      <w:r>
        <w:rPr>
          <w:rFonts w:ascii="Arial" w:eastAsia="Arial" w:hAnsi="Arial" w:cs="Arial"/>
          <w:sz w:val="21"/>
          <w:szCs w:val="21"/>
        </w:rPr>
        <w:t xml:space="preserve"> relation to </w:t>
      </w:r>
      <w:r>
        <w:rPr>
          <w:rFonts w:ascii="Sakkal Majalla" w:eastAsia="Sakkal Majalla" w:hAnsi="Sakkal Majalla" w:cs="Sakkal Majalla"/>
          <w:sz w:val="32"/>
          <w:szCs w:val="32"/>
        </w:rPr>
        <w:t>marriage, divorce, inheritance, custody of children, nationality and freedom of movement.</w:t>
      </w:r>
      <w:r>
        <w:rPr>
          <w:rFonts w:ascii="Sakkal Majalla" w:eastAsia="Sakkal Majalla" w:hAnsi="Sakkal Majalla" w:cs="Sakkal Majalla"/>
          <w:sz w:val="32"/>
          <w:szCs w:val="32"/>
          <w:vertAlign w:val="superscript"/>
        </w:rPr>
        <w:footnoteReference w:id="13"/>
      </w: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D249E5" w:rsidRDefault="00342EE7" w:rsidP="00F965D1">
      <w:pPr>
        <w:shd w:val="clear" w:color="auto" w:fill="00B0F0"/>
        <w:bidi w:val="0"/>
        <w:spacing w:before="120" w:after="12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Violence Against Women in Qatar</w:t>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Maat for Peace, Development and Human Rights (Egypt) expresses its deep concern about the loopholes in the Qatari legislation on violence against women, especially with the absence of legislations criminalizing violence against women in the family and marital rape. The latest report submitted by the State of Qatar is free of any data or information about the number of cases of domestic violence or marital rape, as well as the measures taken to address the various forms of violence against women are not explained. Moreover, Qatar has not considered the recommendation of the Committee on the Elimination of All Forms of Discrimination Against Women in its previous concluding observations (CEDAW / C / QAT / CO / 1), in paragraph (24), in which it urged the State of Qatar to regularly compile data on violence against women and girls, disaggregated by age, and the relationship between the victim and the perpetrator.</w:t>
      </w:r>
      <w:r>
        <w:rPr>
          <w:rFonts w:ascii="Sakkal Majalla" w:eastAsia="Sakkal Majalla" w:hAnsi="Sakkal Majalla" w:cs="Sakkal Majalla"/>
          <w:sz w:val="32"/>
          <w:szCs w:val="32"/>
          <w:vertAlign w:val="superscript"/>
        </w:rPr>
        <w:footnoteReference w:id="14"/>
      </w:r>
    </w:p>
    <w:p w:rsidR="00D249E5" w:rsidRDefault="00342EE7" w:rsidP="005B4D1B">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Qatar’s Penal Code of 2004</w:t>
      </w:r>
      <w:r>
        <w:rPr>
          <w:rFonts w:ascii="Sakkal Majalla" w:eastAsia="Sakkal Majalla" w:hAnsi="Sakkal Majalla" w:cs="Sakkal Majalla"/>
          <w:sz w:val="32"/>
          <w:szCs w:val="32"/>
          <w:vertAlign w:val="superscript"/>
        </w:rPr>
        <w:footnoteReference w:id="15"/>
      </w:r>
      <w:r>
        <w:rPr>
          <w:rFonts w:ascii="Sakkal Majalla" w:eastAsia="Sakkal Majalla" w:hAnsi="Sakkal Majalla" w:cs="Sakkal Majalla"/>
          <w:sz w:val="32"/>
          <w:szCs w:val="32"/>
        </w:rPr>
        <w:t xml:space="preserve"> prohibits the wearing of indecent or obscene clothing, but it does not specify the methodology of determining that or information on how the State of Qatar defines indecent or obscene clothing. The State Party's (Qatar) latest report does not provide any data on the number of cases that the law has been applied on, and the penalties imposed on violators. In addition to the penalty of imprisonment for a period not exceeding three years for w</w:t>
      </w:r>
      <w:r w:rsidR="005B4D1B">
        <w:rPr>
          <w:rFonts w:ascii="Sakkal Majalla" w:eastAsia="Sakkal Majalla" w:hAnsi="Sakkal Majalla" w:cs="Sakkal Majalla"/>
          <w:sz w:val="32"/>
          <w:szCs w:val="32"/>
        </w:rPr>
        <w:t>omen who abort. In addition, article</w:t>
      </w:r>
      <w:r>
        <w:rPr>
          <w:rFonts w:ascii="Sakkal Majalla" w:eastAsia="Sakkal Majalla" w:hAnsi="Sakkal Majalla" w:cs="Sakkal Majalla"/>
          <w:sz w:val="32"/>
          <w:szCs w:val="32"/>
        </w:rPr>
        <w:t xml:space="preserve"> No. 47 </w:t>
      </w:r>
      <w:r w:rsidR="005B4D1B">
        <w:rPr>
          <w:rFonts w:ascii="Sakkal Majalla" w:eastAsia="Sakkal Majalla" w:hAnsi="Sakkal Majalla" w:cs="Sakkal Majalla"/>
          <w:sz w:val="32"/>
          <w:szCs w:val="32"/>
        </w:rPr>
        <w:t xml:space="preserve">of the Qatari Penal code </w:t>
      </w:r>
      <w:r>
        <w:rPr>
          <w:rFonts w:ascii="Sakkal Majalla" w:eastAsia="Sakkal Majalla" w:hAnsi="Sakkal Majalla" w:cs="Sakkal Majalla"/>
          <w:sz w:val="32"/>
          <w:szCs w:val="32"/>
        </w:rPr>
        <w:t>allows domestic violence under the name of correction, as well as the Nationality Law, which categorizes non-Qatari women as second-class citizens, allows for a number of repressive and violent practices against women in Qatar.</w:t>
      </w:r>
      <w:r>
        <w:rPr>
          <w:rFonts w:ascii="Sakkal Majalla" w:eastAsia="Sakkal Majalla" w:hAnsi="Sakkal Majalla" w:cs="Sakkal Majalla"/>
          <w:sz w:val="32"/>
          <w:szCs w:val="32"/>
          <w:vertAlign w:val="superscript"/>
        </w:rPr>
        <w:footnoteReference w:id="16"/>
      </w:r>
    </w:p>
    <w:p w:rsidR="00C73004" w:rsidRDefault="00C73004" w:rsidP="00C73004">
      <w:pPr>
        <w:bidi w:val="0"/>
        <w:spacing w:before="120" w:after="120"/>
        <w:ind w:left="0" w:firstLine="0"/>
        <w:jc w:val="both"/>
        <w:rPr>
          <w:rFonts w:ascii="Sakkal Majalla" w:eastAsia="Sakkal Majalla" w:hAnsi="Sakkal Majalla" w:cs="Sakkal Majalla"/>
          <w:sz w:val="32"/>
          <w:szCs w:val="32"/>
        </w:rPr>
      </w:pPr>
    </w:p>
    <w:p w:rsidR="00C73004" w:rsidRDefault="00C73004" w:rsidP="00C73004">
      <w:pPr>
        <w:bidi w:val="0"/>
        <w:spacing w:before="120" w:after="120"/>
        <w:ind w:left="0" w:firstLine="0"/>
        <w:jc w:val="both"/>
        <w:rPr>
          <w:rFonts w:ascii="Sakkal Majalla" w:eastAsia="Sakkal Majalla" w:hAnsi="Sakkal Majalla" w:cs="Sakkal Majalla"/>
          <w:sz w:val="32"/>
          <w:szCs w:val="32"/>
        </w:rPr>
      </w:pPr>
    </w:p>
    <w:p w:rsidR="00D249E5" w:rsidRDefault="00D249E5" w:rsidP="00F965D1">
      <w:pPr>
        <w:bidi w:val="0"/>
        <w:spacing w:before="120" w:after="120"/>
        <w:ind w:left="0" w:firstLine="0"/>
        <w:jc w:val="both"/>
        <w:rPr>
          <w:rFonts w:ascii="Sakkal Majalla" w:eastAsia="Sakkal Majalla" w:hAnsi="Sakkal Majalla" w:cs="Sakkal Majalla"/>
          <w:sz w:val="32"/>
          <w:szCs w:val="32"/>
        </w:rPr>
      </w:pPr>
    </w:p>
    <w:p w:rsidR="00C73004" w:rsidRDefault="00C73004" w:rsidP="00C73004">
      <w:pPr>
        <w:bidi w:val="0"/>
        <w:spacing w:before="120" w:after="120"/>
        <w:ind w:left="0" w:firstLine="0"/>
        <w:jc w:val="both"/>
        <w:rPr>
          <w:rFonts w:ascii="Sakkal Majalla" w:eastAsia="Sakkal Majalla" w:hAnsi="Sakkal Majalla" w:cs="Sakkal Majalla"/>
          <w:sz w:val="32"/>
          <w:szCs w:val="32"/>
        </w:rPr>
      </w:pPr>
    </w:p>
    <w:p w:rsidR="00C73004" w:rsidRDefault="00C73004" w:rsidP="00C73004">
      <w:pPr>
        <w:bidi w:val="0"/>
        <w:spacing w:before="120" w:after="120"/>
        <w:ind w:left="0" w:firstLine="0"/>
        <w:jc w:val="both"/>
        <w:rPr>
          <w:rFonts w:ascii="Sakkal Majalla" w:eastAsia="Sakkal Majalla" w:hAnsi="Sakkal Majalla" w:cs="Sakkal Majalla"/>
          <w:sz w:val="32"/>
          <w:szCs w:val="32"/>
        </w:rPr>
      </w:pPr>
    </w:p>
    <w:p w:rsidR="00D249E5" w:rsidRDefault="00342EE7" w:rsidP="00F965D1">
      <w:pPr>
        <w:shd w:val="clear" w:color="auto" w:fill="00B0F0"/>
        <w:bidi w:val="0"/>
        <w:spacing w:before="120" w:after="120"/>
        <w:ind w:left="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Female </w:t>
      </w:r>
      <w:proofErr w:type="gramStart"/>
      <w:r>
        <w:rPr>
          <w:rFonts w:ascii="Sakkal Majalla" w:eastAsia="Sakkal Majalla" w:hAnsi="Sakkal Majalla" w:cs="Sakkal Majalla"/>
          <w:b/>
          <w:sz w:val="32"/>
          <w:szCs w:val="32"/>
        </w:rPr>
        <w:t>Migrant  Domestic</w:t>
      </w:r>
      <w:proofErr w:type="gramEnd"/>
      <w:r>
        <w:rPr>
          <w:rFonts w:ascii="Sakkal Majalla" w:eastAsia="Sakkal Majalla" w:hAnsi="Sakkal Majalla" w:cs="Sakkal Majalla"/>
          <w:b/>
          <w:sz w:val="32"/>
          <w:szCs w:val="32"/>
        </w:rPr>
        <w:t xml:space="preserve"> Workers</w:t>
      </w:r>
    </w:p>
    <w:p w:rsidR="00D249E5" w:rsidRDefault="00D249E5" w:rsidP="00F965D1">
      <w:pPr>
        <w:bidi w:val="0"/>
        <w:spacing w:before="120" w:after="120"/>
        <w:ind w:left="0" w:firstLine="0"/>
        <w:jc w:val="both"/>
        <w:rPr>
          <w:rFonts w:ascii="Sakkal Majalla" w:eastAsia="Sakkal Majalla" w:hAnsi="Sakkal Majalla" w:cs="Sakkal Majalla"/>
          <w:b/>
          <w:sz w:val="32"/>
          <w:szCs w:val="32"/>
        </w:rPr>
      </w:pP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Migrant workers in Qatar continue to be subjected to various types of violations, especially female domestic workers. However, Qatar's adoption of the Law No. 15 of 2017 on Domestic Workers,</w:t>
      </w:r>
      <w:r>
        <w:rPr>
          <w:rFonts w:ascii="Sakkal Majalla" w:eastAsia="Sakkal Majalla" w:hAnsi="Sakkal Majalla" w:cs="Sakkal Majalla"/>
          <w:sz w:val="32"/>
          <w:szCs w:val="32"/>
          <w:vertAlign w:val="superscript"/>
        </w:rPr>
        <w:footnoteReference w:id="17"/>
      </w:r>
      <w:r>
        <w:rPr>
          <w:rFonts w:ascii="Sakkal Majalla" w:eastAsia="Sakkal Majalla" w:hAnsi="Sakkal Majalla" w:cs="Sakkal Majalla"/>
          <w:sz w:val="32"/>
          <w:szCs w:val="32"/>
        </w:rPr>
        <w:t xml:space="preserve"> it is still weaker than the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xml:space="preserve"> Law No. 14 of 2004,</w:t>
      </w:r>
      <w:r>
        <w:rPr>
          <w:rFonts w:ascii="Sakkal Majalla" w:eastAsia="Sakkal Majalla" w:hAnsi="Sakkal Majalla" w:cs="Sakkal Majalla"/>
          <w:sz w:val="32"/>
          <w:szCs w:val="32"/>
          <w:vertAlign w:val="superscript"/>
        </w:rPr>
        <w:footnoteReference w:id="18"/>
      </w:r>
      <w:r>
        <w:rPr>
          <w:rFonts w:ascii="Sakkal Majalla" w:eastAsia="Sakkal Majalla" w:hAnsi="Sakkal Majalla" w:cs="Sakkal Majalla"/>
          <w:sz w:val="32"/>
          <w:szCs w:val="32"/>
        </w:rPr>
        <w:t xml:space="preserve"> which protects the categories of other workers and has several loopholes, whereas rules of health, safety, holidays and vacations are not regulated. The Domestic Workers Law provides for a maximum of 10 hours of work per day, while the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xml:space="preserve"> Law provides for a maximum of 8 hours of work per day at the rate of 48  hours per week with the exception of the month of Ramadan when the maximum working hours shall be 36 hours per week at the rate of six hours per day, however, there are no similar provisions in the Domestic Workers Law. In addition, the Domestic Workers Law provides, in article 12, for intervals during the working day, but it does not count intervals within the 10 working hours, and the law does not provide for minimum standards for the separation between the intervals or their duration. The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xml:space="preserve"> Law stipulates, in article 73, that intervals shall be at least 1 hour and shall not be more than 3 hours, </w:t>
      </w:r>
      <w:r w:rsidR="00F965D1">
        <w:rPr>
          <w:rFonts w:ascii="Sakkal Majalla" w:eastAsia="Sakkal Majalla" w:hAnsi="Sakkal Majalla" w:cs="Sakkal Majalla"/>
          <w:sz w:val="32"/>
          <w:szCs w:val="32"/>
        </w:rPr>
        <w:t>also an</w:t>
      </w:r>
      <w:r>
        <w:rPr>
          <w:rFonts w:ascii="Sakkal Majalla" w:eastAsia="Sakkal Majalla" w:hAnsi="Sakkal Majalla" w:cs="Sakkal Majalla"/>
          <w:sz w:val="32"/>
          <w:szCs w:val="32"/>
        </w:rPr>
        <w:t xml:space="preserve"> interval shall </w:t>
      </w:r>
      <w:r w:rsidR="00F965D1">
        <w:rPr>
          <w:rFonts w:ascii="Sakkal Majalla" w:eastAsia="Sakkal Majalla" w:hAnsi="Sakkal Majalla" w:cs="Sakkal Majalla"/>
          <w:sz w:val="32"/>
          <w:szCs w:val="32"/>
        </w:rPr>
        <w:t>be every</w:t>
      </w:r>
      <w:r>
        <w:rPr>
          <w:rFonts w:ascii="Sakkal Majalla" w:eastAsia="Sakkal Majalla" w:hAnsi="Sakkal Majalla" w:cs="Sakkal Majalla"/>
          <w:sz w:val="32"/>
          <w:szCs w:val="32"/>
        </w:rPr>
        <w:t xml:space="preserve"> 5 hours at least.</w:t>
      </w:r>
    </w:p>
    <w:p w:rsidR="00D249E5" w:rsidRDefault="00342EE7" w:rsidP="00F965D1">
      <w:pPr>
        <w:bidi w:val="0"/>
        <w:spacing w:before="120" w:after="120"/>
        <w:ind w:left="0"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Consequently, foreign domestic workers are subjected to exploitation, violence, isolation in the homes of their employers, sexual harassment and sometimes they work for up to 20 hours a day, as well as they face difficulties in reporting abuse. These cases are afraid to report to the Qatari authorities what they are subjected to, as they fear that they would be reported as runaway from their employer or be accused of theft; because it is forbidden to domestic workers in Qatar to leave the house where they work without the permission of those who contracted them, and if one of these female migrant workers takes a similar step, she will be considered “runaway” and will  face the risk of arrest and deportation to her country. In the light of all these explicit discriminatory legislations, </w:t>
      </w:r>
      <w:r>
        <w:rPr>
          <w:rFonts w:ascii="Sakkal Majalla" w:eastAsia="Sakkal Majalla" w:hAnsi="Sakkal Majalla" w:cs="Sakkal Majalla"/>
          <w:sz w:val="32"/>
          <w:szCs w:val="32"/>
        </w:rPr>
        <w:lastRenderedPageBreak/>
        <w:t xml:space="preserve">domestic workers are subject to forced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and physical and sexual violence, in an inhumane working environment amounting to slavery.</w:t>
      </w:r>
      <w:r>
        <w:rPr>
          <w:rFonts w:ascii="Sakkal Majalla" w:eastAsia="Sakkal Majalla" w:hAnsi="Sakkal Majalla" w:cs="Sakkal Majalla"/>
          <w:sz w:val="32"/>
          <w:szCs w:val="32"/>
          <w:vertAlign w:val="superscript"/>
        </w:rPr>
        <w:footnoteReference w:id="19"/>
      </w:r>
    </w:p>
    <w:p w:rsidR="00D249E5" w:rsidRDefault="00342EE7" w:rsidP="00F965D1">
      <w:pPr>
        <w:shd w:val="clear" w:color="auto" w:fill="00B0F0"/>
        <w:bidi w:val="0"/>
        <w:ind w:hanging="30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Recommendations </w:t>
      </w:r>
    </w:p>
    <w:p w:rsidR="00D249E5" w:rsidRDefault="00342EE7" w:rsidP="00F965D1">
      <w:pPr>
        <w:bidi w:val="0"/>
        <w:ind w:left="-57"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Believing in the important role that civil society organizations play in the utilizing of human rights approaches and the utilizing of its mechanisms and tools to promote human rights, Maat for Peace, Development and Human Rights recommends:</w:t>
      </w:r>
    </w:p>
    <w:p w:rsidR="00D249E5" w:rsidRDefault="00D249E5" w:rsidP="00F965D1">
      <w:pPr>
        <w:bidi w:val="0"/>
        <w:jc w:val="both"/>
      </w:pP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reconsider the reservations of the State of Qatar to the Convention on the Elimination of All Forms of Discrimination against Women, to work on the withdrawal of reservations so as to guarantee Qatari women equality of rights and duties with men, and to ensure conformity with articles 34 and 35 of the Qatari Constitution.</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ratify the Optional Protocol to the Convention on the Elimination of All Forms of Discrimination against Women.</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reconsider all the national laws and legislations in line with the international human rights standards, in particular the Family Law, the Nationality Law, the Penal Code and Law No. (2) of 2007, ensuring the full compliance with the provisions of the International Convention on the Elimination of All Forms of Discrimination against Women.</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include a clear definition of discrimination against women, including the distinction between direct and indirect discrimination in line with article 1 of the Convention, and to prohibit discrimination against women in its Constitution and national legislations.</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amend Law No. (12) for 2004 on the registration of civil society organizations to facilitate the procedures in order to allow more space for civil society organizations to defend the issues and rights of women.</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To raise the age of marriage for girls, to work to grant them the right to marry or refuse without the intervention of the guardian, and to reconsider the Code of Criminal Procedure, so as to ensure that Qatari women maintain and exercise their rights in a natural way.</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increase the number of women appointed in the diplomatic corps, the judiciary and the police, and to publish national statistics on the average income of women compared to men.</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urge the Qatari authorities to adopt national projects and programs through which they seek to change the stereotypes of women and encourage them to participate in the political, parliamentary and judicial life.</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urge the Qatari authorities to organize women awareness-raising campaigns to acquaint them with their rights and duties in relation to family and marital life.</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provide a national mechanism to collect data and the number of cases that are vulnerable to violence, to develop legal and judicial mechanisms that ensure prompt access to justice, receive reports and complaints, and to provide all forms of protection against violence and abuse.</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take appropriate measures and enact legislations that ensure more effective participation of women in political life, including the allocation of adequate funding by political parties to women's electoral campaigns and to impose fines for violators of such legislations.</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To not criminalize abortion in cases of rape, in line with General recommendation No. 24 on women and health.</w:t>
      </w:r>
    </w:p>
    <w:p w:rsidR="00D249E5" w:rsidRDefault="00342EE7" w:rsidP="00F965D1">
      <w:pPr>
        <w:numPr>
          <w:ilvl w:val="0"/>
          <w:numId w:val="1"/>
        </w:numPr>
        <w:pBdr>
          <w:top w:val="nil"/>
          <w:left w:val="nil"/>
          <w:bottom w:val="nil"/>
          <w:right w:val="nil"/>
          <w:between w:val="nil"/>
        </w:pBdr>
        <w:bidi w:val="0"/>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To mandatorily translate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xml:space="preserve"> contracts into the languages ​​of domestic workers, to set an appropriate minimum wage for female domestic workers, and to establish a government office that is obliged to provide legal and humanitarian support and assistance to domestic workers.</w:t>
      </w:r>
    </w:p>
    <w:p w:rsidR="00D249E5" w:rsidRDefault="00342EE7" w:rsidP="00F965D1">
      <w:pPr>
        <w:numPr>
          <w:ilvl w:val="0"/>
          <w:numId w:val="1"/>
        </w:numPr>
        <w:pBdr>
          <w:top w:val="nil"/>
          <w:left w:val="nil"/>
          <w:bottom w:val="nil"/>
          <w:right w:val="nil"/>
          <w:between w:val="nil"/>
        </w:pBdr>
        <w:bidi w:val="0"/>
        <w:jc w:val="both"/>
        <w:rPr>
          <w:rFonts w:ascii="Sakkal Majalla" w:eastAsia="Sakkal Majalla" w:hAnsi="Sakkal Majalla" w:cs="Sakkal Majalla"/>
          <w:sz w:val="32"/>
          <w:szCs w:val="32"/>
        </w:rPr>
      </w:pPr>
      <w:bookmarkStart w:id="1" w:name="_uvjgaqfvammp" w:colFirst="0" w:colLast="0"/>
      <w:bookmarkEnd w:id="1"/>
      <w:r>
        <w:rPr>
          <w:rFonts w:ascii="Sakkal Majalla" w:eastAsia="Sakkal Majalla" w:hAnsi="Sakkal Majalla" w:cs="Sakkal Majalla"/>
          <w:sz w:val="32"/>
          <w:szCs w:val="32"/>
        </w:rPr>
        <w:t>To conduct periodic inspections of workplaces to identify the practical practice of violence against domestic workers, to conduct ongoing investigations into all allegations of domestic violence, to prosecute the guilty employers and their exploiting agents, and to give appropriate punishment to those found guilty of such crime.</w:t>
      </w:r>
    </w:p>
    <w:p w:rsidR="00D249E5" w:rsidRDefault="00342EE7" w:rsidP="00F965D1">
      <w:pPr>
        <w:numPr>
          <w:ilvl w:val="0"/>
          <w:numId w:val="1"/>
        </w:numPr>
        <w:pBdr>
          <w:top w:val="nil"/>
          <w:left w:val="nil"/>
          <w:bottom w:val="nil"/>
          <w:right w:val="nil"/>
          <w:between w:val="nil"/>
        </w:pBdr>
        <w:bidi w:val="0"/>
        <w:jc w:val="both"/>
        <w:rPr>
          <w:rFonts w:ascii="Sakkal Majalla" w:eastAsia="Sakkal Majalla" w:hAnsi="Sakkal Majalla" w:cs="Sakkal Majalla"/>
          <w:sz w:val="32"/>
          <w:szCs w:val="32"/>
        </w:rPr>
      </w:pPr>
      <w:bookmarkStart w:id="2" w:name="_8fkn4xy70qrc" w:colFirst="0" w:colLast="0"/>
      <w:bookmarkEnd w:id="2"/>
      <w:r>
        <w:rPr>
          <w:rFonts w:ascii="Sakkal Majalla" w:eastAsia="Sakkal Majalla" w:hAnsi="Sakkal Majalla" w:cs="Sakkal Majalla"/>
          <w:sz w:val="32"/>
          <w:szCs w:val="32"/>
        </w:rPr>
        <w:lastRenderedPageBreak/>
        <w:t>To ensure that female migrant workers have access to legal support and complaint mechanisms, and to provide shelters for victims with all rehabilitation services to ensure their normal integration into society.</w:t>
      </w:r>
    </w:p>
    <w:p w:rsidR="00D249E5" w:rsidRDefault="00342EE7" w:rsidP="00F965D1">
      <w:pPr>
        <w:numPr>
          <w:ilvl w:val="0"/>
          <w:numId w:val="1"/>
        </w:numPr>
        <w:pBdr>
          <w:top w:val="nil"/>
          <w:left w:val="nil"/>
          <w:bottom w:val="nil"/>
          <w:right w:val="nil"/>
          <w:between w:val="nil"/>
        </w:pBdr>
        <w:bidi w:val="0"/>
        <w:jc w:val="both"/>
        <w:rPr>
          <w:rFonts w:ascii="Sakkal Majalla" w:eastAsia="Sakkal Majalla" w:hAnsi="Sakkal Majalla" w:cs="Sakkal Majalla"/>
          <w:sz w:val="32"/>
          <w:szCs w:val="32"/>
        </w:rPr>
      </w:pPr>
      <w:bookmarkStart w:id="3" w:name="_scnbscnjl32z" w:colFirst="0" w:colLast="0"/>
      <w:bookmarkEnd w:id="3"/>
      <w:r>
        <w:rPr>
          <w:rFonts w:ascii="Sakkal Majalla" w:eastAsia="Sakkal Majalla" w:hAnsi="Sakkal Majalla" w:cs="Sakkal Majalla"/>
          <w:sz w:val="32"/>
          <w:szCs w:val="32"/>
        </w:rPr>
        <w:t>To train judges, prosecutors and lawyers on the legal culture that promotes women's equality with men and non-discrimination on the basis of gender.</w:t>
      </w:r>
    </w:p>
    <w:p w:rsidR="00D249E5" w:rsidRDefault="00342EE7" w:rsidP="00F965D1">
      <w:pPr>
        <w:numPr>
          <w:ilvl w:val="0"/>
          <w:numId w:val="1"/>
        </w:numPr>
        <w:pBdr>
          <w:top w:val="nil"/>
          <w:left w:val="nil"/>
          <w:bottom w:val="nil"/>
          <w:right w:val="nil"/>
          <w:between w:val="nil"/>
        </w:pBdr>
        <w:bidi w:val="0"/>
        <w:jc w:val="both"/>
        <w:rPr>
          <w:rFonts w:ascii="Sakkal Majalla" w:eastAsia="Sakkal Majalla" w:hAnsi="Sakkal Majalla" w:cs="Sakkal Majalla"/>
          <w:sz w:val="32"/>
          <w:szCs w:val="32"/>
        </w:rPr>
      </w:pPr>
      <w:bookmarkStart w:id="4" w:name="_5hka3s5zv6jx" w:colFirst="0" w:colLast="0"/>
      <w:bookmarkEnd w:id="4"/>
      <w:r>
        <w:rPr>
          <w:rFonts w:ascii="Sakkal Majalla" w:eastAsia="Sakkal Majalla" w:hAnsi="Sakkal Majalla" w:cs="Sakkal Majalla"/>
          <w:sz w:val="32"/>
          <w:szCs w:val="32"/>
        </w:rPr>
        <w:t>To amend the Nationality Law to ensure that it is consistent with the first and second paragraphs of article 9 of the Convention on the Elimination of All Forms of Discrimination against Women and that women are able to transfer their nationality to their foreign husbands and children on an equal basis with men.</w:t>
      </w:r>
    </w:p>
    <w:p w:rsidR="00D249E5" w:rsidRDefault="00342EE7" w:rsidP="00F965D1">
      <w:pPr>
        <w:numPr>
          <w:ilvl w:val="0"/>
          <w:numId w:val="1"/>
        </w:numPr>
        <w:pBdr>
          <w:top w:val="nil"/>
          <w:left w:val="nil"/>
          <w:bottom w:val="nil"/>
          <w:right w:val="nil"/>
          <w:between w:val="nil"/>
        </w:pBdr>
        <w:bidi w:val="0"/>
        <w:jc w:val="both"/>
        <w:rPr>
          <w:rFonts w:ascii="Sakkal Majalla" w:eastAsia="Sakkal Majalla" w:hAnsi="Sakkal Majalla" w:cs="Sakkal Majalla"/>
          <w:sz w:val="32"/>
          <w:szCs w:val="32"/>
        </w:rPr>
      </w:pPr>
      <w:bookmarkStart w:id="5" w:name="_mn4ddx7algxh" w:colFirst="0" w:colLast="0"/>
      <w:bookmarkEnd w:id="5"/>
      <w:r>
        <w:rPr>
          <w:rFonts w:ascii="Sakkal Majalla" w:eastAsia="Sakkal Majalla" w:hAnsi="Sakkal Majalla" w:cs="Sakkal Majalla"/>
          <w:sz w:val="32"/>
          <w:szCs w:val="32"/>
        </w:rPr>
        <w:t>To reconsider the</w:t>
      </w:r>
      <w:r w:rsidR="008176F7">
        <w:rPr>
          <w:rFonts w:ascii="Sakkal Majalla" w:eastAsia="Sakkal Majalla" w:hAnsi="Sakkal Majalla" w:cs="Sakkal Majalla"/>
          <w:sz w:val="32"/>
          <w:szCs w:val="32"/>
        </w:rPr>
        <w:t xml:space="preserve"> </w:t>
      </w:r>
      <w:r>
        <w:rPr>
          <w:rFonts w:ascii="Sakkal Majalla" w:eastAsia="Sakkal Majalla" w:hAnsi="Sakkal Majalla" w:cs="Sakkal Majalla"/>
          <w:sz w:val="32"/>
          <w:szCs w:val="32"/>
        </w:rPr>
        <w:t>ratification of the Convention relating to the Status of Stateless Persons of 1954 and the Convention on the Reduction of Statelessness of 1961.</w:t>
      </w:r>
    </w:p>
    <w:p w:rsidR="00D249E5" w:rsidRDefault="00D249E5" w:rsidP="00F965D1">
      <w:pPr>
        <w:pBdr>
          <w:top w:val="nil"/>
          <w:left w:val="nil"/>
          <w:bottom w:val="nil"/>
          <w:right w:val="nil"/>
          <w:between w:val="nil"/>
        </w:pBdr>
        <w:bidi w:val="0"/>
        <w:ind w:left="720" w:firstLine="0"/>
        <w:jc w:val="both"/>
        <w:rPr>
          <w:rFonts w:ascii="Sakkal Majalla" w:eastAsia="Sakkal Majalla" w:hAnsi="Sakkal Majalla" w:cs="Sakkal Majalla"/>
          <w:sz w:val="32"/>
          <w:szCs w:val="32"/>
        </w:rPr>
      </w:pPr>
      <w:bookmarkStart w:id="6" w:name="_yxwu86z5wh2z" w:colFirst="0" w:colLast="0"/>
      <w:bookmarkEnd w:id="6"/>
    </w:p>
    <w:p w:rsidR="00D249E5" w:rsidRDefault="00D249E5" w:rsidP="00F965D1">
      <w:pPr>
        <w:bidi w:val="0"/>
        <w:ind w:hanging="300"/>
        <w:jc w:val="both"/>
        <w:rPr>
          <w:rFonts w:ascii="Sakkal Majalla" w:eastAsia="Sakkal Majalla" w:hAnsi="Sakkal Majalla" w:cs="Sakkal Majalla"/>
          <w:sz w:val="32"/>
          <w:szCs w:val="32"/>
        </w:rPr>
      </w:pPr>
    </w:p>
    <w:p w:rsidR="00D249E5" w:rsidRDefault="00D249E5" w:rsidP="00F965D1">
      <w:pPr>
        <w:bidi w:val="0"/>
        <w:ind w:hanging="300"/>
        <w:jc w:val="both"/>
        <w:rPr>
          <w:rFonts w:ascii="Sakkal Majalla" w:eastAsia="Sakkal Majalla" w:hAnsi="Sakkal Majalla" w:cs="Sakkal Majalla"/>
          <w:sz w:val="32"/>
          <w:szCs w:val="32"/>
        </w:rPr>
      </w:pPr>
    </w:p>
    <w:p w:rsidR="00D249E5" w:rsidRDefault="00D249E5" w:rsidP="00F965D1">
      <w:pPr>
        <w:bidi w:val="0"/>
        <w:ind w:left="0" w:firstLine="567"/>
        <w:jc w:val="both"/>
      </w:pPr>
    </w:p>
    <w:p w:rsidR="00D249E5" w:rsidRDefault="00D249E5" w:rsidP="00F965D1">
      <w:pPr>
        <w:bidi w:val="0"/>
        <w:ind w:hanging="300"/>
        <w:jc w:val="both"/>
      </w:pPr>
    </w:p>
    <w:p w:rsidR="00D249E5" w:rsidRDefault="00D249E5" w:rsidP="00F965D1">
      <w:pPr>
        <w:bidi w:val="0"/>
        <w:ind w:left="-57" w:firstLine="567"/>
        <w:jc w:val="both"/>
        <w:rPr>
          <w:rFonts w:ascii="Sakkal Majalla" w:eastAsia="Sakkal Majalla" w:hAnsi="Sakkal Majalla" w:cs="Sakkal Majalla"/>
          <w:sz w:val="32"/>
          <w:szCs w:val="32"/>
        </w:rPr>
      </w:pPr>
    </w:p>
    <w:sectPr w:rsidR="00D249E5">
      <w:footerReference w:type="default" r:id="rId8"/>
      <w:headerReference w:type="first" r:id="rId9"/>
      <w:footerReference w:type="first" r:id="rId10"/>
      <w:pgSz w:w="11906" w:h="16838"/>
      <w:pgMar w:top="992" w:right="992" w:bottom="992" w:left="992"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F4C" w:rsidRDefault="000B2F4C">
      <w:pPr>
        <w:spacing w:after="0" w:line="240" w:lineRule="auto"/>
      </w:pPr>
      <w:r>
        <w:separator/>
      </w:r>
    </w:p>
  </w:endnote>
  <w:endnote w:type="continuationSeparator" w:id="0">
    <w:p w:rsidR="000B2F4C" w:rsidRDefault="000B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9E5" w:rsidRDefault="00342EE7">
    <w:pPr>
      <w:pBdr>
        <w:top w:val="nil"/>
        <w:left w:val="nil"/>
        <w:bottom w:val="nil"/>
        <w:right w:val="nil"/>
        <w:between w:val="nil"/>
      </w:pBdr>
      <w:tabs>
        <w:tab w:val="center" w:pos="4680"/>
        <w:tab w:val="right" w:pos="9360"/>
      </w:tabs>
      <w:spacing w:after="0" w:line="240" w:lineRule="auto"/>
      <w:jc w:val="center"/>
      <w:rPr>
        <w:color w:val="000000"/>
      </w:rPr>
    </w:pPr>
    <w:r>
      <w:rPr>
        <w:b/>
        <w:color w:val="000000"/>
        <w:sz w:val="28"/>
        <w:szCs w:val="28"/>
      </w:rPr>
      <w:fldChar w:fldCharType="begin"/>
    </w:r>
    <w:r>
      <w:rPr>
        <w:b/>
        <w:color w:val="000000"/>
        <w:sz w:val="28"/>
        <w:szCs w:val="28"/>
      </w:rPr>
      <w:instrText>PAGE</w:instrText>
    </w:r>
    <w:r>
      <w:rPr>
        <w:b/>
        <w:color w:val="000000"/>
        <w:sz w:val="28"/>
        <w:szCs w:val="28"/>
      </w:rPr>
      <w:fldChar w:fldCharType="separate"/>
    </w:r>
    <w:r w:rsidR="000B5D82">
      <w:rPr>
        <w:rFonts w:cs="Times New Roman"/>
        <w:b/>
        <w:noProof/>
        <w:color w:val="000000"/>
        <w:sz w:val="28"/>
        <w:szCs w:val="28"/>
        <w:rtl/>
      </w:rPr>
      <w:t>7</w:t>
    </w:r>
    <w:r>
      <w:rPr>
        <w:b/>
        <w:color w:val="000000"/>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9E5" w:rsidRDefault="00D249E5">
    <w:pPr>
      <w:pBdr>
        <w:top w:val="nil"/>
        <w:left w:val="nil"/>
        <w:bottom w:val="nil"/>
        <w:right w:val="nil"/>
        <w:between w:val="nil"/>
      </w:pBdr>
      <w:tabs>
        <w:tab w:val="center" w:pos="4680"/>
        <w:tab w:val="right" w:pos="9360"/>
      </w:tabs>
      <w:spacing w:after="0" w:line="240" w:lineRule="auto"/>
      <w:rPr>
        <w:color w:val="000000"/>
      </w:rPr>
    </w:pPr>
  </w:p>
  <w:tbl>
    <w:tblPr>
      <w:tblStyle w:val="a0"/>
      <w:bidiVisual/>
      <w:tblW w:w="10214" w:type="dxa"/>
      <w:tblInd w:w="106" w:type="dxa"/>
      <w:tblBorders>
        <w:insideV w:val="single" w:sz="12" w:space="0" w:color="000000"/>
      </w:tblBorders>
      <w:tblLayout w:type="fixed"/>
      <w:tblLook w:val="0400" w:firstRow="0" w:lastRow="0" w:firstColumn="0" w:lastColumn="0" w:noHBand="0" w:noVBand="1"/>
    </w:tblPr>
    <w:tblGrid>
      <w:gridCol w:w="5119"/>
      <w:gridCol w:w="2268"/>
      <w:gridCol w:w="551"/>
      <w:gridCol w:w="16"/>
      <w:gridCol w:w="2260"/>
    </w:tblGrid>
    <w:tr w:rsidR="00D249E5">
      <w:trPr>
        <w:trHeight w:val="340"/>
      </w:trPr>
      <w:tc>
        <w:tcPr>
          <w:tcW w:w="10214" w:type="dxa"/>
          <w:gridSpan w:val="5"/>
          <w:tcBorders>
            <w:bottom w:val="nil"/>
          </w:tcBorders>
          <w:vAlign w:val="center"/>
        </w:tcPr>
        <w:p w:rsidR="00D249E5" w:rsidRDefault="00342EE7">
          <w:pPr>
            <w:spacing w:after="0" w:line="240" w:lineRule="auto"/>
            <w:rPr>
              <w:b/>
              <w:color w:val="000066"/>
              <w:sz w:val="20"/>
              <w:szCs w:val="20"/>
            </w:rPr>
          </w:pPr>
          <w:r>
            <w:rPr>
              <w:rFonts w:ascii="Times New Roman" w:eastAsia="Times New Roman" w:hAnsi="Times New Roman" w:cs="Times New Roman"/>
              <w:b/>
              <w:color w:val="000066"/>
              <w:sz w:val="20"/>
              <w:szCs w:val="20"/>
              <w:rtl/>
            </w:rPr>
            <w:t>المنظمة حاصلة على المركز الاستشاري الخاص في المجلس الاقتصادي والاجتماعي منذ 2016</w:t>
          </w:r>
        </w:p>
      </w:tc>
    </w:tr>
    <w:tr w:rsidR="00D249E5">
      <w:trPr>
        <w:trHeight w:val="340"/>
      </w:trPr>
      <w:tc>
        <w:tcPr>
          <w:tcW w:w="10214" w:type="dxa"/>
          <w:gridSpan w:val="5"/>
          <w:tcBorders>
            <w:bottom w:val="nil"/>
          </w:tcBorders>
          <w:vAlign w:val="center"/>
        </w:tcPr>
        <w:p w:rsidR="00D249E5" w:rsidRDefault="00342EE7">
          <w:pPr>
            <w:spacing w:after="0" w:line="240" w:lineRule="auto"/>
            <w:jc w:val="both"/>
            <w:rPr>
              <w:b/>
              <w:color w:val="000066"/>
              <w:sz w:val="20"/>
              <w:szCs w:val="20"/>
            </w:rPr>
          </w:pPr>
          <w:r>
            <w:rPr>
              <w:rFonts w:ascii="Times New Roman" w:eastAsia="Times New Roman" w:hAnsi="Times New Roman" w:cs="Times New Roman"/>
              <w:b/>
              <w:color w:val="000066"/>
              <w:sz w:val="20"/>
              <w:szCs w:val="20"/>
            </w:rPr>
            <w:t>Organization in special consultative status with the Economic and Social Council since 2016</w:t>
          </w:r>
        </w:p>
      </w:tc>
    </w:tr>
    <w:tr w:rsidR="00D249E5">
      <w:trPr>
        <w:trHeight w:val="340"/>
      </w:trPr>
      <w:tc>
        <w:tcPr>
          <w:tcW w:w="10214" w:type="dxa"/>
          <w:gridSpan w:val="5"/>
          <w:tcBorders>
            <w:bottom w:val="nil"/>
          </w:tcBorders>
          <w:vAlign w:val="center"/>
        </w:tcPr>
        <w:p w:rsidR="00D249E5" w:rsidRDefault="00342EE7">
          <w:pPr>
            <w:spacing w:after="0" w:line="240" w:lineRule="auto"/>
            <w:rPr>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w:t>
          </w:r>
          <w:proofErr w:type="spellStart"/>
          <w:r>
            <w:rPr>
              <w:rFonts w:ascii="Times New Roman" w:eastAsia="Times New Roman" w:hAnsi="Times New Roman" w:cs="Times New Roman"/>
              <w:color w:val="000000"/>
              <w:sz w:val="20"/>
              <w:szCs w:val="20"/>
            </w:rPr>
            <w:t>MisrHelwan</w:t>
          </w:r>
          <w:proofErr w:type="spellEnd"/>
          <w:r>
            <w:rPr>
              <w:rFonts w:ascii="Times New Roman" w:eastAsia="Times New Roman" w:hAnsi="Times New Roman" w:cs="Times New Roman"/>
              <w:color w:val="000000"/>
              <w:sz w:val="20"/>
              <w:szCs w:val="20"/>
            </w:rPr>
            <w:t xml:space="preserve"> El-</w:t>
          </w:r>
          <w:proofErr w:type="spellStart"/>
          <w:r>
            <w:rPr>
              <w:rFonts w:ascii="Times New Roman" w:eastAsia="Times New Roman" w:hAnsi="Times New Roman" w:cs="Times New Roman"/>
              <w:color w:val="000000"/>
              <w:sz w:val="20"/>
              <w:szCs w:val="20"/>
            </w:rPr>
            <w:t>Zyrae</w:t>
          </w:r>
          <w:proofErr w:type="spellEnd"/>
          <w:r>
            <w:rPr>
              <w:rFonts w:ascii="Times New Roman" w:eastAsia="Times New Roman" w:hAnsi="Times New Roman" w:cs="Times New Roman"/>
              <w:color w:val="000000"/>
              <w:sz w:val="20"/>
              <w:szCs w:val="20"/>
            </w:rPr>
            <w:t xml:space="preserve"> Road , El Matbaa Sq, Hadayek El Maadi,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D249E5">
      <w:trPr>
        <w:trHeight w:val="340"/>
      </w:trPr>
      <w:tc>
        <w:tcPr>
          <w:tcW w:w="7938" w:type="dxa"/>
          <w:gridSpan w:val="3"/>
          <w:tcBorders>
            <w:bottom w:val="nil"/>
            <w:right w:val="single" w:sz="12" w:space="0" w:color="808080"/>
          </w:tcBorders>
          <w:vAlign w:val="center"/>
        </w:tcPr>
        <w:p w:rsidR="00D249E5" w:rsidRDefault="00342EE7">
          <w:pPr>
            <w:spacing w:after="0" w:line="240" w:lineRule="auto"/>
            <w:jc w:val="both"/>
            <w:rPr>
              <w:rFonts w:ascii="Times New Roman" w:eastAsia="Times New Roman" w:hAnsi="Times New Roman" w:cs="Times New Roman"/>
              <w:b/>
              <w:color w:val="FF0000"/>
              <w:sz w:val="20"/>
              <w:szCs w:val="20"/>
            </w:rPr>
          </w:pPr>
          <w:r>
            <w:rPr>
              <w:rFonts w:ascii="Times New Roman" w:eastAsia="Times New Roman" w:hAnsi="Times New Roman" w:cs="Times New Roman"/>
              <w:b/>
              <w:color w:val="000000"/>
              <w:sz w:val="20"/>
              <w:szCs w:val="20"/>
              <w:rtl/>
            </w:rPr>
            <w:t>148 طريق مصر حلوان الزراعي - المطبعة – ح المعادي - الدور الرابع - شقة 41 - القاهرة</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404040"/>
            </w:rPr>
            <w:t>|</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FF0000"/>
              <w:sz w:val="20"/>
              <w:szCs w:val="20"/>
              <w:rtl/>
            </w:rPr>
            <w:t>ص.ب :</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Pr>
            <w:t>490</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tl/>
            </w:rPr>
            <w:t>المعادي</w:t>
          </w:r>
        </w:p>
      </w:tc>
      <w:tc>
        <w:tcPr>
          <w:tcW w:w="2276" w:type="dxa"/>
          <w:gridSpan w:val="2"/>
          <w:tcBorders>
            <w:left w:val="single" w:sz="12" w:space="0" w:color="808080"/>
            <w:bottom w:val="nil"/>
          </w:tcBorders>
          <w:vAlign w:val="center"/>
        </w:tcPr>
        <w:p w:rsidR="00D249E5" w:rsidRDefault="00342EE7">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 Box : </w:t>
          </w:r>
          <w:r>
            <w:rPr>
              <w:rFonts w:ascii="Times New Roman" w:eastAsia="Times New Roman" w:hAnsi="Times New Roman" w:cs="Times New Roman"/>
              <w:color w:val="000000"/>
              <w:sz w:val="20"/>
              <w:szCs w:val="20"/>
            </w:rPr>
            <w:t>490 El Maadi</w:t>
          </w:r>
        </w:p>
      </w:tc>
    </w:tr>
    <w:tr w:rsidR="00D249E5">
      <w:trPr>
        <w:trHeight w:val="340"/>
      </w:trPr>
      <w:tc>
        <w:tcPr>
          <w:tcW w:w="7387" w:type="dxa"/>
          <w:gridSpan w:val="2"/>
          <w:tcBorders>
            <w:bottom w:val="nil"/>
            <w:right w:val="single" w:sz="12" w:space="0" w:color="7F7F7F"/>
          </w:tcBorders>
          <w:vAlign w:val="center"/>
        </w:tcPr>
        <w:p w:rsidR="00D249E5" w:rsidRDefault="00342EE7">
          <w:pPr>
            <w:spacing w:after="0" w:line="240" w:lineRule="auto"/>
            <w:jc w:val="right"/>
            <w:rPr>
              <w:color w:val="002060"/>
              <w:sz w:val="20"/>
              <w:szCs w:val="20"/>
            </w:rPr>
          </w:pPr>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r>
            <w:rPr>
              <w:color w:val="0000FF"/>
              <w:sz w:val="20"/>
              <w:szCs w:val="20"/>
            </w:rPr>
            <w:t xml:space="preserve"> </w:t>
          </w:r>
          <w:r>
            <w:rPr>
              <w:color w:val="000000"/>
              <w:sz w:val="20"/>
              <w:szCs w:val="20"/>
            </w:rPr>
            <w:t xml:space="preserve">maat@maatpeace.org  </w:t>
          </w:r>
        </w:p>
      </w:tc>
      <w:tc>
        <w:tcPr>
          <w:tcW w:w="2827" w:type="dxa"/>
          <w:gridSpan w:val="3"/>
          <w:tcBorders>
            <w:left w:val="single" w:sz="12" w:space="0" w:color="7F7F7F"/>
            <w:bottom w:val="nil"/>
          </w:tcBorders>
          <w:vAlign w:val="center"/>
        </w:tcPr>
        <w:p w:rsidR="00D249E5" w:rsidRDefault="00342EE7">
          <w:pPr>
            <w:spacing w:after="0" w:line="240" w:lineRule="auto"/>
            <w:jc w:val="right"/>
            <w:rPr>
              <w:color w:val="002060"/>
              <w:sz w:val="20"/>
              <w:szCs w:val="20"/>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D249E5">
      <w:trPr>
        <w:trHeight w:val="340"/>
      </w:trPr>
      <w:tc>
        <w:tcPr>
          <w:tcW w:w="5119" w:type="dxa"/>
          <w:tcBorders>
            <w:right w:val="single" w:sz="12" w:space="0" w:color="7F7F7F"/>
          </w:tcBorders>
          <w:vAlign w:val="center"/>
        </w:tcPr>
        <w:p w:rsidR="00D249E5" w:rsidRDefault="00342EE7">
          <w:pPr>
            <w:spacing w:after="0" w:line="240" w:lineRule="auto"/>
            <w:jc w:val="right"/>
            <w:rPr>
              <w:rFonts w:ascii="Times New Roman" w:eastAsia="Times New Roman" w:hAnsi="Times New Roman" w:cs="Times New Roman"/>
              <w:sz w:val="20"/>
              <w:szCs w:val="20"/>
            </w:rPr>
          </w:pPr>
          <w:r>
            <w:rPr>
              <w:color w:val="FF0000"/>
              <w:sz w:val="20"/>
              <w:szCs w:val="20"/>
            </w:rPr>
            <w:t>Mob.</w:t>
          </w:r>
          <w:r>
            <w:rPr>
              <w:color w:val="002060"/>
              <w:sz w:val="20"/>
              <w:szCs w:val="20"/>
            </w:rPr>
            <w:t xml:space="preserve"> +</w:t>
          </w:r>
          <w:r>
            <w:rPr>
              <w:color w:val="000000"/>
              <w:sz w:val="20"/>
              <w:szCs w:val="20"/>
            </w:rPr>
            <w:t>201226521170</w:t>
          </w:r>
        </w:p>
      </w:tc>
      <w:tc>
        <w:tcPr>
          <w:tcW w:w="2835" w:type="dxa"/>
          <w:gridSpan w:val="3"/>
          <w:tcBorders>
            <w:left w:val="single" w:sz="12" w:space="0" w:color="7F7F7F"/>
            <w:right w:val="single" w:sz="12" w:space="0" w:color="7F7F7F"/>
          </w:tcBorders>
          <w:vAlign w:val="center"/>
        </w:tcPr>
        <w:p w:rsidR="00D249E5" w:rsidRDefault="00342EE7">
          <w:pPr>
            <w:spacing w:after="0" w:line="240" w:lineRule="auto"/>
            <w:jc w:val="right"/>
            <w:rPr>
              <w:rFonts w:ascii="Times New Roman" w:eastAsia="Times New Roman" w:hAnsi="Times New Roman" w:cs="Times New Roman"/>
              <w:sz w:val="20"/>
              <w:szCs w:val="20"/>
            </w:rPr>
          </w:pPr>
          <w:r>
            <w:rPr>
              <w:color w:val="FF0000"/>
              <w:sz w:val="20"/>
              <w:szCs w:val="20"/>
            </w:rPr>
            <w:t>Telefax</w:t>
          </w:r>
          <w:r>
            <w:rPr>
              <w:color w:val="000000"/>
              <w:sz w:val="20"/>
              <w:szCs w:val="20"/>
            </w:rPr>
            <w:t>. 00 (20) (2) 25344707</w:t>
          </w:r>
        </w:p>
      </w:tc>
      <w:tc>
        <w:tcPr>
          <w:tcW w:w="2260" w:type="dxa"/>
          <w:tcBorders>
            <w:left w:val="single" w:sz="12" w:space="0" w:color="7F7F7F"/>
          </w:tcBorders>
          <w:vAlign w:val="center"/>
        </w:tcPr>
        <w:p w:rsidR="00D249E5" w:rsidRDefault="00342EE7">
          <w:pPr>
            <w:spacing w:after="0" w:line="240" w:lineRule="auto"/>
            <w:jc w:val="right"/>
            <w:rPr>
              <w:rFonts w:ascii="Times New Roman" w:eastAsia="Times New Roman" w:hAnsi="Times New Roman" w:cs="Times New Roman"/>
              <w:sz w:val="20"/>
              <w:szCs w:val="20"/>
            </w:rPr>
          </w:pPr>
          <w:r>
            <w:rPr>
              <w:color w:val="FF0000"/>
              <w:sz w:val="20"/>
              <w:szCs w:val="20"/>
            </w:rPr>
            <w:t>Tel.</w:t>
          </w:r>
          <w:r>
            <w:rPr>
              <w:color w:val="002060"/>
              <w:sz w:val="20"/>
              <w:szCs w:val="20"/>
            </w:rPr>
            <w:t xml:space="preserve"> </w:t>
          </w:r>
          <w:r>
            <w:rPr>
              <w:color w:val="000000"/>
              <w:sz w:val="20"/>
              <w:szCs w:val="20"/>
            </w:rPr>
            <w:t>00(20) (2) 25344706</w:t>
          </w:r>
        </w:p>
      </w:tc>
    </w:tr>
  </w:tbl>
  <w:p w:rsidR="00D249E5" w:rsidRDefault="00342EE7">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0" distR="0" simplePos="0" relativeHeight="251658240" behindDoc="0" locked="0" layoutInCell="1" hidden="0" allowOverlap="1">
              <wp:simplePos x="0" y="0"/>
              <wp:positionH relativeFrom="column">
                <wp:posOffset>-101599</wp:posOffset>
              </wp:positionH>
              <wp:positionV relativeFrom="paragraph">
                <wp:posOffset>63500</wp:posOffset>
              </wp:positionV>
              <wp:extent cx="6659880" cy="28575"/>
              <wp:effectExtent l="0" t="0" r="0" b="0"/>
              <wp:wrapSquare wrapText="bothSides" distT="0" distB="0" distL="0" distR="0"/>
              <wp:docPr id="1" name="Straight Arrow Connector 1"/>
              <wp:cNvGraphicFramePr/>
              <a:graphic xmlns:a="http://schemas.openxmlformats.org/drawingml/2006/main">
                <a:graphicData uri="http://schemas.microsoft.com/office/word/2010/wordprocessingShape">
                  <wps:wsp>
                    <wps:cNvCnPr/>
                    <wps:spPr>
                      <a:xfrm rot="10800000">
                        <a:off x="2016060" y="3780000"/>
                        <a:ext cx="6659880" cy="0"/>
                      </a:xfrm>
                      <a:prstGeom prst="straightConnector1">
                        <a:avLst/>
                      </a:prstGeom>
                      <a:noFill/>
                      <a:ln w="28575" cap="flat" cmpd="sng">
                        <a:solidFill>
                          <a:srgbClr val="FF0000"/>
                        </a:solidFill>
                        <a:prstDash val="solid"/>
                        <a:roun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-101599</wp:posOffset>
              </wp:positionH>
              <wp:positionV relativeFrom="paragraph">
                <wp:posOffset>63500</wp:posOffset>
              </wp:positionV>
              <wp:extent cx="6659880" cy="28575"/>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59880" cy="28575"/>
                      </a:xfrm>
                      <a:prstGeom prst="rect"/>
                      <a:ln/>
                    </pic:spPr>
                  </pic:pic>
                </a:graphicData>
              </a:graphic>
            </wp:anchor>
          </w:drawing>
        </mc:Fallback>
      </mc:AlternateContent>
    </w:r>
  </w:p>
  <w:p w:rsidR="00D249E5" w:rsidRDefault="00D249E5">
    <w:pPr>
      <w:pBdr>
        <w:top w:val="nil"/>
        <w:left w:val="nil"/>
        <w:bottom w:val="nil"/>
        <w:right w:val="nil"/>
        <w:between w:val="nil"/>
      </w:pBdr>
      <w:tabs>
        <w:tab w:val="center" w:pos="4680"/>
        <w:tab w:val="right" w:pos="9360"/>
      </w:tabs>
      <w:spacing w:after="0" w:line="240" w:lineRule="auto"/>
      <w:rPr>
        <w:color w:val="000000"/>
      </w:rPr>
    </w:pPr>
  </w:p>
  <w:p w:rsidR="00D249E5" w:rsidRDefault="00D249E5">
    <w:pPr>
      <w:pBdr>
        <w:top w:val="nil"/>
        <w:left w:val="nil"/>
        <w:bottom w:val="nil"/>
        <w:right w:val="nil"/>
        <w:between w:val="nil"/>
      </w:pBdr>
      <w:tabs>
        <w:tab w:val="center" w:pos="4680"/>
        <w:tab w:val="right" w:pos="9360"/>
      </w:tabs>
      <w:spacing w:after="0" w:line="240" w:lineRule="auto"/>
      <w:rPr>
        <w:color w:val="000000"/>
      </w:rPr>
    </w:pPr>
  </w:p>
  <w:p w:rsidR="00D249E5" w:rsidRDefault="00D249E5">
    <w:pPr>
      <w:pBdr>
        <w:top w:val="nil"/>
        <w:left w:val="nil"/>
        <w:bottom w:val="nil"/>
        <w:right w:val="nil"/>
        <w:between w:val="nil"/>
      </w:pBdr>
      <w:tabs>
        <w:tab w:val="center" w:pos="4680"/>
        <w:tab w:val="right" w:pos="9360"/>
      </w:tabs>
      <w:spacing w:after="0" w:line="240" w:lineRule="auto"/>
      <w:rPr>
        <w:color w:val="000000"/>
      </w:rPr>
    </w:pPr>
  </w:p>
  <w:p w:rsidR="00D249E5" w:rsidRDefault="00D249E5"/>
  <w:p w:rsidR="00D249E5" w:rsidRDefault="00D249E5"/>
  <w:p w:rsidR="00D249E5" w:rsidRDefault="00D249E5">
    <w:pPr>
      <w:pBdr>
        <w:top w:val="nil"/>
        <w:left w:val="nil"/>
        <w:bottom w:val="nil"/>
        <w:right w:val="nil"/>
        <w:between w:val="nil"/>
      </w:pBdr>
      <w:tabs>
        <w:tab w:val="center" w:pos="4680"/>
        <w:tab w:val="right" w:pos="9360"/>
      </w:tabs>
      <w:spacing w:after="0" w:line="240" w:lineRule="auto"/>
      <w:rPr>
        <w:color w:val="000000"/>
      </w:rPr>
    </w:pPr>
  </w:p>
  <w:p w:rsidR="00D249E5" w:rsidRDefault="00D249E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F4C" w:rsidRDefault="000B2F4C">
      <w:pPr>
        <w:spacing w:after="0" w:line="240" w:lineRule="auto"/>
      </w:pPr>
      <w:r>
        <w:separator/>
      </w:r>
    </w:p>
  </w:footnote>
  <w:footnote w:type="continuationSeparator" w:id="0">
    <w:p w:rsidR="000B2F4C" w:rsidRDefault="000B2F4C">
      <w:pPr>
        <w:spacing w:after="0" w:line="240" w:lineRule="auto"/>
      </w:pPr>
      <w:r>
        <w:continuationSeparator/>
      </w:r>
    </w:p>
  </w:footnote>
  <w:footnote w:id="1">
    <w:p w:rsidR="00D249E5" w:rsidRDefault="00342EE7">
      <w:pPr>
        <w:spacing w:after="0" w:line="240" w:lineRule="auto"/>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الدستور القطرى، انظر: </w:t>
      </w:r>
      <w:r>
        <w:fldChar w:fldCharType="begin"/>
      </w:r>
      <w:r>
        <w:instrText xml:space="preserve"> HYPERLINK "https://www.wipo.int/edocs/lexdocs/laws/ar/qa/qa009ar.pdf" \h </w:instrText>
      </w:r>
      <w:r>
        <w:fldChar w:fldCharType="separate"/>
      </w:r>
      <w:r>
        <w:rPr>
          <w:rFonts w:ascii="Sakkal Majalla" w:eastAsia="Sakkal Majalla" w:hAnsi="Sakkal Majalla" w:cs="Sakkal Majalla"/>
          <w:color w:val="0000FF"/>
          <w:sz w:val="20"/>
          <w:szCs w:val="20"/>
          <w:u w:val="single"/>
        </w:rPr>
        <w:t>https://www.wipo.int/edocs/lexdocs/laws/ar/qa/qa009ar.pdf</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2">
    <w:p w:rsidR="00D249E5" w:rsidRDefault="00342EE7">
      <w:pPr>
        <w:spacing w:after="0" w:line="240" w:lineRule="auto"/>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قانون الأسرة القطرى، انظر: </w:t>
      </w:r>
    </w:p>
    <w:p w:rsidR="00D249E5" w:rsidRDefault="000B2F4C">
      <w:pPr>
        <w:spacing w:after="0" w:line="240" w:lineRule="auto"/>
        <w:jc w:val="both"/>
        <w:rPr>
          <w:rFonts w:ascii="Sakkal Majalla" w:eastAsia="Sakkal Majalla" w:hAnsi="Sakkal Majalla" w:cs="Sakkal Majalla"/>
          <w:sz w:val="20"/>
          <w:szCs w:val="20"/>
        </w:rPr>
      </w:pPr>
      <w:hyperlink r:id="rId1">
        <w:r w:rsidR="00342EE7">
          <w:rPr>
            <w:rFonts w:ascii="Sakkal Majalla" w:eastAsia="Sakkal Majalla" w:hAnsi="Sakkal Majalla" w:cs="Sakkal Majalla"/>
            <w:color w:val="0000FF"/>
            <w:sz w:val="20"/>
            <w:szCs w:val="20"/>
            <w:u w:val="single"/>
          </w:rPr>
          <w:t>http://gulfmigration.org/database/legal_module/Qatar/National%20Legal%20Framework/Rights%20and%20Obligations/3.1%20Family%20Law%2022%202006_AR.pdf</w:t>
        </w:r>
      </w:hyperlink>
      <w:r w:rsidR="00342EE7">
        <w:rPr>
          <w:rFonts w:ascii="Sakkal Majalla" w:eastAsia="Sakkal Majalla" w:hAnsi="Sakkal Majalla" w:cs="Sakkal Majalla"/>
          <w:sz w:val="20"/>
          <w:szCs w:val="20"/>
        </w:rPr>
        <w:t xml:space="preserve"> </w:t>
      </w:r>
    </w:p>
  </w:footnote>
  <w:footnote w:id="3">
    <w:p w:rsidR="00D249E5" w:rsidRDefault="00342EE7">
      <w:pPr>
        <w:spacing w:after="0" w:line="240" w:lineRule="auto"/>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للإطلاع على كافة نصوص قانون الجنسية القطرى، انظر: </w:t>
      </w:r>
      <w:r>
        <w:fldChar w:fldCharType="begin"/>
      </w:r>
      <w:r>
        <w:instrText xml:space="preserve"> HYPERLINK "http://www.almeezan.qa/LawView.aspx?LawID=2578" \h </w:instrText>
      </w:r>
      <w:r>
        <w:fldChar w:fldCharType="separate"/>
      </w:r>
      <w:r>
        <w:rPr>
          <w:rFonts w:ascii="Sakkal Majalla" w:eastAsia="Sakkal Majalla" w:hAnsi="Sakkal Majalla" w:cs="Sakkal Majalla"/>
          <w:color w:val="0000FF"/>
          <w:sz w:val="20"/>
          <w:szCs w:val="20"/>
          <w:u w:val="single"/>
        </w:rPr>
        <w:t>http://www.almeezan.qa/LawView.aspx?LawID=2578</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4">
    <w:p w:rsidR="00D249E5" w:rsidRDefault="00342EE7">
      <w:pPr>
        <w:spacing w:after="0" w:line="240" w:lineRule="auto"/>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w:t>
      </w:r>
      <w:proofErr w:type="spellStart"/>
      <w:r>
        <w:rPr>
          <w:rFonts w:ascii="Sakkal Majalla" w:eastAsia="Sakkal Majalla" w:hAnsi="Sakkal Majalla" w:cs="Sakkal Majalla"/>
          <w:sz w:val="20"/>
          <w:szCs w:val="20"/>
        </w:rPr>
        <w:t>Rothna</w:t>
      </w:r>
      <w:proofErr w:type="spellEnd"/>
      <w:r>
        <w:rPr>
          <w:rFonts w:ascii="Sakkal Majalla" w:eastAsia="Sakkal Majalla" w:hAnsi="Sakkal Majalla" w:cs="Sakkal Majalla"/>
          <w:sz w:val="20"/>
          <w:szCs w:val="20"/>
        </w:rPr>
        <w:t xml:space="preserve"> Begum, Qatar's Permanent Residency Law a Step Forward but Discrimination Remains, HRW, Available at: </w:t>
      </w:r>
    </w:p>
    <w:p w:rsidR="00D249E5" w:rsidRDefault="000B2F4C">
      <w:pPr>
        <w:spacing w:after="0" w:line="240" w:lineRule="auto"/>
        <w:jc w:val="both"/>
        <w:rPr>
          <w:rFonts w:ascii="Sakkal Majalla" w:eastAsia="Sakkal Majalla" w:hAnsi="Sakkal Majalla" w:cs="Sakkal Majalla"/>
          <w:sz w:val="20"/>
          <w:szCs w:val="20"/>
        </w:rPr>
      </w:pPr>
      <w:hyperlink r:id="rId2">
        <w:r w:rsidR="00342EE7">
          <w:rPr>
            <w:rFonts w:ascii="Sakkal Majalla" w:eastAsia="Sakkal Majalla" w:hAnsi="Sakkal Majalla" w:cs="Sakkal Majalla"/>
            <w:color w:val="0000FF"/>
            <w:sz w:val="20"/>
            <w:szCs w:val="20"/>
            <w:u w:val="single"/>
          </w:rPr>
          <w:t>https://server5.kproxy.com/servlet/redirect.srv/slxv/sfbs/sjkl/p2/news/2018/09/11/qatars-permanent-residency-law-step-forward-discrimination-remains</w:t>
        </w:r>
      </w:hyperlink>
      <w:r w:rsidR="00342EE7">
        <w:rPr>
          <w:rFonts w:ascii="Sakkal Majalla" w:eastAsia="Sakkal Majalla" w:hAnsi="Sakkal Majalla" w:cs="Sakkal Majalla"/>
          <w:sz w:val="20"/>
          <w:szCs w:val="20"/>
        </w:rPr>
        <w:t xml:space="preserve">  </w:t>
      </w:r>
    </w:p>
  </w:footnote>
  <w:footnote w:id="5">
    <w:p w:rsidR="00D249E5" w:rsidRDefault="00342EE7">
      <w:pPr>
        <w:spacing w:after="0" w:line="240" w:lineRule="auto"/>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The Institute on Statelessness and Inclusion, </w:t>
      </w:r>
      <w:proofErr w:type="spellStart"/>
      <w:r>
        <w:rPr>
          <w:rFonts w:ascii="Sakkal Majalla" w:eastAsia="Sakkal Majalla" w:hAnsi="Sakkal Majalla" w:cs="Sakkal Majalla"/>
          <w:sz w:val="20"/>
          <w:szCs w:val="20"/>
        </w:rPr>
        <w:t>Upr</w:t>
      </w:r>
      <w:proofErr w:type="spellEnd"/>
      <w:r>
        <w:rPr>
          <w:rFonts w:ascii="Sakkal Majalla" w:eastAsia="Sakkal Majalla" w:hAnsi="Sakkal Majalla" w:cs="Sakkal Majalla"/>
          <w:sz w:val="20"/>
          <w:szCs w:val="20"/>
        </w:rPr>
        <w:t xml:space="preserve">-Info, Available at: </w:t>
      </w:r>
    </w:p>
    <w:p w:rsidR="00D249E5" w:rsidRDefault="000B2F4C">
      <w:pPr>
        <w:spacing w:after="0" w:line="240" w:lineRule="auto"/>
        <w:jc w:val="both"/>
        <w:rPr>
          <w:rFonts w:ascii="Sakkal Majalla" w:eastAsia="Sakkal Majalla" w:hAnsi="Sakkal Majalla" w:cs="Sakkal Majalla"/>
          <w:sz w:val="20"/>
          <w:szCs w:val="20"/>
        </w:rPr>
      </w:pPr>
      <w:hyperlink r:id="rId3">
        <w:r w:rsidR="00342EE7">
          <w:rPr>
            <w:rFonts w:ascii="Sakkal Majalla" w:eastAsia="Sakkal Majalla" w:hAnsi="Sakkal Majalla" w:cs="Sakkal Majalla"/>
            <w:color w:val="0000FF"/>
            <w:sz w:val="20"/>
            <w:szCs w:val="20"/>
            <w:u w:val="single"/>
          </w:rPr>
          <w:t>https://www.uprinfo.org/sites/default/files/document/qatar/session_33__may_2019/3._institute_of_statelessness_and_inclusion_stmt.pdf</w:t>
        </w:r>
      </w:hyperlink>
      <w:r w:rsidR="00342EE7">
        <w:rPr>
          <w:rFonts w:ascii="Sakkal Majalla" w:eastAsia="Sakkal Majalla" w:hAnsi="Sakkal Majalla" w:cs="Sakkal Majalla"/>
          <w:sz w:val="20"/>
          <w:szCs w:val="20"/>
        </w:rPr>
        <w:t xml:space="preserve"> </w:t>
      </w:r>
    </w:p>
  </w:footnote>
  <w:footnote w:id="6">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CEDAW 73</w:t>
      </w:r>
      <w:r>
        <w:rPr>
          <w:rFonts w:ascii="Sakkal Majalla" w:eastAsia="Sakkal Majalla" w:hAnsi="Sakkal Majalla" w:cs="Sakkal Majalla"/>
          <w:sz w:val="20"/>
          <w:szCs w:val="20"/>
          <w:vertAlign w:val="superscript"/>
        </w:rPr>
        <w:t>rd</w:t>
      </w:r>
      <w:r>
        <w:rPr>
          <w:rFonts w:ascii="Sakkal Majalla" w:eastAsia="Sakkal Majalla" w:hAnsi="Sakkal Majalla" w:cs="Sakkal Majalla"/>
          <w:sz w:val="20"/>
          <w:szCs w:val="20"/>
        </w:rPr>
        <w:t xml:space="preserve"> Session, Qatar State Party report, U.N. Doc, </w:t>
      </w:r>
      <w:proofErr w:type="spellStart"/>
      <w:r>
        <w:rPr>
          <w:rFonts w:ascii="Sakkal Majalla" w:eastAsia="Sakkal Majalla" w:hAnsi="Sakkal Majalla" w:cs="Sakkal Majalla"/>
          <w:sz w:val="20"/>
          <w:szCs w:val="20"/>
        </w:rPr>
        <w:t>Avalible</w:t>
      </w:r>
      <w:proofErr w:type="spellEnd"/>
      <w:r>
        <w:rPr>
          <w:rFonts w:ascii="Sakkal Majalla" w:eastAsia="Sakkal Majalla" w:hAnsi="Sakkal Majalla" w:cs="Sakkal Majalla"/>
          <w:sz w:val="20"/>
          <w:szCs w:val="20"/>
        </w:rPr>
        <w:t xml:space="preserve"> at: </w:t>
      </w:r>
    </w:p>
    <w:p w:rsidR="00D249E5" w:rsidRDefault="000B2F4C">
      <w:pPr>
        <w:spacing w:after="0"/>
        <w:jc w:val="both"/>
        <w:rPr>
          <w:rFonts w:ascii="Sakkal Majalla" w:eastAsia="Sakkal Majalla" w:hAnsi="Sakkal Majalla" w:cs="Sakkal Majalla"/>
          <w:sz w:val="20"/>
          <w:szCs w:val="20"/>
        </w:rPr>
      </w:pPr>
      <w:hyperlink r:id="rId4">
        <w:r w:rsidR="00342EE7">
          <w:rPr>
            <w:rFonts w:ascii="Sakkal Majalla" w:eastAsia="Sakkal Majalla" w:hAnsi="Sakkal Majalla" w:cs="Sakkal Majalla"/>
            <w:color w:val="0000FF"/>
            <w:sz w:val="20"/>
            <w:szCs w:val="20"/>
            <w:u w:val="single"/>
          </w:rPr>
          <w:t>https://tbinternet.ohchr.org/_layouts/15/treatybodyexternal/Download.aspx?symbolno=CEDAW%2fC%2fQAT%2fQ%2f2&amp;Lang=ar</w:t>
        </w:r>
      </w:hyperlink>
      <w:r w:rsidR="00342EE7">
        <w:rPr>
          <w:rFonts w:ascii="Sakkal Majalla" w:eastAsia="Sakkal Majalla" w:hAnsi="Sakkal Majalla" w:cs="Sakkal Majalla"/>
          <w:sz w:val="20"/>
          <w:szCs w:val="20"/>
        </w:rPr>
        <w:t xml:space="preserve"> </w:t>
      </w:r>
    </w:p>
  </w:footnote>
  <w:footnote w:id="7">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قانون الأسرة القطرى، انظر: </w:t>
      </w:r>
    </w:p>
    <w:p w:rsidR="00D249E5" w:rsidRDefault="000B2F4C">
      <w:pPr>
        <w:spacing w:after="0"/>
        <w:jc w:val="both"/>
        <w:rPr>
          <w:rFonts w:ascii="Sakkal Majalla" w:eastAsia="Sakkal Majalla" w:hAnsi="Sakkal Majalla" w:cs="Sakkal Majalla"/>
          <w:sz w:val="20"/>
          <w:szCs w:val="20"/>
        </w:rPr>
      </w:pPr>
      <w:hyperlink r:id="rId5">
        <w:r w:rsidR="00342EE7">
          <w:rPr>
            <w:rFonts w:ascii="Sakkal Majalla" w:eastAsia="Sakkal Majalla" w:hAnsi="Sakkal Majalla" w:cs="Sakkal Majalla"/>
            <w:color w:val="0000FF"/>
            <w:sz w:val="20"/>
            <w:szCs w:val="20"/>
            <w:u w:val="single"/>
          </w:rPr>
          <w:t>http://gulfmigration.org/database/legal_module/Qatar/National%20Legal%20Framework/Rights%20and%20Obligations/3.1%20Family%20Law%2022%202006_AR.pdf</w:t>
        </w:r>
      </w:hyperlink>
      <w:r w:rsidR="00342EE7">
        <w:rPr>
          <w:rFonts w:ascii="Sakkal Majalla" w:eastAsia="Sakkal Majalla" w:hAnsi="Sakkal Majalla" w:cs="Sakkal Majalla"/>
          <w:sz w:val="20"/>
          <w:szCs w:val="20"/>
        </w:rPr>
        <w:t xml:space="preserve"> </w:t>
      </w:r>
    </w:p>
  </w:footnote>
  <w:footnote w:id="8">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The State of Qatar, Marriage and Divorce at 14 (2016), Available at: </w:t>
      </w:r>
    </w:p>
    <w:p w:rsidR="00D249E5" w:rsidRDefault="000B2F4C">
      <w:pPr>
        <w:spacing w:after="0"/>
        <w:jc w:val="both"/>
        <w:rPr>
          <w:rFonts w:ascii="Sakkal Majalla" w:eastAsia="Sakkal Majalla" w:hAnsi="Sakkal Majalla" w:cs="Sakkal Majalla"/>
          <w:sz w:val="20"/>
          <w:szCs w:val="20"/>
        </w:rPr>
      </w:pPr>
      <w:hyperlink r:id="rId6">
        <w:r w:rsidR="00342EE7">
          <w:rPr>
            <w:rFonts w:ascii="Sakkal Majalla" w:eastAsia="Sakkal Majalla" w:hAnsi="Sakkal Majalla" w:cs="Sakkal Majalla"/>
            <w:color w:val="0000FF"/>
            <w:sz w:val="20"/>
            <w:szCs w:val="20"/>
            <w:u w:val="single"/>
          </w:rPr>
          <w:t>https://www.mdps.gov.qa/en/statistics/Statistical%20Releases/Population/MarriagesDivorces/2016/Analytical_Summary_Marriage_and_Divorce_2016_En.pdf</w:t>
        </w:r>
      </w:hyperlink>
      <w:r w:rsidR="00342EE7">
        <w:rPr>
          <w:rFonts w:ascii="Sakkal Majalla" w:eastAsia="Sakkal Majalla" w:hAnsi="Sakkal Majalla" w:cs="Sakkal Majalla"/>
          <w:sz w:val="20"/>
          <w:szCs w:val="20"/>
        </w:rPr>
        <w:t xml:space="preserve"> </w:t>
      </w:r>
    </w:p>
  </w:footnote>
  <w:footnote w:id="9">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للإطلاع على كافة نصوص القانون رقم (2) لعام 2007، انظر: </w:t>
      </w:r>
      <w:r>
        <w:fldChar w:fldCharType="begin"/>
      </w:r>
      <w:r>
        <w:instrText xml:space="preserve"> HYPERLINK "http://www.almeezan.qa/LawView.aspx?opt&amp;LawID=2586&amp;language=ar" \h </w:instrText>
      </w:r>
      <w:r>
        <w:fldChar w:fldCharType="separate"/>
      </w:r>
      <w:r>
        <w:rPr>
          <w:rFonts w:ascii="Sakkal Majalla" w:eastAsia="Sakkal Majalla" w:hAnsi="Sakkal Majalla" w:cs="Sakkal Majalla"/>
          <w:color w:val="0000FF"/>
          <w:sz w:val="20"/>
          <w:szCs w:val="20"/>
          <w:u w:val="single"/>
        </w:rPr>
        <w:t>http://www.almeezan.qa/LawView.aspx?opt&amp;LawID=2586&amp;language=ar</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0">
    <w:p w:rsidR="00D249E5" w:rsidRDefault="00342EE7">
      <w:pPr>
        <w:spacing w:after="0"/>
        <w:ind w:left="0" w:firstLine="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قانون الأسرة القطرى، انظر: </w:t>
      </w:r>
    </w:p>
    <w:p w:rsidR="00D249E5" w:rsidRDefault="000B2F4C">
      <w:pPr>
        <w:spacing w:after="0"/>
        <w:ind w:left="0" w:firstLine="0"/>
        <w:jc w:val="both"/>
        <w:rPr>
          <w:rFonts w:ascii="Sakkal Majalla" w:eastAsia="Sakkal Majalla" w:hAnsi="Sakkal Majalla" w:cs="Sakkal Majalla"/>
          <w:sz w:val="20"/>
          <w:szCs w:val="20"/>
        </w:rPr>
      </w:pPr>
      <w:hyperlink r:id="rId7">
        <w:r w:rsidR="00342EE7">
          <w:rPr>
            <w:rFonts w:ascii="Sakkal Majalla" w:eastAsia="Sakkal Majalla" w:hAnsi="Sakkal Majalla" w:cs="Sakkal Majalla"/>
            <w:color w:val="0000FF"/>
            <w:sz w:val="20"/>
            <w:szCs w:val="20"/>
            <w:u w:val="single"/>
          </w:rPr>
          <w:t>http://gulfmigration.org/database/legal_module/Qatar/National%20Legal%20Framework/Rights%20and%20Obligations/3.1%20Family%20Law%2022%202006_AR.pdf</w:t>
        </w:r>
      </w:hyperlink>
    </w:p>
  </w:footnote>
  <w:footnote w:id="11">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CEDAW 73</w:t>
      </w:r>
      <w:r>
        <w:rPr>
          <w:rFonts w:ascii="Sakkal Majalla" w:eastAsia="Sakkal Majalla" w:hAnsi="Sakkal Majalla" w:cs="Sakkal Majalla"/>
          <w:sz w:val="20"/>
          <w:szCs w:val="20"/>
          <w:vertAlign w:val="superscript"/>
        </w:rPr>
        <w:t>rd</w:t>
      </w:r>
      <w:r>
        <w:rPr>
          <w:rFonts w:ascii="Sakkal Majalla" w:eastAsia="Sakkal Majalla" w:hAnsi="Sakkal Majalla" w:cs="Sakkal Majalla"/>
          <w:sz w:val="20"/>
          <w:szCs w:val="20"/>
        </w:rPr>
        <w:t xml:space="preserve"> Session, Qatar State Party report, U.N. Doc, Available at: </w:t>
      </w:r>
    </w:p>
    <w:p w:rsidR="00D249E5" w:rsidRDefault="000B2F4C">
      <w:pPr>
        <w:spacing w:after="0"/>
        <w:jc w:val="both"/>
        <w:rPr>
          <w:rFonts w:ascii="Sakkal Majalla" w:eastAsia="Sakkal Majalla" w:hAnsi="Sakkal Majalla" w:cs="Sakkal Majalla"/>
          <w:sz w:val="20"/>
          <w:szCs w:val="20"/>
        </w:rPr>
      </w:pPr>
      <w:hyperlink r:id="rId8">
        <w:r w:rsidR="00342EE7">
          <w:rPr>
            <w:rFonts w:ascii="Sakkal Majalla" w:eastAsia="Sakkal Majalla" w:hAnsi="Sakkal Majalla" w:cs="Sakkal Majalla"/>
            <w:color w:val="0000FF"/>
            <w:sz w:val="20"/>
            <w:szCs w:val="20"/>
            <w:u w:val="single"/>
          </w:rPr>
          <w:t>https://tbinternet.ohchr.org/_layouts/15/treatybodyexternal/Download.aspx?symbolno=CEDAW%2fC%2fQAT%2fQ%2f2&amp;Lang=ar</w:t>
        </w:r>
      </w:hyperlink>
      <w:r w:rsidR="00342EE7">
        <w:rPr>
          <w:rFonts w:ascii="Sakkal Majalla" w:eastAsia="Sakkal Majalla" w:hAnsi="Sakkal Majalla" w:cs="Sakkal Majalla"/>
          <w:sz w:val="20"/>
          <w:szCs w:val="20"/>
        </w:rPr>
        <w:t xml:space="preserve"> </w:t>
      </w:r>
    </w:p>
  </w:footnote>
  <w:footnote w:id="12">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للإطلاع على كافة نصوص قانون الجنسية القطرى، انظر: </w:t>
      </w:r>
      <w:r>
        <w:fldChar w:fldCharType="begin"/>
      </w:r>
      <w:r>
        <w:instrText xml:space="preserve"> HYPERLINK "http://www.almeezan.qa/LawView.aspx?LawID=2578" \h </w:instrText>
      </w:r>
      <w:r>
        <w:fldChar w:fldCharType="separate"/>
      </w:r>
      <w:r>
        <w:rPr>
          <w:rFonts w:ascii="Sakkal Majalla" w:eastAsia="Sakkal Majalla" w:hAnsi="Sakkal Majalla" w:cs="Sakkal Majalla"/>
          <w:color w:val="0000FF"/>
          <w:sz w:val="20"/>
          <w:szCs w:val="20"/>
          <w:u w:val="single"/>
        </w:rPr>
        <w:t>http://www.almeezan.qa/LawView.aspx?LawID=2578</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3">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Amnesty International, QATAR 2017/2018, Available at: </w:t>
      </w:r>
      <w:hyperlink r:id="rId9">
        <w:r>
          <w:rPr>
            <w:rFonts w:ascii="Sakkal Majalla" w:eastAsia="Sakkal Majalla" w:hAnsi="Sakkal Majalla" w:cs="Sakkal Majalla"/>
            <w:color w:val="0000FF"/>
            <w:sz w:val="20"/>
            <w:szCs w:val="20"/>
            <w:u w:val="single"/>
          </w:rPr>
          <w:t>https://www.amnesty.org/en/countries/middle-east-and-north-africa/qatar/report-qatar/</w:t>
        </w:r>
      </w:hyperlink>
      <w:r>
        <w:rPr>
          <w:rFonts w:ascii="Sakkal Majalla" w:eastAsia="Sakkal Majalla" w:hAnsi="Sakkal Majalla" w:cs="Sakkal Majalla"/>
          <w:sz w:val="20"/>
          <w:szCs w:val="20"/>
        </w:rPr>
        <w:t xml:space="preserve">  </w:t>
      </w:r>
    </w:p>
  </w:footnote>
  <w:footnote w:id="14">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U.N Docs, Available at:  </w:t>
      </w:r>
      <w:hyperlink r:id="rId10">
        <w:r>
          <w:rPr>
            <w:rFonts w:ascii="Sakkal Majalla" w:eastAsia="Sakkal Majalla" w:hAnsi="Sakkal Majalla" w:cs="Sakkal Majalla"/>
            <w:color w:val="0000FF"/>
            <w:sz w:val="20"/>
            <w:szCs w:val="20"/>
            <w:u w:val="single"/>
          </w:rPr>
          <w:t>https://undocs.org/ar/CEDAW/C/QAT/CO/1</w:t>
        </w:r>
      </w:hyperlink>
    </w:p>
  </w:footnote>
  <w:footnote w:id="15">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w:t>
      </w:r>
      <w:r>
        <w:rPr>
          <w:rFonts w:ascii="Sakkal Majalla" w:eastAsia="Sakkal Majalla" w:hAnsi="Sakkal Majalla" w:cs="Sakkal Majalla"/>
          <w:sz w:val="20"/>
          <w:szCs w:val="20"/>
          <w:rtl/>
        </w:rPr>
        <w:t xml:space="preserve">للإطلاع على كافة نصوص قانون العقوبات القطرى، انظر: </w:t>
      </w:r>
      <w:r>
        <w:fldChar w:fldCharType="begin"/>
      </w:r>
      <w:r>
        <w:instrText xml:space="preserve"> HYPERLINK "http://www.almeezan.qa/LawPage.aspx?id=26&amp;language=ar" \h </w:instrText>
      </w:r>
      <w:r>
        <w:fldChar w:fldCharType="separate"/>
      </w:r>
      <w:r>
        <w:rPr>
          <w:rFonts w:ascii="Sakkal Majalla" w:eastAsia="Sakkal Majalla" w:hAnsi="Sakkal Majalla" w:cs="Sakkal Majalla"/>
          <w:color w:val="0000FF"/>
          <w:sz w:val="20"/>
          <w:szCs w:val="20"/>
          <w:u w:val="single"/>
        </w:rPr>
        <w:t>http://www.almeezan.qa/LawPage.aspx?id=26&amp;language=ar</w:t>
      </w:r>
      <w:r>
        <w:rPr>
          <w:rFonts w:ascii="Sakkal Majalla" w:eastAsia="Sakkal Majalla" w:hAnsi="Sakkal Majalla" w:cs="Sakkal Majalla"/>
          <w:color w:val="0000FF"/>
          <w:sz w:val="20"/>
          <w:szCs w:val="20"/>
          <w:u w:val="single"/>
        </w:rPr>
        <w:fldChar w:fldCharType="end"/>
      </w:r>
    </w:p>
  </w:footnote>
  <w:footnote w:id="16">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المرأة القطرية فى مرمى انتهاكات "الحمدين" .. </w:t>
      </w:r>
      <w:r>
        <w:rPr>
          <w:rFonts w:ascii="Sakkal Majalla" w:eastAsia="Sakkal Majalla" w:hAnsi="Sakkal Majalla" w:cs="Sakkal Majalla"/>
          <w:sz w:val="20"/>
          <w:szCs w:val="20"/>
          <w:rtl/>
        </w:rPr>
        <w:t xml:space="preserve">منظمات حقوقية ترفع لتميم الكارت الأحمر، م منشور على صوت الأمة، بتاريخ 14 أكتوبر 2018، ويمكن قراءة المقال كاملاً من خلال الرابط التالى: </w:t>
      </w:r>
      <w:r>
        <w:fldChar w:fldCharType="begin"/>
      </w:r>
      <w:r>
        <w:instrText xml:space="preserve"> HYPERLINK "http://cutt.us/fSxhz" \h </w:instrText>
      </w:r>
      <w:r>
        <w:fldChar w:fldCharType="separate"/>
      </w:r>
      <w:r>
        <w:rPr>
          <w:rFonts w:ascii="Sakkal Majalla" w:eastAsia="Sakkal Majalla" w:hAnsi="Sakkal Majalla" w:cs="Sakkal Majalla"/>
          <w:color w:val="0000FF"/>
          <w:sz w:val="20"/>
          <w:szCs w:val="20"/>
          <w:u w:val="single"/>
        </w:rPr>
        <w:t>http://cutt.us/fSxhz</w:t>
      </w:r>
      <w:r>
        <w:rPr>
          <w:rFonts w:ascii="Sakkal Majalla" w:eastAsia="Sakkal Majalla" w:hAnsi="Sakkal Majalla" w:cs="Sakkal Majalla"/>
          <w:color w:val="0000FF"/>
          <w:sz w:val="20"/>
          <w:szCs w:val="20"/>
          <w:u w:val="single"/>
        </w:rPr>
        <w:fldChar w:fldCharType="end"/>
      </w:r>
      <w:r>
        <w:rPr>
          <w:rFonts w:ascii="Sakkal Majalla" w:eastAsia="Sakkal Majalla" w:hAnsi="Sakkal Majalla" w:cs="Sakkal Majalla"/>
          <w:sz w:val="20"/>
          <w:szCs w:val="20"/>
        </w:rPr>
        <w:t xml:space="preserve"> </w:t>
      </w:r>
    </w:p>
  </w:footnote>
  <w:footnote w:id="17">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القانون رقم (15) لعام 2017، بشأن المستخدمين فى المنازل، انظر: </w:t>
      </w:r>
      <w:hyperlink r:id="rId11">
        <w:r>
          <w:rPr>
            <w:rFonts w:ascii="Sakkal Majalla" w:eastAsia="Sakkal Majalla" w:hAnsi="Sakkal Majalla" w:cs="Sakkal Majalla"/>
            <w:color w:val="0000FF"/>
            <w:sz w:val="20"/>
            <w:szCs w:val="20"/>
            <w:u w:val="single"/>
          </w:rPr>
          <w:t>http://www.almeezan.qa/LawPage.aspx?id=7312&amp;language=ar</w:t>
        </w:r>
      </w:hyperlink>
      <w:r>
        <w:rPr>
          <w:rFonts w:ascii="Sakkal Majalla" w:eastAsia="Sakkal Majalla" w:hAnsi="Sakkal Majalla" w:cs="Sakkal Majalla"/>
          <w:sz w:val="20"/>
          <w:szCs w:val="20"/>
        </w:rPr>
        <w:t xml:space="preserve"> </w:t>
      </w:r>
    </w:p>
  </w:footnote>
  <w:footnote w:id="18">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tl/>
        </w:rPr>
        <w:t xml:space="preserve">  للإطلاع على كافة نصوص القانون رقم (14) لعام 2004، قانون العمل القطرى، انظر: </w:t>
      </w:r>
    </w:p>
    <w:p w:rsidR="00D249E5" w:rsidRDefault="000B2F4C">
      <w:pPr>
        <w:spacing w:after="0"/>
        <w:jc w:val="both"/>
        <w:rPr>
          <w:rFonts w:ascii="Sakkal Majalla" w:eastAsia="Sakkal Majalla" w:hAnsi="Sakkal Majalla" w:cs="Sakkal Majalla"/>
          <w:sz w:val="20"/>
          <w:szCs w:val="20"/>
        </w:rPr>
      </w:pPr>
      <w:hyperlink r:id="rId12">
        <w:r w:rsidR="00342EE7">
          <w:rPr>
            <w:rFonts w:ascii="Sakkal Majalla" w:eastAsia="Sakkal Majalla" w:hAnsi="Sakkal Majalla" w:cs="Sakkal Majalla"/>
            <w:color w:val="0000FF"/>
            <w:sz w:val="20"/>
            <w:szCs w:val="20"/>
            <w:u w:val="single"/>
          </w:rPr>
          <w:t>https://server2.kproxy.com/servlet/redirect.srv/sfw/svjjpqzzp/snop/p1/LawPage.aspx?id=3961&amp;language=ar</w:t>
        </w:r>
      </w:hyperlink>
    </w:p>
    <w:p w:rsidR="00D249E5" w:rsidRDefault="00D249E5">
      <w:pPr>
        <w:spacing w:after="0"/>
        <w:jc w:val="both"/>
        <w:rPr>
          <w:rFonts w:ascii="Sakkal Majalla" w:eastAsia="Sakkal Majalla" w:hAnsi="Sakkal Majalla" w:cs="Sakkal Majalla"/>
          <w:sz w:val="20"/>
          <w:szCs w:val="20"/>
        </w:rPr>
      </w:pPr>
    </w:p>
  </w:footnote>
  <w:footnote w:id="19">
    <w:p w:rsidR="00D249E5" w:rsidRDefault="00342EE7">
      <w:pPr>
        <w:spacing w:after="0"/>
        <w:jc w:val="both"/>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 AI, SUBMISSION FOR THE UN UNIVERSAL PERIODICREVIEW, 33RD SESSION OF THE UPR WORKING GROUP, MAY 2019, </w:t>
      </w:r>
      <w:proofErr w:type="spellStart"/>
      <w:r>
        <w:rPr>
          <w:rFonts w:ascii="Sakkal Majalla" w:eastAsia="Sakkal Majalla" w:hAnsi="Sakkal Majalla" w:cs="Sakkal Majalla"/>
          <w:sz w:val="20"/>
          <w:szCs w:val="20"/>
        </w:rPr>
        <w:t>Avaliable</w:t>
      </w:r>
      <w:proofErr w:type="spellEnd"/>
      <w:r>
        <w:rPr>
          <w:rFonts w:ascii="Sakkal Majalla" w:eastAsia="Sakkal Majalla" w:hAnsi="Sakkal Majalla" w:cs="Sakkal Majalla"/>
          <w:sz w:val="20"/>
          <w:szCs w:val="20"/>
        </w:rPr>
        <w:t xml:space="preserve"> at: </w:t>
      </w:r>
    </w:p>
    <w:p w:rsidR="00D249E5" w:rsidRDefault="000B2F4C">
      <w:pPr>
        <w:spacing w:after="0"/>
        <w:jc w:val="both"/>
        <w:rPr>
          <w:rFonts w:ascii="Sakkal Majalla" w:eastAsia="Sakkal Majalla" w:hAnsi="Sakkal Majalla" w:cs="Sakkal Majalla"/>
          <w:sz w:val="20"/>
          <w:szCs w:val="20"/>
        </w:rPr>
      </w:pPr>
      <w:hyperlink r:id="rId13">
        <w:r w:rsidR="00342EE7">
          <w:rPr>
            <w:rFonts w:ascii="Sakkal Majalla" w:eastAsia="Sakkal Majalla" w:hAnsi="Sakkal Majalla" w:cs="Sakkal Majalla"/>
            <w:color w:val="0000FF"/>
            <w:sz w:val="20"/>
            <w:szCs w:val="20"/>
            <w:u w:val="single"/>
          </w:rPr>
          <w:t>https://www.amnesty.org/download/Documents/MDE2297832019ENGLISH.PDF</w:t>
        </w:r>
      </w:hyperlink>
      <w:r w:rsidR="00342EE7">
        <w:rPr>
          <w:rFonts w:ascii="Sakkal Majalla" w:eastAsia="Sakkal Majalla" w:hAnsi="Sakkal Majalla" w:cs="Sakkal Majalla"/>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9E5" w:rsidRDefault="00D249E5">
    <w:pPr>
      <w:widowControl w:val="0"/>
      <w:pBdr>
        <w:top w:val="nil"/>
        <w:left w:val="nil"/>
        <w:bottom w:val="nil"/>
        <w:right w:val="nil"/>
        <w:between w:val="nil"/>
      </w:pBdr>
      <w:spacing w:after="0"/>
      <w:ind w:left="0" w:firstLine="0"/>
      <w:rPr>
        <w:color w:val="000000"/>
      </w:rPr>
    </w:pPr>
  </w:p>
  <w:tbl>
    <w:tblPr>
      <w:tblStyle w:val="a"/>
      <w:bidiVisual/>
      <w:tblW w:w="9922" w:type="dxa"/>
      <w:tblLayout w:type="fixed"/>
      <w:tblLook w:val="0400" w:firstRow="0" w:lastRow="0" w:firstColumn="0" w:lastColumn="0" w:noHBand="0" w:noVBand="1"/>
    </w:tblPr>
    <w:tblGrid>
      <w:gridCol w:w="4560"/>
      <w:gridCol w:w="5362"/>
    </w:tblGrid>
    <w:tr w:rsidR="00D249E5">
      <w:tc>
        <w:tcPr>
          <w:tcW w:w="4560" w:type="dxa"/>
          <w:shd w:val="clear" w:color="auto" w:fill="auto"/>
          <w:vAlign w:val="center"/>
        </w:tcPr>
        <w:p w:rsidR="00D249E5" w:rsidRDefault="00D249E5">
          <w:pPr>
            <w:pBdr>
              <w:top w:val="nil"/>
              <w:left w:val="nil"/>
              <w:bottom w:val="nil"/>
              <w:right w:val="nil"/>
              <w:between w:val="nil"/>
            </w:pBdr>
            <w:tabs>
              <w:tab w:val="center" w:pos="5102"/>
              <w:tab w:val="right" w:pos="10204"/>
            </w:tabs>
            <w:spacing w:after="0" w:line="240" w:lineRule="auto"/>
            <w:rPr>
              <w:b/>
              <w:color w:val="002060"/>
              <w:sz w:val="28"/>
              <w:szCs w:val="28"/>
            </w:rPr>
          </w:pPr>
        </w:p>
      </w:tc>
      <w:tc>
        <w:tcPr>
          <w:tcW w:w="5362" w:type="dxa"/>
          <w:shd w:val="clear" w:color="auto" w:fill="auto"/>
          <w:vAlign w:val="center"/>
        </w:tcPr>
        <w:p w:rsidR="00D249E5" w:rsidRDefault="00342EE7">
          <w:pPr>
            <w:pBdr>
              <w:top w:val="nil"/>
              <w:left w:val="nil"/>
              <w:bottom w:val="nil"/>
              <w:right w:val="nil"/>
              <w:between w:val="nil"/>
            </w:pBdr>
            <w:tabs>
              <w:tab w:val="center" w:pos="5102"/>
              <w:tab w:val="right" w:pos="10204"/>
            </w:tabs>
            <w:spacing w:after="0" w:line="240" w:lineRule="auto"/>
            <w:jc w:val="right"/>
            <w:rPr>
              <w:color w:val="000000"/>
            </w:rPr>
          </w:pPr>
          <w:r>
            <w:rPr>
              <w:noProof/>
              <w:color w:val="000000"/>
            </w:rPr>
            <w:drawing>
              <wp:inline distT="0" distB="0" distL="0" distR="0">
                <wp:extent cx="1981200" cy="14720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1472065"/>
                        </a:xfrm>
                        <a:prstGeom prst="rect">
                          <a:avLst/>
                        </a:prstGeom>
                        <a:ln/>
                      </pic:spPr>
                    </pic:pic>
                  </a:graphicData>
                </a:graphic>
              </wp:inline>
            </w:drawing>
          </w:r>
        </w:p>
      </w:tc>
    </w:tr>
  </w:tbl>
  <w:p w:rsidR="00D249E5" w:rsidRDefault="00D249E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22600"/>
    <w:multiLevelType w:val="multilevel"/>
    <w:tmpl w:val="1BFE3F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E5"/>
    <w:rsid w:val="000B2F4C"/>
    <w:rsid w:val="000B5D82"/>
    <w:rsid w:val="00342EE7"/>
    <w:rsid w:val="005B4D1B"/>
    <w:rsid w:val="008176F7"/>
    <w:rsid w:val="00C73004"/>
    <w:rsid w:val="00D249E5"/>
    <w:rsid w:val="00F6510F"/>
    <w:rsid w:val="00F96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mbria" w:eastAsia="Cambria" w:hAnsi="Cambria" w:cs="Cambria"/>
      <w:i/>
      <w:color w:val="36609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5B4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mbria" w:eastAsia="Cambria" w:hAnsi="Cambria" w:cs="Cambria"/>
      <w:i/>
      <w:color w:val="36609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5B4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QAT%2fQ%2f2&amp;Lang=ar" TargetMode="External"/><Relationship Id="rId13" Type="http://schemas.openxmlformats.org/officeDocument/2006/relationships/hyperlink" Target="https://www.amnesty.org/download/Documents/MDE2297832019ENGLISH.PDF" TargetMode="External"/><Relationship Id="rId3" Type="http://schemas.openxmlformats.org/officeDocument/2006/relationships/hyperlink" Target="https://www.uprinfo.org/sites/default/files/document/qatar/session_33__may_2019/3._institute_of_statelessness_and_inclusion_stmt.pdf" TargetMode="External"/><Relationship Id="rId7" Type="http://schemas.openxmlformats.org/officeDocument/2006/relationships/hyperlink" Target="http://gulfmigration.org/database/legal_module/Qatar/National%20Legal%20Framework/Rights%20and%20Obligations/3.1%20Family%20Law%2022%202006_AR.pdf" TargetMode="External"/><Relationship Id="rId12" Type="http://schemas.openxmlformats.org/officeDocument/2006/relationships/hyperlink" Target="https://server2.kproxy.com/servlet/redirect.srv/sfw/svjjpqzzp/snop/p1/LawPage.aspx?id=3961&amp;language=ar" TargetMode="External"/><Relationship Id="rId2" Type="http://schemas.openxmlformats.org/officeDocument/2006/relationships/hyperlink" Target="https://server5.kproxy.com/servlet/redirect.srv/slxv/sfbs/sjkl/p2/news/2018/09/11/qatars-permanent-residency-law-step-forward-discrimination-remains" TargetMode="External"/><Relationship Id="rId1" Type="http://schemas.openxmlformats.org/officeDocument/2006/relationships/hyperlink" Target="http://gulfmigration.org/database/legal_module/Qatar/National%20Legal%20Framework/Rights%20and%20Obligations/3.1%20Family%20Law%2022%202006_AR.pdf" TargetMode="External"/><Relationship Id="rId6" Type="http://schemas.openxmlformats.org/officeDocument/2006/relationships/hyperlink" Target="https://www.mdps.gov.qa/en/statistics/Statistical%20Releases/Population/MarriagesDivorces/2016/Analytical_Summary_Marriage_and_Divorce_2016_En.pdf" TargetMode="External"/><Relationship Id="rId11" Type="http://schemas.openxmlformats.org/officeDocument/2006/relationships/hyperlink" Target="http://www.almeezan.qa/LawPage.aspx?id=7312&amp;language=ar" TargetMode="External"/><Relationship Id="rId5" Type="http://schemas.openxmlformats.org/officeDocument/2006/relationships/hyperlink" Target="http://gulfmigration.org/database/legal_module/Qatar/National%20Legal%20Framework/Rights%20and%20Obligations/3.1%20Family%20Law%2022%202006_AR.pdf" TargetMode="External"/><Relationship Id="rId10" Type="http://schemas.openxmlformats.org/officeDocument/2006/relationships/hyperlink" Target="https://undocs.org/ar/CEDAW/C/QAT/CO/1" TargetMode="External"/><Relationship Id="rId4" Type="http://schemas.openxmlformats.org/officeDocument/2006/relationships/hyperlink" Target="https://tbinternet.ohchr.org/_layouts/15/treatybodyexternal/Download.aspx?symbolno=CEDAW%2fC%2fQAT%2fQ%2f2&amp;Lang=ar" TargetMode="External"/><Relationship Id="rId9" Type="http://schemas.openxmlformats.org/officeDocument/2006/relationships/hyperlink" Target="https://www.amnesty.org/en/countries/middle-east-and-north-africa/qatar/report-qat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C033FC-E39A-4BB6-BA90-4E488AAB4E4B}"/>
</file>

<file path=customXml/itemProps2.xml><?xml version="1.0" encoding="utf-8"?>
<ds:datastoreItem xmlns:ds="http://schemas.openxmlformats.org/officeDocument/2006/customXml" ds:itemID="{DEB15331-D012-47C7-B207-51DBF1171105}"/>
</file>

<file path=customXml/itemProps3.xml><?xml version="1.0" encoding="utf-8"?>
<ds:datastoreItem xmlns:ds="http://schemas.openxmlformats.org/officeDocument/2006/customXml" ds:itemID="{CFEB55DE-7474-4603-BDB4-254D18AD3D47}"/>
</file>

<file path=docProps/app.xml><?xml version="1.0" encoding="utf-8"?>
<Properties xmlns="http://schemas.openxmlformats.org/officeDocument/2006/extended-properties" xmlns:vt="http://schemas.openxmlformats.org/officeDocument/2006/docPropsVTypes">
  <Template>Normal</Template>
  <TotalTime>15</TotalTime>
  <Pages>10</Pages>
  <Words>2550</Words>
  <Characters>14540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cp:revision>
  <dcterms:created xsi:type="dcterms:W3CDTF">2019-05-18T13:26:00Z</dcterms:created>
  <dcterms:modified xsi:type="dcterms:W3CDTF">2019-05-28T13:04:00Z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