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enett"/>
        <w:tblW w:w="8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09"/>
        <w:gridCol w:w="1635"/>
        <w:gridCol w:w="1765"/>
      </w:tblGrid>
      <w:tr w:rsidR="009A6303" w14:paraId="4CC99F77" w14:textId="77777777" w:rsidTr="00E244FE">
        <w:trPr>
          <w:trHeight w:hRule="exact" w:val="76"/>
        </w:trPr>
        <w:tc>
          <w:tcPr>
            <w:tcW w:w="4909" w:type="dxa"/>
          </w:tcPr>
          <w:p w14:paraId="459B7F2D" w14:textId="77777777" w:rsidR="008F48D5" w:rsidRPr="00423011" w:rsidRDefault="008F48D5" w:rsidP="00423011">
            <w:pPr>
              <w:rPr>
                <w:lang w:val="nb-NO"/>
              </w:rPr>
            </w:pPr>
          </w:p>
        </w:tc>
        <w:tc>
          <w:tcPr>
            <w:tcW w:w="1635" w:type="dxa"/>
            <w:tcBorders>
              <w:left w:val="nil"/>
            </w:tcBorders>
          </w:tcPr>
          <w:p w14:paraId="796AB723" w14:textId="77777777" w:rsidR="008F48D5" w:rsidRPr="00C10EF4" w:rsidRDefault="008F48D5" w:rsidP="00F53676">
            <w:pPr>
              <w:pStyle w:val="Topptekst"/>
            </w:pPr>
          </w:p>
        </w:tc>
        <w:tc>
          <w:tcPr>
            <w:tcW w:w="1765" w:type="dxa"/>
          </w:tcPr>
          <w:p w14:paraId="0E00B919" w14:textId="77777777" w:rsidR="008F48D5" w:rsidRDefault="008F48D5" w:rsidP="00F53676">
            <w:pPr>
              <w:pStyle w:val="Topptekst"/>
            </w:pPr>
          </w:p>
        </w:tc>
      </w:tr>
      <w:tr w:rsidR="00C8001F" w14:paraId="48E8A776" w14:textId="77777777" w:rsidTr="00E244FE">
        <w:trPr>
          <w:trHeight w:hRule="exact" w:val="219"/>
        </w:trPr>
        <w:tc>
          <w:tcPr>
            <w:tcW w:w="4909" w:type="dxa"/>
          </w:tcPr>
          <w:p w14:paraId="6DF77896" w14:textId="32B17877" w:rsidR="00C8001F" w:rsidRDefault="00C8001F" w:rsidP="00C8001F">
            <w:pPr>
              <w:pStyle w:val="Ingenmellomrom"/>
            </w:pPr>
          </w:p>
        </w:tc>
        <w:tc>
          <w:tcPr>
            <w:tcW w:w="1635" w:type="dxa"/>
          </w:tcPr>
          <w:p w14:paraId="49DA02F6" w14:textId="77777777" w:rsidR="00C8001F" w:rsidRPr="00AA1061" w:rsidRDefault="00C8001F" w:rsidP="00C8001F">
            <w:pPr>
              <w:pStyle w:val="Topptekst"/>
              <w:rPr>
                <w:rStyle w:val="uthevet"/>
              </w:rPr>
            </w:pPr>
            <w:proofErr w:type="spellStart"/>
            <w:r w:rsidRPr="00AA1061">
              <w:rPr>
                <w:rStyle w:val="uthevet"/>
              </w:rPr>
              <w:t>Deres</w:t>
            </w:r>
            <w:proofErr w:type="spellEnd"/>
            <w:r w:rsidRPr="00AA1061">
              <w:rPr>
                <w:rStyle w:val="uthevet"/>
              </w:rPr>
              <w:t xml:space="preserve"> </w:t>
            </w:r>
            <w:proofErr w:type="spellStart"/>
            <w:r w:rsidRPr="00AA1061">
              <w:rPr>
                <w:rStyle w:val="uthevet"/>
              </w:rPr>
              <w:t>referanse</w:t>
            </w:r>
            <w:proofErr w:type="spellEnd"/>
            <w:r w:rsidRPr="00AA1061">
              <w:rPr>
                <w:rStyle w:val="uthevet"/>
              </w:rPr>
              <w:t>:</w:t>
            </w:r>
          </w:p>
        </w:tc>
        <w:tc>
          <w:tcPr>
            <w:tcW w:w="1765" w:type="dxa"/>
          </w:tcPr>
          <w:p w14:paraId="4BB06392" w14:textId="0F3F92E8" w:rsidR="00C8001F" w:rsidRDefault="00C8001F" w:rsidP="00C8001F">
            <w:pPr>
              <w:pStyle w:val="Topptekst"/>
            </w:pPr>
          </w:p>
        </w:tc>
      </w:tr>
      <w:tr w:rsidR="00C8001F" w14:paraId="712A1E19" w14:textId="77777777" w:rsidTr="00E244FE">
        <w:trPr>
          <w:trHeight w:hRule="exact" w:val="219"/>
        </w:trPr>
        <w:tc>
          <w:tcPr>
            <w:tcW w:w="4909" w:type="dxa"/>
            <w:vMerge w:val="restart"/>
          </w:tcPr>
          <w:p w14:paraId="2B6B9D26" w14:textId="77777777" w:rsidR="00C8001F" w:rsidRPr="00C8001F" w:rsidRDefault="00C8001F" w:rsidP="00C8001F">
            <w:pPr>
              <w:pStyle w:val="Ingenmellomrom"/>
              <w:rPr>
                <w:lang w:val="en-US"/>
              </w:rPr>
            </w:pPr>
            <w:r w:rsidRPr="004E6820">
              <w:rPr>
                <w:lang w:val="en-GB"/>
              </w:rPr>
              <w:t xml:space="preserve">UN </w:t>
            </w:r>
            <w:r>
              <w:rPr>
                <w:lang w:val="en-GB"/>
              </w:rPr>
              <w:t xml:space="preserve">Committee </w:t>
            </w:r>
            <w:proofErr w:type="spellStart"/>
            <w:r>
              <w:rPr>
                <w:lang w:val="en-GB"/>
              </w:rPr>
              <w:t>ESCR</w:t>
            </w:r>
            <w:proofErr w:type="spellEnd"/>
          </w:p>
          <w:p w14:paraId="206D4863" w14:textId="5A78765F" w:rsidR="00C8001F" w:rsidRPr="00C8001F" w:rsidRDefault="00E244FE" w:rsidP="00C8001F">
            <w:pPr>
              <w:pStyle w:val="Ingenmellomrom"/>
              <w:rPr>
                <w:lang w:val="en-US"/>
              </w:rPr>
            </w:pPr>
            <w:hyperlink r:id="rId8" w:history="1">
              <w:r w:rsidR="00C8001F" w:rsidRPr="00C8001F">
                <w:rPr>
                  <w:rStyle w:val="Hyperkobling"/>
                  <w:lang w:val="en-US"/>
                </w:rPr>
                <w:t>cescr@ohchr.org</w:t>
              </w:r>
            </w:hyperlink>
            <w:r w:rsidR="00C8001F" w:rsidRPr="00C8001F">
              <w:rPr>
                <w:lang w:val="en-US"/>
              </w:rPr>
              <w:t xml:space="preserve"> </w:t>
            </w:r>
          </w:p>
        </w:tc>
        <w:tc>
          <w:tcPr>
            <w:tcW w:w="1635" w:type="dxa"/>
          </w:tcPr>
          <w:p w14:paraId="1B7ED4BC" w14:textId="77777777" w:rsidR="00C8001F" w:rsidRPr="00AA1061" w:rsidRDefault="00C8001F" w:rsidP="00C8001F">
            <w:pPr>
              <w:pStyle w:val="Topptekst"/>
              <w:rPr>
                <w:rStyle w:val="uthevet"/>
              </w:rPr>
            </w:pPr>
            <w:proofErr w:type="spellStart"/>
            <w:r w:rsidRPr="00AA1061">
              <w:rPr>
                <w:rStyle w:val="uthevet"/>
              </w:rPr>
              <w:t>Vår</w:t>
            </w:r>
            <w:proofErr w:type="spellEnd"/>
            <w:r w:rsidRPr="00AA1061">
              <w:rPr>
                <w:rStyle w:val="uthevet"/>
              </w:rPr>
              <w:t xml:space="preserve"> </w:t>
            </w:r>
            <w:proofErr w:type="spellStart"/>
            <w:r w:rsidRPr="00AA1061">
              <w:rPr>
                <w:rStyle w:val="uthevet"/>
              </w:rPr>
              <w:t>referanse</w:t>
            </w:r>
            <w:proofErr w:type="spellEnd"/>
            <w:r w:rsidRPr="00AA1061">
              <w:rPr>
                <w:rStyle w:val="uthevet"/>
              </w:rPr>
              <w:t>:</w:t>
            </w:r>
          </w:p>
        </w:tc>
        <w:tc>
          <w:tcPr>
            <w:tcW w:w="1765" w:type="dxa"/>
          </w:tcPr>
          <w:p w14:paraId="6BB3F0CF" w14:textId="33121C84" w:rsidR="00C8001F" w:rsidRDefault="00C8001F" w:rsidP="00C8001F">
            <w:pPr>
              <w:pStyle w:val="Topptekst"/>
            </w:pPr>
            <w:r>
              <w:t>2018/199</w:t>
            </w:r>
          </w:p>
        </w:tc>
      </w:tr>
      <w:tr w:rsidR="00C8001F" w14:paraId="6889FECA" w14:textId="77777777" w:rsidTr="00E244FE">
        <w:trPr>
          <w:trHeight w:hRule="exact" w:val="940"/>
        </w:trPr>
        <w:tc>
          <w:tcPr>
            <w:tcW w:w="4909" w:type="dxa"/>
            <w:vMerge/>
          </w:tcPr>
          <w:p w14:paraId="77D18A4F" w14:textId="77777777" w:rsidR="00C8001F" w:rsidRDefault="00C8001F" w:rsidP="00C8001F">
            <w:pPr>
              <w:pStyle w:val="Ingenmellomrom"/>
            </w:pPr>
          </w:p>
        </w:tc>
        <w:tc>
          <w:tcPr>
            <w:tcW w:w="1635" w:type="dxa"/>
          </w:tcPr>
          <w:p w14:paraId="3CB3E1D3" w14:textId="77777777" w:rsidR="00C8001F" w:rsidRPr="00AA1061" w:rsidRDefault="00C8001F" w:rsidP="00C8001F">
            <w:pPr>
              <w:pStyle w:val="Topptekst"/>
              <w:rPr>
                <w:rStyle w:val="uthevet"/>
              </w:rPr>
            </w:pPr>
            <w:r w:rsidRPr="00AA1061">
              <w:rPr>
                <w:rStyle w:val="uthevet"/>
              </w:rPr>
              <w:t>Dato:</w:t>
            </w:r>
          </w:p>
        </w:tc>
        <w:tc>
          <w:tcPr>
            <w:tcW w:w="1765" w:type="dxa"/>
          </w:tcPr>
          <w:p w14:paraId="5BEB2F7F" w14:textId="3A0F1866" w:rsidR="00C8001F" w:rsidRDefault="00C8001F" w:rsidP="00C8001F">
            <w:pPr>
              <w:pStyle w:val="Topptekst"/>
            </w:pPr>
            <w:r>
              <w:rPr>
                <w:noProof/>
              </w:rPr>
              <w:fldChar w:fldCharType="begin"/>
            </w:r>
            <w:r>
              <w:rPr>
                <w:noProof/>
              </w:rPr>
              <w:instrText xml:space="preserve"> DATE  \* MERGEFORMAT </w:instrText>
            </w:r>
            <w:r>
              <w:rPr>
                <w:noProof/>
              </w:rPr>
              <w:fldChar w:fldCharType="separate"/>
            </w:r>
            <w:r w:rsidR="00E244FE">
              <w:rPr>
                <w:noProof/>
              </w:rPr>
              <w:t>14/01/2020</w:t>
            </w:r>
            <w:r>
              <w:rPr>
                <w:noProof/>
              </w:rPr>
              <w:fldChar w:fldCharType="end"/>
            </w:r>
          </w:p>
        </w:tc>
      </w:tr>
    </w:tbl>
    <w:p w14:paraId="65CAC80E" w14:textId="77777777" w:rsidR="00E244FE" w:rsidRDefault="00E244FE" w:rsidP="00C25926">
      <w:pPr>
        <w:pStyle w:val="NIMTittel1"/>
      </w:pPr>
    </w:p>
    <w:p w14:paraId="11007B8E" w14:textId="152FCCA6" w:rsidR="00C25926" w:rsidRDefault="00C25926" w:rsidP="00C25926">
      <w:pPr>
        <w:pStyle w:val="NIMTittel1"/>
      </w:pPr>
      <w:r>
        <w:t xml:space="preserve">Supplementary information from the </w:t>
      </w:r>
    </w:p>
    <w:p w14:paraId="5A90A6D7" w14:textId="77777777" w:rsidR="00C25926" w:rsidRDefault="00C25926" w:rsidP="00C25926">
      <w:pPr>
        <w:pStyle w:val="NIMTittel1"/>
      </w:pPr>
      <w:r w:rsidRPr="00001FD9">
        <w:t>N</w:t>
      </w:r>
      <w:r>
        <w:t xml:space="preserve">orwegian National Human Rights Institution to the </w:t>
      </w:r>
    </w:p>
    <w:p w14:paraId="7A5D5F0B" w14:textId="77777777" w:rsidR="00C25926" w:rsidRDefault="00C25926" w:rsidP="00C25926">
      <w:pPr>
        <w:pStyle w:val="NIMTittel1"/>
      </w:pPr>
      <w:r>
        <w:t>UN Committee on Economic, Social and Cultural Rights at its 67</w:t>
      </w:r>
      <w:r w:rsidRPr="001C5356">
        <w:rPr>
          <w:vertAlign w:val="superscript"/>
        </w:rPr>
        <w:t>th</w:t>
      </w:r>
      <w:r>
        <w:t xml:space="preserve"> session, hearing of Norway 25-26 February 2020</w:t>
      </w:r>
    </w:p>
    <w:p w14:paraId="7D3B9557" w14:textId="77777777" w:rsidR="00C25926" w:rsidRPr="001C5356" w:rsidRDefault="00C25926" w:rsidP="00C25926">
      <w:pPr>
        <w:spacing w:after="160" w:line="259" w:lineRule="auto"/>
        <w:jc w:val="left"/>
        <w:rPr>
          <w:rFonts w:eastAsia="Calibri" w:cs="Times New Roman"/>
          <w:color w:val="auto"/>
          <w:szCs w:val="22"/>
          <w:highlight w:val="lightGray"/>
        </w:rPr>
      </w:pPr>
      <w:r w:rsidRPr="00D42D11">
        <w:rPr>
          <w:rFonts w:eastAsia="Calibri" w:cs="Times New Roman"/>
          <w:color w:val="auto"/>
          <w:szCs w:val="22"/>
        </w:rPr>
        <w:t>The Norwegian National Human Rights Institution hereby submits its supplementary report to the UN Committee on Economic, Social and Cultural rights, prior to its hearing of Norway at the 67</w:t>
      </w:r>
      <w:r w:rsidRPr="00D42D11">
        <w:rPr>
          <w:rFonts w:eastAsia="Calibri" w:cs="Times New Roman"/>
          <w:color w:val="auto"/>
          <w:szCs w:val="22"/>
          <w:vertAlign w:val="superscript"/>
        </w:rPr>
        <w:t>th</w:t>
      </w:r>
      <w:r w:rsidRPr="00D42D11">
        <w:rPr>
          <w:rFonts w:eastAsia="Calibri" w:cs="Times New Roman"/>
          <w:color w:val="auto"/>
          <w:szCs w:val="22"/>
        </w:rPr>
        <w:t xml:space="preserve"> session in 2020.</w:t>
      </w:r>
    </w:p>
    <w:p w14:paraId="71DD28B5" w14:textId="77777777" w:rsidR="00C25926" w:rsidRPr="001C5356" w:rsidRDefault="00C25926" w:rsidP="00C25926">
      <w:pPr>
        <w:spacing w:after="160" w:line="259" w:lineRule="auto"/>
        <w:jc w:val="left"/>
        <w:rPr>
          <w:rFonts w:eastAsia="Calibri" w:cs="Times New Roman"/>
          <w:color w:val="auto"/>
          <w:szCs w:val="22"/>
          <w:highlight w:val="lightGray"/>
        </w:rPr>
      </w:pPr>
      <w:r w:rsidRPr="00D42D11">
        <w:rPr>
          <w:rFonts w:eastAsia="Calibri" w:cs="Times New Roman"/>
          <w:color w:val="auto"/>
          <w:szCs w:val="22"/>
        </w:rPr>
        <w:t xml:space="preserve">The Norwegian National Human Rights Institution (hereinafter: </w:t>
      </w:r>
      <w:proofErr w:type="spellStart"/>
      <w:r w:rsidRPr="00D42D11">
        <w:rPr>
          <w:rFonts w:eastAsia="Calibri" w:cs="Times New Roman"/>
          <w:color w:val="auto"/>
          <w:szCs w:val="22"/>
        </w:rPr>
        <w:t>NIM</w:t>
      </w:r>
      <w:proofErr w:type="spellEnd"/>
      <w:r w:rsidRPr="00D42D11">
        <w:rPr>
          <w:rFonts w:eastAsia="Calibri" w:cs="Times New Roman"/>
          <w:color w:val="auto"/>
          <w:szCs w:val="22"/>
        </w:rPr>
        <w:t xml:space="preserve">) was established 1 July 2015 as an independent institution under new legislation adopted by Parliament. </w:t>
      </w:r>
      <w:proofErr w:type="spellStart"/>
      <w:r w:rsidRPr="00D42D11">
        <w:rPr>
          <w:rFonts w:eastAsia="Calibri" w:cs="Times New Roman"/>
          <w:color w:val="auto"/>
          <w:szCs w:val="22"/>
        </w:rPr>
        <w:t>NIM</w:t>
      </w:r>
      <w:proofErr w:type="spellEnd"/>
      <w:r w:rsidRPr="00D42D11">
        <w:rPr>
          <w:rFonts w:eastAsia="Calibri" w:cs="Times New Roman"/>
          <w:color w:val="auto"/>
          <w:szCs w:val="22"/>
        </w:rPr>
        <w:t xml:space="preserve"> has a specific mandate to protect and promote international human rights in Norway, as well as to monitor how the authorities respect their international human rights obligations. Submitting supplementary reports to international human rights monitoring bodies is an essential tool for an </w:t>
      </w:r>
      <w:proofErr w:type="spellStart"/>
      <w:r w:rsidRPr="00D42D11">
        <w:rPr>
          <w:rFonts w:eastAsia="Calibri" w:cs="Times New Roman"/>
          <w:color w:val="auto"/>
          <w:szCs w:val="22"/>
        </w:rPr>
        <w:t>NHRI</w:t>
      </w:r>
      <w:proofErr w:type="spellEnd"/>
      <w:r w:rsidRPr="00D42D11">
        <w:rPr>
          <w:rFonts w:eastAsia="Calibri" w:cs="Times New Roman"/>
          <w:color w:val="auto"/>
          <w:szCs w:val="22"/>
        </w:rPr>
        <w:t xml:space="preserve"> to fulfil its mandate.</w:t>
      </w:r>
    </w:p>
    <w:p w14:paraId="4C6F9C91" w14:textId="77777777" w:rsidR="00C25926" w:rsidRDefault="00C25926" w:rsidP="00C25926">
      <w:pPr>
        <w:spacing w:after="160" w:line="259" w:lineRule="auto"/>
        <w:jc w:val="left"/>
        <w:rPr>
          <w:rFonts w:eastAsia="Calibri" w:cs="Times New Roman"/>
          <w:color w:val="auto"/>
          <w:szCs w:val="22"/>
        </w:rPr>
      </w:pPr>
      <w:r w:rsidRPr="00D42D11">
        <w:rPr>
          <w:rFonts w:eastAsia="Calibri" w:cs="Times New Roman"/>
          <w:color w:val="auto"/>
          <w:szCs w:val="22"/>
        </w:rPr>
        <w:t xml:space="preserve">In March 2017, we were granted A-status by </w:t>
      </w:r>
      <w:proofErr w:type="spellStart"/>
      <w:r w:rsidRPr="00D42D11">
        <w:rPr>
          <w:rFonts w:eastAsia="Calibri" w:cs="Times New Roman"/>
          <w:color w:val="auto"/>
          <w:szCs w:val="22"/>
        </w:rPr>
        <w:t>GANHRI</w:t>
      </w:r>
      <w:proofErr w:type="spellEnd"/>
      <w:r w:rsidRPr="00D42D11">
        <w:rPr>
          <w:rFonts w:eastAsia="Calibri" w:cs="Times New Roman"/>
          <w:color w:val="auto"/>
          <w:szCs w:val="22"/>
        </w:rPr>
        <w:t xml:space="preserve">, thus recognising that </w:t>
      </w:r>
      <w:proofErr w:type="spellStart"/>
      <w:r w:rsidRPr="00D42D11">
        <w:rPr>
          <w:rFonts w:eastAsia="Calibri" w:cs="Times New Roman"/>
          <w:color w:val="auto"/>
          <w:szCs w:val="22"/>
        </w:rPr>
        <w:t>NIM</w:t>
      </w:r>
      <w:proofErr w:type="spellEnd"/>
      <w:r w:rsidRPr="00D42D11">
        <w:rPr>
          <w:rFonts w:eastAsia="Calibri" w:cs="Times New Roman"/>
          <w:color w:val="auto"/>
          <w:szCs w:val="22"/>
        </w:rPr>
        <w:t xml:space="preserve"> is fully compliant with the UN Paris Principles.</w:t>
      </w:r>
    </w:p>
    <w:p w14:paraId="70D64768" w14:textId="3154D112" w:rsidR="00C25926" w:rsidRPr="003555E2" w:rsidRDefault="00C25926" w:rsidP="00C25926">
      <w:pPr>
        <w:spacing w:after="160" w:line="259" w:lineRule="auto"/>
        <w:jc w:val="left"/>
        <w:rPr>
          <w:rFonts w:eastAsia="Calibri" w:cs="Times New Roman"/>
          <w:color w:val="auto"/>
          <w:szCs w:val="22"/>
        </w:rPr>
      </w:pPr>
      <w:r w:rsidRPr="003555E2">
        <w:rPr>
          <w:rFonts w:eastAsia="Calibri" w:cs="Times New Roman"/>
          <w:color w:val="auto"/>
          <w:szCs w:val="22"/>
        </w:rPr>
        <w:t>This report has been prepared in consultation with the Equality and Anti-Discrimination Ombuds</w:t>
      </w:r>
      <w:r w:rsidR="001935C7">
        <w:rPr>
          <w:rFonts w:eastAsia="Calibri" w:cs="Times New Roman"/>
          <w:color w:val="auto"/>
          <w:szCs w:val="22"/>
        </w:rPr>
        <w:t>person</w:t>
      </w:r>
      <w:r w:rsidRPr="003555E2">
        <w:rPr>
          <w:rFonts w:eastAsia="Calibri" w:cs="Times New Roman"/>
          <w:color w:val="auto"/>
          <w:szCs w:val="22"/>
        </w:rPr>
        <w:t xml:space="preserve"> </w:t>
      </w:r>
      <w:r w:rsidR="001935C7">
        <w:rPr>
          <w:rFonts w:eastAsia="Calibri" w:cs="Times New Roman"/>
          <w:color w:val="auto"/>
          <w:szCs w:val="22"/>
        </w:rPr>
        <w:t>(</w:t>
      </w:r>
      <w:proofErr w:type="spellStart"/>
      <w:r w:rsidR="001935C7">
        <w:rPr>
          <w:rFonts w:eastAsia="Calibri" w:cs="Times New Roman"/>
          <w:color w:val="auto"/>
          <w:szCs w:val="22"/>
        </w:rPr>
        <w:t>LDO</w:t>
      </w:r>
      <w:proofErr w:type="spellEnd"/>
      <w:r w:rsidR="001935C7">
        <w:rPr>
          <w:rFonts w:eastAsia="Calibri" w:cs="Times New Roman"/>
          <w:color w:val="auto"/>
          <w:szCs w:val="22"/>
        </w:rPr>
        <w:t xml:space="preserve">) </w:t>
      </w:r>
      <w:r w:rsidRPr="003555E2">
        <w:rPr>
          <w:rFonts w:eastAsia="Calibri" w:cs="Times New Roman"/>
          <w:color w:val="auto"/>
          <w:szCs w:val="22"/>
        </w:rPr>
        <w:t>and the Ombudsman for Children.</w:t>
      </w:r>
    </w:p>
    <w:p w14:paraId="7378B69A" w14:textId="77777777" w:rsidR="00C25926" w:rsidRPr="008C56A9" w:rsidRDefault="00C25926" w:rsidP="00C25926">
      <w:pPr>
        <w:rPr>
          <w:rFonts w:eastAsia="Calibri" w:cs="Times New Roman"/>
          <w:color w:val="auto"/>
          <w:szCs w:val="22"/>
        </w:rPr>
      </w:pPr>
      <w:r w:rsidRPr="003555E2">
        <w:rPr>
          <w:rFonts w:eastAsia="Calibri" w:cs="Times New Roman"/>
          <w:color w:val="auto"/>
          <w:szCs w:val="22"/>
        </w:rPr>
        <w:t>Please note that our submission does not reflect all relevant</w:t>
      </w:r>
      <w:r w:rsidRPr="007F45CB">
        <w:rPr>
          <w:rFonts w:eastAsia="Calibri" w:cs="Times New Roman"/>
          <w:color w:val="auto"/>
          <w:szCs w:val="22"/>
        </w:rPr>
        <w:t xml:space="preserve"> human rights challenges in Norway within the scope of the Covenant on Economic, Social and Cultural Rights.</w:t>
      </w:r>
      <w:r w:rsidRPr="008C56A9">
        <w:rPr>
          <w:rFonts w:eastAsia="Calibri" w:cs="Times New Roman"/>
          <w:color w:val="auto"/>
          <w:szCs w:val="22"/>
        </w:rPr>
        <w:t xml:space="preserve"> </w:t>
      </w:r>
    </w:p>
    <w:p w14:paraId="79023092" w14:textId="77777777" w:rsidR="00C25926" w:rsidRDefault="00C25926" w:rsidP="00C25926">
      <w:r w:rsidRPr="008C56A9">
        <w:t xml:space="preserve">Please feel free to contact us at </w:t>
      </w:r>
      <w:hyperlink r:id="rId9" w:history="1">
        <w:r w:rsidRPr="008C56A9">
          <w:rPr>
            <w:rStyle w:val="Hyperkobling"/>
          </w:rPr>
          <w:t>info@nhri.no</w:t>
        </w:r>
      </w:hyperlink>
      <w:r w:rsidRPr="008C56A9">
        <w:t xml:space="preserve"> in case of questions.</w:t>
      </w:r>
      <w:r w:rsidRPr="00D52592">
        <w:t xml:space="preserve"> </w:t>
      </w:r>
    </w:p>
    <w:p w14:paraId="640E5057" w14:textId="36B2C8F9" w:rsidR="00C25926" w:rsidRDefault="00C25926" w:rsidP="00C25926"/>
    <w:tbl>
      <w:tblPr>
        <w:tblStyle w:val="Tabellrutenett"/>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C25926" w:rsidRPr="004E6820" w14:paraId="1EB9E945" w14:textId="77777777" w:rsidTr="00D34BDB">
        <w:trPr>
          <w:trHeight w:val="643"/>
        </w:trPr>
        <w:tc>
          <w:tcPr>
            <w:tcW w:w="7938" w:type="dxa"/>
            <w:gridSpan w:val="2"/>
            <w:tcBorders>
              <w:top w:val="nil"/>
              <w:left w:val="nil"/>
              <w:bottom w:val="nil"/>
              <w:right w:val="nil"/>
            </w:tcBorders>
          </w:tcPr>
          <w:p w14:paraId="142D0AD3" w14:textId="77777777" w:rsidR="00C25926" w:rsidRPr="004E6820" w:rsidRDefault="00C25926" w:rsidP="00D34BDB">
            <w:pPr>
              <w:pStyle w:val="Ingenmellomrom"/>
              <w:rPr>
                <w:lang w:val="en-GB"/>
              </w:rPr>
            </w:pPr>
            <w:r w:rsidRPr="004E6820">
              <w:rPr>
                <w:lang w:val="en-GB"/>
              </w:rPr>
              <w:lastRenderedPageBreak/>
              <w:t>Yours sincerely</w:t>
            </w:r>
          </w:p>
          <w:p w14:paraId="1F0505BD" w14:textId="77777777" w:rsidR="00C25926" w:rsidRPr="004E6820" w:rsidRDefault="00C25926" w:rsidP="00D34BDB">
            <w:pPr>
              <w:pStyle w:val="Ingenmellomrom"/>
              <w:rPr>
                <w:lang w:val="en-GB"/>
              </w:rPr>
            </w:pPr>
            <w:r w:rsidRPr="004E6820">
              <w:rPr>
                <w:lang w:val="en-GB"/>
              </w:rPr>
              <w:t>On behalf of the Norwegian National Human Rights Institution</w:t>
            </w:r>
          </w:p>
        </w:tc>
      </w:tr>
      <w:tr w:rsidR="00C25926" w:rsidRPr="00001FD9" w14:paraId="59E417AB" w14:textId="77777777" w:rsidTr="00D34BDB">
        <w:trPr>
          <w:trHeight w:val="789"/>
        </w:trPr>
        <w:tc>
          <w:tcPr>
            <w:tcW w:w="3983" w:type="dxa"/>
            <w:tcBorders>
              <w:top w:val="nil"/>
              <w:left w:val="nil"/>
              <w:bottom w:val="nil"/>
              <w:right w:val="nil"/>
            </w:tcBorders>
          </w:tcPr>
          <w:p w14:paraId="34280729" w14:textId="77777777" w:rsidR="00E244FE" w:rsidRDefault="00E244FE" w:rsidP="00D34BDB"/>
          <w:p w14:paraId="33DE985B" w14:textId="79044716" w:rsidR="00C25926" w:rsidRPr="00001FD9" w:rsidRDefault="00C25926" w:rsidP="00D34BDB">
            <w:r>
              <w:t xml:space="preserve">Adele Matheson </w:t>
            </w:r>
            <w:proofErr w:type="spellStart"/>
            <w:r>
              <w:t>Mestad</w:t>
            </w:r>
            <w:proofErr w:type="spellEnd"/>
          </w:p>
          <w:p w14:paraId="7D879E91" w14:textId="77777777" w:rsidR="00C25926" w:rsidRPr="00001FD9" w:rsidRDefault="00C25926" w:rsidP="00D34BDB">
            <w:r>
              <w:t>Director</w:t>
            </w:r>
          </w:p>
        </w:tc>
        <w:tc>
          <w:tcPr>
            <w:tcW w:w="3955" w:type="dxa"/>
            <w:tcBorders>
              <w:top w:val="nil"/>
              <w:left w:val="nil"/>
              <w:bottom w:val="nil"/>
              <w:right w:val="nil"/>
            </w:tcBorders>
          </w:tcPr>
          <w:p w14:paraId="7BE30866" w14:textId="77777777" w:rsidR="00E244FE" w:rsidRDefault="00E244FE" w:rsidP="00D34BDB"/>
          <w:p w14:paraId="56DB13C4" w14:textId="7EA78695" w:rsidR="00C25926" w:rsidRPr="00001FD9" w:rsidRDefault="00C25926" w:rsidP="00D34BDB">
            <w:r>
              <w:t>Kristin Høgdahl</w:t>
            </w:r>
          </w:p>
          <w:p w14:paraId="2D92200B" w14:textId="77777777" w:rsidR="00C25926" w:rsidRPr="00001FD9" w:rsidRDefault="00C25926" w:rsidP="00D34BDB">
            <w:r>
              <w:t>Senior Adviser</w:t>
            </w:r>
          </w:p>
        </w:tc>
      </w:tr>
    </w:tbl>
    <w:p w14:paraId="7DCACA34" w14:textId="77777777" w:rsidR="00E244FE" w:rsidRDefault="00E244FE" w:rsidP="00C25926"/>
    <w:p w14:paraId="502173D0" w14:textId="5AAEC510" w:rsidR="00C25926" w:rsidRPr="004E6820" w:rsidRDefault="00C25926" w:rsidP="00C25926">
      <w:r w:rsidRPr="004E6820">
        <w:t>This document is electronically approved and has no signature.</w:t>
      </w:r>
      <w:r w:rsidRPr="004E6820">
        <w:br w:type="page"/>
      </w:r>
    </w:p>
    <w:sdt>
      <w:sdtPr>
        <w:rPr>
          <w:rFonts w:ascii="Calibri" w:eastAsiaTheme="minorHAnsi" w:hAnsi="Calibri" w:cstheme="minorBidi"/>
          <w:color w:val="151643" w:themeColor="text1"/>
          <w:sz w:val="22"/>
          <w:szCs w:val="24"/>
        </w:rPr>
        <w:id w:val="-1400815039"/>
        <w:docPartObj>
          <w:docPartGallery w:val="Table of Contents"/>
          <w:docPartUnique/>
        </w:docPartObj>
      </w:sdtPr>
      <w:sdtEndPr>
        <w:rPr>
          <w:b/>
          <w:bCs/>
        </w:rPr>
      </w:sdtEndPr>
      <w:sdtContent>
        <w:p w14:paraId="2E64E4AE" w14:textId="77777777" w:rsidR="00C25926" w:rsidRPr="00001FD9" w:rsidRDefault="00C25926" w:rsidP="00C25926">
          <w:pPr>
            <w:pStyle w:val="Overskriftforinnholdsfortegnelse"/>
          </w:pPr>
          <w:r>
            <w:t>Contents</w:t>
          </w:r>
        </w:p>
        <w:p w14:paraId="3EE54BBD" w14:textId="058DE5A1" w:rsidR="00E244FE" w:rsidRDefault="00C25926">
          <w:pPr>
            <w:pStyle w:val="INNH1"/>
            <w:rPr>
              <w:rFonts w:asciiTheme="minorHAnsi" w:hAnsiTheme="minorHAnsi"/>
              <w:caps w:val="0"/>
              <w:color w:val="auto"/>
              <w:lang w:val="nb-NO" w:eastAsia="nb-NO"/>
            </w:rPr>
          </w:pPr>
          <w:r w:rsidRPr="00001FD9">
            <w:fldChar w:fldCharType="begin"/>
          </w:r>
          <w:r w:rsidRPr="00001FD9">
            <w:instrText xml:space="preserve"> TOC \o "1-3" \h \z \u </w:instrText>
          </w:r>
          <w:r w:rsidRPr="00001FD9">
            <w:fldChar w:fldCharType="separate"/>
          </w:r>
          <w:hyperlink w:anchor="_Toc29897645" w:history="1">
            <w:r w:rsidR="00E244FE" w:rsidRPr="007C464A">
              <w:rPr>
                <w:rStyle w:val="Hyperkobling"/>
              </w:rPr>
              <w:t>Particular relevance</w:t>
            </w:r>
            <w:r w:rsidR="00E244FE">
              <w:rPr>
                <w:webHidden/>
              </w:rPr>
              <w:tab/>
            </w:r>
            <w:r w:rsidR="00E244FE">
              <w:rPr>
                <w:webHidden/>
              </w:rPr>
              <w:fldChar w:fldCharType="begin"/>
            </w:r>
            <w:r w:rsidR="00E244FE">
              <w:rPr>
                <w:webHidden/>
              </w:rPr>
              <w:instrText xml:space="preserve"> PAGEREF _Toc29897645 \h </w:instrText>
            </w:r>
            <w:r w:rsidR="00E244FE">
              <w:rPr>
                <w:webHidden/>
              </w:rPr>
            </w:r>
            <w:r w:rsidR="00E244FE">
              <w:rPr>
                <w:webHidden/>
              </w:rPr>
              <w:fldChar w:fldCharType="separate"/>
            </w:r>
            <w:r w:rsidR="00E244FE">
              <w:rPr>
                <w:webHidden/>
              </w:rPr>
              <w:t>3</w:t>
            </w:r>
            <w:r w:rsidR="00E244FE">
              <w:rPr>
                <w:webHidden/>
              </w:rPr>
              <w:fldChar w:fldCharType="end"/>
            </w:r>
          </w:hyperlink>
        </w:p>
        <w:p w14:paraId="7D977649" w14:textId="5FF9635E" w:rsidR="00E244FE" w:rsidRDefault="00E244FE">
          <w:pPr>
            <w:pStyle w:val="INNH1"/>
            <w:tabs>
              <w:tab w:val="left" w:pos="440"/>
            </w:tabs>
            <w:rPr>
              <w:rFonts w:asciiTheme="minorHAnsi" w:hAnsiTheme="minorHAnsi"/>
              <w:caps w:val="0"/>
              <w:color w:val="auto"/>
              <w:lang w:val="nb-NO" w:eastAsia="nb-NO"/>
            </w:rPr>
          </w:pPr>
          <w:hyperlink w:anchor="_Toc29897646" w:history="1">
            <w:r w:rsidRPr="007C464A">
              <w:rPr>
                <w:rStyle w:val="Hyperkobling"/>
              </w:rPr>
              <w:t>1.</w:t>
            </w:r>
            <w:r>
              <w:rPr>
                <w:rFonts w:asciiTheme="minorHAnsi" w:hAnsiTheme="minorHAnsi"/>
                <w:caps w:val="0"/>
                <w:color w:val="auto"/>
                <w:lang w:val="nb-NO" w:eastAsia="nb-NO"/>
              </w:rPr>
              <w:tab/>
            </w:r>
            <w:r w:rsidRPr="007C464A">
              <w:rPr>
                <w:rStyle w:val="Hyperkobling"/>
              </w:rPr>
              <w:t>Instructions for legislative drafting, policies and plans</w:t>
            </w:r>
            <w:r>
              <w:rPr>
                <w:webHidden/>
              </w:rPr>
              <w:tab/>
            </w:r>
            <w:r>
              <w:rPr>
                <w:webHidden/>
              </w:rPr>
              <w:fldChar w:fldCharType="begin"/>
            </w:r>
            <w:r>
              <w:rPr>
                <w:webHidden/>
              </w:rPr>
              <w:instrText xml:space="preserve"> PAGEREF _Toc29897646 \h </w:instrText>
            </w:r>
            <w:r>
              <w:rPr>
                <w:webHidden/>
              </w:rPr>
            </w:r>
            <w:r>
              <w:rPr>
                <w:webHidden/>
              </w:rPr>
              <w:fldChar w:fldCharType="separate"/>
            </w:r>
            <w:r>
              <w:rPr>
                <w:webHidden/>
              </w:rPr>
              <w:t>3</w:t>
            </w:r>
            <w:r>
              <w:rPr>
                <w:webHidden/>
              </w:rPr>
              <w:fldChar w:fldCharType="end"/>
            </w:r>
          </w:hyperlink>
        </w:p>
        <w:p w14:paraId="36A1CC8D" w14:textId="71756671" w:rsidR="00E244FE" w:rsidRDefault="00E244FE">
          <w:pPr>
            <w:pStyle w:val="INNH1"/>
            <w:tabs>
              <w:tab w:val="left" w:pos="440"/>
            </w:tabs>
            <w:rPr>
              <w:rFonts w:asciiTheme="minorHAnsi" w:hAnsiTheme="minorHAnsi"/>
              <w:caps w:val="0"/>
              <w:color w:val="auto"/>
              <w:lang w:val="nb-NO" w:eastAsia="nb-NO"/>
            </w:rPr>
          </w:pPr>
          <w:hyperlink w:anchor="_Toc29897647" w:history="1">
            <w:r w:rsidRPr="007C464A">
              <w:rPr>
                <w:rStyle w:val="Hyperkobling"/>
              </w:rPr>
              <w:t>2.</w:t>
            </w:r>
            <w:r>
              <w:rPr>
                <w:rFonts w:asciiTheme="minorHAnsi" w:hAnsiTheme="minorHAnsi"/>
                <w:caps w:val="0"/>
                <w:color w:val="auto"/>
                <w:lang w:val="nb-NO" w:eastAsia="nb-NO"/>
              </w:rPr>
              <w:tab/>
            </w:r>
            <w:r w:rsidRPr="007C464A">
              <w:rPr>
                <w:rStyle w:val="Hyperkobling"/>
              </w:rPr>
              <w:t>Follow-up of international recommendations</w:t>
            </w:r>
            <w:r>
              <w:rPr>
                <w:webHidden/>
              </w:rPr>
              <w:tab/>
            </w:r>
            <w:r>
              <w:rPr>
                <w:webHidden/>
              </w:rPr>
              <w:fldChar w:fldCharType="begin"/>
            </w:r>
            <w:r>
              <w:rPr>
                <w:webHidden/>
              </w:rPr>
              <w:instrText xml:space="preserve"> PAGEREF _Toc29897647 \h </w:instrText>
            </w:r>
            <w:r>
              <w:rPr>
                <w:webHidden/>
              </w:rPr>
            </w:r>
            <w:r>
              <w:rPr>
                <w:webHidden/>
              </w:rPr>
              <w:fldChar w:fldCharType="separate"/>
            </w:r>
            <w:r>
              <w:rPr>
                <w:webHidden/>
              </w:rPr>
              <w:t>3</w:t>
            </w:r>
            <w:r>
              <w:rPr>
                <w:webHidden/>
              </w:rPr>
              <w:fldChar w:fldCharType="end"/>
            </w:r>
          </w:hyperlink>
        </w:p>
        <w:p w14:paraId="783104C7" w14:textId="514880CD" w:rsidR="00E244FE" w:rsidRDefault="00E244FE">
          <w:pPr>
            <w:pStyle w:val="INNH1"/>
            <w:tabs>
              <w:tab w:val="left" w:pos="440"/>
            </w:tabs>
            <w:rPr>
              <w:rFonts w:asciiTheme="minorHAnsi" w:hAnsiTheme="minorHAnsi"/>
              <w:caps w:val="0"/>
              <w:color w:val="auto"/>
              <w:lang w:val="nb-NO" w:eastAsia="nb-NO"/>
            </w:rPr>
          </w:pPr>
          <w:hyperlink w:anchor="_Toc29897648" w:history="1">
            <w:r w:rsidRPr="007C464A">
              <w:rPr>
                <w:rStyle w:val="Hyperkobling"/>
              </w:rPr>
              <w:t>3.</w:t>
            </w:r>
            <w:r>
              <w:rPr>
                <w:rFonts w:asciiTheme="minorHAnsi" w:hAnsiTheme="minorHAnsi"/>
                <w:caps w:val="0"/>
                <w:color w:val="auto"/>
                <w:lang w:val="nb-NO" w:eastAsia="nb-NO"/>
              </w:rPr>
              <w:tab/>
            </w:r>
            <w:r w:rsidRPr="007C464A">
              <w:rPr>
                <w:rStyle w:val="Hyperkobling"/>
              </w:rPr>
              <w:t>Discrimination of ethnic minorities in housing and labour market</w:t>
            </w:r>
            <w:r>
              <w:rPr>
                <w:webHidden/>
              </w:rPr>
              <w:tab/>
            </w:r>
            <w:r>
              <w:rPr>
                <w:webHidden/>
              </w:rPr>
              <w:fldChar w:fldCharType="begin"/>
            </w:r>
            <w:r>
              <w:rPr>
                <w:webHidden/>
              </w:rPr>
              <w:instrText xml:space="preserve"> PAGEREF _Toc29897648 \h </w:instrText>
            </w:r>
            <w:r>
              <w:rPr>
                <w:webHidden/>
              </w:rPr>
            </w:r>
            <w:r>
              <w:rPr>
                <w:webHidden/>
              </w:rPr>
              <w:fldChar w:fldCharType="separate"/>
            </w:r>
            <w:r>
              <w:rPr>
                <w:webHidden/>
              </w:rPr>
              <w:t>4</w:t>
            </w:r>
            <w:r>
              <w:rPr>
                <w:webHidden/>
              </w:rPr>
              <w:fldChar w:fldCharType="end"/>
            </w:r>
          </w:hyperlink>
        </w:p>
        <w:p w14:paraId="0B91320B" w14:textId="24200494" w:rsidR="00E244FE" w:rsidRDefault="00E244FE">
          <w:pPr>
            <w:pStyle w:val="INNH1"/>
            <w:rPr>
              <w:rFonts w:asciiTheme="minorHAnsi" w:hAnsiTheme="minorHAnsi"/>
              <w:caps w:val="0"/>
              <w:color w:val="auto"/>
              <w:lang w:val="nb-NO" w:eastAsia="nb-NO"/>
            </w:rPr>
          </w:pPr>
          <w:hyperlink w:anchor="_Toc29897649" w:history="1">
            <w:r w:rsidRPr="007C464A">
              <w:rPr>
                <w:rStyle w:val="Hyperkobling"/>
              </w:rPr>
              <w:t>Implementation of covenant</w:t>
            </w:r>
            <w:r>
              <w:rPr>
                <w:webHidden/>
              </w:rPr>
              <w:tab/>
            </w:r>
            <w:r>
              <w:rPr>
                <w:webHidden/>
              </w:rPr>
              <w:fldChar w:fldCharType="begin"/>
            </w:r>
            <w:r>
              <w:rPr>
                <w:webHidden/>
              </w:rPr>
              <w:instrText xml:space="preserve"> PAGEREF _Toc29897649 \h </w:instrText>
            </w:r>
            <w:r>
              <w:rPr>
                <w:webHidden/>
              </w:rPr>
            </w:r>
            <w:r>
              <w:rPr>
                <w:webHidden/>
              </w:rPr>
              <w:fldChar w:fldCharType="separate"/>
            </w:r>
            <w:r>
              <w:rPr>
                <w:webHidden/>
              </w:rPr>
              <w:t>6</w:t>
            </w:r>
            <w:r>
              <w:rPr>
                <w:webHidden/>
              </w:rPr>
              <w:fldChar w:fldCharType="end"/>
            </w:r>
          </w:hyperlink>
        </w:p>
        <w:p w14:paraId="5C398B43" w14:textId="5308B1DC" w:rsidR="00E244FE" w:rsidRDefault="00E244FE">
          <w:pPr>
            <w:pStyle w:val="INNH1"/>
            <w:tabs>
              <w:tab w:val="left" w:pos="440"/>
            </w:tabs>
            <w:rPr>
              <w:rFonts w:asciiTheme="minorHAnsi" w:hAnsiTheme="minorHAnsi"/>
              <w:caps w:val="0"/>
              <w:color w:val="auto"/>
              <w:lang w:val="nb-NO" w:eastAsia="nb-NO"/>
            </w:rPr>
          </w:pPr>
          <w:hyperlink w:anchor="_Toc29897650" w:history="1">
            <w:r w:rsidRPr="007C464A">
              <w:rPr>
                <w:rStyle w:val="Hyperkobling"/>
              </w:rPr>
              <w:t>4.</w:t>
            </w:r>
            <w:r>
              <w:rPr>
                <w:rFonts w:asciiTheme="minorHAnsi" w:hAnsiTheme="minorHAnsi"/>
                <w:caps w:val="0"/>
                <w:color w:val="auto"/>
                <w:lang w:val="nb-NO" w:eastAsia="nb-NO"/>
              </w:rPr>
              <w:tab/>
            </w:r>
            <w:r w:rsidRPr="007C464A">
              <w:rPr>
                <w:rStyle w:val="Hyperkobling"/>
              </w:rPr>
              <w:t>Indigenous / Sami rights to livelihood</w:t>
            </w:r>
            <w:r>
              <w:rPr>
                <w:webHidden/>
              </w:rPr>
              <w:tab/>
            </w:r>
            <w:r>
              <w:rPr>
                <w:webHidden/>
              </w:rPr>
              <w:fldChar w:fldCharType="begin"/>
            </w:r>
            <w:r>
              <w:rPr>
                <w:webHidden/>
              </w:rPr>
              <w:instrText xml:space="preserve"> PAGEREF _Toc29897650 \h </w:instrText>
            </w:r>
            <w:r>
              <w:rPr>
                <w:webHidden/>
              </w:rPr>
            </w:r>
            <w:r>
              <w:rPr>
                <w:webHidden/>
              </w:rPr>
              <w:fldChar w:fldCharType="separate"/>
            </w:r>
            <w:r>
              <w:rPr>
                <w:webHidden/>
              </w:rPr>
              <w:t>6</w:t>
            </w:r>
            <w:r>
              <w:rPr>
                <w:webHidden/>
              </w:rPr>
              <w:fldChar w:fldCharType="end"/>
            </w:r>
          </w:hyperlink>
        </w:p>
        <w:p w14:paraId="26A07D2E" w14:textId="4AAE8771" w:rsidR="00E244FE" w:rsidRDefault="00E244FE">
          <w:pPr>
            <w:pStyle w:val="INNH2"/>
            <w:tabs>
              <w:tab w:val="left" w:pos="880"/>
              <w:tab w:val="right" w:leader="dot" w:pos="7920"/>
            </w:tabs>
            <w:rPr>
              <w:rFonts w:asciiTheme="minorHAnsi" w:eastAsiaTheme="minorEastAsia" w:hAnsiTheme="minorHAnsi"/>
              <w:noProof/>
              <w:color w:val="auto"/>
              <w:szCs w:val="22"/>
              <w:lang w:val="nb-NO" w:eastAsia="nb-NO"/>
            </w:rPr>
          </w:pPr>
          <w:hyperlink w:anchor="_Toc29897651" w:history="1">
            <w:r w:rsidRPr="007C464A">
              <w:rPr>
                <w:rStyle w:val="Hyperkobling"/>
                <w:noProof/>
              </w:rPr>
              <w:t>4.1.</w:t>
            </w:r>
            <w:r>
              <w:rPr>
                <w:rFonts w:asciiTheme="minorHAnsi" w:eastAsiaTheme="minorEastAsia" w:hAnsiTheme="minorHAnsi"/>
                <w:noProof/>
                <w:color w:val="auto"/>
                <w:szCs w:val="22"/>
                <w:lang w:val="nb-NO" w:eastAsia="nb-NO"/>
              </w:rPr>
              <w:tab/>
            </w:r>
            <w:r w:rsidRPr="007C464A">
              <w:rPr>
                <w:rStyle w:val="Hyperkobling"/>
                <w:noProof/>
              </w:rPr>
              <w:t>Follow-up on the proposals of the Sami Rights Committee regarding Sami rights south of Finnmark county</w:t>
            </w:r>
            <w:r>
              <w:rPr>
                <w:noProof/>
                <w:webHidden/>
              </w:rPr>
              <w:tab/>
            </w:r>
            <w:r>
              <w:rPr>
                <w:noProof/>
                <w:webHidden/>
              </w:rPr>
              <w:fldChar w:fldCharType="begin"/>
            </w:r>
            <w:r>
              <w:rPr>
                <w:noProof/>
                <w:webHidden/>
              </w:rPr>
              <w:instrText xml:space="preserve"> PAGEREF _Toc29897651 \h </w:instrText>
            </w:r>
            <w:r>
              <w:rPr>
                <w:noProof/>
                <w:webHidden/>
              </w:rPr>
            </w:r>
            <w:r>
              <w:rPr>
                <w:noProof/>
                <w:webHidden/>
              </w:rPr>
              <w:fldChar w:fldCharType="separate"/>
            </w:r>
            <w:r>
              <w:rPr>
                <w:noProof/>
                <w:webHidden/>
              </w:rPr>
              <w:t>6</w:t>
            </w:r>
            <w:r>
              <w:rPr>
                <w:noProof/>
                <w:webHidden/>
              </w:rPr>
              <w:fldChar w:fldCharType="end"/>
            </w:r>
          </w:hyperlink>
        </w:p>
        <w:p w14:paraId="75EF2081" w14:textId="1A296CCD" w:rsidR="00E244FE" w:rsidRDefault="00E244FE">
          <w:pPr>
            <w:pStyle w:val="INNH2"/>
            <w:tabs>
              <w:tab w:val="left" w:pos="880"/>
              <w:tab w:val="right" w:leader="dot" w:pos="7920"/>
            </w:tabs>
            <w:rPr>
              <w:rFonts w:asciiTheme="minorHAnsi" w:eastAsiaTheme="minorEastAsia" w:hAnsiTheme="minorHAnsi"/>
              <w:noProof/>
              <w:color w:val="auto"/>
              <w:szCs w:val="22"/>
              <w:lang w:val="nb-NO" w:eastAsia="nb-NO"/>
            </w:rPr>
          </w:pPr>
          <w:hyperlink w:anchor="_Toc29897652" w:history="1">
            <w:r w:rsidRPr="007C464A">
              <w:rPr>
                <w:rStyle w:val="Hyperkobling"/>
                <w:noProof/>
              </w:rPr>
              <w:t>4.2.</w:t>
            </w:r>
            <w:r>
              <w:rPr>
                <w:rFonts w:asciiTheme="minorHAnsi" w:eastAsiaTheme="minorEastAsia" w:hAnsiTheme="minorHAnsi"/>
                <w:noProof/>
                <w:color w:val="auto"/>
                <w:szCs w:val="22"/>
                <w:lang w:val="nb-NO" w:eastAsia="nb-NO"/>
              </w:rPr>
              <w:tab/>
            </w:r>
            <w:r w:rsidRPr="007C464A">
              <w:rPr>
                <w:rStyle w:val="Hyperkobling"/>
                <w:noProof/>
              </w:rPr>
              <w:t>Sami fishing rights</w:t>
            </w:r>
            <w:r>
              <w:rPr>
                <w:noProof/>
                <w:webHidden/>
              </w:rPr>
              <w:tab/>
            </w:r>
            <w:r>
              <w:rPr>
                <w:noProof/>
                <w:webHidden/>
              </w:rPr>
              <w:fldChar w:fldCharType="begin"/>
            </w:r>
            <w:r>
              <w:rPr>
                <w:noProof/>
                <w:webHidden/>
              </w:rPr>
              <w:instrText xml:space="preserve"> PAGEREF _Toc29897652 \h </w:instrText>
            </w:r>
            <w:r>
              <w:rPr>
                <w:noProof/>
                <w:webHidden/>
              </w:rPr>
            </w:r>
            <w:r>
              <w:rPr>
                <w:noProof/>
                <w:webHidden/>
              </w:rPr>
              <w:fldChar w:fldCharType="separate"/>
            </w:r>
            <w:r>
              <w:rPr>
                <w:noProof/>
                <w:webHidden/>
              </w:rPr>
              <w:t>6</w:t>
            </w:r>
            <w:r>
              <w:rPr>
                <w:noProof/>
                <w:webHidden/>
              </w:rPr>
              <w:fldChar w:fldCharType="end"/>
            </w:r>
          </w:hyperlink>
        </w:p>
        <w:p w14:paraId="71BEEA0C" w14:textId="36175F04" w:rsidR="00E244FE" w:rsidRDefault="00E244FE">
          <w:pPr>
            <w:pStyle w:val="INNH1"/>
            <w:tabs>
              <w:tab w:val="left" w:pos="440"/>
            </w:tabs>
            <w:rPr>
              <w:rFonts w:asciiTheme="minorHAnsi" w:hAnsiTheme="minorHAnsi"/>
              <w:caps w:val="0"/>
              <w:color w:val="auto"/>
              <w:lang w:val="nb-NO" w:eastAsia="nb-NO"/>
            </w:rPr>
          </w:pPr>
          <w:hyperlink w:anchor="_Toc29897653" w:history="1">
            <w:r w:rsidRPr="007C464A">
              <w:rPr>
                <w:rStyle w:val="Hyperkobling"/>
              </w:rPr>
              <w:t>5.</w:t>
            </w:r>
            <w:r>
              <w:rPr>
                <w:rFonts w:asciiTheme="minorHAnsi" w:hAnsiTheme="minorHAnsi"/>
                <w:caps w:val="0"/>
                <w:color w:val="auto"/>
                <w:lang w:val="nb-NO" w:eastAsia="nb-NO"/>
              </w:rPr>
              <w:tab/>
            </w:r>
            <w:r w:rsidRPr="007C464A">
              <w:rPr>
                <w:rStyle w:val="Hyperkobling"/>
              </w:rPr>
              <w:t>Sámi statistics</w:t>
            </w:r>
            <w:r>
              <w:rPr>
                <w:webHidden/>
              </w:rPr>
              <w:tab/>
            </w:r>
            <w:r>
              <w:rPr>
                <w:webHidden/>
              </w:rPr>
              <w:fldChar w:fldCharType="begin"/>
            </w:r>
            <w:r>
              <w:rPr>
                <w:webHidden/>
              </w:rPr>
              <w:instrText xml:space="preserve"> PAGEREF _Toc29897653 \h </w:instrText>
            </w:r>
            <w:r>
              <w:rPr>
                <w:webHidden/>
              </w:rPr>
            </w:r>
            <w:r>
              <w:rPr>
                <w:webHidden/>
              </w:rPr>
              <w:fldChar w:fldCharType="separate"/>
            </w:r>
            <w:r>
              <w:rPr>
                <w:webHidden/>
              </w:rPr>
              <w:t>7</w:t>
            </w:r>
            <w:r>
              <w:rPr>
                <w:webHidden/>
              </w:rPr>
              <w:fldChar w:fldCharType="end"/>
            </w:r>
          </w:hyperlink>
        </w:p>
        <w:p w14:paraId="4425D1DC" w14:textId="3CEC58DA" w:rsidR="00E244FE" w:rsidRDefault="00E244FE">
          <w:pPr>
            <w:pStyle w:val="INNH1"/>
            <w:tabs>
              <w:tab w:val="left" w:pos="440"/>
            </w:tabs>
            <w:rPr>
              <w:rFonts w:asciiTheme="minorHAnsi" w:hAnsiTheme="minorHAnsi"/>
              <w:caps w:val="0"/>
              <w:color w:val="auto"/>
              <w:lang w:val="nb-NO" w:eastAsia="nb-NO"/>
            </w:rPr>
          </w:pPr>
          <w:hyperlink w:anchor="_Toc29897654" w:history="1">
            <w:r w:rsidRPr="007C464A">
              <w:rPr>
                <w:rStyle w:val="Hyperkobling"/>
              </w:rPr>
              <w:t>6.</w:t>
            </w:r>
            <w:r>
              <w:rPr>
                <w:rFonts w:asciiTheme="minorHAnsi" w:hAnsiTheme="minorHAnsi"/>
                <w:caps w:val="0"/>
                <w:color w:val="auto"/>
                <w:lang w:val="nb-NO" w:eastAsia="nb-NO"/>
              </w:rPr>
              <w:tab/>
            </w:r>
            <w:r w:rsidRPr="007C464A">
              <w:rPr>
                <w:rStyle w:val="Hyperkobling"/>
              </w:rPr>
              <w:t>National minorities – Tater/ Romani</w:t>
            </w:r>
            <w:r>
              <w:rPr>
                <w:webHidden/>
              </w:rPr>
              <w:tab/>
            </w:r>
            <w:r>
              <w:rPr>
                <w:webHidden/>
              </w:rPr>
              <w:fldChar w:fldCharType="begin"/>
            </w:r>
            <w:r>
              <w:rPr>
                <w:webHidden/>
              </w:rPr>
              <w:instrText xml:space="preserve"> PAGEREF _Toc29897654 \h </w:instrText>
            </w:r>
            <w:r>
              <w:rPr>
                <w:webHidden/>
              </w:rPr>
            </w:r>
            <w:r>
              <w:rPr>
                <w:webHidden/>
              </w:rPr>
              <w:fldChar w:fldCharType="separate"/>
            </w:r>
            <w:r>
              <w:rPr>
                <w:webHidden/>
              </w:rPr>
              <w:t>8</w:t>
            </w:r>
            <w:r>
              <w:rPr>
                <w:webHidden/>
              </w:rPr>
              <w:fldChar w:fldCharType="end"/>
            </w:r>
          </w:hyperlink>
        </w:p>
        <w:p w14:paraId="79F0B65E" w14:textId="73A0872A" w:rsidR="00E244FE" w:rsidRDefault="00E244FE">
          <w:pPr>
            <w:pStyle w:val="INNH1"/>
            <w:tabs>
              <w:tab w:val="left" w:pos="440"/>
            </w:tabs>
            <w:rPr>
              <w:rFonts w:asciiTheme="minorHAnsi" w:hAnsiTheme="minorHAnsi"/>
              <w:caps w:val="0"/>
              <w:color w:val="auto"/>
              <w:lang w:val="nb-NO" w:eastAsia="nb-NO"/>
            </w:rPr>
          </w:pPr>
          <w:hyperlink w:anchor="_Toc29897655" w:history="1">
            <w:r w:rsidRPr="007C464A">
              <w:rPr>
                <w:rStyle w:val="Hyperkobling"/>
              </w:rPr>
              <w:t>7.</w:t>
            </w:r>
            <w:r>
              <w:rPr>
                <w:rFonts w:asciiTheme="minorHAnsi" w:hAnsiTheme="minorHAnsi"/>
                <w:caps w:val="0"/>
                <w:color w:val="auto"/>
                <w:lang w:val="nb-NO" w:eastAsia="nb-NO"/>
              </w:rPr>
              <w:tab/>
            </w:r>
            <w:r w:rsidRPr="007C464A">
              <w:rPr>
                <w:rStyle w:val="Hyperkobling"/>
              </w:rPr>
              <w:t>Asylum seekers</w:t>
            </w:r>
            <w:r>
              <w:rPr>
                <w:webHidden/>
              </w:rPr>
              <w:tab/>
            </w:r>
            <w:r>
              <w:rPr>
                <w:webHidden/>
              </w:rPr>
              <w:fldChar w:fldCharType="begin"/>
            </w:r>
            <w:r>
              <w:rPr>
                <w:webHidden/>
              </w:rPr>
              <w:instrText xml:space="preserve"> PAGEREF _Toc29897655 \h </w:instrText>
            </w:r>
            <w:r>
              <w:rPr>
                <w:webHidden/>
              </w:rPr>
            </w:r>
            <w:r>
              <w:rPr>
                <w:webHidden/>
              </w:rPr>
              <w:fldChar w:fldCharType="separate"/>
            </w:r>
            <w:r>
              <w:rPr>
                <w:webHidden/>
              </w:rPr>
              <w:t>8</w:t>
            </w:r>
            <w:r>
              <w:rPr>
                <w:webHidden/>
              </w:rPr>
              <w:fldChar w:fldCharType="end"/>
            </w:r>
          </w:hyperlink>
        </w:p>
        <w:p w14:paraId="22911F00" w14:textId="1EB991CA" w:rsidR="00E244FE" w:rsidRDefault="00E244FE">
          <w:pPr>
            <w:pStyle w:val="INNH2"/>
            <w:tabs>
              <w:tab w:val="left" w:pos="880"/>
              <w:tab w:val="right" w:leader="dot" w:pos="7920"/>
            </w:tabs>
            <w:rPr>
              <w:rFonts w:asciiTheme="minorHAnsi" w:eastAsiaTheme="minorEastAsia" w:hAnsiTheme="minorHAnsi"/>
              <w:noProof/>
              <w:color w:val="auto"/>
              <w:szCs w:val="22"/>
              <w:lang w:val="nb-NO" w:eastAsia="nb-NO"/>
            </w:rPr>
          </w:pPr>
          <w:hyperlink w:anchor="_Toc29897656" w:history="1">
            <w:r w:rsidRPr="007C464A">
              <w:rPr>
                <w:rStyle w:val="Hyperkobling"/>
                <w:noProof/>
              </w:rPr>
              <w:t>7.1.</w:t>
            </w:r>
            <w:r>
              <w:rPr>
                <w:rFonts w:asciiTheme="minorHAnsi" w:eastAsiaTheme="minorEastAsia" w:hAnsiTheme="minorHAnsi"/>
                <w:noProof/>
                <w:color w:val="auto"/>
                <w:szCs w:val="22"/>
                <w:lang w:val="nb-NO" w:eastAsia="nb-NO"/>
              </w:rPr>
              <w:tab/>
            </w:r>
            <w:r w:rsidRPr="007C464A">
              <w:rPr>
                <w:rStyle w:val="Hyperkobling"/>
                <w:noProof/>
              </w:rPr>
              <w:t>Care for unaccompanied asylum- seeking children</w:t>
            </w:r>
            <w:r>
              <w:rPr>
                <w:noProof/>
                <w:webHidden/>
              </w:rPr>
              <w:tab/>
            </w:r>
            <w:r>
              <w:rPr>
                <w:noProof/>
                <w:webHidden/>
              </w:rPr>
              <w:fldChar w:fldCharType="begin"/>
            </w:r>
            <w:r>
              <w:rPr>
                <w:noProof/>
                <w:webHidden/>
              </w:rPr>
              <w:instrText xml:space="preserve"> PAGEREF _Toc29897656 \h </w:instrText>
            </w:r>
            <w:r>
              <w:rPr>
                <w:noProof/>
                <w:webHidden/>
              </w:rPr>
            </w:r>
            <w:r>
              <w:rPr>
                <w:noProof/>
                <w:webHidden/>
              </w:rPr>
              <w:fldChar w:fldCharType="separate"/>
            </w:r>
            <w:r>
              <w:rPr>
                <w:noProof/>
                <w:webHidden/>
              </w:rPr>
              <w:t>8</w:t>
            </w:r>
            <w:r>
              <w:rPr>
                <w:noProof/>
                <w:webHidden/>
              </w:rPr>
              <w:fldChar w:fldCharType="end"/>
            </w:r>
          </w:hyperlink>
        </w:p>
        <w:p w14:paraId="345EF760" w14:textId="454B2FD5" w:rsidR="00E244FE" w:rsidRDefault="00E244FE">
          <w:pPr>
            <w:pStyle w:val="INNH2"/>
            <w:tabs>
              <w:tab w:val="left" w:pos="880"/>
              <w:tab w:val="right" w:leader="dot" w:pos="7920"/>
            </w:tabs>
            <w:rPr>
              <w:rFonts w:asciiTheme="minorHAnsi" w:eastAsiaTheme="minorEastAsia" w:hAnsiTheme="minorHAnsi"/>
              <w:noProof/>
              <w:color w:val="auto"/>
              <w:szCs w:val="22"/>
              <w:lang w:val="nb-NO" w:eastAsia="nb-NO"/>
            </w:rPr>
          </w:pPr>
          <w:hyperlink w:anchor="_Toc29897657" w:history="1">
            <w:r w:rsidRPr="007C464A">
              <w:rPr>
                <w:rStyle w:val="Hyperkobling"/>
                <w:noProof/>
              </w:rPr>
              <w:t>7.2.</w:t>
            </w:r>
            <w:r>
              <w:rPr>
                <w:rFonts w:asciiTheme="minorHAnsi" w:eastAsiaTheme="minorEastAsia" w:hAnsiTheme="minorHAnsi"/>
                <w:noProof/>
                <w:color w:val="auto"/>
                <w:szCs w:val="22"/>
                <w:lang w:val="nb-NO" w:eastAsia="nb-NO"/>
              </w:rPr>
              <w:tab/>
            </w:r>
            <w:r w:rsidRPr="007C464A">
              <w:rPr>
                <w:rStyle w:val="Hyperkobling"/>
                <w:noProof/>
              </w:rPr>
              <w:t>Health for irregular migrants</w:t>
            </w:r>
            <w:r>
              <w:rPr>
                <w:noProof/>
                <w:webHidden/>
              </w:rPr>
              <w:tab/>
            </w:r>
            <w:r>
              <w:rPr>
                <w:noProof/>
                <w:webHidden/>
              </w:rPr>
              <w:fldChar w:fldCharType="begin"/>
            </w:r>
            <w:r>
              <w:rPr>
                <w:noProof/>
                <w:webHidden/>
              </w:rPr>
              <w:instrText xml:space="preserve"> PAGEREF _Toc29897657 \h </w:instrText>
            </w:r>
            <w:r>
              <w:rPr>
                <w:noProof/>
                <w:webHidden/>
              </w:rPr>
            </w:r>
            <w:r>
              <w:rPr>
                <w:noProof/>
                <w:webHidden/>
              </w:rPr>
              <w:fldChar w:fldCharType="separate"/>
            </w:r>
            <w:r>
              <w:rPr>
                <w:noProof/>
                <w:webHidden/>
              </w:rPr>
              <w:t>9</w:t>
            </w:r>
            <w:r>
              <w:rPr>
                <w:noProof/>
                <w:webHidden/>
              </w:rPr>
              <w:fldChar w:fldCharType="end"/>
            </w:r>
          </w:hyperlink>
        </w:p>
        <w:p w14:paraId="3A44F671" w14:textId="412F1C3F" w:rsidR="00E244FE" w:rsidRDefault="00E244FE">
          <w:pPr>
            <w:pStyle w:val="INNH1"/>
            <w:tabs>
              <w:tab w:val="left" w:pos="440"/>
            </w:tabs>
            <w:rPr>
              <w:rFonts w:asciiTheme="minorHAnsi" w:hAnsiTheme="minorHAnsi"/>
              <w:caps w:val="0"/>
              <w:color w:val="auto"/>
              <w:lang w:val="nb-NO" w:eastAsia="nb-NO"/>
            </w:rPr>
          </w:pPr>
          <w:hyperlink w:anchor="_Toc29897658" w:history="1">
            <w:r w:rsidRPr="007C464A">
              <w:rPr>
                <w:rStyle w:val="Hyperkobling"/>
              </w:rPr>
              <w:t>8.</w:t>
            </w:r>
            <w:r>
              <w:rPr>
                <w:rFonts w:asciiTheme="minorHAnsi" w:hAnsiTheme="minorHAnsi"/>
                <w:caps w:val="0"/>
                <w:color w:val="auto"/>
                <w:lang w:val="nb-NO" w:eastAsia="nb-NO"/>
              </w:rPr>
              <w:tab/>
            </w:r>
            <w:r w:rsidRPr="007C464A">
              <w:rPr>
                <w:rStyle w:val="Hyperkobling"/>
              </w:rPr>
              <w:t>Trans-gender persons, LGBTI youth</w:t>
            </w:r>
            <w:r>
              <w:rPr>
                <w:webHidden/>
              </w:rPr>
              <w:tab/>
            </w:r>
            <w:r>
              <w:rPr>
                <w:webHidden/>
              </w:rPr>
              <w:fldChar w:fldCharType="begin"/>
            </w:r>
            <w:r>
              <w:rPr>
                <w:webHidden/>
              </w:rPr>
              <w:instrText xml:space="preserve"> PAGEREF _Toc29897658 \h </w:instrText>
            </w:r>
            <w:r>
              <w:rPr>
                <w:webHidden/>
              </w:rPr>
            </w:r>
            <w:r>
              <w:rPr>
                <w:webHidden/>
              </w:rPr>
              <w:fldChar w:fldCharType="separate"/>
            </w:r>
            <w:r>
              <w:rPr>
                <w:webHidden/>
              </w:rPr>
              <w:t>10</w:t>
            </w:r>
            <w:r>
              <w:rPr>
                <w:webHidden/>
              </w:rPr>
              <w:fldChar w:fldCharType="end"/>
            </w:r>
          </w:hyperlink>
        </w:p>
        <w:p w14:paraId="02AF1B5B" w14:textId="091408B5" w:rsidR="00E244FE" w:rsidRDefault="00E244FE">
          <w:pPr>
            <w:pStyle w:val="INNH1"/>
            <w:tabs>
              <w:tab w:val="left" w:pos="440"/>
            </w:tabs>
            <w:rPr>
              <w:rFonts w:asciiTheme="minorHAnsi" w:hAnsiTheme="minorHAnsi"/>
              <w:caps w:val="0"/>
              <w:color w:val="auto"/>
              <w:lang w:val="nb-NO" w:eastAsia="nb-NO"/>
            </w:rPr>
          </w:pPr>
          <w:hyperlink w:anchor="_Toc29897659" w:history="1">
            <w:r w:rsidRPr="007C464A">
              <w:rPr>
                <w:rStyle w:val="Hyperkobling"/>
                <w:lang w:val="en-US"/>
              </w:rPr>
              <w:t>9.</w:t>
            </w:r>
            <w:r>
              <w:rPr>
                <w:rFonts w:asciiTheme="minorHAnsi" w:hAnsiTheme="minorHAnsi"/>
                <w:caps w:val="0"/>
                <w:color w:val="auto"/>
                <w:lang w:val="nb-NO" w:eastAsia="nb-NO"/>
              </w:rPr>
              <w:tab/>
            </w:r>
            <w:r w:rsidRPr="007C464A">
              <w:rPr>
                <w:rStyle w:val="Hyperkobling"/>
                <w:lang w:val="en-US"/>
              </w:rPr>
              <w:t>Rape and other sexual and gender-based violence</w:t>
            </w:r>
            <w:r>
              <w:rPr>
                <w:webHidden/>
              </w:rPr>
              <w:tab/>
            </w:r>
            <w:r>
              <w:rPr>
                <w:webHidden/>
              </w:rPr>
              <w:fldChar w:fldCharType="begin"/>
            </w:r>
            <w:r>
              <w:rPr>
                <w:webHidden/>
              </w:rPr>
              <w:instrText xml:space="preserve"> PAGEREF _Toc29897659 \h </w:instrText>
            </w:r>
            <w:r>
              <w:rPr>
                <w:webHidden/>
              </w:rPr>
            </w:r>
            <w:r>
              <w:rPr>
                <w:webHidden/>
              </w:rPr>
              <w:fldChar w:fldCharType="separate"/>
            </w:r>
            <w:r>
              <w:rPr>
                <w:webHidden/>
              </w:rPr>
              <w:t>11</w:t>
            </w:r>
            <w:r>
              <w:rPr>
                <w:webHidden/>
              </w:rPr>
              <w:fldChar w:fldCharType="end"/>
            </w:r>
          </w:hyperlink>
        </w:p>
        <w:p w14:paraId="12B91E6B" w14:textId="0A7675F1" w:rsidR="00E244FE" w:rsidRDefault="00E244FE">
          <w:pPr>
            <w:pStyle w:val="INNH1"/>
            <w:tabs>
              <w:tab w:val="left" w:pos="660"/>
            </w:tabs>
            <w:rPr>
              <w:rFonts w:asciiTheme="minorHAnsi" w:hAnsiTheme="minorHAnsi"/>
              <w:caps w:val="0"/>
              <w:color w:val="auto"/>
              <w:lang w:val="nb-NO" w:eastAsia="nb-NO"/>
            </w:rPr>
          </w:pPr>
          <w:hyperlink w:anchor="_Toc29897660" w:history="1">
            <w:r w:rsidRPr="007C464A">
              <w:rPr>
                <w:rStyle w:val="Hyperkobling"/>
              </w:rPr>
              <w:t>10.</w:t>
            </w:r>
            <w:r>
              <w:rPr>
                <w:rFonts w:asciiTheme="minorHAnsi" w:hAnsiTheme="minorHAnsi"/>
                <w:caps w:val="0"/>
                <w:color w:val="auto"/>
                <w:lang w:val="nb-NO" w:eastAsia="nb-NO"/>
              </w:rPr>
              <w:tab/>
            </w:r>
            <w:r w:rsidRPr="007C464A">
              <w:rPr>
                <w:rStyle w:val="Hyperkobling"/>
              </w:rPr>
              <w:t>Child poverty</w:t>
            </w:r>
            <w:r>
              <w:rPr>
                <w:webHidden/>
              </w:rPr>
              <w:tab/>
            </w:r>
            <w:r>
              <w:rPr>
                <w:webHidden/>
              </w:rPr>
              <w:fldChar w:fldCharType="begin"/>
            </w:r>
            <w:r>
              <w:rPr>
                <w:webHidden/>
              </w:rPr>
              <w:instrText xml:space="preserve"> PAGEREF _Toc29897660 \h </w:instrText>
            </w:r>
            <w:r>
              <w:rPr>
                <w:webHidden/>
              </w:rPr>
            </w:r>
            <w:r>
              <w:rPr>
                <w:webHidden/>
              </w:rPr>
              <w:fldChar w:fldCharType="separate"/>
            </w:r>
            <w:r>
              <w:rPr>
                <w:webHidden/>
              </w:rPr>
              <w:t>13</w:t>
            </w:r>
            <w:r>
              <w:rPr>
                <w:webHidden/>
              </w:rPr>
              <w:fldChar w:fldCharType="end"/>
            </w:r>
          </w:hyperlink>
        </w:p>
        <w:p w14:paraId="62D0B6BA" w14:textId="7770EF94" w:rsidR="00E244FE" w:rsidRDefault="00E244FE">
          <w:pPr>
            <w:pStyle w:val="INNH1"/>
            <w:tabs>
              <w:tab w:val="left" w:pos="660"/>
            </w:tabs>
            <w:rPr>
              <w:rFonts w:asciiTheme="minorHAnsi" w:hAnsiTheme="minorHAnsi"/>
              <w:caps w:val="0"/>
              <w:color w:val="auto"/>
              <w:lang w:val="nb-NO" w:eastAsia="nb-NO"/>
            </w:rPr>
          </w:pPr>
          <w:hyperlink w:anchor="_Toc29897661" w:history="1">
            <w:r w:rsidRPr="007C464A">
              <w:rPr>
                <w:rStyle w:val="Hyperkobling"/>
                <w:rFonts w:eastAsia="Calibri" w:cs="Times New Roman"/>
              </w:rPr>
              <w:t>11.</w:t>
            </w:r>
            <w:r>
              <w:rPr>
                <w:rFonts w:asciiTheme="minorHAnsi" w:hAnsiTheme="minorHAnsi"/>
                <w:caps w:val="0"/>
                <w:color w:val="auto"/>
                <w:lang w:val="nb-NO" w:eastAsia="nb-NO"/>
              </w:rPr>
              <w:tab/>
            </w:r>
            <w:r w:rsidRPr="007C464A">
              <w:rPr>
                <w:rStyle w:val="Hyperkobling"/>
              </w:rPr>
              <w:t>Health care and coercion</w:t>
            </w:r>
            <w:r>
              <w:rPr>
                <w:webHidden/>
              </w:rPr>
              <w:tab/>
            </w:r>
            <w:r>
              <w:rPr>
                <w:webHidden/>
              </w:rPr>
              <w:fldChar w:fldCharType="begin"/>
            </w:r>
            <w:r>
              <w:rPr>
                <w:webHidden/>
              </w:rPr>
              <w:instrText xml:space="preserve"> PAGEREF _Toc29897661 \h </w:instrText>
            </w:r>
            <w:r>
              <w:rPr>
                <w:webHidden/>
              </w:rPr>
            </w:r>
            <w:r>
              <w:rPr>
                <w:webHidden/>
              </w:rPr>
              <w:fldChar w:fldCharType="separate"/>
            </w:r>
            <w:r>
              <w:rPr>
                <w:webHidden/>
              </w:rPr>
              <w:t>14</w:t>
            </w:r>
            <w:r>
              <w:rPr>
                <w:webHidden/>
              </w:rPr>
              <w:fldChar w:fldCharType="end"/>
            </w:r>
          </w:hyperlink>
        </w:p>
        <w:p w14:paraId="7BFEF5D4" w14:textId="3CC60D33" w:rsidR="00E244FE" w:rsidRDefault="00E244FE">
          <w:pPr>
            <w:pStyle w:val="INNH2"/>
            <w:tabs>
              <w:tab w:val="left" w:pos="1100"/>
              <w:tab w:val="right" w:leader="dot" w:pos="7920"/>
            </w:tabs>
            <w:rPr>
              <w:rFonts w:asciiTheme="minorHAnsi" w:eastAsiaTheme="minorEastAsia" w:hAnsiTheme="minorHAnsi"/>
              <w:noProof/>
              <w:color w:val="auto"/>
              <w:szCs w:val="22"/>
              <w:lang w:val="nb-NO" w:eastAsia="nb-NO"/>
            </w:rPr>
          </w:pPr>
          <w:hyperlink w:anchor="_Toc29897662" w:history="1">
            <w:r w:rsidRPr="007C464A">
              <w:rPr>
                <w:rStyle w:val="Hyperkobling"/>
                <w:noProof/>
                <w:lang w:val="en-US"/>
              </w:rPr>
              <w:t>11.1.</w:t>
            </w:r>
            <w:r>
              <w:rPr>
                <w:rFonts w:asciiTheme="minorHAnsi" w:eastAsiaTheme="minorEastAsia" w:hAnsiTheme="minorHAnsi"/>
                <w:noProof/>
                <w:color w:val="auto"/>
                <w:szCs w:val="22"/>
                <w:lang w:val="nb-NO" w:eastAsia="nb-NO"/>
              </w:rPr>
              <w:tab/>
            </w:r>
            <w:r w:rsidRPr="007C464A">
              <w:rPr>
                <w:rStyle w:val="Hyperkobling"/>
                <w:noProof/>
              </w:rPr>
              <w:t>Health care and coercion in general – legislative proposal</w:t>
            </w:r>
            <w:r>
              <w:rPr>
                <w:noProof/>
                <w:webHidden/>
              </w:rPr>
              <w:tab/>
            </w:r>
            <w:r>
              <w:rPr>
                <w:noProof/>
                <w:webHidden/>
              </w:rPr>
              <w:fldChar w:fldCharType="begin"/>
            </w:r>
            <w:r>
              <w:rPr>
                <w:noProof/>
                <w:webHidden/>
              </w:rPr>
              <w:instrText xml:space="preserve"> PAGEREF _Toc29897662 \h </w:instrText>
            </w:r>
            <w:r>
              <w:rPr>
                <w:noProof/>
                <w:webHidden/>
              </w:rPr>
            </w:r>
            <w:r>
              <w:rPr>
                <w:noProof/>
                <w:webHidden/>
              </w:rPr>
              <w:fldChar w:fldCharType="separate"/>
            </w:r>
            <w:r>
              <w:rPr>
                <w:noProof/>
                <w:webHidden/>
              </w:rPr>
              <w:t>14</w:t>
            </w:r>
            <w:r>
              <w:rPr>
                <w:noProof/>
                <w:webHidden/>
              </w:rPr>
              <w:fldChar w:fldCharType="end"/>
            </w:r>
          </w:hyperlink>
        </w:p>
        <w:p w14:paraId="7F29B44E" w14:textId="55DBC9AD" w:rsidR="00E244FE" w:rsidRDefault="00E244FE">
          <w:pPr>
            <w:pStyle w:val="INNH2"/>
            <w:tabs>
              <w:tab w:val="left" w:pos="1100"/>
              <w:tab w:val="right" w:leader="dot" w:pos="7920"/>
            </w:tabs>
            <w:rPr>
              <w:rFonts w:asciiTheme="minorHAnsi" w:eastAsiaTheme="minorEastAsia" w:hAnsiTheme="minorHAnsi"/>
              <w:noProof/>
              <w:color w:val="auto"/>
              <w:szCs w:val="22"/>
              <w:lang w:val="nb-NO" w:eastAsia="nb-NO"/>
            </w:rPr>
          </w:pPr>
          <w:hyperlink w:anchor="_Toc29897663" w:history="1">
            <w:r w:rsidRPr="007C464A">
              <w:rPr>
                <w:rStyle w:val="Hyperkobling"/>
                <w:noProof/>
              </w:rPr>
              <w:t>11.2.</w:t>
            </w:r>
            <w:r>
              <w:rPr>
                <w:rFonts w:asciiTheme="minorHAnsi" w:eastAsiaTheme="minorEastAsia" w:hAnsiTheme="minorHAnsi"/>
                <w:noProof/>
                <w:color w:val="auto"/>
                <w:szCs w:val="22"/>
                <w:lang w:val="nb-NO" w:eastAsia="nb-NO"/>
              </w:rPr>
              <w:tab/>
            </w:r>
            <w:r w:rsidRPr="007C464A">
              <w:rPr>
                <w:rStyle w:val="Hyperkobling"/>
                <w:noProof/>
              </w:rPr>
              <w:t>Mental health care and persons with intellectual disability – particular concerns regarding coercion</w:t>
            </w:r>
            <w:r>
              <w:rPr>
                <w:noProof/>
                <w:webHidden/>
              </w:rPr>
              <w:tab/>
            </w:r>
            <w:r>
              <w:rPr>
                <w:noProof/>
                <w:webHidden/>
              </w:rPr>
              <w:fldChar w:fldCharType="begin"/>
            </w:r>
            <w:r>
              <w:rPr>
                <w:noProof/>
                <w:webHidden/>
              </w:rPr>
              <w:instrText xml:space="preserve"> PAGEREF _Toc29897663 \h </w:instrText>
            </w:r>
            <w:r>
              <w:rPr>
                <w:noProof/>
                <w:webHidden/>
              </w:rPr>
            </w:r>
            <w:r>
              <w:rPr>
                <w:noProof/>
                <w:webHidden/>
              </w:rPr>
              <w:fldChar w:fldCharType="separate"/>
            </w:r>
            <w:r>
              <w:rPr>
                <w:noProof/>
                <w:webHidden/>
              </w:rPr>
              <w:t>15</w:t>
            </w:r>
            <w:r>
              <w:rPr>
                <w:noProof/>
                <w:webHidden/>
              </w:rPr>
              <w:fldChar w:fldCharType="end"/>
            </w:r>
          </w:hyperlink>
        </w:p>
        <w:p w14:paraId="7DF722EC" w14:textId="5367AC20" w:rsidR="00E244FE" w:rsidRDefault="00E244FE">
          <w:pPr>
            <w:pStyle w:val="INNH2"/>
            <w:tabs>
              <w:tab w:val="left" w:pos="1100"/>
              <w:tab w:val="right" w:leader="dot" w:pos="7920"/>
            </w:tabs>
            <w:rPr>
              <w:rFonts w:asciiTheme="minorHAnsi" w:eastAsiaTheme="minorEastAsia" w:hAnsiTheme="minorHAnsi"/>
              <w:noProof/>
              <w:color w:val="auto"/>
              <w:szCs w:val="22"/>
              <w:lang w:val="nb-NO" w:eastAsia="nb-NO"/>
            </w:rPr>
          </w:pPr>
          <w:hyperlink w:anchor="_Toc29897664" w:history="1">
            <w:r w:rsidRPr="007C464A">
              <w:rPr>
                <w:rStyle w:val="Hyperkobling"/>
                <w:noProof/>
              </w:rPr>
              <w:t>11.3.</w:t>
            </w:r>
            <w:r>
              <w:rPr>
                <w:rFonts w:asciiTheme="minorHAnsi" w:eastAsiaTheme="minorEastAsia" w:hAnsiTheme="minorHAnsi"/>
                <w:noProof/>
                <w:color w:val="auto"/>
                <w:szCs w:val="22"/>
                <w:lang w:val="nb-NO" w:eastAsia="nb-NO"/>
              </w:rPr>
              <w:tab/>
            </w:r>
            <w:r w:rsidRPr="007C464A">
              <w:rPr>
                <w:rStyle w:val="Hyperkobling"/>
                <w:noProof/>
              </w:rPr>
              <w:t>Elderly on coercion, nutrition and medication – particular concerns</w:t>
            </w:r>
            <w:r>
              <w:rPr>
                <w:noProof/>
                <w:webHidden/>
              </w:rPr>
              <w:tab/>
            </w:r>
            <w:r>
              <w:rPr>
                <w:noProof/>
                <w:webHidden/>
              </w:rPr>
              <w:fldChar w:fldCharType="begin"/>
            </w:r>
            <w:r>
              <w:rPr>
                <w:noProof/>
                <w:webHidden/>
              </w:rPr>
              <w:instrText xml:space="preserve"> PAGEREF _Toc29897664 \h </w:instrText>
            </w:r>
            <w:r>
              <w:rPr>
                <w:noProof/>
                <w:webHidden/>
              </w:rPr>
            </w:r>
            <w:r>
              <w:rPr>
                <w:noProof/>
                <w:webHidden/>
              </w:rPr>
              <w:fldChar w:fldCharType="separate"/>
            </w:r>
            <w:r>
              <w:rPr>
                <w:noProof/>
                <w:webHidden/>
              </w:rPr>
              <w:t>17</w:t>
            </w:r>
            <w:r>
              <w:rPr>
                <w:noProof/>
                <w:webHidden/>
              </w:rPr>
              <w:fldChar w:fldCharType="end"/>
            </w:r>
          </w:hyperlink>
        </w:p>
        <w:p w14:paraId="0D03AB0D" w14:textId="43FDAEB8" w:rsidR="00E244FE" w:rsidRDefault="00E244FE">
          <w:pPr>
            <w:pStyle w:val="INNH1"/>
            <w:tabs>
              <w:tab w:val="left" w:pos="660"/>
            </w:tabs>
            <w:rPr>
              <w:rFonts w:asciiTheme="minorHAnsi" w:hAnsiTheme="minorHAnsi"/>
              <w:caps w:val="0"/>
              <w:color w:val="auto"/>
              <w:lang w:val="nb-NO" w:eastAsia="nb-NO"/>
            </w:rPr>
          </w:pPr>
          <w:hyperlink w:anchor="_Toc29897665" w:history="1">
            <w:r w:rsidRPr="007C464A">
              <w:rPr>
                <w:rStyle w:val="Hyperkobling"/>
              </w:rPr>
              <w:t>12.</w:t>
            </w:r>
            <w:r>
              <w:rPr>
                <w:rFonts w:asciiTheme="minorHAnsi" w:hAnsiTheme="minorHAnsi"/>
                <w:caps w:val="0"/>
                <w:color w:val="auto"/>
                <w:lang w:val="nb-NO" w:eastAsia="nb-NO"/>
              </w:rPr>
              <w:tab/>
            </w:r>
            <w:r w:rsidRPr="007C464A">
              <w:rPr>
                <w:rStyle w:val="Hyperkobling"/>
              </w:rPr>
              <w:t>Mentally ill in prison</w:t>
            </w:r>
            <w:r>
              <w:rPr>
                <w:webHidden/>
              </w:rPr>
              <w:tab/>
            </w:r>
            <w:r>
              <w:rPr>
                <w:webHidden/>
              </w:rPr>
              <w:fldChar w:fldCharType="begin"/>
            </w:r>
            <w:r>
              <w:rPr>
                <w:webHidden/>
              </w:rPr>
              <w:instrText xml:space="preserve"> PAGEREF _Toc29897665 \h </w:instrText>
            </w:r>
            <w:r>
              <w:rPr>
                <w:webHidden/>
              </w:rPr>
            </w:r>
            <w:r>
              <w:rPr>
                <w:webHidden/>
              </w:rPr>
              <w:fldChar w:fldCharType="separate"/>
            </w:r>
            <w:r>
              <w:rPr>
                <w:webHidden/>
              </w:rPr>
              <w:t>19</w:t>
            </w:r>
            <w:r>
              <w:rPr>
                <w:webHidden/>
              </w:rPr>
              <w:fldChar w:fldCharType="end"/>
            </w:r>
          </w:hyperlink>
        </w:p>
        <w:p w14:paraId="60C5DA2D" w14:textId="41DE0E9E" w:rsidR="00E244FE" w:rsidRDefault="00E244FE">
          <w:pPr>
            <w:pStyle w:val="INNH1"/>
            <w:tabs>
              <w:tab w:val="left" w:pos="660"/>
            </w:tabs>
            <w:rPr>
              <w:rFonts w:asciiTheme="minorHAnsi" w:hAnsiTheme="minorHAnsi"/>
              <w:caps w:val="0"/>
              <w:color w:val="auto"/>
              <w:lang w:val="nb-NO" w:eastAsia="nb-NO"/>
            </w:rPr>
          </w:pPr>
          <w:hyperlink w:anchor="_Toc29897666" w:history="1">
            <w:r w:rsidRPr="007C464A">
              <w:rPr>
                <w:rStyle w:val="Hyperkobling"/>
              </w:rPr>
              <w:t>13.</w:t>
            </w:r>
            <w:r>
              <w:rPr>
                <w:rFonts w:asciiTheme="minorHAnsi" w:hAnsiTheme="minorHAnsi"/>
                <w:caps w:val="0"/>
                <w:color w:val="auto"/>
                <w:lang w:val="nb-NO" w:eastAsia="nb-NO"/>
              </w:rPr>
              <w:tab/>
            </w:r>
            <w:r w:rsidRPr="007C464A">
              <w:rPr>
                <w:rStyle w:val="Hyperkobling"/>
              </w:rPr>
              <w:t>Access to health services for persons who use drugs</w:t>
            </w:r>
            <w:r>
              <w:rPr>
                <w:webHidden/>
              </w:rPr>
              <w:tab/>
            </w:r>
            <w:r>
              <w:rPr>
                <w:webHidden/>
              </w:rPr>
              <w:fldChar w:fldCharType="begin"/>
            </w:r>
            <w:r>
              <w:rPr>
                <w:webHidden/>
              </w:rPr>
              <w:instrText xml:space="preserve"> PAGEREF _Toc29897666 \h </w:instrText>
            </w:r>
            <w:r>
              <w:rPr>
                <w:webHidden/>
              </w:rPr>
            </w:r>
            <w:r>
              <w:rPr>
                <w:webHidden/>
              </w:rPr>
              <w:fldChar w:fldCharType="separate"/>
            </w:r>
            <w:r>
              <w:rPr>
                <w:webHidden/>
              </w:rPr>
              <w:t>20</w:t>
            </w:r>
            <w:r>
              <w:rPr>
                <w:webHidden/>
              </w:rPr>
              <w:fldChar w:fldCharType="end"/>
            </w:r>
          </w:hyperlink>
        </w:p>
        <w:p w14:paraId="214FE2FD" w14:textId="637BA2F1" w:rsidR="00E244FE" w:rsidRDefault="00E244FE">
          <w:pPr>
            <w:pStyle w:val="INNH1"/>
            <w:tabs>
              <w:tab w:val="left" w:pos="660"/>
            </w:tabs>
            <w:rPr>
              <w:rFonts w:asciiTheme="minorHAnsi" w:hAnsiTheme="minorHAnsi"/>
              <w:caps w:val="0"/>
              <w:color w:val="auto"/>
              <w:lang w:val="nb-NO" w:eastAsia="nb-NO"/>
            </w:rPr>
          </w:pPr>
          <w:hyperlink w:anchor="_Toc29897667" w:history="1">
            <w:r w:rsidRPr="007C464A">
              <w:rPr>
                <w:rStyle w:val="Hyperkobling"/>
              </w:rPr>
              <w:t>14.</w:t>
            </w:r>
            <w:r>
              <w:rPr>
                <w:rFonts w:asciiTheme="minorHAnsi" w:hAnsiTheme="minorHAnsi"/>
                <w:caps w:val="0"/>
                <w:color w:val="auto"/>
                <w:lang w:val="nb-NO" w:eastAsia="nb-NO"/>
              </w:rPr>
              <w:tab/>
            </w:r>
            <w:r w:rsidRPr="007C464A">
              <w:rPr>
                <w:rStyle w:val="Hyperkobling"/>
              </w:rPr>
              <w:t>Sami, Kven and Finnish languages</w:t>
            </w:r>
            <w:r>
              <w:rPr>
                <w:webHidden/>
              </w:rPr>
              <w:tab/>
            </w:r>
            <w:r>
              <w:rPr>
                <w:webHidden/>
              </w:rPr>
              <w:fldChar w:fldCharType="begin"/>
            </w:r>
            <w:r>
              <w:rPr>
                <w:webHidden/>
              </w:rPr>
              <w:instrText xml:space="preserve"> PAGEREF _Toc29897667 \h </w:instrText>
            </w:r>
            <w:r>
              <w:rPr>
                <w:webHidden/>
              </w:rPr>
            </w:r>
            <w:r>
              <w:rPr>
                <w:webHidden/>
              </w:rPr>
              <w:fldChar w:fldCharType="separate"/>
            </w:r>
            <w:r>
              <w:rPr>
                <w:webHidden/>
              </w:rPr>
              <w:t>21</w:t>
            </w:r>
            <w:r>
              <w:rPr>
                <w:webHidden/>
              </w:rPr>
              <w:fldChar w:fldCharType="end"/>
            </w:r>
          </w:hyperlink>
        </w:p>
        <w:p w14:paraId="7F0B521E" w14:textId="1611AB4C" w:rsidR="00C25926" w:rsidRPr="00001FD9" w:rsidRDefault="00C25926" w:rsidP="00C25926">
          <w:r w:rsidRPr="00001FD9">
            <w:rPr>
              <w:b/>
              <w:bCs/>
            </w:rPr>
            <w:fldChar w:fldCharType="end"/>
          </w:r>
        </w:p>
      </w:sdtContent>
    </w:sdt>
    <w:p w14:paraId="705A4D4B" w14:textId="77777777" w:rsidR="00C25926" w:rsidRDefault="00C25926" w:rsidP="00C25926">
      <w:pPr>
        <w:spacing w:after="160" w:line="259" w:lineRule="auto"/>
        <w:ind w:left="720"/>
        <w:contextualSpacing/>
        <w:jc w:val="left"/>
        <w:rPr>
          <w:rFonts w:eastAsia="Calibri" w:cs="Times New Roman"/>
          <w:color w:val="auto"/>
          <w:szCs w:val="22"/>
        </w:rPr>
      </w:pPr>
    </w:p>
    <w:p w14:paraId="535434F3" w14:textId="77777777" w:rsidR="00C25926" w:rsidRDefault="00C25926" w:rsidP="00C25926">
      <w:pPr>
        <w:spacing w:after="0" w:line="240" w:lineRule="auto"/>
        <w:jc w:val="left"/>
        <w:rPr>
          <w:b/>
          <w:sz w:val="24"/>
        </w:rPr>
      </w:pPr>
      <w:r>
        <w:br w:type="page"/>
      </w:r>
    </w:p>
    <w:p w14:paraId="60802E1C" w14:textId="5C7564B7" w:rsidR="00C25926" w:rsidRDefault="00C25926" w:rsidP="00C25926">
      <w:pPr>
        <w:pStyle w:val="Overskrift1"/>
        <w:numPr>
          <w:ilvl w:val="0"/>
          <w:numId w:val="0"/>
        </w:numPr>
        <w:ind w:left="567" w:hanging="567"/>
      </w:pPr>
      <w:bookmarkStart w:id="0" w:name="_Toc29897645"/>
      <w:proofErr w:type="gramStart"/>
      <w:r>
        <w:lastRenderedPageBreak/>
        <w:t>Particular relevance</w:t>
      </w:r>
      <w:bookmarkEnd w:id="0"/>
      <w:proofErr w:type="gramEnd"/>
    </w:p>
    <w:p w14:paraId="327549AF" w14:textId="07DAAA4B" w:rsidR="00C25926" w:rsidRPr="009067DA" w:rsidRDefault="00C25926" w:rsidP="00C25926">
      <w:pPr>
        <w:pStyle w:val="Alternativoverskrift"/>
      </w:pPr>
      <w:bookmarkStart w:id="1" w:name="_Toc29897646"/>
      <w:r>
        <w:t>Instruction</w:t>
      </w:r>
      <w:r w:rsidR="000C7D41">
        <w:t>s</w:t>
      </w:r>
      <w:r>
        <w:t xml:space="preserve"> for l</w:t>
      </w:r>
      <w:r w:rsidRPr="009067DA">
        <w:t xml:space="preserve">egislative </w:t>
      </w:r>
      <w:r>
        <w:t>d</w:t>
      </w:r>
      <w:r w:rsidRPr="009067DA">
        <w:t>rafting</w:t>
      </w:r>
      <w:r>
        <w:t>, policies and plans</w:t>
      </w:r>
      <w:bookmarkEnd w:id="1"/>
    </w:p>
    <w:p w14:paraId="58988468" w14:textId="58E83B25" w:rsidR="00C25926" w:rsidRDefault="00C25926" w:rsidP="00C25926">
      <w:pPr>
        <w:rPr>
          <w:color w:val="auto"/>
        </w:rPr>
      </w:pPr>
      <w:r>
        <w:rPr>
          <w:color w:val="auto"/>
        </w:rPr>
        <w:t xml:space="preserve">Reference is made to </w:t>
      </w:r>
      <w:r w:rsidR="00A3410D">
        <w:rPr>
          <w:color w:val="auto"/>
        </w:rPr>
        <w:t xml:space="preserve">List of Issues Prior to Reporting (hereinafter </w:t>
      </w:r>
      <w:proofErr w:type="spellStart"/>
      <w:r>
        <w:rPr>
          <w:color w:val="auto"/>
        </w:rPr>
        <w:t>LOIPR</w:t>
      </w:r>
      <w:proofErr w:type="spellEnd"/>
      <w:r w:rsidR="00A3410D">
        <w:rPr>
          <w:color w:val="auto"/>
        </w:rPr>
        <w:t>)</w:t>
      </w:r>
      <w:r>
        <w:rPr>
          <w:color w:val="auto"/>
        </w:rPr>
        <w:t xml:space="preserve"> para.</w:t>
      </w:r>
      <w:r w:rsidR="00173021">
        <w:rPr>
          <w:color w:val="auto"/>
        </w:rPr>
        <w:t xml:space="preserve"> </w:t>
      </w:r>
      <w:r>
        <w:rPr>
          <w:color w:val="auto"/>
        </w:rPr>
        <w:t>2 and</w:t>
      </w:r>
      <w:r w:rsidR="00F234FD">
        <w:rPr>
          <w:color w:val="auto"/>
        </w:rPr>
        <w:t xml:space="preserve"> the</w:t>
      </w:r>
      <w:r>
        <w:rPr>
          <w:color w:val="auto"/>
        </w:rPr>
        <w:t xml:space="preserve"> </w:t>
      </w:r>
      <w:r w:rsidR="005E204F">
        <w:rPr>
          <w:color w:val="auto"/>
        </w:rPr>
        <w:t>Sixt</w:t>
      </w:r>
      <w:r w:rsidR="00C37FE2">
        <w:rPr>
          <w:color w:val="auto"/>
        </w:rPr>
        <w:t>h</w:t>
      </w:r>
      <w:r w:rsidR="005E204F">
        <w:rPr>
          <w:color w:val="auto"/>
        </w:rPr>
        <w:t xml:space="preserve"> periodic </w:t>
      </w:r>
      <w:r w:rsidR="00C37FE2">
        <w:rPr>
          <w:color w:val="auto"/>
        </w:rPr>
        <w:t>report submitted by Norway under articles 16 and 17 of the Covenant, due in 2019</w:t>
      </w:r>
      <w:r w:rsidR="00F37016">
        <w:rPr>
          <w:color w:val="auto"/>
        </w:rPr>
        <w:t xml:space="preserve"> (hereinafter </w:t>
      </w:r>
      <w:r w:rsidR="00E34043">
        <w:rPr>
          <w:color w:val="auto"/>
        </w:rPr>
        <w:t xml:space="preserve">the </w:t>
      </w:r>
      <w:r>
        <w:rPr>
          <w:color w:val="auto"/>
        </w:rPr>
        <w:t>State Report</w:t>
      </w:r>
      <w:r w:rsidR="00F37016">
        <w:rPr>
          <w:color w:val="auto"/>
        </w:rPr>
        <w:t>)</w:t>
      </w:r>
      <w:r>
        <w:rPr>
          <w:color w:val="auto"/>
        </w:rPr>
        <w:t xml:space="preserve"> para.</w:t>
      </w:r>
      <w:r w:rsidR="00365C89">
        <w:rPr>
          <w:color w:val="auto"/>
        </w:rPr>
        <w:t xml:space="preserve"> </w:t>
      </w:r>
      <w:r>
        <w:rPr>
          <w:color w:val="auto"/>
        </w:rPr>
        <w:t>5.</w:t>
      </w:r>
    </w:p>
    <w:p w14:paraId="53D0094B" w14:textId="363F1A3C" w:rsidR="00C25926" w:rsidRPr="00421B5C" w:rsidRDefault="00E34043" w:rsidP="0057276E">
      <w:r>
        <w:t xml:space="preserve">The </w:t>
      </w:r>
      <w:r w:rsidR="00C25926" w:rsidRPr="00C14F05">
        <w:rPr>
          <w:i/>
          <w:iCs/>
        </w:rPr>
        <w:t>Instruction</w:t>
      </w:r>
      <w:r w:rsidR="00A3410D">
        <w:rPr>
          <w:i/>
          <w:iCs/>
        </w:rPr>
        <w:t>s</w:t>
      </w:r>
      <w:r w:rsidR="00C25926" w:rsidRPr="00C14F05">
        <w:rPr>
          <w:i/>
          <w:iCs/>
        </w:rPr>
        <w:t xml:space="preserve"> for the Preparation of Central Governmental Measures</w:t>
      </w:r>
      <w:r w:rsidR="0057276E">
        <w:t xml:space="preserve"> was revised on 19 February 2016.</w:t>
      </w:r>
      <w:r w:rsidR="00C25926">
        <w:rPr>
          <w:rStyle w:val="Fotnotereferanse"/>
        </w:rPr>
        <w:footnoteReference w:id="2"/>
      </w:r>
      <w:r w:rsidR="00C25926" w:rsidRPr="00421B5C">
        <w:t xml:space="preserve"> </w:t>
      </w:r>
      <w:proofErr w:type="spellStart"/>
      <w:r w:rsidR="00C25926" w:rsidRPr="00421B5C">
        <w:t>N</w:t>
      </w:r>
      <w:r w:rsidR="00C25926">
        <w:t>IM</w:t>
      </w:r>
      <w:proofErr w:type="spellEnd"/>
      <w:r w:rsidR="00C25926" w:rsidRPr="00421B5C">
        <w:t xml:space="preserve"> </w:t>
      </w:r>
      <w:r w:rsidR="00C25926">
        <w:t xml:space="preserve">has </w:t>
      </w:r>
      <w:r w:rsidR="00C25926" w:rsidRPr="00421B5C">
        <w:t>note</w:t>
      </w:r>
      <w:r w:rsidR="00C25926">
        <w:t>d</w:t>
      </w:r>
      <w:r w:rsidR="00C25926" w:rsidRPr="00421B5C">
        <w:t xml:space="preserve"> that the</w:t>
      </w:r>
      <w:r w:rsidR="00C25926">
        <w:t xml:space="preserve"> revised instruction</w:t>
      </w:r>
      <w:r w:rsidR="000C7D41">
        <w:t>s</w:t>
      </w:r>
      <w:r w:rsidR="00C25926">
        <w:t xml:space="preserve"> no longer </w:t>
      </w:r>
      <w:r w:rsidR="009E473A">
        <w:t xml:space="preserve">contain </w:t>
      </w:r>
      <w:r w:rsidR="00C25926">
        <w:t xml:space="preserve">an explicit </w:t>
      </w:r>
      <w:r w:rsidR="00C25926" w:rsidRPr="00421B5C">
        <w:t>require</w:t>
      </w:r>
      <w:r w:rsidR="00C25926">
        <w:t xml:space="preserve">ment to </w:t>
      </w:r>
      <w:r w:rsidR="00C25926" w:rsidRPr="00421B5C">
        <w:t xml:space="preserve">assess implications </w:t>
      </w:r>
      <w:r w:rsidR="00C25926">
        <w:t>for</w:t>
      </w:r>
      <w:r w:rsidR="00C25926" w:rsidRPr="00421B5C">
        <w:t xml:space="preserve"> Norway’s human rights obligations</w:t>
      </w:r>
      <w:r w:rsidR="00275C24">
        <w:t xml:space="preserve"> during legislative drafting, policy development and planning processes</w:t>
      </w:r>
      <w:r w:rsidR="00C25926">
        <w:t>. The</w:t>
      </w:r>
      <w:r w:rsidR="00C25926" w:rsidRPr="00421B5C">
        <w:t xml:space="preserve"> </w:t>
      </w:r>
      <w:r w:rsidR="0057276E">
        <w:t xml:space="preserve">obligation to consider </w:t>
      </w:r>
      <w:r w:rsidR="00C25926">
        <w:t xml:space="preserve">human rights, gender and equality </w:t>
      </w:r>
      <w:r w:rsidR="007753F0">
        <w:t>are</w:t>
      </w:r>
      <w:r w:rsidR="00C25926">
        <w:t xml:space="preserve"> now only referred to in </w:t>
      </w:r>
      <w:r w:rsidR="00C25926" w:rsidRPr="00421B5C">
        <w:t>the accompanying guide</w:t>
      </w:r>
      <w:r w:rsidR="00C25926">
        <w:t>lines</w:t>
      </w:r>
      <w:r w:rsidR="00C25926" w:rsidRPr="00421B5C">
        <w:t xml:space="preserve"> (“</w:t>
      </w:r>
      <w:proofErr w:type="spellStart"/>
      <w:r w:rsidR="00C25926" w:rsidRPr="00421B5C">
        <w:t>veilederen</w:t>
      </w:r>
      <w:proofErr w:type="spellEnd"/>
      <w:r w:rsidR="00C25926" w:rsidRPr="00421B5C">
        <w:t xml:space="preserve">”) </w:t>
      </w:r>
      <w:r w:rsidR="00C25926">
        <w:t xml:space="preserve">which is not binding </w:t>
      </w:r>
      <w:r w:rsidR="00C72B00">
        <w:t>as opposed to</w:t>
      </w:r>
      <w:r w:rsidR="00C25926">
        <w:t xml:space="preserve"> the instruction</w:t>
      </w:r>
      <w:r w:rsidR="000C7D41">
        <w:t>s</w:t>
      </w:r>
      <w:r w:rsidR="00C25926">
        <w:t xml:space="preserve"> </w:t>
      </w:r>
      <w:r w:rsidR="000C7D41">
        <w:t>them</w:t>
      </w:r>
      <w:r w:rsidR="00C25926">
        <w:t>sel</w:t>
      </w:r>
      <w:r w:rsidR="000C7D41">
        <w:t>ves</w:t>
      </w:r>
      <w:r w:rsidR="00C25926" w:rsidRPr="00421B5C">
        <w:t xml:space="preserve">. </w:t>
      </w:r>
    </w:p>
    <w:p w14:paraId="6F015FAE" w14:textId="4FF17D83" w:rsidR="00C25926" w:rsidRDefault="00C25926" w:rsidP="00C25926">
      <w:proofErr w:type="spellStart"/>
      <w:r>
        <w:t>NIM</w:t>
      </w:r>
      <w:proofErr w:type="spellEnd"/>
      <w:r>
        <w:t xml:space="preserve"> is concerned that</w:t>
      </w:r>
      <w:r w:rsidRPr="006E0F73">
        <w:t xml:space="preserve"> </w:t>
      </w:r>
      <w:r>
        <w:t xml:space="preserve">the lack of </w:t>
      </w:r>
      <w:r w:rsidR="00C72B00">
        <w:t xml:space="preserve">an </w:t>
      </w:r>
      <w:r>
        <w:t>explicit reference to human rights obligations in t</w:t>
      </w:r>
      <w:r w:rsidRPr="006E0F73">
        <w:t>he instruction</w:t>
      </w:r>
      <w:r w:rsidR="00A3410D">
        <w:t>s</w:t>
      </w:r>
      <w:r w:rsidRPr="006E0F73">
        <w:t xml:space="preserve"> </w:t>
      </w:r>
      <w:r>
        <w:t xml:space="preserve">could </w:t>
      </w:r>
      <w:r w:rsidRPr="006E0F73">
        <w:t xml:space="preserve">weaken </w:t>
      </w:r>
      <w:r>
        <w:t>due consideration of human rights obligations in legislative drafting as well as other processes. In order to assess the effects of the revised instruction</w:t>
      </w:r>
      <w:r w:rsidR="00A3410D">
        <w:t>s</w:t>
      </w:r>
      <w:r>
        <w:t xml:space="preserve"> an independent evaluation should take place. </w:t>
      </w:r>
    </w:p>
    <w:p w14:paraId="22C08375" w14:textId="77777777" w:rsidR="00C25926" w:rsidRPr="00876B3A" w:rsidRDefault="00C25926" w:rsidP="00C25926">
      <w:pPr>
        <w:ind w:firstLine="360"/>
        <w:rPr>
          <w:b/>
        </w:rPr>
      </w:pPr>
      <w:r w:rsidRPr="00876B3A">
        <w:rPr>
          <w:b/>
        </w:rPr>
        <w:t>Suggested recommendation:</w:t>
      </w:r>
    </w:p>
    <w:p w14:paraId="4E7FF30C" w14:textId="34562310" w:rsidR="00C25926" w:rsidRDefault="00C25926" w:rsidP="00E244FE">
      <w:pPr>
        <w:pStyle w:val="Listeavsnitt"/>
        <w:numPr>
          <w:ilvl w:val="0"/>
          <w:numId w:val="31"/>
        </w:numPr>
        <w:spacing w:line="288" w:lineRule="auto"/>
      </w:pPr>
      <w:r>
        <w:t xml:space="preserve">The </w:t>
      </w:r>
      <w:r w:rsidRPr="00AE270B">
        <w:t xml:space="preserve">State </w:t>
      </w:r>
      <w:r>
        <w:t>P</w:t>
      </w:r>
      <w:r w:rsidRPr="00AE270B">
        <w:t xml:space="preserve">arty </w:t>
      </w:r>
      <w:r>
        <w:t xml:space="preserve">should </w:t>
      </w:r>
      <w:r w:rsidR="003162BF" w:rsidRPr="003162BF">
        <w:rPr>
          <w:lang w:val="en-US"/>
        </w:rPr>
        <w:t xml:space="preserve">include an </w:t>
      </w:r>
      <w:r w:rsidR="00701ABD">
        <w:rPr>
          <w:lang w:val="en-US"/>
        </w:rPr>
        <w:t xml:space="preserve">explicit </w:t>
      </w:r>
      <w:r w:rsidR="003162BF" w:rsidRPr="003162BF">
        <w:rPr>
          <w:lang w:val="en-US"/>
        </w:rPr>
        <w:t>obligation to assess potential</w:t>
      </w:r>
      <w:r w:rsidR="003162BF" w:rsidRPr="00707F24">
        <w:rPr>
          <w:lang w:val="en-US"/>
        </w:rPr>
        <w:t xml:space="preserve"> human rights </w:t>
      </w:r>
      <w:r w:rsidR="00275C24">
        <w:rPr>
          <w:lang w:val="en-US"/>
        </w:rPr>
        <w:t>implications</w:t>
      </w:r>
      <w:r w:rsidR="003162BF" w:rsidRPr="00707F24">
        <w:rPr>
          <w:lang w:val="en-US"/>
        </w:rPr>
        <w:t xml:space="preserve"> </w:t>
      </w:r>
      <w:r w:rsidR="00275C24">
        <w:rPr>
          <w:lang w:val="en-US"/>
        </w:rPr>
        <w:t>in</w:t>
      </w:r>
      <w:r>
        <w:t xml:space="preserve"> legislative </w:t>
      </w:r>
      <w:r w:rsidR="00A3410D">
        <w:t xml:space="preserve">drafting, </w:t>
      </w:r>
      <w:r>
        <w:t>polic</w:t>
      </w:r>
      <w:r w:rsidR="00A3410D">
        <w:t>ies</w:t>
      </w:r>
      <w:r>
        <w:t xml:space="preserve"> and plan</w:t>
      </w:r>
      <w:r w:rsidR="00A3410D">
        <w:t>s</w:t>
      </w:r>
      <w:r w:rsidR="003162BF">
        <w:t>.</w:t>
      </w:r>
    </w:p>
    <w:p w14:paraId="1D9C0182" w14:textId="77777777" w:rsidR="00C25926" w:rsidRPr="001B5D30" w:rsidRDefault="00C25926" w:rsidP="00C25926">
      <w:pPr>
        <w:pStyle w:val="Overskrift1"/>
      </w:pPr>
      <w:bookmarkStart w:id="2" w:name="_Toc29897647"/>
      <w:r w:rsidRPr="00001FD9">
        <w:t>Follow-up of international recommendations</w:t>
      </w:r>
      <w:bookmarkEnd w:id="2"/>
    </w:p>
    <w:p w14:paraId="04F28C28" w14:textId="751B3F38" w:rsidR="00C25926" w:rsidRDefault="00C25926" w:rsidP="00C25926">
      <w:pPr>
        <w:spacing w:after="160" w:line="259" w:lineRule="auto"/>
        <w:jc w:val="left"/>
        <w:rPr>
          <w:rFonts w:eastAsia="Calibri" w:cs="Times New Roman"/>
          <w:color w:val="auto"/>
          <w:szCs w:val="22"/>
        </w:rPr>
      </w:pPr>
      <w:r>
        <w:rPr>
          <w:rFonts w:eastAsia="Calibri" w:cs="Times New Roman"/>
          <w:color w:val="auto"/>
          <w:szCs w:val="22"/>
        </w:rPr>
        <w:t xml:space="preserve">Reference is made to </w:t>
      </w:r>
      <w:proofErr w:type="spellStart"/>
      <w:r>
        <w:rPr>
          <w:rFonts w:eastAsia="Calibri" w:cs="Times New Roman"/>
          <w:color w:val="auto"/>
          <w:szCs w:val="22"/>
        </w:rPr>
        <w:t>LOIPR</w:t>
      </w:r>
      <w:proofErr w:type="spellEnd"/>
      <w:r>
        <w:rPr>
          <w:rFonts w:eastAsia="Calibri" w:cs="Times New Roman"/>
          <w:color w:val="auto"/>
          <w:szCs w:val="22"/>
        </w:rPr>
        <w:t xml:space="preserve"> para.</w:t>
      </w:r>
      <w:r w:rsidR="00B77438">
        <w:rPr>
          <w:rFonts w:eastAsia="Calibri" w:cs="Times New Roman"/>
          <w:color w:val="auto"/>
          <w:szCs w:val="22"/>
        </w:rPr>
        <w:t xml:space="preserve"> </w:t>
      </w:r>
      <w:r>
        <w:rPr>
          <w:rFonts w:eastAsia="Calibri" w:cs="Times New Roman"/>
          <w:color w:val="auto"/>
          <w:szCs w:val="22"/>
        </w:rPr>
        <w:t xml:space="preserve">2 and </w:t>
      </w:r>
      <w:r w:rsidR="003412D4">
        <w:rPr>
          <w:rFonts w:eastAsia="Calibri" w:cs="Times New Roman"/>
          <w:color w:val="auto"/>
          <w:szCs w:val="22"/>
        </w:rPr>
        <w:t xml:space="preserve">the </w:t>
      </w:r>
      <w:r>
        <w:rPr>
          <w:rFonts w:eastAsia="Calibri" w:cs="Times New Roman"/>
          <w:color w:val="auto"/>
          <w:szCs w:val="22"/>
        </w:rPr>
        <w:t>State Report para.</w:t>
      </w:r>
      <w:r w:rsidR="00B77438">
        <w:rPr>
          <w:rFonts w:eastAsia="Calibri" w:cs="Times New Roman"/>
          <w:color w:val="auto"/>
          <w:szCs w:val="22"/>
        </w:rPr>
        <w:t xml:space="preserve"> </w:t>
      </w:r>
      <w:r>
        <w:rPr>
          <w:rFonts w:eastAsia="Calibri" w:cs="Times New Roman"/>
          <w:color w:val="auto"/>
          <w:szCs w:val="22"/>
        </w:rPr>
        <w:t>7.</w:t>
      </w:r>
    </w:p>
    <w:p w14:paraId="67F78949" w14:textId="053AB9D1" w:rsidR="00C25926" w:rsidRDefault="00C25926" w:rsidP="00C25926">
      <w:pPr>
        <w:spacing w:after="160" w:line="259" w:lineRule="auto"/>
        <w:jc w:val="left"/>
        <w:rPr>
          <w:rFonts w:eastAsia="Calibri" w:cs="Times New Roman"/>
          <w:color w:val="auto"/>
          <w:szCs w:val="22"/>
        </w:rPr>
      </w:pPr>
      <w:r>
        <w:rPr>
          <w:rFonts w:eastAsia="Calibri" w:cs="Times New Roman"/>
          <w:color w:val="auto"/>
          <w:szCs w:val="22"/>
        </w:rPr>
        <w:t>In Norway</w:t>
      </w:r>
      <w:r w:rsidR="00B77438">
        <w:rPr>
          <w:rFonts w:eastAsia="Calibri" w:cs="Times New Roman"/>
          <w:color w:val="auto"/>
          <w:szCs w:val="22"/>
        </w:rPr>
        <w:t>,</w:t>
      </w:r>
      <w:r>
        <w:rPr>
          <w:rFonts w:eastAsia="Calibri" w:cs="Times New Roman"/>
          <w:color w:val="auto"/>
          <w:szCs w:val="22"/>
        </w:rPr>
        <w:t xml:space="preserve"> the primary responsibility for reporting and follow-up of core human rights treaties rests with four different ministries. Implementation of recommendations is undertaken as part of the daily work and political priorities of each respective ministry. </w:t>
      </w:r>
    </w:p>
    <w:p w14:paraId="1E5A9C8C" w14:textId="62ADDBC3" w:rsidR="00C25926" w:rsidRDefault="00C25926" w:rsidP="00C25926">
      <w:pPr>
        <w:spacing w:after="160" w:line="259" w:lineRule="auto"/>
        <w:jc w:val="left"/>
        <w:rPr>
          <w:rFonts w:eastAsia="Calibri" w:cs="Times New Roman"/>
          <w:color w:val="auto"/>
          <w:szCs w:val="22"/>
        </w:rPr>
      </w:pPr>
      <w:r w:rsidRPr="00001FD9">
        <w:rPr>
          <w:rFonts w:eastAsia="Calibri" w:cs="Times New Roman"/>
          <w:color w:val="auto"/>
          <w:szCs w:val="22"/>
        </w:rPr>
        <w:t>Norway’s reporting to various monitoring bodies in the period 2017 – 2019 has identified a number of cross-cutting issues</w:t>
      </w:r>
      <w:r>
        <w:rPr>
          <w:rFonts w:eastAsia="Calibri" w:cs="Times New Roman"/>
          <w:color w:val="auto"/>
          <w:szCs w:val="22"/>
        </w:rPr>
        <w:t xml:space="preserve"> raised by various committees</w:t>
      </w:r>
      <w:r w:rsidRPr="00001FD9">
        <w:rPr>
          <w:rFonts w:eastAsia="Calibri" w:cs="Times New Roman"/>
          <w:color w:val="auto"/>
          <w:szCs w:val="22"/>
        </w:rPr>
        <w:t>. To ensure effective implementation</w:t>
      </w:r>
      <w:r>
        <w:rPr>
          <w:rFonts w:eastAsia="Calibri" w:cs="Times New Roman"/>
          <w:color w:val="auto"/>
          <w:szCs w:val="22"/>
        </w:rPr>
        <w:t xml:space="preserve"> of the recommendations</w:t>
      </w:r>
      <w:r w:rsidR="00CF374C">
        <w:rPr>
          <w:rFonts w:eastAsia="Calibri" w:cs="Times New Roman"/>
          <w:color w:val="auto"/>
          <w:szCs w:val="22"/>
        </w:rPr>
        <w:t>,</w:t>
      </w:r>
      <w:r>
        <w:rPr>
          <w:rFonts w:eastAsia="Calibri" w:cs="Times New Roman"/>
          <w:color w:val="auto"/>
          <w:szCs w:val="22"/>
        </w:rPr>
        <w:t xml:space="preserve"> </w:t>
      </w:r>
      <w:proofErr w:type="spellStart"/>
      <w:r>
        <w:rPr>
          <w:rFonts w:eastAsia="Calibri" w:cs="Times New Roman"/>
          <w:color w:val="auto"/>
          <w:szCs w:val="22"/>
        </w:rPr>
        <w:t>NIM</w:t>
      </w:r>
      <w:proofErr w:type="spellEnd"/>
      <w:r>
        <w:rPr>
          <w:rFonts w:eastAsia="Calibri" w:cs="Times New Roman"/>
          <w:color w:val="auto"/>
          <w:szCs w:val="22"/>
        </w:rPr>
        <w:t xml:space="preserve"> </w:t>
      </w:r>
      <w:r w:rsidR="000B4748">
        <w:rPr>
          <w:rFonts w:eastAsia="Calibri" w:cs="Times New Roman"/>
          <w:color w:val="auto"/>
          <w:szCs w:val="22"/>
        </w:rPr>
        <w:t xml:space="preserve">notes </w:t>
      </w:r>
      <w:r>
        <w:rPr>
          <w:rFonts w:eastAsia="Calibri" w:cs="Times New Roman"/>
          <w:color w:val="auto"/>
          <w:szCs w:val="22"/>
        </w:rPr>
        <w:t>the</w:t>
      </w:r>
      <w:r w:rsidRPr="00001FD9">
        <w:rPr>
          <w:rFonts w:eastAsia="Calibri" w:cs="Times New Roman"/>
          <w:color w:val="auto"/>
          <w:szCs w:val="22"/>
        </w:rPr>
        <w:t xml:space="preserve"> need to improve coordinated follow-up among different ministries</w:t>
      </w:r>
      <w:r>
        <w:rPr>
          <w:rFonts w:eastAsia="Calibri" w:cs="Times New Roman"/>
          <w:color w:val="auto"/>
          <w:szCs w:val="22"/>
        </w:rPr>
        <w:t xml:space="preserve"> and </w:t>
      </w:r>
      <w:r w:rsidRPr="00001FD9">
        <w:rPr>
          <w:rFonts w:eastAsia="Calibri" w:cs="Times New Roman"/>
          <w:color w:val="auto"/>
          <w:szCs w:val="22"/>
        </w:rPr>
        <w:t>relevant governmental agencies</w:t>
      </w:r>
      <w:r>
        <w:rPr>
          <w:rFonts w:eastAsia="Calibri" w:cs="Times New Roman"/>
          <w:color w:val="auto"/>
          <w:szCs w:val="22"/>
        </w:rPr>
        <w:t xml:space="preserve">. Improved coordination between state level institutions and municipalities is of </w:t>
      </w:r>
      <w:proofErr w:type="gramStart"/>
      <w:r>
        <w:rPr>
          <w:rFonts w:eastAsia="Calibri" w:cs="Times New Roman"/>
          <w:color w:val="auto"/>
          <w:szCs w:val="22"/>
        </w:rPr>
        <w:t>particular importance</w:t>
      </w:r>
      <w:proofErr w:type="gramEnd"/>
      <w:r>
        <w:rPr>
          <w:rFonts w:eastAsia="Calibri" w:cs="Times New Roman"/>
          <w:color w:val="auto"/>
          <w:szCs w:val="22"/>
        </w:rPr>
        <w:t>.</w:t>
      </w:r>
    </w:p>
    <w:p w14:paraId="0D53A1DD" w14:textId="77777777" w:rsidR="00707F24" w:rsidRPr="00876B3A" w:rsidRDefault="00707F24" w:rsidP="00876B3A">
      <w:pPr>
        <w:ind w:firstLine="360"/>
        <w:rPr>
          <w:b/>
        </w:rPr>
      </w:pPr>
      <w:r w:rsidRPr="00876B3A">
        <w:rPr>
          <w:b/>
        </w:rPr>
        <w:t>Suggested recommendation:</w:t>
      </w:r>
    </w:p>
    <w:p w14:paraId="15347756" w14:textId="1932C5D9" w:rsidR="00C25926" w:rsidRPr="00280505" w:rsidRDefault="00C25926" w:rsidP="00C25926">
      <w:pPr>
        <w:pStyle w:val="Listeavsnitt"/>
        <w:numPr>
          <w:ilvl w:val="0"/>
          <w:numId w:val="31"/>
        </w:numPr>
        <w:spacing w:after="160" w:line="259" w:lineRule="auto"/>
        <w:jc w:val="left"/>
        <w:rPr>
          <w:rFonts w:eastAsia="Calibri" w:cs="Times New Roman"/>
          <w:color w:val="auto"/>
          <w:szCs w:val="22"/>
        </w:rPr>
      </w:pPr>
      <w:r>
        <w:rPr>
          <w:rFonts w:eastAsia="Calibri" w:cs="Times New Roman"/>
          <w:color w:val="auto"/>
          <w:szCs w:val="22"/>
        </w:rPr>
        <w:t xml:space="preserve">The State Party should strengthen coordinated follow-up of recommendations from international </w:t>
      </w:r>
      <w:r w:rsidRPr="00280505">
        <w:rPr>
          <w:rFonts w:eastAsia="Calibri" w:cs="Times New Roman"/>
          <w:color w:val="auto"/>
          <w:szCs w:val="22"/>
        </w:rPr>
        <w:t>treaty bodies</w:t>
      </w:r>
      <w:r w:rsidR="00202EA9">
        <w:rPr>
          <w:rFonts w:eastAsia="Calibri" w:cs="Times New Roman"/>
          <w:color w:val="auto"/>
          <w:szCs w:val="22"/>
        </w:rPr>
        <w:t>.</w:t>
      </w:r>
    </w:p>
    <w:p w14:paraId="6B3D0C15" w14:textId="30399E96" w:rsidR="00C25926" w:rsidRPr="001B5D30" w:rsidRDefault="00C25926" w:rsidP="00C25926">
      <w:pPr>
        <w:pStyle w:val="Overskrift1"/>
        <w:rPr>
          <w:color w:val="auto"/>
        </w:rPr>
      </w:pPr>
      <w:bookmarkStart w:id="3" w:name="_Toc29897648"/>
      <w:r w:rsidRPr="001B5D30">
        <w:rPr>
          <w:color w:val="auto"/>
        </w:rPr>
        <w:lastRenderedPageBreak/>
        <w:t>Discrimination of ethnic minorities in housing and labour market</w:t>
      </w:r>
      <w:bookmarkEnd w:id="3"/>
    </w:p>
    <w:p w14:paraId="20056DC1" w14:textId="3F39F948" w:rsidR="00C25926" w:rsidRPr="00986E75" w:rsidRDefault="00C25926" w:rsidP="00C25926">
      <w:pPr>
        <w:spacing w:line="259" w:lineRule="auto"/>
        <w:contextualSpacing/>
        <w:jc w:val="left"/>
        <w:rPr>
          <w:rFonts w:eastAsia="Calibri" w:cs="Times New Roman"/>
          <w:color w:val="auto"/>
          <w:szCs w:val="22"/>
        </w:rPr>
      </w:pPr>
      <w:r w:rsidRPr="0011644C">
        <w:rPr>
          <w:rFonts w:eastAsia="Calibri" w:cs="Times New Roman"/>
          <w:color w:val="auto"/>
          <w:szCs w:val="22"/>
        </w:rPr>
        <w:t xml:space="preserve">Reference is made to </w:t>
      </w:r>
      <w:proofErr w:type="spellStart"/>
      <w:r w:rsidRPr="0011644C">
        <w:rPr>
          <w:rFonts w:eastAsia="Calibri" w:cs="Times New Roman"/>
          <w:color w:val="auto"/>
          <w:szCs w:val="22"/>
        </w:rPr>
        <w:t>L</w:t>
      </w:r>
      <w:r>
        <w:rPr>
          <w:rFonts w:eastAsia="Calibri" w:cs="Times New Roman"/>
          <w:color w:val="auto"/>
          <w:szCs w:val="22"/>
        </w:rPr>
        <w:t>OIPR</w:t>
      </w:r>
      <w:proofErr w:type="spellEnd"/>
      <w:r>
        <w:rPr>
          <w:rFonts w:eastAsia="Calibri" w:cs="Times New Roman"/>
          <w:color w:val="auto"/>
          <w:szCs w:val="22"/>
        </w:rPr>
        <w:t xml:space="preserve"> para.</w:t>
      </w:r>
      <w:r w:rsidR="00202EA9">
        <w:rPr>
          <w:rFonts w:eastAsia="Calibri" w:cs="Times New Roman"/>
          <w:color w:val="auto"/>
          <w:szCs w:val="22"/>
        </w:rPr>
        <w:t xml:space="preserve"> </w:t>
      </w:r>
      <w:r>
        <w:rPr>
          <w:rFonts w:eastAsia="Calibri" w:cs="Times New Roman"/>
          <w:color w:val="auto"/>
          <w:szCs w:val="22"/>
        </w:rPr>
        <w:t xml:space="preserve">3 and </w:t>
      </w:r>
      <w:r w:rsidR="00E07D7A">
        <w:rPr>
          <w:rFonts w:eastAsia="Calibri" w:cs="Times New Roman"/>
          <w:color w:val="auto"/>
          <w:szCs w:val="22"/>
        </w:rPr>
        <w:t xml:space="preserve">the </w:t>
      </w:r>
      <w:r>
        <w:rPr>
          <w:rFonts w:eastAsia="Calibri" w:cs="Times New Roman"/>
          <w:color w:val="auto"/>
          <w:szCs w:val="22"/>
        </w:rPr>
        <w:t>State Report para.</w:t>
      </w:r>
      <w:r w:rsidR="00202EA9">
        <w:rPr>
          <w:rFonts w:eastAsia="Calibri" w:cs="Times New Roman"/>
          <w:color w:val="auto"/>
          <w:szCs w:val="22"/>
        </w:rPr>
        <w:t xml:space="preserve"> </w:t>
      </w:r>
      <w:r>
        <w:rPr>
          <w:rFonts w:eastAsia="Calibri" w:cs="Times New Roman"/>
          <w:color w:val="auto"/>
          <w:szCs w:val="22"/>
        </w:rPr>
        <w:t xml:space="preserve">8-9. </w:t>
      </w:r>
    </w:p>
    <w:p w14:paraId="0B503CCA" w14:textId="77777777" w:rsidR="00C25926" w:rsidRPr="00986E75" w:rsidRDefault="00C25926" w:rsidP="00C25926">
      <w:pPr>
        <w:spacing w:line="259" w:lineRule="auto"/>
        <w:contextualSpacing/>
        <w:jc w:val="left"/>
        <w:rPr>
          <w:rFonts w:eastAsia="Calibri" w:cs="Times New Roman"/>
          <w:color w:val="auto"/>
          <w:szCs w:val="22"/>
        </w:rPr>
      </w:pPr>
    </w:p>
    <w:p w14:paraId="2038C34A" w14:textId="0E1C4382" w:rsidR="00C25926" w:rsidRPr="00046A23" w:rsidRDefault="00C25926" w:rsidP="00C25926">
      <w:pPr>
        <w:spacing w:after="160" w:line="259" w:lineRule="auto"/>
        <w:jc w:val="left"/>
        <w:rPr>
          <w:rFonts w:eastAsia="Calibri" w:cs="Times New Roman"/>
          <w:color w:val="auto"/>
          <w:szCs w:val="22"/>
        </w:rPr>
      </w:pPr>
      <w:r w:rsidRPr="00046A23">
        <w:rPr>
          <w:rFonts w:eastAsia="Calibri" w:cs="Times New Roman"/>
          <w:color w:val="auto"/>
          <w:szCs w:val="22"/>
        </w:rPr>
        <w:t>In 2015, The Directorate for Children, Youth and Family Affairs (responsible for work on equality and non-discrimination of ethnic minorities) initiated research on discrimination against Sami, national minorities and immigrants in Norway.</w:t>
      </w:r>
      <w:r w:rsidRPr="00046A23">
        <w:rPr>
          <w:rFonts w:eastAsia="Calibri" w:cs="Times New Roman"/>
          <w:color w:val="auto"/>
          <w:szCs w:val="22"/>
          <w:vertAlign w:val="superscript"/>
        </w:rPr>
        <w:t xml:space="preserve"> </w:t>
      </w:r>
      <w:r w:rsidRPr="00046A23">
        <w:rPr>
          <w:rFonts w:eastAsia="Calibri" w:cs="Times New Roman"/>
          <w:color w:val="auto"/>
          <w:szCs w:val="22"/>
          <w:vertAlign w:val="superscript"/>
        </w:rPr>
        <w:footnoteReference w:id="3"/>
      </w:r>
      <w:r w:rsidRPr="00046A23">
        <w:rPr>
          <w:rFonts w:eastAsia="Calibri" w:cs="Times New Roman"/>
          <w:color w:val="auto"/>
          <w:szCs w:val="22"/>
        </w:rPr>
        <w:t xml:space="preserve"> The report shows discrimination in </w:t>
      </w:r>
      <w:r>
        <w:rPr>
          <w:rFonts w:eastAsia="Calibri" w:cs="Times New Roman"/>
          <w:color w:val="auto"/>
          <w:szCs w:val="22"/>
        </w:rPr>
        <w:t>many</w:t>
      </w:r>
      <w:r w:rsidRPr="00046A23">
        <w:rPr>
          <w:rFonts w:eastAsia="Calibri" w:cs="Times New Roman"/>
          <w:color w:val="auto"/>
          <w:szCs w:val="22"/>
        </w:rPr>
        <w:t xml:space="preserve"> areas of society.</w:t>
      </w:r>
    </w:p>
    <w:p w14:paraId="3CA8A04F" w14:textId="410DA2A6" w:rsidR="00C25926" w:rsidRPr="00046A23" w:rsidRDefault="00C25926" w:rsidP="00C25926">
      <w:pPr>
        <w:spacing w:after="160" w:line="259" w:lineRule="auto"/>
        <w:jc w:val="left"/>
        <w:rPr>
          <w:rFonts w:eastAsia="Calibri" w:cs="Times New Roman"/>
          <w:color w:val="auto"/>
          <w:szCs w:val="22"/>
        </w:rPr>
      </w:pPr>
      <w:r w:rsidRPr="00046A23">
        <w:rPr>
          <w:rFonts w:eastAsia="Calibri" w:cs="Times New Roman"/>
          <w:color w:val="auto"/>
          <w:szCs w:val="22"/>
        </w:rPr>
        <w:t>This study confirms an earlier survey on housing conducted in 2011 showing the existence of discriminatory practices in the rental market which give unequal access to housing for individuals with immigrant background. This information is also supported by individual complaints that have been filed with the Equality and Anti-Discrimination Ombuds</w:t>
      </w:r>
      <w:r w:rsidR="001935C7">
        <w:rPr>
          <w:rFonts w:eastAsia="Calibri" w:cs="Times New Roman"/>
          <w:color w:val="auto"/>
          <w:szCs w:val="22"/>
        </w:rPr>
        <w:t>person</w:t>
      </w:r>
      <w:r w:rsidRPr="00046A23">
        <w:rPr>
          <w:rFonts w:eastAsia="Calibri" w:cs="Times New Roman"/>
          <w:color w:val="auto"/>
          <w:szCs w:val="22"/>
        </w:rPr>
        <w:t xml:space="preserve"> up until 2018. The report from 2016, “Living Standards Among Immigrant Population</w:t>
      </w:r>
      <w:r>
        <w:rPr>
          <w:rFonts w:eastAsia="Calibri" w:cs="Times New Roman"/>
          <w:color w:val="auto"/>
          <w:szCs w:val="22"/>
        </w:rPr>
        <w:t>s</w:t>
      </w:r>
      <w:r w:rsidRPr="00046A23">
        <w:rPr>
          <w:rFonts w:eastAsia="Calibri" w:cs="Times New Roman"/>
          <w:color w:val="auto"/>
          <w:szCs w:val="22"/>
        </w:rPr>
        <w:t>” from Statistics Norway also reveals some of the challenges with access to adequate housing for this group, including standard of dwelling and available space.</w:t>
      </w:r>
      <w:r w:rsidRPr="00046A23">
        <w:rPr>
          <w:rFonts w:eastAsia="Calibri" w:cs="Times New Roman"/>
          <w:color w:val="auto"/>
          <w:szCs w:val="22"/>
          <w:vertAlign w:val="superscript"/>
        </w:rPr>
        <w:footnoteReference w:id="4"/>
      </w:r>
    </w:p>
    <w:p w14:paraId="2C1AD9E8" w14:textId="0B318D33" w:rsidR="00C25926" w:rsidRDefault="00C25926" w:rsidP="00C25926">
      <w:pPr>
        <w:spacing w:after="160" w:line="259" w:lineRule="auto"/>
        <w:jc w:val="left"/>
        <w:rPr>
          <w:rFonts w:eastAsia="Calibri" w:cs="Times New Roman"/>
          <w:color w:val="auto"/>
          <w:szCs w:val="22"/>
        </w:rPr>
      </w:pPr>
      <w:r w:rsidRPr="00046A23">
        <w:rPr>
          <w:rFonts w:eastAsia="Calibri" w:cs="Times New Roman"/>
          <w:color w:val="auto"/>
          <w:szCs w:val="22"/>
        </w:rPr>
        <w:t xml:space="preserve">Since 2014, the Government has implemented a general </w:t>
      </w:r>
      <w:r w:rsidRPr="00674DA8">
        <w:rPr>
          <w:rFonts w:eastAsia="Calibri" w:cs="Times New Roman"/>
          <w:i/>
          <w:color w:val="auto"/>
          <w:szCs w:val="22"/>
        </w:rPr>
        <w:t>Housing for Welfare Strategy</w:t>
      </w:r>
      <w:r w:rsidRPr="00046A23">
        <w:rPr>
          <w:rFonts w:eastAsia="Calibri" w:cs="Times New Roman"/>
          <w:color w:val="auto"/>
          <w:szCs w:val="22"/>
        </w:rPr>
        <w:t xml:space="preserve"> to address the problems of adequate and affordable housing for disadvantaged groups, which include</w:t>
      </w:r>
      <w:r>
        <w:rPr>
          <w:rFonts w:eastAsia="Calibri" w:cs="Times New Roman"/>
          <w:color w:val="auto"/>
          <w:szCs w:val="22"/>
        </w:rPr>
        <w:t>, to a certain extent,</w:t>
      </w:r>
      <w:r w:rsidRPr="00046A23">
        <w:rPr>
          <w:rFonts w:eastAsia="Calibri" w:cs="Times New Roman"/>
          <w:color w:val="auto"/>
          <w:szCs w:val="22"/>
        </w:rPr>
        <w:t xml:space="preserve"> individuals with immigrant background.</w:t>
      </w:r>
      <w:r w:rsidRPr="00046A23">
        <w:rPr>
          <w:rStyle w:val="Fotnotereferanse"/>
          <w:rFonts w:eastAsia="Calibri" w:cs="Times New Roman"/>
          <w:color w:val="auto"/>
          <w:szCs w:val="22"/>
        </w:rPr>
        <w:footnoteReference w:id="5"/>
      </w:r>
      <w:r w:rsidRPr="00046A23">
        <w:rPr>
          <w:rFonts w:eastAsia="Calibri" w:cs="Times New Roman"/>
          <w:color w:val="auto"/>
          <w:szCs w:val="22"/>
        </w:rPr>
        <w:t xml:space="preserve"> Measures that have been developed include direct financial support, municipal guarantee schemes and housing subsides as well as information, counse</w:t>
      </w:r>
      <w:r>
        <w:rPr>
          <w:rFonts w:eastAsia="Calibri" w:cs="Times New Roman"/>
          <w:color w:val="auto"/>
          <w:szCs w:val="22"/>
        </w:rPr>
        <w:t>l</w:t>
      </w:r>
      <w:r w:rsidRPr="00046A23">
        <w:rPr>
          <w:rFonts w:eastAsia="Calibri" w:cs="Times New Roman"/>
          <w:color w:val="auto"/>
          <w:szCs w:val="22"/>
        </w:rPr>
        <w:t xml:space="preserve">ling and capacity development. </w:t>
      </w:r>
    </w:p>
    <w:p w14:paraId="010CA183" w14:textId="7889C1F3" w:rsidR="001F7C84" w:rsidRPr="00046A23" w:rsidRDefault="00292A59" w:rsidP="001F7C84">
      <w:pPr>
        <w:spacing w:after="160" w:line="259" w:lineRule="auto"/>
        <w:jc w:val="left"/>
        <w:rPr>
          <w:rFonts w:eastAsia="Calibri" w:cs="Times New Roman"/>
          <w:color w:val="auto"/>
          <w:szCs w:val="22"/>
        </w:rPr>
      </w:pPr>
      <w:r>
        <w:rPr>
          <w:rFonts w:eastAsia="Calibri" w:cs="Times New Roman"/>
          <w:color w:val="auto"/>
          <w:szCs w:val="22"/>
        </w:rPr>
        <w:t>In</w:t>
      </w:r>
      <w:r w:rsidR="001F7C84">
        <w:rPr>
          <w:rFonts w:eastAsia="Calibri" w:cs="Times New Roman"/>
          <w:color w:val="auto"/>
          <w:szCs w:val="22"/>
        </w:rPr>
        <w:t xml:space="preserve"> December </w:t>
      </w:r>
      <w:r>
        <w:rPr>
          <w:rFonts w:eastAsia="Calibri" w:cs="Times New Roman"/>
          <w:color w:val="auto"/>
          <w:szCs w:val="22"/>
        </w:rPr>
        <w:t xml:space="preserve">2019 </w:t>
      </w:r>
      <w:r w:rsidR="001F7C84">
        <w:rPr>
          <w:rFonts w:eastAsia="Calibri" w:cs="Times New Roman"/>
          <w:color w:val="auto"/>
          <w:szCs w:val="22"/>
        </w:rPr>
        <w:t xml:space="preserve">the Government presented </w:t>
      </w:r>
      <w:r>
        <w:rPr>
          <w:rFonts w:eastAsia="Calibri" w:cs="Times New Roman"/>
          <w:color w:val="auto"/>
          <w:szCs w:val="22"/>
        </w:rPr>
        <w:t>its</w:t>
      </w:r>
      <w:r w:rsidR="001F7C84">
        <w:rPr>
          <w:rFonts w:eastAsia="Calibri" w:cs="Times New Roman"/>
          <w:color w:val="auto"/>
          <w:szCs w:val="22"/>
        </w:rPr>
        <w:t xml:space="preserve"> </w:t>
      </w:r>
      <w:r>
        <w:rPr>
          <w:rFonts w:eastAsia="Calibri" w:cs="Times New Roman"/>
          <w:color w:val="auto"/>
          <w:szCs w:val="22"/>
        </w:rPr>
        <w:t>A</w:t>
      </w:r>
      <w:r w:rsidR="001F7C84">
        <w:rPr>
          <w:rFonts w:eastAsia="Calibri" w:cs="Times New Roman"/>
          <w:color w:val="auto"/>
          <w:szCs w:val="22"/>
        </w:rPr>
        <w:t xml:space="preserve">ction plan against racism and discrimination on the basis of ethnicity and religion </w:t>
      </w:r>
      <w:r>
        <w:rPr>
          <w:rFonts w:eastAsia="Calibri" w:cs="Times New Roman"/>
          <w:color w:val="auto"/>
          <w:szCs w:val="22"/>
        </w:rPr>
        <w:t>2020-2023.</w:t>
      </w:r>
      <w:r>
        <w:rPr>
          <w:rStyle w:val="Fotnotereferanse"/>
          <w:rFonts w:eastAsia="Calibri" w:cs="Times New Roman"/>
          <w:color w:val="auto"/>
          <w:szCs w:val="22"/>
        </w:rPr>
        <w:footnoteReference w:id="6"/>
      </w:r>
      <w:r>
        <w:rPr>
          <w:rFonts w:eastAsia="Calibri" w:cs="Times New Roman"/>
          <w:color w:val="auto"/>
          <w:szCs w:val="22"/>
        </w:rPr>
        <w:t xml:space="preserve"> The plan reiterates that discrimination may make it difficult for those with immigrant backgrounds to access the housing market and recognizes the need for further research to identify appropriate measures.</w:t>
      </w:r>
      <w:r w:rsidR="001F7C84">
        <w:rPr>
          <w:rFonts w:eastAsia="Calibri" w:cs="Times New Roman"/>
          <w:color w:val="auto"/>
          <w:szCs w:val="22"/>
        </w:rPr>
        <w:t xml:space="preserve"> </w:t>
      </w:r>
    </w:p>
    <w:p w14:paraId="1D265FA4" w14:textId="7F32F31A" w:rsidR="00C25926" w:rsidRPr="00046A23" w:rsidRDefault="00C25926" w:rsidP="00C25926">
      <w:pPr>
        <w:spacing w:after="160" w:line="259" w:lineRule="auto"/>
        <w:jc w:val="left"/>
        <w:rPr>
          <w:rFonts w:eastAsia="Calibri" w:cs="Times New Roman"/>
          <w:color w:val="auto"/>
          <w:szCs w:val="22"/>
        </w:rPr>
      </w:pPr>
      <w:r w:rsidRPr="00046A23">
        <w:rPr>
          <w:rFonts w:eastAsia="Calibri" w:cs="Times New Roman"/>
          <w:color w:val="auto"/>
          <w:szCs w:val="22"/>
        </w:rPr>
        <w:t xml:space="preserve">Discrimination in the labour market is a well-documented </w:t>
      </w:r>
      <w:r w:rsidR="00396B66">
        <w:rPr>
          <w:rFonts w:eastAsia="Calibri" w:cs="Times New Roman"/>
          <w:color w:val="auto"/>
          <w:szCs w:val="22"/>
        </w:rPr>
        <w:t>problem</w:t>
      </w:r>
      <w:r w:rsidR="00A53156">
        <w:rPr>
          <w:rFonts w:eastAsia="Calibri" w:cs="Times New Roman"/>
          <w:color w:val="auto"/>
          <w:szCs w:val="22"/>
        </w:rPr>
        <w:t>,</w:t>
      </w:r>
      <w:r w:rsidR="00396B66">
        <w:rPr>
          <w:rFonts w:eastAsia="Calibri" w:cs="Times New Roman"/>
          <w:color w:val="auto"/>
          <w:szCs w:val="22"/>
        </w:rPr>
        <w:t xml:space="preserve"> </w:t>
      </w:r>
      <w:r>
        <w:rPr>
          <w:rFonts w:eastAsia="Calibri" w:cs="Times New Roman"/>
          <w:color w:val="auto"/>
          <w:szCs w:val="22"/>
        </w:rPr>
        <w:t xml:space="preserve">as highlighted in the State </w:t>
      </w:r>
      <w:r w:rsidR="00A53156">
        <w:rPr>
          <w:rFonts w:eastAsia="Calibri" w:cs="Times New Roman"/>
          <w:color w:val="auto"/>
          <w:szCs w:val="22"/>
        </w:rPr>
        <w:t>R</w:t>
      </w:r>
      <w:r w:rsidRPr="00046A23">
        <w:rPr>
          <w:rFonts w:eastAsia="Calibri" w:cs="Times New Roman"/>
          <w:color w:val="auto"/>
          <w:szCs w:val="22"/>
        </w:rPr>
        <w:t xml:space="preserve">eport. A study from 2012 indicates that the likelihood of being invited to a job </w:t>
      </w:r>
      <w:r w:rsidRPr="00046A23">
        <w:rPr>
          <w:rFonts w:eastAsia="Calibri" w:cs="Times New Roman"/>
          <w:color w:val="auto"/>
          <w:szCs w:val="22"/>
        </w:rPr>
        <w:lastRenderedPageBreak/>
        <w:t>interview is 25% lower for individuals with a foreign name.</w:t>
      </w:r>
      <w:r w:rsidRPr="00046A23">
        <w:rPr>
          <w:rFonts w:eastAsia="Calibri" w:cs="Times New Roman"/>
          <w:color w:val="auto"/>
          <w:szCs w:val="22"/>
          <w:vertAlign w:val="superscript"/>
        </w:rPr>
        <w:footnoteReference w:id="7"/>
      </w:r>
      <w:r w:rsidRPr="00046A23">
        <w:rPr>
          <w:rFonts w:eastAsia="Calibri" w:cs="Times New Roman"/>
          <w:color w:val="auto"/>
          <w:szCs w:val="22"/>
        </w:rPr>
        <w:t xml:space="preserve"> According to Statistics Norway, the general unemployment rate is </w:t>
      </w:r>
      <w:r>
        <w:rPr>
          <w:rFonts w:eastAsia="Calibri" w:cs="Times New Roman"/>
          <w:color w:val="auto"/>
          <w:szCs w:val="22"/>
        </w:rPr>
        <w:t>3</w:t>
      </w:r>
      <w:r w:rsidRPr="00046A23">
        <w:rPr>
          <w:rFonts w:eastAsia="Calibri" w:cs="Times New Roman"/>
          <w:color w:val="auto"/>
          <w:szCs w:val="22"/>
        </w:rPr>
        <w:t>.</w:t>
      </w:r>
      <w:r>
        <w:rPr>
          <w:rFonts w:eastAsia="Calibri" w:cs="Times New Roman"/>
          <w:color w:val="auto"/>
          <w:szCs w:val="22"/>
        </w:rPr>
        <w:t>8</w:t>
      </w:r>
      <w:r w:rsidRPr="00046A23">
        <w:rPr>
          <w:rFonts w:eastAsia="Calibri" w:cs="Times New Roman"/>
          <w:color w:val="auto"/>
          <w:szCs w:val="22"/>
        </w:rPr>
        <w:t xml:space="preserve">%, whereas unemployment among persons with immigrant background is up to </w:t>
      </w:r>
      <w:r>
        <w:rPr>
          <w:rFonts w:eastAsia="Calibri" w:cs="Times New Roman"/>
          <w:color w:val="auto"/>
          <w:szCs w:val="22"/>
        </w:rPr>
        <w:t>8</w:t>
      </w:r>
      <w:r w:rsidRPr="00046A23">
        <w:rPr>
          <w:rFonts w:eastAsia="Calibri" w:cs="Times New Roman"/>
          <w:color w:val="auto"/>
          <w:szCs w:val="22"/>
        </w:rPr>
        <w:t>.</w:t>
      </w:r>
      <w:r>
        <w:rPr>
          <w:rFonts w:eastAsia="Calibri" w:cs="Times New Roman"/>
          <w:color w:val="auto"/>
          <w:szCs w:val="22"/>
        </w:rPr>
        <w:t>5</w:t>
      </w:r>
      <w:r w:rsidRPr="00046A23">
        <w:rPr>
          <w:rFonts w:eastAsia="Calibri" w:cs="Times New Roman"/>
          <w:color w:val="auto"/>
          <w:szCs w:val="22"/>
        </w:rPr>
        <w:t>%.</w:t>
      </w:r>
      <w:r w:rsidRPr="00046A23">
        <w:rPr>
          <w:rFonts w:eastAsia="Calibri" w:cs="Times New Roman"/>
          <w:color w:val="auto"/>
          <w:szCs w:val="22"/>
          <w:vertAlign w:val="superscript"/>
        </w:rPr>
        <w:footnoteReference w:id="8"/>
      </w:r>
      <w:r w:rsidRPr="00046A23">
        <w:rPr>
          <w:rFonts w:eastAsia="Calibri" w:cs="Times New Roman"/>
          <w:color w:val="auto"/>
          <w:szCs w:val="22"/>
        </w:rPr>
        <w:t xml:space="preserve"> </w:t>
      </w:r>
    </w:p>
    <w:p w14:paraId="642FDF8E" w14:textId="6BBB524A" w:rsidR="00C25926" w:rsidRDefault="00C25926" w:rsidP="00C25926">
      <w:pPr>
        <w:spacing w:after="160" w:line="259" w:lineRule="auto"/>
        <w:jc w:val="left"/>
        <w:rPr>
          <w:rFonts w:eastAsia="Calibri" w:cs="Times New Roman"/>
          <w:color w:val="auto"/>
          <w:szCs w:val="22"/>
        </w:rPr>
      </w:pPr>
      <w:r w:rsidRPr="00046A23">
        <w:rPr>
          <w:rFonts w:eastAsia="Calibri" w:cs="Times New Roman"/>
          <w:color w:val="auto"/>
          <w:szCs w:val="22"/>
        </w:rPr>
        <w:t xml:space="preserve">A recent study found </w:t>
      </w:r>
      <w:r>
        <w:rPr>
          <w:rFonts w:eastAsia="Calibri" w:cs="Times New Roman"/>
          <w:color w:val="auto"/>
          <w:szCs w:val="22"/>
        </w:rPr>
        <w:t xml:space="preserve">that </w:t>
      </w:r>
      <w:r w:rsidRPr="00046A23">
        <w:rPr>
          <w:rFonts w:eastAsia="Calibri" w:cs="Times New Roman"/>
          <w:color w:val="auto"/>
          <w:szCs w:val="22"/>
        </w:rPr>
        <w:t xml:space="preserve">members of this group </w:t>
      </w:r>
      <w:r>
        <w:rPr>
          <w:rFonts w:eastAsia="Calibri" w:cs="Times New Roman"/>
          <w:color w:val="auto"/>
          <w:szCs w:val="22"/>
        </w:rPr>
        <w:t>were disadvantaged,</w:t>
      </w:r>
      <w:r w:rsidRPr="00046A23">
        <w:rPr>
          <w:rFonts w:eastAsia="Calibri" w:cs="Times New Roman"/>
          <w:color w:val="auto"/>
          <w:szCs w:val="22"/>
        </w:rPr>
        <w:t xml:space="preserve"> both </w:t>
      </w:r>
      <w:r>
        <w:rPr>
          <w:rFonts w:eastAsia="Calibri" w:cs="Times New Roman"/>
          <w:color w:val="auto"/>
          <w:szCs w:val="22"/>
        </w:rPr>
        <w:t>with regard to</w:t>
      </w:r>
      <w:r w:rsidRPr="00046A23">
        <w:rPr>
          <w:rFonts w:eastAsia="Calibri" w:cs="Times New Roman"/>
          <w:color w:val="auto"/>
          <w:szCs w:val="22"/>
        </w:rPr>
        <w:t xml:space="preserve"> salary levels and types of employment</w:t>
      </w:r>
      <w:r>
        <w:rPr>
          <w:rFonts w:eastAsia="Calibri" w:cs="Times New Roman"/>
          <w:color w:val="auto"/>
          <w:szCs w:val="22"/>
        </w:rPr>
        <w:t>.</w:t>
      </w:r>
      <w:r w:rsidRPr="00046A23">
        <w:rPr>
          <w:rFonts w:eastAsia="Calibri" w:cs="Times New Roman"/>
          <w:color w:val="auto"/>
          <w:szCs w:val="22"/>
          <w:vertAlign w:val="superscript"/>
        </w:rPr>
        <w:footnoteReference w:id="9"/>
      </w:r>
      <w:r w:rsidRPr="00046A23">
        <w:rPr>
          <w:rFonts w:eastAsia="Calibri" w:cs="Times New Roman"/>
          <w:color w:val="auto"/>
          <w:szCs w:val="22"/>
        </w:rPr>
        <w:t xml:space="preserve"> Pe</w:t>
      </w:r>
      <w:r>
        <w:rPr>
          <w:rFonts w:eastAsia="Calibri" w:cs="Times New Roman"/>
          <w:color w:val="auto"/>
          <w:szCs w:val="22"/>
        </w:rPr>
        <w:t>rsons with immigrant background</w:t>
      </w:r>
      <w:r w:rsidRPr="00046A23">
        <w:rPr>
          <w:rFonts w:eastAsia="Calibri" w:cs="Times New Roman"/>
          <w:color w:val="auto"/>
          <w:szCs w:val="22"/>
        </w:rPr>
        <w:t xml:space="preserve"> receive on average 86% of the </w:t>
      </w:r>
      <w:r>
        <w:rPr>
          <w:rFonts w:eastAsia="Calibri" w:cs="Times New Roman"/>
          <w:color w:val="auto"/>
          <w:szCs w:val="22"/>
        </w:rPr>
        <w:t>average salary</w:t>
      </w:r>
      <w:r w:rsidRPr="00046A23">
        <w:rPr>
          <w:rFonts w:eastAsia="Calibri" w:cs="Times New Roman"/>
          <w:color w:val="auto"/>
          <w:szCs w:val="22"/>
        </w:rPr>
        <w:t xml:space="preserve"> of the general population. These differences also vary between different immigrant groups. Persons from Western-Europe normally have access to higher paid jobs and receive higher salaries, whereas persons from the African region have the lowest paid jobs. There are of course many factors that determine these inequalities, including educational background and skills,</w:t>
      </w:r>
      <w:r>
        <w:rPr>
          <w:rStyle w:val="Fotnotereferanse"/>
          <w:rFonts w:eastAsia="Calibri" w:cs="Times New Roman"/>
          <w:color w:val="auto"/>
          <w:szCs w:val="22"/>
        </w:rPr>
        <w:footnoteReference w:id="10"/>
      </w:r>
      <w:r w:rsidRPr="00046A23">
        <w:rPr>
          <w:rFonts w:eastAsia="Calibri" w:cs="Times New Roman"/>
          <w:color w:val="auto"/>
          <w:szCs w:val="22"/>
        </w:rPr>
        <w:t xml:space="preserve"> but such obstacles should be further studied and addressed </w:t>
      </w:r>
      <w:r w:rsidR="00B53E3A">
        <w:rPr>
          <w:rFonts w:eastAsia="Calibri" w:cs="Times New Roman"/>
          <w:color w:val="auto"/>
          <w:szCs w:val="22"/>
        </w:rPr>
        <w:t xml:space="preserve">with a view </w:t>
      </w:r>
      <w:r w:rsidRPr="00046A23">
        <w:rPr>
          <w:rFonts w:eastAsia="Calibri" w:cs="Times New Roman"/>
          <w:color w:val="auto"/>
          <w:szCs w:val="22"/>
        </w:rPr>
        <w:t>to mi</w:t>
      </w:r>
      <w:r>
        <w:rPr>
          <w:rFonts w:eastAsia="Calibri" w:cs="Times New Roman"/>
          <w:color w:val="auto"/>
          <w:szCs w:val="22"/>
        </w:rPr>
        <w:t>tigate negative consequences</w:t>
      </w:r>
      <w:r w:rsidRPr="00046A23">
        <w:rPr>
          <w:rFonts w:eastAsia="Calibri" w:cs="Times New Roman"/>
          <w:color w:val="auto"/>
          <w:szCs w:val="22"/>
        </w:rPr>
        <w:t xml:space="preserve">. </w:t>
      </w:r>
    </w:p>
    <w:p w14:paraId="3FBC4798" w14:textId="1482F112" w:rsidR="001F7C84" w:rsidRPr="001F7C84" w:rsidRDefault="001F7C84" w:rsidP="001F7C84">
      <w:pPr>
        <w:spacing w:after="160" w:line="259" w:lineRule="auto"/>
        <w:jc w:val="left"/>
        <w:rPr>
          <w:b/>
          <w:color w:val="auto"/>
        </w:rPr>
      </w:pPr>
      <w:r w:rsidRPr="008B02ED">
        <w:rPr>
          <w:rFonts w:eastAsia="Calibri" w:cs="Times New Roman"/>
          <w:color w:val="auto"/>
          <w:szCs w:val="22"/>
        </w:rPr>
        <w:t>The Government is preparing amendments to the Citizenship Act. New conditions for citizenship entail that persons will have to pass an oral test in Norwegian on a higher level than the current requirement (B1 instead of A2). The Equality and Anti-Discrimination Ombud</w:t>
      </w:r>
      <w:r w:rsidR="001935C7">
        <w:rPr>
          <w:rFonts w:eastAsia="Calibri" w:cs="Times New Roman"/>
          <w:color w:val="auto"/>
          <w:szCs w:val="22"/>
        </w:rPr>
        <w:t>sperson</w:t>
      </w:r>
      <w:r w:rsidRPr="008B02ED">
        <w:rPr>
          <w:rFonts w:eastAsia="Calibri" w:cs="Times New Roman"/>
          <w:color w:val="auto"/>
          <w:szCs w:val="22"/>
        </w:rPr>
        <w:t xml:space="preserve"> is concerned that the new requirement can have negative consequences for certain groups, </w:t>
      </w:r>
      <w:r w:rsidR="008337F4" w:rsidRPr="008B02ED">
        <w:rPr>
          <w:rFonts w:eastAsia="Calibri" w:cs="Times New Roman"/>
          <w:color w:val="auto"/>
          <w:szCs w:val="22"/>
        </w:rPr>
        <w:t xml:space="preserve">including persons </w:t>
      </w:r>
      <w:r w:rsidRPr="008B02ED">
        <w:rPr>
          <w:rFonts w:eastAsia="Calibri" w:cs="Times New Roman"/>
          <w:color w:val="auto"/>
          <w:szCs w:val="22"/>
        </w:rPr>
        <w:t>with low or no education and women responsib</w:t>
      </w:r>
      <w:r w:rsidR="008337F4" w:rsidRPr="008B02ED">
        <w:rPr>
          <w:rFonts w:eastAsia="Calibri" w:cs="Times New Roman"/>
          <w:color w:val="auto"/>
          <w:szCs w:val="22"/>
        </w:rPr>
        <w:t xml:space="preserve">le </w:t>
      </w:r>
      <w:r w:rsidRPr="008B02ED">
        <w:rPr>
          <w:rFonts w:eastAsia="Calibri" w:cs="Times New Roman"/>
          <w:color w:val="auto"/>
          <w:szCs w:val="22"/>
        </w:rPr>
        <w:t xml:space="preserve">for younger children. </w:t>
      </w:r>
      <w:r w:rsidR="008337F4" w:rsidRPr="008B02ED">
        <w:rPr>
          <w:rFonts w:eastAsia="Calibri" w:cs="Times New Roman"/>
          <w:color w:val="auto"/>
          <w:szCs w:val="22"/>
        </w:rPr>
        <w:t>The Government should ensure that the new forthcoming amendments do not adversely affect vulnerable groups.</w:t>
      </w:r>
      <w:r w:rsidRPr="001F7C84">
        <w:rPr>
          <w:rFonts w:eastAsia="Calibri" w:cs="Times New Roman"/>
          <w:color w:val="auto"/>
          <w:szCs w:val="22"/>
        </w:rPr>
        <w:t xml:space="preserve"> </w:t>
      </w:r>
    </w:p>
    <w:p w14:paraId="1BA047A5" w14:textId="77777777" w:rsidR="00C25926" w:rsidRPr="00876B3A" w:rsidRDefault="00C25926" w:rsidP="00876B3A">
      <w:pPr>
        <w:spacing w:after="160" w:line="259" w:lineRule="auto"/>
        <w:ind w:firstLine="360"/>
        <w:jc w:val="left"/>
        <w:rPr>
          <w:b/>
          <w:color w:val="auto"/>
        </w:rPr>
      </w:pPr>
      <w:r w:rsidRPr="00876B3A">
        <w:rPr>
          <w:b/>
          <w:color w:val="auto"/>
        </w:rPr>
        <w:t>Suggested recommendations:</w:t>
      </w:r>
    </w:p>
    <w:p w14:paraId="6EE93E7C" w14:textId="77777777" w:rsidR="00C25926" w:rsidRPr="00046A23" w:rsidRDefault="00C25926" w:rsidP="00C25926">
      <w:pPr>
        <w:pStyle w:val="Listeavsnitt"/>
        <w:numPr>
          <w:ilvl w:val="0"/>
          <w:numId w:val="21"/>
        </w:numPr>
        <w:spacing w:after="160" w:line="259" w:lineRule="auto"/>
        <w:jc w:val="left"/>
        <w:rPr>
          <w:color w:val="auto"/>
        </w:rPr>
      </w:pPr>
      <w:r>
        <w:rPr>
          <w:color w:val="auto"/>
        </w:rPr>
        <w:t>The State P</w:t>
      </w:r>
      <w:r w:rsidRPr="00046A23">
        <w:rPr>
          <w:color w:val="auto"/>
        </w:rPr>
        <w:t xml:space="preserve">arty should evaluate the effectiveness of its housing strategy </w:t>
      </w:r>
      <w:r>
        <w:rPr>
          <w:color w:val="auto"/>
        </w:rPr>
        <w:t>with a view to</w:t>
      </w:r>
      <w:r w:rsidRPr="00046A23">
        <w:rPr>
          <w:color w:val="auto"/>
        </w:rPr>
        <w:t xml:space="preserve"> eliminat</w:t>
      </w:r>
      <w:r>
        <w:rPr>
          <w:color w:val="auto"/>
        </w:rPr>
        <w:t>ing</w:t>
      </w:r>
      <w:r w:rsidRPr="00046A23">
        <w:rPr>
          <w:color w:val="auto"/>
        </w:rPr>
        <w:t xml:space="preserve"> discriminatory practices in the rental market </w:t>
      </w:r>
      <w:r>
        <w:rPr>
          <w:color w:val="auto"/>
        </w:rPr>
        <w:t xml:space="preserve">and seek to ensure </w:t>
      </w:r>
      <w:r w:rsidRPr="00046A23">
        <w:rPr>
          <w:color w:val="auto"/>
        </w:rPr>
        <w:t>access to adequate and affordable housing for individuals with immigrant background.</w:t>
      </w:r>
    </w:p>
    <w:p w14:paraId="050F0812" w14:textId="77777777" w:rsidR="00C25926" w:rsidRDefault="00C25926" w:rsidP="00C25926">
      <w:pPr>
        <w:pStyle w:val="Listeavsnitt"/>
        <w:numPr>
          <w:ilvl w:val="0"/>
          <w:numId w:val="21"/>
        </w:numPr>
        <w:spacing w:after="160" w:line="259" w:lineRule="auto"/>
        <w:jc w:val="left"/>
        <w:rPr>
          <w:color w:val="auto"/>
        </w:rPr>
      </w:pPr>
      <w:r w:rsidRPr="00046A23">
        <w:rPr>
          <w:color w:val="auto"/>
        </w:rPr>
        <w:t>The S</w:t>
      </w:r>
      <w:r>
        <w:rPr>
          <w:color w:val="auto"/>
        </w:rPr>
        <w:t>tate P</w:t>
      </w:r>
      <w:r w:rsidRPr="00046A23">
        <w:rPr>
          <w:color w:val="auto"/>
        </w:rPr>
        <w:t xml:space="preserve">arty should implement measures to ensure effective integration of persons with immigrant background in the labour market, including equal access </w:t>
      </w:r>
      <w:r>
        <w:rPr>
          <w:color w:val="auto"/>
        </w:rPr>
        <w:t xml:space="preserve">to the labour market </w:t>
      </w:r>
      <w:r w:rsidRPr="00046A23">
        <w:rPr>
          <w:color w:val="auto"/>
        </w:rPr>
        <w:t xml:space="preserve">and </w:t>
      </w:r>
      <w:r>
        <w:rPr>
          <w:color w:val="auto"/>
        </w:rPr>
        <w:t xml:space="preserve">equal </w:t>
      </w:r>
      <w:r w:rsidRPr="00046A23">
        <w:rPr>
          <w:color w:val="auto"/>
        </w:rPr>
        <w:t>pay for work of equal value.</w:t>
      </w:r>
    </w:p>
    <w:p w14:paraId="2CB5591B" w14:textId="77777777" w:rsidR="00C25926" w:rsidRPr="001B5D30" w:rsidRDefault="00C25926" w:rsidP="00C25926">
      <w:pPr>
        <w:spacing w:before="120" w:after="160" w:line="259" w:lineRule="auto"/>
        <w:contextualSpacing/>
        <w:jc w:val="left"/>
        <w:rPr>
          <w:rFonts w:eastAsia="Calibri" w:cs="Times New Roman"/>
          <w:color w:val="auto"/>
        </w:rPr>
      </w:pPr>
    </w:p>
    <w:p w14:paraId="6E346E17" w14:textId="77777777" w:rsidR="00CA2468" w:rsidRDefault="00CA2468">
      <w:pPr>
        <w:spacing w:after="0" w:line="240" w:lineRule="auto"/>
        <w:jc w:val="left"/>
        <w:rPr>
          <w:b/>
          <w:sz w:val="24"/>
        </w:rPr>
      </w:pPr>
      <w:r>
        <w:br w:type="page"/>
      </w:r>
    </w:p>
    <w:p w14:paraId="44282DFC" w14:textId="0584EF80" w:rsidR="00C25926" w:rsidRDefault="00C25926" w:rsidP="00C25926">
      <w:pPr>
        <w:pStyle w:val="Overskrift1"/>
        <w:numPr>
          <w:ilvl w:val="0"/>
          <w:numId w:val="0"/>
        </w:numPr>
        <w:ind w:left="567" w:hanging="567"/>
      </w:pPr>
      <w:bookmarkStart w:id="4" w:name="_Toc29897649"/>
      <w:r>
        <w:lastRenderedPageBreak/>
        <w:t>Implementation of covenant</w:t>
      </w:r>
      <w:bookmarkEnd w:id="4"/>
    </w:p>
    <w:p w14:paraId="57E4BE1E" w14:textId="77777777" w:rsidR="00B34958" w:rsidRPr="00B34958" w:rsidRDefault="00B34958" w:rsidP="00B34958"/>
    <w:p w14:paraId="40153FB0" w14:textId="443DCF7D" w:rsidR="00C25926" w:rsidRPr="00D34BDB" w:rsidRDefault="00C25926" w:rsidP="00B34958">
      <w:pPr>
        <w:pStyle w:val="Overskrift1"/>
        <w:spacing w:before="0"/>
        <w:rPr>
          <w:b w:val="0"/>
        </w:rPr>
      </w:pPr>
      <w:bookmarkStart w:id="5" w:name="_Toc523238437"/>
      <w:bookmarkStart w:id="6" w:name="_Toc29897650"/>
      <w:r w:rsidRPr="00001FD9">
        <w:t>Indigenous / Sami rights</w:t>
      </w:r>
      <w:bookmarkEnd w:id="5"/>
      <w:r>
        <w:t xml:space="preserve"> to livelihood</w:t>
      </w:r>
      <w:bookmarkEnd w:id="6"/>
      <w:r>
        <w:t xml:space="preserve"> </w:t>
      </w:r>
    </w:p>
    <w:p w14:paraId="0A391E94" w14:textId="338A1C45" w:rsidR="00C25926" w:rsidRPr="007A4F1A" w:rsidRDefault="00C25926" w:rsidP="00C25926">
      <w:pPr>
        <w:rPr>
          <w:rFonts w:asciiTheme="majorHAnsi" w:hAnsiTheme="majorHAnsi" w:cstheme="majorHAnsi"/>
          <w:color w:val="FF0000"/>
          <w:szCs w:val="22"/>
          <w:lang w:val="en-US"/>
        </w:rPr>
      </w:pPr>
      <w:r w:rsidRPr="007A4F1A">
        <w:rPr>
          <w:rFonts w:asciiTheme="majorHAnsi" w:hAnsiTheme="majorHAnsi" w:cstheme="majorHAnsi"/>
          <w:color w:val="auto"/>
          <w:szCs w:val="22"/>
          <w:lang w:val="en-US"/>
        </w:rPr>
        <w:t xml:space="preserve">Reference is made to </w:t>
      </w:r>
      <w:proofErr w:type="spellStart"/>
      <w:r w:rsidRPr="007A4F1A">
        <w:rPr>
          <w:rFonts w:asciiTheme="majorHAnsi" w:hAnsiTheme="majorHAnsi" w:cstheme="majorHAnsi"/>
          <w:color w:val="auto"/>
          <w:szCs w:val="22"/>
          <w:lang w:val="en-US"/>
        </w:rPr>
        <w:t>LOIPR</w:t>
      </w:r>
      <w:proofErr w:type="spellEnd"/>
      <w:r w:rsidRPr="007A4F1A">
        <w:rPr>
          <w:rFonts w:asciiTheme="majorHAnsi" w:hAnsiTheme="majorHAnsi" w:cstheme="majorHAnsi"/>
          <w:color w:val="auto"/>
          <w:szCs w:val="22"/>
          <w:lang w:val="en-US"/>
        </w:rPr>
        <w:t xml:space="preserve"> para.</w:t>
      </w:r>
      <w:r w:rsidR="00C473A6">
        <w:rPr>
          <w:rFonts w:asciiTheme="majorHAnsi" w:hAnsiTheme="majorHAnsi" w:cstheme="majorHAnsi"/>
          <w:color w:val="auto"/>
          <w:szCs w:val="22"/>
          <w:lang w:val="en-US"/>
        </w:rPr>
        <w:t xml:space="preserve"> </w:t>
      </w:r>
      <w:r w:rsidRPr="007A4F1A">
        <w:rPr>
          <w:rFonts w:asciiTheme="majorHAnsi" w:hAnsiTheme="majorHAnsi" w:cstheme="majorHAnsi"/>
          <w:color w:val="auto"/>
          <w:szCs w:val="22"/>
          <w:lang w:val="en-US"/>
        </w:rPr>
        <w:t>9</w:t>
      </w:r>
      <w:r w:rsidR="00940EDA">
        <w:rPr>
          <w:rFonts w:asciiTheme="majorHAnsi" w:hAnsiTheme="majorHAnsi" w:cstheme="majorHAnsi"/>
          <w:color w:val="auto"/>
          <w:szCs w:val="22"/>
          <w:lang w:val="en-US"/>
        </w:rPr>
        <w:t xml:space="preserve"> and </w:t>
      </w:r>
      <w:r w:rsidR="00E07D7A">
        <w:rPr>
          <w:rFonts w:asciiTheme="majorHAnsi" w:hAnsiTheme="majorHAnsi" w:cstheme="majorHAnsi"/>
          <w:color w:val="auto"/>
          <w:szCs w:val="22"/>
          <w:lang w:val="en-US"/>
        </w:rPr>
        <w:t xml:space="preserve">the </w:t>
      </w:r>
      <w:r w:rsidR="00940EDA">
        <w:rPr>
          <w:rFonts w:asciiTheme="majorHAnsi" w:hAnsiTheme="majorHAnsi" w:cstheme="majorHAnsi"/>
          <w:color w:val="auto"/>
          <w:szCs w:val="22"/>
          <w:lang w:val="en-US"/>
        </w:rPr>
        <w:t>State Report para</w:t>
      </w:r>
      <w:r w:rsidR="00303859">
        <w:rPr>
          <w:rFonts w:asciiTheme="majorHAnsi" w:hAnsiTheme="majorHAnsi" w:cstheme="majorHAnsi"/>
          <w:color w:val="auto"/>
          <w:szCs w:val="22"/>
          <w:lang w:val="en-US"/>
        </w:rPr>
        <w:t>s</w:t>
      </w:r>
      <w:r w:rsidR="00940EDA">
        <w:rPr>
          <w:rFonts w:asciiTheme="majorHAnsi" w:hAnsiTheme="majorHAnsi" w:cstheme="majorHAnsi"/>
          <w:color w:val="auto"/>
          <w:szCs w:val="22"/>
          <w:lang w:val="en-US"/>
        </w:rPr>
        <w:t xml:space="preserve">. </w:t>
      </w:r>
      <w:r w:rsidR="00303859">
        <w:rPr>
          <w:rFonts w:asciiTheme="majorHAnsi" w:hAnsiTheme="majorHAnsi" w:cstheme="majorHAnsi"/>
          <w:color w:val="auto"/>
          <w:szCs w:val="22"/>
          <w:lang w:val="en-US"/>
        </w:rPr>
        <w:t>62 and 63-64</w:t>
      </w:r>
      <w:r w:rsidRPr="007A4F1A">
        <w:rPr>
          <w:rFonts w:asciiTheme="majorHAnsi" w:hAnsiTheme="majorHAnsi" w:cstheme="majorHAnsi"/>
          <w:color w:val="auto"/>
          <w:szCs w:val="22"/>
          <w:lang w:val="en-US"/>
        </w:rPr>
        <w:t>.</w:t>
      </w:r>
    </w:p>
    <w:p w14:paraId="4C56CCDC" w14:textId="77777777" w:rsidR="00C25926" w:rsidRPr="00C52E46" w:rsidRDefault="00C25926" w:rsidP="00C25926">
      <w:pPr>
        <w:pStyle w:val="Overskrift2"/>
      </w:pPr>
      <w:bookmarkStart w:id="7" w:name="_Toc29897651"/>
      <w:r>
        <w:t>Follow-</w:t>
      </w:r>
      <w:r w:rsidRPr="00C52E46">
        <w:t>up on the proposals of the Sami Rights Committee</w:t>
      </w:r>
      <w:r>
        <w:t xml:space="preserve"> regarding Sami rights south of Finnmark county</w:t>
      </w:r>
      <w:bookmarkEnd w:id="7"/>
    </w:p>
    <w:p w14:paraId="36FD0F05" w14:textId="20DA164E" w:rsidR="00C25926" w:rsidRDefault="00C25926" w:rsidP="00C25926">
      <w:pPr>
        <w:spacing w:after="0" w:line="259" w:lineRule="auto"/>
        <w:jc w:val="left"/>
        <w:rPr>
          <w:rFonts w:eastAsia="Calibri" w:cs="Times New Roman"/>
          <w:color w:val="auto"/>
          <w:szCs w:val="22"/>
        </w:rPr>
      </w:pPr>
      <w:r w:rsidRPr="00C52E46">
        <w:rPr>
          <w:rFonts w:eastAsia="Calibri" w:cs="Times New Roman"/>
          <w:color w:val="auto"/>
          <w:szCs w:val="22"/>
        </w:rPr>
        <w:t>In 2007, the Sami Rights Committee presented its report (</w:t>
      </w:r>
      <w:proofErr w:type="spellStart"/>
      <w:r w:rsidRPr="00C52E46">
        <w:rPr>
          <w:rFonts w:eastAsia="Calibri" w:cs="Times New Roman"/>
          <w:color w:val="auto"/>
          <w:szCs w:val="22"/>
        </w:rPr>
        <w:t>NOU</w:t>
      </w:r>
      <w:proofErr w:type="spellEnd"/>
      <w:r w:rsidRPr="00C52E46">
        <w:rPr>
          <w:rFonts w:eastAsia="Calibri" w:cs="Times New Roman"/>
          <w:color w:val="auto"/>
          <w:szCs w:val="22"/>
        </w:rPr>
        <w:t xml:space="preserve"> 2007:13) with proposals for legislation </w:t>
      </w:r>
      <w:proofErr w:type="spellStart"/>
      <w:r w:rsidRPr="00C52E46">
        <w:rPr>
          <w:rFonts w:eastAsia="Calibri" w:cs="Times New Roman"/>
          <w:color w:val="auto"/>
          <w:szCs w:val="22"/>
        </w:rPr>
        <w:t>i.a.</w:t>
      </w:r>
      <w:proofErr w:type="spellEnd"/>
      <w:r w:rsidRPr="00C52E46">
        <w:rPr>
          <w:rFonts w:eastAsia="Calibri" w:cs="Times New Roman"/>
          <w:color w:val="auto"/>
          <w:szCs w:val="22"/>
        </w:rPr>
        <w:t xml:space="preserve"> regarding the recognition and governance of Sami land rights outside of </w:t>
      </w:r>
      <w:proofErr w:type="spellStart"/>
      <w:r w:rsidRPr="00C52E46">
        <w:rPr>
          <w:rFonts w:eastAsia="Calibri" w:cs="Times New Roman"/>
          <w:color w:val="auto"/>
          <w:szCs w:val="22"/>
        </w:rPr>
        <w:t>Finnmark</w:t>
      </w:r>
      <w:proofErr w:type="spellEnd"/>
      <w:r w:rsidRPr="00C52E46">
        <w:rPr>
          <w:rFonts w:eastAsia="Calibri" w:cs="Times New Roman"/>
          <w:color w:val="auto"/>
          <w:szCs w:val="22"/>
        </w:rPr>
        <w:t xml:space="preserve">. According to the </w:t>
      </w:r>
      <w:r w:rsidR="00B54B7B">
        <w:rPr>
          <w:rFonts w:eastAsia="Calibri" w:cs="Times New Roman"/>
          <w:color w:val="auto"/>
          <w:szCs w:val="22"/>
        </w:rPr>
        <w:t>S</w:t>
      </w:r>
      <w:r w:rsidRPr="00C52E46">
        <w:rPr>
          <w:rFonts w:eastAsia="Calibri" w:cs="Times New Roman"/>
          <w:color w:val="auto"/>
          <w:szCs w:val="22"/>
        </w:rPr>
        <w:t xml:space="preserve">tate </w:t>
      </w:r>
      <w:r w:rsidR="00B54B7B">
        <w:rPr>
          <w:rFonts w:eastAsia="Calibri" w:cs="Times New Roman"/>
          <w:color w:val="auto"/>
          <w:szCs w:val="22"/>
        </w:rPr>
        <w:t>R</w:t>
      </w:r>
      <w:r w:rsidRPr="00C52E46">
        <w:rPr>
          <w:rFonts w:eastAsia="Calibri" w:cs="Times New Roman"/>
          <w:color w:val="auto"/>
          <w:szCs w:val="22"/>
        </w:rPr>
        <w:t xml:space="preserve">eport, </w:t>
      </w:r>
      <w:r w:rsidR="007F33CF">
        <w:rPr>
          <w:rFonts w:eastAsia="Calibri" w:cs="Times New Roman"/>
          <w:color w:val="auto"/>
          <w:szCs w:val="22"/>
        </w:rPr>
        <w:t>t</w:t>
      </w:r>
      <w:r w:rsidRPr="00C52E46">
        <w:rPr>
          <w:rFonts w:eastAsia="Calibri" w:cs="Times New Roman"/>
          <w:color w:val="auto"/>
          <w:szCs w:val="22"/>
        </w:rPr>
        <w:t xml:space="preserve">he Ministry of Justice and Public Security is now in the process of evaluating the Sami Rights Committee’s proposal for rights surveying south of </w:t>
      </w:r>
      <w:proofErr w:type="spellStart"/>
      <w:r w:rsidRPr="00C52E46">
        <w:rPr>
          <w:rFonts w:eastAsia="Calibri" w:cs="Times New Roman"/>
          <w:color w:val="auto"/>
          <w:szCs w:val="22"/>
        </w:rPr>
        <w:t>Finnmark</w:t>
      </w:r>
      <w:proofErr w:type="spellEnd"/>
      <w:r w:rsidRPr="00C52E46">
        <w:rPr>
          <w:rFonts w:eastAsia="Calibri" w:cs="Times New Roman"/>
          <w:color w:val="auto"/>
          <w:szCs w:val="22"/>
        </w:rPr>
        <w:t xml:space="preserve"> County.</w:t>
      </w:r>
      <w:r>
        <w:rPr>
          <w:rFonts w:eastAsia="Calibri" w:cs="Times New Roman"/>
          <w:color w:val="auto"/>
          <w:szCs w:val="22"/>
        </w:rPr>
        <w:t xml:space="preserve"> </w:t>
      </w:r>
      <w:r w:rsidRPr="00C52E46">
        <w:rPr>
          <w:rFonts w:eastAsia="Calibri" w:cs="Times New Roman"/>
          <w:color w:val="auto"/>
          <w:szCs w:val="22"/>
        </w:rPr>
        <w:t xml:space="preserve">Given the long time this process has taken, the evaluation of this proposal from the Sami Rights Committee should be given priority. </w:t>
      </w:r>
    </w:p>
    <w:p w14:paraId="253602FE" w14:textId="77777777" w:rsidR="00C25926" w:rsidRPr="00C52E46" w:rsidRDefault="00C25926" w:rsidP="00C25926">
      <w:pPr>
        <w:spacing w:after="0" w:line="259" w:lineRule="auto"/>
        <w:jc w:val="left"/>
        <w:rPr>
          <w:rFonts w:eastAsia="Calibri" w:cs="Times New Roman"/>
          <w:color w:val="auto"/>
          <w:szCs w:val="22"/>
        </w:rPr>
      </w:pPr>
    </w:p>
    <w:p w14:paraId="241DA264" w14:textId="77777777" w:rsidR="00C25926" w:rsidRPr="00876B3A" w:rsidRDefault="00C25926" w:rsidP="00876B3A">
      <w:pPr>
        <w:spacing w:after="0" w:line="259" w:lineRule="auto"/>
        <w:ind w:firstLine="360"/>
        <w:jc w:val="left"/>
        <w:rPr>
          <w:rFonts w:eastAsia="Calibri" w:cs="Times New Roman"/>
          <w:b/>
          <w:color w:val="auto"/>
          <w:szCs w:val="22"/>
        </w:rPr>
      </w:pPr>
      <w:r w:rsidRPr="00876B3A">
        <w:rPr>
          <w:rFonts w:eastAsia="Calibri" w:cs="Times New Roman"/>
          <w:b/>
          <w:color w:val="auto"/>
          <w:szCs w:val="22"/>
        </w:rPr>
        <w:t xml:space="preserve">Suggested recommendation: </w:t>
      </w:r>
    </w:p>
    <w:p w14:paraId="1FEBA12F" w14:textId="1EBEC526" w:rsidR="00C25926" w:rsidRPr="003B3CBB" w:rsidRDefault="00C25926" w:rsidP="00C25926">
      <w:pPr>
        <w:pStyle w:val="Listeavsnitt"/>
        <w:numPr>
          <w:ilvl w:val="0"/>
          <w:numId w:val="21"/>
        </w:numPr>
        <w:spacing w:after="0" w:line="259" w:lineRule="auto"/>
        <w:jc w:val="left"/>
        <w:rPr>
          <w:rFonts w:eastAsia="Calibri" w:cs="Times New Roman"/>
          <w:color w:val="auto"/>
          <w:szCs w:val="22"/>
        </w:rPr>
      </w:pPr>
      <w:r w:rsidRPr="003B3CBB">
        <w:rPr>
          <w:rFonts w:eastAsia="Calibri" w:cs="Times New Roman"/>
          <w:color w:val="auto"/>
          <w:szCs w:val="22"/>
        </w:rPr>
        <w:t>The State Party should give priority to follow</w:t>
      </w:r>
      <w:r w:rsidR="00832231">
        <w:rPr>
          <w:rFonts w:eastAsia="Calibri" w:cs="Times New Roman"/>
          <w:color w:val="auto"/>
          <w:szCs w:val="22"/>
        </w:rPr>
        <w:t>ing</w:t>
      </w:r>
      <w:r w:rsidRPr="003B3CBB">
        <w:rPr>
          <w:rFonts w:eastAsia="Calibri" w:cs="Times New Roman"/>
          <w:color w:val="auto"/>
          <w:szCs w:val="22"/>
        </w:rPr>
        <w:t xml:space="preserve"> up the proposals from the Sami Rights Committee for legislation regarding the recognition and governance of Sami land rights outside of </w:t>
      </w:r>
      <w:proofErr w:type="spellStart"/>
      <w:r w:rsidRPr="003B3CBB">
        <w:rPr>
          <w:rFonts w:eastAsia="Calibri" w:cs="Times New Roman"/>
          <w:color w:val="auto"/>
          <w:szCs w:val="22"/>
        </w:rPr>
        <w:t>Finnmark</w:t>
      </w:r>
      <w:proofErr w:type="spellEnd"/>
      <w:r w:rsidRPr="003B3CBB">
        <w:rPr>
          <w:rFonts w:eastAsia="Calibri" w:cs="Times New Roman"/>
          <w:color w:val="auto"/>
          <w:szCs w:val="22"/>
        </w:rPr>
        <w:t>.</w:t>
      </w:r>
    </w:p>
    <w:p w14:paraId="2D934D29" w14:textId="77777777" w:rsidR="00C25926" w:rsidRPr="00C52E46" w:rsidRDefault="00C25926" w:rsidP="00C25926">
      <w:pPr>
        <w:spacing w:after="0" w:line="259" w:lineRule="auto"/>
        <w:jc w:val="left"/>
        <w:rPr>
          <w:rFonts w:eastAsia="Calibri" w:cs="Times New Roman"/>
          <w:color w:val="auto"/>
          <w:szCs w:val="22"/>
        </w:rPr>
      </w:pPr>
    </w:p>
    <w:p w14:paraId="0703E382" w14:textId="5260A4B6" w:rsidR="00C25926" w:rsidRPr="00C52E46" w:rsidRDefault="00C25926" w:rsidP="00C25926">
      <w:pPr>
        <w:pStyle w:val="Overskrift2"/>
      </w:pPr>
      <w:r w:rsidRPr="00C52E46">
        <w:rPr>
          <w:rFonts w:eastAsia="Calibri" w:cs="Times New Roman"/>
          <w:color w:val="auto"/>
          <w:szCs w:val="22"/>
        </w:rPr>
        <w:t xml:space="preserve"> </w:t>
      </w:r>
      <w:bookmarkStart w:id="8" w:name="_Hlk29386611"/>
      <w:bookmarkStart w:id="9" w:name="_Toc29897652"/>
      <w:r w:rsidR="00CA14FD" w:rsidRPr="00C52E46">
        <w:t>S</w:t>
      </w:r>
      <w:bookmarkEnd w:id="8"/>
      <w:r w:rsidR="00CA14FD" w:rsidRPr="00C52E46">
        <w:t>ami fishing rights</w:t>
      </w:r>
      <w:bookmarkEnd w:id="9"/>
    </w:p>
    <w:p w14:paraId="18435B87" w14:textId="57565D8F" w:rsidR="00C25926" w:rsidRDefault="00C25926" w:rsidP="00C25926">
      <w:pPr>
        <w:spacing w:after="0" w:line="259" w:lineRule="auto"/>
        <w:jc w:val="left"/>
        <w:rPr>
          <w:rFonts w:eastAsia="Calibri" w:cs="Times New Roman"/>
          <w:color w:val="auto"/>
          <w:szCs w:val="22"/>
        </w:rPr>
      </w:pPr>
      <w:r w:rsidRPr="00C52E46">
        <w:rPr>
          <w:rFonts w:eastAsia="Calibri" w:cs="Times New Roman"/>
          <w:color w:val="auto"/>
          <w:szCs w:val="22"/>
        </w:rPr>
        <w:t xml:space="preserve">In 2016, the </w:t>
      </w:r>
      <w:proofErr w:type="spellStart"/>
      <w:r w:rsidRPr="00C52E46">
        <w:rPr>
          <w:rFonts w:eastAsia="Calibri" w:cs="Times New Roman"/>
          <w:color w:val="auto"/>
          <w:szCs w:val="22"/>
        </w:rPr>
        <w:t>NHRI</w:t>
      </w:r>
      <w:proofErr w:type="spellEnd"/>
      <w:r w:rsidRPr="00C52E46">
        <w:rPr>
          <w:rFonts w:eastAsia="Calibri" w:cs="Times New Roman"/>
          <w:color w:val="auto"/>
          <w:szCs w:val="22"/>
        </w:rPr>
        <w:t xml:space="preserve"> conducted a study on Sami rights to fisheries in coastal sea areas based on customary use, </w:t>
      </w:r>
      <w:r w:rsidR="008337F4">
        <w:rPr>
          <w:rFonts w:eastAsia="Calibri" w:cs="Times New Roman"/>
          <w:color w:val="auto"/>
          <w:szCs w:val="22"/>
        </w:rPr>
        <w:t xml:space="preserve">as well as interpretation of </w:t>
      </w:r>
      <w:r w:rsidRPr="00C52E46">
        <w:rPr>
          <w:rFonts w:eastAsia="Calibri" w:cs="Times New Roman"/>
          <w:color w:val="auto"/>
          <w:szCs w:val="22"/>
        </w:rPr>
        <w:t xml:space="preserve">ICCPR article 27 and ILO </w:t>
      </w:r>
      <w:r w:rsidR="0044000F">
        <w:rPr>
          <w:rFonts w:eastAsia="Calibri" w:cs="Times New Roman"/>
          <w:color w:val="auto"/>
          <w:szCs w:val="22"/>
        </w:rPr>
        <w:t>C</w:t>
      </w:r>
      <w:r w:rsidRPr="00C52E46">
        <w:rPr>
          <w:rFonts w:eastAsia="Calibri" w:cs="Times New Roman"/>
          <w:color w:val="auto"/>
          <w:szCs w:val="22"/>
        </w:rPr>
        <w:t>onvention no. 169 on the rights of indigenous peoples. The study concluded that: (</w:t>
      </w:r>
      <w:proofErr w:type="spellStart"/>
      <w:r w:rsidRPr="00C52E46">
        <w:rPr>
          <w:rFonts w:eastAsia="Calibri" w:cs="Times New Roman"/>
          <w:color w:val="auto"/>
          <w:szCs w:val="22"/>
        </w:rPr>
        <w:t>i</w:t>
      </w:r>
      <w:proofErr w:type="spellEnd"/>
      <w:r w:rsidRPr="00C52E46">
        <w:rPr>
          <w:rFonts w:eastAsia="Calibri" w:cs="Times New Roman"/>
          <w:color w:val="auto"/>
          <w:szCs w:val="22"/>
        </w:rPr>
        <w:t xml:space="preserve">) the Sami rights to fisheries as a part of their culture and based on their customary fisheries should be secured by law; (ii) the right to participate in the management of the natural resources should be better secured; and (iii) processes are needed to secure that the Sami rights to fisheries are not violated by e.g. industrial- or other new use of coastal sea areas. These conclusions are in line with the Governmental Commission Report </w:t>
      </w:r>
      <w:proofErr w:type="spellStart"/>
      <w:r w:rsidRPr="00C52E46">
        <w:rPr>
          <w:rFonts w:eastAsia="Calibri" w:cs="Times New Roman"/>
          <w:color w:val="auto"/>
          <w:szCs w:val="22"/>
        </w:rPr>
        <w:t>NOU</w:t>
      </w:r>
      <w:proofErr w:type="spellEnd"/>
      <w:r w:rsidRPr="00C52E46">
        <w:rPr>
          <w:rFonts w:eastAsia="Calibri" w:cs="Times New Roman"/>
          <w:color w:val="auto"/>
          <w:szCs w:val="22"/>
        </w:rPr>
        <w:t xml:space="preserve"> 2008:5 on fishing rights in the sea surrounding </w:t>
      </w:r>
      <w:proofErr w:type="spellStart"/>
      <w:r w:rsidRPr="00C52E46">
        <w:rPr>
          <w:rFonts w:eastAsia="Calibri" w:cs="Times New Roman"/>
          <w:color w:val="auto"/>
          <w:szCs w:val="22"/>
        </w:rPr>
        <w:t>Finnmark</w:t>
      </w:r>
      <w:proofErr w:type="spellEnd"/>
      <w:r w:rsidRPr="00C52E46">
        <w:rPr>
          <w:rFonts w:eastAsia="Calibri" w:cs="Times New Roman"/>
          <w:color w:val="auto"/>
          <w:szCs w:val="22"/>
        </w:rPr>
        <w:t xml:space="preserve">, and the recommendations of </w:t>
      </w:r>
      <w:proofErr w:type="spellStart"/>
      <w:r w:rsidRPr="00C52E46">
        <w:rPr>
          <w:rFonts w:eastAsia="Calibri" w:cs="Times New Roman"/>
          <w:color w:val="auto"/>
          <w:szCs w:val="22"/>
        </w:rPr>
        <w:t>CERD</w:t>
      </w:r>
      <w:proofErr w:type="spellEnd"/>
      <w:r w:rsidRPr="00C52E46">
        <w:rPr>
          <w:rFonts w:eastAsia="Calibri" w:cs="Times New Roman"/>
          <w:color w:val="auto"/>
          <w:szCs w:val="22"/>
        </w:rPr>
        <w:t xml:space="preserve"> in 2015 and the Human Rights Committee in 2018. </w:t>
      </w:r>
    </w:p>
    <w:p w14:paraId="6B1B0DB3" w14:textId="77777777" w:rsidR="00C25926" w:rsidRPr="00C52E46" w:rsidRDefault="00C25926" w:rsidP="00C25926">
      <w:pPr>
        <w:spacing w:after="0" w:line="259" w:lineRule="auto"/>
        <w:jc w:val="left"/>
        <w:rPr>
          <w:rFonts w:eastAsia="Calibri" w:cs="Times New Roman"/>
          <w:color w:val="auto"/>
          <w:szCs w:val="22"/>
        </w:rPr>
      </w:pPr>
    </w:p>
    <w:p w14:paraId="07E98D0F" w14:textId="77777777" w:rsidR="00C25926" w:rsidRPr="00C52E46" w:rsidRDefault="00C25926" w:rsidP="00C25926">
      <w:pPr>
        <w:spacing w:after="0" w:line="259" w:lineRule="auto"/>
        <w:jc w:val="left"/>
        <w:rPr>
          <w:rFonts w:eastAsia="Calibri" w:cs="Times New Roman"/>
          <w:color w:val="auto"/>
          <w:szCs w:val="22"/>
        </w:rPr>
      </w:pPr>
      <w:r w:rsidRPr="00C52E46">
        <w:rPr>
          <w:rFonts w:eastAsia="Calibri" w:cs="Times New Roman"/>
          <w:color w:val="auto"/>
          <w:szCs w:val="22"/>
        </w:rPr>
        <w:t xml:space="preserve">The Government holds the view that the Sami rights to fisheries in coastal sea areas are sufficiently implemented in the current legal framework. </w:t>
      </w:r>
    </w:p>
    <w:p w14:paraId="25D523D6" w14:textId="77777777" w:rsidR="00C25926" w:rsidRDefault="00C25926" w:rsidP="00C25926">
      <w:pPr>
        <w:spacing w:after="0" w:line="259" w:lineRule="auto"/>
        <w:jc w:val="left"/>
        <w:rPr>
          <w:rFonts w:eastAsia="Calibri" w:cs="Times New Roman"/>
          <w:b/>
          <w:color w:val="auto"/>
          <w:szCs w:val="22"/>
        </w:rPr>
      </w:pPr>
    </w:p>
    <w:p w14:paraId="7CCC82BC" w14:textId="77777777" w:rsidR="00C25926" w:rsidRPr="00986E75" w:rsidRDefault="00C25926" w:rsidP="00876B3A">
      <w:pPr>
        <w:spacing w:after="0" w:line="259" w:lineRule="auto"/>
        <w:ind w:firstLine="360"/>
        <w:jc w:val="left"/>
        <w:rPr>
          <w:rFonts w:eastAsia="Calibri" w:cs="Times New Roman"/>
          <w:b/>
          <w:color w:val="auto"/>
          <w:szCs w:val="22"/>
        </w:rPr>
      </w:pPr>
      <w:r w:rsidRPr="00986E75">
        <w:rPr>
          <w:rFonts w:eastAsia="Calibri" w:cs="Times New Roman"/>
          <w:b/>
          <w:color w:val="auto"/>
          <w:szCs w:val="22"/>
        </w:rPr>
        <w:t xml:space="preserve">Suggested recommendations: </w:t>
      </w:r>
    </w:p>
    <w:p w14:paraId="24C10528" w14:textId="77777777" w:rsidR="00CA14FD" w:rsidRDefault="00CA14FD" w:rsidP="00CA14FD">
      <w:pPr>
        <w:pStyle w:val="Listeavsnitt"/>
        <w:numPr>
          <w:ilvl w:val="0"/>
          <w:numId w:val="21"/>
        </w:numPr>
        <w:spacing w:after="0" w:line="259" w:lineRule="auto"/>
        <w:jc w:val="left"/>
        <w:rPr>
          <w:rFonts w:eastAsia="Calibri" w:cs="Times New Roman"/>
          <w:color w:val="auto"/>
          <w:szCs w:val="22"/>
        </w:rPr>
      </w:pPr>
      <w:r w:rsidRPr="00986E75">
        <w:rPr>
          <w:rFonts w:eastAsia="Calibri" w:cs="Times New Roman"/>
          <w:color w:val="auto"/>
          <w:szCs w:val="22"/>
        </w:rPr>
        <w:t xml:space="preserve">The State Party should consider recognizing in statutory law the Sami rights to fisheries as a part of their culture and based on their customary fishing. </w:t>
      </w:r>
    </w:p>
    <w:p w14:paraId="09CD6969" w14:textId="2F82FC9A" w:rsidR="00C25926" w:rsidRPr="00986E75" w:rsidRDefault="00E07D7A" w:rsidP="00C25926">
      <w:pPr>
        <w:pStyle w:val="Listeavsnitt"/>
        <w:numPr>
          <w:ilvl w:val="0"/>
          <w:numId w:val="21"/>
        </w:numPr>
        <w:spacing w:after="0" w:line="259" w:lineRule="auto"/>
        <w:jc w:val="left"/>
        <w:rPr>
          <w:rFonts w:eastAsia="Calibri" w:cs="Times New Roman"/>
          <w:color w:val="auto"/>
          <w:szCs w:val="22"/>
        </w:rPr>
      </w:pPr>
      <w:r>
        <w:rPr>
          <w:rFonts w:eastAsia="Calibri" w:cs="Times New Roman"/>
          <w:color w:val="auto"/>
          <w:szCs w:val="22"/>
        </w:rPr>
        <w:lastRenderedPageBreak/>
        <w:t xml:space="preserve">The </w:t>
      </w:r>
      <w:r w:rsidR="00C25926" w:rsidRPr="00986E75">
        <w:rPr>
          <w:rFonts w:eastAsia="Calibri" w:cs="Times New Roman"/>
          <w:color w:val="auto"/>
          <w:szCs w:val="22"/>
        </w:rPr>
        <w:t>State Party should strengthen the rights of the Sami to participate in the</w:t>
      </w:r>
      <w:r w:rsidR="00C25926" w:rsidRPr="0030778C">
        <w:t xml:space="preserve"> </w:t>
      </w:r>
      <w:r w:rsidR="00C25926" w:rsidRPr="0030778C">
        <w:rPr>
          <w:rFonts w:eastAsia="Calibri" w:cs="Times New Roman"/>
          <w:color w:val="auto"/>
          <w:szCs w:val="22"/>
        </w:rPr>
        <w:t xml:space="preserve">management of maritime natural resources, and secure that the Sami rights to fisheries are not violated by industrial- or other new use of coastal sea areas. </w:t>
      </w:r>
      <w:r w:rsidR="00C25926">
        <w:rPr>
          <w:rFonts w:eastAsia="Calibri" w:cs="Times New Roman"/>
          <w:color w:val="auto"/>
          <w:szCs w:val="22"/>
        </w:rPr>
        <w:t xml:space="preserve"> </w:t>
      </w:r>
    </w:p>
    <w:p w14:paraId="28518A35" w14:textId="478F50CF" w:rsidR="00C25926" w:rsidRPr="00986E75" w:rsidRDefault="00C25926" w:rsidP="00C25926">
      <w:pPr>
        <w:pStyle w:val="Overskrift1"/>
        <w:rPr>
          <w:color w:val="auto"/>
        </w:rPr>
      </w:pPr>
      <w:bookmarkStart w:id="10" w:name="_Toc29897653"/>
      <w:r w:rsidRPr="00986E75">
        <w:rPr>
          <w:color w:val="auto"/>
        </w:rPr>
        <w:t>S</w:t>
      </w:r>
      <w:r w:rsidR="00B11AC2">
        <w:rPr>
          <w:color w:val="auto"/>
        </w:rPr>
        <w:t>á</w:t>
      </w:r>
      <w:r w:rsidRPr="00986E75">
        <w:rPr>
          <w:color w:val="auto"/>
        </w:rPr>
        <w:t>mi statistics</w:t>
      </w:r>
      <w:bookmarkEnd w:id="10"/>
      <w:r w:rsidRPr="00986E75">
        <w:rPr>
          <w:color w:val="auto"/>
        </w:rPr>
        <w:t xml:space="preserve"> </w:t>
      </w:r>
    </w:p>
    <w:p w14:paraId="5B2FDB69" w14:textId="601C02AB" w:rsidR="00C25926" w:rsidRPr="00D429E5" w:rsidRDefault="00C25926" w:rsidP="00C25926">
      <w:pPr>
        <w:jc w:val="left"/>
        <w:rPr>
          <w:sz w:val="24"/>
        </w:rPr>
      </w:pPr>
      <w:r w:rsidRPr="00D429E5">
        <w:rPr>
          <w:sz w:val="24"/>
        </w:rPr>
        <w:t>(</w:t>
      </w:r>
      <w:r w:rsidR="00711576">
        <w:rPr>
          <w:sz w:val="24"/>
        </w:rPr>
        <w:t>This is a n</w:t>
      </w:r>
      <w:r w:rsidRPr="00D429E5">
        <w:rPr>
          <w:sz w:val="24"/>
        </w:rPr>
        <w:t>ew issue</w:t>
      </w:r>
      <w:r w:rsidR="00711576">
        <w:rPr>
          <w:sz w:val="24"/>
        </w:rPr>
        <w:t>,</w:t>
      </w:r>
      <w:r>
        <w:rPr>
          <w:sz w:val="24"/>
        </w:rPr>
        <w:t xml:space="preserve"> not in </w:t>
      </w:r>
      <w:proofErr w:type="spellStart"/>
      <w:r>
        <w:rPr>
          <w:sz w:val="24"/>
        </w:rPr>
        <w:t>LOIPR</w:t>
      </w:r>
      <w:proofErr w:type="spellEnd"/>
      <w:r w:rsidR="00711576">
        <w:rPr>
          <w:sz w:val="24"/>
        </w:rPr>
        <w:t>.</w:t>
      </w:r>
      <w:r w:rsidRPr="00D429E5">
        <w:rPr>
          <w:sz w:val="24"/>
        </w:rPr>
        <w:t>)</w:t>
      </w:r>
    </w:p>
    <w:p w14:paraId="560121E9" w14:textId="34E92A45" w:rsidR="00C25926" w:rsidRDefault="00C25926" w:rsidP="00C25926">
      <w:pPr>
        <w:spacing w:after="0"/>
      </w:pPr>
      <w:r w:rsidRPr="00C94119">
        <w:t xml:space="preserve">Norway does not currently disaggregate statistical data by ethnic or </w:t>
      </w:r>
      <w:r>
        <w:t>i</w:t>
      </w:r>
      <w:r w:rsidRPr="00C94119">
        <w:t xml:space="preserve">ndigenous </w:t>
      </w:r>
      <w:r>
        <w:t xml:space="preserve">origin. This is due to </w:t>
      </w:r>
      <w:r w:rsidR="00542ABB" w:rsidRPr="00275C24">
        <w:rPr>
          <w:i/>
        </w:rPr>
        <w:t>inter alia</w:t>
      </w:r>
      <w:r w:rsidR="00542ABB">
        <w:t xml:space="preserve"> </w:t>
      </w:r>
      <w:r>
        <w:t>concerns regarding the</w:t>
      </w:r>
      <w:r w:rsidRPr="00C94119">
        <w:t xml:space="preserve"> misuse of data</w:t>
      </w:r>
      <w:r>
        <w:t xml:space="preserve"> and scepticism towards data collection </w:t>
      </w:r>
      <w:r w:rsidRPr="00EF64EB">
        <w:t xml:space="preserve">among </w:t>
      </w:r>
      <w:proofErr w:type="spellStart"/>
      <w:r w:rsidRPr="00EF64EB">
        <w:t>Sámi</w:t>
      </w:r>
      <w:proofErr w:type="spellEnd"/>
      <w:r w:rsidRPr="00EF64EB">
        <w:t xml:space="preserve"> and minority groups</w:t>
      </w:r>
      <w:r w:rsidRPr="00C94119">
        <w:t>.</w:t>
      </w:r>
      <w:r>
        <w:t xml:space="preserve"> </w:t>
      </w:r>
      <w:r w:rsidR="00B11AC2">
        <w:t xml:space="preserve">Traditional questionnaire-based </w:t>
      </w:r>
      <w:r>
        <w:t>censuses are no longer conducted and o</w:t>
      </w:r>
      <w:r w:rsidRPr="00987C99">
        <w:t>fficial population statistics are</w:t>
      </w:r>
      <w:r>
        <w:t xml:space="preserve"> </w:t>
      </w:r>
      <w:r w:rsidRPr="00987C99">
        <w:t xml:space="preserve">compiled primarily </w:t>
      </w:r>
      <w:r>
        <w:t>based on</w:t>
      </w:r>
      <w:r w:rsidRPr="00987C99">
        <w:t xml:space="preserve"> administrative registers</w:t>
      </w:r>
      <w:r w:rsidR="00B11AC2">
        <w:t xml:space="preserve">, which </w:t>
      </w:r>
      <w:r>
        <w:t xml:space="preserve">do not include ethnicity variables. The only exceptions for Sámi persons are the electoral </w:t>
      </w:r>
      <w:r w:rsidR="00B11AC2">
        <w:t>roll</w:t>
      </w:r>
      <w:r>
        <w:t xml:space="preserve"> for the S</w:t>
      </w:r>
      <w:r w:rsidR="00B11AC2">
        <w:t>á</w:t>
      </w:r>
      <w:r>
        <w:t>m</w:t>
      </w:r>
      <w:r w:rsidR="00B11AC2">
        <w:t>i</w:t>
      </w:r>
      <w:r>
        <w:t xml:space="preserve"> </w:t>
      </w:r>
      <w:r w:rsidR="00B11AC2">
        <w:t>P</w:t>
      </w:r>
      <w:r>
        <w:t>arliament (</w:t>
      </w:r>
      <w:proofErr w:type="spellStart"/>
      <w:r>
        <w:t>S</w:t>
      </w:r>
      <w:r w:rsidR="00B11AC2">
        <w:t>á</w:t>
      </w:r>
      <w:r>
        <w:t>mediggi</w:t>
      </w:r>
      <w:proofErr w:type="spellEnd"/>
      <w:r>
        <w:t xml:space="preserve">) and a recent </w:t>
      </w:r>
      <w:r w:rsidR="00B11AC2">
        <w:t>o</w:t>
      </w:r>
      <w:r>
        <w:t>ption initiated to self-</w:t>
      </w:r>
      <w:r w:rsidR="00B11AC2">
        <w:t>identify</w:t>
      </w:r>
      <w:r>
        <w:t xml:space="preserve"> as a </w:t>
      </w:r>
      <w:r w:rsidR="00B11AC2">
        <w:t xml:space="preserve">user of </w:t>
      </w:r>
      <w:r>
        <w:t xml:space="preserve">Sámi </w:t>
      </w:r>
      <w:r w:rsidR="00B11AC2">
        <w:t>languages in the Population Register (</w:t>
      </w:r>
      <w:proofErr w:type="spellStart"/>
      <w:r w:rsidR="00B11AC2">
        <w:t>Folkeregisteret</w:t>
      </w:r>
      <w:proofErr w:type="spellEnd"/>
      <w:r w:rsidR="00B11AC2">
        <w:t>)</w:t>
      </w:r>
      <w:r>
        <w:t xml:space="preserve">. </w:t>
      </w:r>
    </w:p>
    <w:p w14:paraId="047ECE86" w14:textId="77777777" w:rsidR="00C25926" w:rsidRDefault="00C25926" w:rsidP="00C25926">
      <w:pPr>
        <w:spacing w:after="0"/>
      </w:pPr>
      <w:r>
        <w:t xml:space="preserve"> </w:t>
      </w:r>
    </w:p>
    <w:p w14:paraId="0FC5AD38" w14:textId="09727A49" w:rsidR="00C25926" w:rsidRPr="00C32D10" w:rsidRDefault="00C25926" w:rsidP="00C25926">
      <w:pPr>
        <w:spacing w:after="0"/>
      </w:pPr>
      <w:r>
        <w:t xml:space="preserve">As a result, existing statistical data </w:t>
      </w:r>
      <w:r w:rsidRPr="007B749C">
        <w:rPr>
          <w:lang w:val="en-US"/>
        </w:rPr>
        <w:t xml:space="preserve">provide </w:t>
      </w:r>
      <w:r w:rsidR="00B11AC2">
        <w:rPr>
          <w:lang w:val="en-US"/>
        </w:rPr>
        <w:t xml:space="preserve">an </w:t>
      </w:r>
      <w:r>
        <w:rPr>
          <w:lang w:val="en-US"/>
        </w:rPr>
        <w:t>in</w:t>
      </w:r>
      <w:r w:rsidRPr="007B749C">
        <w:rPr>
          <w:lang w:val="en-US"/>
        </w:rPr>
        <w:t xml:space="preserve">adequate </w:t>
      </w:r>
      <w:r>
        <w:rPr>
          <w:lang w:val="en-US"/>
        </w:rPr>
        <w:t>empirical basis</w:t>
      </w:r>
      <w:r w:rsidRPr="007B749C">
        <w:rPr>
          <w:lang w:val="en-US"/>
        </w:rPr>
        <w:t xml:space="preserve"> for </w:t>
      </w:r>
      <w:proofErr w:type="spellStart"/>
      <w:r>
        <w:rPr>
          <w:lang w:val="en-US"/>
        </w:rPr>
        <w:t>analysi</w:t>
      </w:r>
      <w:r w:rsidR="00B11AC2">
        <w:rPr>
          <w:lang w:val="en-US"/>
        </w:rPr>
        <w:t>ng</w:t>
      </w:r>
      <w:proofErr w:type="spellEnd"/>
      <w:r>
        <w:rPr>
          <w:lang w:val="en-US"/>
        </w:rPr>
        <w:t xml:space="preserve"> the human rights situation of persons belonging to the Sámi people or other minorities. This makes it challenging to monitor the </w:t>
      </w:r>
      <w:r w:rsidRPr="00EF64EB">
        <w:rPr>
          <w:lang w:val="en-US"/>
        </w:rPr>
        <w:t>progressive reali</w:t>
      </w:r>
      <w:r>
        <w:rPr>
          <w:lang w:val="en-US"/>
        </w:rPr>
        <w:t>z</w:t>
      </w:r>
      <w:r w:rsidRPr="00EF64EB">
        <w:rPr>
          <w:lang w:val="en-US"/>
        </w:rPr>
        <w:t>ation</w:t>
      </w:r>
      <w:r>
        <w:rPr>
          <w:lang w:val="en-US"/>
        </w:rPr>
        <w:t xml:space="preserve"> of </w:t>
      </w:r>
      <w:r w:rsidRPr="00EF64EB">
        <w:rPr>
          <w:lang w:val="en-US"/>
        </w:rPr>
        <w:t>economic, social and cultural rights</w:t>
      </w:r>
      <w:r>
        <w:rPr>
          <w:lang w:val="en-US"/>
        </w:rPr>
        <w:t>, and to assess</w:t>
      </w:r>
      <w:r w:rsidRPr="00337882">
        <w:rPr>
          <w:lang w:val="en-US"/>
        </w:rPr>
        <w:t xml:space="preserve"> the effectiveness of anti-discrimination measures</w:t>
      </w:r>
      <w:r>
        <w:rPr>
          <w:lang w:val="en-US"/>
        </w:rPr>
        <w:t>,</w:t>
      </w:r>
      <w:r w:rsidRPr="00BC5A49">
        <w:rPr>
          <w:lang w:val="en-US"/>
        </w:rPr>
        <w:t xml:space="preserve"> </w:t>
      </w:r>
      <w:r>
        <w:rPr>
          <w:lang w:val="en-US"/>
        </w:rPr>
        <w:t xml:space="preserve">in accordance with paragraph 10 of the Committee’s revised reporting guidelines </w:t>
      </w:r>
      <w:r w:rsidRPr="00C319AA">
        <w:rPr>
          <w:lang w:val="en-US"/>
        </w:rPr>
        <w:t>(E/C.12/2008/2)</w:t>
      </w:r>
      <w:r>
        <w:rPr>
          <w:lang w:val="en-US"/>
        </w:rPr>
        <w:t xml:space="preserve">. </w:t>
      </w:r>
    </w:p>
    <w:p w14:paraId="2D92FC36" w14:textId="77777777" w:rsidR="00C25926" w:rsidRDefault="00C25926" w:rsidP="00C25926">
      <w:pPr>
        <w:spacing w:after="0"/>
        <w:rPr>
          <w:lang w:val="en-US"/>
        </w:rPr>
      </w:pPr>
    </w:p>
    <w:p w14:paraId="7AE2664D" w14:textId="77777777" w:rsidR="00C25926" w:rsidRPr="0051006A" w:rsidRDefault="00C25926" w:rsidP="00C25926">
      <w:pPr>
        <w:spacing w:after="0"/>
        <w:rPr>
          <w:lang w:val="en-US"/>
        </w:rPr>
      </w:pPr>
      <w:r w:rsidRPr="007D0D48">
        <w:rPr>
          <w:lang w:val="en-US"/>
        </w:rPr>
        <w:t>Several treaty bodies have made specific recommendations to Norway</w:t>
      </w:r>
      <w:r>
        <w:rPr>
          <w:lang w:val="en-US"/>
        </w:rPr>
        <w:t xml:space="preserve"> </w:t>
      </w:r>
      <w:r w:rsidRPr="007D0D48">
        <w:rPr>
          <w:lang w:val="en-US"/>
        </w:rPr>
        <w:t>regarding the lack of adequate statistical data on the ethnic composition of its population</w:t>
      </w:r>
      <w:r>
        <w:rPr>
          <w:lang w:val="en-US"/>
        </w:rPr>
        <w:t>.</w:t>
      </w:r>
      <w:r>
        <w:rPr>
          <w:rStyle w:val="Fotnotereferanse"/>
          <w:lang w:val="en-US"/>
        </w:rPr>
        <w:footnoteReference w:id="11"/>
      </w:r>
      <w:r>
        <w:rPr>
          <w:lang w:val="en-US"/>
        </w:rPr>
        <w:t xml:space="preserve"> They recommend collecting data on human rights for ethnic groups in dialogue with members of relevant groups.</w:t>
      </w:r>
    </w:p>
    <w:p w14:paraId="5A7B8B23" w14:textId="77777777" w:rsidR="00C25926" w:rsidRPr="00423A16" w:rsidRDefault="00C25926" w:rsidP="00C25926">
      <w:pPr>
        <w:spacing w:after="0"/>
        <w:rPr>
          <w:lang w:val="en-US"/>
        </w:rPr>
      </w:pPr>
    </w:p>
    <w:p w14:paraId="50959E99" w14:textId="77777777" w:rsidR="00C25926" w:rsidRPr="001152C2" w:rsidRDefault="00C25926" w:rsidP="00876B3A">
      <w:pPr>
        <w:spacing w:after="0"/>
        <w:ind w:firstLine="360"/>
        <w:rPr>
          <w:b/>
          <w:lang w:val="en-US"/>
        </w:rPr>
      </w:pPr>
      <w:r>
        <w:rPr>
          <w:b/>
          <w:lang w:val="en-US"/>
        </w:rPr>
        <w:t>Suggested r</w:t>
      </w:r>
      <w:r w:rsidRPr="001152C2">
        <w:rPr>
          <w:b/>
          <w:lang w:val="en-US"/>
        </w:rPr>
        <w:t>ecommendation</w:t>
      </w:r>
      <w:r>
        <w:rPr>
          <w:b/>
          <w:lang w:val="en-US"/>
        </w:rPr>
        <w:t>:</w:t>
      </w:r>
    </w:p>
    <w:p w14:paraId="16F2281B" w14:textId="045B7E68" w:rsidR="00C25926" w:rsidRPr="00C52E46" w:rsidRDefault="00C25926" w:rsidP="00C25926">
      <w:pPr>
        <w:pStyle w:val="Listeavsnitt"/>
        <w:numPr>
          <w:ilvl w:val="0"/>
          <w:numId w:val="38"/>
        </w:numPr>
        <w:rPr>
          <w:lang w:val="en-US"/>
        </w:rPr>
      </w:pPr>
      <w:r>
        <w:rPr>
          <w:lang w:val="en-US"/>
        </w:rPr>
        <w:t xml:space="preserve">The State Party </w:t>
      </w:r>
      <w:r w:rsidRPr="00C52E46">
        <w:rPr>
          <w:lang w:val="en-US"/>
        </w:rPr>
        <w:t xml:space="preserve">should ensure </w:t>
      </w:r>
      <w:r>
        <w:rPr>
          <w:lang w:val="en-US"/>
        </w:rPr>
        <w:t xml:space="preserve">adequate </w:t>
      </w:r>
      <w:r w:rsidRPr="00C52E46">
        <w:rPr>
          <w:lang w:val="en-US"/>
        </w:rPr>
        <w:t xml:space="preserve">statistical data </w:t>
      </w:r>
      <w:r>
        <w:rPr>
          <w:lang w:val="en-US"/>
        </w:rPr>
        <w:t xml:space="preserve">on the </w:t>
      </w:r>
      <w:r w:rsidRPr="00C52E46">
        <w:rPr>
          <w:lang w:val="en-US"/>
        </w:rPr>
        <w:t>enjoyment of Covenant rights, including by allowing the Sámi people and other minorities to</w:t>
      </w:r>
      <w:r>
        <w:rPr>
          <w:lang w:val="en-US"/>
        </w:rPr>
        <w:t xml:space="preserve"> </w:t>
      </w:r>
      <w:r w:rsidRPr="00C52E46">
        <w:rPr>
          <w:lang w:val="en-US"/>
        </w:rPr>
        <w:lastRenderedPageBreak/>
        <w:t>voluntarily self-identify</w:t>
      </w:r>
      <w:r w:rsidR="00B11AC2">
        <w:rPr>
          <w:lang w:val="en-US"/>
        </w:rPr>
        <w:t xml:space="preserve"> in statistical collections</w:t>
      </w:r>
      <w:r w:rsidRPr="00C52E46">
        <w:rPr>
          <w:lang w:val="en-US"/>
        </w:rPr>
        <w:t xml:space="preserve">, </w:t>
      </w:r>
      <w:r>
        <w:rPr>
          <w:lang w:val="en-US"/>
        </w:rPr>
        <w:t xml:space="preserve">while </w:t>
      </w:r>
      <w:r w:rsidRPr="00C52E46">
        <w:rPr>
          <w:lang w:val="en-US"/>
        </w:rPr>
        <w:t xml:space="preserve">securing their effective participation, privacy and confidentiality at all stages of the process. </w:t>
      </w:r>
    </w:p>
    <w:p w14:paraId="0F8F9470" w14:textId="2CDCA54D" w:rsidR="00C25926" w:rsidRDefault="00C25926" w:rsidP="00C25926">
      <w:pPr>
        <w:pStyle w:val="Overskrift1"/>
      </w:pPr>
      <w:bookmarkStart w:id="11" w:name="_Hlk523756496"/>
      <w:bookmarkStart w:id="12" w:name="_Toc29897654"/>
      <w:r w:rsidRPr="00F63DCB">
        <w:t>National minorities</w:t>
      </w:r>
      <w:r>
        <w:t xml:space="preserve"> – Tater</w:t>
      </w:r>
      <w:r w:rsidR="00F63DCB">
        <w:t>/ Romani</w:t>
      </w:r>
      <w:bookmarkEnd w:id="12"/>
      <w:r>
        <w:t xml:space="preserve"> </w:t>
      </w:r>
    </w:p>
    <w:p w14:paraId="34BBECE7" w14:textId="513ABA47" w:rsidR="00C25926" w:rsidRDefault="00C25926" w:rsidP="00C96AEB">
      <w:pPr>
        <w:spacing w:line="259" w:lineRule="auto"/>
        <w:contextualSpacing/>
        <w:jc w:val="left"/>
        <w:rPr>
          <w:rFonts w:eastAsia="Calibri" w:cs="Times New Roman"/>
          <w:color w:val="auto"/>
          <w:szCs w:val="22"/>
        </w:rPr>
      </w:pPr>
      <w:r>
        <w:rPr>
          <w:rFonts w:eastAsia="Calibri" w:cs="Times New Roman"/>
          <w:color w:val="auto"/>
          <w:szCs w:val="22"/>
        </w:rPr>
        <w:t xml:space="preserve">Reference is made to </w:t>
      </w:r>
      <w:proofErr w:type="spellStart"/>
      <w:r>
        <w:rPr>
          <w:rFonts w:eastAsia="Calibri" w:cs="Times New Roman"/>
          <w:color w:val="auto"/>
          <w:szCs w:val="22"/>
        </w:rPr>
        <w:t>LOIPR</w:t>
      </w:r>
      <w:proofErr w:type="spellEnd"/>
      <w:r>
        <w:rPr>
          <w:rFonts w:eastAsia="Calibri" w:cs="Times New Roman"/>
          <w:color w:val="auto"/>
          <w:szCs w:val="22"/>
        </w:rPr>
        <w:t xml:space="preserve"> para.</w:t>
      </w:r>
      <w:r w:rsidR="0091542D">
        <w:rPr>
          <w:rFonts w:eastAsia="Calibri" w:cs="Times New Roman"/>
          <w:color w:val="auto"/>
          <w:szCs w:val="22"/>
        </w:rPr>
        <w:t xml:space="preserve"> </w:t>
      </w:r>
      <w:r>
        <w:rPr>
          <w:rFonts w:eastAsia="Calibri" w:cs="Times New Roman"/>
          <w:color w:val="auto"/>
          <w:szCs w:val="22"/>
        </w:rPr>
        <w:t>14</w:t>
      </w:r>
      <w:r w:rsidR="004F4CBA">
        <w:rPr>
          <w:rFonts w:eastAsia="Calibri" w:cs="Times New Roman"/>
          <w:color w:val="auto"/>
          <w:szCs w:val="22"/>
        </w:rPr>
        <w:t xml:space="preserve"> </w:t>
      </w:r>
      <w:r w:rsidRPr="00C52E46">
        <w:rPr>
          <w:rFonts w:eastAsia="Calibri" w:cs="Times New Roman"/>
          <w:color w:val="auto"/>
          <w:szCs w:val="22"/>
        </w:rPr>
        <w:t>and the State report, para. 91.</w:t>
      </w:r>
    </w:p>
    <w:p w14:paraId="287C2599" w14:textId="7B3BA81D" w:rsidR="00C25926" w:rsidRPr="002F0860" w:rsidRDefault="00C25926" w:rsidP="00C96AEB">
      <w:pPr>
        <w:spacing w:before="240" w:after="160" w:line="259" w:lineRule="auto"/>
        <w:jc w:val="left"/>
        <w:rPr>
          <w:rFonts w:eastAsia="Calibri" w:cs="Times New Roman"/>
          <w:color w:val="auto"/>
          <w:szCs w:val="22"/>
        </w:rPr>
      </w:pPr>
      <w:r w:rsidRPr="002F0860">
        <w:rPr>
          <w:rFonts w:eastAsia="Calibri" w:cs="Times New Roman"/>
          <w:color w:val="auto"/>
          <w:szCs w:val="22"/>
        </w:rPr>
        <w:t xml:space="preserve">On 1 June 2015, the Governmental Commission on Tater/Romani (hereafter the Commission) issued its final report “Assimilation and </w:t>
      </w:r>
      <w:r>
        <w:rPr>
          <w:rFonts w:eastAsia="Calibri" w:cs="Times New Roman"/>
          <w:color w:val="auto"/>
          <w:szCs w:val="22"/>
        </w:rPr>
        <w:t>Resistance</w:t>
      </w:r>
      <w:r w:rsidRPr="002F0860">
        <w:rPr>
          <w:rFonts w:eastAsia="Calibri" w:cs="Times New Roman"/>
          <w:color w:val="auto"/>
          <w:szCs w:val="22"/>
        </w:rPr>
        <w:t>: Norwegian polic</w:t>
      </w:r>
      <w:r>
        <w:rPr>
          <w:rFonts w:eastAsia="Calibri" w:cs="Times New Roman"/>
          <w:color w:val="auto"/>
          <w:szCs w:val="22"/>
        </w:rPr>
        <w:t>ies</w:t>
      </w:r>
      <w:r w:rsidRPr="002F0860">
        <w:rPr>
          <w:rFonts w:eastAsia="Calibri" w:cs="Times New Roman"/>
          <w:color w:val="auto"/>
          <w:szCs w:val="22"/>
        </w:rPr>
        <w:t xml:space="preserve"> towards Tater/Romani people from 1850 </w:t>
      </w:r>
      <w:r>
        <w:rPr>
          <w:rFonts w:eastAsia="Calibri" w:cs="Times New Roman"/>
          <w:color w:val="auto"/>
          <w:szCs w:val="22"/>
        </w:rPr>
        <w:t>to the present</w:t>
      </w:r>
      <w:r w:rsidRPr="002F0860">
        <w:rPr>
          <w:rFonts w:eastAsia="Calibri" w:cs="Times New Roman"/>
          <w:color w:val="auto"/>
          <w:szCs w:val="22"/>
        </w:rPr>
        <w:t>”</w:t>
      </w:r>
      <w:r>
        <w:rPr>
          <w:rFonts w:eastAsia="Calibri" w:cs="Times New Roman"/>
          <w:color w:val="auto"/>
          <w:szCs w:val="22"/>
        </w:rPr>
        <w:t xml:space="preserve"> (</w:t>
      </w:r>
      <w:proofErr w:type="spellStart"/>
      <w:r>
        <w:rPr>
          <w:rFonts w:eastAsia="Calibri" w:cs="Times New Roman"/>
          <w:color w:val="auto"/>
          <w:szCs w:val="22"/>
        </w:rPr>
        <w:t>NOU</w:t>
      </w:r>
      <w:proofErr w:type="spellEnd"/>
      <w:r>
        <w:rPr>
          <w:rFonts w:eastAsia="Calibri" w:cs="Times New Roman"/>
          <w:color w:val="auto"/>
          <w:szCs w:val="22"/>
        </w:rPr>
        <w:t xml:space="preserve"> 2015:7)</w:t>
      </w:r>
      <w:r w:rsidRPr="002F0860">
        <w:rPr>
          <w:rFonts w:eastAsia="Calibri" w:cs="Times New Roman"/>
          <w:color w:val="auto"/>
          <w:szCs w:val="22"/>
        </w:rPr>
        <w:t xml:space="preserve">. The main finding of the report is that Norwegian authorities have been implementing a hard-handed assimilation policy with regard to Tater/Romani people, still </w:t>
      </w:r>
      <w:r w:rsidR="004F4CBA" w:rsidRPr="002F0860">
        <w:rPr>
          <w:rFonts w:eastAsia="Calibri" w:cs="Times New Roman"/>
          <w:color w:val="auto"/>
          <w:szCs w:val="22"/>
        </w:rPr>
        <w:t>noticeable</w:t>
      </w:r>
      <w:r w:rsidRPr="002F0860">
        <w:rPr>
          <w:rFonts w:eastAsia="Calibri" w:cs="Times New Roman"/>
          <w:color w:val="auto"/>
          <w:szCs w:val="22"/>
        </w:rPr>
        <w:t xml:space="preserve"> as late as the 1980s.</w:t>
      </w:r>
    </w:p>
    <w:p w14:paraId="3DBB2397" w14:textId="77777777" w:rsidR="00C25926" w:rsidRPr="002F0860" w:rsidRDefault="00C25926" w:rsidP="00C25926">
      <w:pPr>
        <w:spacing w:after="160" w:line="259" w:lineRule="auto"/>
        <w:jc w:val="left"/>
        <w:rPr>
          <w:rFonts w:eastAsia="Calibri" w:cs="Times New Roman"/>
          <w:color w:val="auto"/>
          <w:szCs w:val="22"/>
        </w:rPr>
      </w:pPr>
      <w:r w:rsidRPr="002F0860">
        <w:rPr>
          <w:rFonts w:eastAsia="Calibri" w:cs="Times New Roman"/>
          <w:color w:val="auto"/>
          <w:szCs w:val="22"/>
        </w:rPr>
        <w:t>The Government established a reference group of representatives for the Tater/Romani minority in April 2018 with a view to follow up on the various recommendations of the Commission. To secure transparency and wider participation, an official website has been established to provide information on progress.  Among the issues under consideration are the establishment of a cultural centre, strengthening education on Tater/Romani culture and history, as well a system for future administration of financial means for “collective redress” (</w:t>
      </w:r>
      <w:proofErr w:type="spellStart"/>
      <w:r w:rsidRPr="002F0860">
        <w:rPr>
          <w:rFonts w:eastAsia="Calibri" w:cs="Times New Roman"/>
          <w:color w:val="auto"/>
          <w:szCs w:val="22"/>
        </w:rPr>
        <w:t>kollektiv</w:t>
      </w:r>
      <w:proofErr w:type="spellEnd"/>
      <w:r w:rsidRPr="002F0860">
        <w:rPr>
          <w:rFonts w:eastAsia="Calibri" w:cs="Times New Roman"/>
          <w:color w:val="auto"/>
          <w:szCs w:val="22"/>
        </w:rPr>
        <w:t xml:space="preserve"> </w:t>
      </w:r>
      <w:proofErr w:type="spellStart"/>
      <w:r w:rsidRPr="002F0860">
        <w:rPr>
          <w:rFonts w:eastAsia="Calibri" w:cs="Times New Roman"/>
          <w:color w:val="auto"/>
          <w:szCs w:val="22"/>
        </w:rPr>
        <w:t>oppreising</w:t>
      </w:r>
      <w:proofErr w:type="spellEnd"/>
      <w:r w:rsidRPr="002F0860">
        <w:rPr>
          <w:rFonts w:eastAsia="Calibri" w:cs="Times New Roman"/>
          <w:color w:val="auto"/>
          <w:szCs w:val="22"/>
        </w:rPr>
        <w:t xml:space="preserve">).  </w:t>
      </w:r>
    </w:p>
    <w:p w14:paraId="4F513CDC" w14:textId="3AAD6622" w:rsidR="00C25926" w:rsidRPr="002F0860" w:rsidRDefault="00C25926" w:rsidP="00C25926">
      <w:pPr>
        <w:spacing w:after="160" w:line="259" w:lineRule="auto"/>
        <w:jc w:val="left"/>
        <w:rPr>
          <w:rFonts w:eastAsia="Calibri" w:cs="Times New Roman"/>
          <w:color w:val="auto"/>
          <w:szCs w:val="22"/>
        </w:rPr>
      </w:pPr>
      <w:r w:rsidRPr="00C52E46">
        <w:rPr>
          <w:rFonts w:eastAsia="Calibri" w:cs="Times New Roman"/>
          <w:color w:val="auto"/>
          <w:szCs w:val="22"/>
        </w:rPr>
        <w:t xml:space="preserve">In the State </w:t>
      </w:r>
      <w:r w:rsidR="00836F8B">
        <w:rPr>
          <w:rFonts w:eastAsia="Calibri" w:cs="Times New Roman"/>
          <w:color w:val="auto"/>
          <w:szCs w:val="22"/>
        </w:rPr>
        <w:t>R</w:t>
      </w:r>
      <w:r w:rsidRPr="00C52E46">
        <w:rPr>
          <w:rFonts w:eastAsia="Calibri" w:cs="Times New Roman"/>
          <w:color w:val="auto"/>
          <w:szCs w:val="22"/>
        </w:rPr>
        <w:t xml:space="preserve">eport, it is specified that the follow up to </w:t>
      </w:r>
      <w:r>
        <w:rPr>
          <w:rFonts w:eastAsia="Calibri" w:cs="Times New Roman"/>
          <w:color w:val="auto"/>
          <w:szCs w:val="22"/>
        </w:rPr>
        <w:t xml:space="preserve">the Commission’s </w:t>
      </w:r>
      <w:r w:rsidRPr="00C52E46">
        <w:rPr>
          <w:rFonts w:eastAsia="Calibri" w:cs="Times New Roman"/>
          <w:color w:val="auto"/>
          <w:szCs w:val="22"/>
        </w:rPr>
        <w:t>Report will be included in a report to Parliament concerning national minorities in 2020.</w:t>
      </w:r>
    </w:p>
    <w:p w14:paraId="7A989810" w14:textId="77777777" w:rsidR="00C25926" w:rsidRPr="00C52E46" w:rsidRDefault="00C25926" w:rsidP="00876B3A">
      <w:pPr>
        <w:spacing w:after="160" w:line="259" w:lineRule="auto"/>
        <w:ind w:firstLine="360"/>
        <w:jc w:val="left"/>
        <w:rPr>
          <w:rFonts w:eastAsia="Calibri" w:cs="Times New Roman"/>
          <w:b/>
          <w:color w:val="auto"/>
          <w:szCs w:val="22"/>
        </w:rPr>
      </w:pPr>
      <w:r w:rsidRPr="00C52E46">
        <w:rPr>
          <w:rFonts w:eastAsia="Calibri" w:cs="Times New Roman"/>
          <w:b/>
          <w:color w:val="auto"/>
          <w:szCs w:val="22"/>
        </w:rPr>
        <w:t>Suggested recommendation:</w:t>
      </w:r>
    </w:p>
    <w:p w14:paraId="4B0E9D57" w14:textId="2933FB19" w:rsidR="00C25926" w:rsidRPr="004733BB" w:rsidRDefault="00C25926" w:rsidP="00C25926">
      <w:pPr>
        <w:pStyle w:val="Listeavsnitt"/>
        <w:numPr>
          <w:ilvl w:val="0"/>
          <w:numId w:val="38"/>
        </w:numPr>
        <w:spacing w:after="160" w:line="259" w:lineRule="auto"/>
        <w:jc w:val="left"/>
        <w:rPr>
          <w:rFonts w:eastAsia="Calibri" w:cs="Times New Roman"/>
          <w:color w:val="auto"/>
          <w:szCs w:val="22"/>
          <w:lang w:val="en-US"/>
        </w:rPr>
      </w:pPr>
      <w:r w:rsidRPr="00C52E46">
        <w:rPr>
          <w:rFonts w:eastAsia="Calibri" w:cs="Times New Roman"/>
          <w:color w:val="auto"/>
          <w:szCs w:val="22"/>
        </w:rPr>
        <w:t xml:space="preserve">The State Party should </w:t>
      </w:r>
      <w:r>
        <w:rPr>
          <w:rFonts w:eastAsia="Calibri" w:cs="Times New Roman"/>
          <w:color w:val="auto"/>
          <w:szCs w:val="22"/>
        </w:rPr>
        <w:t>intensify its efforts to follow-up</w:t>
      </w:r>
      <w:r w:rsidRPr="00C52E46">
        <w:rPr>
          <w:rFonts w:eastAsia="Calibri" w:cs="Times New Roman"/>
          <w:color w:val="auto"/>
          <w:szCs w:val="22"/>
        </w:rPr>
        <w:t xml:space="preserve"> the </w:t>
      </w:r>
      <w:r>
        <w:rPr>
          <w:rFonts w:eastAsia="Calibri" w:cs="Times New Roman"/>
          <w:color w:val="auto"/>
          <w:szCs w:val="22"/>
        </w:rPr>
        <w:t>recommendations in</w:t>
      </w:r>
      <w:r w:rsidRPr="00C52E46">
        <w:rPr>
          <w:rFonts w:eastAsia="Calibri" w:cs="Times New Roman"/>
          <w:color w:val="auto"/>
          <w:szCs w:val="22"/>
        </w:rPr>
        <w:t xml:space="preserve"> </w:t>
      </w:r>
      <w:proofErr w:type="spellStart"/>
      <w:r w:rsidRPr="00C52E46">
        <w:rPr>
          <w:rFonts w:eastAsia="Calibri" w:cs="Times New Roman"/>
          <w:color w:val="auto"/>
          <w:szCs w:val="22"/>
        </w:rPr>
        <w:t>NOU</w:t>
      </w:r>
      <w:proofErr w:type="spellEnd"/>
      <w:r w:rsidRPr="00C52E46">
        <w:rPr>
          <w:rFonts w:eastAsia="Calibri" w:cs="Times New Roman"/>
          <w:color w:val="auto"/>
          <w:szCs w:val="22"/>
        </w:rPr>
        <w:t xml:space="preserve"> 2015:7</w:t>
      </w:r>
      <w:r>
        <w:rPr>
          <w:rFonts w:eastAsia="Calibri" w:cs="Times New Roman"/>
          <w:color w:val="auto"/>
          <w:szCs w:val="22"/>
        </w:rPr>
        <w:t xml:space="preserve">, in close consultation with </w:t>
      </w:r>
      <w:r w:rsidRPr="00C52E46">
        <w:rPr>
          <w:rFonts w:eastAsia="Calibri" w:cs="Times New Roman"/>
          <w:color w:val="auto"/>
          <w:szCs w:val="22"/>
        </w:rPr>
        <w:t>representatives of the Romani people/Tater.</w:t>
      </w:r>
    </w:p>
    <w:p w14:paraId="0AB6F271" w14:textId="77777777" w:rsidR="00C25926" w:rsidRPr="004733BB" w:rsidRDefault="00C25926" w:rsidP="00C25926">
      <w:pPr>
        <w:pStyle w:val="Listeavsnitt"/>
        <w:numPr>
          <w:ilvl w:val="0"/>
          <w:numId w:val="0"/>
        </w:numPr>
        <w:spacing w:after="160" w:line="259" w:lineRule="auto"/>
        <w:ind w:left="720"/>
        <w:jc w:val="left"/>
        <w:rPr>
          <w:rFonts w:eastAsia="Calibri" w:cs="Times New Roman"/>
          <w:color w:val="auto"/>
          <w:szCs w:val="22"/>
          <w:lang w:val="en-US"/>
        </w:rPr>
      </w:pPr>
    </w:p>
    <w:p w14:paraId="651373A2" w14:textId="6D6F33FD" w:rsidR="00C25926" w:rsidRPr="00E343A9" w:rsidRDefault="00C25926" w:rsidP="00C25926">
      <w:pPr>
        <w:pStyle w:val="Overskrift1"/>
        <w:rPr>
          <w:color w:val="auto"/>
        </w:rPr>
      </w:pPr>
      <w:bookmarkStart w:id="13" w:name="_Toc29897655"/>
      <w:bookmarkEnd w:id="11"/>
      <w:r w:rsidRPr="00EF307E">
        <w:rPr>
          <w:color w:val="auto"/>
        </w:rPr>
        <w:t>Asylum seekers</w:t>
      </w:r>
      <w:bookmarkEnd w:id="13"/>
      <w:r w:rsidRPr="00EF307E">
        <w:rPr>
          <w:color w:val="auto"/>
        </w:rPr>
        <w:t xml:space="preserve"> </w:t>
      </w:r>
    </w:p>
    <w:p w14:paraId="3647FA0D" w14:textId="77777777" w:rsidR="00C25926" w:rsidRDefault="00C25926" w:rsidP="00E343A9">
      <w:pPr>
        <w:pStyle w:val="Overskrift2"/>
      </w:pPr>
      <w:bookmarkStart w:id="14" w:name="_Toc29897656"/>
      <w:r>
        <w:t>Care for unaccompanied asylum-</w:t>
      </w:r>
      <w:r w:rsidRPr="006A5B02">
        <w:t xml:space="preserve"> </w:t>
      </w:r>
      <w:r>
        <w:t>seeking children</w:t>
      </w:r>
      <w:bookmarkEnd w:id="14"/>
    </w:p>
    <w:p w14:paraId="0250834B" w14:textId="0C27D97E" w:rsidR="00C25926" w:rsidRDefault="00C25926" w:rsidP="00C25926">
      <w:pPr>
        <w:rPr>
          <w:color w:val="auto"/>
        </w:rPr>
      </w:pPr>
      <w:r>
        <w:rPr>
          <w:color w:val="auto"/>
        </w:rPr>
        <w:t xml:space="preserve">Reference is made to </w:t>
      </w:r>
      <w:proofErr w:type="spellStart"/>
      <w:r>
        <w:rPr>
          <w:color w:val="auto"/>
        </w:rPr>
        <w:t>LOIPR</w:t>
      </w:r>
      <w:proofErr w:type="spellEnd"/>
      <w:r>
        <w:rPr>
          <w:color w:val="auto"/>
        </w:rPr>
        <w:t xml:space="preserve"> para.</w:t>
      </w:r>
      <w:r w:rsidR="008F7278">
        <w:rPr>
          <w:color w:val="auto"/>
        </w:rPr>
        <w:t xml:space="preserve"> </w:t>
      </w:r>
      <w:r>
        <w:rPr>
          <w:color w:val="auto"/>
        </w:rPr>
        <w:t xml:space="preserve">15 b) and </w:t>
      </w:r>
      <w:r w:rsidR="00E33C1D">
        <w:rPr>
          <w:color w:val="auto"/>
        </w:rPr>
        <w:t xml:space="preserve">the </w:t>
      </w:r>
      <w:r>
        <w:rPr>
          <w:color w:val="auto"/>
        </w:rPr>
        <w:t>State Report para.</w:t>
      </w:r>
      <w:r w:rsidR="008F7278">
        <w:rPr>
          <w:color w:val="auto"/>
        </w:rPr>
        <w:t xml:space="preserve"> </w:t>
      </w:r>
      <w:r>
        <w:rPr>
          <w:color w:val="auto"/>
        </w:rPr>
        <w:t>97-99.</w:t>
      </w:r>
    </w:p>
    <w:p w14:paraId="133D1E8C" w14:textId="77777777" w:rsidR="00B11AC2" w:rsidRDefault="00B11AC2" w:rsidP="00B11AC2">
      <w:pPr>
        <w:rPr>
          <w:lang w:val="en-US"/>
        </w:rPr>
      </w:pPr>
      <w:r w:rsidRPr="00D06678">
        <w:rPr>
          <w:lang w:val="en-US"/>
        </w:rPr>
        <w:t xml:space="preserve">In 2017, </w:t>
      </w:r>
      <w:proofErr w:type="spellStart"/>
      <w:r w:rsidRPr="00D06678">
        <w:rPr>
          <w:lang w:val="en-US"/>
        </w:rPr>
        <w:t>NHRI</w:t>
      </w:r>
      <w:proofErr w:type="spellEnd"/>
      <w:r>
        <w:rPr>
          <w:lang w:val="en-US"/>
        </w:rPr>
        <w:t xml:space="preserve"> </w:t>
      </w:r>
      <w:r w:rsidRPr="00D06678">
        <w:rPr>
          <w:lang w:val="en-US"/>
        </w:rPr>
        <w:t xml:space="preserve">published a thematic report </w:t>
      </w:r>
      <w:r>
        <w:rPr>
          <w:lang w:val="en-US"/>
        </w:rPr>
        <w:t xml:space="preserve">which showed significant differences in </w:t>
      </w:r>
      <w:r w:rsidRPr="00D06678">
        <w:rPr>
          <w:lang w:val="en-US"/>
        </w:rPr>
        <w:t>care</w:t>
      </w:r>
      <w:r>
        <w:rPr>
          <w:lang w:val="en-US"/>
        </w:rPr>
        <w:t xml:space="preserve"> </w:t>
      </w:r>
      <w:r w:rsidRPr="00D06678">
        <w:rPr>
          <w:lang w:val="en-US"/>
        </w:rPr>
        <w:t>for</w:t>
      </w:r>
      <w:r>
        <w:rPr>
          <w:lang w:val="en-US"/>
        </w:rPr>
        <w:t xml:space="preserve"> u</w:t>
      </w:r>
      <w:r w:rsidRPr="00D06678">
        <w:rPr>
          <w:lang w:val="en-US"/>
        </w:rPr>
        <w:t>naccompanied</w:t>
      </w:r>
      <w:r>
        <w:rPr>
          <w:lang w:val="en-US"/>
        </w:rPr>
        <w:t xml:space="preserve"> </w:t>
      </w:r>
      <w:r w:rsidRPr="00D06678">
        <w:rPr>
          <w:lang w:val="en-US"/>
        </w:rPr>
        <w:t xml:space="preserve">asylum-seeking minors aged 15 –18 in reception </w:t>
      </w:r>
      <w:proofErr w:type="spellStart"/>
      <w:r w:rsidRPr="00D06678">
        <w:rPr>
          <w:lang w:val="en-US"/>
        </w:rPr>
        <w:t>centres</w:t>
      </w:r>
      <w:proofErr w:type="spellEnd"/>
      <w:r>
        <w:rPr>
          <w:lang w:val="en-US"/>
        </w:rPr>
        <w:t xml:space="preserve"> as compared to those under 15 years old and to other children under the responsibility of the Child Welfare Services</w:t>
      </w:r>
      <w:r w:rsidRPr="00D06678">
        <w:rPr>
          <w:lang w:val="en-US"/>
        </w:rPr>
        <w:t xml:space="preserve">. The report argues that Article 22 paragraph 2 of the Convention on the Rights of the Child obliges </w:t>
      </w:r>
      <w:r>
        <w:rPr>
          <w:lang w:val="en-US"/>
        </w:rPr>
        <w:t xml:space="preserve">the </w:t>
      </w:r>
      <w:r w:rsidRPr="00D06678">
        <w:rPr>
          <w:lang w:val="en-US"/>
        </w:rPr>
        <w:t xml:space="preserve">authorities to </w:t>
      </w:r>
      <w:r>
        <w:rPr>
          <w:lang w:val="en-US"/>
        </w:rPr>
        <w:t>provide</w:t>
      </w:r>
      <w:r w:rsidRPr="00D06678">
        <w:rPr>
          <w:lang w:val="en-US"/>
        </w:rPr>
        <w:t xml:space="preserve"> </w:t>
      </w:r>
      <w:r>
        <w:rPr>
          <w:lang w:val="en-US"/>
        </w:rPr>
        <w:t xml:space="preserve">an equivalent standard of care and protection to </w:t>
      </w:r>
      <w:r w:rsidRPr="00D06678">
        <w:rPr>
          <w:lang w:val="en-US"/>
        </w:rPr>
        <w:t xml:space="preserve">unaccompanied asylum-seeking minors aged 15-17. The younger children </w:t>
      </w:r>
      <w:r w:rsidRPr="00D06678">
        <w:rPr>
          <w:lang w:val="en-US"/>
        </w:rPr>
        <w:lastRenderedPageBreak/>
        <w:t>are under the responsibility of the Child Welfare Services</w:t>
      </w:r>
      <w:r>
        <w:rPr>
          <w:lang w:val="en-US"/>
        </w:rPr>
        <w:t xml:space="preserve"> and receive better care than</w:t>
      </w:r>
      <w:r w:rsidRPr="00D06678">
        <w:rPr>
          <w:lang w:val="en-US"/>
        </w:rPr>
        <w:t xml:space="preserve"> the older children </w:t>
      </w:r>
      <w:r>
        <w:rPr>
          <w:lang w:val="en-US"/>
        </w:rPr>
        <w:t xml:space="preserve">who </w:t>
      </w:r>
      <w:r w:rsidRPr="00D06678">
        <w:rPr>
          <w:lang w:val="en-US"/>
        </w:rPr>
        <w:t xml:space="preserve">live in designated reception </w:t>
      </w:r>
      <w:proofErr w:type="spellStart"/>
      <w:r w:rsidRPr="00D06678">
        <w:rPr>
          <w:lang w:val="en-US"/>
        </w:rPr>
        <w:t>centres</w:t>
      </w:r>
      <w:proofErr w:type="spellEnd"/>
      <w:r w:rsidRPr="00D06678">
        <w:rPr>
          <w:lang w:val="en-US"/>
        </w:rPr>
        <w:t xml:space="preserve">. </w:t>
      </w:r>
    </w:p>
    <w:p w14:paraId="2AC98F8B" w14:textId="77777777" w:rsidR="00B11AC2" w:rsidRDefault="00B11AC2" w:rsidP="00B11AC2">
      <w:pPr>
        <w:rPr>
          <w:lang w:val="en-US"/>
        </w:rPr>
      </w:pPr>
      <w:r>
        <w:rPr>
          <w:lang w:val="en-US"/>
        </w:rPr>
        <w:t xml:space="preserve">The plan was originally that the Child Welfare Service should have the responsibility for the care of </w:t>
      </w:r>
      <w:r>
        <w:rPr>
          <w:i/>
          <w:lang w:val="en-US"/>
        </w:rPr>
        <w:t>all</w:t>
      </w:r>
      <w:r>
        <w:rPr>
          <w:lang w:val="en-US"/>
        </w:rPr>
        <w:t xml:space="preserve"> unaccompanied asylum-seeking minors in 2009. This has not happened due to budgetary reasons</w:t>
      </w:r>
      <w:r w:rsidRPr="00D06678">
        <w:rPr>
          <w:lang w:val="en-US"/>
        </w:rPr>
        <w:t>.</w:t>
      </w:r>
      <w:r>
        <w:rPr>
          <w:lang w:val="en-US"/>
        </w:rPr>
        <w:t xml:space="preserve"> In the State Report the Government puts forward a new argument, namely that the younger children normally require a higher level of care than the older children.</w:t>
      </w:r>
    </w:p>
    <w:p w14:paraId="11948132" w14:textId="77777777" w:rsidR="00B11AC2" w:rsidRDefault="00B11AC2" w:rsidP="00B11AC2">
      <w:pPr>
        <w:rPr>
          <w:lang w:val="en-US"/>
        </w:rPr>
      </w:pPr>
      <w:r>
        <w:rPr>
          <w:lang w:val="en-US"/>
        </w:rPr>
        <w:t>However, a</w:t>
      </w:r>
      <w:r w:rsidRPr="00F670C7">
        <w:rPr>
          <w:lang w:val="en-US"/>
        </w:rPr>
        <w:t xml:space="preserve"> </w:t>
      </w:r>
      <w:r>
        <w:rPr>
          <w:lang w:val="en-US"/>
        </w:rPr>
        <w:t xml:space="preserve">research </w:t>
      </w:r>
      <w:r w:rsidRPr="00F670C7">
        <w:rPr>
          <w:lang w:val="en-US"/>
        </w:rPr>
        <w:t>report</w:t>
      </w:r>
      <w:r w:rsidRPr="00D06678">
        <w:rPr>
          <w:lang w:val="en-US"/>
        </w:rPr>
        <w:t xml:space="preserve">  from  </w:t>
      </w:r>
      <w:r>
        <w:rPr>
          <w:lang w:val="en-US"/>
        </w:rPr>
        <w:t xml:space="preserve">2018 </w:t>
      </w:r>
      <w:r w:rsidRPr="00D06678">
        <w:rPr>
          <w:lang w:val="en-US"/>
        </w:rPr>
        <w:t>indicates</w:t>
      </w:r>
      <w:r>
        <w:rPr>
          <w:lang w:val="en-US"/>
        </w:rPr>
        <w:t xml:space="preserve"> that there are major differences in the level of care provided in different reception </w:t>
      </w:r>
      <w:proofErr w:type="spellStart"/>
      <w:r>
        <w:rPr>
          <w:lang w:val="en-US"/>
        </w:rPr>
        <w:t>centres</w:t>
      </w:r>
      <w:proofErr w:type="spellEnd"/>
      <w:r>
        <w:rPr>
          <w:lang w:val="en-US"/>
        </w:rPr>
        <w:t xml:space="preserve"> and in the way the reception </w:t>
      </w:r>
      <w:proofErr w:type="spellStart"/>
      <w:r>
        <w:rPr>
          <w:lang w:val="en-US"/>
        </w:rPr>
        <w:t>centres</w:t>
      </w:r>
      <w:proofErr w:type="spellEnd"/>
      <w:r>
        <w:rPr>
          <w:lang w:val="en-US"/>
        </w:rPr>
        <w:t xml:space="preserve"> are organized.</w:t>
      </w:r>
      <w:r>
        <w:rPr>
          <w:rStyle w:val="Fotnotereferanse"/>
          <w:lang w:val="en-US"/>
        </w:rPr>
        <w:footnoteReference w:id="12"/>
      </w:r>
      <w:r>
        <w:rPr>
          <w:lang w:val="en-US"/>
        </w:rPr>
        <w:t xml:space="preserve"> The report further points to insufficient mental health care services</w:t>
      </w:r>
      <w:r w:rsidRPr="00D06678">
        <w:rPr>
          <w:lang w:val="en-US"/>
        </w:rPr>
        <w:t>.</w:t>
      </w:r>
      <w:r>
        <w:rPr>
          <w:rStyle w:val="Fotnotereferanse"/>
          <w:lang w:val="en-US"/>
        </w:rPr>
        <w:footnoteReference w:id="13"/>
      </w:r>
      <w:r>
        <w:rPr>
          <w:lang w:val="en-US"/>
        </w:rPr>
        <w:t xml:space="preserve"> Some reception </w:t>
      </w:r>
      <w:proofErr w:type="spellStart"/>
      <w:r>
        <w:rPr>
          <w:lang w:val="en-US"/>
        </w:rPr>
        <w:t>centres</w:t>
      </w:r>
      <w:proofErr w:type="spellEnd"/>
      <w:r>
        <w:rPr>
          <w:lang w:val="en-US"/>
        </w:rPr>
        <w:t xml:space="preserve"> also lack basic care functions such as ensuring that the children get enough and adequate food and securing an environment which allows for proper sleep at night.</w:t>
      </w:r>
    </w:p>
    <w:p w14:paraId="24B1F052" w14:textId="77777777" w:rsidR="00C25926" w:rsidRPr="000526EC" w:rsidRDefault="00C25926" w:rsidP="00876B3A">
      <w:pPr>
        <w:ind w:firstLine="360"/>
        <w:rPr>
          <w:b/>
          <w:lang w:val="en-US"/>
        </w:rPr>
      </w:pPr>
      <w:r w:rsidRPr="000526EC">
        <w:rPr>
          <w:b/>
          <w:lang w:val="en-US"/>
        </w:rPr>
        <w:t>Suggested recommendation:</w:t>
      </w:r>
    </w:p>
    <w:p w14:paraId="595D3AAD" w14:textId="77777777" w:rsidR="00C25926" w:rsidRPr="000526EC" w:rsidRDefault="00C25926" w:rsidP="00C25926">
      <w:pPr>
        <w:pStyle w:val="Listeavsnitt"/>
        <w:numPr>
          <w:ilvl w:val="0"/>
          <w:numId w:val="38"/>
        </w:numPr>
        <w:rPr>
          <w:lang w:val="en-US"/>
        </w:rPr>
      </w:pPr>
      <w:r w:rsidRPr="000526EC">
        <w:rPr>
          <w:lang w:val="en-US"/>
        </w:rPr>
        <w:t>The State Party should give unaccompanied asylum-seeking minors aged 15-18 a standard of care and protection equivalent to that offered to other children under the responsibility of the Child Welfare Services, including unaccompanied asylum-seeking minors under the age of 15.</w:t>
      </w:r>
    </w:p>
    <w:p w14:paraId="68A0E439" w14:textId="77777777" w:rsidR="00C25926" w:rsidRPr="00FB0AB4" w:rsidRDefault="00C25926" w:rsidP="00C25926">
      <w:pPr>
        <w:rPr>
          <w:lang w:val="en-US"/>
        </w:rPr>
      </w:pPr>
    </w:p>
    <w:p w14:paraId="7F6055B1" w14:textId="36374419" w:rsidR="00C25926" w:rsidRDefault="00C25926" w:rsidP="00C25926">
      <w:pPr>
        <w:pStyle w:val="Overskrift2"/>
      </w:pPr>
      <w:bookmarkStart w:id="15" w:name="_Toc29897657"/>
      <w:r>
        <w:t xml:space="preserve">Health for </w:t>
      </w:r>
      <w:r w:rsidR="00DC1906">
        <w:t>irregular migrants</w:t>
      </w:r>
      <w:bookmarkEnd w:id="15"/>
      <w:r>
        <w:t xml:space="preserve"> </w:t>
      </w:r>
    </w:p>
    <w:p w14:paraId="2DC4523A" w14:textId="58D70493" w:rsidR="00C25926" w:rsidRDefault="00C25926" w:rsidP="00C25926">
      <w:r>
        <w:t xml:space="preserve">Reference is made to </w:t>
      </w:r>
      <w:proofErr w:type="spellStart"/>
      <w:r>
        <w:t>LOIPR</w:t>
      </w:r>
      <w:proofErr w:type="spellEnd"/>
      <w:r>
        <w:t xml:space="preserve"> para.</w:t>
      </w:r>
      <w:r w:rsidR="005A7D83">
        <w:t xml:space="preserve"> 27 a)</w:t>
      </w:r>
      <w:r>
        <w:t xml:space="preserve"> and </w:t>
      </w:r>
      <w:r w:rsidR="002A4C18">
        <w:t xml:space="preserve">the </w:t>
      </w:r>
      <w:r>
        <w:t>State Report para</w:t>
      </w:r>
      <w:r w:rsidR="005A7D83">
        <w:t>. 197.</w:t>
      </w:r>
    </w:p>
    <w:p w14:paraId="48B1468C" w14:textId="2485FAA7" w:rsidR="001A7EDF" w:rsidRDefault="001A7EDF" w:rsidP="001A7EDF">
      <w:r>
        <w:t>Under Norwegian law, irregular migrants are entitled to emergency healthcare and healthcare that is “completely necessary and cannot be deferred without risk of imminent death, permanent severe functional impairment, serious injury or severe pain”.   This includes both somatic and psychiatric treatment. The term “cannot be deferred” is interpreted as medical conditions that are considered necessary to treat within a timeframe of three weeks. Since irregular migrants often de facto remain in Norway for a prolonged period of time, the three weeks limitation restricts their access to necessary healthcare</w:t>
      </w:r>
      <w:r w:rsidR="00F10E9A">
        <w:t xml:space="preserve"> for serious conditions with long</w:t>
      </w:r>
      <w:r w:rsidR="005811D6">
        <w:t>-</w:t>
      </w:r>
      <w:r w:rsidR="00F10E9A">
        <w:t>term consequences</w:t>
      </w:r>
      <w:r>
        <w:t xml:space="preserve">. Furthermore, irregular migrants have the right to assessments from the specialised healthcare service and to receive necessary healthcare prior to and after child birth, abortions and infection control </w:t>
      </w:r>
      <w:r>
        <w:lastRenderedPageBreak/>
        <w:t>(</w:t>
      </w:r>
      <w:proofErr w:type="spellStart"/>
      <w:r>
        <w:t>smittevern</w:t>
      </w:r>
      <w:proofErr w:type="spellEnd"/>
      <w:r>
        <w:t>). As a rule, irregular migrants are not entitled to palliative or rehabilitative treatment. Children under the age of 18 have a more comprehensive right to healthcare.</w:t>
      </w:r>
    </w:p>
    <w:p w14:paraId="53EC36A2" w14:textId="3333E521" w:rsidR="001A7EDF" w:rsidRDefault="001A7EDF" w:rsidP="001A7EDF">
      <w:r>
        <w:t>Irregular migrants must as a main rule pay for the healthcare services they receive. As irregular migrants are not allowed to work or to be a member of the National insurance scheme (“</w:t>
      </w:r>
      <w:proofErr w:type="spellStart"/>
      <w:r>
        <w:t>Folketrygden</w:t>
      </w:r>
      <w:proofErr w:type="spellEnd"/>
      <w:r>
        <w:t xml:space="preserve">”), there is no financing-scheme that ensure their access to healthcare, except emergency healthcare. Even though payment in advance cannot be required in cases concerning emergency aid and specialised healthcare that cannot be postponed, this means that a vulnerable group with limited financial resources have severely limited access to medical treatment and care. Health practitioners and organizations have for many years voiced great concern regarding the poor state of health, and especially mental health, of many of these individuals.   </w:t>
      </w:r>
    </w:p>
    <w:p w14:paraId="27F8D386" w14:textId="382532E1" w:rsidR="001A7EDF" w:rsidRDefault="001A7EDF" w:rsidP="001A7EDF">
      <w:r>
        <w:t xml:space="preserve">The cumulative effects of irregular immigrants limited access to basic and necessary healthcare in combination with their obligation to pay for the treatment, may give raise to concerns in relation to the </w:t>
      </w:r>
      <w:r w:rsidR="00981C5C">
        <w:t xml:space="preserve">right to health under </w:t>
      </w:r>
      <w:r>
        <w:t>Article 12.</w:t>
      </w:r>
    </w:p>
    <w:p w14:paraId="0FD77A06" w14:textId="711F2D2E" w:rsidR="001A7EDF" w:rsidRPr="001A7EDF" w:rsidRDefault="001A7EDF" w:rsidP="00876B3A">
      <w:pPr>
        <w:ind w:firstLine="360"/>
        <w:rPr>
          <w:b/>
        </w:rPr>
      </w:pPr>
      <w:r w:rsidRPr="001A7EDF">
        <w:rPr>
          <w:b/>
        </w:rPr>
        <w:t xml:space="preserve">Suggested recommendations: </w:t>
      </w:r>
    </w:p>
    <w:p w14:paraId="5F933656" w14:textId="09AC6A56" w:rsidR="00C25926" w:rsidRDefault="001A7EDF" w:rsidP="001A7EDF">
      <w:pPr>
        <w:pStyle w:val="Listeavsnitt"/>
        <w:numPr>
          <w:ilvl w:val="0"/>
          <w:numId w:val="38"/>
        </w:numPr>
      </w:pPr>
      <w:r>
        <w:t xml:space="preserve">The State Party should ensure that irregular migrants have access to necessary healthcare services, </w:t>
      </w:r>
      <w:r w:rsidR="00976684">
        <w:t xml:space="preserve">giving due </w:t>
      </w:r>
      <w:r>
        <w:t xml:space="preserve">consideration </w:t>
      </w:r>
      <w:r w:rsidR="00976684">
        <w:t xml:space="preserve">to </w:t>
      </w:r>
      <w:r>
        <w:t>their de facto long-term stay in Norway, their vulnerability and limited financial resources.</w:t>
      </w:r>
    </w:p>
    <w:p w14:paraId="2D987515" w14:textId="77777777" w:rsidR="00C25926" w:rsidRPr="00D429E5" w:rsidRDefault="00C25926" w:rsidP="00C25926"/>
    <w:p w14:paraId="4CD0796D" w14:textId="63BD79D2" w:rsidR="00C25926" w:rsidRPr="00BC0977" w:rsidRDefault="00C25926" w:rsidP="00C25926">
      <w:pPr>
        <w:pStyle w:val="Overskrift1"/>
        <w:rPr>
          <w:b w:val="0"/>
        </w:rPr>
      </w:pPr>
      <w:bookmarkStart w:id="16" w:name="_Toc29897658"/>
      <w:r w:rsidRPr="00BC0977">
        <w:t xml:space="preserve">Trans-gender </w:t>
      </w:r>
      <w:r>
        <w:t xml:space="preserve">persons, </w:t>
      </w:r>
      <w:proofErr w:type="spellStart"/>
      <w:r w:rsidR="00976684">
        <w:t>LGBTI</w:t>
      </w:r>
      <w:proofErr w:type="spellEnd"/>
      <w:r w:rsidR="00976684">
        <w:t xml:space="preserve"> </w:t>
      </w:r>
      <w:r w:rsidRPr="00BC0977">
        <w:t>youth</w:t>
      </w:r>
      <w:bookmarkEnd w:id="16"/>
      <w:r w:rsidRPr="00BC0977">
        <w:t xml:space="preserve"> </w:t>
      </w:r>
    </w:p>
    <w:p w14:paraId="74CF196B" w14:textId="3F8FBC10" w:rsidR="00C25926" w:rsidRDefault="00C25926" w:rsidP="00C25926">
      <w:pPr>
        <w:rPr>
          <w:color w:val="auto"/>
          <w:lang w:val="en-US"/>
        </w:rPr>
      </w:pPr>
      <w:r>
        <w:rPr>
          <w:color w:val="auto"/>
          <w:lang w:val="en-US"/>
        </w:rPr>
        <w:t xml:space="preserve">Reference is made to </w:t>
      </w:r>
      <w:proofErr w:type="spellStart"/>
      <w:r>
        <w:rPr>
          <w:color w:val="auto"/>
          <w:lang w:val="en-US"/>
        </w:rPr>
        <w:t>LOIPR</w:t>
      </w:r>
      <w:proofErr w:type="spellEnd"/>
      <w:r>
        <w:rPr>
          <w:color w:val="auto"/>
          <w:lang w:val="en-US"/>
        </w:rPr>
        <w:t xml:space="preserve"> para.</w:t>
      </w:r>
      <w:r w:rsidR="00C62008">
        <w:rPr>
          <w:color w:val="auto"/>
          <w:lang w:val="en-US"/>
        </w:rPr>
        <w:t xml:space="preserve"> </w:t>
      </w:r>
      <w:r>
        <w:rPr>
          <w:color w:val="auto"/>
          <w:lang w:val="en-US"/>
        </w:rPr>
        <w:t xml:space="preserve">16 and </w:t>
      </w:r>
      <w:r w:rsidR="00C62008">
        <w:rPr>
          <w:color w:val="auto"/>
          <w:lang w:val="en-US"/>
        </w:rPr>
        <w:t xml:space="preserve">the </w:t>
      </w:r>
      <w:r>
        <w:rPr>
          <w:color w:val="auto"/>
          <w:lang w:val="en-US"/>
        </w:rPr>
        <w:t>State Report paras. 106-113.</w:t>
      </w:r>
    </w:p>
    <w:p w14:paraId="480F215F" w14:textId="77777777" w:rsidR="00C25926" w:rsidRPr="00103201" w:rsidRDefault="00C25926" w:rsidP="00C25926">
      <w:pPr>
        <w:rPr>
          <w:u w:val="single"/>
        </w:rPr>
      </w:pPr>
      <w:r w:rsidRPr="00103201">
        <w:rPr>
          <w:u w:val="single"/>
        </w:rPr>
        <w:t>Hate crime</w:t>
      </w:r>
    </w:p>
    <w:p w14:paraId="07800AF6" w14:textId="7219173D" w:rsidR="00C25926" w:rsidRDefault="00C25926" w:rsidP="00C25926">
      <w:r w:rsidRPr="009832B5">
        <w:t>The criminal code in Norway protect</w:t>
      </w:r>
      <w:r>
        <w:t>s</w:t>
      </w:r>
      <w:r w:rsidRPr="009832B5">
        <w:t xml:space="preserve"> against hate speech</w:t>
      </w:r>
      <w:r>
        <w:t xml:space="preserve"> </w:t>
      </w:r>
      <w:r w:rsidR="00976684">
        <w:t>based o</w:t>
      </w:r>
      <w:r>
        <w:t>n sexual orientation, however, not on the bas</w:t>
      </w:r>
      <w:r w:rsidR="00E343A9">
        <w:t>i</w:t>
      </w:r>
      <w:r>
        <w:t>s of gender identity</w:t>
      </w:r>
      <w:r w:rsidR="00531E81">
        <w:t>-</w:t>
      </w:r>
      <w:r>
        <w:t xml:space="preserve"> and expression.</w:t>
      </w:r>
      <w:r w:rsidRPr="009832B5">
        <w:t xml:space="preserve"> Research shows that </w:t>
      </w:r>
      <w:proofErr w:type="spellStart"/>
      <w:r w:rsidRPr="009832B5">
        <w:t>LGB</w:t>
      </w:r>
      <w:r w:rsidR="00976684">
        <w:t>TI</w:t>
      </w:r>
      <w:proofErr w:type="spellEnd"/>
      <w:r w:rsidRPr="009832B5">
        <w:t>-people are victims of hate speech more frequently than the rest of the population.</w:t>
      </w:r>
      <w:r>
        <w:rPr>
          <w:rStyle w:val="Fotnotereferanse"/>
        </w:rPr>
        <w:footnoteReference w:id="14"/>
      </w:r>
      <w:r w:rsidRPr="009832B5">
        <w:t xml:space="preserve"> The consequences of being subjected to hate crime</w:t>
      </w:r>
      <w:r>
        <w:t>s</w:t>
      </w:r>
      <w:r w:rsidRPr="009832B5">
        <w:t xml:space="preserve"> </w:t>
      </w:r>
      <w:r>
        <w:t>poses a health risk to LGBTI-persons. Norwegian police authorities have over several years recommended that gender identity and gender expression should be incorporated in the penal code.</w:t>
      </w:r>
      <w:r>
        <w:rPr>
          <w:rStyle w:val="Fotnotereferanse"/>
        </w:rPr>
        <w:footnoteReference w:id="15"/>
      </w:r>
      <w:r w:rsidRPr="009832B5">
        <w:t xml:space="preserve"> </w:t>
      </w:r>
    </w:p>
    <w:p w14:paraId="224CE718" w14:textId="77777777" w:rsidR="00CA2468" w:rsidRDefault="00CA2468" w:rsidP="00C25926">
      <w:pPr>
        <w:rPr>
          <w:u w:val="single"/>
        </w:rPr>
      </w:pPr>
    </w:p>
    <w:p w14:paraId="563143DA" w14:textId="126E089B" w:rsidR="00C25926" w:rsidRPr="009832B5" w:rsidRDefault="00C25926" w:rsidP="00C25926">
      <w:pPr>
        <w:rPr>
          <w:u w:val="single"/>
        </w:rPr>
      </w:pPr>
      <w:proofErr w:type="spellStart"/>
      <w:r w:rsidRPr="009832B5">
        <w:rPr>
          <w:u w:val="single"/>
        </w:rPr>
        <w:lastRenderedPageBreak/>
        <w:t>LGBTI</w:t>
      </w:r>
      <w:proofErr w:type="spellEnd"/>
      <w:r w:rsidRPr="009832B5">
        <w:rPr>
          <w:u w:val="single"/>
        </w:rPr>
        <w:t>-children and youth</w:t>
      </w:r>
    </w:p>
    <w:p w14:paraId="3B04DCC9" w14:textId="729FECD5" w:rsidR="00C25926" w:rsidRDefault="00C25926" w:rsidP="00C25926">
      <w:r>
        <w:t>T</w:t>
      </w:r>
      <w:r w:rsidRPr="009832B5">
        <w:t xml:space="preserve">here is </w:t>
      </w:r>
      <w:r>
        <w:t xml:space="preserve">a </w:t>
      </w:r>
      <w:r w:rsidRPr="009832B5">
        <w:t xml:space="preserve">lack of knowledge about </w:t>
      </w:r>
      <w:r>
        <w:t xml:space="preserve">the health of </w:t>
      </w:r>
      <w:proofErr w:type="spellStart"/>
      <w:r w:rsidRPr="009832B5">
        <w:t>LGBTI</w:t>
      </w:r>
      <w:proofErr w:type="spellEnd"/>
      <w:r w:rsidRPr="009832B5">
        <w:t xml:space="preserve"> children and youth</w:t>
      </w:r>
      <w:r>
        <w:t xml:space="preserve">. Research indicates that these </w:t>
      </w:r>
      <w:r w:rsidRPr="009832B5">
        <w:t xml:space="preserve">children are more vulnerable to mental health problems and they are </w:t>
      </w:r>
      <w:r>
        <w:t xml:space="preserve">more often </w:t>
      </w:r>
      <w:r w:rsidRPr="009832B5">
        <w:t>victims of violence, bullying and harassment from fellow pupils and adults, including teachers.</w:t>
      </w:r>
      <w:r>
        <w:rPr>
          <w:rStyle w:val="Fotnotereferanse"/>
        </w:rPr>
        <w:footnoteReference w:id="16"/>
      </w:r>
      <w:r w:rsidRPr="009832B5">
        <w:t xml:space="preserve"> </w:t>
      </w:r>
      <w:r>
        <w:t xml:space="preserve">The current national curriculum calls for teaching to raise awareness about </w:t>
      </w:r>
      <w:proofErr w:type="spellStart"/>
      <w:r>
        <w:t>LGBTI</w:t>
      </w:r>
      <w:proofErr w:type="spellEnd"/>
      <w:r>
        <w:t xml:space="preserve"> issues, however, there is still </w:t>
      </w:r>
      <w:r w:rsidR="00976684">
        <w:t xml:space="preserve">a </w:t>
      </w:r>
      <w:r>
        <w:t xml:space="preserve">need to strengthen the implementation of current policy. </w:t>
      </w:r>
    </w:p>
    <w:p w14:paraId="4496D5A6" w14:textId="77777777" w:rsidR="00C25926" w:rsidRPr="009832B5" w:rsidRDefault="00C25926" w:rsidP="00C25926">
      <w:pPr>
        <w:rPr>
          <w:u w:val="single"/>
        </w:rPr>
      </w:pPr>
      <w:r w:rsidRPr="00E353C4">
        <w:rPr>
          <w:u w:val="single"/>
        </w:rPr>
        <w:t>Trans-specific health care</w:t>
      </w:r>
    </w:p>
    <w:p w14:paraId="698F17D8" w14:textId="1E8AC441" w:rsidR="00C25926" w:rsidRDefault="00C25926" w:rsidP="00C25926">
      <w:r w:rsidRPr="009832B5">
        <w:t>Transphobia and discrimination are major barrier</w:t>
      </w:r>
      <w:r>
        <w:t>s to access to healthcare and may</w:t>
      </w:r>
      <w:r w:rsidRPr="009832B5">
        <w:t xml:space="preserve"> result in increased risk of health concerns un</w:t>
      </w:r>
      <w:r>
        <w:t>related to gender or sexuality.</w:t>
      </w:r>
      <w:r w:rsidRPr="002A38AB">
        <w:rPr>
          <w:vertAlign w:val="superscript"/>
        </w:rPr>
        <w:footnoteReference w:id="17"/>
      </w:r>
      <w:r w:rsidRPr="009832B5">
        <w:t> </w:t>
      </w:r>
      <w:r>
        <w:t>Public healthcare for trans</w:t>
      </w:r>
      <w:r w:rsidR="00976684">
        <w:t>-</w:t>
      </w:r>
      <w:r>
        <w:t>persons</w:t>
      </w:r>
      <w:r w:rsidRPr="009832B5">
        <w:t xml:space="preserve"> </w:t>
      </w:r>
      <w:r>
        <w:t xml:space="preserve">in Norway </w:t>
      </w:r>
      <w:r w:rsidRPr="009832B5">
        <w:t>have been subject to criticism over several years. Norwegian healthcare practice</w:t>
      </w:r>
      <w:r w:rsidR="00E353C4">
        <w:t>s</w:t>
      </w:r>
      <w:r w:rsidRPr="009832B5">
        <w:t xml:space="preserve"> have been based on the diagnosis</w:t>
      </w:r>
      <w:r>
        <w:t xml:space="preserve"> of</w:t>
      </w:r>
      <w:r w:rsidRPr="009832B5">
        <w:t xml:space="preserve"> transsexualism to determine </w:t>
      </w:r>
      <w:r>
        <w:t>the</w:t>
      </w:r>
      <w:r w:rsidRPr="009832B5">
        <w:t xml:space="preserve"> need for trans-specific health</w:t>
      </w:r>
      <w:r>
        <w:t xml:space="preserve"> </w:t>
      </w:r>
      <w:r w:rsidRPr="009832B5">
        <w:t xml:space="preserve">care. </w:t>
      </w:r>
      <w:r>
        <w:t>As a consequence</w:t>
      </w:r>
      <w:r w:rsidRPr="009832B5">
        <w:t>, many have been excluded from receiving the healthcare they need. The ICD-11 has redefined gender identity-related health and moved the diagnosis out of the mental and behavioural disorders chapter and into the new «Conditions related to sexual health» chapter.</w:t>
      </w:r>
      <w:r>
        <w:rPr>
          <w:rStyle w:val="Fotnotereferanse"/>
        </w:rPr>
        <w:footnoteReference w:id="18"/>
      </w:r>
      <w:r w:rsidRPr="009832B5">
        <w:t xml:space="preserve"> </w:t>
      </w:r>
      <w:r>
        <w:t>T</w:t>
      </w:r>
      <w:r w:rsidRPr="009832B5">
        <w:t xml:space="preserve">he new diagnosis according to the ICD-11 is being implemented in Norway from January 2020. In December 2019 the government suggested new guidelines regarding trans healthcare. These guidelines are not </w:t>
      </w:r>
      <w:r>
        <w:t xml:space="preserve">yet </w:t>
      </w:r>
      <w:r w:rsidRPr="009832B5">
        <w:t>final.</w:t>
      </w:r>
    </w:p>
    <w:p w14:paraId="3192B1CE" w14:textId="77777777" w:rsidR="00C25926" w:rsidRPr="00BC0977" w:rsidRDefault="00C25926" w:rsidP="00876B3A">
      <w:pPr>
        <w:ind w:firstLine="360"/>
        <w:rPr>
          <w:b/>
        </w:rPr>
      </w:pPr>
      <w:r w:rsidRPr="00BC0977">
        <w:rPr>
          <w:b/>
        </w:rPr>
        <w:t xml:space="preserve">Suggested recommendations: </w:t>
      </w:r>
    </w:p>
    <w:p w14:paraId="63BBFABC" w14:textId="77777777" w:rsidR="00C25926" w:rsidRDefault="00C25926" w:rsidP="00C25926">
      <w:pPr>
        <w:pStyle w:val="Listeavsnitt"/>
        <w:numPr>
          <w:ilvl w:val="0"/>
          <w:numId w:val="38"/>
        </w:numPr>
        <w:spacing w:after="160" w:line="259" w:lineRule="auto"/>
        <w:jc w:val="left"/>
      </w:pPr>
      <w:r>
        <w:t xml:space="preserve">The State Party should incorporate “gender identity” and “gender expression” as grounds for hate crime in the penal code. </w:t>
      </w:r>
    </w:p>
    <w:p w14:paraId="3D8EE267" w14:textId="4C97AFBA" w:rsidR="00C25926" w:rsidRPr="009832B5" w:rsidRDefault="00C25926" w:rsidP="00C25926">
      <w:pPr>
        <w:pStyle w:val="Listeavsnitt"/>
        <w:numPr>
          <w:ilvl w:val="0"/>
          <w:numId w:val="38"/>
        </w:numPr>
        <w:spacing w:after="160" w:line="259" w:lineRule="auto"/>
        <w:jc w:val="left"/>
      </w:pPr>
      <w:r w:rsidRPr="009832B5">
        <w:t xml:space="preserve">The </w:t>
      </w:r>
      <w:r>
        <w:t>State Party</w:t>
      </w:r>
      <w:r w:rsidRPr="009832B5">
        <w:t xml:space="preserve"> </w:t>
      </w:r>
      <w:r>
        <w:t xml:space="preserve">should </w:t>
      </w:r>
      <w:r w:rsidRPr="009832B5">
        <w:t>ensure that</w:t>
      </w:r>
      <w:r>
        <w:t xml:space="preserve"> problems faced by </w:t>
      </w:r>
      <w:proofErr w:type="spellStart"/>
      <w:r>
        <w:t>L</w:t>
      </w:r>
      <w:r w:rsidRPr="009832B5">
        <w:t>GBTI</w:t>
      </w:r>
      <w:proofErr w:type="spellEnd"/>
      <w:r w:rsidRPr="009832B5">
        <w:t xml:space="preserve"> </w:t>
      </w:r>
      <w:r>
        <w:t>children and youth are addressed</w:t>
      </w:r>
      <w:r w:rsidRPr="009832B5">
        <w:t xml:space="preserve"> in national action plans regarding bullying and harassment in schools.  </w:t>
      </w:r>
    </w:p>
    <w:p w14:paraId="2D9056AC" w14:textId="77777777" w:rsidR="00C25926" w:rsidRPr="00145D97" w:rsidRDefault="00C25926" w:rsidP="00C25926">
      <w:pPr>
        <w:pStyle w:val="Listeavsnitt"/>
        <w:numPr>
          <w:ilvl w:val="0"/>
          <w:numId w:val="38"/>
        </w:numPr>
        <w:spacing w:after="160" w:line="259" w:lineRule="auto"/>
        <w:jc w:val="left"/>
      </w:pPr>
      <w:r>
        <w:t>The</w:t>
      </w:r>
      <w:r w:rsidRPr="009832B5">
        <w:t xml:space="preserve"> </w:t>
      </w:r>
      <w:r>
        <w:t>State Party</w:t>
      </w:r>
      <w:r w:rsidRPr="009832B5">
        <w:t xml:space="preserve"> </w:t>
      </w:r>
      <w:r>
        <w:t xml:space="preserve">should strengthen competence of teachers and other relevant professionals regarding </w:t>
      </w:r>
      <w:proofErr w:type="spellStart"/>
      <w:r w:rsidRPr="009832B5">
        <w:t>LGBTI</w:t>
      </w:r>
      <w:proofErr w:type="spellEnd"/>
      <w:r w:rsidRPr="009832B5">
        <w:t>-children and youth</w:t>
      </w:r>
      <w:r>
        <w:t xml:space="preserve"> and that s</w:t>
      </w:r>
      <w:r w:rsidRPr="009832B5">
        <w:t xml:space="preserve">chools incorporate a </w:t>
      </w:r>
      <w:proofErr w:type="spellStart"/>
      <w:r w:rsidRPr="009832B5">
        <w:t>LGBTI</w:t>
      </w:r>
      <w:proofErr w:type="spellEnd"/>
      <w:r w:rsidRPr="009832B5">
        <w:t xml:space="preserve">-perspective in teaching </w:t>
      </w:r>
      <w:r>
        <w:t xml:space="preserve">in line with </w:t>
      </w:r>
      <w:r w:rsidRPr="009832B5">
        <w:t xml:space="preserve">the current national curriculum. </w:t>
      </w:r>
    </w:p>
    <w:p w14:paraId="1559C261" w14:textId="1C068B05" w:rsidR="00C25926" w:rsidRDefault="00C25926" w:rsidP="00C25926">
      <w:pPr>
        <w:pStyle w:val="Listeavsnitt"/>
        <w:numPr>
          <w:ilvl w:val="0"/>
          <w:numId w:val="38"/>
        </w:numPr>
        <w:spacing w:after="160" w:line="259" w:lineRule="auto"/>
        <w:jc w:val="left"/>
      </w:pPr>
      <w:r w:rsidRPr="00381B00">
        <w:t xml:space="preserve">The </w:t>
      </w:r>
      <w:r>
        <w:t xml:space="preserve">State Party should ensure that </w:t>
      </w:r>
      <w:r w:rsidRPr="00381B00">
        <w:t>health care in Norway reflect</w:t>
      </w:r>
      <w:r>
        <w:t>s</w:t>
      </w:r>
      <w:r w:rsidRPr="00381B00">
        <w:t xml:space="preserve"> the </w:t>
      </w:r>
      <w:r>
        <w:t xml:space="preserve">WHO’s </w:t>
      </w:r>
      <w:r w:rsidRPr="00381B00">
        <w:t>changes in the diagnosis</w:t>
      </w:r>
      <w:r>
        <w:t xml:space="preserve"> according to ICD-11</w:t>
      </w:r>
      <w:r w:rsidRPr="00381B00">
        <w:t xml:space="preserve"> and the </w:t>
      </w:r>
      <w:proofErr w:type="spellStart"/>
      <w:r w:rsidR="00FD6F12">
        <w:t>de</w:t>
      </w:r>
      <w:r w:rsidRPr="00381B00">
        <w:t>patologi</w:t>
      </w:r>
      <w:r w:rsidR="00FD6F12">
        <w:t>s</w:t>
      </w:r>
      <w:r w:rsidRPr="00381B00">
        <w:t>ation</w:t>
      </w:r>
      <w:proofErr w:type="spellEnd"/>
      <w:r w:rsidRPr="00381B00">
        <w:t xml:space="preserve"> of gender incongruence</w:t>
      </w:r>
      <w:r w:rsidR="009B624B">
        <w:t xml:space="preserve">, and </w:t>
      </w:r>
      <w:r w:rsidRPr="007B15E0">
        <w:t>trans-persons</w:t>
      </w:r>
      <w:r w:rsidR="009B624B">
        <w:t xml:space="preserve"> are given</w:t>
      </w:r>
      <w:r>
        <w:t xml:space="preserve"> </w:t>
      </w:r>
      <w:r w:rsidRPr="007B15E0">
        <w:t>access to healthcare</w:t>
      </w:r>
      <w:r w:rsidR="009B624B">
        <w:t xml:space="preserve"> </w:t>
      </w:r>
      <w:r>
        <w:t xml:space="preserve">in accordance </w:t>
      </w:r>
      <w:r w:rsidR="009B624B">
        <w:t>with</w:t>
      </w:r>
      <w:r>
        <w:t xml:space="preserve"> </w:t>
      </w:r>
      <w:r w:rsidR="007D3EC8">
        <w:t xml:space="preserve">the </w:t>
      </w:r>
      <w:r>
        <w:t>Yogyakarta principles 17(g)-(</w:t>
      </w:r>
      <w:proofErr w:type="spellStart"/>
      <w:r>
        <w:t>i</w:t>
      </w:r>
      <w:proofErr w:type="spellEnd"/>
      <w:r>
        <w:t>)</w:t>
      </w:r>
      <w:r w:rsidR="009B624B">
        <w:t>.</w:t>
      </w:r>
      <w:r>
        <w:t xml:space="preserve"> </w:t>
      </w:r>
    </w:p>
    <w:p w14:paraId="6D7E596E" w14:textId="77777777" w:rsidR="00CA2468" w:rsidRDefault="00CA2468" w:rsidP="006C36E4">
      <w:pPr>
        <w:pStyle w:val="Listeavsnitt"/>
        <w:numPr>
          <w:ilvl w:val="0"/>
          <w:numId w:val="0"/>
        </w:numPr>
        <w:spacing w:after="160" w:line="259" w:lineRule="auto"/>
        <w:ind w:left="720"/>
        <w:jc w:val="left"/>
      </w:pPr>
    </w:p>
    <w:p w14:paraId="2F82B810" w14:textId="6ACD227A" w:rsidR="00C25926" w:rsidRDefault="00C25926" w:rsidP="00C25926">
      <w:pPr>
        <w:pStyle w:val="Overskrift1"/>
        <w:rPr>
          <w:lang w:val="en-US"/>
        </w:rPr>
      </w:pPr>
      <w:bookmarkStart w:id="17" w:name="_Toc29897659"/>
      <w:r>
        <w:rPr>
          <w:lang w:val="en-US"/>
        </w:rPr>
        <w:lastRenderedPageBreak/>
        <w:t>Rape and other sexual and gender-based violence</w:t>
      </w:r>
      <w:bookmarkEnd w:id="17"/>
    </w:p>
    <w:p w14:paraId="44DC19D3" w14:textId="7BAF0115" w:rsidR="00C25926" w:rsidRDefault="00C25926" w:rsidP="00B34958">
      <w:pPr>
        <w:rPr>
          <w:color w:val="auto"/>
          <w:lang w:val="en-US"/>
        </w:rPr>
      </w:pPr>
      <w:r>
        <w:rPr>
          <w:color w:val="auto"/>
          <w:lang w:val="en-US"/>
        </w:rPr>
        <w:t xml:space="preserve">Reference is made to </w:t>
      </w:r>
      <w:proofErr w:type="spellStart"/>
      <w:r>
        <w:rPr>
          <w:color w:val="auto"/>
          <w:lang w:val="en-US"/>
        </w:rPr>
        <w:t>LOIPR</w:t>
      </w:r>
      <w:proofErr w:type="spellEnd"/>
      <w:r>
        <w:rPr>
          <w:color w:val="auto"/>
          <w:lang w:val="en-US"/>
        </w:rPr>
        <w:t xml:space="preserve"> para.</w:t>
      </w:r>
      <w:r w:rsidR="00B30966">
        <w:rPr>
          <w:color w:val="auto"/>
          <w:lang w:val="en-US"/>
        </w:rPr>
        <w:t xml:space="preserve"> </w:t>
      </w:r>
      <w:r>
        <w:rPr>
          <w:color w:val="auto"/>
          <w:lang w:val="en-US"/>
        </w:rPr>
        <w:t>24</w:t>
      </w:r>
      <w:r w:rsidR="00FD6F12">
        <w:rPr>
          <w:color w:val="auto"/>
          <w:lang w:val="en-US"/>
        </w:rPr>
        <w:t xml:space="preserve"> b)</w:t>
      </w:r>
      <w:r w:rsidR="00D81FFC">
        <w:rPr>
          <w:color w:val="auto"/>
          <w:lang w:val="en-US"/>
        </w:rPr>
        <w:t xml:space="preserve"> and </w:t>
      </w:r>
      <w:r w:rsidR="00B30966">
        <w:rPr>
          <w:color w:val="auto"/>
          <w:lang w:val="en-US"/>
        </w:rPr>
        <w:t xml:space="preserve">the </w:t>
      </w:r>
      <w:r w:rsidR="00D81FFC">
        <w:rPr>
          <w:color w:val="auto"/>
          <w:lang w:val="en-US"/>
        </w:rPr>
        <w:t xml:space="preserve">State Report paras. </w:t>
      </w:r>
      <w:r w:rsidR="00FD6F12">
        <w:rPr>
          <w:color w:val="auto"/>
          <w:lang w:val="en-US"/>
        </w:rPr>
        <w:t>185-187 (</w:t>
      </w:r>
      <w:r w:rsidR="007E07C6">
        <w:rPr>
          <w:color w:val="auto"/>
          <w:lang w:val="en-US"/>
        </w:rPr>
        <w:t xml:space="preserve">the issue of </w:t>
      </w:r>
      <w:r w:rsidR="00FD6F12">
        <w:rPr>
          <w:color w:val="auto"/>
          <w:lang w:val="en-US"/>
        </w:rPr>
        <w:t>elderly is new)</w:t>
      </w:r>
      <w:r w:rsidR="00B30966">
        <w:rPr>
          <w:color w:val="auto"/>
          <w:lang w:val="en-US"/>
        </w:rPr>
        <w:t>.</w:t>
      </w:r>
    </w:p>
    <w:p w14:paraId="162034BE" w14:textId="11E62776" w:rsidR="00C25926" w:rsidRPr="00D65277" w:rsidRDefault="00B30966" w:rsidP="00C25926">
      <w:pPr>
        <w:rPr>
          <w:lang w:val="en-US"/>
        </w:rPr>
      </w:pPr>
      <w:r>
        <w:rPr>
          <w:lang w:val="en-US"/>
        </w:rPr>
        <w:t>A r</w:t>
      </w:r>
      <w:r w:rsidR="00C25926">
        <w:rPr>
          <w:lang w:val="en-US"/>
        </w:rPr>
        <w:t xml:space="preserve">eport from 2019 showed that only </w:t>
      </w:r>
      <w:r w:rsidR="00C25926">
        <w:rPr>
          <w:lang w:val="en"/>
        </w:rPr>
        <w:t>one</w:t>
      </w:r>
      <w:r w:rsidR="00C25926" w:rsidRPr="00C00A4F">
        <w:rPr>
          <w:lang w:val="en"/>
        </w:rPr>
        <w:t xml:space="preserve"> </w:t>
      </w:r>
      <w:r w:rsidR="00C25926">
        <w:rPr>
          <w:lang w:val="en"/>
        </w:rPr>
        <w:t>of five</w:t>
      </w:r>
      <w:r w:rsidR="00C25926" w:rsidRPr="00C00A4F">
        <w:rPr>
          <w:lang w:val="en"/>
        </w:rPr>
        <w:t xml:space="preserve"> </w:t>
      </w:r>
      <w:r w:rsidR="00C736C1">
        <w:rPr>
          <w:lang w:val="en"/>
        </w:rPr>
        <w:t>young persons,</w:t>
      </w:r>
      <w:r w:rsidR="00C25926" w:rsidRPr="00C00A4F">
        <w:rPr>
          <w:lang w:val="en"/>
        </w:rPr>
        <w:t xml:space="preserve"> who </w:t>
      </w:r>
      <w:r w:rsidR="00C25926">
        <w:rPr>
          <w:lang w:val="en"/>
        </w:rPr>
        <w:t>had</w:t>
      </w:r>
      <w:r w:rsidR="00C25926" w:rsidRPr="00C00A4F">
        <w:rPr>
          <w:lang w:val="en"/>
        </w:rPr>
        <w:t xml:space="preserve"> been </w:t>
      </w:r>
      <w:r w:rsidR="00C25926">
        <w:rPr>
          <w:lang w:val="en"/>
        </w:rPr>
        <w:t>exposed</w:t>
      </w:r>
      <w:r w:rsidR="00C25926" w:rsidRPr="00C00A4F">
        <w:rPr>
          <w:lang w:val="en"/>
        </w:rPr>
        <w:t xml:space="preserve"> to violence and abuse</w:t>
      </w:r>
      <w:r w:rsidR="00C736C1">
        <w:rPr>
          <w:lang w:val="en"/>
        </w:rPr>
        <w:t>,</w:t>
      </w:r>
      <w:r w:rsidR="00C25926" w:rsidRPr="00C00A4F">
        <w:rPr>
          <w:lang w:val="en"/>
        </w:rPr>
        <w:t xml:space="preserve"> </w:t>
      </w:r>
      <w:r w:rsidR="00C25926">
        <w:rPr>
          <w:lang w:val="en"/>
        </w:rPr>
        <w:t>confirm</w:t>
      </w:r>
      <w:r w:rsidR="00C736C1">
        <w:rPr>
          <w:lang w:val="en"/>
        </w:rPr>
        <w:t>ed</w:t>
      </w:r>
      <w:r w:rsidR="00C25926" w:rsidRPr="00C00A4F">
        <w:rPr>
          <w:lang w:val="en"/>
        </w:rPr>
        <w:t xml:space="preserve"> that they </w:t>
      </w:r>
      <w:r w:rsidR="00C25926">
        <w:rPr>
          <w:lang w:val="en"/>
        </w:rPr>
        <w:t>had</w:t>
      </w:r>
      <w:r w:rsidR="00C25926" w:rsidRPr="00C00A4F">
        <w:rPr>
          <w:lang w:val="en"/>
        </w:rPr>
        <w:t xml:space="preserve"> been in contact </w:t>
      </w:r>
      <w:r w:rsidR="00866A95">
        <w:rPr>
          <w:lang w:val="en"/>
        </w:rPr>
        <w:t xml:space="preserve">with </w:t>
      </w:r>
      <w:r w:rsidR="00C25926" w:rsidRPr="00C00A4F">
        <w:rPr>
          <w:lang w:val="en"/>
        </w:rPr>
        <w:t xml:space="preserve">the </w:t>
      </w:r>
      <w:r w:rsidR="00C25926">
        <w:rPr>
          <w:lang w:val="en"/>
        </w:rPr>
        <w:t>support system.</w:t>
      </w:r>
      <w:r w:rsidR="00C25926">
        <w:rPr>
          <w:rStyle w:val="Fotnotereferanse"/>
          <w:lang w:val="en"/>
        </w:rPr>
        <w:footnoteReference w:id="19"/>
      </w:r>
      <w:r w:rsidR="00C25926">
        <w:rPr>
          <w:lang w:val="en-US"/>
        </w:rPr>
        <w:t xml:space="preserve"> Another report on violence against children under </w:t>
      </w:r>
      <w:r w:rsidR="00585331">
        <w:rPr>
          <w:lang w:val="en-US"/>
        </w:rPr>
        <w:t xml:space="preserve">the </w:t>
      </w:r>
      <w:r w:rsidR="00C25926">
        <w:rPr>
          <w:lang w:val="en-US"/>
        </w:rPr>
        <w:t xml:space="preserve">age </w:t>
      </w:r>
      <w:r w:rsidR="00585331">
        <w:rPr>
          <w:lang w:val="en-US"/>
        </w:rPr>
        <w:t xml:space="preserve">of </w:t>
      </w:r>
      <w:r w:rsidR="00C25926">
        <w:rPr>
          <w:lang w:val="en-US"/>
        </w:rPr>
        <w:t xml:space="preserve">four, showed that there are serious gaps in the protection and support system of this vulnerable group. The </w:t>
      </w:r>
      <w:r w:rsidR="00C25926" w:rsidRPr="00DF21CA">
        <w:rPr>
          <w:lang w:val="en"/>
        </w:rPr>
        <w:t>legislation is unclear when it comes to the relationship between</w:t>
      </w:r>
      <w:r w:rsidR="00C25926">
        <w:rPr>
          <w:lang w:val="en"/>
        </w:rPr>
        <w:t xml:space="preserve"> rules concerning </w:t>
      </w:r>
      <w:r w:rsidR="00C25926" w:rsidRPr="00DF21CA">
        <w:rPr>
          <w:lang w:val="en"/>
        </w:rPr>
        <w:t>confidentiality, disclosure rights</w:t>
      </w:r>
      <w:r w:rsidR="00C25926">
        <w:rPr>
          <w:lang w:val="en"/>
        </w:rPr>
        <w:t xml:space="preserve"> </w:t>
      </w:r>
      <w:r w:rsidR="00C25926" w:rsidRPr="00DF21CA">
        <w:rPr>
          <w:lang w:val="en"/>
        </w:rPr>
        <w:t>and relinquishment, both for the police and other relevant actors</w:t>
      </w:r>
      <w:r w:rsidR="00C25926">
        <w:rPr>
          <w:lang w:val="en"/>
        </w:rPr>
        <w:t>. The k</w:t>
      </w:r>
      <w:r w:rsidR="00C25926" w:rsidRPr="00DF21CA">
        <w:rPr>
          <w:lang w:val="en"/>
        </w:rPr>
        <w:t xml:space="preserve">nowledge and focus on the phenomenon of violence against children varies </w:t>
      </w:r>
      <w:r w:rsidR="00C25926">
        <w:rPr>
          <w:lang w:val="en"/>
        </w:rPr>
        <w:t>among</w:t>
      </w:r>
      <w:r w:rsidR="00C25926" w:rsidRPr="00DF21CA">
        <w:rPr>
          <w:lang w:val="en"/>
        </w:rPr>
        <w:t xml:space="preserve"> police districts and at various health stations.</w:t>
      </w:r>
      <w:r w:rsidR="00C25926">
        <w:rPr>
          <w:rStyle w:val="Fotnotereferanse"/>
          <w:lang w:val="en"/>
        </w:rPr>
        <w:footnoteReference w:id="20"/>
      </w:r>
      <w:r w:rsidR="00C25926">
        <w:rPr>
          <w:lang w:val="en"/>
        </w:rPr>
        <w:t xml:space="preserve"> </w:t>
      </w:r>
      <w:r w:rsidR="00C25926">
        <w:rPr>
          <w:lang w:val="en-US"/>
        </w:rPr>
        <w:t>I</w:t>
      </w:r>
      <w:r w:rsidR="00C25926" w:rsidRPr="002F4FF2">
        <w:rPr>
          <w:lang w:val="en-US"/>
        </w:rPr>
        <w:t>n 2017, a Government-appointed committee published a report with an evaluation of 20 serious cases of violence, sexual abuse and neglect of children.</w:t>
      </w:r>
      <w:r w:rsidR="00C25926">
        <w:rPr>
          <w:rStyle w:val="Fotnotereferanse"/>
          <w:lang w:val="en-US"/>
        </w:rPr>
        <w:footnoteReference w:id="21"/>
      </w:r>
      <w:r w:rsidR="00C25926" w:rsidRPr="002F4FF2">
        <w:rPr>
          <w:lang w:val="en-US"/>
        </w:rPr>
        <w:t xml:space="preserve"> The report reveals an extensive failure at the systemic level. In some cases, the children had not been heard</w:t>
      </w:r>
      <w:r w:rsidR="00C25926">
        <w:rPr>
          <w:lang w:val="en-US"/>
        </w:rPr>
        <w:t xml:space="preserve"> and</w:t>
      </w:r>
      <w:r w:rsidR="00C25926" w:rsidRPr="002F4FF2">
        <w:rPr>
          <w:lang w:val="en-US"/>
        </w:rPr>
        <w:t xml:space="preserve"> given the opportunity to tell their story. In other cases, the child’s situation was known to some public services, but no further action was taken. The report concludes that mistreatment of children should have been identified </w:t>
      </w:r>
      <w:r w:rsidR="00C25926">
        <w:rPr>
          <w:lang w:val="en-US"/>
        </w:rPr>
        <w:t xml:space="preserve">and remedied </w:t>
      </w:r>
      <w:r w:rsidR="00C25926" w:rsidRPr="002F4FF2">
        <w:rPr>
          <w:lang w:val="en-US"/>
        </w:rPr>
        <w:t xml:space="preserve">at </w:t>
      </w:r>
      <w:r w:rsidR="00C25926">
        <w:rPr>
          <w:lang w:val="en-US"/>
        </w:rPr>
        <w:t>much</w:t>
      </w:r>
      <w:r w:rsidR="00C25926" w:rsidRPr="002F4FF2">
        <w:rPr>
          <w:lang w:val="en-US"/>
        </w:rPr>
        <w:t xml:space="preserve"> earlier stage</w:t>
      </w:r>
      <w:r w:rsidR="00C25926">
        <w:rPr>
          <w:lang w:val="en-US"/>
        </w:rPr>
        <w:t>.</w:t>
      </w:r>
    </w:p>
    <w:p w14:paraId="6C9412E5" w14:textId="77777777" w:rsidR="00C25926" w:rsidRDefault="00C25926" w:rsidP="00C25926">
      <w:pPr>
        <w:rPr>
          <w:lang w:val="en-US"/>
        </w:rPr>
      </w:pPr>
      <w:r>
        <w:rPr>
          <w:lang w:val="en-US"/>
        </w:rPr>
        <w:t>Secondly, in</w:t>
      </w:r>
      <w:r w:rsidRPr="002F4FF2">
        <w:rPr>
          <w:lang w:val="en-US"/>
        </w:rPr>
        <w:t xml:space="preserve"> 2017, a new report about domestic violence in Sami communities was published.</w:t>
      </w:r>
      <w:r w:rsidRPr="00C75D7E">
        <w:rPr>
          <w:rStyle w:val="Fotnotereferanse"/>
          <w:lang w:val="en-US"/>
        </w:rPr>
        <w:footnoteReference w:id="22"/>
      </w:r>
      <w:r w:rsidRPr="00D65277">
        <w:rPr>
          <w:rStyle w:val="Fotnotereferanse"/>
          <w:lang w:val="en-US"/>
        </w:rPr>
        <w:t xml:space="preserve"> </w:t>
      </w:r>
      <w:r w:rsidRPr="002F4FF2">
        <w:rPr>
          <w:lang w:val="en-US"/>
        </w:rPr>
        <w:t xml:space="preserve">It suggests that abused individuals from Sami communities experience special challenges and barriers in their interaction with the police and social and health services, such as a lack of cultural and linguistic understanding. Further, in 2016 the police started </w:t>
      </w:r>
      <w:r>
        <w:rPr>
          <w:lang w:val="en-US"/>
        </w:rPr>
        <w:t>the</w:t>
      </w:r>
      <w:r w:rsidRPr="002F4FF2">
        <w:rPr>
          <w:lang w:val="en-US"/>
        </w:rPr>
        <w:t xml:space="preserve"> investigation</w:t>
      </w:r>
      <w:r>
        <w:rPr>
          <w:lang w:val="en-US"/>
        </w:rPr>
        <w:t xml:space="preserve"> of child abuse cases in the </w:t>
      </w:r>
      <w:r w:rsidRPr="002F4FF2">
        <w:rPr>
          <w:lang w:val="en-US"/>
        </w:rPr>
        <w:t xml:space="preserve">small Sami community </w:t>
      </w:r>
      <w:proofErr w:type="spellStart"/>
      <w:r w:rsidRPr="002F4FF2">
        <w:rPr>
          <w:lang w:val="en-US"/>
        </w:rPr>
        <w:t>Tysfjord</w:t>
      </w:r>
      <w:proofErr w:type="spellEnd"/>
      <w:r w:rsidRPr="002F4FF2">
        <w:rPr>
          <w:lang w:val="en-US"/>
        </w:rPr>
        <w:t>.</w:t>
      </w:r>
      <w:r w:rsidRPr="00C75D7E">
        <w:rPr>
          <w:rStyle w:val="Fotnotereferanse"/>
          <w:lang w:val="en-US"/>
        </w:rPr>
        <w:footnoteReference w:id="23"/>
      </w:r>
      <w:r w:rsidRPr="00C75D7E">
        <w:rPr>
          <w:rStyle w:val="Fotnotereferanse"/>
        </w:rPr>
        <w:t xml:space="preserve"> </w:t>
      </w:r>
      <w:r w:rsidRPr="002F4FF2">
        <w:rPr>
          <w:lang w:val="en-US"/>
        </w:rPr>
        <w:t>In addition, research from 2015 indicates that Sami people in general are exposed to violence more often than Norwegian</w:t>
      </w:r>
      <w:r>
        <w:rPr>
          <w:lang w:val="en-US"/>
        </w:rPr>
        <w:t xml:space="preserve"> population in general</w:t>
      </w:r>
      <w:r w:rsidRPr="002F4FF2">
        <w:rPr>
          <w:lang w:val="en-US"/>
        </w:rPr>
        <w:t>.</w:t>
      </w:r>
      <w:r w:rsidRPr="00C75D7E">
        <w:rPr>
          <w:rStyle w:val="Fotnotereferanse"/>
          <w:lang w:val="en-US"/>
        </w:rPr>
        <w:footnoteReference w:id="24"/>
      </w:r>
      <w:r w:rsidRPr="00C75D7E">
        <w:rPr>
          <w:rStyle w:val="Fotnotereferanse"/>
        </w:rPr>
        <w:t xml:space="preserve"> </w:t>
      </w:r>
    </w:p>
    <w:p w14:paraId="7C995C08" w14:textId="147B5DE7" w:rsidR="007E07C6" w:rsidRDefault="007E07C6" w:rsidP="007E07C6">
      <w:pPr>
        <w:rPr>
          <w:lang w:val="en-US"/>
        </w:rPr>
      </w:pPr>
      <w:r>
        <w:rPr>
          <w:lang w:val="en-US"/>
        </w:rPr>
        <w:t>Thirdly, i</w:t>
      </w:r>
      <w:r w:rsidRPr="002F4FF2">
        <w:rPr>
          <w:lang w:val="en-US"/>
        </w:rPr>
        <w:t xml:space="preserve">n 2017, the first national study of incidents of violence and abuse against people over </w:t>
      </w:r>
      <w:r>
        <w:rPr>
          <w:lang w:val="en-US"/>
        </w:rPr>
        <w:t xml:space="preserve">the age of </w:t>
      </w:r>
      <w:r w:rsidRPr="002F4FF2">
        <w:rPr>
          <w:lang w:val="en-US"/>
        </w:rPr>
        <w:t>65 living at home was published. It indicates that between 56,500 and 76,000 persons (between 6,8 and 9,2 percent</w:t>
      </w:r>
      <w:r>
        <w:rPr>
          <w:lang w:val="en-US"/>
        </w:rPr>
        <w:t xml:space="preserve"> of this age group</w:t>
      </w:r>
      <w:r w:rsidRPr="002F4FF2">
        <w:rPr>
          <w:lang w:val="en-US"/>
        </w:rPr>
        <w:t>) have been victims of violence or abuse after</w:t>
      </w:r>
      <w:r>
        <w:rPr>
          <w:lang w:val="en-US"/>
        </w:rPr>
        <w:t xml:space="preserve"> </w:t>
      </w:r>
      <w:r w:rsidRPr="002F4FF2">
        <w:rPr>
          <w:lang w:val="en-US"/>
        </w:rPr>
        <w:t>reaching 65 years.</w:t>
      </w:r>
      <w:r w:rsidRPr="00C75D7E">
        <w:rPr>
          <w:rStyle w:val="Fotnotereferanse"/>
          <w:lang w:val="en-US"/>
        </w:rPr>
        <w:footnoteReference w:id="25"/>
      </w:r>
      <w:r w:rsidRPr="00C75D7E">
        <w:rPr>
          <w:rStyle w:val="Fotnotereferanse"/>
        </w:rPr>
        <w:t xml:space="preserve"> </w:t>
      </w:r>
      <w:r w:rsidRPr="002F4FF2">
        <w:rPr>
          <w:lang w:val="en-US"/>
        </w:rPr>
        <w:t xml:space="preserve">Eight out of ten have stated that they were in </w:t>
      </w:r>
      <w:r w:rsidRPr="002F4FF2">
        <w:rPr>
          <w:lang w:val="en-US"/>
        </w:rPr>
        <w:lastRenderedPageBreak/>
        <w:t xml:space="preserve">a close relationship with the offender. A study from 2016 further </w:t>
      </w:r>
      <w:r>
        <w:rPr>
          <w:lang w:val="en-US"/>
        </w:rPr>
        <w:t>found</w:t>
      </w:r>
      <w:r w:rsidRPr="002F4FF2">
        <w:rPr>
          <w:lang w:val="en-US"/>
        </w:rPr>
        <w:t xml:space="preserve"> that people over 65 years of age seldom are included in the municipal action plans against domestic violence.</w:t>
      </w:r>
      <w:r w:rsidRPr="00C75D7E">
        <w:rPr>
          <w:rStyle w:val="Fotnotereferanse"/>
          <w:lang w:val="en-US"/>
        </w:rPr>
        <w:footnoteReference w:id="26"/>
      </w:r>
      <w:r>
        <w:rPr>
          <w:lang w:val="en-US"/>
        </w:rPr>
        <w:t xml:space="preserve"> </w:t>
      </w:r>
      <w:r w:rsidRPr="002F4FF2">
        <w:rPr>
          <w:lang w:val="en-US"/>
        </w:rPr>
        <w:t>Another study, from 2015, shows that public services lack mapping tools and routine guides to identify and map domestic violence against elderly</w:t>
      </w:r>
      <w:r>
        <w:rPr>
          <w:lang w:val="en-US"/>
        </w:rPr>
        <w:t>.</w:t>
      </w:r>
      <w:r>
        <w:rPr>
          <w:rStyle w:val="Fotnotereferanse"/>
          <w:lang w:val="en-US"/>
        </w:rPr>
        <w:footnoteReference w:id="27"/>
      </w:r>
      <w:r>
        <w:rPr>
          <w:lang w:val="en-US"/>
        </w:rPr>
        <w:t xml:space="preserve"> </w:t>
      </w:r>
      <w:r w:rsidR="0035542A">
        <w:rPr>
          <w:lang w:val="en-US"/>
        </w:rPr>
        <w:t>T</w:t>
      </w:r>
      <w:r>
        <w:rPr>
          <w:lang w:val="en-US"/>
        </w:rPr>
        <w:t xml:space="preserve">he national newspaper Aftenposten revealed that </w:t>
      </w:r>
      <w:r w:rsidR="0035542A">
        <w:rPr>
          <w:lang w:val="en-US"/>
        </w:rPr>
        <w:t>there were 13 000</w:t>
      </w:r>
      <w:r>
        <w:rPr>
          <w:lang w:val="en-US"/>
        </w:rPr>
        <w:t xml:space="preserve"> </w:t>
      </w:r>
      <w:r w:rsidR="0035542A">
        <w:rPr>
          <w:lang w:val="en-US"/>
        </w:rPr>
        <w:t>reported incidents (</w:t>
      </w:r>
      <w:proofErr w:type="spellStart"/>
      <w:r w:rsidR="0035542A">
        <w:rPr>
          <w:lang w:val="en-US"/>
        </w:rPr>
        <w:t>avvik</w:t>
      </w:r>
      <w:proofErr w:type="spellEnd"/>
      <w:r w:rsidR="0035542A">
        <w:rPr>
          <w:lang w:val="en-US"/>
        </w:rPr>
        <w:t>) of violence  registered</w:t>
      </w:r>
      <w:r>
        <w:rPr>
          <w:lang w:val="en-US"/>
        </w:rPr>
        <w:t xml:space="preserve"> by employees in nursery homes</w:t>
      </w:r>
      <w:r w:rsidR="0035542A">
        <w:rPr>
          <w:lang w:val="en-US"/>
        </w:rPr>
        <w:t>.</w:t>
      </w:r>
      <w:r w:rsidR="00C524F7">
        <w:rPr>
          <w:lang w:val="en-US"/>
        </w:rPr>
        <w:t xml:space="preserve"> </w:t>
      </w:r>
      <w:r w:rsidR="0075254D">
        <w:rPr>
          <w:lang w:val="en-US"/>
        </w:rPr>
        <w:t xml:space="preserve">In 98% of the cases the residents of the institutions were responsible for these acts. </w:t>
      </w:r>
      <w:r>
        <w:rPr>
          <w:lang w:val="en-US"/>
        </w:rPr>
        <w:t xml:space="preserve">In 19 % </w:t>
      </w:r>
      <w:r w:rsidR="00C524F7">
        <w:rPr>
          <w:lang w:val="en-US"/>
        </w:rPr>
        <w:t>of reported incidents the victims were residents of the institution</w:t>
      </w:r>
      <w:r w:rsidR="0075254D">
        <w:rPr>
          <w:lang w:val="en-US"/>
        </w:rPr>
        <w:t>s</w:t>
      </w:r>
      <w:r w:rsidR="00C524F7">
        <w:rPr>
          <w:lang w:val="en-US"/>
        </w:rPr>
        <w:t xml:space="preserve">, while employees were victims in </w:t>
      </w:r>
      <w:r>
        <w:rPr>
          <w:lang w:val="en-US"/>
        </w:rPr>
        <w:t>74%</w:t>
      </w:r>
      <w:r w:rsidR="00C524F7">
        <w:rPr>
          <w:lang w:val="en-US"/>
        </w:rPr>
        <w:t xml:space="preserve"> of the cases</w:t>
      </w:r>
      <w:r>
        <w:rPr>
          <w:lang w:val="en-US"/>
        </w:rPr>
        <w:t>.</w:t>
      </w:r>
      <w:r>
        <w:rPr>
          <w:rStyle w:val="Fotnotereferanse"/>
          <w:lang w:val="en-US"/>
        </w:rPr>
        <w:footnoteReference w:id="28"/>
      </w:r>
    </w:p>
    <w:p w14:paraId="7E913E05" w14:textId="50AE42EB" w:rsidR="00C25926" w:rsidRDefault="00C25926" w:rsidP="00C25926">
      <w:pPr>
        <w:rPr>
          <w:lang w:val="en-US"/>
        </w:rPr>
      </w:pPr>
      <w:proofErr w:type="spellStart"/>
      <w:r w:rsidRPr="002F4FF2">
        <w:rPr>
          <w:lang w:val="en-US"/>
        </w:rPr>
        <w:t>NIM</w:t>
      </w:r>
      <w:proofErr w:type="spellEnd"/>
      <w:r w:rsidRPr="002F4FF2">
        <w:rPr>
          <w:lang w:val="en-US"/>
        </w:rPr>
        <w:t xml:space="preserve"> is concerned that there are weaknesses in the measures to ensure effective prevention, protection and redress to vulnerable groups such as</w:t>
      </w:r>
      <w:r>
        <w:rPr>
          <w:lang w:val="en-US"/>
        </w:rPr>
        <w:t xml:space="preserve"> children,</w:t>
      </w:r>
      <w:r w:rsidRPr="002F4FF2">
        <w:rPr>
          <w:lang w:val="en-US"/>
        </w:rPr>
        <w:t xml:space="preserve"> S</w:t>
      </w:r>
      <w:r w:rsidR="001D0647">
        <w:rPr>
          <w:lang w:val="en-US"/>
        </w:rPr>
        <w:t>á</w:t>
      </w:r>
      <w:r w:rsidRPr="002F4FF2">
        <w:rPr>
          <w:lang w:val="en-US"/>
        </w:rPr>
        <w:t>mi and elderly exposed to violence and sexual abuse, including domestic violence</w:t>
      </w:r>
      <w:r>
        <w:rPr>
          <w:lang w:val="en-US"/>
        </w:rPr>
        <w:t xml:space="preserve">. As mentioned in the </w:t>
      </w:r>
      <w:r w:rsidR="0073167C">
        <w:rPr>
          <w:lang w:val="en-US"/>
        </w:rPr>
        <w:t>S</w:t>
      </w:r>
      <w:r>
        <w:rPr>
          <w:lang w:val="en-US"/>
        </w:rPr>
        <w:t xml:space="preserve">tate </w:t>
      </w:r>
      <w:r w:rsidR="0073167C">
        <w:rPr>
          <w:lang w:val="en-US"/>
        </w:rPr>
        <w:t>R</w:t>
      </w:r>
      <w:r>
        <w:rPr>
          <w:lang w:val="en-US"/>
        </w:rPr>
        <w:t xml:space="preserve">eport, </w:t>
      </w:r>
      <w:r w:rsidRPr="00023257">
        <w:rPr>
          <w:lang w:val="en-US"/>
        </w:rPr>
        <w:t>The Government has decided to develop a new plan of action to combat violence in close relationships</w:t>
      </w:r>
      <w:r>
        <w:rPr>
          <w:lang w:val="en-US"/>
        </w:rPr>
        <w:t xml:space="preserve"> and a new action plan against rape has already been launched. </w:t>
      </w:r>
    </w:p>
    <w:p w14:paraId="25055455" w14:textId="77777777" w:rsidR="00C25926" w:rsidRPr="00271CD4" w:rsidRDefault="00C25926" w:rsidP="00876B3A">
      <w:pPr>
        <w:spacing w:after="0"/>
        <w:ind w:firstLine="360"/>
        <w:rPr>
          <w:b/>
          <w:lang w:val="en-US"/>
        </w:rPr>
      </w:pPr>
      <w:r w:rsidRPr="00271CD4">
        <w:rPr>
          <w:b/>
          <w:lang w:val="en-US"/>
        </w:rPr>
        <w:t>Suggested recommendations:</w:t>
      </w:r>
    </w:p>
    <w:p w14:paraId="588106F0" w14:textId="484A1AF2" w:rsidR="00C25926" w:rsidRDefault="00C25926" w:rsidP="00C25926">
      <w:pPr>
        <w:numPr>
          <w:ilvl w:val="0"/>
          <w:numId w:val="40"/>
        </w:numPr>
        <w:spacing w:after="0"/>
        <w:jc w:val="left"/>
        <w:rPr>
          <w:lang w:val="en-US"/>
        </w:rPr>
      </w:pPr>
      <w:r w:rsidRPr="00FF3DF0">
        <w:rPr>
          <w:lang w:val="en-US"/>
        </w:rPr>
        <w:t>The State Party should implement effective measures</w:t>
      </w:r>
      <w:r w:rsidR="00B554D8">
        <w:rPr>
          <w:lang w:val="en-US"/>
        </w:rPr>
        <w:t xml:space="preserve"> </w:t>
      </w:r>
      <w:r w:rsidRPr="00FF3DF0">
        <w:rPr>
          <w:lang w:val="en-US"/>
        </w:rPr>
        <w:t>at the systemic level</w:t>
      </w:r>
      <w:r w:rsidR="00B554D8">
        <w:rPr>
          <w:lang w:val="en-US"/>
        </w:rPr>
        <w:t>, including a new action plan,</w:t>
      </w:r>
      <w:r w:rsidR="00B554D8" w:rsidRPr="00FF3DF0">
        <w:rPr>
          <w:lang w:val="en-US"/>
        </w:rPr>
        <w:t xml:space="preserve"> </w:t>
      </w:r>
      <w:r w:rsidRPr="00FF3DF0">
        <w:rPr>
          <w:lang w:val="en-US"/>
        </w:rPr>
        <w:t>to ensure effective protection, prevention and redress to children, S</w:t>
      </w:r>
      <w:r w:rsidR="0073167C">
        <w:rPr>
          <w:lang w:val="en-US"/>
        </w:rPr>
        <w:t>á</w:t>
      </w:r>
      <w:r w:rsidRPr="00FF3DF0">
        <w:rPr>
          <w:lang w:val="en-US"/>
        </w:rPr>
        <w:t xml:space="preserve">mi and elderly exposed to violence and sexual abuse. </w:t>
      </w:r>
    </w:p>
    <w:p w14:paraId="68F3F8A8" w14:textId="77777777" w:rsidR="00C25926" w:rsidRPr="00D72AE9" w:rsidRDefault="00C25926" w:rsidP="00C25926">
      <w:pPr>
        <w:spacing w:after="0"/>
        <w:rPr>
          <w:rFonts w:eastAsia="Calibri" w:cs="Times New Roman"/>
          <w:color w:val="auto"/>
          <w:szCs w:val="22"/>
          <w:lang w:val="en-US"/>
        </w:rPr>
      </w:pPr>
    </w:p>
    <w:p w14:paraId="72972C34" w14:textId="3CFFB675" w:rsidR="00C25926" w:rsidRPr="00DA5910" w:rsidRDefault="00C25926" w:rsidP="00C25926">
      <w:pPr>
        <w:pStyle w:val="Overskrift1"/>
        <w:rPr>
          <w:color w:val="auto"/>
        </w:rPr>
      </w:pPr>
      <w:bookmarkStart w:id="18" w:name="_Toc29897660"/>
      <w:r w:rsidRPr="00DA5910">
        <w:rPr>
          <w:color w:val="auto"/>
        </w:rPr>
        <w:t>Child poverty</w:t>
      </w:r>
      <w:bookmarkEnd w:id="18"/>
      <w:r w:rsidRPr="00DA5910">
        <w:rPr>
          <w:color w:val="auto"/>
        </w:rPr>
        <w:t xml:space="preserve"> </w:t>
      </w:r>
    </w:p>
    <w:p w14:paraId="709D0D80" w14:textId="176772F9" w:rsidR="00C25926" w:rsidRDefault="00C25926" w:rsidP="00C25926">
      <w:r>
        <w:t xml:space="preserve">Reference is made to </w:t>
      </w:r>
      <w:proofErr w:type="spellStart"/>
      <w:r>
        <w:t>L</w:t>
      </w:r>
      <w:r w:rsidR="00E353C4">
        <w:t>OIPR</w:t>
      </w:r>
      <w:proofErr w:type="spellEnd"/>
      <w:r w:rsidR="00E353C4">
        <w:t xml:space="preserve"> para. 25 </w:t>
      </w:r>
      <w:r>
        <w:t xml:space="preserve">and </w:t>
      </w:r>
      <w:r w:rsidR="00010F32">
        <w:t xml:space="preserve">the </w:t>
      </w:r>
      <w:r>
        <w:t>State Report para 25.</w:t>
      </w:r>
    </w:p>
    <w:p w14:paraId="541BD20C" w14:textId="6DCE18EB" w:rsidR="00C25926" w:rsidRDefault="00C25926" w:rsidP="00C25926">
      <w:r>
        <w:t>The Committee has previously raised concerns about the persistently high level of child poverty despite general growing prosperity in Norway. The State Report para</w:t>
      </w:r>
      <w:r w:rsidR="00070E03">
        <w:t>.</w:t>
      </w:r>
      <w:r>
        <w:t xml:space="preserve"> 25 describes the implementation of the Governments strategy on children living in poverty (2015-2017). The statistics provided in the report shows that the </w:t>
      </w:r>
      <w:r w:rsidR="00F30F26">
        <w:t xml:space="preserve">number </w:t>
      </w:r>
      <w:r>
        <w:t>of children living in low-income families has increased from 2007 – 2017. However, the Government has not given any explanation o</w:t>
      </w:r>
      <w:r w:rsidR="00931BED">
        <w:t>f</w:t>
      </w:r>
      <w:r>
        <w:t xml:space="preserve"> why the numbers are increasing despite the measures implemented in this field</w:t>
      </w:r>
      <w:r w:rsidR="00931BED">
        <w:t>.</w:t>
      </w:r>
    </w:p>
    <w:p w14:paraId="4A55FB96" w14:textId="7E133663" w:rsidR="00C25926" w:rsidRDefault="00C25926" w:rsidP="00C25926">
      <w:r>
        <w:t xml:space="preserve">In Norway, children living in poverty </w:t>
      </w:r>
      <w:r w:rsidR="00E353C4">
        <w:t xml:space="preserve">are </w:t>
      </w:r>
      <w:r>
        <w:t xml:space="preserve">often defined as children living in a family with an income below 60 per cent of the median income over a three years period (persistent low income).  </w:t>
      </w:r>
    </w:p>
    <w:p w14:paraId="5FA1928A" w14:textId="77777777" w:rsidR="00C25926" w:rsidRDefault="00C25926" w:rsidP="00C25926">
      <w:r>
        <w:lastRenderedPageBreak/>
        <w:t xml:space="preserve">Statistics Norway issued a report on economy and living conditions for low-income groups in Norway in October 2019.  The report shows that most Norwegian households are financially relatively well-off, although there is a small decrease in real incomes as well as an increase in income inequalities between the households in the period of 2014 and 2017. The report further states that single parents, couples with children and people with reduced ability to work are among the most rapid growing group of low-income population in recent years. Thus, the number of children living in low-income households has increased since 2011. Most of these children have immigrant background, but the number of children in poverty without immigrant background has also increased. Most of the children come from single-parent households. </w:t>
      </w:r>
    </w:p>
    <w:p w14:paraId="547FAB4C" w14:textId="77777777" w:rsidR="00C25926" w:rsidRDefault="00C25926" w:rsidP="00C25926">
      <w:r>
        <w:t xml:space="preserve">In an international perspective, the proportion of people in low-income households in Norway is small.  However, compared to other Nordic countries like Denmark and Finland, the share of children in low income has risen substantially in recent years. </w:t>
      </w:r>
    </w:p>
    <w:p w14:paraId="40DB636B" w14:textId="5F529D81" w:rsidR="00C25926" w:rsidRDefault="00C25926" w:rsidP="00C25926">
      <w:r>
        <w:t xml:space="preserve">The majority of children living in low-income families in Norway do not experience material and social deficiencies.  However, </w:t>
      </w:r>
      <w:r w:rsidR="00B554D8">
        <w:t xml:space="preserve">a number of </w:t>
      </w:r>
      <w:r>
        <w:t>single parents and couples with children living in low-income households are lacking one or more material and social benefits, for instance they cannot afford to replace worn out furniture, to eat meat or fish every second day, to take one</w:t>
      </w:r>
      <w:r w:rsidR="00150D6C">
        <w:t>-</w:t>
      </w:r>
      <w:r>
        <w:t xml:space="preserve">week vacation per year or to regularly participate in recreational activities.  </w:t>
      </w:r>
    </w:p>
    <w:p w14:paraId="3B81CD6C" w14:textId="57A6EF3F" w:rsidR="00C25926" w:rsidRDefault="00C25926" w:rsidP="00C25926">
      <w:r>
        <w:t>In November 2019, The Church City Mission published the report “</w:t>
      </w:r>
      <w:proofErr w:type="spellStart"/>
      <w:r>
        <w:t>Snakk</w:t>
      </w:r>
      <w:proofErr w:type="spellEnd"/>
      <w:r>
        <w:t xml:space="preserve"> om </w:t>
      </w:r>
      <w:proofErr w:type="spellStart"/>
      <w:proofErr w:type="gramStart"/>
      <w:r>
        <w:t>fattigdom</w:t>
      </w:r>
      <w:proofErr w:type="spellEnd"/>
      <w:r>
        <w:t>“ (</w:t>
      </w:r>
      <w:proofErr w:type="gramEnd"/>
      <w:r>
        <w:t>Talk about poverty), where they have interviewed children who have grown up in low-income households.</w:t>
      </w:r>
      <w:r w:rsidR="00150D6C">
        <w:t xml:space="preserve"> </w:t>
      </w:r>
      <w:r>
        <w:t xml:space="preserve">The report has several recommendations for the future work against child poverty, for instance the importance of openness and recognition of the problem among politicians and in the society at large, available resources in the municipalities, cross-sectorial cooperation and increased focus on the child’s perspective. </w:t>
      </w:r>
    </w:p>
    <w:p w14:paraId="7DB281FF" w14:textId="77777777" w:rsidR="00C25926" w:rsidRPr="00F7519C" w:rsidRDefault="00C25926" w:rsidP="00B34958">
      <w:pPr>
        <w:ind w:firstLine="360"/>
        <w:rPr>
          <w:b/>
        </w:rPr>
      </w:pPr>
      <w:r w:rsidRPr="00F7519C">
        <w:rPr>
          <w:b/>
        </w:rPr>
        <w:t>Suggested recommendation:</w:t>
      </w:r>
    </w:p>
    <w:p w14:paraId="443204B4" w14:textId="535DA4B2" w:rsidR="00C25926" w:rsidRDefault="00C25926" w:rsidP="00B34958">
      <w:pPr>
        <w:pStyle w:val="Listeavsnitt"/>
        <w:numPr>
          <w:ilvl w:val="0"/>
          <w:numId w:val="40"/>
        </w:numPr>
      </w:pPr>
      <w:r>
        <w:t>The State party should</w:t>
      </w:r>
      <w:r w:rsidR="00B554D8">
        <w:t xml:space="preserve"> strengthen </w:t>
      </w:r>
      <w:r>
        <w:t xml:space="preserve">its efforts in the fight against child poverty. </w:t>
      </w:r>
    </w:p>
    <w:p w14:paraId="59B76287" w14:textId="77777777" w:rsidR="00707F24" w:rsidRPr="00DA5910" w:rsidRDefault="00707F24" w:rsidP="00C25926"/>
    <w:p w14:paraId="56A82DA3" w14:textId="657F354F" w:rsidR="00C25926" w:rsidRPr="00B554D8" w:rsidRDefault="00C25926" w:rsidP="009B624B">
      <w:pPr>
        <w:pStyle w:val="Overskrift1"/>
        <w:autoSpaceDE w:val="0"/>
        <w:autoSpaceDN w:val="0"/>
        <w:adjustRightInd w:val="0"/>
        <w:spacing w:before="120" w:line="360" w:lineRule="auto"/>
        <w:jc w:val="left"/>
        <w:rPr>
          <w:rFonts w:eastAsia="Calibri" w:cs="Times New Roman"/>
          <w:b w:val="0"/>
          <w:color w:val="auto"/>
        </w:rPr>
      </w:pPr>
      <w:bookmarkStart w:id="19" w:name="_Toc29897661"/>
      <w:r>
        <w:t>Health care and coercion</w:t>
      </w:r>
      <w:bookmarkEnd w:id="19"/>
      <w:r>
        <w:t xml:space="preserve"> </w:t>
      </w:r>
    </w:p>
    <w:p w14:paraId="016174BC" w14:textId="7F6597E7" w:rsidR="00C25926" w:rsidRPr="00CA2468" w:rsidRDefault="00C25926" w:rsidP="00CA2468">
      <w:r w:rsidRPr="00DA5910">
        <w:t xml:space="preserve">Reference is made to </w:t>
      </w:r>
      <w:proofErr w:type="spellStart"/>
      <w:r w:rsidRPr="00DA5910">
        <w:t>LOIPR</w:t>
      </w:r>
      <w:proofErr w:type="spellEnd"/>
      <w:r w:rsidRPr="00DA5910">
        <w:t xml:space="preserve"> para.</w:t>
      </w:r>
      <w:r w:rsidR="0004065E">
        <w:t xml:space="preserve"> </w:t>
      </w:r>
      <w:r w:rsidRPr="00DA5910">
        <w:t>28</w:t>
      </w:r>
      <w:r w:rsidR="00150D6C">
        <w:t xml:space="preserve"> and </w:t>
      </w:r>
      <w:r w:rsidR="0004065E">
        <w:t xml:space="preserve">the </w:t>
      </w:r>
      <w:r w:rsidR="00150D6C">
        <w:t xml:space="preserve">State Report </w:t>
      </w:r>
      <w:r w:rsidR="00150D6C" w:rsidRPr="00B554D8">
        <w:t xml:space="preserve">para. </w:t>
      </w:r>
      <w:r w:rsidR="00B554D8" w:rsidRPr="00B554D8">
        <w:t>203</w:t>
      </w:r>
      <w:r w:rsidR="009B624B">
        <w:t xml:space="preserve"> (</w:t>
      </w:r>
      <w:r w:rsidR="00E84A62">
        <w:t>new</w:t>
      </w:r>
      <w:r w:rsidR="009B624B">
        <w:t xml:space="preserve"> issue</w:t>
      </w:r>
      <w:r w:rsidR="004076D8">
        <w:t>:</w:t>
      </w:r>
      <w:r w:rsidR="009B624B">
        <w:t xml:space="preserve"> elderly)</w:t>
      </w:r>
      <w:r w:rsidR="00B554D8">
        <w:t>.</w:t>
      </w:r>
    </w:p>
    <w:p w14:paraId="1DC43A6D" w14:textId="77777777" w:rsidR="00C25926" w:rsidRPr="005E4B66" w:rsidRDefault="00C25926" w:rsidP="00150D6C">
      <w:pPr>
        <w:pStyle w:val="Overskrift2"/>
        <w:rPr>
          <w:lang w:val="en-US"/>
        </w:rPr>
      </w:pPr>
      <w:bookmarkStart w:id="20" w:name="_Toc29897662"/>
      <w:r>
        <w:t>H</w:t>
      </w:r>
      <w:r w:rsidRPr="00E17DAC">
        <w:t>ealth care</w:t>
      </w:r>
      <w:r>
        <w:t xml:space="preserve"> and coercion in general – legislative proposal</w:t>
      </w:r>
      <w:bookmarkEnd w:id="20"/>
    </w:p>
    <w:p w14:paraId="0C021FC3" w14:textId="77777777" w:rsidR="00C25926" w:rsidRDefault="00C25926" w:rsidP="00C25926">
      <w:pPr>
        <w:rPr>
          <w:lang w:val="en-US"/>
        </w:rPr>
      </w:pPr>
      <w:r>
        <w:rPr>
          <w:lang w:val="en-US"/>
        </w:rPr>
        <w:t xml:space="preserve">As mentioned in para 203 in the State report, </w:t>
      </w:r>
      <w:r w:rsidRPr="00C772C4">
        <w:rPr>
          <w:lang w:val="en-US"/>
        </w:rPr>
        <w:t xml:space="preserve">the Government received a report from a legislative commission that has reviewed the legislation on coercion in the health and care </w:t>
      </w:r>
      <w:r w:rsidRPr="00C772C4">
        <w:rPr>
          <w:lang w:val="en-US"/>
        </w:rPr>
        <w:lastRenderedPageBreak/>
        <w:t>sector</w:t>
      </w:r>
      <w:r>
        <w:rPr>
          <w:lang w:val="en-US"/>
        </w:rPr>
        <w:t>, including coercion against mental health patients, somatic health patients, elderly with dementia, persons with intellectual impairments, and drug and alcohol addicts.</w:t>
      </w:r>
      <w:r>
        <w:rPr>
          <w:rStyle w:val="Fotnotereferanse"/>
          <w:lang w:val="en-US"/>
        </w:rPr>
        <w:footnoteReference w:id="29"/>
      </w:r>
      <w:r>
        <w:rPr>
          <w:lang w:val="en-US"/>
        </w:rPr>
        <w:t xml:space="preserve"> </w:t>
      </w:r>
    </w:p>
    <w:p w14:paraId="4889217E" w14:textId="77777777" w:rsidR="00C25926" w:rsidRPr="000733BC" w:rsidRDefault="00C25926" w:rsidP="00C25926">
      <w:pPr>
        <w:rPr>
          <w:lang w:val="en-US"/>
        </w:rPr>
      </w:pPr>
      <w:r>
        <w:rPr>
          <w:lang w:val="en-US"/>
        </w:rPr>
        <w:t>The report is the most thorough research in this field that has been conducted in decades, and it reveals several challenged in implementation of Norway’s international human rights obligations. NIM has encouraged the state party to put in place, as soon as possible, the</w:t>
      </w:r>
      <w:r w:rsidRPr="000733BC">
        <w:rPr>
          <w:lang w:val="en-US"/>
        </w:rPr>
        <w:t xml:space="preserve"> legislative amendments in the proposal that strengthens the human rights situation of persons in the health and care sector. </w:t>
      </w:r>
    </w:p>
    <w:p w14:paraId="4FD6AFF5" w14:textId="77777777" w:rsidR="00C25926" w:rsidRDefault="00C25926" w:rsidP="00876B3A">
      <w:pPr>
        <w:ind w:firstLine="360"/>
        <w:rPr>
          <w:b/>
          <w:lang w:val="en"/>
        </w:rPr>
      </w:pPr>
      <w:r w:rsidRPr="00CB44A7">
        <w:rPr>
          <w:b/>
          <w:lang w:val="en"/>
        </w:rPr>
        <w:t>Suggested recommendations:</w:t>
      </w:r>
    </w:p>
    <w:p w14:paraId="7A292F9A" w14:textId="4B1F296C" w:rsidR="00C25926" w:rsidRPr="00B554D8" w:rsidRDefault="00C25926" w:rsidP="00C25926">
      <w:pPr>
        <w:numPr>
          <w:ilvl w:val="0"/>
          <w:numId w:val="40"/>
        </w:numPr>
        <w:spacing w:after="200"/>
        <w:jc w:val="left"/>
        <w:rPr>
          <w:lang w:val="en-US"/>
        </w:rPr>
      </w:pPr>
      <w:r>
        <w:rPr>
          <w:lang w:val="en"/>
        </w:rPr>
        <w:t xml:space="preserve">The State Party should </w:t>
      </w:r>
      <w:r w:rsidRPr="00C772C4">
        <w:rPr>
          <w:lang w:val="en"/>
        </w:rPr>
        <w:t xml:space="preserve">put in place the legislative amendments </w:t>
      </w:r>
      <w:r w:rsidR="00275C24">
        <w:rPr>
          <w:lang w:val="en"/>
        </w:rPr>
        <w:t xml:space="preserve">on use of coercion </w:t>
      </w:r>
      <w:r w:rsidRPr="00C772C4">
        <w:rPr>
          <w:lang w:val="en"/>
        </w:rPr>
        <w:t>that strengthen</w:t>
      </w:r>
      <w:r>
        <w:rPr>
          <w:lang w:val="en"/>
        </w:rPr>
        <w:t xml:space="preserve">s the human rights </w:t>
      </w:r>
      <w:r w:rsidR="00B34958">
        <w:rPr>
          <w:lang w:val="en"/>
        </w:rPr>
        <w:t>protection</w:t>
      </w:r>
      <w:r>
        <w:rPr>
          <w:lang w:val="en"/>
        </w:rPr>
        <w:t xml:space="preserve"> of persons in the health</w:t>
      </w:r>
      <w:r w:rsidR="00275C24">
        <w:rPr>
          <w:lang w:val="en"/>
        </w:rPr>
        <w:t xml:space="preserve"> sector</w:t>
      </w:r>
      <w:r>
        <w:rPr>
          <w:lang w:val="en"/>
        </w:rPr>
        <w:t xml:space="preserve"> and care </w:t>
      </w:r>
      <w:r w:rsidR="00275C24">
        <w:rPr>
          <w:lang w:val="en"/>
        </w:rPr>
        <w:t>institutions</w:t>
      </w:r>
      <w:r>
        <w:rPr>
          <w:lang w:val="en"/>
        </w:rPr>
        <w:t xml:space="preserve">. </w:t>
      </w:r>
    </w:p>
    <w:p w14:paraId="23C387DF" w14:textId="77777777" w:rsidR="00B554D8" w:rsidRPr="00E04C39" w:rsidRDefault="00B554D8" w:rsidP="00B554D8">
      <w:pPr>
        <w:spacing w:after="200"/>
        <w:ind w:left="720"/>
        <w:jc w:val="left"/>
        <w:rPr>
          <w:lang w:val="en-US"/>
        </w:rPr>
      </w:pPr>
    </w:p>
    <w:p w14:paraId="191432D7" w14:textId="3CF4FE55" w:rsidR="00C25926" w:rsidRDefault="00C25926" w:rsidP="00CA2468">
      <w:pPr>
        <w:pStyle w:val="Overskrift2"/>
        <w:spacing w:line="240" w:lineRule="auto"/>
      </w:pPr>
      <w:bookmarkStart w:id="21" w:name="_Toc29897663"/>
      <w:r>
        <w:t>Mental health care</w:t>
      </w:r>
      <w:r w:rsidR="0007654B">
        <w:t xml:space="preserve"> and </w:t>
      </w:r>
      <w:r w:rsidR="007A2618">
        <w:t>persons with intellectual disability</w:t>
      </w:r>
      <w:r>
        <w:t xml:space="preserve"> – particular concerns</w:t>
      </w:r>
      <w:r w:rsidR="0007654B">
        <w:t xml:space="preserve"> regarding coercion</w:t>
      </w:r>
      <w:bookmarkEnd w:id="21"/>
    </w:p>
    <w:p w14:paraId="59681D3E" w14:textId="1F4565C8" w:rsidR="007A2618" w:rsidRPr="007A2618" w:rsidRDefault="007A2618" w:rsidP="00CA2468">
      <w:pPr>
        <w:spacing w:before="240"/>
        <w:rPr>
          <w:u w:val="single"/>
        </w:rPr>
      </w:pPr>
      <w:r w:rsidRPr="007A2618">
        <w:rPr>
          <w:u w:val="single"/>
        </w:rPr>
        <w:t>Mental health care</w:t>
      </w:r>
    </w:p>
    <w:p w14:paraId="36EF1A61" w14:textId="6E3BBFEA" w:rsidR="00C25926" w:rsidRDefault="00C25926" w:rsidP="00C25926">
      <w:pPr>
        <w:rPr>
          <w:lang w:val="en-US"/>
        </w:rPr>
      </w:pPr>
      <w:r w:rsidRPr="001D6C53">
        <w:rPr>
          <w:lang w:val="en-US"/>
        </w:rPr>
        <w:t xml:space="preserve">Reports on practice, as documented by the Parliamentary Ombudsman’s National Preventive Mechanism (NPM) visiting </w:t>
      </w:r>
      <w:r>
        <w:rPr>
          <w:lang w:val="en-US"/>
        </w:rPr>
        <w:t>fifteen</w:t>
      </w:r>
      <w:r w:rsidRPr="001D6C53">
        <w:rPr>
          <w:lang w:val="en-US"/>
        </w:rPr>
        <w:t xml:space="preserve"> different institutions in 2015</w:t>
      </w:r>
      <w:r>
        <w:rPr>
          <w:lang w:val="en-US"/>
        </w:rPr>
        <w:t>–</w:t>
      </w:r>
      <w:r w:rsidRPr="001D6C53">
        <w:rPr>
          <w:lang w:val="en-US"/>
        </w:rPr>
        <w:t>2018,</w:t>
      </w:r>
      <w:r>
        <w:rPr>
          <w:rStyle w:val="Fotnotereferanse"/>
          <w:lang w:val="en-US"/>
        </w:rPr>
        <w:footnoteReference w:id="30"/>
      </w:r>
      <w:r w:rsidRPr="001D6C53">
        <w:rPr>
          <w:lang w:val="en-US"/>
        </w:rPr>
        <w:t xml:space="preserve"> ha</w:t>
      </w:r>
      <w:r>
        <w:rPr>
          <w:lang w:val="en-US"/>
        </w:rPr>
        <w:t>ve</w:t>
      </w:r>
      <w:r w:rsidRPr="001D6C53">
        <w:rPr>
          <w:lang w:val="en-US"/>
        </w:rPr>
        <w:t xml:space="preserve"> shown that coercion such as restraints, segregation</w:t>
      </w:r>
      <w:r>
        <w:rPr>
          <w:lang w:val="en-US"/>
        </w:rPr>
        <w:t>,</w:t>
      </w:r>
      <w:r w:rsidRPr="001D6C53">
        <w:rPr>
          <w:lang w:val="en-US"/>
        </w:rPr>
        <w:t xml:space="preserve"> and involuntary treatment is often applied excessively </w:t>
      </w:r>
      <w:r>
        <w:rPr>
          <w:lang w:val="en-US"/>
        </w:rPr>
        <w:t>and/</w:t>
      </w:r>
      <w:r w:rsidRPr="001D6C53">
        <w:rPr>
          <w:lang w:val="en-US"/>
        </w:rPr>
        <w:t xml:space="preserve">or for a prolonged time, without respecting legal safeguards. This </w:t>
      </w:r>
      <w:r>
        <w:rPr>
          <w:lang w:val="en-US"/>
        </w:rPr>
        <w:t>show</w:t>
      </w:r>
      <w:r w:rsidRPr="001D6C53">
        <w:rPr>
          <w:lang w:val="en-US"/>
        </w:rPr>
        <w:t xml:space="preserve"> the need to strengthen procedural safeguards for the patients, including more thorough written documentation of coercive treatment and focus on considering less intrusive measures before using force. The </w:t>
      </w:r>
      <w:r>
        <w:rPr>
          <w:lang w:val="en-US"/>
        </w:rPr>
        <w:t>National Preventive Mechanism (</w:t>
      </w:r>
      <w:proofErr w:type="spellStart"/>
      <w:r w:rsidRPr="001D6C53">
        <w:rPr>
          <w:lang w:val="en-US"/>
        </w:rPr>
        <w:t>NPM</w:t>
      </w:r>
      <w:proofErr w:type="spellEnd"/>
      <w:r>
        <w:rPr>
          <w:lang w:val="en-US"/>
        </w:rPr>
        <w:t xml:space="preserve">), in its thematic report from 2018, has </w:t>
      </w:r>
      <w:r w:rsidRPr="001D6C53">
        <w:rPr>
          <w:lang w:val="en-US"/>
        </w:rPr>
        <w:t xml:space="preserve">voiced particular concern about the use of long-term segregation (shielding) of patients </w:t>
      </w:r>
      <w:r w:rsidR="00C52A6E">
        <w:rPr>
          <w:lang w:val="en-US"/>
        </w:rPr>
        <w:t xml:space="preserve">in </w:t>
      </w:r>
      <w:r>
        <w:rPr>
          <w:lang w:val="en-US"/>
        </w:rPr>
        <w:t xml:space="preserve">mental health institutions </w:t>
      </w:r>
      <w:r w:rsidRPr="001D6C53">
        <w:rPr>
          <w:lang w:val="en-US"/>
        </w:rPr>
        <w:t>which often take place in prison-like premises, with very limited opportunity for meaningful human contact and purposeful activities.</w:t>
      </w:r>
      <w:r>
        <w:rPr>
          <w:rStyle w:val="Fotnotereferanse"/>
          <w:lang w:val="en-US"/>
        </w:rPr>
        <w:footnoteReference w:id="31"/>
      </w:r>
      <w:r w:rsidRPr="001D6C53">
        <w:rPr>
          <w:lang w:val="en-US"/>
        </w:rPr>
        <w:t xml:space="preserve"> </w:t>
      </w:r>
    </w:p>
    <w:p w14:paraId="0DD3BE87" w14:textId="5DB3FB07" w:rsidR="00C25926" w:rsidRPr="00945F06" w:rsidRDefault="00C25926" w:rsidP="00C25926">
      <w:pPr>
        <w:rPr>
          <w:lang w:val="en-US"/>
        </w:rPr>
      </w:pPr>
      <w:r w:rsidRPr="001D6C53">
        <w:rPr>
          <w:lang w:val="en-US"/>
        </w:rPr>
        <w:t>Furthermore, the use of coercive electroconvulsive treatment (</w:t>
      </w:r>
      <w:proofErr w:type="spellStart"/>
      <w:r w:rsidRPr="001D6C53">
        <w:rPr>
          <w:lang w:val="en-US"/>
        </w:rPr>
        <w:t>ECT</w:t>
      </w:r>
      <w:proofErr w:type="spellEnd"/>
      <w:r w:rsidRPr="001D6C53">
        <w:rPr>
          <w:lang w:val="en-US"/>
        </w:rPr>
        <w:t>) in mental health care is of particular concern.</w:t>
      </w:r>
      <w:r>
        <w:rPr>
          <w:lang w:val="en-US"/>
        </w:rPr>
        <w:t xml:space="preserve">  The treatment has no statutory basis in Norwegian law. However, a</w:t>
      </w:r>
      <w:r w:rsidRPr="00945F06">
        <w:rPr>
          <w:lang w:val="en-US"/>
        </w:rPr>
        <w:t xml:space="preserve">ccording to the preparatory works of the Mental Health Care Act, </w:t>
      </w:r>
      <w:r>
        <w:rPr>
          <w:lang w:val="en-US"/>
        </w:rPr>
        <w:t xml:space="preserve">coercive </w:t>
      </w:r>
      <w:proofErr w:type="spellStart"/>
      <w:r w:rsidRPr="00945F06">
        <w:rPr>
          <w:lang w:val="en-US"/>
        </w:rPr>
        <w:t>ECT</w:t>
      </w:r>
      <w:proofErr w:type="spellEnd"/>
      <w:r w:rsidRPr="00945F06">
        <w:rPr>
          <w:lang w:val="en-US"/>
        </w:rPr>
        <w:t xml:space="preserve"> can be used without the consent of the patient if the procedure meets the conditions of the “principle of necessity” in the Penal Code.</w:t>
      </w:r>
      <w:r>
        <w:rPr>
          <w:lang w:val="en-US"/>
        </w:rPr>
        <w:t xml:space="preserve"> On this ground, the treatment is used in mental health care institutions, and the </w:t>
      </w:r>
      <w:r w:rsidRPr="00945F06">
        <w:rPr>
          <w:lang w:val="en-US"/>
        </w:rPr>
        <w:t xml:space="preserve">authorities have no complete factual overview on the use </w:t>
      </w:r>
      <w:r w:rsidRPr="00945F06">
        <w:rPr>
          <w:lang w:val="en-US"/>
        </w:rPr>
        <w:lastRenderedPageBreak/>
        <w:t xml:space="preserve">of coercive </w:t>
      </w:r>
      <w:proofErr w:type="spellStart"/>
      <w:r w:rsidRPr="00945F06">
        <w:rPr>
          <w:lang w:val="en-US"/>
        </w:rPr>
        <w:t>ECT</w:t>
      </w:r>
      <w:proofErr w:type="spellEnd"/>
      <w:r>
        <w:rPr>
          <w:lang w:val="en-US"/>
        </w:rPr>
        <w:t>. T</w:t>
      </w:r>
      <w:r w:rsidRPr="00945F06">
        <w:rPr>
          <w:lang w:val="en-US"/>
        </w:rPr>
        <w:t xml:space="preserve">here are indications that involuntary </w:t>
      </w:r>
      <w:proofErr w:type="spellStart"/>
      <w:r w:rsidRPr="00945F06">
        <w:rPr>
          <w:lang w:val="en-US"/>
        </w:rPr>
        <w:t>ECT</w:t>
      </w:r>
      <w:proofErr w:type="spellEnd"/>
      <w:r w:rsidRPr="00945F06">
        <w:rPr>
          <w:lang w:val="en-US"/>
        </w:rPr>
        <w:t xml:space="preserve"> is practiced differently across institutions.</w:t>
      </w:r>
      <w:r>
        <w:rPr>
          <w:rStyle w:val="Fotnotereferanse"/>
          <w:lang w:val="en-US"/>
        </w:rPr>
        <w:footnoteReference w:id="32"/>
      </w:r>
    </w:p>
    <w:p w14:paraId="0F40F8DE" w14:textId="0D0B68FC" w:rsidR="00C25926" w:rsidRDefault="00C25926" w:rsidP="00C25926">
      <w:pPr>
        <w:rPr>
          <w:lang w:val="en-US"/>
        </w:rPr>
      </w:pPr>
      <w:proofErr w:type="spellStart"/>
      <w:r w:rsidRPr="00945F06">
        <w:rPr>
          <w:lang w:val="en-US"/>
        </w:rPr>
        <w:t>NIM</w:t>
      </w:r>
      <w:proofErr w:type="spellEnd"/>
      <w:r w:rsidRPr="00945F06">
        <w:rPr>
          <w:lang w:val="en-US"/>
        </w:rPr>
        <w:t xml:space="preserve"> finds that the coercive use of </w:t>
      </w:r>
      <w:proofErr w:type="spellStart"/>
      <w:r w:rsidRPr="00945F06">
        <w:rPr>
          <w:lang w:val="en-US"/>
        </w:rPr>
        <w:t>ECT</w:t>
      </w:r>
      <w:proofErr w:type="spellEnd"/>
      <w:r w:rsidRPr="00945F06">
        <w:rPr>
          <w:lang w:val="en-US"/>
        </w:rPr>
        <w:t xml:space="preserve"> with reference to the “principle of necessity” may be against the principle of </w:t>
      </w:r>
      <w:r>
        <w:rPr>
          <w:lang w:val="en-US"/>
        </w:rPr>
        <w:t>legality</w:t>
      </w:r>
      <w:r w:rsidRPr="00945F06">
        <w:rPr>
          <w:lang w:val="en-US"/>
        </w:rPr>
        <w:t xml:space="preserve"> in both the Norwegian Constitution and international human rights law. It is a serious concern that the use of </w:t>
      </w:r>
      <w:proofErr w:type="spellStart"/>
      <w:r w:rsidRPr="00945F06">
        <w:rPr>
          <w:lang w:val="en-US"/>
        </w:rPr>
        <w:t>ECT</w:t>
      </w:r>
      <w:proofErr w:type="spellEnd"/>
      <w:r w:rsidRPr="00945F06">
        <w:rPr>
          <w:lang w:val="en-US"/>
        </w:rPr>
        <w:t xml:space="preserve"> lacks a formal legal basis, while other coercive treatments have a direct anchoring in the Mental Health Care Act with strong procedural safeguards. The new guidelines implemented in 2017 address several of these weaknesses, </w:t>
      </w:r>
      <w:r>
        <w:rPr>
          <w:lang w:val="en-US"/>
        </w:rPr>
        <w:t xml:space="preserve">but </w:t>
      </w:r>
      <w:r w:rsidRPr="00945F06">
        <w:rPr>
          <w:lang w:val="en-US"/>
        </w:rPr>
        <w:t xml:space="preserve">nevertheless, the principle of </w:t>
      </w:r>
      <w:r w:rsidR="006063C8">
        <w:rPr>
          <w:lang w:val="en-US"/>
        </w:rPr>
        <w:t>legality and the need for more</w:t>
      </w:r>
      <w:r w:rsidRPr="00945F06">
        <w:rPr>
          <w:lang w:val="en-US"/>
        </w:rPr>
        <w:t xml:space="preserve"> consistent practice of the use of coercive </w:t>
      </w:r>
      <w:proofErr w:type="spellStart"/>
      <w:r w:rsidRPr="00945F06">
        <w:rPr>
          <w:lang w:val="en-US"/>
        </w:rPr>
        <w:t>ECT</w:t>
      </w:r>
      <w:proofErr w:type="spellEnd"/>
      <w:r w:rsidRPr="00945F06">
        <w:rPr>
          <w:lang w:val="en-US"/>
        </w:rPr>
        <w:t xml:space="preserve"> suggest that a regulatory framework must be strengthened</w:t>
      </w:r>
      <w:r>
        <w:rPr>
          <w:lang w:val="en-US"/>
        </w:rPr>
        <w:t xml:space="preserve"> as long as coercive </w:t>
      </w:r>
      <w:proofErr w:type="spellStart"/>
      <w:r>
        <w:rPr>
          <w:lang w:val="en-US"/>
        </w:rPr>
        <w:t>ECT</w:t>
      </w:r>
      <w:proofErr w:type="spellEnd"/>
      <w:r>
        <w:rPr>
          <w:lang w:val="en-US"/>
        </w:rPr>
        <w:t xml:space="preserve"> </w:t>
      </w:r>
      <w:r w:rsidR="00866A95">
        <w:rPr>
          <w:lang w:val="en-US"/>
        </w:rPr>
        <w:t xml:space="preserve">is still in </w:t>
      </w:r>
      <w:r>
        <w:rPr>
          <w:lang w:val="en-US"/>
        </w:rPr>
        <w:t>use</w:t>
      </w:r>
      <w:r w:rsidRPr="00945F06">
        <w:rPr>
          <w:lang w:val="en-US"/>
        </w:rPr>
        <w:t>.</w:t>
      </w:r>
      <w:r>
        <w:rPr>
          <w:rStyle w:val="Fotnotereferanse"/>
          <w:lang w:val="en-US"/>
        </w:rPr>
        <w:footnoteReference w:id="33"/>
      </w:r>
      <w:r w:rsidRPr="00945F06">
        <w:rPr>
          <w:lang w:val="en-US"/>
        </w:rPr>
        <w:t xml:space="preserve"> </w:t>
      </w:r>
      <w:proofErr w:type="spellStart"/>
      <w:r>
        <w:rPr>
          <w:lang w:val="en-US"/>
        </w:rPr>
        <w:t>NIM</w:t>
      </w:r>
      <w:proofErr w:type="spellEnd"/>
      <w:r>
        <w:rPr>
          <w:lang w:val="en-US"/>
        </w:rPr>
        <w:t xml:space="preserve"> has stressed this point of view in our dialogue with the government</w:t>
      </w:r>
      <w:r w:rsidR="002E2215">
        <w:rPr>
          <w:lang w:val="en-US"/>
        </w:rPr>
        <w:t>,</w:t>
      </w:r>
      <w:r>
        <w:rPr>
          <w:rStyle w:val="Fotnotereferanse"/>
          <w:lang w:val="en-US"/>
        </w:rPr>
        <w:footnoteReference w:id="34"/>
      </w:r>
      <w:r>
        <w:rPr>
          <w:lang w:val="en-US"/>
        </w:rPr>
        <w:t xml:space="preserve"> </w:t>
      </w:r>
      <w:r w:rsidR="0049558E">
        <w:rPr>
          <w:lang w:val="en-US"/>
        </w:rPr>
        <w:t>while underlining that</w:t>
      </w:r>
      <w:r>
        <w:rPr>
          <w:lang w:val="en-US"/>
        </w:rPr>
        <w:t xml:space="preserve"> </w:t>
      </w:r>
      <w:r w:rsidR="00EB5E84">
        <w:rPr>
          <w:lang w:val="en-US"/>
        </w:rPr>
        <w:t xml:space="preserve">this </w:t>
      </w:r>
      <w:r>
        <w:rPr>
          <w:lang w:val="en-US"/>
        </w:rPr>
        <w:t>view should</w:t>
      </w:r>
      <w:r w:rsidR="006C0A89">
        <w:rPr>
          <w:lang w:val="en-US"/>
        </w:rPr>
        <w:t xml:space="preserve"> not</w:t>
      </w:r>
      <w:r>
        <w:rPr>
          <w:lang w:val="en-US"/>
        </w:rPr>
        <w:t xml:space="preserve"> be understood as </w:t>
      </w:r>
      <w:r w:rsidR="00D236D9">
        <w:rPr>
          <w:lang w:val="en-US"/>
        </w:rPr>
        <w:t xml:space="preserve">potentially </w:t>
      </w:r>
      <w:r w:rsidR="00EB5E84">
        <w:rPr>
          <w:lang w:val="en-US"/>
        </w:rPr>
        <w:t>condoning</w:t>
      </w:r>
      <w:r>
        <w:rPr>
          <w:lang w:val="en-US"/>
        </w:rPr>
        <w:t xml:space="preserve"> more use of coercive </w:t>
      </w:r>
      <w:proofErr w:type="spellStart"/>
      <w:r>
        <w:rPr>
          <w:lang w:val="en-US"/>
        </w:rPr>
        <w:t>ECT</w:t>
      </w:r>
      <w:proofErr w:type="spellEnd"/>
      <w:r>
        <w:rPr>
          <w:lang w:val="en-US"/>
        </w:rPr>
        <w:t xml:space="preserve">. </w:t>
      </w:r>
    </w:p>
    <w:p w14:paraId="4A981C7D" w14:textId="5207E043" w:rsidR="00C25926" w:rsidRPr="00945F06" w:rsidRDefault="00C25926" w:rsidP="00C25926">
      <w:pPr>
        <w:rPr>
          <w:lang w:val="en-US"/>
        </w:rPr>
      </w:pPr>
      <w:r>
        <w:rPr>
          <w:lang w:val="en-US"/>
        </w:rPr>
        <w:t xml:space="preserve">Moreover, there is a current discussion in Norway </w:t>
      </w:r>
      <w:r w:rsidR="006E520D">
        <w:rPr>
          <w:lang w:val="en-US"/>
        </w:rPr>
        <w:t xml:space="preserve">on </w:t>
      </w:r>
      <w:r>
        <w:rPr>
          <w:lang w:val="en-US"/>
        </w:rPr>
        <w:t xml:space="preserve">whether the scientific basis </w:t>
      </w:r>
      <w:r w:rsidR="006063C8">
        <w:rPr>
          <w:lang w:val="en-US"/>
        </w:rPr>
        <w:t>can justify</w:t>
      </w:r>
      <w:r>
        <w:rPr>
          <w:lang w:val="en-US"/>
        </w:rPr>
        <w:t xml:space="preserve"> the use of coercive </w:t>
      </w:r>
      <w:proofErr w:type="spellStart"/>
      <w:r>
        <w:rPr>
          <w:lang w:val="en-US"/>
        </w:rPr>
        <w:t>ECT</w:t>
      </w:r>
      <w:proofErr w:type="spellEnd"/>
      <w:r>
        <w:rPr>
          <w:lang w:val="en-US"/>
        </w:rPr>
        <w:t xml:space="preserve">. The same discussion is ongoing for the use of coercive neuroleptic drugs and the use </w:t>
      </w:r>
      <w:r w:rsidRPr="001D6C53">
        <w:rPr>
          <w:lang w:val="en-US"/>
        </w:rPr>
        <w:t>of long-term segregation (shielding) of patients</w:t>
      </w:r>
      <w:r>
        <w:rPr>
          <w:lang w:val="en-US"/>
        </w:rPr>
        <w:t xml:space="preserve">. The question is addressed in the legislative proposal mentioned above, which propose to restrict the use of these treatments, but not abolish them. </w:t>
      </w:r>
      <w:r w:rsidRPr="003110A1">
        <w:rPr>
          <w:lang w:val="en-US"/>
        </w:rPr>
        <w:t>Under the case-law of the European Court of Human Rights in relation to Article 3, the use of coercive therapeutic methods require that the medical necessity of the measure has been convincingly shown to exist</w:t>
      </w:r>
      <w:r>
        <w:rPr>
          <w:lang w:val="en-US"/>
        </w:rPr>
        <w:t>.</w:t>
      </w:r>
      <w:r>
        <w:rPr>
          <w:rStyle w:val="Fotnotereferanse"/>
          <w:lang w:val="en-US"/>
        </w:rPr>
        <w:footnoteReference w:id="35"/>
      </w:r>
      <w:r>
        <w:rPr>
          <w:lang w:val="en-US"/>
        </w:rPr>
        <w:t xml:space="preserve"> </w:t>
      </w:r>
      <w:proofErr w:type="spellStart"/>
      <w:r>
        <w:rPr>
          <w:lang w:val="en-US"/>
        </w:rPr>
        <w:t>NIM</w:t>
      </w:r>
      <w:proofErr w:type="spellEnd"/>
      <w:r w:rsidRPr="003110A1">
        <w:rPr>
          <w:lang w:val="en-US"/>
        </w:rPr>
        <w:t xml:space="preserve"> has stressed that this should not be seen solely as a question of individual clinical assessments. It is for Parliament to enact provisions </w:t>
      </w:r>
      <w:r w:rsidR="00964F85">
        <w:rPr>
          <w:lang w:val="en-US"/>
        </w:rPr>
        <w:t>regulating</w:t>
      </w:r>
      <w:r w:rsidRPr="003110A1">
        <w:rPr>
          <w:lang w:val="en-US"/>
        </w:rPr>
        <w:t xml:space="preserve"> the use of coercive treatment, and thus, the legislature must base its decisions on a thorough assessment of the scientific basis for the use of the methods in question.</w:t>
      </w:r>
    </w:p>
    <w:p w14:paraId="4889B7F5" w14:textId="67061600" w:rsidR="00C25926" w:rsidRDefault="00C25926" w:rsidP="007A2618">
      <w:r w:rsidRPr="007A2618">
        <w:rPr>
          <w:u w:val="single"/>
        </w:rPr>
        <w:t>Persons with intellectual impairment</w:t>
      </w:r>
    </w:p>
    <w:p w14:paraId="666315F5" w14:textId="39328B82" w:rsidR="00C25926" w:rsidRDefault="00C25926" w:rsidP="00C25926">
      <w:pPr>
        <w:rPr>
          <w:lang w:val="en-US"/>
        </w:rPr>
      </w:pPr>
      <w:r w:rsidRPr="002B576A">
        <w:rPr>
          <w:lang w:val="en-US"/>
        </w:rPr>
        <w:t>The level of use of coercion against persons with intellectual impairment has increased. In 2017, 1503 decisions on planned use of coercion were approved.</w:t>
      </w:r>
      <w:r w:rsidRPr="002B576A">
        <w:rPr>
          <w:rStyle w:val="Fotnotereferanse"/>
          <w:lang w:val="en-US"/>
        </w:rPr>
        <w:footnoteReference w:id="36"/>
      </w:r>
      <w:r w:rsidRPr="002B576A">
        <w:rPr>
          <w:rStyle w:val="Fotnotereferanse"/>
          <w:lang w:val="en-US"/>
        </w:rPr>
        <w:t xml:space="preserve"> </w:t>
      </w:r>
      <w:r w:rsidRPr="002B576A">
        <w:rPr>
          <w:lang w:val="en-US"/>
        </w:rPr>
        <w:t>The Norwegian</w:t>
      </w:r>
      <w:r w:rsidRPr="001D6C53">
        <w:rPr>
          <w:lang w:val="en-US"/>
        </w:rPr>
        <w:t xml:space="preserve"> Board of Health Supervision is concerned with the increase in use of coercion against persons with intellectual impairment.</w:t>
      </w:r>
      <w:r w:rsidRPr="00C03AC9">
        <w:rPr>
          <w:rStyle w:val="Fotnotereferanse"/>
          <w:lang w:val="en-US"/>
        </w:rPr>
        <w:footnoteReference w:id="37"/>
      </w:r>
      <w:r>
        <w:rPr>
          <w:lang w:val="en-US"/>
        </w:rPr>
        <w:t xml:space="preserve"> In a report from 2019</w:t>
      </w:r>
      <w:r w:rsidRPr="0007654B">
        <w:rPr>
          <w:lang w:val="en-US"/>
        </w:rPr>
        <w:t xml:space="preserve">, </w:t>
      </w:r>
      <w:r w:rsidR="00AD6134">
        <w:rPr>
          <w:lang w:val="en-US"/>
        </w:rPr>
        <w:t>Equality and Anti-</w:t>
      </w:r>
      <w:r w:rsidR="00AD6134">
        <w:rPr>
          <w:lang w:val="en-US"/>
        </w:rPr>
        <w:lastRenderedPageBreak/>
        <w:t xml:space="preserve">discrimination Ombudsperson </w:t>
      </w:r>
      <w:r w:rsidRPr="0007654B">
        <w:rPr>
          <w:lang w:val="en-US"/>
        </w:rPr>
        <w:t>found</w:t>
      </w:r>
      <w:r>
        <w:rPr>
          <w:lang w:val="en-US"/>
        </w:rPr>
        <w:t xml:space="preserve"> that there are gaps in the </w:t>
      </w:r>
      <w:r w:rsidR="009B624B">
        <w:rPr>
          <w:lang w:val="en-US"/>
        </w:rPr>
        <w:t>quality control of decisions on use of coercion by the s</w:t>
      </w:r>
      <w:r>
        <w:rPr>
          <w:lang w:val="en-US"/>
        </w:rPr>
        <w:t>upervisory mechanisms.</w:t>
      </w:r>
      <w:r>
        <w:rPr>
          <w:rStyle w:val="Fotnotereferanse"/>
          <w:lang w:val="en-US"/>
        </w:rPr>
        <w:footnoteReference w:id="38"/>
      </w:r>
    </w:p>
    <w:p w14:paraId="3A14FA9F" w14:textId="201A25B4" w:rsidR="00866A95" w:rsidRDefault="00C25926" w:rsidP="00C25926">
      <w:pPr>
        <w:rPr>
          <w:rStyle w:val="Fotnotereferanse"/>
          <w:lang w:val="en-US"/>
        </w:rPr>
      </w:pPr>
      <w:r w:rsidRPr="001D6C53">
        <w:rPr>
          <w:lang w:val="en-US"/>
        </w:rPr>
        <w:t>An additional issue is</w:t>
      </w:r>
      <w:r>
        <w:rPr>
          <w:lang w:val="en-US"/>
        </w:rPr>
        <w:t xml:space="preserve"> a lack of</w:t>
      </w:r>
      <w:r w:rsidRPr="001D6C53">
        <w:rPr>
          <w:lang w:val="en-US"/>
        </w:rPr>
        <w:t xml:space="preserve"> qualified personnel. In the majority of cases where coercion</w:t>
      </w:r>
      <w:r>
        <w:rPr>
          <w:lang w:val="en-US"/>
        </w:rPr>
        <w:t xml:space="preserve"> </w:t>
      </w:r>
      <w:r w:rsidRPr="001D6C53">
        <w:rPr>
          <w:lang w:val="en-US"/>
        </w:rPr>
        <w:t>is used (</w:t>
      </w:r>
      <w:r>
        <w:rPr>
          <w:lang w:val="en-US"/>
        </w:rPr>
        <w:t>three</w:t>
      </w:r>
      <w:r w:rsidRPr="001D6C53">
        <w:rPr>
          <w:lang w:val="en-US"/>
        </w:rPr>
        <w:t xml:space="preserve"> of </w:t>
      </w:r>
      <w:r>
        <w:rPr>
          <w:lang w:val="en-US"/>
        </w:rPr>
        <w:t>four</w:t>
      </w:r>
      <w:r w:rsidRPr="001D6C53">
        <w:rPr>
          <w:lang w:val="en-US"/>
        </w:rPr>
        <w:t xml:space="preserve">), the measures are carried out by unskilled personnel. Thus, dispensation from the right to </w:t>
      </w:r>
      <w:r w:rsidR="00D43744">
        <w:rPr>
          <w:lang w:val="en-US"/>
        </w:rPr>
        <w:t xml:space="preserve">be treated by </w:t>
      </w:r>
      <w:r w:rsidRPr="001D6C53">
        <w:rPr>
          <w:lang w:val="en-US"/>
        </w:rPr>
        <w:t>qualified personnel when coercion is used as a planned measure, seems to be the general rule. In 2017, dispensation from the qualification requirement were applied for in 1175 cases. Dispensation was gra</w:t>
      </w:r>
      <w:r>
        <w:rPr>
          <w:lang w:val="en-US"/>
        </w:rPr>
        <w:t>n</w:t>
      </w:r>
      <w:r w:rsidRPr="001D6C53">
        <w:rPr>
          <w:lang w:val="en-US"/>
        </w:rPr>
        <w:t>ted in 1093 cases.</w:t>
      </w:r>
      <w:r w:rsidRPr="00C03AC9">
        <w:rPr>
          <w:rStyle w:val="Fotnotereferanse"/>
          <w:lang w:val="en-US"/>
        </w:rPr>
        <w:footnoteReference w:id="39"/>
      </w:r>
      <w:r w:rsidRPr="00C03AC9">
        <w:rPr>
          <w:rStyle w:val="Fotnotereferanse"/>
          <w:lang w:val="en-US"/>
        </w:rPr>
        <w:t xml:space="preserve"> </w:t>
      </w:r>
    </w:p>
    <w:p w14:paraId="024E3DB0" w14:textId="2DFDFF57" w:rsidR="00C25926" w:rsidRPr="001D6C53" w:rsidRDefault="00866A95" w:rsidP="00C25926">
      <w:pPr>
        <w:rPr>
          <w:lang w:val="en-US"/>
        </w:rPr>
      </w:pPr>
      <w:r w:rsidRPr="001D6C53">
        <w:rPr>
          <w:lang w:val="en-US"/>
        </w:rPr>
        <w:t xml:space="preserve">Furthermore, </w:t>
      </w:r>
      <w:r>
        <w:rPr>
          <w:lang w:val="en-US"/>
        </w:rPr>
        <w:t xml:space="preserve">justifications within the </w:t>
      </w:r>
      <w:r w:rsidRPr="001D6C53">
        <w:rPr>
          <w:lang w:val="en-US"/>
        </w:rPr>
        <w:t xml:space="preserve">decisions on the use of coercion seem to be rudimentary and to lack explicit considerations of the right of persons with intellectual impairment to </w:t>
      </w:r>
      <w:r w:rsidR="00AD6134">
        <w:rPr>
          <w:lang w:val="en-US"/>
        </w:rPr>
        <w:t>individual autonomy (</w:t>
      </w:r>
      <w:proofErr w:type="spellStart"/>
      <w:r w:rsidR="00AD6134">
        <w:rPr>
          <w:lang w:val="en-US"/>
        </w:rPr>
        <w:t>CRPD</w:t>
      </w:r>
      <w:proofErr w:type="spellEnd"/>
      <w:r w:rsidR="00AD6134">
        <w:rPr>
          <w:lang w:val="en-US"/>
        </w:rPr>
        <w:t xml:space="preserve"> Art. 3 (a))</w:t>
      </w:r>
      <w:r w:rsidRPr="001D6C53">
        <w:rPr>
          <w:lang w:val="en-US"/>
        </w:rPr>
        <w:t xml:space="preserve">. An examination of 121 coercive-care decisions from 2015 from the County Governor in Oslo and </w:t>
      </w:r>
      <w:proofErr w:type="spellStart"/>
      <w:r w:rsidRPr="001D6C53">
        <w:rPr>
          <w:lang w:val="en-US"/>
        </w:rPr>
        <w:t>Akershus</w:t>
      </w:r>
      <w:proofErr w:type="spellEnd"/>
      <w:r w:rsidRPr="001D6C53">
        <w:rPr>
          <w:lang w:val="en-US"/>
        </w:rPr>
        <w:t xml:space="preserve"> indicates that the right to </w:t>
      </w:r>
      <w:r w:rsidR="005B43AB">
        <w:rPr>
          <w:lang w:val="en-US"/>
        </w:rPr>
        <w:t>individual autonomy</w:t>
      </w:r>
      <w:r w:rsidRPr="001D6C53">
        <w:rPr>
          <w:lang w:val="en-US"/>
        </w:rPr>
        <w:t xml:space="preserve"> of persons with intellectual impairment</w:t>
      </w:r>
      <w:r w:rsidR="008533D6">
        <w:rPr>
          <w:lang w:val="en-US"/>
        </w:rPr>
        <w:t>, as anchored in the Convention on the Rights of Persons with Disabilities,</w:t>
      </w:r>
      <w:r w:rsidRPr="001D6C53">
        <w:rPr>
          <w:lang w:val="en-US"/>
        </w:rPr>
        <w:t xml:space="preserve"> is insufficiently protected.</w:t>
      </w:r>
      <w:r w:rsidRPr="00C03AC9">
        <w:rPr>
          <w:rStyle w:val="Fotnotereferanse"/>
          <w:lang w:val="en-US"/>
        </w:rPr>
        <w:footnoteReference w:id="40"/>
      </w:r>
    </w:p>
    <w:p w14:paraId="0EA128B6" w14:textId="77777777" w:rsidR="00C25926" w:rsidRPr="001D6C53" w:rsidRDefault="00C25926" w:rsidP="00C25926">
      <w:pPr>
        <w:rPr>
          <w:lang w:val="en-US"/>
        </w:rPr>
      </w:pPr>
      <w:r>
        <w:rPr>
          <w:lang w:val="en-US"/>
        </w:rPr>
        <w:t>T</w:t>
      </w:r>
      <w:r w:rsidRPr="001D6C53">
        <w:rPr>
          <w:lang w:val="en-US"/>
        </w:rPr>
        <w:t xml:space="preserve">he Directorate of Health is developing guidance material for health personnel working with people with intellectual disabilities, and the annual state budget allocates resources for measures aimed at strengthening competence in health and care services for people </w:t>
      </w:r>
      <w:r>
        <w:rPr>
          <w:lang w:val="en-US"/>
        </w:rPr>
        <w:t xml:space="preserve">working </w:t>
      </w:r>
      <w:r w:rsidRPr="001D6C53">
        <w:rPr>
          <w:lang w:val="en-US"/>
        </w:rPr>
        <w:t>with intellectual disabilities.</w:t>
      </w:r>
      <w:r>
        <w:rPr>
          <w:rStyle w:val="Fotnotereferanse"/>
          <w:lang w:val="en-US"/>
        </w:rPr>
        <w:footnoteReference w:id="41"/>
      </w:r>
      <w:r w:rsidRPr="001D6C53">
        <w:rPr>
          <w:lang w:val="en-US"/>
        </w:rPr>
        <w:t xml:space="preserve">   </w:t>
      </w:r>
    </w:p>
    <w:p w14:paraId="57A38232" w14:textId="77777777" w:rsidR="00C25926" w:rsidRDefault="00C25926" w:rsidP="00876B3A">
      <w:pPr>
        <w:ind w:firstLine="360"/>
        <w:rPr>
          <w:b/>
          <w:lang w:val="en-US"/>
        </w:rPr>
      </w:pPr>
      <w:r>
        <w:rPr>
          <w:b/>
          <w:lang w:val="en-US"/>
        </w:rPr>
        <w:t xml:space="preserve">Suggested recommendations: </w:t>
      </w:r>
    </w:p>
    <w:p w14:paraId="36C68BDC" w14:textId="04396EB2" w:rsidR="00C25926" w:rsidRDefault="00C25926" w:rsidP="00C25926">
      <w:pPr>
        <w:numPr>
          <w:ilvl w:val="0"/>
          <w:numId w:val="42"/>
        </w:numPr>
        <w:spacing w:after="200"/>
        <w:jc w:val="left"/>
        <w:rPr>
          <w:lang w:val="en-US"/>
        </w:rPr>
      </w:pPr>
      <w:r w:rsidRPr="008F71C4">
        <w:rPr>
          <w:lang w:val="en-US"/>
        </w:rPr>
        <w:t xml:space="preserve">The State Party should ensure further reduction of the use of coercion, including through training of staff, </w:t>
      </w:r>
      <w:r>
        <w:rPr>
          <w:lang w:val="en-US"/>
        </w:rPr>
        <w:t xml:space="preserve">restricting unqualified personal from taking decisions on such measures, </w:t>
      </w:r>
      <w:r w:rsidRPr="008F71C4">
        <w:rPr>
          <w:lang w:val="en-US"/>
        </w:rPr>
        <w:t>prioritizing alternative and less intrusive methods</w:t>
      </w:r>
      <w:r>
        <w:rPr>
          <w:lang w:val="en-US"/>
        </w:rPr>
        <w:t xml:space="preserve">, </w:t>
      </w:r>
      <w:r w:rsidRPr="008F71C4">
        <w:rPr>
          <w:lang w:val="en-US"/>
        </w:rPr>
        <w:t>strengthening procedural guarantees and control</w:t>
      </w:r>
      <w:r>
        <w:rPr>
          <w:lang w:val="en-US"/>
        </w:rPr>
        <w:t xml:space="preserve"> as well as giving due respect to the right of </w:t>
      </w:r>
      <w:r w:rsidR="005B43AB">
        <w:rPr>
          <w:lang w:val="en-US"/>
        </w:rPr>
        <w:t>individual autonomy</w:t>
      </w:r>
      <w:r>
        <w:rPr>
          <w:lang w:val="en-US"/>
        </w:rPr>
        <w:t>.</w:t>
      </w:r>
    </w:p>
    <w:p w14:paraId="79F04CA3" w14:textId="0D773C78" w:rsidR="00C25926" w:rsidRDefault="00C25926" w:rsidP="00C25926">
      <w:pPr>
        <w:numPr>
          <w:ilvl w:val="0"/>
          <w:numId w:val="42"/>
        </w:numPr>
        <w:spacing w:after="200"/>
        <w:jc w:val="left"/>
        <w:rPr>
          <w:lang w:val="en-US"/>
        </w:rPr>
      </w:pPr>
      <w:r>
        <w:rPr>
          <w:lang w:val="en-US"/>
        </w:rPr>
        <w:t xml:space="preserve">The State Party should </w:t>
      </w:r>
      <w:r w:rsidR="00EB0E1A">
        <w:rPr>
          <w:lang w:val="en-US"/>
        </w:rPr>
        <w:t>ensure that</w:t>
      </w:r>
      <w:r w:rsidR="00DC6033">
        <w:rPr>
          <w:lang w:val="en-US"/>
        </w:rPr>
        <w:t xml:space="preserve"> </w:t>
      </w:r>
      <w:r>
        <w:rPr>
          <w:lang w:val="en-US"/>
        </w:rPr>
        <w:t xml:space="preserve">the use of coercive </w:t>
      </w:r>
      <w:proofErr w:type="spellStart"/>
      <w:r>
        <w:rPr>
          <w:lang w:val="en-US"/>
        </w:rPr>
        <w:t>ECT</w:t>
      </w:r>
      <w:proofErr w:type="spellEnd"/>
      <w:r>
        <w:rPr>
          <w:lang w:val="en-US"/>
        </w:rPr>
        <w:t>, coercive neuroleptic drugs, and long-term segregation</w:t>
      </w:r>
      <w:r w:rsidR="00EB0E1A">
        <w:rPr>
          <w:lang w:val="en-US"/>
        </w:rPr>
        <w:t xml:space="preserve"> </w:t>
      </w:r>
      <w:r>
        <w:rPr>
          <w:lang w:val="en-US"/>
        </w:rPr>
        <w:t xml:space="preserve">are in accordance with human rights standards and </w:t>
      </w:r>
      <w:r w:rsidR="00EB0E1A">
        <w:rPr>
          <w:lang w:val="en-US"/>
        </w:rPr>
        <w:t xml:space="preserve">that the </w:t>
      </w:r>
      <w:r>
        <w:rPr>
          <w:lang w:val="en-US"/>
        </w:rPr>
        <w:t xml:space="preserve">use of coercive measure even </w:t>
      </w:r>
      <w:r w:rsidRPr="00DD1F4A">
        <w:rPr>
          <w:lang w:val="en-US"/>
        </w:rPr>
        <w:t xml:space="preserve">in emergency cases should have basis in law and be subject to </w:t>
      </w:r>
      <w:r>
        <w:rPr>
          <w:lang w:val="en-US"/>
        </w:rPr>
        <w:t xml:space="preserve">legal </w:t>
      </w:r>
      <w:r w:rsidRPr="00DD1F4A">
        <w:rPr>
          <w:lang w:val="en-US"/>
        </w:rPr>
        <w:t>safeguards.</w:t>
      </w:r>
    </w:p>
    <w:p w14:paraId="3C617162" w14:textId="77777777" w:rsidR="00E343A9" w:rsidRPr="00DD1F4A" w:rsidRDefault="00E343A9" w:rsidP="00E343A9">
      <w:pPr>
        <w:spacing w:after="200"/>
        <w:ind w:left="720"/>
        <w:jc w:val="left"/>
        <w:rPr>
          <w:lang w:val="en-US"/>
        </w:rPr>
      </w:pPr>
    </w:p>
    <w:p w14:paraId="764DCC20" w14:textId="77777777" w:rsidR="00C25926" w:rsidRPr="00CA2468" w:rsidRDefault="00C25926" w:rsidP="00CA2468">
      <w:pPr>
        <w:pStyle w:val="Overskrift2"/>
      </w:pPr>
      <w:bookmarkStart w:id="22" w:name="_Toc29897664"/>
      <w:r w:rsidRPr="00CA2468">
        <w:lastRenderedPageBreak/>
        <w:t>Elderly on coercion, nutrition and medication – particular concerns</w:t>
      </w:r>
      <w:bookmarkEnd w:id="22"/>
    </w:p>
    <w:p w14:paraId="219CD77F" w14:textId="20E4C83A" w:rsidR="00C25926" w:rsidRDefault="00C25926" w:rsidP="00CA2468">
      <w:pPr>
        <w:spacing w:before="240"/>
        <w:rPr>
          <w:lang w:val="en-US"/>
        </w:rPr>
      </w:pPr>
      <w:r>
        <w:rPr>
          <w:lang w:val="en-US"/>
        </w:rPr>
        <w:t xml:space="preserve">In 2019, </w:t>
      </w:r>
      <w:proofErr w:type="spellStart"/>
      <w:r>
        <w:rPr>
          <w:lang w:val="en-US"/>
        </w:rPr>
        <w:t>NIM</w:t>
      </w:r>
      <w:proofErr w:type="spellEnd"/>
      <w:r>
        <w:rPr>
          <w:lang w:val="en-US"/>
        </w:rPr>
        <w:t xml:space="preserve"> published a report on the human rights situation of elderly</w:t>
      </w:r>
      <w:r w:rsidR="00D7007A">
        <w:rPr>
          <w:lang w:val="en-US"/>
        </w:rPr>
        <w:t xml:space="preserve"> persons</w:t>
      </w:r>
      <w:r>
        <w:rPr>
          <w:lang w:val="en-US"/>
        </w:rPr>
        <w:t>, presenting seven issues of concern.</w:t>
      </w:r>
      <w:r>
        <w:rPr>
          <w:rStyle w:val="Fotnotereferanse"/>
          <w:lang w:val="en-US"/>
        </w:rPr>
        <w:footnoteReference w:id="42"/>
      </w:r>
      <w:r>
        <w:rPr>
          <w:lang w:val="en-US"/>
        </w:rPr>
        <w:t xml:space="preserve"> Among these</w:t>
      </w:r>
      <w:r w:rsidR="0029684A">
        <w:rPr>
          <w:lang w:val="en-US"/>
        </w:rPr>
        <w:t xml:space="preserve">, </w:t>
      </w:r>
      <w:r>
        <w:rPr>
          <w:lang w:val="en-US"/>
        </w:rPr>
        <w:t xml:space="preserve">three key issues </w:t>
      </w:r>
      <w:r w:rsidR="0029684A">
        <w:rPr>
          <w:lang w:val="en-US"/>
        </w:rPr>
        <w:t xml:space="preserve">are </w:t>
      </w:r>
      <w:r>
        <w:rPr>
          <w:lang w:val="en-US"/>
        </w:rPr>
        <w:t>related to health care</w:t>
      </w:r>
      <w:r w:rsidR="00C1356E">
        <w:rPr>
          <w:lang w:val="en-US"/>
        </w:rPr>
        <w:t xml:space="preserve">. The situation in nursing homes is also </w:t>
      </w:r>
      <w:r w:rsidR="00964F6F">
        <w:rPr>
          <w:lang w:val="en-US"/>
        </w:rPr>
        <w:t>described</w:t>
      </w:r>
      <w:r>
        <w:rPr>
          <w:lang w:val="en-US"/>
        </w:rPr>
        <w:t xml:space="preserve"> </w:t>
      </w:r>
      <w:r w:rsidR="00964F6F">
        <w:rPr>
          <w:lang w:val="en-US"/>
        </w:rPr>
        <w:t xml:space="preserve">in </w:t>
      </w:r>
      <w:r w:rsidR="00C1356E">
        <w:rPr>
          <w:lang w:val="en-US"/>
        </w:rPr>
        <w:t>a</w:t>
      </w:r>
      <w:r>
        <w:rPr>
          <w:lang w:val="en-US"/>
        </w:rPr>
        <w:t xml:space="preserve"> </w:t>
      </w:r>
      <w:r w:rsidR="00C1356E">
        <w:rPr>
          <w:lang w:val="en-US"/>
        </w:rPr>
        <w:t xml:space="preserve">report from the </w:t>
      </w:r>
      <w:r w:rsidRPr="00E17DAC">
        <w:rPr>
          <w:lang w:val="en-US"/>
        </w:rPr>
        <w:t>former National Institution</w:t>
      </w:r>
      <w:r w:rsidR="00C1356E">
        <w:rPr>
          <w:lang w:val="en-US"/>
        </w:rPr>
        <w:t>.</w:t>
      </w:r>
      <w:r>
        <w:rPr>
          <w:rStyle w:val="Fotnotereferanse"/>
          <w:lang w:val="en-US"/>
        </w:rPr>
        <w:footnoteReference w:id="43"/>
      </w:r>
    </w:p>
    <w:p w14:paraId="1903DDF5" w14:textId="2A585E15" w:rsidR="00C25926" w:rsidRDefault="00E94156" w:rsidP="00C25926">
      <w:pPr>
        <w:rPr>
          <w:lang w:val="en-US"/>
        </w:rPr>
      </w:pPr>
      <w:r>
        <w:rPr>
          <w:lang w:val="en-US"/>
        </w:rPr>
        <w:t xml:space="preserve">The first issue relates to </w:t>
      </w:r>
      <w:r w:rsidR="00C25926" w:rsidRPr="00E17DAC">
        <w:rPr>
          <w:lang w:val="en-US"/>
        </w:rPr>
        <w:t xml:space="preserve">the new </w:t>
      </w:r>
      <w:r w:rsidR="00C1356E">
        <w:rPr>
          <w:lang w:val="en-US"/>
        </w:rPr>
        <w:t xml:space="preserve">Chapter </w:t>
      </w:r>
      <w:r w:rsidR="00C25926" w:rsidRPr="00E17DAC">
        <w:rPr>
          <w:lang w:val="en-US"/>
        </w:rPr>
        <w:t xml:space="preserve">4A in the </w:t>
      </w:r>
      <w:r w:rsidR="00C25926">
        <w:rPr>
          <w:lang w:val="en-US"/>
        </w:rPr>
        <w:t>Patients</w:t>
      </w:r>
      <w:r w:rsidR="00E53984">
        <w:rPr>
          <w:lang w:val="en-US"/>
        </w:rPr>
        <w:t>’</w:t>
      </w:r>
      <w:r w:rsidR="00C25926">
        <w:rPr>
          <w:lang w:val="en-US"/>
        </w:rPr>
        <w:t xml:space="preserve"> Rights </w:t>
      </w:r>
      <w:r w:rsidR="00C25926" w:rsidRPr="00E17DAC">
        <w:rPr>
          <w:lang w:val="en-US"/>
        </w:rPr>
        <w:t xml:space="preserve">Act </w:t>
      </w:r>
      <w:r>
        <w:rPr>
          <w:lang w:val="en-US"/>
        </w:rPr>
        <w:t xml:space="preserve">that </w:t>
      </w:r>
      <w:r w:rsidR="00C25926" w:rsidRPr="00E17DAC">
        <w:rPr>
          <w:lang w:val="en-US"/>
        </w:rPr>
        <w:t>came into force</w:t>
      </w:r>
      <w:r>
        <w:rPr>
          <w:lang w:val="en-US"/>
        </w:rPr>
        <w:t xml:space="preserve"> in 2009</w:t>
      </w:r>
      <w:r w:rsidR="00C25926" w:rsidRPr="00E17DAC">
        <w:rPr>
          <w:lang w:val="en-US"/>
        </w:rPr>
        <w:t>. Th</w:t>
      </w:r>
      <w:r w:rsidR="00C1356E">
        <w:rPr>
          <w:lang w:val="en-US"/>
        </w:rPr>
        <w:t>e</w:t>
      </w:r>
      <w:r w:rsidR="00C25926" w:rsidRPr="00E17DAC">
        <w:rPr>
          <w:lang w:val="en-US"/>
        </w:rPr>
        <w:t xml:space="preserve"> provision</w:t>
      </w:r>
      <w:r w:rsidR="00C1356E">
        <w:rPr>
          <w:lang w:val="en-US"/>
        </w:rPr>
        <w:t>s</w:t>
      </w:r>
      <w:r w:rsidR="00C25926" w:rsidRPr="00E17DAC">
        <w:rPr>
          <w:lang w:val="en-US"/>
        </w:rPr>
        <w:t xml:space="preserve"> </w:t>
      </w:r>
      <w:r w:rsidR="00C1356E">
        <w:rPr>
          <w:lang w:val="en-US"/>
        </w:rPr>
        <w:t xml:space="preserve">in Chapter 4A </w:t>
      </w:r>
      <w:r w:rsidR="00C25926" w:rsidRPr="00E17DAC">
        <w:rPr>
          <w:lang w:val="en-US"/>
        </w:rPr>
        <w:t xml:space="preserve">specifies that involuntary healthcare can only be justified towards patients who lack decision competence and resist healthcare, </w:t>
      </w:r>
      <w:r w:rsidR="00CC44C4">
        <w:rPr>
          <w:lang w:val="en-US"/>
        </w:rPr>
        <w:t>when it is necessary</w:t>
      </w:r>
      <w:r w:rsidR="00C25926" w:rsidRPr="00E17DAC">
        <w:rPr>
          <w:lang w:val="en-US"/>
        </w:rPr>
        <w:t xml:space="preserve"> to avoid serious harm to the patient. It should be noted that approximately 80% of 40,000 residents in nursing homes are diagnosed with dementia and encompassing disabilities. The Norwegian Board of Health conducted a systemic audit of practices in nursing homes in 103 municipalities in the period 2011-2012.</w:t>
      </w:r>
      <w:r w:rsidR="00C25926">
        <w:rPr>
          <w:rStyle w:val="Fotnotereferanse"/>
          <w:lang w:val="en-US"/>
        </w:rPr>
        <w:footnoteReference w:id="44"/>
      </w:r>
      <w:r w:rsidR="00C25926">
        <w:rPr>
          <w:lang w:val="en-US"/>
        </w:rPr>
        <w:t xml:space="preserve"> </w:t>
      </w:r>
      <w:r w:rsidR="00C25926" w:rsidRPr="00E17DAC">
        <w:rPr>
          <w:lang w:val="en-US"/>
        </w:rPr>
        <w:t xml:space="preserve">The audit revealed extensive use of coercion contrary to the provisions in Chapter 4A. It also found that the provisions, including guidelines on its implementation, were not well known to healthcare professionals, including the need to adopt a written decision when using coercive treatment. A recent study by Statistics Norway on behalf of </w:t>
      </w:r>
      <w:proofErr w:type="spellStart"/>
      <w:r w:rsidR="00C25926" w:rsidRPr="00E17DAC">
        <w:rPr>
          <w:lang w:val="en-US"/>
        </w:rPr>
        <w:t>NIM</w:t>
      </w:r>
      <w:proofErr w:type="spellEnd"/>
      <w:r w:rsidR="00C25926" w:rsidRPr="00E17DAC">
        <w:rPr>
          <w:lang w:val="en-US"/>
        </w:rPr>
        <w:t xml:space="preserve"> further documented the lack of registration of the use of coercive healthcare.</w:t>
      </w:r>
      <w:r w:rsidR="00C25926">
        <w:rPr>
          <w:rStyle w:val="Fotnotereferanse"/>
          <w:lang w:val="en-US"/>
        </w:rPr>
        <w:footnoteReference w:id="45"/>
      </w:r>
      <w:r w:rsidR="00C25926" w:rsidRPr="00E17DAC">
        <w:rPr>
          <w:lang w:val="en-US"/>
        </w:rPr>
        <w:t xml:space="preserve"> Only half of the municipalities had in 2017 reported on instances of coercive healthcare in spite of the legal obligation to do so since 2009</w:t>
      </w:r>
      <w:r w:rsidR="00C25926">
        <w:rPr>
          <w:lang w:val="en-US"/>
        </w:rPr>
        <w:t>.</w:t>
      </w:r>
    </w:p>
    <w:p w14:paraId="4466CA08" w14:textId="11F05D97" w:rsidR="00C25926" w:rsidRPr="001320B9" w:rsidRDefault="00C25926" w:rsidP="00C25926">
      <w:pPr>
        <w:rPr>
          <w:lang w:val="en-US"/>
        </w:rPr>
      </w:pPr>
      <w:r>
        <w:rPr>
          <w:lang w:val="en"/>
        </w:rPr>
        <w:t xml:space="preserve">Secondly, </w:t>
      </w:r>
      <w:r w:rsidR="00955D66">
        <w:rPr>
          <w:lang w:val="en"/>
        </w:rPr>
        <w:t>t</w:t>
      </w:r>
      <w:r w:rsidRPr="001320B9">
        <w:rPr>
          <w:lang w:val="en"/>
        </w:rPr>
        <w:t>he Directorate of Health estimates that around a third</w:t>
      </w:r>
      <w:r>
        <w:rPr>
          <w:lang w:val="en"/>
        </w:rPr>
        <w:t xml:space="preserve"> </w:t>
      </w:r>
      <w:r w:rsidRPr="001320B9">
        <w:rPr>
          <w:lang w:val="en"/>
        </w:rPr>
        <w:t>of elderly patients in hospitals and in health and</w:t>
      </w:r>
      <w:r>
        <w:rPr>
          <w:lang w:val="en"/>
        </w:rPr>
        <w:t xml:space="preserve"> </w:t>
      </w:r>
      <w:r w:rsidRPr="001320B9">
        <w:rPr>
          <w:lang w:val="en"/>
        </w:rPr>
        <w:t xml:space="preserve">care services in the municipalities are malnourished or at risk of malnutrition. This </w:t>
      </w:r>
      <w:r>
        <w:rPr>
          <w:lang w:val="en"/>
        </w:rPr>
        <w:t xml:space="preserve">can </w:t>
      </w:r>
      <w:r w:rsidRPr="001320B9">
        <w:rPr>
          <w:lang w:val="en"/>
        </w:rPr>
        <w:t>i</w:t>
      </w:r>
      <w:r>
        <w:rPr>
          <w:lang w:val="en"/>
        </w:rPr>
        <w:t xml:space="preserve">n </w:t>
      </w:r>
      <w:r w:rsidRPr="001320B9">
        <w:rPr>
          <w:lang w:val="en"/>
        </w:rPr>
        <w:t>itself increase the risk of falls, repeated</w:t>
      </w:r>
      <w:r>
        <w:rPr>
          <w:lang w:val="en"/>
        </w:rPr>
        <w:t xml:space="preserve"> </w:t>
      </w:r>
      <w:r w:rsidRPr="001320B9">
        <w:rPr>
          <w:lang w:val="en"/>
        </w:rPr>
        <w:t>hospital admissions, lack of wound healing and death. Malnutrition also reduces resistance to infections and worsens physical and mental function</w:t>
      </w:r>
      <w:r>
        <w:rPr>
          <w:lang w:val="en"/>
        </w:rPr>
        <w:t>.</w:t>
      </w:r>
      <w:r>
        <w:rPr>
          <w:rStyle w:val="Fotnotereferanse"/>
          <w:lang w:val="en"/>
        </w:rPr>
        <w:footnoteReference w:id="46"/>
      </w:r>
    </w:p>
    <w:p w14:paraId="3661806E" w14:textId="536B58D7" w:rsidR="00C25926" w:rsidRDefault="00C25926" w:rsidP="00C25926">
      <w:pPr>
        <w:rPr>
          <w:lang w:val="en"/>
        </w:rPr>
      </w:pPr>
      <w:r>
        <w:rPr>
          <w:lang w:val="en"/>
        </w:rPr>
        <w:t>Thirdly, m</w:t>
      </w:r>
      <w:r w:rsidRPr="001320B9">
        <w:rPr>
          <w:lang w:val="en"/>
        </w:rPr>
        <w:t>any elderl</w:t>
      </w:r>
      <w:r w:rsidR="00955D66">
        <w:rPr>
          <w:lang w:val="en"/>
        </w:rPr>
        <w:t>y persons</w:t>
      </w:r>
      <w:r w:rsidRPr="001320B9">
        <w:rPr>
          <w:lang w:val="en"/>
        </w:rPr>
        <w:t xml:space="preserve"> have several illnesses and need to use</w:t>
      </w:r>
      <w:r>
        <w:rPr>
          <w:lang w:val="en"/>
        </w:rPr>
        <w:t xml:space="preserve"> s</w:t>
      </w:r>
      <w:r w:rsidRPr="001320B9">
        <w:rPr>
          <w:lang w:val="en"/>
        </w:rPr>
        <w:t xml:space="preserve">everal </w:t>
      </w:r>
      <w:r>
        <w:rPr>
          <w:lang w:val="en"/>
        </w:rPr>
        <w:t>medicines</w:t>
      </w:r>
      <w:r w:rsidRPr="001320B9">
        <w:rPr>
          <w:lang w:val="en"/>
        </w:rPr>
        <w:t xml:space="preserve">. </w:t>
      </w:r>
      <w:r>
        <w:rPr>
          <w:lang w:val="en"/>
        </w:rPr>
        <w:t xml:space="preserve">A </w:t>
      </w:r>
      <w:r w:rsidRPr="006C2E04">
        <w:rPr>
          <w:lang w:val="en"/>
        </w:rPr>
        <w:t xml:space="preserve">doctoral dissertation from 2018 shows that </w:t>
      </w:r>
      <w:r w:rsidR="00326664">
        <w:rPr>
          <w:lang w:val="en"/>
        </w:rPr>
        <w:t xml:space="preserve">among the </w:t>
      </w:r>
      <w:r w:rsidR="00326664" w:rsidRPr="006C2E04">
        <w:rPr>
          <w:lang w:val="en"/>
        </w:rPr>
        <w:t xml:space="preserve">surveyed </w:t>
      </w:r>
      <w:r w:rsidR="00326664">
        <w:rPr>
          <w:lang w:val="en"/>
        </w:rPr>
        <w:t xml:space="preserve">persons, </w:t>
      </w:r>
      <w:r w:rsidRPr="006C2E04">
        <w:rPr>
          <w:lang w:val="en"/>
        </w:rPr>
        <w:t xml:space="preserve">35 percent of the elderly </w:t>
      </w:r>
      <w:r>
        <w:rPr>
          <w:lang w:val="en"/>
        </w:rPr>
        <w:t xml:space="preserve">living at home </w:t>
      </w:r>
      <w:r w:rsidRPr="006C2E04">
        <w:rPr>
          <w:lang w:val="en"/>
        </w:rPr>
        <w:t xml:space="preserve">and 44 percent of residents in the nursing homes used at least one drug, or a combination of drugs, which </w:t>
      </w:r>
      <w:r w:rsidR="00326664">
        <w:rPr>
          <w:lang w:val="en"/>
        </w:rPr>
        <w:t>could</w:t>
      </w:r>
      <w:r w:rsidR="00326664" w:rsidRPr="006C2E04">
        <w:rPr>
          <w:lang w:val="en"/>
        </w:rPr>
        <w:t xml:space="preserve"> </w:t>
      </w:r>
      <w:r w:rsidRPr="006C2E04">
        <w:rPr>
          <w:lang w:val="en"/>
        </w:rPr>
        <w:t xml:space="preserve">be characterized as potentially </w:t>
      </w:r>
      <w:r w:rsidRPr="006C2E04">
        <w:rPr>
          <w:lang w:val="en"/>
        </w:rPr>
        <w:lastRenderedPageBreak/>
        <w:t>unfortunate.</w:t>
      </w:r>
      <w:r>
        <w:rPr>
          <w:rStyle w:val="Fotnotereferanse"/>
          <w:lang w:val="en"/>
        </w:rPr>
        <w:footnoteReference w:id="47"/>
      </w:r>
      <w:r>
        <w:rPr>
          <w:lang w:val="en"/>
        </w:rPr>
        <w:t xml:space="preserve"> </w:t>
      </w:r>
      <w:r w:rsidRPr="00487207">
        <w:rPr>
          <w:lang w:val="en"/>
        </w:rPr>
        <w:t xml:space="preserve">In a doctoral dissertation from 2017 on </w:t>
      </w:r>
      <w:r>
        <w:rPr>
          <w:lang w:val="en"/>
        </w:rPr>
        <w:t>medication of</w:t>
      </w:r>
      <w:r w:rsidRPr="00487207">
        <w:rPr>
          <w:lang w:val="en"/>
        </w:rPr>
        <w:t xml:space="preserve"> elderly</w:t>
      </w:r>
      <w:r w:rsidR="00D51E35">
        <w:rPr>
          <w:lang w:val="en"/>
        </w:rPr>
        <w:t xml:space="preserve"> persons</w:t>
      </w:r>
      <w:r w:rsidRPr="00487207">
        <w:rPr>
          <w:lang w:val="en"/>
        </w:rPr>
        <w:t>, one of four prescriptions</w:t>
      </w:r>
      <w:r>
        <w:rPr>
          <w:lang w:val="en"/>
        </w:rPr>
        <w:t xml:space="preserve"> </w:t>
      </w:r>
      <w:r w:rsidR="0008628B">
        <w:rPr>
          <w:lang w:val="en"/>
        </w:rPr>
        <w:t xml:space="preserve">to this group </w:t>
      </w:r>
      <w:r w:rsidRPr="00487207">
        <w:rPr>
          <w:lang w:val="en"/>
        </w:rPr>
        <w:t xml:space="preserve">was </w:t>
      </w:r>
      <w:r>
        <w:rPr>
          <w:lang w:val="en"/>
        </w:rPr>
        <w:t>considered to be unfortunate.</w:t>
      </w:r>
      <w:r>
        <w:rPr>
          <w:rStyle w:val="Fotnotereferanse"/>
          <w:lang w:val="en"/>
        </w:rPr>
        <w:footnoteReference w:id="48"/>
      </w:r>
    </w:p>
    <w:p w14:paraId="5588C889" w14:textId="71AFFAE2" w:rsidR="00C25926" w:rsidRDefault="00C25926" w:rsidP="00C25926">
      <w:pPr>
        <w:rPr>
          <w:lang w:val="en"/>
        </w:rPr>
      </w:pPr>
      <w:r w:rsidRPr="006C2E04">
        <w:rPr>
          <w:lang w:val="en"/>
        </w:rPr>
        <w:t xml:space="preserve">In November 2018, </w:t>
      </w:r>
      <w:r w:rsidR="00E53984">
        <w:rPr>
          <w:lang w:val="en"/>
        </w:rPr>
        <w:t xml:space="preserve">the Office of the Auditor General </w:t>
      </w:r>
      <w:r w:rsidR="00E53984" w:rsidRPr="00E53984">
        <w:rPr>
          <w:lang w:val="en"/>
        </w:rPr>
        <w:t>(</w:t>
      </w:r>
      <w:proofErr w:type="spellStart"/>
      <w:r w:rsidRPr="00E53984">
        <w:rPr>
          <w:lang w:val="en"/>
        </w:rPr>
        <w:t>Riksrevisjonen</w:t>
      </w:r>
      <w:proofErr w:type="spellEnd"/>
      <w:r w:rsidR="00E53984" w:rsidRPr="00E53984">
        <w:rPr>
          <w:lang w:val="en"/>
        </w:rPr>
        <w:t>)</w:t>
      </w:r>
      <w:r w:rsidRPr="006C2E04">
        <w:rPr>
          <w:lang w:val="en"/>
        </w:rPr>
        <w:t xml:space="preserve"> issued a report on the quality of care for the elderly, stating that there is a need to strengthen efforts to prevent malnutrition</w:t>
      </w:r>
      <w:r>
        <w:rPr>
          <w:lang w:val="en"/>
        </w:rPr>
        <w:t xml:space="preserve"> and unfortunate use of drugs. </w:t>
      </w:r>
    </w:p>
    <w:p w14:paraId="7B822208" w14:textId="441264C1" w:rsidR="00C25926" w:rsidRDefault="00C25926" w:rsidP="00C25926">
      <w:pPr>
        <w:rPr>
          <w:lang w:val="en"/>
        </w:rPr>
      </w:pPr>
      <w:r>
        <w:rPr>
          <w:lang w:val="en"/>
        </w:rPr>
        <w:t xml:space="preserve">The issues must also be seen in conjunction with the </w:t>
      </w:r>
      <w:r w:rsidR="008B1B3F">
        <w:rPr>
          <w:lang w:val="en"/>
        </w:rPr>
        <w:t xml:space="preserve">above-mentioned </w:t>
      </w:r>
      <w:r>
        <w:rPr>
          <w:lang w:val="en"/>
        </w:rPr>
        <w:t>violence against elderly in nursing homes</w:t>
      </w:r>
      <w:r w:rsidR="00006237">
        <w:rPr>
          <w:lang w:val="en"/>
        </w:rPr>
        <w:t xml:space="preserve"> (see issue 9)</w:t>
      </w:r>
      <w:r>
        <w:rPr>
          <w:lang w:val="en"/>
        </w:rPr>
        <w:t>, which reinforces our concern</w:t>
      </w:r>
      <w:r w:rsidRPr="0007654B">
        <w:rPr>
          <w:lang w:val="en"/>
        </w:rPr>
        <w:t>.</w:t>
      </w:r>
      <w:r>
        <w:rPr>
          <w:lang w:val="en"/>
        </w:rPr>
        <w:t xml:space="preserve"> </w:t>
      </w:r>
    </w:p>
    <w:p w14:paraId="4A608D2F" w14:textId="77777777" w:rsidR="00C25926" w:rsidRDefault="00C25926" w:rsidP="00876B3A">
      <w:pPr>
        <w:ind w:firstLine="360"/>
        <w:rPr>
          <w:b/>
          <w:lang w:val="en-US"/>
        </w:rPr>
      </w:pPr>
      <w:r w:rsidRPr="00480BA9">
        <w:rPr>
          <w:b/>
          <w:lang w:val="en-US"/>
        </w:rPr>
        <w:t>Suggested recommendations:</w:t>
      </w:r>
    </w:p>
    <w:p w14:paraId="75151CB6" w14:textId="3A783FCC" w:rsidR="00C25926" w:rsidRDefault="00C25926" w:rsidP="00C25926">
      <w:pPr>
        <w:numPr>
          <w:ilvl w:val="0"/>
          <w:numId w:val="40"/>
        </w:numPr>
        <w:spacing w:after="200"/>
        <w:jc w:val="left"/>
        <w:rPr>
          <w:lang w:val="en-US"/>
        </w:rPr>
      </w:pPr>
      <w:r w:rsidRPr="00480BA9">
        <w:rPr>
          <w:lang w:val="en-US"/>
        </w:rPr>
        <w:t xml:space="preserve">The State Party should take steps to reduce the use of coercion against older persons in residential care homes and ensure that decisions on the use of coercion against these individuals are taken only in accordance with stringent criteria, subject to adequate legal safeguards and with due respect to the right of </w:t>
      </w:r>
      <w:r w:rsidR="00006237">
        <w:rPr>
          <w:lang w:val="en-US"/>
        </w:rPr>
        <w:t>individual autonomy</w:t>
      </w:r>
      <w:r w:rsidRPr="00480BA9">
        <w:rPr>
          <w:lang w:val="en-US"/>
        </w:rPr>
        <w:t>.</w:t>
      </w:r>
    </w:p>
    <w:p w14:paraId="45FB6DC0" w14:textId="77777777" w:rsidR="00C25926" w:rsidRDefault="00C25926" w:rsidP="00C25926">
      <w:pPr>
        <w:numPr>
          <w:ilvl w:val="0"/>
          <w:numId w:val="40"/>
        </w:numPr>
        <w:spacing w:after="200"/>
        <w:jc w:val="left"/>
        <w:rPr>
          <w:lang w:val="en-US"/>
        </w:rPr>
      </w:pPr>
      <w:r w:rsidRPr="00480BA9">
        <w:rPr>
          <w:lang w:val="en-US"/>
        </w:rPr>
        <w:t xml:space="preserve">The State Party should ensure adequate documentation and reporting on the use of coercion in </w:t>
      </w:r>
      <w:r>
        <w:rPr>
          <w:lang w:val="en-US"/>
        </w:rPr>
        <w:t xml:space="preserve">residential </w:t>
      </w:r>
      <w:r w:rsidRPr="00480BA9">
        <w:rPr>
          <w:lang w:val="en-US"/>
        </w:rPr>
        <w:t>care homes.</w:t>
      </w:r>
    </w:p>
    <w:p w14:paraId="59AE2D80" w14:textId="1C089972" w:rsidR="00C25926" w:rsidRDefault="00C25926" w:rsidP="00C25926">
      <w:pPr>
        <w:numPr>
          <w:ilvl w:val="0"/>
          <w:numId w:val="40"/>
        </w:numPr>
        <w:spacing w:after="200"/>
        <w:jc w:val="left"/>
        <w:rPr>
          <w:lang w:val="en-US"/>
        </w:rPr>
      </w:pPr>
      <w:r w:rsidRPr="00480BA9">
        <w:rPr>
          <w:lang w:val="en-US"/>
        </w:rPr>
        <w:t>The State Party should take steps to ensure that health care personnel in residential care homes have sufficient knowledge of human rights obligations and national legislation on the use of coercion and force</w:t>
      </w:r>
      <w:r w:rsidR="0007654B">
        <w:rPr>
          <w:lang w:val="en-US"/>
        </w:rPr>
        <w:t>.</w:t>
      </w:r>
    </w:p>
    <w:p w14:paraId="0A145DAC" w14:textId="5EC948A3" w:rsidR="00C25926" w:rsidRDefault="00C25926" w:rsidP="00C25926">
      <w:pPr>
        <w:numPr>
          <w:ilvl w:val="0"/>
          <w:numId w:val="40"/>
        </w:numPr>
        <w:spacing w:after="200"/>
        <w:jc w:val="left"/>
        <w:rPr>
          <w:lang w:val="en-US"/>
        </w:rPr>
      </w:pPr>
      <w:r>
        <w:rPr>
          <w:lang w:val="en-US"/>
        </w:rPr>
        <w:t>The State Party should take steps to strengthen the prevention of malnutrition and unfortunate use of drugs.</w:t>
      </w:r>
    </w:p>
    <w:p w14:paraId="6AF4787E" w14:textId="77777777" w:rsidR="00B34958" w:rsidRPr="00546AB5" w:rsidRDefault="00B34958" w:rsidP="00B34958">
      <w:pPr>
        <w:spacing w:after="200"/>
        <w:ind w:left="720"/>
        <w:jc w:val="left"/>
        <w:rPr>
          <w:lang w:val="en-US"/>
        </w:rPr>
      </w:pPr>
    </w:p>
    <w:p w14:paraId="0320F08B" w14:textId="7AA3DB87" w:rsidR="00C25926" w:rsidRPr="0007654B" w:rsidRDefault="00C25926" w:rsidP="00C25926">
      <w:pPr>
        <w:pStyle w:val="Overskrift1"/>
        <w:rPr>
          <w:b w:val="0"/>
        </w:rPr>
      </w:pPr>
      <w:bookmarkStart w:id="23" w:name="_Toc29897665"/>
      <w:r w:rsidRPr="004B16E5">
        <w:t>Mentally ill in prison</w:t>
      </w:r>
      <w:bookmarkEnd w:id="23"/>
      <w:r>
        <w:t xml:space="preserve"> </w:t>
      </w:r>
    </w:p>
    <w:p w14:paraId="21B8C05E" w14:textId="6AEDD6CF" w:rsidR="00C25926" w:rsidRDefault="00C25926" w:rsidP="00C25926">
      <w:pPr>
        <w:autoSpaceDE w:val="0"/>
        <w:autoSpaceDN w:val="0"/>
        <w:adjustRightInd w:val="0"/>
        <w:spacing w:line="240" w:lineRule="auto"/>
        <w:rPr>
          <w:rFonts w:eastAsia="Calibri" w:cs="Times New Roman"/>
          <w:color w:val="auto"/>
        </w:rPr>
      </w:pPr>
      <w:r>
        <w:rPr>
          <w:color w:val="auto"/>
        </w:rPr>
        <w:t xml:space="preserve">Reference is made to </w:t>
      </w:r>
      <w:proofErr w:type="spellStart"/>
      <w:r>
        <w:rPr>
          <w:color w:val="auto"/>
        </w:rPr>
        <w:t>LOIPR</w:t>
      </w:r>
      <w:proofErr w:type="spellEnd"/>
      <w:r>
        <w:rPr>
          <w:color w:val="auto"/>
        </w:rPr>
        <w:t xml:space="preserve"> para.</w:t>
      </w:r>
      <w:r w:rsidR="00DB2B3C">
        <w:rPr>
          <w:color w:val="auto"/>
        </w:rPr>
        <w:t xml:space="preserve"> </w:t>
      </w:r>
      <w:r>
        <w:rPr>
          <w:color w:val="auto"/>
        </w:rPr>
        <w:t>29</w:t>
      </w:r>
      <w:r w:rsidR="00006237">
        <w:rPr>
          <w:color w:val="auto"/>
        </w:rPr>
        <w:t xml:space="preserve"> and the Stet Report paras. 208-209</w:t>
      </w:r>
      <w:r>
        <w:rPr>
          <w:color w:val="auto"/>
        </w:rPr>
        <w:t>.</w:t>
      </w:r>
    </w:p>
    <w:p w14:paraId="47B88EA6" w14:textId="3FC1044A" w:rsidR="00C25926" w:rsidRDefault="00C25926" w:rsidP="00C25926">
      <w:pPr>
        <w:rPr>
          <w:lang w:val="en-US"/>
        </w:rPr>
      </w:pPr>
      <w:r w:rsidRPr="00E17DAC">
        <w:rPr>
          <w:lang w:val="en-US"/>
        </w:rPr>
        <w:t xml:space="preserve">Reports </w:t>
      </w:r>
      <w:r w:rsidR="006B2B2E">
        <w:rPr>
          <w:lang w:val="en-US"/>
        </w:rPr>
        <w:t>following</w:t>
      </w:r>
      <w:r w:rsidR="006B2B2E" w:rsidRPr="00E17DAC">
        <w:rPr>
          <w:lang w:val="en-US"/>
        </w:rPr>
        <w:t xml:space="preserve"> visits to 20 prisons and an immigration detention </w:t>
      </w:r>
      <w:proofErr w:type="spellStart"/>
      <w:r w:rsidR="006B2B2E" w:rsidRPr="00E17DAC">
        <w:rPr>
          <w:lang w:val="en-US"/>
        </w:rPr>
        <w:t>centre</w:t>
      </w:r>
      <w:r w:rsidR="00006237">
        <w:rPr>
          <w:lang w:val="en-US"/>
        </w:rPr>
        <w:t>s</w:t>
      </w:r>
      <w:proofErr w:type="spellEnd"/>
      <w:r w:rsidR="006B2B2E" w:rsidRPr="00E17DAC">
        <w:rPr>
          <w:lang w:val="en-US"/>
        </w:rPr>
        <w:t xml:space="preserve"> in 2014-2018 </w:t>
      </w:r>
      <w:r w:rsidRPr="00E17DAC">
        <w:rPr>
          <w:lang w:val="en-US"/>
        </w:rPr>
        <w:t xml:space="preserve">from the Parliamentary ombudsman’s </w:t>
      </w:r>
      <w:proofErr w:type="spellStart"/>
      <w:r w:rsidRPr="00E17DAC">
        <w:rPr>
          <w:lang w:val="en-US"/>
        </w:rPr>
        <w:t>NPM</w:t>
      </w:r>
      <w:proofErr w:type="spellEnd"/>
      <w:r w:rsidR="002E6FFC">
        <w:rPr>
          <w:lang w:val="en-US"/>
        </w:rPr>
        <w:t>,</w:t>
      </w:r>
      <w:r w:rsidRPr="00E17DAC">
        <w:rPr>
          <w:lang w:val="en-US"/>
        </w:rPr>
        <w:t xml:space="preserve"> has shown that </w:t>
      </w:r>
      <w:r>
        <w:rPr>
          <w:lang w:val="en-US"/>
        </w:rPr>
        <w:t>many</w:t>
      </w:r>
      <w:r w:rsidRPr="00E17DAC">
        <w:rPr>
          <w:lang w:val="en-US"/>
        </w:rPr>
        <w:t xml:space="preserve"> </w:t>
      </w:r>
      <w:r w:rsidR="002E6FFC">
        <w:rPr>
          <w:lang w:val="en-US"/>
        </w:rPr>
        <w:t xml:space="preserve">inmates </w:t>
      </w:r>
      <w:r w:rsidRPr="00E17DAC">
        <w:rPr>
          <w:lang w:val="en-US"/>
        </w:rPr>
        <w:t xml:space="preserve">are subjected to solitary confinement, isolation and similar regimes without meaningful human contact, including inmates with serious mental health conditions or acute suicide risk. </w:t>
      </w:r>
      <w:r>
        <w:rPr>
          <w:lang w:val="en-US"/>
        </w:rPr>
        <w:t xml:space="preserve">In 2019, the Ombudsman published </w:t>
      </w:r>
      <w:r w:rsidR="0007654B">
        <w:rPr>
          <w:lang w:val="en-US"/>
        </w:rPr>
        <w:t>a</w:t>
      </w:r>
      <w:r>
        <w:rPr>
          <w:lang w:val="en-US"/>
        </w:rPr>
        <w:t xml:space="preserve"> thematic report on isolation in prisons, raising concerns on the situation of prisoners with mental health issues.</w:t>
      </w:r>
    </w:p>
    <w:p w14:paraId="0E453F23" w14:textId="5B381D88" w:rsidR="00C25926" w:rsidRDefault="00C25926" w:rsidP="00C25926">
      <w:pPr>
        <w:rPr>
          <w:lang w:val="en-US"/>
        </w:rPr>
      </w:pPr>
      <w:r w:rsidRPr="00271CD4">
        <w:rPr>
          <w:lang w:val="en-US"/>
        </w:rPr>
        <w:lastRenderedPageBreak/>
        <w:t xml:space="preserve">Of </w:t>
      </w:r>
      <w:r>
        <w:rPr>
          <w:lang w:val="en-US"/>
        </w:rPr>
        <w:t xml:space="preserve">specific </w:t>
      </w:r>
      <w:r w:rsidRPr="00271CD4">
        <w:rPr>
          <w:lang w:val="en-US"/>
        </w:rPr>
        <w:t xml:space="preserve">concern are the findings </w:t>
      </w:r>
      <w:r w:rsidR="003D6AB0">
        <w:rPr>
          <w:lang w:val="en-US"/>
        </w:rPr>
        <w:t>regarding</w:t>
      </w:r>
      <w:r w:rsidR="003D6AB0" w:rsidRPr="00271CD4">
        <w:rPr>
          <w:lang w:val="en-US"/>
        </w:rPr>
        <w:t xml:space="preserve"> </w:t>
      </w:r>
      <w:r w:rsidRPr="00271CD4">
        <w:rPr>
          <w:lang w:val="en-US"/>
        </w:rPr>
        <w:t>persons with symptoms of severe mental illness and aggressive behavior at the Ila Detention and Security Prison (Ila)</w:t>
      </w:r>
      <w:r>
        <w:rPr>
          <w:lang w:val="en-US"/>
        </w:rPr>
        <w:t xml:space="preserve"> from 2016</w:t>
      </w:r>
      <w:r w:rsidRPr="00271CD4">
        <w:rPr>
          <w:lang w:val="en-US"/>
        </w:rPr>
        <w:t>.</w:t>
      </w:r>
      <w:r w:rsidRPr="00266431">
        <w:rPr>
          <w:rStyle w:val="Fotnotereferanse"/>
          <w:lang w:val="en-US"/>
        </w:rPr>
        <w:footnoteReference w:id="49"/>
      </w:r>
      <w:r w:rsidRPr="00271CD4">
        <w:rPr>
          <w:lang w:val="en-US"/>
        </w:rPr>
        <w:t xml:space="preserve"> Due to insufficient staff and the demanding behavior of these inmates, they are frequently isolated for extended periods of time. The report also raised concern that this group of inmates does not receive adequate healthcare. Hence, due to the severity of the situation, the report recommends establishing a separate ward adapted to the needs of these inmates, to provide them with adequate healthcare and reduce the frequency of isolation. In 2017, after visiting Ila, the Parliamentary Ombudsman reaffirmed the findings in the previous report from the </w:t>
      </w:r>
      <w:r w:rsidR="00314A88" w:rsidRPr="00314A88">
        <w:rPr>
          <w:lang w:val="en-US"/>
        </w:rPr>
        <w:t>Directorate of Norwegian Correctional Service</w:t>
      </w:r>
      <w:r w:rsidRPr="00271CD4">
        <w:rPr>
          <w:lang w:val="en-US"/>
        </w:rPr>
        <w:t>, pointing out the issue of extensive isolation and lack of adequate healthcare for persons with symptoms of severe mental illness. The Ombudsman recommended implementation of measures to provide better medical treatment and to end the practice of isolation.</w:t>
      </w:r>
      <w:r>
        <w:rPr>
          <w:rStyle w:val="Fotnotereferanse"/>
          <w:lang w:val="en-US"/>
        </w:rPr>
        <w:footnoteReference w:id="50"/>
      </w:r>
      <w:r w:rsidRPr="00271CD4">
        <w:rPr>
          <w:lang w:val="en-US"/>
        </w:rPr>
        <w:t xml:space="preserve"> </w:t>
      </w:r>
    </w:p>
    <w:p w14:paraId="1193EA79" w14:textId="1728769E" w:rsidR="00C25926" w:rsidRDefault="00C25926" w:rsidP="00C25926">
      <w:pPr>
        <w:rPr>
          <w:lang w:val="en-US"/>
        </w:rPr>
      </w:pPr>
      <w:r>
        <w:rPr>
          <w:lang w:val="en-US"/>
        </w:rPr>
        <w:t>As a respon</w:t>
      </w:r>
      <w:r w:rsidR="007B75A9">
        <w:rPr>
          <w:lang w:val="en-US"/>
        </w:rPr>
        <w:t>se</w:t>
      </w:r>
      <w:r>
        <w:rPr>
          <w:lang w:val="en-US"/>
        </w:rPr>
        <w:t xml:space="preserve"> to this situation, in 2019, a working group within the </w:t>
      </w:r>
      <w:r w:rsidRPr="00967FF2">
        <w:rPr>
          <w:lang w:val="en-US"/>
        </w:rPr>
        <w:t xml:space="preserve">Directorate of Norwegian Correctional Service </w:t>
      </w:r>
      <w:r>
        <w:rPr>
          <w:lang w:val="en-US"/>
        </w:rPr>
        <w:t xml:space="preserve">has </w:t>
      </w:r>
      <w:r w:rsidR="003555E2">
        <w:rPr>
          <w:lang w:val="en-US"/>
        </w:rPr>
        <w:t>proposed</w:t>
      </w:r>
      <w:r>
        <w:rPr>
          <w:lang w:val="en-US"/>
        </w:rPr>
        <w:t xml:space="preserve"> several preventive measures</w:t>
      </w:r>
      <w:r w:rsidR="003555E2">
        <w:rPr>
          <w:lang w:val="en-US"/>
        </w:rPr>
        <w:t>.</w:t>
      </w:r>
      <w:r>
        <w:rPr>
          <w:rStyle w:val="Fotnotereferanse"/>
          <w:lang w:val="en-US"/>
        </w:rPr>
        <w:footnoteReference w:id="51"/>
      </w:r>
      <w:r>
        <w:rPr>
          <w:lang w:val="en-US"/>
        </w:rPr>
        <w:t xml:space="preserve"> </w:t>
      </w:r>
      <w:r w:rsidR="003555E2">
        <w:rPr>
          <w:lang w:val="en-US"/>
        </w:rPr>
        <w:t>S</w:t>
      </w:r>
      <w:r>
        <w:rPr>
          <w:lang w:val="en-US"/>
        </w:rPr>
        <w:t>ome of the</w:t>
      </w:r>
      <w:r w:rsidR="003555E2">
        <w:rPr>
          <w:lang w:val="en-US"/>
        </w:rPr>
        <w:t>se measures</w:t>
      </w:r>
      <w:r>
        <w:rPr>
          <w:lang w:val="en-US"/>
        </w:rPr>
        <w:t xml:space="preserve"> ha</w:t>
      </w:r>
      <w:r w:rsidR="003555E2">
        <w:rPr>
          <w:lang w:val="en-US"/>
        </w:rPr>
        <w:t>ve</w:t>
      </w:r>
      <w:r>
        <w:rPr>
          <w:lang w:val="en-US"/>
        </w:rPr>
        <w:t xml:space="preserve"> already been</w:t>
      </w:r>
      <w:r w:rsidR="003555E2">
        <w:rPr>
          <w:lang w:val="en-US"/>
        </w:rPr>
        <w:t>,</w:t>
      </w:r>
      <w:r>
        <w:rPr>
          <w:lang w:val="en-US"/>
        </w:rPr>
        <w:t xml:space="preserve"> </w:t>
      </w:r>
      <w:r w:rsidR="003555E2">
        <w:rPr>
          <w:lang w:val="en-US"/>
        </w:rPr>
        <w:t xml:space="preserve">or </w:t>
      </w:r>
      <w:r w:rsidR="00D57E6C">
        <w:rPr>
          <w:lang w:val="en-US"/>
        </w:rPr>
        <w:t xml:space="preserve">are </w:t>
      </w:r>
      <w:r w:rsidR="003555E2">
        <w:rPr>
          <w:lang w:val="en-US"/>
        </w:rPr>
        <w:t xml:space="preserve">about to be, </w:t>
      </w:r>
      <w:r>
        <w:rPr>
          <w:lang w:val="en-US"/>
        </w:rPr>
        <w:t xml:space="preserve">implemented by the </w:t>
      </w:r>
      <w:r w:rsidR="003555E2">
        <w:rPr>
          <w:lang w:val="en-US"/>
        </w:rPr>
        <w:t>D</w:t>
      </w:r>
      <w:r>
        <w:rPr>
          <w:lang w:val="en-US"/>
        </w:rPr>
        <w:t>irectorate.</w:t>
      </w:r>
      <w:r>
        <w:rPr>
          <w:rStyle w:val="Fotnotereferanse"/>
          <w:lang w:val="en-US"/>
        </w:rPr>
        <w:footnoteReference w:id="52"/>
      </w:r>
      <w:r>
        <w:rPr>
          <w:lang w:val="en-US"/>
        </w:rPr>
        <w:t xml:space="preserve"> However,</w:t>
      </w:r>
      <w:r w:rsidR="003555E2">
        <w:rPr>
          <w:lang w:val="en-US"/>
        </w:rPr>
        <w:t xml:space="preserve"> several of the proposed measures are</w:t>
      </w:r>
      <w:r>
        <w:rPr>
          <w:lang w:val="en-US"/>
        </w:rPr>
        <w:t xml:space="preserve"> not </w:t>
      </w:r>
      <w:r w:rsidR="00B84C28">
        <w:rPr>
          <w:lang w:val="en-US"/>
        </w:rPr>
        <w:t>possible to implement</w:t>
      </w:r>
      <w:r>
        <w:rPr>
          <w:lang w:val="en-US"/>
        </w:rPr>
        <w:t xml:space="preserve"> under the current budget and legislation. </w:t>
      </w:r>
    </w:p>
    <w:p w14:paraId="44D8C9F3" w14:textId="4BC8509C" w:rsidR="00B34958" w:rsidRDefault="00C25926" w:rsidP="00C25926">
      <w:pPr>
        <w:rPr>
          <w:lang w:val="en-US"/>
        </w:rPr>
      </w:pPr>
      <w:proofErr w:type="spellStart"/>
      <w:r>
        <w:rPr>
          <w:lang w:val="en-US"/>
        </w:rPr>
        <w:t>NIM</w:t>
      </w:r>
      <w:proofErr w:type="spellEnd"/>
      <w:r w:rsidRPr="00967FF2">
        <w:rPr>
          <w:lang w:val="en-US"/>
        </w:rPr>
        <w:t xml:space="preserve"> is concerned that </w:t>
      </w:r>
      <w:proofErr w:type="gramStart"/>
      <w:r w:rsidRPr="00266431">
        <w:rPr>
          <w:i/>
          <w:lang w:val="en-US"/>
        </w:rPr>
        <w:t>sufficient</w:t>
      </w:r>
      <w:proofErr w:type="gramEnd"/>
      <w:r w:rsidRPr="00967FF2">
        <w:rPr>
          <w:lang w:val="en-US"/>
        </w:rPr>
        <w:t xml:space="preserve"> </w:t>
      </w:r>
      <w:r>
        <w:rPr>
          <w:lang w:val="en-US"/>
        </w:rPr>
        <w:t xml:space="preserve">and </w:t>
      </w:r>
      <w:r w:rsidRPr="00967FF2">
        <w:rPr>
          <w:i/>
          <w:lang w:val="en-US"/>
        </w:rPr>
        <w:t>imm</w:t>
      </w:r>
      <w:r w:rsidR="00C4379D">
        <w:rPr>
          <w:i/>
          <w:lang w:val="en-US"/>
        </w:rPr>
        <w:t>e</w:t>
      </w:r>
      <w:r w:rsidRPr="00967FF2">
        <w:rPr>
          <w:i/>
          <w:lang w:val="en-US"/>
        </w:rPr>
        <w:t>diate</w:t>
      </w:r>
      <w:r>
        <w:rPr>
          <w:lang w:val="en-US"/>
        </w:rPr>
        <w:t xml:space="preserve"> </w:t>
      </w:r>
      <w:r w:rsidRPr="00967FF2">
        <w:rPr>
          <w:lang w:val="en-US"/>
        </w:rPr>
        <w:t>steps are not taken to address the situation of prisoners with mental health issues.</w:t>
      </w:r>
      <w:r>
        <w:rPr>
          <w:lang w:val="en-US"/>
        </w:rPr>
        <w:t xml:space="preserve"> </w:t>
      </w:r>
    </w:p>
    <w:p w14:paraId="2DD73317" w14:textId="77777777" w:rsidR="00B34958" w:rsidRDefault="00B34958" w:rsidP="00876B3A">
      <w:pPr>
        <w:spacing w:after="0"/>
        <w:ind w:firstLine="360"/>
        <w:rPr>
          <w:b/>
          <w:lang w:val="en-US"/>
        </w:rPr>
      </w:pPr>
    </w:p>
    <w:p w14:paraId="467B9B9F" w14:textId="77777777" w:rsidR="00B34958" w:rsidRDefault="00B34958" w:rsidP="00876B3A">
      <w:pPr>
        <w:spacing w:after="0"/>
        <w:ind w:firstLine="360"/>
        <w:rPr>
          <w:b/>
          <w:lang w:val="en-US"/>
        </w:rPr>
      </w:pPr>
    </w:p>
    <w:p w14:paraId="21F8964C" w14:textId="33CFD06C" w:rsidR="00C25926" w:rsidRPr="00271CD4" w:rsidRDefault="00C25926" w:rsidP="00876B3A">
      <w:pPr>
        <w:spacing w:after="0"/>
        <w:ind w:firstLine="360"/>
        <w:rPr>
          <w:b/>
          <w:lang w:val="en-US"/>
        </w:rPr>
      </w:pPr>
      <w:r w:rsidRPr="00271CD4">
        <w:rPr>
          <w:b/>
          <w:lang w:val="en-US"/>
        </w:rPr>
        <w:t xml:space="preserve">Suggested recommendation: </w:t>
      </w:r>
    </w:p>
    <w:p w14:paraId="61E8DDC0" w14:textId="7F5F1949" w:rsidR="00707F24" w:rsidRPr="00AE235C" w:rsidRDefault="00E84A62" w:rsidP="00B34958">
      <w:pPr>
        <w:pStyle w:val="Listeavsnitt"/>
        <w:numPr>
          <w:ilvl w:val="0"/>
          <w:numId w:val="40"/>
        </w:numPr>
      </w:pPr>
      <w:r w:rsidRPr="00E84A62">
        <w:t>The State Party should take immediate steps to ensure that inmates with symptoms of severe mental illness are properly diagnosed and provided with health treatment, and that they are not subjected to isolation.</w:t>
      </w:r>
      <w:r>
        <w:t xml:space="preserve"> </w:t>
      </w:r>
    </w:p>
    <w:p w14:paraId="5614440A" w14:textId="05C1BD20" w:rsidR="00AE235C" w:rsidRDefault="008C7E1A" w:rsidP="00AE235C">
      <w:pPr>
        <w:pStyle w:val="Overskrift1"/>
      </w:pPr>
      <w:bookmarkStart w:id="24" w:name="_Toc29897666"/>
      <w:r>
        <w:t>Access to health services for persons who use drugs</w:t>
      </w:r>
      <w:bookmarkEnd w:id="24"/>
      <w:r>
        <w:t xml:space="preserve"> </w:t>
      </w:r>
    </w:p>
    <w:p w14:paraId="372142D7" w14:textId="30250AC5" w:rsidR="00D936F9" w:rsidRDefault="00D936F9" w:rsidP="008C7E1A">
      <w:pPr>
        <w:rPr>
          <w:lang w:val="en-US"/>
        </w:rPr>
      </w:pPr>
      <w:r w:rsidRPr="00D936F9">
        <w:rPr>
          <w:lang w:val="en-US"/>
        </w:rPr>
        <w:t xml:space="preserve"> (</w:t>
      </w:r>
      <w:r w:rsidR="00E84A62">
        <w:rPr>
          <w:lang w:val="en-US"/>
        </w:rPr>
        <w:t>New</w:t>
      </w:r>
      <w:r w:rsidRPr="00D936F9">
        <w:rPr>
          <w:lang w:val="en-US"/>
        </w:rPr>
        <w:t xml:space="preserve"> issue)</w:t>
      </w:r>
    </w:p>
    <w:p w14:paraId="5BCF709B" w14:textId="4B6D31EE" w:rsidR="008C7E1A" w:rsidRDefault="008C7E1A" w:rsidP="008C7E1A">
      <w:pPr>
        <w:rPr>
          <w:lang w:val="en-US"/>
        </w:rPr>
      </w:pPr>
      <w:r>
        <w:rPr>
          <w:lang w:val="en-US"/>
        </w:rPr>
        <w:t>In 2018, the government established an expert committee to propose measures to reform the current drug policy. The mandate highlighted that criminalization of drug use and possession of drugs for personal use may have constituted an obstacle to providing appropriate and individualized services to these persons.</w:t>
      </w:r>
      <w:r>
        <w:rPr>
          <w:rStyle w:val="Fotnotereferanse"/>
          <w:lang w:val="en-US"/>
        </w:rPr>
        <w:footnoteReference w:id="53"/>
      </w:r>
      <w:r>
        <w:rPr>
          <w:lang w:val="en-US"/>
        </w:rPr>
        <w:t xml:space="preserve"> The committee </w:t>
      </w:r>
      <w:r w:rsidRPr="00E5440F">
        <w:rPr>
          <w:lang w:val="en-US"/>
        </w:rPr>
        <w:t xml:space="preserve">considered </w:t>
      </w:r>
      <w:r w:rsidRPr="00E5440F">
        <w:rPr>
          <w:lang w:val="en-US"/>
        </w:rPr>
        <w:lastRenderedPageBreak/>
        <w:t xml:space="preserve">existing empirical research and conducted consultations with </w:t>
      </w:r>
      <w:r>
        <w:rPr>
          <w:lang w:val="en-US"/>
        </w:rPr>
        <w:t xml:space="preserve">stakeholders, including </w:t>
      </w:r>
      <w:r w:rsidRPr="00E5440F">
        <w:rPr>
          <w:lang w:val="en-US"/>
        </w:rPr>
        <w:t xml:space="preserve">persons with lived experience of drug use and interest groups for relatives to persons who use drugs. </w:t>
      </w:r>
    </w:p>
    <w:p w14:paraId="401FD562" w14:textId="77777777" w:rsidR="008C7E1A" w:rsidRDefault="008C7E1A" w:rsidP="008C7E1A">
      <w:pPr>
        <w:rPr>
          <w:lang w:val="en-US"/>
        </w:rPr>
      </w:pPr>
      <w:r w:rsidRPr="00E5440F">
        <w:rPr>
          <w:lang w:val="en-US"/>
        </w:rPr>
        <w:t>In its report, submitted in December 2019, the committee</w:t>
      </w:r>
      <w:r>
        <w:rPr>
          <w:lang w:val="en-US"/>
        </w:rPr>
        <w:t xml:space="preserve"> concluded that criminalization may have a negative impact on the willingness to seek help for drug use.</w:t>
      </w:r>
      <w:r>
        <w:rPr>
          <w:rStyle w:val="Fotnotereferanse"/>
          <w:lang w:val="en-US"/>
        </w:rPr>
        <w:footnoteReference w:id="54"/>
      </w:r>
      <w:r>
        <w:rPr>
          <w:lang w:val="en-US"/>
        </w:rPr>
        <w:t xml:space="preserve"> The committee also found that criminalizing persons who use drugs may have the unintended consequence of making health and care services less accessible to this group. </w:t>
      </w:r>
    </w:p>
    <w:p w14:paraId="2049D9BC" w14:textId="77777777" w:rsidR="008C7E1A" w:rsidRDefault="008C7E1A" w:rsidP="008C7E1A">
      <w:pPr>
        <w:rPr>
          <w:lang w:val="en-US"/>
        </w:rPr>
      </w:pPr>
      <w:r>
        <w:rPr>
          <w:lang w:val="en-US"/>
        </w:rPr>
        <w:t>Moreover, there is a lack of disaggregated statistics on cases under Section 231 of the Criminal Code differentiating between individuals prosecuted for purchase and possession of drugs for personal use and those prosecuted for supply-related drug crimes. The lack of data makes it difficult to fully assess the negative impacts that criminalization of drug use, and purchase or possession of drugs for personal use, may have on the enjoyment of human rights for these individuals.</w:t>
      </w:r>
    </w:p>
    <w:p w14:paraId="4C32BF90" w14:textId="77777777" w:rsidR="008C7E1A" w:rsidRDefault="008C7E1A" w:rsidP="008C7E1A">
      <w:pPr>
        <w:rPr>
          <w:lang w:val="en-US"/>
        </w:rPr>
      </w:pPr>
      <w:r>
        <w:rPr>
          <w:lang w:val="en-US"/>
        </w:rPr>
        <w:t>The committee has proposed a reform including decriminalizing the use of drugs, as well as purchase and possession of limited amounts of drugs meant for personal use. The committee has also outlined a mechanism for monitoring and evaluating drug policies, in order to enhance the knowledge-base for political decision-making.</w:t>
      </w:r>
    </w:p>
    <w:p w14:paraId="51EBCEFA" w14:textId="77777777" w:rsidR="008C7E1A" w:rsidRPr="00BF4435" w:rsidRDefault="008C7E1A" w:rsidP="00876B3A">
      <w:pPr>
        <w:ind w:firstLine="360"/>
        <w:rPr>
          <w:b/>
          <w:lang w:val="en-US"/>
        </w:rPr>
      </w:pPr>
      <w:r w:rsidRPr="00BF4435">
        <w:rPr>
          <w:b/>
          <w:lang w:val="en-US"/>
        </w:rPr>
        <w:t>Suggested recommendation:</w:t>
      </w:r>
    </w:p>
    <w:p w14:paraId="5E703A97" w14:textId="77777777" w:rsidR="008C7E1A" w:rsidRPr="00BF4435" w:rsidRDefault="008C7E1A" w:rsidP="008C7E1A">
      <w:pPr>
        <w:pStyle w:val="Listeavsnitt"/>
        <w:numPr>
          <w:ilvl w:val="0"/>
          <w:numId w:val="48"/>
        </w:numPr>
        <w:spacing w:before="0" w:after="160" w:line="259" w:lineRule="auto"/>
        <w:jc w:val="left"/>
        <w:rPr>
          <w:lang w:val="en-US"/>
        </w:rPr>
      </w:pPr>
      <w:r>
        <w:rPr>
          <w:lang w:val="en-US"/>
        </w:rPr>
        <w:t>The State Party should take the necessary steps to ensure that persons who use drugs have full access to health services.</w:t>
      </w:r>
    </w:p>
    <w:p w14:paraId="20266F0C" w14:textId="77777777" w:rsidR="007067CF" w:rsidRPr="007067CF" w:rsidRDefault="007067CF" w:rsidP="007067CF"/>
    <w:p w14:paraId="4BCEF2B0" w14:textId="289F5B4E" w:rsidR="00C25926" w:rsidRPr="0007654B" w:rsidRDefault="00AE235C" w:rsidP="00AE235C">
      <w:pPr>
        <w:pStyle w:val="Overskrift1"/>
        <w:rPr>
          <w:b w:val="0"/>
        </w:rPr>
      </w:pPr>
      <w:bookmarkStart w:id="25" w:name="_Toc29897667"/>
      <w:r>
        <w:t xml:space="preserve">Sami, </w:t>
      </w:r>
      <w:proofErr w:type="spellStart"/>
      <w:r w:rsidR="00314A88">
        <w:t>Kven</w:t>
      </w:r>
      <w:proofErr w:type="spellEnd"/>
      <w:r w:rsidR="00314A88">
        <w:t xml:space="preserve"> and Finnish</w:t>
      </w:r>
      <w:r w:rsidR="00C25926">
        <w:t xml:space="preserve"> </w:t>
      </w:r>
      <w:r w:rsidR="00314A88">
        <w:t>languages</w:t>
      </w:r>
      <w:bookmarkEnd w:id="25"/>
      <w:r w:rsidR="00C25926">
        <w:t xml:space="preserve"> </w:t>
      </w:r>
    </w:p>
    <w:p w14:paraId="43A91CC6" w14:textId="6AEAEBF9" w:rsidR="00C25926" w:rsidRPr="00F7519C" w:rsidRDefault="00C25926" w:rsidP="00C25926">
      <w:pPr>
        <w:spacing w:after="160" w:line="259" w:lineRule="auto"/>
        <w:jc w:val="left"/>
        <w:rPr>
          <w:color w:val="auto"/>
        </w:rPr>
      </w:pPr>
      <w:r w:rsidRPr="00F7519C">
        <w:rPr>
          <w:color w:val="auto"/>
        </w:rPr>
        <w:t xml:space="preserve">Reference is made to </w:t>
      </w:r>
      <w:proofErr w:type="spellStart"/>
      <w:r w:rsidRPr="00F7519C">
        <w:rPr>
          <w:color w:val="auto"/>
        </w:rPr>
        <w:t>L</w:t>
      </w:r>
      <w:r w:rsidR="00C4379D">
        <w:rPr>
          <w:color w:val="auto"/>
        </w:rPr>
        <w:t>OIPR</w:t>
      </w:r>
      <w:proofErr w:type="spellEnd"/>
      <w:r w:rsidR="00C4379D">
        <w:rPr>
          <w:color w:val="auto"/>
        </w:rPr>
        <w:t xml:space="preserve"> </w:t>
      </w:r>
      <w:r w:rsidRPr="00F7519C">
        <w:rPr>
          <w:color w:val="auto"/>
        </w:rPr>
        <w:t xml:space="preserve">para. 31 and </w:t>
      </w:r>
      <w:r w:rsidR="00336607">
        <w:rPr>
          <w:color w:val="auto"/>
        </w:rPr>
        <w:t xml:space="preserve">the </w:t>
      </w:r>
      <w:r w:rsidRPr="00F7519C">
        <w:rPr>
          <w:color w:val="auto"/>
        </w:rPr>
        <w:t xml:space="preserve">State </w:t>
      </w:r>
      <w:r w:rsidR="00336607">
        <w:rPr>
          <w:color w:val="auto"/>
        </w:rPr>
        <w:t>R</w:t>
      </w:r>
      <w:r w:rsidRPr="00F7519C">
        <w:rPr>
          <w:color w:val="auto"/>
        </w:rPr>
        <w:t>eport, paras. 248-255.</w:t>
      </w:r>
    </w:p>
    <w:p w14:paraId="68E0486B" w14:textId="516BA432" w:rsidR="00AA48BF" w:rsidRDefault="00C25926" w:rsidP="00C25926">
      <w:pPr>
        <w:spacing w:after="160" w:line="259" w:lineRule="auto"/>
        <w:jc w:val="left"/>
        <w:rPr>
          <w:color w:val="auto"/>
        </w:rPr>
      </w:pPr>
      <w:r w:rsidRPr="00F7519C">
        <w:rPr>
          <w:color w:val="auto"/>
        </w:rPr>
        <w:t xml:space="preserve">In addition to the information given in the State </w:t>
      </w:r>
      <w:r w:rsidR="00336607">
        <w:rPr>
          <w:color w:val="auto"/>
        </w:rPr>
        <w:t>R</w:t>
      </w:r>
      <w:r w:rsidRPr="00F7519C">
        <w:rPr>
          <w:color w:val="auto"/>
        </w:rPr>
        <w:t xml:space="preserve">eport, we would like to emphasise that </w:t>
      </w:r>
      <w:r w:rsidR="00D935F0">
        <w:rPr>
          <w:color w:val="auto"/>
        </w:rPr>
        <w:t xml:space="preserve">children </w:t>
      </w:r>
      <w:r w:rsidRPr="00F7519C">
        <w:rPr>
          <w:color w:val="auto"/>
        </w:rPr>
        <w:t xml:space="preserve">in the Sami districts (municipalities </w:t>
      </w:r>
      <w:r>
        <w:rPr>
          <w:color w:val="auto"/>
        </w:rPr>
        <w:t xml:space="preserve">with </w:t>
      </w:r>
      <w:r w:rsidR="00680BC8">
        <w:rPr>
          <w:color w:val="auto"/>
        </w:rPr>
        <w:t>enhanced responsibilities for Sámi language as defined in the Sámi Act chapter 3)</w:t>
      </w:r>
      <w:r w:rsidRPr="00F7519C">
        <w:rPr>
          <w:color w:val="auto"/>
        </w:rPr>
        <w:t xml:space="preserve">, have a right </w:t>
      </w:r>
      <w:r w:rsidR="00BE693A">
        <w:rPr>
          <w:color w:val="auto"/>
        </w:rPr>
        <w:t xml:space="preserve">both </w:t>
      </w:r>
      <w:r w:rsidRPr="00F7519C">
        <w:rPr>
          <w:color w:val="auto"/>
        </w:rPr>
        <w:t xml:space="preserve">to learn Sámi language and to receive instruction </w:t>
      </w:r>
      <w:r w:rsidR="00BE693A">
        <w:rPr>
          <w:color w:val="auto"/>
        </w:rPr>
        <w:t xml:space="preserve">in other subjects </w:t>
      </w:r>
      <w:r w:rsidRPr="00F7519C">
        <w:rPr>
          <w:color w:val="auto"/>
        </w:rPr>
        <w:t>in that language. The same right</w:t>
      </w:r>
      <w:r w:rsidR="00BE693A">
        <w:rPr>
          <w:color w:val="auto"/>
        </w:rPr>
        <w:t>s</w:t>
      </w:r>
      <w:r w:rsidRPr="00F7519C">
        <w:rPr>
          <w:color w:val="auto"/>
        </w:rPr>
        <w:t xml:space="preserve"> appl</w:t>
      </w:r>
      <w:r w:rsidR="00BE693A">
        <w:rPr>
          <w:color w:val="auto"/>
        </w:rPr>
        <w:t>y</w:t>
      </w:r>
      <w:r w:rsidRPr="00F7519C">
        <w:rPr>
          <w:color w:val="auto"/>
        </w:rPr>
        <w:t xml:space="preserve"> in municipalities outside the Sámi districts if at least ten pupils within the municipality </w:t>
      </w:r>
      <w:r w:rsidRPr="00AA2C1C">
        <w:rPr>
          <w:color w:val="auto"/>
        </w:rPr>
        <w:t xml:space="preserve">request </w:t>
      </w:r>
      <w:r w:rsidRPr="00F7519C">
        <w:rPr>
          <w:color w:val="auto"/>
        </w:rPr>
        <w:t xml:space="preserve">this. In municipalities outside the Sámi districts, </w:t>
      </w:r>
      <w:r w:rsidR="00AA48BF">
        <w:rPr>
          <w:color w:val="auto"/>
        </w:rPr>
        <w:t xml:space="preserve">all </w:t>
      </w:r>
      <w:r w:rsidRPr="00F7519C">
        <w:rPr>
          <w:color w:val="auto"/>
        </w:rPr>
        <w:t>Sámi children have a right to learn Sámi language (</w:t>
      </w:r>
      <w:proofErr w:type="spellStart"/>
      <w:r w:rsidRPr="00F7519C">
        <w:rPr>
          <w:color w:val="auto"/>
        </w:rPr>
        <w:t>opplæringslova</w:t>
      </w:r>
      <w:proofErr w:type="spellEnd"/>
      <w:r w:rsidRPr="00F7519C">
        <w:rPr>
          <w:color w:val="auto"/>
        </w:rPr>
        <w:t xml:space="preserve"> §6-2). </w:t>
      </w:r>
    </w:p>
    <w:p w14:paraId="49C1A99A" w14:textId="690F6283" w:rsidR="00C25926" w:rsidRPr="00F7519C" w:rsidRDefault="00C25926" w:rsidP="00C25926">
      <w:pPr>
        <w:spacing w:after="160" w:line="259" w:lineRule="auto"/>
        <w:jc w:val="left"/>
        <w:rPr>
          <w:color w:val="auto"/>
        </w:rPr>
      </w:pPr>
      <w:r w:rsidRPr="00F7519C">
        <w:rPr>
          <w:color w:val="auto"/>
        </w:rPr>
        <w:lastRenderedPageBreak/>
        <w:t xml:space="preserve">Pupils with a </w:t>
      </w:r>
      <w:proofErr w:type="spellStart"/>
      <w:r w:rsidRPr="00F7519C">
        <w:rPr>
          <w:color w:val="auto"/>
        </w:rPr>
        <w:t>Kven</w:t>
      </w:r>
      <w:proofErr w:type="spellEnd"/>
      <w:r w:rsidRPr="00F7519C">
        <w:rPr>
          <w:color w:val="auto"/>
        </w:rPr>
        <w:t xml:space="preserve">/Norwegian Finnish background who live in Troms and </w:t>
      </w:r>
      <w:proofErr w:type="spellStart"/>
      <w:r w:rsidRPr="00F7519C">
        <w:rPr>
          <w:color w:val="auto"/>
        </w:rPr>
        <w:t>Finnmark</w:t>
      </w:r>
      <w:proofErr w:type="spellEnd"/>
      <w:r w:rsidRPr="00F7519C">
        <w:rPr>
          <w:color w:val="auto"/>
        </w:rPr>
        <w:t xml:space="preserve"> have the right to learn </w:t>
      </w:r>
      <w:proofErr w:type="spellStart"/>
      <w:r w:rsidRPr="00F7519C">
        <w:rPr>
          <w:color w:val="auto"/>
        </w:rPr>
        <w:t>Kven</w:t>
      </w:r>
      <w:proofErr w:type="spellEnd"/>
      <w:r w:rsidRPr="00F7519C">
        <w:rPr>
          <w:color w:val="auto"/>
        </w:rPr>
        <w:t xml:space="preserve"> or Finnish language if at least three pupils </w:t>
      </w:r>
      <w:r w:rsidRPr="00AA2C1C">
        <w:rPr>
          <w:color w:val="auto"/>
        </w:rPr>
        <w:t xml:space="preserve">request </w:t>
      </w:r>
      <w:r w:rsidRPr="00F7519C">
        <w:rPr>
          <w:color w:val="auto"/>
        </w:rPr>
        <w:t>this (</w:t>
      </w:r>
      <w:proofErr w:type="spellStart"/>
      <w:r w:rsidRPr="00F7519C">
        <w:rPr>
          <w:color w:val="auto"/>
        </w:rPr>
        <w:t>opplæringslova</w:t>
      </w:r>
      <w:proofErr w:type="spellEnd"/>
      <w:r w:rsidRPr="00F7519C">
        <w:rPr>
          <w:color w:val="auto"/>
        </w:rPr>
        <w:t xml:space="preserve"> §2-7). In para</w:t>
      </w:r>
      <w:r w:rsidR="00C96AEB">
        <w:rPr>
          <w:color w:val="auto"/>
        </w:rPr>
        <w:t>.</w:t>
      </w:r>
      <w:r w:rsidRPr="00F7519C">
        <w:rPr>
          <w:color w:val="auto"/>
        </w:rPr>
        <w:t xml:space="preserve"> 255 of the State </w:t>
      </w:r>
      <w:r w:rsidR="00C96AEB">
        <w:rPr>
          <w:color w:val="auto"/>
        </w:rPr>
        <w:t>R</w:t>
      </w:r>
      <w:r w:rsidRPr="00F7519C">
        <w:rPr>
          <w:color w:val="auto"/>
        </w:rPr>
        <w:t xml:space="preserve">eport, it appears that these pupils have a right to </w:t>
      </w:r>
      <w:r w:rsidRPr="00C96AEB">
        <w:rPr>
          <w:i/>
          <w:iCs/>
          <w:color w:val="auto"/>
        </w:rPr>
        <w:t>instruction</w:t>
      </w:r>
      <w:r w:rsidRPr="00F7519C">
        <w:rPr>
          <w:color w:val="auto"/>
        </w:rPr>
        <w:t xml:space="preserve"> in Finnish or </w:t>
      </w:r>
      <w:proofErr w:type="spellStart"/>
      <w:r w:rsidRPr="00F7519C">
        <w:rPr>
          <w:color w:val="auto"/>
        </w:rPr>
        <w:t>Kven</w:t>
      </w:r>
      <w:proofErr w:type="spellEnd"/>
      <w:r w:rsidR="00F75A51">
        <w:rPr>
          <w:color w:val="auto"/>
        </w:rPr>
        <w:t xml:space="preserve"> language</w:t>
      </w:r>
      <w:r w:rsidR="00E53984">
        <w:rPr>
          <w:color w:val="auto"/>
        </w:rPr>
        <w:t>.</w:t>
      </w:r>
      <w:r w:rsidRPr="00F7519C">
        <w:rPr>
          <w:color w:val="auto"/>
        </w:rPr>
        <w:t xml:space="preserve"> This is not the case.</w:t>
      </w:r>
      <w:r>
        <w:rPr>
          <w:color w:val="auto"/>
        </w:rPr>
        <w:t xml:space="preserve"> </w:t>
      </w:r>
    </w:p>
    <w:p w14:paraId="25945256" w14:textId="1F517DCF" w:rsidR="00C25926" w:rsidRPr="00F7519C" w:rsidRDefault="00C25926" w:rsidP="00C25926">
      <w:pPr>
        <w:spacing w:after="160" w:line="259" w:lineRule="auto"/>
        <w:jc w:val="left"/>
        <w:rPr>
          <w:color w:val="auto"/>
        </w:rPr>
      </w:pPr>
      <w:r w:rsidRPr="00F7519C">
        <w:rPr>
          <w:color w:val="auto"/>
        </w:rPr>
        <w:t xml:space="preserve">According to a </w:t>
      </w:r>
      <w:r w:rsidR="00E53984">
        <w:rPr>
          <w:color w:val="auto"/>
        </w:rPr>
        <w:t>recently</w:t>
      </w:r>
      <w:r w:rsidRPr="00F7519C">
        <w:rPr>
          <w:color w:val="auto"/>
        </w:rPr>
        <w:t xml:space="preserve"> published report by the Office of the Auditor General, there are significant shortcomings with regard to instruction in Sámi language</w:t>
      </w:r>
      <w:r w:rsidR="00BE693A">
        <w:rPr>
          <w:color w:val="auto"/>
        </w:rPr>
        <w:t xml:space="preserve"> </w:t>
      </w:r>
      <w:r w:rsidRPr="00F7519C">
        <w:rPr>
          <w:color w:val="auto"/>
        </w:rPr>
        <w:t xml:space="preserve">regarding teaching materials in Sámi language, the number of teachers available and the use and means for distance learning. In 2015 the Norwegian Directorate for Education and Training presented a survey showing that the number of pupils with Finnish as </w:t>
      </w:r>
      <w:r w:rsidR="00E53984">
        <w:rPr>
          <w:color w:val="auto"/>
        </w:rPr>
        <w:t xml:space="preserve">a </w:t>
      </w:r>
      <w:r w:rsidRPr="00F7519C">
        <w:rPr>
          <w:color w:val="auto"/>
        </w:rPr>
        <w:t>second language has declined</w:t>
      </w:r>
      <w:r>
        <w:rPr>
          <w:color w:val="auto"/>
        </w:rPr>
        <w:t>.</w:t>
      </w:r>
      <w:r w:rsidRPr="00F7519C">
        <w:rPr>
          <w:color w:val="auto"/>
        </w:rPr>
        <w:t xml:space="preserve"> </w:t>
      </w:r>
      <w:r>
        <w:rPr>
          <w:color w:val="auto"/>
        </w:rPr>
        <w:t>L</w:t>
      </w:r>
      <w:r w:rsidRPr="00F7519C">
        <w:rPr>
          <w:color w:val="auto"/>
        </w:rPr>
        <w:t xml:space="preserve">earning </w:t>
      </w:r>
      <w:proofErr w:type="spellStart"/>
      <w:r w:rsidRPr="00F7519C">
        <w:rPr>
          <w:color w:val="auto"/>
        </w:rPr>
        <w:t>Kven</w:t>
      </w:r>
      <w:proofErr w:type="spellEnd"/>
      <w:r w:rsidRPr="00F7519C">
        <w:rPr>
          <w:color w:val="auto"/>
        </w:rPr>
        <w:t xml:space="preserve"> language has been an integrated part of learning Finnish language. In 2018 the Norwegian Government introduced a targeted plan for revitalising </w:t>
      </w:r>
      <w:proofErr w:type="spellStart"/>
      <w:r w:rsidRPr="00F7519C">
        <w:rPr>
          <w:color w:val="auto"/>
        </w:rPr>
        <w:t>Kven</w:t>
      </w:r>
      <w:proofErr w:type="spellEnd"/>
      <w:r w:rsidRPr="00F7519C">
        <w:rPr>
          <w:color w:val="auto"/>
        </w:rPr>
        <w:t xml:space="preserve"> language. </w:t>
      </w:r>
      <w:proofErr w:type="spellStart"/>
      <w:r w:rsidRPr="00F7519C">
        <w:rPr>
          <w:color w:val="auto"/>
        </w:rPr>
        <w:t>Kven</w:t>
      </w:r>
      <w:proofErr w:type="spellEnd"/>
      <w:r w:rsidRPr="00F7519C">
        <w:rPr>
          <w:color w:val="auto"/>
        </w:rPr>
        <w:t xml:space="preserve"> organisations have criticized the plan for not being ambitious enough.</w:t>
      </w:r>
    </w:p>
    <w:p w14:paraId="46277B78" w14:textId="77777777" w:rsidR="00C25926" w:rsidRPr="00F7519C" w:rsidRDefault="00C25926" w:rsidP="00876B3A">
      <w:pPr>
        <w:spacing w:after="160" w:line="259" w:lineRule="auto"/>
        <w:ind w:firstLine="360"/>
        <w:jc w:val="left"/>
        <w:rPr>
          <w:b/>
          <w:color w:val="auto"/>
        </w:rPr>
      </w:pPr>
      <w:r w:rsidRPr="00F7519C">
        <w:rPr>
          <w:b/>
          <w:color w:val="auto"/>
        </w:rPr>
        <w:t>Suggested recommendations:</w:t>
      </w:r>
    </w:p>
    <w:p w14:paraId="00776050" w14:textId="77777777" w:rsidR="00876B3A" w:rsidRDefault="00C25926" w:rsidP="00707F24">
      <w:pPr>
        <w:pStyle w:val="Listeavsnitt"/>
        <w:numPr>
          <w:ilvl w:val="0"/>
          <w:numId w:val="25"/>
        </w:numPr>
        <w:spacing w:after="160" w:line="259" w:lineRule="auto"/>
        <w:jc w:val="left"/>
        <w:rPr>
          <w:color w:val="auto"/>
        </w:rPr>
      </w:pPr>
      <w:r w:rsidRPr="00F7519C">
        <w:rPr>
          <w:color w:val="auto"/>
        </w:rPr>
        <w:t>The State Party should follow up the report from the Office of the Auditor General of Norway and improve the conditions for education and instruction in Sámi language</w:t>
      </w:r>
      <w:r>
        <w:rPr>
          <w:color w:val="auto"/>
        </w:rPr>
        <w:t>s</w:t>
      </w:r>
      <w:r w:rsidRPr="00F7519C">
        <w:rPr>
          <w:color w:val="auto"/>
        </w:rPr>
        <w:t xml:space="preserve">. </w:t>
      </w:r>
    </w:p>
    <w:p w14:paraId="6995B7BB" w14:textId="20BFFDC6" w:rsidR="00C10EF4" w:rsidRPr="00876B3A" w:rsidRDefault="00C25926" w:rsidP="00707F24">
      <w:pPr>
        <w:pStyle w:val="Listeavsnitt"/>
        <w:numPr>
          <w:ilvl w:val="0"/>
          <w:numId w:val="25"/>
        </w:numPr>
        <w:spacing w:after="160" w:line="259" w:lineRule="auto"/>
        <w:jc w:val="left"/>
        <w:rPr>
          <w:color w:val="auto"/>
        </w:rPr>
      </w:pPr>
      <w:r w:rsidRPr="00876B3A">
        <w:rPr>
          <w:color w:val="auto"/>
        </w:rPr>
        <w:t xml:space="preserve">The State Party should continue its efforts to strengthen the </w:t>
      </w:r>
      <w:proofErr w:type="spellStart"/>
      <w:r w:rsidRPr="00876B3A">
        <w:rPr>
          <w:color w:val="auto"/>
        </w:rPr>
        <w:t>Kven</w:t>
      </w:r>
      <w:proofErr w:type="spellEnd"/>
      <w:r w:rsidRPr="00876B3A">
        <w:rPr>
          <w:color w:val="auto"/>
        </w:rPr>
        <w:t xml:space="preserve"> language in consultation with the affected group, including on the implementation and </w:t>
      </w:r>
      <w:bookmarkStart w:id="26" w:name="_GoBack"/>
      <w:bookmarkEnd w:id="26"/>
      <w:r w:rsidRPr="00876B3A">
        <w:rPr>
          <w:color w:val="auto"/>
        </w:rPr>
        <w:t xml:space="preserve">evaluation of the current Targeted Plan to strengthen </w:t>
      </w:r>
      <w:proofErr w:type="spellStart"/>
      <w:r w:rsidRPr="00876B3A">
        <w:rPr>
          <w:color w:val="auto"/>
        </w:rPr>
        <w:t>Kven</w:t>
      </w:r>
      <w:proofErr w:type="spellEnd"/>
      <w:r w:rsidRPr="00876B3A">
        <w:rPr>
          <w:color w:val="auto"/>
        </w:rPr>
        <w:t xml:space="preserve"> language.</w:t>
      </w:r>
    </w:p>
    <w:sectPr w:rsidR="00C10EF4" w:rsidRPr="00876B3A" w:rsidSect="008F10A7">
      <w:headerReference w:type="even" r:id="rId10"/>
      <w:footerReference w:type="even" r:id="rId11"/>
      <w:footerReference w:type="default" r:id="rId12"/>
      <w:headerReference w:type="first" r:id="rId13"/>
      <w:footerReference w:type="first" r:id="rId14"/>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4B99A" w14:textId="77777777" w:rsidR="00E244FE" w:rsidRDefault="00E244FE" w:rsidP="00F53676">
      <w:r>
        <w:separator/>
      </w:r>
    </w:p>
    <w:p w14:paraId="2F7123D6" w14:textId="77777777" w:rsidR="00E244FE" w:rsidRDefault="00E244FE" w:rsidP="00F53676"/>
    <w:p w14:paraId="227888E2" w14:textId="77777777" w:rsidR="00E244FE" w:rsidRDefault="00E244FE" w:rsidP="00F53676"/>
  </w:endnote>
  <w:endnote w:type="continuationSeparator" w:id="0">
    <w:p w14:paraId="6C67545D" w14:textId="77777777" w:rsidR="00E244FE" w:rsidRDefault="00E244FE" w:rsidP="00F53676">
      <w:r>
        <w:continuationSeparator/>
      </w:r>
    </w:p>
    <w:p w14:paraId="531C5AF6" w14:textId="77777777" w:rsidR="00E244FE" w:rsidRDefault="00E244FE" w:rsidP="00F53676"/>
    <w:p w14:paraId="01DA6DDB" w14:textId="77777777" w:rsidR="00E244FE" w:rsidRDefault="00E244FE" w:rsidP="00F53676"/>
  </w:endnote>
  <w:endnote w:type="continuationNotice" w:id="1">
    <w:p w14:paraId="16868C14" w14:textId="77777777" w:rsidR="00E244FE" w:rsidRDefault="00E244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eiryo">
    <w:charset w:val="80"/>
    <w:family w:val="swiss"/>
    <w:pitch w:val="variable"/>
    <w:sig w:usb0="E00002FF" w:usb1="6AC7FFFF"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62C8E" w14:textId="77777777" w:rsidR="00E244FE" w:rsidRDefault="00E244FE"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4CC81FD2" w14:textId="77777777" w:rsidR="00E244FE" w:rsidRDefault="00E244FE" w:rsidP="00F53676">
    <w:pPr>
      <w:pStyle w:val="Bunntekst"/>
      <w:rPr>
        <w:rStyle w:val="Sidetall"/>
      </w:rPr>
    </w:pPr>
  </w:p>
  <w:p w14:paraId="3479AC22" w14:textId="77777777" w:rsidR="00E244FE" w:rsidRDefault="00E244FE"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3ACD5CF5" w14:textId="77777777" w:rsidR="00E244FE" w:rsidRDefault="00E244FE" w:rsidP="00F53676">
    <w:pPr>
      <w:pStyle w:val="Bunntekst"/>
    </w:pPr>
  </w:p>
  <w:p w14:paraId="7373FD37" w14:textId="77777777" w:rsidR="00E244FE" w:rsidRDefault="00E244FE" w:rsidP="00F53676"/>
  <w:p w14:paraId="43C61B7E" w14:textId="77777777" w:rsidR="00E244FE" w:rsidRDefault="00E244FE" w:rsidP="00F536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25CB4" w14:textId="77777777" w:rsidR="00E244FE" w:rsidRDefault="00E244FE" w:rsidP="00F53676">
    <w:pPr>
      <w:pStyle w:val="Bunntekst"/>
    </w:pPr>
    <w:r>
      <w:rPr>
        <w:noProof/>
        <w:lang w:val="nb-NO" w:eastAsia="nb-NO"/>
      </w:rPr>
      <mc:AlternateContent>
        <mc:Choice Requires="wps">
          <w:drawing>
            <wp:inline distT="0" distB="0" distL="0" distR="0" wp14:anchorId="676566BF" wp14:editId="38239E87">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71A5416"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E244FE" w14:paraId="0D8747B6" w14:textId="77777777" w:rsidTr="008746C6">
      <w:trPr>
        <w:trHeight w:hRule="exact" w:val="397"/>
      </w:trPr>
      <w:tc>
        <w:tcPr>
          <w:tcW w:w="8953" w:type="dxa"/>
        </w:tcPr>
        <w:p w14:paraId="632B41C6" w14:textId="77777777" w:rsidR="00E244FE" w:rsidRPr="003272E4" w:rsidRDefault="00E244FE" w:rsidP="000B031E">
          <w:pPr>
            <w:pStyle w:val="Bunntekst"/>
            <w:jc w:val="right"/>
          </w:pPr>
          <w:r>
            <w:rPr>
              <w:rStyle w:val="Sidetall"/>
            </w:rPr>
            <w:fldChar w:fldCharType="begin"/>
          </w:r>
          <w:r>
            <w:rPr>
              <w:rStyle w:val="Sidetall"/>
            </w:rPr>
            <w:instrText xml:space="preserve">PAGE  </w:instrText>
          </w:r>
          <w:r>
            <w:rPr>
              <w:rStyle w:val="Sidetall"/>
            </w:rPr>
            <w:fldChar w:fldCharType="separate"/>
          </w:r>
          <w:r>
            <w:rPr>
              <w:rStyle w:val="Sidetall"/>
              <w:noProof/>
            </w:rPr>
            <w:t>2</w:t>
          </w:r>
          <w:r>
            <w:rPr>
              <w:rStyle w:val="Sidetall"/>
            </w:rPr>
            <w:fldChar w:fldCharType="end"/>
          </w:r>
        </w:p>
      </w:tc>
    </w:tr>
  </w:tbl>
  <w:p w14:paraId="19D6D17C" w14:textId="77777777" w:rsidR="00E244FE" w:rsidRDefault="00E244FE" w:rsidP="00F536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4AA43" w14:textId="77777777" w:rsidR="00E244FE" w:rsidRDefault="00E244FE" w:rsidP="00F53676">
    <w:pPr>
      <w:pStyle w:val="Bunntekst"/>
    </w:pPr>
    <w:r>
      <w:rPr>
        <w:noProof/>
        <w:lang w:val="nb-NO" w:eastAsia="nb-NO"/>
      </w:rPr>
      <mc:AlternateContent>
        <mc:Choice Requires="wps">
          <w:drawing>
            <wp:inline distT="0" distB="0" distL="0" distR="0" wp14:anchorId="5F079ECB" wp14:editId="4263AECF">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73579C3"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E244FE" w:rsidRPr="00707F24" w14:paraId="2670E129" w14:textId="77777777" w:rsidTr="008746C6">
      <w:trPr>
        <w:trHeight w:val="1"/>
      </w:trPr>
      <w:tc>
        <w:tcPr>
          <w:tcW w:w="7969" w:type="dxa"/>
        </w:tcPr>
        <w:p w14:paraId="5D9489A2" w14:textId="77777777" w:rsidR="00E244FE" w:rsidRPr="00AC1A8E" w:rsidRDefault="00E244FE" w:rsidP="00761B05">
          <w:pPr>
            <w:pStyle w:val="Bunntekst"/>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Postadresse:</w:t>
          </w:r>
          <w:r w:rsidRPr="00721718">
            <w:rPr>
              <w:lang w:val="nb-NO"/>
            </w:rPr>
            <w:t xml:space="preserve"> Postboks 299 Sentrum, 0103 Oslo </w:t>
          </w:r>
          <w:r w:rsidRPr="00721718">
            <w:rPr>
              <w:lang w:val="nb-NO"/>
            </w:rPr>
            <w:tab/>
            <w:t xml:space="preserve">– </w:t>
          </w:r>
          <w:r w:rsidRPr="00721718">
            <w:rPr>
              <w:lang w:val="nb-NO"/>
            </w:rPr>
            <w:tab/>
          </w:r>
          <w:r w:rsidRPr="00721718">
            <w:rPr>
              <w:rStyle w:val="uthevet"/>
              <w:lang w:val="nb-NO"/>
            </w:rPr>
            <w:t>Tlf:</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Webside:</w:t>
          </w:r>
          <w:r w:rsidRPr="00721718">
            <w:rPr>
              <w:lang w:val="nb-NO"/>
            </w:rPr>
            <w:t xml:space="preserve"> www.nhri.no</w:t>
          </w:r>
        </w:p>
      </w:tc>
    </w:tr>
  </w:tbl>
  <w:p w14:paraId="537AA0D5" w14:textId="77777777" w:rsidR="00E244FE" w:rsidRPr="00AC1A8E" w:rsidRDefault="00E244FE"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471EA" w14:textId="10AFA01D" w:rsidR="00E244FE" w:rsidRDefault="00E244FE" w:rsidP="00707F24">
      <w:pPr>
        <w:pStyle w:val="Fotnotetekst"/>
      </w:pPr>
      <w:r>
        <w:separator/>
      </w:r>
    </w:p>
  </w:footnote>
  <w:footnote w:type="continuationSeparator" w:id="0">
    <w:p w14:paraId="788BE927" w14:textId="77777777" w:rsidR="00E244FE" w:rsidRDefault="00E244FE" w:rsidP="00F53676">
      <w:r>
        <w:continuationSeparator/>
      </w:r>
    </w:p>
    <w:p w14:paraId="2A7C6924" w14:textId="77777777" w:rsidR="00E244FE" w:rsidRDefault="00E244FE" w:rsidP="00F53676"/>
    <w:p w14:paraId="01DA5A2E" w14:textId="77777777" w:rsidR="00E244FE" w:rsidRDefault="00E244FE" w:rsidP="00F53676"/>
  </w:footnote>
  <w:footnote w:type="continuationNotice" w:id="1">
    <w:p w14:paraId="4BB17330" w14:textId="77777777" w:rsidR="00E244FE" w:rsidRDefault="00E244FE">
      <w:pPr>
        <w:spacing w:after="0" w:line="240" w:lineRule="auto"/>
      </w:pPr>
    </w:p>
  </w:footnote>
  <w:footnote w:id="2">
    <w:p w14:paraId="7CCBEDBD"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Norwegian «utredningsinstruks» as translated by the Government in the State Report to ESCR in 2019. </w:t>
      </w:r>
    </w:p>
  </w:footnote>
  <w:footnote w:id="3">
    <w:p w14:paraId="366C60A0"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lang w:val="nb-NO"/>
        </w:rPr>
        <w:t xml:space="preserve"> Diskriminering av samer, nasjonale minoriteter og innvandrere i Norge En kunnskapsgjennomgang. Arnfinn H. Midtbøen og Hilde Lidén, Institutt for samfunnsforskning Rapport 2015:01. </w:t>
      </w:r>
      <w:hyperlink r:id="rId1" w:history="1">
        <w:r w:rsidRPr="002F1649">
          <w:rPr>
            <w:rStyle w:val="Hyperkobling"/>
            <w:color w:val="auto"/>
          </w:rPr>
          <w:t>https://brage.bibsys.no/xmlui/bitstream/handle/11250/2440432/ISF-rapport_2015_1_v3_endret.pdf?sequence=3&amp;isAllowed=y</w:t>
        </w:r>
      </w:hyperlink>
    </w:p>
  </w:footnote>
  <w:footnote w:id="4">
    <w:p w14:paraId="76C3A26E" w14:textId="77777777" w:rsidR="00E244FE" w:rsidRPr="002F1649" w:rsidRDefault="00E244FE" w:rsidP="00707F24">
      <w:pPr>
        <w:pStyle w:val="Fotnotetekst"/>
        <w:spacing w:line="240" w:lineRule="auto"/>
        <w:jc w:val="left"/>
        <w:rPr>
          <w:color w:val="auto"/>
          <w:lang w:val="nb-NO"/>
        </w:rPr>
      </w:pPr>
      <w:r w:rsidRPr="002F1649">
        <w:rPr>
          <w:rStyle w:val="Fotnotereferanse"/>
          <w:color w:val="auto"/>
        </w:rPr>
        <w:footnoteRef/>
      </w:r>
      <w:r w:rsidRPr="002F1649">
        <w:rPr>
          <w:color w:val="auto"/>
          <w:lang w:val="nb-NO"/>
        </w:rPr>
        <w:t xml:space="preserve"> SSB, </w:t>
      </w:r>
      <w:hyperlink r:id="rId2" w:history="1">
        <w:r w:rsidRPr="002F1649">
          <w:rPr>
            <w:rStyle w:val="Hyperkobling"/>
            <w:color w:val="auto"/>
            <w:lang w:val="nb-NO"/>
          </w:rPr>
          <w:t>https://www.ssb.no/sosiale-forhold-og-kriminalitet/artikler-og-publikasjoner/levekar-blant-innvandrere-i-norge2016</w:t>
        </w:r>
      </w:hyperlink>
      <w:r w:rsidRPr="002F1649">
        <w:rPr>
          <w:color w:val="auto"/>
          <w:lang w:val="nb-NO"/>
        </w:rPr>
        <w:t>.</w:t>
      </w:r>
    </w:p>
  </w:footnote>
  <w:footnote w:id="5">
    <w:p w14:paraId="4A3B3AAA" w14:textId="77777777" w:rsidR="00E244FE" w:rsidRPr="002F1649" w:rsidRDefault="00E244FE" w:rsidP="00707F24">
      <w:pPr>
        <w:pStyle w:val="Fotnotetekst"/>
        <w:spacing w:line="240" w:lineRule="auto"/>
        <w:jc w:val="left"/>
        <w:rPr>
          <w:color w:val="auto"/>
          <w:lang w:val="nb-NO"/>
        </w:rPr>
      </w:pPr>
      <w:r w:rsidRPr="002F1649">
        <w:rPr>
          <w:rStyle w:val="Fotnotereferanse"/>
          <w:color w:val="auto"/>
        </w:rPr>
        <w:footnoteRef/>
      </w:r>
      <w:r w:rsidRPr="002F1649">
        <w:rPr>
          <w:color w:val="auto"/>
          <w:lang w:val="nb-NO"/>
        </w:rPr>
        <w:t xml:space="preserve"> Bolig for velferd, Nasjonal strategi for boligsosialt arbeid (2014-2020), </w:t>
      </w:r>
      <w:hyperlink r:id="rId3" w:history="1">
        <w:r w:rsidRPr="002F1649">
          <w:rPr>
            <w:rStyle w:val="Hyperkobling"/>
            <w:color w:val="auto"/>
            <w:lang w:val="nb-NO"/>
          </w:rPr>
          <w:t>https://www.regjeringen.no/globalassets/upload/kmd/boby/nasjonal_strategi_boligsosialt_arbeid.pdf</w:t>
        </w:r>
      </w:hyperlink>
      <w:r w:rsidRPr="002F1649">
        <w:rPr>
          <w:color w:val="auto"/>
          <w:lang w:val="nb-NO"/>
        </w:rPr>
        <w:t xml:space="preserve"> </w:t>
      </w:r>
    </w:p>
  </w:footnote>
  <w:footnote w:id="6">
    <w:p w14:paraId="1C9C1E7F"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See </w:t>
      </w:r>
      <w:hyperlink r:id="rId4" w:history="1">
        <w:r w:rsidRPr="002F1649">
          <w:rPr>
            <w:rStyle w:val="Hyperkobling"/>
            <w:color w:val="auto"/>
          </w:rPr>
          <w:t>https://www.regjeringen.no/contentassets/589aa9f4e14540b5a5a6144aaea7b518/handlingsplan-mot-rasisme_uu_des-2019.pdf</w:t>
        </w:r>
      </w:hyperlink>
      <w:r w:rsidRPr="002F1649">
        <w:rPr>
          <w:color w:val="auto"/>
        </w:rPr>
        <w:t xml:space="preserve"> </w:t>
      </w:r>
    </w:p>
  </w:footnote>
  <w:footnote w:id="7">
    <w:p w14:paraId="5D466A64" w14:textId="77777777" w:rsidR="00E244FE" w:rsidRPr="002F1649" w:rsidRDefault="00E244FE" w:rsidP="00707F24">
      <w:pPr>
        <w:pStyle w:val="Fotnotetekst"/>
        <w:spacing w:line="240" w:lineRule="auto"/>
        <w:jc w:val="left"/>
        <w:rPr>
          <w:color w:val="auto"/>
          <w:lang w:val="en-US"/>
        </w:rPr>
      </w:pPr>
      <w:r w:rsidRPr="002F1649">
        <w:rPr>
          <w:rStyle w:val="Fotnotereferanse"/>
          <w:color w:val="auto"/>
        </w:rPr>
        <w:footnoteRef/>
      </w:r>
      <w:r w:rsidRPr="002F1649">
        <w:rPr>
          <w:color w:val="auto"/>
          <w:lang w:val="en-US"/>
        </w:rPr>
        <w:t xml:space="preserve"> See ICCPR State Report para. 46.</w:t>
      </w:r>
    </w:p>
  </w:footnote>
  <w:footnote w:id="8">
    <w:p w14:paraId="716C67F9" w14:textId="77777777" w:rsidR="00E244FE" w:rsidRPr="002F1649" w:rsidRDefault="00E244FE" w:rsidP="00707F24">
      <w:pPr>
        <w:pStyle w:val="Fotnotetekst"/>
        <w:spacing w:line="240" w:lineRule="auto"/>
        <w:jc w:val="left"/>
        <w:rPr>
          <w:color w:val="auto"/>
          <w:lang w:val="en-US"/>
        </w:rPr>
      </w:pPr>
      <w:r w:rsidRPr="002F1649">
        <w:rPr>
          <w:rStyle w:val="Fotnotereferanse"/>
          <w:color w:val="auto"/>
        </w:rPr>
        <w:footnoteRef/>
      </w:r>
      <w:r w:rsidRPr="002F1649">
        <w:rPr>
          <w:color w:val="auto"/>
          <w:lang w:val="en-US"/>
        </w:rPr>
        <w:t xml:space="preserve"> SSB, </w:t>
      </w:r>
      <w:hyperlink r:id="rId5" w:history="1">
        <w:r w:rsidRPr="002F1649">
          <w:rPr>
            <w:rStyle w:val="Hyperkobling"/>
            <w:color w:val="auto"/>
            <w:lang w:val="en-US"/>
          </w:rPr>
          <w:t>https://www.ssb.no/innvandring-og-innvandrere/faktaside/innvandring</w:t>
        </w:r>
      </w:hyperlink>
      <w:r w:rsidRPr="002F1649">
        <w:rPr>
          <w:color w:val="auto"/>
          <w:lang w:val="en-US"/>
        </w:rPr>
        <w:t>.</w:t>
      </w:r>
    </w:p>
  </w:footnote>
  <w:footnote w:id="9">
    <w:p w14:paraId="641BCCA3" w14:textId="2C9767C0"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SSB, </w:t>
      </w:r>
      <w:hyperlink r:id="rId6" w:history="1">
        <w:r w:rsidRPr="002F1649">
          <w:rPr>
            <w:rStyle w:val="Hyperkobling"/>
            <w:color w:val="auto"/>
          </w:rPr>
          <w:t>https://www.ssb.no/arbeid-og-lonn/artikler-og-publikasjoner/lavere-lonn-blant-innvandrere</w:t>
        </w:r>
      </w:hyperlink>
      <w:r w:rsidRPr="002F1649">
        <w:rPr>
          <w:color w:val="auto"/>
        </w:rPr>
        <w:t>.</w:t>
      </w:r>
    </w:p>
  </w:footnote>
  <w:footnote w:id="10">
    <w:p w14:paraId="19868719" w14:textId="77777777" w:rsidR="00E244FE" w:rsidRPr="002F1649" w:rsidRDefault="00E244FE" w:rsidP="00707F24">
      <w:pPr>
        <w:pStyle w:val="Fotnotetekst"/>
        <w:spacing w:line="240" w:lineRule="auto"/>
        <w:jc w:val="left"/>
        <w:rPr>
          <w:color w:val="auto"/>
          <w:lang w:val="nb-NO"/>
        </w:rPr>
      </w:pPr>
      <w:r w:rsidRPr="002F1649">
        <w:rPr>
          <w:rStyle w:val="Fotnotereferanse"/>
          <w:color w:val="auto"/>
        </w:rPr>
        <w:footnoteRef/>
      </w:r>
      <w:r w:rsidRPr="002F1649">
        <w:rPr>
          <w:color w:val="auto"/>
          <w:lang w:val="nb-NO"/>
        </w:rPr>
        <w:t xml:space="preserve"> </w:t>
      </w:r>
      <w:r w:rsidRPr="002F1649">
        <w:rPr>
          <w:i/>
          <w:color w:val="auto"/>
          <w:lang w:val="nb-NO"/>
        </w:rPr>
        <w:t>Fra mottak til arbeidsliv – en effektiv integreringspolitikk</w:t>
      </w:r>
      <w:r w:rsidRPr="002F1649">
        <w:rPr>
          <w:color w:val="auto"/>
          <w:lang w:val="nb-NO"/>
        </w:rPr>
        <w:t>, Meld.St. 30 (2015-2016).</w:t>
      </w:r>
    </w:p>
  </w:footnote>
  <w:footnote w:id="11">
    <w:p w14:paraId="58F9838D"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In 2019, the CERD recommended that Norway provide statistical data “on the enjoyment of social and economic rights by various ethnic groups, including through dialogue with ethnic minorities and by diversifying its data-collection activities […]” (CERD/C/NOR/CO/23-24, para 6). In 2018, the CRC recommended that Norway “disaggregate data by ethnicity, as the absence of such data prevents the State Party from gaining the knowledge needed to measure discrimination […] and develop measures to overcome it” (CRC/C/NOR/CO/5-6, para 9). Similarly, the CEDAW recommended in 2017 that Norway collect and disaggregate data on the health situation of Sámi women, including data on discrimination in the health sector and on the prevalence of violence and abuse (CEDAW/C/NOR/CO/9, paras 25d and 39c).</w:t>
      </w:r>
    </w:p>
  </w:footnote>
  <w:footnote w:id="12">
    <w:p w14:paraId="092D0966" w14:textId="77777777" w:rsidR="00E244FE" w:rsidRPr="002F1649" w:rsidRDefault="00E244FE" w:rsidP="00707F24">
      <w:pPr>
        <w:pStyle w:val="Fotnotetekst"/>
        <w:spacing w:line="240" w:lineRule="auto"/>
        <w:jc w:val="left"/>
        <w:rPr>
          <w:color w:val="auto"/>
          <w:lang w:val="en-US"/>
        </w:rPr>
      </w:pPr>
      <w:r w:rsidRPr="002F1649">
        <w:rPr>
          <w:rStyle w:val="Fotnotereferanse"/>
          <w:color w:val="auto"/>
        </w:rPr>
        <w:footnoteRef/>
      </w:r>
      <w:r w:rsidRPr="002F1649">
        <w:rPr>
          <w:color w:val="auto"/>
          <w:lang w:val="en-US"/>
        </w:rPr>
        <w:t xml:space="preserve"> “Care practices in reception centers for unaccompanied asylum seeker minors (Norwegian)”, </w:t>
      </w:r>
      <w:proofErr w:type="spellStart"/>
      <w:r w:rsidRPr="002F1649">
        <w:rPr>
          <w:color w:val="auto"/>
          <w:lang w:val="en-US"/>
        </w:rPr>
        <w:t>Sønsterudbråten</w:t>
      </w:r>
      <w:proofErr w:type="spellEnd"/>
      <w:r w:rsidRPr="002F1649">
        <w:rPr>
          <w:color w:val="auto"/>
          <w:lang w:val="en-US"/>
        </w:rPr>
        <w:t xml:space="preserve"> et.al, </w:t>
      </w:r>
      <w:proofErr w:type="spellStart"/>
      <w:r w:rsidRPr="002F1649">
        <w:rPr>
          <w:color w:val="auto"/>
          <w:lang w:val="en-US"/>
        </w:rPr>
        <w:t>Fafo</w:t>
      </w:r>
      <w:proofErr w:type="spellEnd"/>
      <w:r w:rsidRPr="002F1649">
        <w:rPr>
          <w:color w:val="auto"/>
          <w:lang w:val="en-US"/>
        </w:rPr>
        <w:t>-rapport 2018:05.</w:t>
      </w:r>
    </w:p>
  </w:footnote>
  <w:footnote w:id="13">
    <w:p w14:paraId="1FCE444E"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(ibid) Only 30 % of unaccompanied minors living in reception centres with 4 or more symptoms of psychological health problems receive psychiatric services from a psychologist.</w:t>
      </w:r>
    </w:p>
  </w:footnote>
  <w:footnote w:id="14">
    <w:p w14:paraId="35DA77B1" w14:textId="77777777" w:rsidR="00E244FE" w:rsidRPr="00707F24" w:rsidRDefault="00E244FE" w:rsidP="00707F24">
      <w:pPr>
        <w:spacing w:line="240" w:lineRule="auto"/>
        <w:jc w:val="left"/>
        <w:rPr>
          <w:color w:val="auto"/>
          <w:sz w:val="16"/>
        </w:rPr>
      </w:pPr>
      <w:r w:rsidRPr="002F1649">
        <w:rPr>
          <w:rStyle w:val="Fotnotereferanse"/>
          <w:color w:val="auto"/>
          <w:sz w:val="16"/>
          <w:szCs w:val="16"/>
        </w:rPr>
        <w:footnoteRef/>
      </w:r>
      <w:r w:rsidRPr="002F1649">
        <w:rPr>
          <w:color w:val="auto"/>
          <w:sz w:val="16"/>
          <w:szCs w:val="16"/>
        </w:rPr>
        <w:t xml:space="preserve"> </w:t>
      </w:r>
      <w:hyperlink r:id="rId7" w:history="1">
        <w:r w:rsidRPr="002F1649">
          <w:rPr>
            <w:rStyle w:val="Hyperkobling"/>
            <w:color w:val="auto"/>
            <w:sz w:val="16"/>
            <w:szCs w:val="16"/>
          </w:rPr>
          <w:t>https://sciencenorway.no/forskningno-gender-and-society-norway/one-of-four-lgbt-people-experience-hate-speech/1553837</w:t>
        </w:r>
      </w:hyperlink>
    </w:p>
  </w:footnote>
  <w:footnote w:id="15">
    <w:p w14:paraId="192E86D6"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w:t>
      </w:r>
      <w:hyperlink r:id="rId8" w:history="1">
        <w:r w:rsidRPr="002F1649">
          <w:rPr>
            <w:rStyle w:val="Hyperkobling"/>
            <w:color w:val="auto"/>
          </w:rPr>
          <w:t>https://www.politiet.no/globalassets/dokumenter/oslo/rapporter/anmeldt-hatkriminalitet-oslo/Anmeldt_hatkriminalitet_i_Oslo_2018</w:t>
        </w:r>
      </w:hyperlink>
    </w:p>
  </w:footnote>
  <w:footnote w:id="16">
    <w:p w14:paraId="28F788CD"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w:t>
      </w:r>
      <w:hyperlink r:id="rId9" w:history="1">
        <w:r w:rsidRPr="002F1649">
          <w:rPr>
            <w:rStyle w:val="Hyperkobling"/>
            <w:color w:val="auto"/>
          </w:rPr>
          <w:t>https://www.reddbarna.no/nyheter/barn-som-bryter-med-normer-for-kjoenn-og-seksualitet</w:t>
        </w:r>
      </w:hyperlink>
    </w:p>
  </w:footnote>
  <w:footnote w:id="17">
    <w:p w14:paraId="3B47D7C5" w14:textId="77777777"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w:t>
      </w:r>
      <w:hyperlink r:id="rId10" w:anchor="402742" w:history="1">
        <w:r w:rsidRPr="002F1649">
          <w:rPr>
            <w:rStyle w:val="Hyperkobling"/>
            <w:color w:val="auto"/>
          </w:rPr>
          <w:t>http://www.euro.who.int/en/health-topics/health-determi</w:t>
        </w:r>
        <w:r w:rsidRPr="002F1649">
          <w:rPr>
            <w:rStyle w:val="Hyperkobling"/>
            <w:color w:val="auto"/>
          </w:rPr>
          <w:t>n</w:t>
        </w:r>
        <w:r w:rsidRPr="002F1649">
          <w:rPr>
            <w:rStyle w:val="Hyperkobling"/>
            <w:color w:val="auto"/>
          </w:rPr>
          <w:t>ants/gender/gender-definitions/whoeurope-brief-transgender-health-in-the-context-of-icd-11#402742</w:t>
        </w:r>
      </w:hyperlink>
    </w:p>
  </w:footnote>
  <w:footnote w:id="18">
    <w:p w14:paraId="4E2D7C5A" w14:textId="164635CD" w:rsidR="00E244FE" w:rsidRPr="002F1649" w:rsidRDefault="00E244FE" w:rsidP="00707F24">
      <w:pPr>
        <w:pStyle w:val="Fotnotetekst"/>
        <w:spacing w:line="240" w:lineRule="auto"/>
        <w:jc w:val="left"/>
        <w:rPr>
          <w:color w:val="auto"/>
        </w:rPr>
      </w:pPr>
      <w:r w:rsidRPr="002F1649">
        <w:rPr>
          <w:rStyle w:val="Fotnotereferanse"/>
          <w:color w:val="auto"/>
        </w:rPr>
        <w:footnoteRef/>
      </w:r>
      <w:r w:rsidRPr="002F1649">
        <w:rPr>
          <w:color w:val="auto"/>
        </w:rPr>
        <w:t xml:space="preserve"> World Health Organisation (WHO, </w:t>
      </w:r>
      <w:hyperlink r:id="rId11" w:history="1">
        <w:r w:rsidRPr="002F1649">
          <w:rPr>
            <w:rStyle w:val="Hyperkobling"/>
            <w:color w:val="auto"/>
          </w:rPr>
          <w:t>https://icd.who.int/en</w:t>
        </w:r>
      </w:hyperlink>
    </w:p>
  </w:footnote>
  <w:footnote w:id="19">
    <w:p w14:paraId="42087617"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C6232F">
        <w:rPr>
          <w:rFonts w:eastAsia="Calibri"/>
          <w:color w:val="auto"/>
          <w:lang w:val="nb-NO"/>
        </w:rPr>
        <w:t>«Ungdoms erfaringer med vold og overgrep i oppveksten: En nasjonal undersøkelse av ungdom i alderen 12 til 16 år», NKVTS, 2019.</w:t>
      </w:r>
    </w:p>
  </w:footnote>
  <w:footnote w:id="20">
    <w:p w14:paraId="59A731B0" w14:textId="77777777" w:rsidR="00E244FE" w:rsidRPr="00707F24" w:rsidRDefault="00E244FE" w:rsidP="00707F24">
      <w:pPr>
        <w:pStyle w:val="Fotnotetekst"/>
        <w:spacing w:after="0" w:line="240" w:lineRule="auto"/>
        <w:jc w:val="left"/>
        <w:rPr>
          <w:lang w:val="nb-NO"/>
        </w:rPr>
      </w:pPr>
      <w:r w:rsidRPr="00707F24">
        <w:rPr>
          <w:rStyle w:val="Fotnotereferanse"/>
        </w:rPr>
        <w:footnoteRef/>
      </w:r>
      <w:r w:rsidRPr="00707F24">
        <w:rPr>
          <w:lang w:val="nb-NO"/>
        </w:rPr>
        <w:t xml:space="preserve"> </w:t>
      </w:r>
      <w:r w:rsidRPr="00C6232F">
        <w:rPr>
          <w:rFonts w:eastAsia="Calibri"/>
          <w:color w:val="auto"/>
          <w:lang w:val="nb-NO"/>
        </w:rPr>
        <w:t>“Alvorlig vold mot små barn”, Kripos 2019.</w:t>
      </w:r>
    </w:p>
  </w:footnote>
  <w:footnote w:id="21">
    <w:p w14:paraId="7E2A04E6"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NOU 2017:12 Svikt og svik.</w:t>
      </w:r>
    </w:p>
  </w:footnote>
  <w:footnote w:id="22">
    <w:p w14:paraId="2D0AF533" w14:textId="77777777" w:rsidR="00E244FE" w:rsidRPr="00707F24" w:rsidRDefault="00E244FE" w:rsidP="00707F24">
      <w:pPr>
        <w:pStyle w:val="Fotnotetekst"/>
        <w:spacing w:after="0" w:line="240" w:lineRule="auto"/>
        <w:jc w:val="left"/>
        <w:rPr>
          <w:lang w:val="nb-NO"/>
        </w:rPr>
      </w:pPr>
      <w:r w:rsidRPr="00707F24">
        <w:rPr>
          <w:rStyle w:val="Fotnotereferanse"/>
        </w:rPr>
        <w:footnoteRef/>
      </w:r>
      <w:r w:rsidRPr="00707F24">
        <w:rPr>
          <w:lang w:val="nb-NO"/>
        </w:rPr>
        <w:t xml:space="preserve"> </w:t>
      </w:r>
      <w:r w:rsidRPr="002F1649">
        <w:rPr>
          <w:rFonts w:eastAsia="Calibri"/>
          <w:color w:val="auto"/>
          <w:lang w:val="nb-NO"/>
        </w:rPr>
        <w:t>«Om du tør å spørre, tør folk å svare», NKVTS, rapport nr. 2 2017.</w:t>
      </w:r>
    </w:p>
  </w:footnote>
  <w:footnote w:id="23">
    <w:p w14:paraId="186D72EE"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«Overgrepene i Tysfjord – erfaringer og funn fra politiets etterforskning», Nordland politidistrikt, 2017.</w:t>
      </w:r>
    </w:p>
  </w:footnote>
  <w:footnote w:id="24">
    <w:p w14:paraId="39DEE04A" w14:textId="17977D8F" w:rsidR="00E244FE" w:rsidRPr="00707F24" w:rsidRDefault="00E244FE" w:rsidP="00707F24">
      <w:pPr>
        <w:pStyle w:val="Fotnotetekst"/>
        <w:spacing w:after="0" w:line="240" w:lineRule="auto"/>
        <w:jc w:val="left"/>
        <w:rPr>
          <w:lang w:val="en-US"/>
        </w:rPr>
      </w:pPr>
      <w:r w:rsidRPr="00707F24">
        <w:rPr>
          <w:rStyle w:val="Fotnotereferanse"/>
        </w:rPr>
        <w:footnoteRef/>
      </w:r>
      <w:r w:rsidRPr="00707F24">
        <w:rPr>
          <w:lang w:val="en-US"/>
        </w:rPr>
        <w:t xml:space="preserve"> </w:t>
      </w:r>
      <w:r w:rsidRPr="002F1649">
        <w:rPr>
          <w:rFonts w:eastAsia="Calibri"/>
          <w:color w:val="auto"/>
          <w:lang w:val="en-US"/>
        </w:rPr>
        <w:t>Eriksen A. Hansen K.L., Javo C. and Schei B., «Emotional, physical and sexual violence among Sami and non-Sami population Norway: The SAMINOR 2 questionnaire study», Scandinavian Journal of Public Health, 2015.</w:t>
      </w:r>
    </w:p>
  </w:footnote>
  <w:footnote w:id="25">
    <w:p w14:paraId="32AD8AF6" w14:textId="19D4DA77" w:rsidR="00E244FE" w:rsidRPr="00707F24" w:rsidRDefault="00E244FE" w:rsidP="00707F24">
      <w:pPr>
        <w:pStyle w:val="Fotnotetekst"/>
        <w:spacing w:after="0" w:line="240" w:lineRule="auto"/>
        <w:jc w:val="left"/>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«Vold og overgrep mot eldre personer. En nasjonal forekomststudie», </w:t>
      </w:r>
      <w:proofErr w:type="spellStart"/>
      <w:r w:rsidRPr="002F1649">
        <w:rPr>
          <w:rFonts w:eastAsia="Calibri"/>
          <w:color w:val="auto"/>
          <w:lang w:val="nb-NO"/>
        </w:rPr>
        <w:t>NKVTS</w:t>
      </w:r>
      <w:proofErr w:type="spellEnd"/>
      <w:r w:rsidRPr="002F1649">
        <w:rPr>
          <w:rFonts w:eastAsia="Calibri"/>
          <w:color w:val="auto"/>
          <w:lang w:val="nb-NO"/>
        </w:rPr>
        <w:t>, Rapport 9/2017.</w:t>
      </w:r>
    </w:p>
  </w:footnote>
  <w:footnote w:id="26">
    <w:p w14:paraId="46B8BC22" w14:textId="2C37C62D"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«Kommunale handlingsplaner mot vold i nære relasjoner - også for eldre utsatte?», </w:t>
      </w:r>
      <w:proofErr w:type="spellStart"/>
      <w:r w:rsidRPr="002F1649">
        <w:rPr>
          <w:rFonts w:eastAsia="Calibri"/>
          <w:color w:val="auto"/>
          <w:lang w:val="nb-NO"/>
        </w:rPr>
        <w:t>NKVTS</w:t>
      </w:r>
      <w:proofErr w:type="spellEnd"/>
      <w:r w:rsidRPr="002F1649">
        <w:rPr>
          <w:rFonts w:eastAsia="Calibri"/>
          <w:color w:val="auto"/>
          <w:lang w:val="nb-NO"/>
        </w:rPr>
        <w:t>, Rapport 9/2016</w:t>
      </w:r>
      <w:r>
        <w:rPr>
          <w:rFonts w:eastAsia="Calibri"/>
          <w:color w:val="auto"/>
          <w:lang w:val="nb-NO"/>
        </w:rPr>
        <w:t>.</w:t>
      </w:r>
    </w:p>
  </w:footnote>
  <w:footnote w:id="27">
    <w:p w14:paraId="38164A1B" w14:textId="6DD29928"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«Oversikt over rutineguider og kartleggingsverktøy for avdekking av vold i nære relasjoner», </w:t>
      </w:r>
      <w:proofErr w:type="spellStart"/>
      <w:r w:rsidRPr="002F1649">
        <w:rPr>
          <w:rFonts w:eastAsia="Calibri"/>
          <w:color w:val="auto"/>
          <w:lang w:val="nb-NO"/>
        </w:rPr>
        <w:t>NKVTS</w:t>
      </w:r>
      <w:proofErr w:type="spellEnd"/>
      <w:r w:rsidRPr="002F1649">
        <w:rPr>
          <w:rFonts w:eastAsia="Calibri"/>
          <w:color w:val="auto"/>
          <w:lang w:val="nb-NO"/>
        </w:rPr>
        <w:t>, Rapport 4/2015</w:t>
      </w:r>
      <w:r>
        <w:rPr>
          <w:rFonts w:eastAsia="Calibri"/>
          <w:color w:val="auto"/>
          <w:lang w:val="nb-NO"/>
        </w:rPr>
        <w:t>.</w:t>
      </w:r>
    </w:p>
  </w:footnote>
  <w:footnote w:id="28">
    <w:p w14:paraId="357323B8" w14:textId="77777777" w:rsidR="00E244FE" w:rsidRPr="003037D6" w:rsidRDefault="00E244FE" w:rsidP="00707F24">
      <w:pPr>
        <w:pStyle w:val="Fotnotetekst"/>
        <w:spacing w:after="0" w:line="240" w:lineRule="auto"/>
        <w:jc w:val="left"/>
        <w:rPr>
          <w:rFonts w:cs="Calibri"/>
          <w:color w:val="auto"/>
          <w:lang w:val="nb-NO"/>
        </w:rPr>
      </w:pPr>
      <w:r w:rsidRPr="00707F24">
        <w:rPr>
          <w:rStyle w:val="Fotnotereferanse"/>
        </w:rPr>
        <w:footnoteRef/>
      </w:r>
      <w:r w:rsidRPr="00707F24">
        <w:rPr>
          <w:lang w:val="nb-NO"/>
        </w:rPr>
        <w:t xml:space="preserve"> </w:t>
      </w:r>
      <w:hyperlink r:id="rId12" w:history="1">
        <w:r w:rsidRPr="00E84A62">
          <w:rPr>
            <w:rStyle w:val="Hyperkobling"/>
            <w:rFonts w:eastAsia="Calibri"/>
            <w:lang w:val="nb-NO"/>
          </w:rPr>
          <w:t>https://www.aftenposten.no/a-magasinet/i/mRE0z0/sykehjemsvolden-13000-voldsepisoder-paa-norske-sykehjem-i-fjor-aftenposten-har-faatt-innsyn-i-alle?spid_rel=2</w:t>
        </w:r>
      </w:hyperlink>
    </w:p>
    <w:p w14:paraId="4A25BAE9" w14:textId="4DA13614" w:rsidR="00E244FE" w:rsidRPr="00707F24" w:rsidRDefault="00E244FE" w:rsidP="00707F24">
      <w:pPr>
        <w:pStyle w:val="Fotnotetekst"/>
        <w:spacing w:line="240" w:lineRule="auto"/>
        <w:rPr>
          <w:lang w:val="nb-NO"/>
        </w:rPr>
      </w:pPr>
    </w:p>
  </w:footnote>
  <w:footnote w:id="29">
    <w:p w14:paraId="4A623EC9" w14:textId="1E6C0B62" w:rsidR="00E244FE" w:rsidRPr="00707F24" w:rsidRDefault="00E244FE" w:rsidP="00707F24">
      <w:pPr>
        <w:pStyle w:val="Fotnotetekst"/>
        <w:spacing w:line="240" w:lineRule="auto"/>
      </w:pPr>
      <w:r w:rsidRPr="00707F24">
        <w:rPr>
          <w:rStyle w:val="Fotnotereferanse"/>
        </w:rPr>
        <w:footnoteRef/>
      </w:r>
      <w:r w:rsidRPr="00707F24">
        <w:t xml:space="preserve"> </w:t>
      </w:r>
      <w:proofErr w:type="spellStart"/>
      <w:r w:rsidRPr="002F1649">
        <w:rPr>
          <w:rFonts w:eastAsia="Calibri"/>
          <w:color w:val="auto"/>
        </w:rPr>
        <w:t>NOU</w:t>
      </w:r>
      <w:proofErr w:type="spellEnd"/>
      <w:r w:rsidRPr="002F1649">
        <w:rPr>
          <w:rFonts w:eastAsia="Calibri"/>
          <w:color w:val="auto"/>
        </w:rPr>
        <w:t xml:space="preserve"> 2019: 14 </w:t>
      </w:r>
      <w:proofErr w:type="spellStart"/>
      <w:r w:rsidRPr="002F1649">
        <w:rPr>
          <w:rFonts w:eastAsia="Calibri"/>
          <w:color w:val="auto"/>
        </w:rPr>
        <w:t>Tvangsbegrensningsloven</w:t>
      </w:r>
      <w:proofErr w:type="spellEnd"/>
      <w:r>
        <w:rPr>
          <w:rFonts w:eastAsia="Calibri"/>
          <w:color w:val="auto"/>
        </w:rPr>
        <w:t>.</w:t>
      </w:r>
    </w:p>
  </w:footnote>
  <w:footnote w:id="30">
    <w:p w14:paraId="360F80E2" w14:textId="77777777" w:rsidR="00E244FE" w:rsidRPr="00707F24" w:rsidRDefault="00E244FE" w:rsidP="00707F24">
      <w:pPr>
        <w:pStyle w:val="Fotnotetekst"/>
        <w:spacing w:line="240" w:lineRule="auto"/>
        <w:rPr>
          <w:lang w:val="en-US"/>
        </w:rPr>
      </w:pPr>
      <w:r w:rsidRPr="00707F24">
        <w:rPr>
          <w:rStyle w:val="Fotnotereferanse"/>
        </w:rPr>
        <w:footnoteRef/>
      </w:r>
      <w:r w:rsidRPr="00707F24">
        <w:rPr>
          <w:lang w:val="en-US"/>
        </w:rPr>
        <w:t xml:space="preserve"> </w:t>
      </w:r>
      <w:r w:rsidRPr="002F1649">
        <w:rPr>
          <w:rFonts w:eastAsia="Calibri"/>
          <w:color w:val="auto"/>
          <w:lang w:val="en-US"/>
        </w:rPr>
        <w:t>See the website of the NPM in English</w:t>
      </w:r>
      <w:r w:rsidRPr="00D71F8A">
        <w:rPr>
          <w:rFonts w:eastAsia="Calibri"/>
          <w:color w:val="auto"/>
          <w:lang w:val="en-US"/>
        </w:rPr>
        <w:t>: https://www.sivilombudsmannen.no/en/visit-reports/.</w:t>
      </w:r>
      <w:r w:rsidRPr="002F1649">
        <w:rPr>
          <w:rFonts w:eastAsia="Calibri"/>
          <w:color w:val="auto"/>
          <w:lang w:val="en-US"/>
        </w:rPr>
        <w:t xml:space="preserve">  </w:t>
      </w:r>
    </w:p>
  </w:footnote>
  <w:footnote w:id="31">
    <w:p w14:paraId="0BD02C1B"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«Skjerming i psykisk helsevern – risiko for umenneskelig behandling», NPM, temarapport 2018.</w:t>
      </w:r>
    </w:p>
  </w:footnote>
  <w:footnote w:id="32">
    <w:p w14:paraId="4C38BEA8" w14:textId="60C3E2AD"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Helsedirektoratet, «Nasjonal faglig retningslinje om bruk av elektrokonvulsiv behandling – ECT», June 2017 and </w:t>
      </w:r>
      <w:proofErr w:type="spellStart"/>
      <w:r w:rsidRPr="002F1649">
        <w:rPr>
          <w:rFonts w:eastAsia="Calibri"/>
          <w:color w:val="auto"/>
          <w:lang w:val="nb-NO"/>
        </w:rPr>
        <w:t>visits</w:t>
      </w:r>
      <w:proofErr w:type="spellEnd"/>
      <w:r w:rsidRPr="002F1649">
        <w:rPr>
          <w:rFonts w:eastAsia="Calibri"/>
          <w:color w:val="auto"/>
          <w:lang w:val="nb-NO"/>
        </w:rPr>
        <w:t xml:space="preserve"> </w:t>
      </w:r>
      <w:proofErr w:type="spellStart"/>
      <w:r w:rsidRPr="002F1649">
        <w:rPr>
          <w:rFonts w:eastAsia="Calibri"/>
          <w:color w:val="auto"/>
          <w:lang w:val="nb-NO"/>
        </w:rPr>
        <w:t>conducted</w:t>
      </w:r>
      <w:proofErr w:type="spellEnd"/>
      <w:r w:rsidRPr="002F1649">
        <w:rPr>
          <w:rFonts w:eastAsia="Calibri"/>
          <w:color w:val="auto"/>
          <w:lang w:val="nb-NO"/>
        </w:rPr>
        <w:t xml:space="preserve"> by </w:t>
      </w:r>
      <w:proofErr w:type="spellStart"/>
      <w:r w:rsidRPr="002F1649">
        <w:rPr>
          <w:rFonts w:eastAsia="Calibri"/>
          <w:color w:val="auto"/>
          <w:lang w:val="nb-NO"/>
        </w:rPr>
        <w:t>the</w:t>
      </w:r>
      <w:proofErr w:type="spellEnd"/>
      <w:r w:rsidRPr="002F1649">
        <w:rPr>
          <w:rFonts w:eastAsia="Calibri"/>
          <w:color w:val="auto"/>
          <w:lang w:val="nb-NO"/>
        </w:rPr>
        <w:t xml:space="preserve"> </w:t>
      </w:r>
      <w:proofErr w:type="spellStart"/>
      <w:r w:rsidRPr="002F1649">
        <w:rPr>
          <w:rFonts w:eastAsia="Calibri"/>
          <w:color w:val="auto"/>
          <w:lang w:val="nb-NO"/>
        </w:rPr>
        <w:t>NPM</w:t>
      </w:r>
      <w:proofErr w:type="spellEnd"/>
      <w:r>
        <w:rPr>
          <w:rFonts w:eastAsia="Calibri"/>
          <w:color w:val="auto"/>
          <w:lang w:val="nb-NO"/>
        </w:rPr>
        <w:t>.</w:t>
      </w:r>
    </w:p>
  </w:footnote>
  <w:footnote w:id="33">
    <w:p w14:paraId="37F70B5F" w14:textId="55DBE721" w:rsidR="00E244FE" w:rsidRPr="00707F24" w:rsidRDefault="00E244FE" w:rsidP="00707F24">
      <w:pPr>
        <w:pStyle w:val="Fotnotetekst"/>
        <w:spacing w:after="0" w:line="240" w:lineRule="auto"/>
        <w:jc w:val="left"/>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Helsedirektoratet, «Nasjonal faglig retningslinje om bruk av </w:t>
      </w:r>
      <w:proofErr w:type="spellStart"/>
      <w:r w:rsidRPr="002F1649">
        <w:rPr>
          <w:rFonts w:eastAsia="Calibri"/>
          <w:color w:val="auto"/>
          <w:lang w:val="nb-NO"/>
        </w:rPr>
        <w:t>elektrokonvulsiv</w:t>
      </w:r>
      <w:proofErr w:type="spellEnd"/>
      <w:r w:rsidRPr="002F1649">
        <w:rPr>
          <w:rFonts w:eastAsia="Calibri"/>
          <w:color w:val="auto"/>
          <w:lang w:val="nb-NO"/>
        </w:rPr>
        <w:t xml:space="preserve"> behandling – </w:t>
      </w:r>
      <w:proofErr w:type="spellStart"/>
      <w:r w:rsidRPr="002F1649">
        <w:rPr>
          <w:rFonts w:eastAsia="Calibri"/>
          <w:color w:val="auto"/>
          <w:lang w:val="nb-NO"/>
        </w:rPr>
        <w:t>ECT</w:t>
      </w:r>
      <w:proofErr w:type="spellEnd"/>
      <w:r w:rsidRPr="002F1649">
        <w:rPr>
          <w:rFonts w:eastAsia="Calibri"/>
          <w:color w:val="auto"/>
          <w:lang w:val="nb-NO"/>
        </w:rPr>
        <w:t>», June 2017</w:t>
      </w:r>
      <w:r>
        <w:rPr>
          <w:rFonts w:eastAsia="Calibri"/>
          <w:color w:val="auto"/>
          <w:lang w:val="nb-NO"/>
        </w:rPr>
        <w:t>.</w:t>
      </w:r>
    </w:p>
  </w:footnote>
  <w:footnote w:id="34">
    <w:p w14:paraId="1B7C1B46" w14:textId="77777777" w:rsidR="00E244FE" w:rsidRPr="00707F24" w:rsidRDefault="00E244FE" w:rsidP="00707F24">
      <w:pPr>
        <w:pStyle w:val="Fotnotetekst"/>
        <w:spacing w:line="240" w:lineRule="auto"/>
        <w:rPr>
          <w:lang w:val="nn-NO"/>
        </w:rPr>
      </w:pPr>
      <w:r w:rsidRPr="00707F24">
        <w:rPr>
          <w:rStyle w:val="Fotnotereferanse"/>
        </w:rPr>
        <w:footnoteRef/>
      </w:r>
      <w:r w:rsidRPr="00707F24">
        <w:rPr>
          <w:lang w:val="nn-NO"/>
        </w:rPr>
        <w:t xml:space="preserve"> </w:t>
      </w:r>
      <w:r w:rsidRPr="002F1649">
        <w:rPr>
          <w:rFonts w:eastAsia="Calibri"/>
          <w:color w:val="auto"/>
          <w:lang w:val="nn-NO"/>
        </w:rPr>
        <w:t>NIMs årsmelding for 2017.</w:t>
      </w:r>
    </w:p>
  </w:footnote>
  <w:footnote w:id="35">
    <w:p w14:paraId="032F0528" w14:textId="52E26CCF" w:rsidR="00E244FE" w:rsidRPr="00707F24" w:rsidRDefault="00E244FE" w:rsidP="00707F24">
      <w:pPr>
        <w:pStyle w:val="Fotnotetekst"/>
        <w:spacing w:line="240" w:lineRule="auto"/>
        <w:rPr>
          <w:lang w:val="nn-NO"/>
        </w:rPr>
      </w:pPr>
      <w:r w:rsidRPr="00707F24">
        <w:rPr>
          <w:rStyle w:val="Fotnotereferanse"/>
        </w:rPr>
        <w:footnoteRef/>
      </w:r>
      <w:r w:rsidRPr="00707F24">
        <w:rPr>
          <w:lang w:val="nn-NO"/>
        </w:rPr>
        <w:t xml:space="preserve"> </w:t>
      </w:r>
      <w:r w:rsidRPr="002F1649">
        <w:rPr>
          <w:rFonts w:eastAsia="Calibri"/>
          <w:color w:val="auto"/>
          <w:lang w:val="nn-NO"/>
        </w:rPr>
        <w:t>M.S. v. Croatia (75450/12).</w:t>
      </w:r>
    </w:p>
  </w:footnote>
  <w:footnote w:id="36">
    <w:p w14:paraId="502AE3E7" w14:textId="2621EABA" w:rsidR="00E244FE" w:rsidRPr="00707F24" w:rsidRDefault="00E244FE" w:rsidP="00707F24">
      <w:pPr>
        <w:pStyle w:val="Fotnotetekst"/>
        <w:spacing w:line="240" w:lineRule="auto"/>
        <w:rPr>
          <w:lang w:val="nn-NO"/>
        </w:rPr>
      </w:pPr>
      <w:r w:rsidRPr="00707F24">
        <w:rPr>
          <w:rStyle w:val="Fotnotereferanse"/>
        </w:rPr>
        <w:footnoteRef/>
      </w:r>
      <w:r w:rsidRPr="00707F24">
        <w:rPr>
          <w:lang w:val="nn-NO"/>
        </w:rPr>
        <w:t xml:space="preserve"> </w:t>
      </w:r>
      <w:hyperlink r:id="rId13" w:history="1">
        <w:r w:rsidRPr="00707F24">
          <w:rPr>
            <w:rStyle w:val="Hyperkobling"/>
            <w:lang w:val="nn-NO"/>
          </w:rPr>
          <w:t>https://www.helsetilsynet.no/globalassets/opplastinger/publikasjoner/aarsrapporter/aarsrapport2017.pdf</w:t>
        </w:r>
      </w:hyperlink>
      <w:r w:rsidRPr="00D71F8A">
        <w:rPr>
          <w:rFonts w:eastAsia="Calibri"/>
          <w:color w:val="auto"/>
          <w:lang w:val="nn-NO"/>
        </w:rPr>
        <w:t>, p. 13.</w:t>
      </w:r>
    </w:p>
  </w:footnote>
  <w:footnote w:id="37">
    <w:p w14:paraId="2602B661" w14:textId="5E05ECFF"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proofErr w:type="spellStart"/>
      <w:r w:rsidRPr="00707F24">
        <w:rPr>
          <w:i/>
          <w:color w:val="auto"/>
          <w:lang w:val="nb-NO"/>
        </w:rPr>
        <w:t>ibid</w:t>
      </w:r>
      <w:proofErr w:type="spellEnd"/>
      <w:r w:rsidRPr="00707F24">
        <w:rPr>
          <w:color w:val="auto"/>
          <w:lang w:val="nb-NO"/>
        </w:rPr>
        <w:t>, p. 56.</w:t>
      </w:r>
    </w:p>
  </w:footnote>
  <w:footnote w:id="38">
    <w:p w14:paraId="2716EF3C" w14:textId="341CDF1E"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D71F8A">
        <w:rPr>
          <w:rFonts w:eastAsia="Calibri"/>
          <w:color w:val="auto"/>
          <w:lang w:val="nb-NO"/>
        </w:rPr>
        <w:t>«</w:t>
      </w:r>
      <w:hyperlink r:id="rId14" w:history="1">
        <w:r w:rsidRPr="00D71F8A">
          <w:rPr>
            <w:rStyle w:val="Hyperkobling"/>
            <w:rFonts w:eastAsia="Calibri"/>
            <w:lang w:val="nb-NO"/>
          </w:rPr>
          <w:t>Tvang og makt mot personer med utviklingshemming etter helse- og omsorgstjenesteloven kapittel 9</w:t>
        </w:r>
      </w:hyperlink>
      <w:r w:rsidRPr="00D71F8A">
        <w:rPr>
          <w:rFonts w:eastAsia="Calibri"/>
          <w:color w:val="auto"/>
          <w:lang w:val="nb-NO"/>
        </w:rPr>
        <w:t xml:space="preserve">», </w:t>
      </w:r>
      <w:proofErr w:type="spellStart"/>
      <w:r w:rsidRPr="00D71F8A">
        <w:rPr>
          <w:rFonts w:eastAsia="Calibri"/>
          <w:color w:val="auto"/>
          <w:lang w:val="nb-NO"/>
        </w:rPr>
        <w:t>LDO</w:t>
      </w:r>
      <w:proofErr w:type="spellEnd"/>
      <w:r w:rsidRPr="00D71F8A">
        <w:rPr>
          <w:rFonts w:eastAsia="Calibri"/>
          <w:color w:val="auto"/>
          <w:lang w:val="nb-NO"/>
        </w:rPr>
        <w:t xml:space="preserve"> 2019.</w:t>
      </w:r>
    </w:p>
  </w:footnote>
  <w:footnote w:id="39">
    <w:p w14:paraId="35E486AC" w14:textId="2CDD1ABC" w:rsidR="00E244FE" w:rsidRPr="00707F24" w:rsidRDefault="00E244FE" w:rsidP="00707F24">
      <w:pPr>
        <w:pStyle w:val="Fotnotetekst"/>
        <w:spacing w:line="240" w:lineRule="auto"/>
      </w:pPr>
      <w:r w:rsidRPr="00707F24">
        <w:rPr>
          <w:rStyle w:val="Fotnotereferanse"/>
        </w:rPr>
        <w:footnoteRef/>
      </w:r>
      <w:r w:rsidRPr="00707F24">
        <w:t xml:space="preserve"> </w:t>
      </w:r>
      <w:proofErr w:type="spellStart"/>
      <w:r w:rsidRPr="00707F24">
        <w:rPr>
          <w:color w:val="auto"/>
          <w:lang w:val="en-US"/>
        </w:rPr>
        <w:t>Op.cit</w:t>
      </w:r>
      <w:proofErr w:type="spellEnd"/>
      <w:r w:rsidRPr="00707F24">
        <w:rPr>
          <w:color w:val="auto"/>
          <w:lang w:val="en-US"/>
        </w:rPr>
        <w:t xml:space="preserve">., </w:t>
      </w:r>
      <w:r w:rsidRPr="00D71F8A">
        <w:rPr>
          <w:rFonts w:eastAsia="Calibri"/>
          <w:color w:val="auto"/>
          <w:lang w:val="en-US"/>
        </w:rPr>
        <w:t>p. 56 (table 17).</w:t>
      </w:r>
    </w:p>
  </w:footnote>
  <w:footnote w:id="40">
    <w:p w14:paraId="785B440B" w14:textId="77777777" w:rsidR="00E244FE" w:rsidRPr="00707F24" w:rsidRDefault="00E244FE" w:rsidP="00707F24">
      <w:pPr>
        <w:pStyle w:val="Fotnotetekst"/>
        <w:spacing w:after="0" w:line="240" w:lineRule="auto"/>
        <w:jc w:val="left"/>
        <w:rPr>
          <w:rFonts w:asciiTheme="majorHAnsi" w:hAnsiTheme="majorHAnsi" w:cstheme="majorHAnsi"/>
          <w:lang w:val="en-US"/>
        </w:rPr>
      </w:pPr>
      <w:r w:rsidRPr="00707F24">
        <w:rPr>
          <w:rStyle w:val="Fotnotereferanse"/>
          <w:rFonts w:asciiTheme="majorHAnsi" w:hAnsiTheme="majorHAnsi" w:cstheme="majorHAnsi"/>
        </w:rPr>
        <w:footnoteRef/>
      </w:r>
      <w:r w:rsidRPr="00707F24">
        <w:rPr>
          <w:rFonts w:asciiTheme="majorHAnsi" w:hAnsiTheme="majorHAnsi" w:cstheme="majorHAnsi"/>
        </w:rPr>
        <w:t xml:space="preserve"> </w:t>
      </w:r>
      <w:proofErr w:type="spellStart"/>
      <w:r w:rsidRPr="00707F24">
        <w:rPr>
          <w:rFonts w:asciiTheme="majorHAnsi" w:eastAsia="Calibri" w:hAnsiTheme="majorHAnsi" w:cstheme="majorHAnsi"/>
          <w:color w:val="auto"/>
          <w:lang w:val="en-US"/>
        </w:rPr>
        <w:t>Kjersti</w:t>
      </w:r>
      <w:proofErr w:type="spellEnd"/>
      <w:r w:rsidRPr="00707F24">
        <w:rPr>
          <w:rFonts w:asciiTheme="majorHAnsi" w:eastAsia="Calibri" w:hAnsiTheme="majorHAnsi" w:cstheme="majorHAnsi"/>
          <w:color w:val="auto"/>
          <w:lang w:val="en-US"/>
        </w:rPr>
        <w:t xml:space="preserve"> </w:t>
      </w:r>
      <w:proofErr w:type="spellStart"/>
      <w:r w:rsidRPr="00707F24">
        <w:rPr>
          <w:rFonts w:asciiTheme="majorHAnsi" w:eastAsia="Calibri" w:hAnsiTheme="majorHAnsi" w:cstheme="majorHAnsi"/>
          <w:color w:val="auto"/>
          <w:lang w:val="en-US"/>
        </w:rPr>
        <w:t>Skarstad</w:t>
      </w:r>
      <w:proofErr w:type="spellEnd"/>
      <w:r w:rsidRPr="00707F24">
        <w:rPr>
          <w:rFonts w:asciiTheme="majorHAnsi" w:eastAsia="Calibri" w:hAnsiTheme="majorHAnsi" w:cstheme="majorHAnsi"/>
          <w:color w:val="auto"/>
          <w:lang w:val="en-US"/>
        </w:rPr>
        <w:t xml:space="preserve"> (2018): «Ensuring human rights for persons with intellectual disabilities?”, The International Journal of Human Rights, DOI: 10.1080/13642987.2018.1454903.</w:t>
      </w:r>
    </w:p>
  </w:footnote>
  <w:footnote w:id="41">
    <w:p w14:paraId="1B0F3EF7" w14:textId="32363C3E" w:rsidR="00E244FE" w:rsidRPr="00707F24" w:rsidRDefault="00E244FE" w:rsidP="00707F24">
      <w:pPr>
        <w:pStyle w:val="Fotnotetekst"/>
        <w:spacing w:after="0" w:line="240" w:lineRule="auto"/>
        <w:jc w:val="left"/>
        <w:rPr>
          <w:rFonts w:asciiTheme="majorHAnsi" w:hAnsiTheme="majorHAnsi" w:cstheme="majorHAnsi"/>
          <w:lang w:val="en-US"/>
        </w:rPr>
      </w:pPr>
      <w:r w:rsidRPr="00707F24">
        <w:rPr>
          <w:rStyle w:val="Fotnotereferanse"/>
          <w:rFonts w:asciiTheme="majorHAnsi" w:hAnsiTheme="majorHAnsi" w:cstheme="majorHAnsi"/>
        </w:rPr>
        <w:footnoteRef/>
      </w:r>
      <w:r w:rsidRPr="00707F24">
        <w:rPr>
          <w:rFonts w:asciiTheme="majorHAnsi" w:hAnsiTheme="majorHAnsi" w:cstheme="majorHAnsi"/>
          <w:lang w:val="en-US"/>
        </w:rPr>
        <w:t xml:space="preserve"> </w:t>
      </w:r>
      <w:r w:rsidRPr="00707F24">
        <w:rPr>
          <w:rFonts w:asciiTheme="majorHAnsi" w:eastAsia="Calibri" w:hAnsiTheme="majorHAnsi" w:cstheme="majorHAnsi"/>
          <w:color w:val="auto"/>
          <w:lang w:val="en-US"/>
        </w:rPr>
        <w:t xml:space="preserve">Cf. Norway’s replies to CRPD List of Issues, </w:t>
      </w:r>
      <w:proofErr w:type="spellStart"/>
      <w:r w:rsidRPr="00707F24">
        <w:rPr>
          <w:rFonts w:asciiTheme="majorHAnsi" w:eastAsia="Calibri" w:hAnsiTheme="majorHAnsi" w:cstheme="majorHAnsi"/>
          <w:color w:val="auto"/>
          <w:lang w:val="en-US"/>
        </w:rPr>
        <w:t>CRPD</w:t>
      </w:r>
      <w:proofErr w:type="spellEnd"/>
      <w:r w:rsidRPr="00707F24">
        <w:rPr>
          <w:rFonts w:asciiTheme="majorHAnsi" w:eastAsia="Calibri" w:hAnsiTheme="majorHAnsi" w:cstheme="majorHAnsi"/>
          <w:color w:val="auto"/>
          <w:lang w:val="en-US"/>
        </w:rPr>
        <w:t>/C/NOR/Q/1/Add.1.</w:t>
      </w:r>
    </w:p>
  </w:footnote>
  <w:footnote w:id="42">
    <w:p w14:paraId="32EF5256" w14:textId="77777777" w:rsidR="00E244FE" w:rsidRPr="00707F24" w:rsidRDefault="00E244FE" w:rsidP="00707F24">
      <w:pPr>
        <w:pStyle w:val="Fotnotetekst"/>
        <w:spacing w:line="240" w:lineRule="auto"/>
        <w:rPr>
          <w:rFonts w:asciiTheme="majorHAnsi" w:hAnsiTheme="majorHAnsi" w:cstheme="majorHAnsi"/>
          <w:lang w:val="nb-NO"/>
        </w:rPr>
      </w:pPr>
      <w:r w:rsidRPr="00707F24">
        <w:rPr>
          <w:rStyle w:val="Fotnotereferanse"/>
          <w:rFonts w:asciiTheme="majorHAnsi" w:hAnsiTheme="majorHAnsi" w:cstheme="majorHAnsi"/>
        </w:rPr>
        <w:footnoteRef/>
      </w:r>
      <w:r w:rsidRPr="00707F24">
        <w:rPr>
          <w:rFonts w:asciiTheme="majorHAnsi" w:hAnsiTheme="majorHAnsi" w:cstheme="majorHAnsi"/>
          <w:lang w:val="nb-NO"/>
        </w:rPr>
        <w:t xml:space="preserve"> </w:t>
      </w:r>
      <w:r w:rsidRPr="00707F24">
        <w:rPr>
          <w:rFonts w:asciiTheme="majorHAnsi" w:eastAsia="Calibri" w:hAnsiTheme="majorHAnsi" w:cstheme="majorHAnsi"/>
          <w:color w:val="auto"/>
          <w:lang w:val="nb-NO"/>
        </w:rPr>
        <w:t xml:space="preserve">“Eldres menneskerettigheter: syv utfordringer”, </w:t>
      </w:r>
      <w:proofErr w:type="spellStart"/>
      <w:r w:rsidRPr="00707F24">
        <w:rPr>
          <w:rFonts w:asciiTheme="majorHAnsi" w:eastAsia="Calibri" w:hAnsiTheme="majorHAnsi" w:cstheme="majorHAnsi"/>
          <w:color w:val="auto"/>
          <w:lang w:val="nb-NO"/>
        </w:rPr>
        <w:t>NIM</w:t>
      </w:r>
      <w:proofErr w:type="spellEnd"/>
      <w:r w:rsidRPr="00707F24">
        <w:rPr>
          <w:rFonts w:asciiTheme="majorHAnsi" w:eastAsia="Calibri" w:hAnsiTheme="majorHAnsi" w:cstheme="majorHAnsi"/>
          <w:color w:val="auto"/>
          <w:lang w:val="nb-NO"/>
        </w:rPr>
        <w:t>, temarapport 2019.</w:t>
      </w:r>
    </w:p>
  </w:footnote>
  <w:footnote w:id="43">
    <w:p w14:paraId="22368775" w14:textId="77777777" w:rsidR="00E244FE" w:rsidRPr="00707F24" w:rsidRDefault="00E244FE" w:rsidP="00707F24">
      <w:pPr>
        <w:pStyle w:val="Fotnotetekst"/>
        <w:spacing w:after="0" w:line="240" w:lineRule="auto"/>
        <w:jc w:val="left"/>
        <w:rPr>
          <w:rFonts w:asciiTheme="majorHAnsi" w:hAnsiTheme="majorHAnsi" w:cstheme="majorHAnsi"/>
          <w:lang w:val="nb-NO"/>
        </w:rPr>
      </w:pPr>
      <w:r w:rsidRPr="00707F24">
        <w:rPr>
          <w:rStyle w:val="Fotnotereferanse"/>
          <w:rFonts w:asciiTheme="majorHAnsi" w:hAnsiTheme="majorHAnsi" w:cstheme="majorHAnsi"/>
        </w:rPr>
        <w:footnoteRef/>
      </w:r>
      <w:r w:rsidRPr="00707F24">
        <w:rPr>
          <w:rFonts w:asciiTheme="majorHAnsi" w:hAnsiTheme="majorHAnsi" w:cstheme="majorHAnsi"/>
          <w:lang w:val="nb-NO"/>
        </w:rPr>
        <w:t xml:space="preserve"> </w:t>
      </w:r>
      <w:r w:rsidRPr="00707F24">
        <w:rPr>
          <w:rFonts w:asciiTheme="majorHAnsi" w:eastAsia="Calibri" w:hAnsiTheme="majorHAnsi" w:cstheme="majorHAnsi"/>
          <w:color w:val="auto"/>
          <w:lang w:val="nb-NO"/>
        </w:rPr>
        <w:t>«Menneskerettigheter i norske sykehjem», tidligere nasjonal institusjon, temarapport 2014.</w:t>
      </w:r>
    </w:p>
  </w:footnote>
  <w:footnote w:id="44">
    <w:p w14:paraId="20F761A8" w14:textId="77777777" w:rsidR="00E244FE" w:rsidRPr="00707F24" w:rsidRDefault="00E244FE" w:rsidP="00707F24">
      <w:pPr>
        <w:pStyle w:val="Fotnotetekst"/>
        <w:spacing w:line="240" w:lineRule="auto"/>
      </w:pPr>
      <w:r w:rsidRPr="00707F24">
        <w:rPr>
          <w:rStyle w:val="Fotnotereferanse"/>
          <w:rFonts w:asciiTheme="majorHAnsi" w:hAnsiTheme="majorHAnsi" w:cstheme="majorHAnsi"/>
        </w:rPr>
        <w:footnoteRef/>
      </w:r>
      <w:r w:rsidRPr="00707F24">
        <w:rPr>
          <w:rFonts w:asciiTheme="majorHAnsi" w:hAnsiTheme="majorHAnsi" w:cstheme="majorHAnsi"/>
        </w:rPr>
        <w:t xml:space="preserve"> </w:t>
      </w:r>
      <w:r w:rsidRPr="00707F24">
        <w:rPr>
          <w:rFonts w:asciiTheme="minorHAnsi" w:eastAsia="Calibri" w:hAnsiTheme="minorHAnsi" w:cstheme="minorHAnsi"/>
          <w:color w:val="auto"/>
          <w:lang w:val="en-US"/>
        </w:rPr>
        <w:t>“Summary of National Supervision in 2011 and 2012 with Compulsory Health Assistance for Patients in Nursing Homes" from April 2013.</w:t>
      </w:r>
    </w:p>
  </w:footnote>
  <w:footnote w:id="45">
    <w:p w14:paraId="4D6A2ED1" w14:textId="77777777" w:rsidR="00E244FE" w:rsidRPr="00707F24" w:rsidRDefault="00E244FE" w:rsidP="00707F24">
      <w:pPr>
        <w:pStyle w:val="Fotnotetekst"/>
        <w:spacing w:line="240" w:lineRule="auto"/>
        <w:rPr>
          <w:lang w:val="en-US"/>
        </w:rPr>
      </w:pPr>
      <w:r w:rsidRPr="00707F24">
        <w:rPr>
          <w:rStyle w:val="Fotnotereferanse"/>
        </w:rPr>
        <w:footnoteRef/>
      </w:r>
      <w:r w:rsidRPr="00707F24">
        <w:t xml:space="preserve"> </w:t>
      </w:r>
      <w:r w:rsidRPr="002F1649">
        <w:rPr>
          <w:rFonts w:eastAsia="Calibri"/>
          <w:color w:val="auto"/>
          <w:lang w:val="en-US"/>
        </w:rPr>
        <w:t>“Human Rights Situation of residents in nursing homes», B. Otnes, Statistics Norway, Document 2018/28.</w:t>
      </w:r>
    </w:p>
  </w:footnote>
  <w:footnote w:id="46">
    <w:p w14:paraId="7D92D805" w14:textId="049132BB"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Meld. St. 15 Leve hele livet (2017-2018) kapittel 6</w:t>
      </w:r>
      <w:r>
        <w:rPr>
          <w:rFonts w:eastAsia="Calibri"/>
          <w:color w:val="auto"/>
          <w:lang w:val="nb-NO"/>
        </w:rPr>
        <w:t>.</w:t>
      </w:r>
    </w:p>
  </w:footnote>
  <w:footnote w:id="47">
    <w:p w14:paraId="244FBDFB" w14:textId="5153F1A5" w:rsidR="00E244FE" w:rsidRPr="00707F24" w:rsidRDefault="00E244FE" w:rsidP="00707F24">
      <w:pPr>
        <w:pStyle w:val="Fotnotetekst"/>
        <w:spacing w:line="240" w:lineRule="auto"/>
      </w:pPr>
      <w:r w:rsidRPr="00707F24">
        <w:rPr>
          <w:rStyle w:val="Fotnotereferanse"/>
        </w:rPr>
        <w:footnoteRef/>
      </w:r>
      <w:r w:rsidRPr="00707F24">
        <w:t xml:space="preserve"> </w:t>
      </w:r>
      <w:r w:rsidRPr="002F1649">
        <w:rPr>
          <w:rFonts w:eastAsia="Calibri"/>
          <w:color w:val="auto"/>
        </w:rPr>
        <w:t xml:space="preserve">“Inappropriate Medication Use in the Elderly – A Modern Epidemic”, </w:t>
      </w:r>
      <w:proofErr w:type="spellStart"/>
      <w:r w:rsidRPr="002F1649">
        <w:rPr>
          <w:rFonts w:eastAsia="Calibri"/>
          <w:color w:val="auto"/>
        </w:rPr>
        <w:t>Gunhild</w:t>
      </w:r>
      <w:proofErr w:type="spellEnd"/>
      <w:r w:rsidRPr="002F1649">
        <w:rPr>
          <w:rFonts w:eastAsia="Calibri"/>
          <w:color w:val="auto"/>
        </w:rPr>
        <w:t xml:space="preserve"> </w:t>
      </w:r>
      <w:proofErr w:type="spellStart"/>
      <w:r w:rsidRPr="002F1649">
        <w:rPr>
          <w:rFonts w:eastAsia="Calibri"/>
          <w:color w:val="auto"/>
        </w:rPr>
        <w:t>Alvik</w:t>
      </w:r>
      <w:proofErr w:type="spellEnd"/>
      <w:r w:rsidRPr="002F1649">
        <w:rPr>
          <w:rFonts w:eastAsia="Calibri"/>
          <w:color w:val="auto"/>
        </w:rPr>
        <w:t xml:space="preserve"> </w:t>
      </w:r>
      <w:proofErr w:type="spellStart"/>
      <w:r w:rsidRPr="002F1649">
        <w:rPr>
          <w:rFonts w:eastAsia="Calibri"/>
          <w:color w:val="auto"/>
        </w:rPr>
        <w:t>Nyborg</w:t>
      </w:r>
      <w:proofErr w:type="spellEnd"/>
      <w:r w:rsidRPr="002F1649">
        <w:rPr>
          <w:rFonts w:eastAsia="Calibri"/>
          <w:color w:val="auto"/>
        </w:rPr>
        <w:t xml:space="preserve">, </w:t>
      </w:r>
      <w:proofErr w:type="spellStart"/>
      <w:r w:rsidRPr="002F1649">
        <w:rPr>
          <w:rFonts w:eastAsia="Calibri"/>
          <w:color w:val="auto"/>
        </w:rPr>
        <w:t>UiO</w:t>
      </w:r>
      <w:proofErr w:type="spellEnd"/>
      <w:r>
        <w:rPr>
          <w:rFonts w:eastAsia="Calibri"/>
          <w:color w:val="auto"/>
        </w:rPr>
        <w:t>.</w:t>
      </w:r>
    </w:p>
  </w:footnote>
  <w:footnote w:id="48">
    <w:p w14:paraId="22380A12" w14:textId="12331253" w:rsidR="00E244FE" w:rsidRPr="00707F24" w:rsidRDefault="00E244FE" w:rsidP="00707F24">
      <w:pPr>
        <w:pStyle w:val="Fotnotetekst"/>
        <w:spacing w:after="0" w:line="240" w:lineRule="auto"/>
        <w:jc w:val="left"/>
      </w:pPr>
      <w:r w:rsidRPr="00707F24">
        <w:rPr>
          <w:rStyle w:val="Fotnotereferanse"/>
        </w:rPr>
        <w:footnoteRef/>
      </w:r>
      <w:r w:rsidRPr="00707F24">
        <w:rPr>
          <w:lang w:val="en-US"/>
        </w:rPr>
        <w:t xml:space="preserve"> </w:t>
      </w:r>
      <w:r w:rsidRPr="00E43A96">
        <w:rPr>
          <w:rFonts w:eastAsia="Calibri"/>
          <w:color w:val="auto"/>
        </w:rPr>
        <w:t>Potentially inappropriate prescribing to older patients: criteria, prevalence, and an intervention to reduce it The Prescription Peer Academic Detailing (Rx-PAD) study – A cluster-randomized educational intervention in Norwegian general practice, Sture André Rognstad, UiO.</w:t>
      </w:r>
    </w:p>
  </w:footnote>
  <w:footnote w:id="49">
    <w:p w14:paraId="5AE71DBE" w14:textId="77777777" w:rsidR="00E244FE" w:rsidRPr="00707F24" w:rsidRDefault="00E244FE" w:rsidP="00707F24">
      <w:pPr>
        <w:pStyle w:val="Fotnotetekst"/>
        <w:spacing w:after="0" w:line="240" w:lineRule="auto"/>
        <w:jc w:val="left"/>
        <w:rPr>
          <w:lang w:val="nb-NO"/>
        </w:rPr>
      </w:pPr>
      <w:r w:rsidRPr="00707F24">
        <w:rPr>
          <w:rStyle w:val="Fotnotereferanse"/>
        </w:rPr>
        <w:footnoteRef/>
      </w:r>
      <w:r w:rsidRPr="00707F24">
        <w:rPr>
          <w:lang w:val="nb-NO"/>
        </w:rPr>
        <w:t xml:space="preserve"> </w:t>
      </w:r>
      <w:r w:rsidRPr="002F1649">
        <w:rPr>
          <w:rFonts w:eastAsia="Calibri"/>
          <w:color w:val="auto"/>
          <w:lang w:val="nb-NO"/>
        </w:rPr>
        <w:t>“Oppfølging av innsatte med psykiske lidelser og/eller rusmiddelproblemer», Helsedirektoratet og Kriminalomsorgsdirektoratet 2016.</w:t>
      </w:r>
    </w:p>
  </w:footnote>
  <w:footnote w:id="50">
    <w:p w14:paraId="6F6CED9E"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«Besøksrapport Ila fengsel og forvaringsanstalt 6.-9.mars 2017», Forebyggingsenheten.</w:t>
      </w:r>
    </w:p>
  </w:footnote>
  <w:footnote w:id="51">
    <w:p w14:paraId="40E4C04F" w14:textId="77777777"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«Tiltaksplan for forebygging av isolasjon i kriminalomsorgen», KDI, mai 2019</w:t>
      </w:r>
    </w:p>
  </w:footnote>
  <w:footnote w:id="52">
    <w:p w14:paraId="22B25E8F" w14:textId="5EBEAC9E" w:rsidR="00E244FE" w:rsidRPr="00707F24" w:rsidRDefault="00E244FE" w:rsidP="00707F24">
      <w:pPr>
        <w:pStyle w:val="Fotnotetekst"/>
        <w:spacing w:line="240" w:lineRule="auto"/>
        <w:rPr>
          <w:lang w:val="nb-NO"/>
        </w:rPr>
      </w:pPr>
      <w:r w:rsidRPr="00707F24">
        <w:rPr>
          <w:rStyle w:val="Fotnotereferanse"/>
        </w:rPr>
        <w:footnoteRef/>
      </w:r>
      <w:r w:rsidRPr="00707F24">
        <w:rPr>
          <w:lang w:val="nb-NO"/>
        </w:rPr>
        <w:t xml:space="preserve"> </w:t>
      </w:r>
      <w:r w:rsidRPr="002F1649">
        <w:rPr>
          <w:rFonts w:eastAsia="Calibri"/>
          <w:color w:val="auto"/>
          <w:lang w:val="nb-NO"/>
        </w:rPr>
        <w:t xml:space="preserve">«Reduksjon av isolasjon i kriminalomsorgen Gjennomføringsplan for strakstiltak i 2019», </w:t>
      </w:r>
      <w:proofErr w:type="spellStart"/>
      <w:r w:rsidRPr="002F1649">
        <w:rPr>
          <w:rFonts w:eastAsia="Calibri"/>
          <w:color w:val="auto"/>
          <w:lang w:val="nb-NO"/>
        </w:rPr>
        <w:t>KDI</w:t>
      </w:r>
      <w:proofErr w:type="spellEnd"/>
      <w:r w:rsidRPr="002F1649">
        <w:rPr>
          <w:rFonts w:eastAsia="Calibri"/>
          <w:color w:val="auto"/>
          <w:lang w:val="nb-NO"/>
        </w:rPr>
        <w:t>, 3. desember 2019</w:t>
      </w:r>
    </w:p>
  </w:footnote>
  <w:footnote w:id="53">
    <w:p w14:paraId="128490AB" w14:textId="77777777" w:rsidR="00E244FE" w:rsidRPr="00707F24" w:rsidRDefault="00E244FE" w:rsidP="00707F24">
      <w:pPr>
        <w:pStyle w:val="Fotnotetekst"/>
        <w:spacing w:line="240" w:lineRule="auto"/>
      </w:pPr>
      <w:r w:rsidRPr="00707F24">
        <w:rPr>
          <w:rStyle w:val="Fotnotereferanse"/>
        </w:rPr>
        <w:footnoteRef/>
      </w:r>
      <w:r w:rsidRPr="00707F24">
        <w:t xml:space="preserve"> </w:t>
      </w:r>
      <w:r w:rsidRPr="002F1649">
        <w:rPr>
          <w:color w:val="auto"/>
          <w:lang w:val="en-US"/>
        </w:rPr>
        <w:t>Terms of reference for government-appointed expert committee on drug policy reform, 23 March 2018.</w:t>
      </w:r>
    </w:p>
  </w:footnote>
  <w:footnote w:id="54">
    <w:p w14:paraId="02AEB37C" w14:textId="77777777" w:rsidR="00E244FE" w:rsidRPr="00707F24" w:rsidRDefault="00E244FE" w:rsidP="00707F24">
      <w:pPr>
        <w:pStyle w:val="Fotnotetekst"/>
        <w:spacing w:line="240" w:lineRule="auto"/>
        <w:rPr>
          <w:lang w:val="en-US"/>
        </w:rPr>
      </w:pPr>
      <w:r w:rsidRPr="00707F24">
        <w:rPr>
          <w:rStyle w:val="Fotnotereferanse"/>
        </w:rPr>
        <w:footnoteRef/>
      </w:r>
      <w:r w:rsidRPr="00707F24">
        <w:t xml:space="preserve"> </w:t>
      </w:r>
      <w:r w:rsidRPr="002F1649">
        <w:rPr>
          <w:color w:val="auto"/>
          <w:lang w:val="en-US"/>
        </w:rPr>
        <w:t xml:space="preserve">See </w:t>
      </w:r>
      <w:proofErr w:type="spellStart"/>
      <w:r w:rsidRPr="002F1649">
        <w:rPr>
          <w:i/>
          <w:color w:val="auto"/>
          <w:lang w:val="en-US"/>
        </w:rPr>
        <w:t>NOU</w:t>
      </w:r>
      <w:proofErr w:type="spellEnd"/>
      <w:r w:rsidRPr="002F1649">
        <w:rPr>
          <w:i/>
          <w:color w:val="auto"/>
          <w:lang w:val="en-US"/>
        </w:rPr>
        <w:t xml:space="preserve"> 2019: 26 </w:t>
      </w:r>
      <w:proofErr w:type="spellStart"/>
      <w:r w:rsidRPr="002F1649">
        <w:rPr>
          <w:i/>
          <w:color w:val="auto"/>
          <w:lang w:val="en-US"/>
        </w:rPr>
        <w:t>Rusreform</w:t>
      </w:r>
      <w:proofErr w:type="spellEnd"/>
      <w:r w:rsidRPr="002F1649">
        <w:rPr>
          <w:i/>
          <w:color w:val="auto"/>
          <w:lang w:val="en-US"/>
        </w:rPr>
        <w:t xml:space="preserve"> – </w:t>
      </w:r>
      <w:proofErr w:type="spellStart"/>
      <w:r w:rsidRPr="002F1649">
        <w:rPr>
          <w:i/>
          <w:color w:val="auto"/>
          <w:lang w:val="en-US"/>
        </w:rPr>
        <w:t>fra</w:t>
      </w:r>
      <w:proofErr w:type="spellEnd"/>
      <w:r w:rsidRPr="002F1649">
        <w:rPr>
          <w:i/>
          <w:color w:val="auto"/>
          <w:lang w:val="en-US"/>
        </w:rPr>
        <w:t xml:space="preserve"> </w:t>
      </w:r>
      <w:proofErr w:type="spellStart"/>
      <w:r w:rsidRPr="002F1649">
        <w:rPr>
          <w:i/>
          <w:color w:val="auto"/>
          <w:lang w:val="en-US"/>
        </w:rPr>
        <w:t>straff</w:t>
      </w:r>
      <w:proofErr w:type="spellEnd"/>
      <w:r w:rsidRPr="002F1649">
        <w:rPr>
          <w:i/>
          <w:color w:val="auto"/>
          <w:lang w:val="en-US"/>
        </w:rPr>
        <w:t xml:space="preserve"> </w:t>
      </w:r>
      <w:proofErr w:type="spellStart"/>
      <w:r w:rsidRPr="002F1649">
        <w:rPr>
          <w:i/>
          <w:color w:val="auto"/>
          <w:lang w:val="en-US"/>
        </w:rPr>
        <w:t>til</w:t>
      </w:r>
      <w:proofErr w:type="spellEnd"/>
      <w:r w:rsidRPr="002F1649">
        <w:rPr>
          <w:i/>
          <w:color w:val="auto"/>
          <w:lang w:val="en-US"/>
        </w:rPr>
        <w:t xml:space="preserve"> </w:t>
      </w:r>
      <w:proofErr w:type="spellStart"/>
      <w:r w:rsidRPr="002F1649">
        <w:rPr>
          <w:i/>
          <w:color w:val="auto"/>
          <w:lang w:val="en-US"/>
        </w:rPr>
        <w:t>hjelp</w:t>
      </w:r>
      <w:proofErr w:type="spellEnd"/>
      <w:r w:rsidRPr="002F1649">
        <w:rPr>
          <w:color w:val="auto"/>
          <w:lang w:val="en-US"/>
        </w:rPr>
        <w:t xml:space="preserve"> [the report of the committee], chapter 12.3.2.2. The committee’s report refers to, </w:t>
      </w:r>
      <w:r w:rsidRPr="002F1649">
        <w:rPr>
          <w:i/>
          <w:color w:val="auto"/>
          <w:lang w:val="en-US"/>
        </w:rPr>
        <w:t>inter alia</w:t>
      </w:r>
      <w:r w:rsidRPr="002F1649">
        <w:rPr>
          <w:color w:val="auto"/>
          <w:lang w:val="en-US"/>
        </w:rPr>
        <w:t xml:space="preserve">, Benfer et al., “The impact of drug policy </w:t>
      </w:r>
      <w:proofErr w:type="spellStart"/>
      <w:r w:rsidRPr="002F1649">
        <w:rPr>
          <w:color w:val="auto"/>
          <w:lang w:val="en-US"/>
        </w:rPr>
        <w:t>liberalisation</w:t>
      </w:r>
      <w:proofErr w:type="spellEnd"/>
      <w:r w:rsidRPr="002F1649">
        <w:rPr>
          <w:color w:val="auto"/>
          <w:lang w:val="en-US"/>
        </w:rPr>
        <w:t xml:space="preserve"> on willingness to seek help for problem drug use: A comparison of 20 countries”, </w:t>
      </w:r>
      <w:r w:rsidRPr="002F1649">
        <w:rPr>
          <w:i/>
          <w:color w:val="auto"/>
          <w:lang w:val="en-US"/>
        </w:rPr>
        <w:t xml:space="preserve">International Journal of Drug Policy </w:t>
      </w:r>
      <w:r w:rsidRPr="002F1649">
        <w:rPr>
          <w:color w:val="auto"/>
          <w:lang w:val="en-US"/>
        </w:rPr>
        <w:t xml:space="preserve">vol. 56 (2018) pp. 162–175; and </w:t>
      </w:r>
      <w:proofErr w:type="spellStart"/>
      <w:r w:rsidRPr="002F1649">
        <w:rPr>
          <w:color w:val="auto"/>
          <w:lang w:val="en-US"/>
        </w:rPr>
        <w:t>Soussan</w:t>
      </w:r>
      <w:proofErr w:type="spellEnd"/>
      <w:r w:rsidRPr="002F1649">
        <w:rPr>
          <w:color w:val="auto"/>
          <w:lang w:val="en-US"/>
        </w:rPr>
        <w:t xml:space="preserve"> and </w:t>
      </w:r>
      <w:proofErr w:type="spellStart"/>
      <w:r w:rsidRPr="002F1649">
        <w:rPr>
          <w:color w:val="auto"/>
          <w:lang w:val="en-US"/>
        </w:rPr>
        <w:t>Kjellgren</w:t>
      </w:r>
      <w:proofErr w:type="spellEnd"/>
      <w:r w:rsidRPr="002F1649">
        <w:rPr>
          <w:color w:val="auto"/>
          <w:lang w:val="en-US"/>
        </w:rPr>
        <w:t xml:space="preserve">, “Alarming attitudinal barriers to help-seeking in drug-related emergency situations: Results from a Swedish online survey”, </w:t>
      </w:r>
      <w:r w:rsidRPr="002F1649">
        <w:rPr>
          <w:i/>
          <w:color w:val="auto"/>
          <w:lang w:val="en-US"/>
        </w:rPr>
        <w:t>Nordic Studies on Alcohol and Drugs</w:t>
      </w:r>
      <w:r w:rsidRPr="002F1649">
        <w:rPr>
          <w:color w:val="auto"/>
          <w:lang w:val="en-US"/>
        </w:rPr>
        <w:t xml:space="preserve"> vol. 36 no. 6 (2019) pp. 532–541.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CA9D5" w14:textId="77777777" w:rsidR="00E244FE" w:rsidRDefault="00E244FE" w:rsidP="00707F24">
    <w:pPr>
      <w:pStyle w:val="Topptekst"/>
    </w:pPr>
    <w:r>
      <w:rPr>
        <w:noProof/>
        <w:lang w:eastAsia="en-GB"/>
      </w:rPr>
      <w:pict w14:anchorId="462D4D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NIM-brevmal" style="position:absolute;left:0;text-align:left;margin-left:0;margin-top:0;width:453pt;height:640.65pt;z-index:-251658240;mso-wrap-edited:f;mso-width-percent:0;mso-height-percent:0;mso-position-horizontal:center;mso-position-horizontal-relative:margin;mso-position-vertical:center;mso-position-vertical-relative:margin;mso-width-percent:0;mso-height-percent:0"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04569" w14:textId="77777777" w:rsidR="00E244FE" w:rsidRDefault="00E244FE" w:rsidP="00F53676">
    <w:pPr>
      <w:pStyle w:val="Topptekst"/>
    </w:pPr>
    <w:r>
      <w:rPr>
        <w:noProof/>
      </w:rPr>
      <w:drawing>
        <wp:anchor distT="0" distB="0" distL="114300" distR="114300" simplePos="0" relativeHeight="251657216" behindDoc="0" locked="0" layoutInCell="1" allowOverlap="1" wp14:anchorId="49858586" wp14:editId="22602F69">
          <wp:simplePos x="0" y="0"/>
          <wp:positionH relativeFrom="margin">
            <wp:posOffset>-838200</wp:posOffset>
          </wp:positionH>
          <wp:positionV relativeFrom="paragraph">
            <wp:posOffset>321310</wp:posOffset>
          </wp:positionV>
          <wp:extent cx="2241303" cy="371475"/>
          <wp:effectExtent l="0" t="0" r="6985" b="0"/>
          <wp:wrapSquare wrapText="bothSides"/>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mlogoNY_transpar.png"/>
                  <pic:cNvPicPr/>
                </pic:nvPicPr>
                <pic:blipFill>
                  <a:blip r:embed="rId1"/>
                  <a:stretch>
                    <a:fillRect/>
                  </a:stretch>
                </pic:blipFill>
                <pic:spPr>
                  <a:xfrm>
                    <a:off x="0" y="0"/>
                    <a:ext cx="2241303" cy="3714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182A91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046D8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51766AD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A2430B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E6C1F8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BC828D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F14DAF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D86220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DE866A6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EE0EB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0D1D1E"/>
    <w:multiLevelType w:val="hybridMultilevel"/>
    <w:tmpl w:val="9F30A014"/>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77A5BB5"/>
    <w:multiLevelType w:val="hybridMultilevel"/>
    <w:tmpl w:val="3196B40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15:restartNumberingAfterBreak="0">
    <w:nsid w:val="19E05320"/>
    <w:multiLevelType w:val="multilevel"/>
    <w:tmpl w:val="61BE16D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E195311"/>
    <w:multiLevelType w:val="hybridMultilevel"/>
    <w:tmpl w:val="1A963F72"/>
    <w:lvl w:ilvl="0" w:tplc="738673C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D4152B"/>
    <w:multiLevelType w:val="hybridMultilevel"/>
    <w:tmpl w:val="681A48A0"/>
    <w:lvl w:ilvl="0" w:tplc="5B38E914">
      <w:start w:val="3"/>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8" w15:restartNumberingAfterBreak="0">
    <w:nsid w:val="282F584D"/>
    <w:multiLevelType w:val="hybridMultilevel"/>
    <w:tmpl w:val="4C56F53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29D624BE"/>
    <w:multiLevelType w:val="hybridMultilevel"/>
    <w:tmpl w:val="57CA5860"/>
    <w:lvl w:ilvl="0" w:tplc="11E0FFB4">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2CBC6E5A"/>
    <w:multiLevelType w:val="hybridMultilevel"/>
    <w:tmpl w:val="638EB748"/>
    <w:lvl w:ilvl="0" w:tplc="9146A682">
      <w:numFmt w:val="bullet"/>
      <w:lvlText w:val="-"/>
      <w:lvlJc w:val="left"/>
      <w:pPr>
        <w:ind w:left="405" w:hanging="360"/>
      </w:pPr>
      <w:rPr>
        <w:rFonts w:ascii="Calibri" w:eastAsiaTheme="minorHAnsi" w:hAnsi="Calibri" w:cs="Calibri"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abstractNum w:abstractNumId="21" w15:restartNumberingAfterBreak="0">
    <w:nsid w:val="2E7D289D"/>
    <w:multiLevelType w:val="hybridMultilevel"/>
    <w:tmpl w:val="9926E19E"/>
    <w:lvl w:ilvl="0" w:tplc="5E6CD748">
      <w:start w:val="7"/>
      <w:numFmt w:val="lowerLetter"/>
      <w:lvlText w:val="%1)"/>
      <w:lvlJc w:val="left"/>
      <w:pPr>
        <w:ind w:left="144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2" w15:restartNumberingAfterBreak="0">
    <w:nsid w:val="2F865C7A"/>
    <w:multiLevelType w:val="hybridMultilevel"/>
    <w:tmpl w:val="AA68E844"/>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30A90F1F"/>
    <w:multiLevelType w:val="hybridMultilevel"/>
    <w:tmpl w:val="8738F24E"/>
    <w:lvl w:ilvl="0" w:tplc="04140017">
      <w:start w:val="1"/>
      <w:numFmt w:val="lowerLetter"/>
      <w:lvlText w:val="%1)"/>
      <w:lvlJc w:val="left"/>
      <w:pPr>
        <w:ind w:left="1440" w:hanging="360"/>
      </w:pPr>
    </w:lvl>
    <w:lvl w:ilvl="1" w:tplc="04140019" w:tentative="1">
      <w:start w:val="1"/>
      <w:numFmt w:val="lowerLetter"/>
      <w:lvlText w:val="%2."/>
      <w:lvlJc w:val="left"/>
      <w:pPr>
        <w:ind w:left="2160" w:hanging="360"/>
      </w:pPr>
    </w:lvl>
    <w:lvl w:ilvl="2" w:tplc="0414001B" w:tentative="1">
      <w:start w:val="1"/>
      <w:numFmt w:val="lowerRoman"/>
      <w:lvlText w:val="%3."/>
      <w:lvlJc w:val="right"/>
      <w:pPr>
        <w:ind w:left="2880" w:hanging="180"/>
      </w:pPr>
    </w:lvl>
    <w:lvl w:ilvl="3" w:tplc="0414000F" w:tentative="1">
      <w:start w:val="1"/>
      <w:numFmt w:val="decimal"/>
      <w:lvlText w:val="%4."/>
      <w:lvlJc w:val="left"/>
      <w:pPr>
        <w:ind w:left="3600" w:hanging="360"/>
      </w:pPr>
    </w:lvl>
    <w:lvl w:ilvl="4" w:tplc="04140019" w:tentative="1">
      <w:start w:val="1"/>
      <w:numFmt w:val="lowerLetter"/>
      <w:lvlText w:val="%5."/>
      <w:lvlJc w:val="left"/>
      <w:pPr>
        <w:ind w:left="4320" w:hanging="360"/>
      </w:pPr>
    </w:lvl>
    <w:lvl w:ilvl="5" w:tplc="0414001B" w:tentative="1">
      <w:start w:val="1"/>
      <w:numFmt w:val="lowerRoman"/>
      <w:lvlText w:val="%6."/>
      <w:lvlJc w:val="right"/>
      <w:pPr>
        <w:ind w:left="5040" w:hanging="180"/>
      </w:pPr>
    </w:lvl>
    <w:lvl w:ilvl="6" w:tplc="0414000F" w:tentative="1">
      <w:start w:val="1"/>
      <w:numFmt w:val="decimal"/>
      <w:lvlText w:val="%7."/>
      <w:lvlJc w:val="left"/>
      <w:pPr>
        <w:ind w:left="5760" w:hanging="360"/>
      </w:pPr>
    </w:lvl>
    <w:lvl w:ilvl="7" w:tplc="04140019" w:tentative="1">
      <w:start w:val="1"/>
      <w:numFmt w:val="lowerLetter"/>
      <w:lvlText w:val="%8."/>
      <w:lvlJc w:val="left"/>
      <w:pPr>
        <w:ind w:left="6480" w:hanging="360"/>
      </w:pPr>
    </w:lvl>
    <w:lvl w:ilvl="8" w:tplc="0414001B" w:tentative="1">
      <w:start w:val="1"/>
      <w:numFmt w:val="lowerRoman"/>
      <w:lvlText w:val="%9."/>
      <w:lvlJc w:val="right"/>
      <w:pPr>
        <w:ind w:left="7200" w:hanging="180"/>
      </w:pPr>
    </w:lvl>
  </w:abstractNum>
  <w:abstractNum w:abstractNumId="24"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E796155"/>
    <w:multiLevelType w:val="hybridMultilevel"/>
    <w:tmpl w:val="7480EAF4"/>
    <w:lvl w:ilvl="0" w:tplc="5B38E914">
      <w:start w:val="3"/>
      <w:numFmt w:val="bullet"/>
      <w:lvlText w:val="-"/>
      <w:lvlJc w:val="left"/>
      <w:pPr>
        <w:ind w:left="720" w:hanging="360"/>
      </w:pPr>
      <w:rPr>
        <w:rFonts w:ascii="Georgia" w:eastAsia="Calibri" w:hAnsi="Georgi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1330C06"/>
    <w:multiLevelType w:val="hybridMultilevel"/>
    <w:tmpl w:val="EDB26060"/>
    <w:lvl w:ilvl="0" w:tplc="B2224914">
      <w:numFmt w:val="bullet"/>
      <w:lvlText w:val="-"/>
      <w:lvlJc w:val="left"/>
      <w:pPr>
        <w:ind w:left="720" w:hanging="360"/>
      </w:pPr>
      <w:rPr>
        <w:rFonts w:ascii="Calibri" w:eastAsiaTheme="minorHAnsi" w:hAnsi="Calibri" w:cs="Calibri" w:hint="default"/>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41911EC3"/>
    <w:multiLevelType w:val="hybridMultilevel"/>
    <w:tmpl w:val="8248AE00"/>
    <w:lvl w:ilvl="0" w:tplc="F0463CCA">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432068EE"/>
    <w:multiLevelType w:val="hybridMultilevel"/>
    <w:tmpl w:val="C2E8F498"/>
    <w:lvl w:ilvl="0" w:tplc="693219D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4655625F"/>
    <w:multiLevelType w:val="hybridMultilevel"/>
    <w:tmpl w:val="D40424F4"/>
    <w:lvl w:ilvl="0" w:tplc="11425996">
      <w:start w:val="1"/>
      <w:numFmt w:val="lowerRoman"/>
      <w:pStyle w:val="Listeavsnitt"/>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1" w15:restartNumberingAfterBreak="0">
    <w:nsid w:val="470A7DB1"/>
    <w:multiLevelType w:val="hybridMultilevel"/>
    <w:tmpl w:val="A8BA8C3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4CC433EB"/>
    <w:multiLevelType w:val="hybridMultilevel"/>
    <w:tmpl w:val="5F884122"/>
    <w:lvl w:ilvl="0" w:tplc="3CCE03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5C012A"/>
    <w:multiLevelType w:val="hybridMultilevel"/>
    <w:tmpl w:val="BC1CF6A6"/>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555E2EC5"/>
    <w:multiLevelType w:val="hybridMultilevel"/>
    <w:tmpl w:val="0220F570"/>
    <w:lvl w:ilvl="0" w:tplc="EB688CB8">
      <w:numFmt w:val="bullet"/>
      <w:lvlText w:val="-"/>
      <w:lvlJc w:val="left"/>
      <w:pPr>
        <w:ind w:left="720" w:hanging="360"/>
      </w:pPr>
      <w:rPr>
        <w:rFonts w:ascii="Calibri" w:eastAsia="SimSun"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2274277"/>
    <w:multiLevelType w:val="hybridMultilevel"/>
    <w:tmpl w:val="E16EBF1E"/>
    <w:lvl w:ilvl="0" w:tplc="85BC2000">
      <w:numFmt w:val="bullet"/>
      <w:lvlText w:val="-"/>
      <w:lvlJc w:val="left"/>
      <w:pPr>
        <w:ind w:left="720" w:hanging="360"/>
      </w:pPr>
      <w:rPr>
        <w:rFonts w:ascii="Calibri" w:eastAsiaTheme="minorHAnsi" w:hAnsi="Calibri" w:cs="Calibri" w:hint="default"/>
        <w:lang w:val="en-GB"/>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8" w15:restartNumberingAfterBreak="0">
    <w:nsid w:val="638077F7"/>
    <w:multiLevelType w:val="hybridMultilevel"/>
    <w:tmpl w:val="7FE63EFE"/>
    <w:lvl w:ilvl="0" w:tplc="92C8A8BA">
      <w:start w:val="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9" w15:restartNumberingAfterBreak="0">
    <w:nsid w:val="65720B61"/>
    <w:multiLevelType w:val="hybridMultilevel"/>
    <w:tmpl w:val="FE64DE8C"/>
    <w:lvl w:ilvl="0" w:tplc="3462F8F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68583CA5"/>
    <w:multiLevelType w:val="multilevel"/>
    <w:tmpl w:val="38D0E40A"/>
    <w:lvl w:ilvl="0">
      <w:start w:val="1"/>
      <w:numFmt w:val="decimal"/>
      <w:pStyle w:val="Alternativoverskrift"/>
      <w:lvlText w:val="%1."/>
      <w:lvlJc w:val="left"/>
      <w:pPr>
        <w:ind w:left="360" w:hanging="360"/>
      </w:pPr>
      <w:rPr>
        <w:rFonts w:hint="default"/>
      </w:rPr>
    </w:lvl>
    <w:lvl w:ilvl="1">
      <w:start w:val="1"/>
      <w:numFmt w:val="decimal"/>
      <w:pStyle w:val="NIMunderoverskrift1"/>
      <w:lvlText w:val="%1.%2."/>
      <w:lvlJc w:val="left"/>
      <w:pPr>
        <w:ind w:left="792"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E1D0BDB"/>
    <w:multiLevelType w:val="hybridMultilevel"/>
    <w:tmpl w:val="4D2CF5EC"/>
    <w:lvl w:ilvl="0" w:tplc="0D8C39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2"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3" w15:restartNumberingAfterBreak="0">
    <w:nsid w:val="72294EE7"/>
    <w:multiLevelType w:val="hybridMultilevel"/>
    <w:tmpl w:val="A2ECE37A"/>
    <w:lvl w:ilvl="0" w:tplc="DCFA0F7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4" w15:restartNumberingAfterBreak="0">
    <w:nsid w:val="728B12A9"/>
    <w:multiLevelType w:val="hybridMultilevel"/>
    <w:tmpl w:val="3DFA2A6C"/>
    <w:lvl w:ilvl="0" w:tplc="EB688CB8">
      <w:numFmt w:val="bullet"/>
      <w:lvlText w:val="-"/>
      <w:lvlJc w:val="left"/>
      <w:pPr>
        <w:ind w:left="720" w:hanging="360"/>
      </w:pPr>
      <w:rPr>
        <w:rFonts w:ascii="Calibri" w:eastAsia="SimSun"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5" w15:restartNumberingAfterBreak="0">
    <w:nsid w:val="764D3848"/>
    <w:multiLevelType w:val="hybridMultilevel"/>
    <w:tmpl w:val="CEE85338"/>
    <w:lvl w:ilvl="0" w:tplc="AF7EFE3C">
      <w:start w:val="12"/>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6" w15:restartNumberingAfterBreak="0">
    <w:nsid w:val="7F4C54FF"/>
    <w:multiLevelType w:val="hybridMultilevel"/>
    <w:tmpl w:val="4E462E7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7"/>
  </w:num>
  <w:num w:numId="2">
    <w:abstractNumId w:val="36"/>
  </w:num>
  <w:num w:numId="3">
    <w:abstractNumId w:val="24"/>
  </w:num>
  <w:num w:numId="4">
    <w:abstractNumId w:val="32"/>
  </w:num>
  <w:num w:numId="5">
    <w:abstractNumId w:val="28"/>
  </w:num>
  <w:num w:numId="6">
    <w:abstractNumId w:val="40"/>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0"/>
  </w:num>
  <w:num w:numId="11">
    <w:abstractNumId w:val="1"/>
  </w:num>
  <w:num w:numId="12">
    <w:abstractNumId w:val="2"/>
  </w:num>
  <w:num w:numId="13">
    <w:abstractNumId w:val="3"/>
  </w:num>
  <w:num w:numId="14">
    <w:abstractNumId w:val="4"/>
  </w:num>
  <w:num w:numId="15">
    <w:abstractNumId w:val="9"/>
  </w:num>
  <w:num w:numId="16">
    <w:abstractNumId w:val="5"/>
  </w:num>
  <w:num w:numId="17">
    <w:abstractNumId w:val="6"/>
  </w:num>
  <w:num w:numId="18">
    <w:abstractNumId w:val="7"/>
  </w:num>
  <w:num w:numId="19">
    <w:abstractNumId w:val="8"/>
  </w:num>
  <w:num w:numId="20">
    <w:abstractNumId w:val="10"/>
  </w:num>
  <w:num w:numId="21">
    <w:abstractNumId w:val="19"/>
  </w:num>
  <w:num w:numId="22">
    <w:abstractNumId w:val="13"/>
  </w:num>
  <w:num w:numId="23">
    <w:abstractNumId w:val="39"/>
  </w:num>
  <w:num w:numId="24">
    <w:abstractNumId w:val="12"/>
  </w:num>
  <w:num w:numId="25">
    <w:abstractNumId w:val="14"/>
  </w:num>
  <w:num w:numId="26">
    <w:abstractNumId w:val="25"/>
  </w:num>
  <w:num w:numId="27">
    <w:abstractNumId w:val="11"/>
  </w:num>
  <w:num w:numId="28">
    <w:abstractNumId w:val="37"/>
  </w:num>
  <w:num w:numId="29">
    <w:abstractNumId w:val="29"/>
  </w:num>
  <w:num w:numId="30">
    <w:abstractNumId w:val="42"/>
  </w:num>
  <w:num w:numId="31">
    <w:abstractNumId w:val="33"/>
  </w:num>
  <w:num w:numId="32">
    <w:abstractNumId w:val="38"/>
  </w:num>
  <w:num w:numId="33">
    <w:abstractNumId w:val="34"/>
  </w:num>
  <w:num w:numId="34">
    <w:abstractNumId w:val="27"/>
  </w:num>
  <w:num w:numId="35">
    <w:abstractNumId w:val="41"/>
  </w:num>
  <w:num w:numId="36">
    <w:abstractNumId w:val="43"/>
  </w:num>
  <w:num w:numId="37">
    <w:abstractNumId w:val="16"/>
  </w:num>
  <w:num w:numId="38">
    <w:abstractNumId w:val="26"/>
  </w:num>
  <w:num w:numId="39">
    <w:abstractNumId w:val="31"/>
  </w:num>
  <w:num w:numId="40">
    <w:abstractNumId w:val="35"/>
  </w:num>
  <w:num w:numId="41">
    <w:abstractNumId w:val="22"/>
  </w:num>
  <w:num w:numId="42">
    <w:abstractNumId w:val="44"/>
  </w:num>
  <w:num w:numId="43">
    <w:abstractNumId w:val="20"/>
  </w:num>
  <w:num w:numId="44">
    <w:abstractNumId w:val="18"/>
  </w:num>
  <w:num w:numId="45">
    <w:abstractNumId w:val="46"/>
  </w:num>
  <w:num w:numId="46">
    <w:abstractNumId w:val="23"/>
  </w:num>
  <w:num w:numId="47">
    <w:abstractNumId w:val="21"/>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926"/>
    <w:rsid w:val="0000191B"/>
    <w:rsid w:val="00006237"/>
    <w:rsid w:val="00010F32"/>
    <w:rsid w:val="00011607"/>
    <w:rsid w:val="000245BD"/>
    <w:rsid w:val="0004065E"/>
    <w:rsid w:val="000430C8"/>
    <w:rsid w:val="0005510F"/>
    <w:rsid w:val="000570A3"/>
    <w:rsid w:val="00070E03"/>
    <w:rsid w:val="0007654B"/>
    <w:rsid w:val="0008628B"/>
    <w:rsid w:val="000879B2"/>
    <w:rsid w:val="00096082"/>
    <w:rsid w:val="000A1684"/>
    <w:rsid w:val="000B031E"/>
    <w:rsid w:val="000B4748"/>
    <w:rsid w:val="000C7D41"/>
    <w:rsid w:val="000D6BDD"/>
    <w:rsid w:val="000D70A4"/>
    <w:rsid w:val="000E01EE"/>
    <w:rsid w:val="000E5BCF"/>
    <w:rsid w:val="000E68B5"/>
    <w:rsid w:val="001116CA"/>
    <w:rsid w:val="00114175"/>
    <w:rsid w:val="00117233"/>
    <w:rsid w:val="001210E2"/>
    <w:rsid w:val="0012730D"/>
    <w:rsid w:val="001301B2"/>
    <w:rsid w:val="0013329F"/>
    <w:rsid w:val="001414FD"/>
    <w:rsid w:val="00143E65"/>
    <w:rsid w:val="00150D6C"/>
    <w:rsid w:val="00152E3A"/>
    <w:rsid w:val="00156A51"/>
    <w:rsid w:val="00166EC2"/>
    <w:rsid w:val="00171651"/>
    <w:rsid w:val="00172C41"/>
    <w:rsid w:val="00173021"/>
    <w:rsid w:val="001809A0"/>
    <w:rsid w:val="00185665"/>
    <w:rsid w:val="001935C7"/>
    <w:rsid w:val="00197337"/>
    <w:rsid w:val="001A7EDF"/>
    <w:rsid w:val="001B6E74"/>
    <w:rsid w:val="001C1484"/>
    <w:rsid w:val="001D0647"/>
    <w:rsid w:val="001E2872"/>
    <w:rsid w:val="001E5BA2"/>
    <w:rsid w:val="001F6CE4"/>
    <w:rsid w:val="001F7C84"/>
    <w:rsid w:val="00202EA9"/>
    <w:rsid w:val="00211789"/>
    <w:rsid w:val="0021739E"/>
    <w:rsid w:val="0022201D"/>
    <w:rsid w:val="00231BD7"/>
    <w:rsid w:val="002324AD"/>
    <w:rsid w:val="00240B44"/>
    <w:rsid w:val="00243E70"/>
    <w:rsid w:val="00247234"/>
    <w:rsid w:val="00275C24"/>
    <w:rsid w:val="0029093B"/>
    <w:rsid w:val="00292A59"/>
    <w:rsid w:val="002951D5"/>
    <w:rsid w:val="0029684A"/>
    <w:rsid w:val="002A4C18"/>
    <w:rsid w:val="002B576A"/>
    <w:rsid w:val="002D100C"/>
    <w:rsid w:val="002E2215"/>
    <w:rsid w:val="002E6FFC"/>
    <w:rsid w:val="002F1649"/>
    <w:rsid w:val="002F3ED5"/>
    <w:rsid w:val="002F60C4"/>
    <w:rsid w:val="003037D6"/>
    <w:rsid w:val="00303859"/>
    <w:rsid w:val="0030765E"/>
    <w:rsid w:val="00314A88"/>
    <w:rsid w:val="003162BF"/>
    <w:rsid w:val="00326664"/>
    <w:rsid w:val="003272E4"/>
    <w:rsid w:val="00330F0D"/>
    <w:rsid w:val="00336607"/>
    <w:rsid w:val="003412D4"/>
    <w:rsid w:val="003414B9"/>
    <w:rsid w:val="003532B1"/>
    <w:rsid w:val="0035542A"/>
    <w:rsid w:val="003555E2"/>
    <w:rsid w:val="00365C89"/>
    <w:rsid w:val="00375486"/>
    <w:rsid w:val="00377238"/>
    <w:rsid w:val="00377645"/>
    <w:rsid w:val="00385839"/>
    <w:rsid w:val="00390AA2"/>
    <w:rsid w:val="0039125E"/>
    <w:rsid w:val="00395462"/>
    <w:rsid w:val="00396B66"/>
    <w:rsid w:val="003C72F9"/>
    <w:rsid w:val="003D39DE"/>
    <w:rsid w:val="003D6AB0"/>
    <w:rsid w:val="003E22D9"/>
    <w:rsid w:val="003E2F17"/>
    <w:rsid w:val="003E49D7"/>
    <w:rsid w:val="003F10DA"/>
    <w:rsid w:val="003F519C"/>
    <w:rsid w:val="00400D27"/>
    <w:rsid w:val="0040713B"/>
    <w:rsid w:val="004076D8"/>
    <w:rsid w:val="00423011"/>
    <w:rsid w:val="0043550D"/>
    <w:rsid w:val="0044000F"/>
    <w:rsid w:val="0044015B"/>
    <w:rsid w:val="00445FC6"/>
    <w:rsid w:val="0049558E"/>
    <w:rsid w:val="00497F9C"/>
    <w:rsid w:val="004A6372"/>
    <w:rsid w:val="004A6EDF"/>
    <w:rsid w:val="004B0FC9"/>
    <w:rsid w:val="004B303B"/>
    <w:rsid w:val="004B508E"/>
    <w:rsid w:val="004D2E51"/>
    <w:rsid w:val="004D579D"/>
    <w:rsid w:val="004D64D4"/>
    <w:rsid w:val="004E6DC0"/>
    <w:rsid w:val="004F18DE"/>
    <w:rsid w:val="004F1D0C"/>
    <w:rsid w:val="004F4CBA"/>
    <w:rsid w:val="00503C89"/>
    <w:rsid w:val="0051212B"/>
    <w:rsid w:val="00531E81"/>
    <w:rsid w:val="005422A1"/>
    <w:rsid w:val="00542ABB"/>
    <w:rsid w:val="00545289"/>
    <w:rsid w:val="00561F85"/>
    <w:rsid w:val="005629BE"/>
    <w:rsid w:val="0057276E"/>
    <w:rsid w:val="00576507"/>
    <w:rsid w:val="00580119"/>
    <w:rsid w:val="005811D6"/>
    <w:rsid w:val="00583194"/>
    <w:rsid w:val="00585331"/>
    <w:rsid w:val="0059212A"/>
    <w:rsid w:val="00594785"/>
    <w:rsid w:val="00597999"/>
    <w:rsid w:val="005A2DD3"/>
    <w:rsid w:val="005A7D83"/>
    <w:rsid w:val="005B0656"/>
    <w:rsid w:val="005B43AB"/>
    <w:rsid w:val="005B5A32"/>
    <w:rsid w:val="005B73A2"/>
    <w:rsid w:val="005C06E4"/>
    <w:rsid w:val="005D6279"/>
    <w:rsid w:val="005D6F12"/>
    <w:rsid w:val="005E204F"/>
    <w:rsid w:val="005E444C"/>
    <w:rsid w:val="005E575C"/>
    <w:rsid w:val="006063C8"/>
    <w:rsid w:val="006327B1"/>
    <w:rsid w:val="00633E59"/>
    <w:rsid w:val="00641704"/>
    <w:rsid w:val="00655D6F"/>
    <w:rsid w:val="00671844"/>
    <w:rsid w:val="00676FE1"/>
    <w:rsid w:val="00680BC8"/>
    <w:rsid w:val="00681FBE"/>
    <w:rsid w:val="006B2B2E"/>
    <w:rsid w:val="006C0A89"/>
    <w:rsid w:val="006C1C89"/>
    <w:rsid w:val="006C36E4"/>
    <w:rsid w:val="006C4DB7"/>
    <w:rsid w:val="006C6AA2"/>
    <w:rsid w:val="006D1E77"/>
    <w:rsid w:val="006D5626"/>
    <w:rsid w:val="006E03BE"/>
    <w:rsid w:val="006E16C1"/>
    <w:rsid w:val="006E520D"/>
    <w:rsid w:val="006E6923"/>
    <w:rsid w:val="00701ABD"/>
    <w:rsid w:val="007067CF"/>
    <w:rsid w:val="00707F24"/>
    <w:rsid w:val="00711576"/>
    <w:rsid w:val="00712D01"/>
    <w:rsid w:val="0073167C"/>
    <w:rsid w:val="00734383"/>
    <w:rsid w:val="00734AF6"/>
    <w:rsid w:val="00743668"/>
    <w:rsid w:val="0075254D"/>
    <w:rsid w:val="00752579"/>
    <w:rsid w:val="00761B05"/>
    <w:rsid w:val="00765F2E"/>
    <w:rsid w:val="007753F0"/>
    <w:rsid w:val="00775C33"/>
    <w:rsid w:val="00775EFA"/>
    <w:rsid w:val="007A0006"/>
    <w:rsid w:val="007A2618"/>
    <w:rsid w:val="007B4707"/>
    <w:rsid w:val="007B589B"/>
    <w:rsid w:val="007B6B7B"/>
    <w:rsid w:val="007B75A9"/>
    <w:rsid w:val="007C02AC"/>
    <w:rsid w:val="007C3873"/>
    <w:rsid w:val="007C5885"/>
    <w:rsid w:val="007C66B0"/>
    <w:rsid w:val="007D3EC8"/>
    <w:rsid w:val="007E07C6"/>
    <w:rsid w:val="007E38C4"/>
    <w:rsid w:val="007F2229"/>
    <w:rsid w:val="007F33CF"/>
    <w:rsid w:val="007F3997"/>
    <w:rsid w:val="007F45CB"/>
    <w:rsid w:val="007F5D94"/>
    <w:rsid w:val="00802E52"/>
    <w:rsid w:val="008239FC"/>
    <w:rsid w:val="00832231"/>
    <w:rsid w:val="008337F4"/>
    <w:rsid w:val="00836BB5"/>
    <w:rsid w:val="00836F8B"/>
    <w:rsid w:val="008402A8"/>
    <w:rsid w:val="00840C67"/>
    <w:rsid w:val="00841B5B"/>
    <w:rsid w:val="0084221D"/>
    <w:rsid w:val="00843D40"/>
    <w:rsid w:val="008533D6"/>
    <w:rsid w:val="00855AE1"/>
    <w:rsid w:val="0086235B"/>
    <w:rsid w:val="00863975"/>
    <w:rsid w:val="00866A95"/>
    <w:rsid w:val="008746C6"/>
    <w:rsid w:val="00874CE4"/>
    <w:rsid w:val="00875D2C"/>
    <w:rsid w:val="00876B3A"/>
    <w:rsid w:val="008818ED"/>
    <w:rsid w:val="00881E9C"/>
    <w:rsid w:val="008841C8"/>
    <w:rsid w:val="00886557"/>
    <w:rsid w:val="008908B5"/>
    <w:rsid w:val="00895951"/>
    <w:rsid w:val="00896CBF"/>
    <w:rsid w:val="008A3B12"/>
    <w:rsid w:val="008B02ED"/>
    <w:rsid w:val="008B1B3F"/>
    <w:rsid w:val="008C2C18"/>
    <w:rsid w:val="008C7E1A"/>
    <w:rsid w:val="008D0B8D"/>
    <w:rsid w:val="008D0BD9"/>
    <w:rsid w:val="008E146E"/>
    <w:rsid w:val="008F10A7"/>
    <w:rsid w:val="008F34B4"/>
    <w:rsid w:val="008F41AF"/>
    <w:rsid w:val="008F4687"/>
    <w:rsid w:val="008F48D5"/>
    <w:rsid w:val="008F6F78"/>
    <w:rsid w:val="008F7278"/>
    <w:rsid w:val="009033A9"/>
    <w:rsid w:val="00906459"/>
    <w:rsid w:val="0091542D"/>
    <w:rsid w:val="009167E9"/>
    <w:rsid w:val="00931BED"/>
    <w:rsid w:val="00940EDA"/>
    <w:rsid w:val="00953294"/>
    <w:rsid w:val="00953901"/>
    <w:rsid w:val="00953C7C"/>
    <w:rsid w:val="009552E6"/>
    <w:rsid w:val="00955D66"/>
    <w:rsid w:val="00964F6F"/>
    <w:rsid w:val="00964F85"/>
    <w:rsid w:val="00976684"/>
    <w:rsid w:val="00976E0B"/>
    <w:rsid w:val="00981C5C"/>
    <w:rsid w:val="009856E2"/>
    <w:rsid w:val="009921A2"/>
    <w:rsid w:val="009A6303"/>
    <w:rsid w:val="009B0750"/>
    <w:rsid w:val="009B144D"/>
    <w:rsid w:val="009B624B"/>
    <w:rsid w:val="009C108F"/>
    <w:rsid w:val="009C262D"/>
    <w:rsid w:val="009C3395"/>
    <w:rsid w:val="009C62DA"/>
    <w:rsid w:val="009C6C6B"/>
    <w:rsid w:val="009E0991"/>
    <w:rsid w:val="009E2EDF"/>
    <w:rsid w:val="009E473A"/>
    <w:rsid w:val="00A01C23"/>
    <w:rsid w:val="00A110D3"/>
    <w:rsid w:val="00A13251"/>
    <w:rsid w:val="00A172AD"/>
    <w:rsid w:val="00A229B6"/>
    <w:rsid w:val="00A273AB"/>
    <w:rsid w:val="00A33D6F"/>
    <w:rsid w:val="00A3410D"/>
    <w:rsid w:val="00A46CA2"/>
    <w:rsid w:val="00A53156"/>
    <w:rsid w:val="00A6205D"/>
    <w:rsid w:val="00A95996"/>
    <w:rsid w:val="00A976FC"/>
    <w:rsid w:val="00AA1061"/>
    <w:rsid w:val="00AA48BF"/>
    <w:rsid w:val="00AC0C25"/>
    <w:rsid w:val="00AC1A8E"/>
    <w:rsid w:val="00AC4568"/>
    <w:rsid w:val="00AD6134"/>
    <w:rsid w:val="00AE0D7C"/>
    <w:rsid w:val="00AE235C"/>
    <w:rsid w:val="00AE69F2"/>
    <w:rsid w:val="00AF0263"/>
    <w:rsid w:val="00AF3B41"/>
    <w:rsid w:val="00B0126B"/>
    <w:rsid w:val="00B11AC2"/>
    <w:rsid w:val="00B13392"/>
    <w:rsid w:val="00B152C6"/>
    <w:rsid w:val="00B30966"/>
    <w:rsid w:val="00B31EAA"/>
    <w:rsid w:val="00B34958"/>
    <w:rsid w:val="00B354E4"/>
    <w:rsid w:val="00B35D98"/>
    <w:rsid w:val="00B52137"/>
    <w:rsid w:val="00B53B16"/>
    <w:rsid w:val="00B53E3A"/>
    <w:rsid w:val="00B54B7B"/>
    <w:rsid w:val="00B554D8"/>
    <w:rsid w:val="00B55C77"/>
    <w:rsid w:val="00B57A7A"/>
    <w:rsid w:val="00B57C8C"/>
    <w:rsid w:val="00B63743"/>
    <w:rsid w:val="00B65EB7"/>
    <w:rsid w:val="00B726E6"/>
    <w:rsid w:val="00B77438"/>
    <w:rsid w:val="00B84C28"/>
    <w:rsid w:val="00B85EBE"/>
    <w:rsid w:val="00B93B8F"/>
    <w:rsid w:val="00BA25F8"/>
    <w:rsid w:val="00BA3744"/>
    <w:rsid w:val="00BC09AC"/>
    <w:rsid w:val="00BE1531"/>
    <w:rsid w:val="00BE4014"/>
    <w:rsid w:val="00BE693A"/>
    <w:rsid w:val="00BF506B"/>
    <w:rsid w:val="00C10EF4"/>
    <w:rsid w:val="00C1356E"/>
    <w:rsid w:val="00C14F05"/>
    <w:rsid w:val="00C1546E"/>
    <w:rsid w:val="00C163C3"/>
    <w:rsid w:val="00C224B5"/>
    <w:rsid w:val="00C229D4"/>
    <w:rsid w:val="00C25926"/>
    <w:rsid w:val="00C32F06"/>
    <w:rsid w:val="00C37C2F"/>
    <w:rsid w:val="00C37FE2"/>
    <w:rsid w:val="00C4179A"/>
    <w:rsid w:val="00C4379D"/>
    <w:rsid w:val="00C46CD9"/>
    <w:rsid w:val="00C473A6"/>
    <w:rsid w:val="00C524F7"/>
    <w:rsid w:val="00C52A6E"/>
    <w:rsid w:val="00C62008"/>
    <w:rsid w:val="00C6232F"/>
    <w:rsid w:val="00C72B00"/>
    <w:rsid w:val="00C736C1"/>
    <w:rsid w:val="00C74890"/>
    <w:rsid w:val="00C8001F"/>
    <w:rsid w:val="00C96AEB"/>
    <w:rsid w:val="00CA14FD"/>
    <w:rsid w:val="00CA1F91"/>
    <w:rsid w:val="00CA2468"/>
    <w:rsid w:val="00CA2B71"/>
    <w:rsid w:val="00CA2C60"/>
    <w:rsid w:val="00CB4285"/>
    <w:rsid w:val="00CC2DFE"/>
    <w:rsid w:val="00CC44C4"/>
    <w:rsid w:val="00CD0586"/>
    <w:rsid w:val="00CD3ED4"/>
    <w:rsid w:val="00CF249A"/>
    <w:rsid w:val="00CF374C"/>
    <w:rsid w:val="00D07206"/>
    <w:rsid w:val="00D10C37"/>
    <w:rsid w:val="00D144F4"/>
    <w:rsid w:val="00D218CF"/>
    <w:rsid w:val="00D236D9"/>
    <w:rsid w:val="00D34BDB"/>
    <w:rsid w:val="00D370C3"/>
    <w:rsid w:val="00D43744"/>
    <w:rsid w:val="00D51E35"/>
    <w:rsid w:val="00D52AC4"/>
    <w:rsid w:val="00D538EB"/>
    <w:rsid w:val="00D573C1"/>
    <w:rsid w:val="00D57917"/>
    <w:rsid w:val="00D57E6C"/>
    <w:rsid w:val="00D6210E"/>
    <w:rsid w:val="00D64B2C"/>
    <w:rsid w:val="00D7007A"/>
    <w:rsid w:val="00D71700"/>
    <w:rsid w:val="00D71F8A"/>
    <w:rsid w:val="00D73B03"/>
    <w:rsid w:val="00D81FFC"/>
    <w:rsid w:val="00D935F0"/>
    <w:rsid w:val="00D936F9"/>
    <w:rsid w:val="00DB2B3C"/>
    <w:rsid w:val="00DB5C03"/>
    <w:rsid w:val="00DC1906"/>
    <w:rsid w:val="00DC6033"/>
    <w:rsid w:val="00E01DB2"/>
    <w:rsid w:val="00E04066"/>
    <w:rsid w:val="00E07037"/>
    <w:rsid w:val="00E07D7A"/>
    <w:rsid w:val="00E244FE"/>
    <w:rsid w:val="00E25885"/>
    <w:rsid w:val="00E33C1D"/>
    <w:rsid w:val="00E34043"/>
    <w:rsid w:val="00E343A9"/>
    <w:rsid w:val="00E353C4"/>
    <w:rsid w:val="00E43A96"/>
    <w:rsid w:val="00E455E6"/>
    <w:rsid w:val="00E4751D"/>
    <w:rsid w:val="00E53984"/>
    <w:rsid w:val="00E62A18"/>
    <w:rsid w:val="00E8036F"/>
    <w:rsid w:val="00E82ABC"/>
    <w:rsid w:val="00E84A62"/>
    <w:rsid w:val="00E86AF7"/>
    <w:rsid w:val="00E907DE"/>
    <w:rsid w:val="00E94156"/>
    <w:rsid w:val="00EA0649"/>
    <w:rsid w:val="00EB0E1A"/>
    <w:rsid w:val="00EB5A8A"/>
    <w:rsid w:val="00EB5E84"/>
    <w:rsid w:val="00EC197D"/>
    <w:rsid w:val="00EC29C4"/>
    <w:rsid w:val="00EC3647"/>
    <w:rsid w:val="00EC7DD5"/>
    <w:rsid w:val="00ED777D"/>
    <w:rsid w:val="00EF5205"/>
    <w:rsid w:val="00F016E8"/>
    <w:rsid w:val="00F079FB"/>
    <w:rsid w:val="00F10E9A"/>
    <w:rsid w:val="00F125FC"/>
    <w:rsid w:val="00F234FD"/>
    <w:rsid w:val="00F259E0"/>
    <w:rsid w:val="00F30F26"/>
    <w:rsid w:val="00F37016"/>
    <w:rsid w:val="00F50F05"/>
    <w:rsid w:val="00F53676"/>
    <w:rsid w:val="00F62949"/>
    <w:rsid w:val="00F63DCB"/>
    <w:rsid w:val="00F65307"/>
    <w:rsid w:val="00F7015A"/>
    <w:rsid w:val="00F75A51"/>
    <w:rsid w:val="00F8729D"/>
    <w:rsid w:val="00FA2587"/>
    <w:rsid w:val="00FA6E57"/>
    <w:rsid w:val="00FB113A"/>
    <w:rsid w:val="00FC5BED"/>
    <w:rsid w:val="00FD2D37"/>
    <w:rsid w:val="00FD6F12"/>
    <w:rsid w:val="00FE5D62"/>
    <w:rsid w:val="00FF4BFE"/>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E82DA70"/>
  <w14:defaultImageDpi w14:val="300"/>
  <w15:chartTrackingRefBased/>
  <w15:docId w15:val="{5DD114A4-C5A7-43D1-9F63-F84E3C209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676"/>
    <w:pPr>
      <w:spacing w:after="120" w:line="276" w:lineRule="auto"/>
      <w:jc w:val="both"/>
    </w:pPr>
    <w:rPr>
      <w:rFonts w:ascii="Calibri" w:hAnsi="Calibri"/>
      <w:color w:val="151643" w:themeColor="text1"/>
      <w:sz w:val="22"/>
      <w:lang w:val="en-GB"/>
    </w:rPr>
  </w:style>
  <w:style w:type="paragraph" w:styleId="Overskrift1">
    <w:name w:val="heading 1"/>
    <w:aliases w:val="NIM Overskrift 1"/>
    <w:basedOn w:val="Alternativoverskrift"/>
    <w:next w:val="Normal"/>
    <w:link w:val="Overskrift1Tegn"/>
    <w:uiPriority w:val="9"/>
    <w:qFormat/>
    <w:rsid w:val="00CD0586"/>
    <w:pPr>
      <w:contextualSpacing/>
    </w:pPr>
  </w:style>
  <w:style w:type="paragraph" w:styleId="Overskrift2">
    <w:name w:val="heading 2"/>
    <w:aliases w:val="NIM Underoverskrift 1"/>
    <w:basedOn w:val="NIMunderoverskrift1"/>
    <w:next w:val="Normal"/>
    <w:link w:val="Overskrift2Tegn"/>
    <w:uiPriority w:val="9"/>
    <w:unhideWhenUsed/>
    <w:qFormat/>
    <w:rsid w:val="00597999"/>
    <w:pPr>
      <w:spacing w:before="240"/>
      <w:outlineLvl w:val="1"/>
    </w:pPr>
  </w:style>
  <w:style w:type="paragraph" w:styleId="Overskrift3">
    <w:name w:val="heading 3"/>
    <w:basedOn w:val="Normal"/>
    <w:next w:val="Normal"/>
    <w:link w:val="Overskrift3Tegn"/>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Overskrift4">
    <w:name w:val="heading 4"/>
    <w:basedOn w:val="Normal"/>
    <w:next w:val="Normal"/>
    <w:link w:val="Overskrift4Tegn"/>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NH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Vanligtabel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Rutenettabell1lys">
    <w:name w:val="Grid Table 1 Light"/>
    <w:aliases w:val="GIEK tabell"/>
    <w:basedOn w:val="Vanligtabel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Overskrift2Tegn">
    <w:name w:val="Overskrift 2 Tegn"/>
    <w:aliases w:val="NIM Underoverskrift 1 Tegn"/>
    <w:basedOn w:val="Standardskriftforavsnitt"/>
    <w:link w:val="Overskrift2"/>
    <w:uiPriority w:val="9"/>
    <w:rsid w:val="00597999"/>
    <w:rPr>
      <w:rFonts w:ascii="Calibri" w:hAnsi="Calibri"/>
      <w:i/>
      <w:color w:val="151643" w:themeColor="text1"/>
    </w:rPr>
  </w:style>
  <w:style w:type="table" w:customStyle="1" w:styleId="GIEK">
    <w:name w:val="GIEK"/>
    <w:basedOn w:val="Vanligtabel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Overskrift3Tegn">
    <w:name w:val="Overskrift 3 Tegn"/>
    <w:basedOn w:val="Standardskriftforavsnitt"/>
    <w:link w:val="Overskrift3"/>
    <w:uiPriority w:val="9"/>
    <w:rsid w:val="004D579D"/>
    <w:rPr>
      <w:rFonts w:asciiTheme="majorHAnsi" w:eastAsiaTheme="majorEastAsia" w:hAnsiTheme="majorHAnsi" w:cstheme="majorBidi"/>
      <w:color w:val="696583" w:themeColor="accent5"/>
      <w:sz w:val="20"/>
    </w:rPr>
  </w:style>
  <w:style w:type="paragraph" w:styleId="Topptekst">
    <w:name w:val="header"/>
    <w:basedOn w:val="Normal"/>
    <w:link w:val="TopptekstTegn"/>
    <w:uiPriority w:val="99"/>
    <w:unhideWhenUsed/>
    <w:rsid w:val="00641704"/>
    <w:pPr>
      <w:tabs>
        <w:tab w:val="center" w:pos="4536"/>
        <w:tab w:val="right" w:pos="9072"/>
      </w:tabs>
      <w:spacing w:after="0"/>
    </w:pPr>
    <w:rPr>
      <w:sz w:val="18"/>
    </w:rPr>
  </w:style>
  <w:style w:type="character" w:customStyle="1" w:styleId="TopptekstTegn">
    <w:name w:val="Topptekst Tegn"/>
    <w:basedOn w:val="Standardskriftforavsnitt"/>
    <w:link w:val="Topptekst"/>
    <w:uiPriority w:val="99"/>
    <w:rsid w:val="00641704"/>
    <w:rPr>
      <w:rFonts w:ascii="Calibri" w:hAnsi="Calibri"/>
      <w:sz w:val="18"/>
    </w:rPr>
  </w:style>
  <w:style w:type="paragraph" w:styleId="Bunntekst">
    <w:name w:val="footer"/>
    <w:basedOn w:val="Normal"/>
    <w:link w:val="BunntekstTegn"/>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BunntekstTegn">
    <w:name w:val="Bunntekst Tegn"/>
    <w:basedOn w:val="Standardskriftforavsnitt"/>
    <w:link w:val="Bunntekst"/>
    <w:uiPriority w:val="99"/>
    <w:rsid w:val="001B6E74"/>
    <w:rPr>
      <w:rFonts w:ascii="Calibri Light" w:hAnsi="Calibri Light"/>
      <w:color w:val="151643" w:themeColor="text1"/>
      <w:sz w:val="16"/>
    </w:rPr>
  </w:style>
  <w:style w:type="table" w:styleId="Tabellrutenett">
    <w:name w:val="Table Grid"/>
    <w:basedOn w:val="Vanligtabel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l">
    <w:name w:val="page number"/>
    <w:basedOn w:val="Standardskriftforavsnitt"/>
    <w:uiPriority w:val="99"/>
    <w:semiHidden/>
    <w:unhideWhenUsed/>
    <w:rsid w:val="009856E2"/>
  </w:style>
  <w:style w:type="character" w:customStyle="1" w:styleId="Overskrift1Tegn">
    <w:name w:val="Overskrift 1 Tegn"/>
    <w:aliases w:val="NIM Overskrift 1 Tegn"/>
    <w:basedOn w:val="Standardskriftforavsnitt"/>
    <w:link w:val="Overskrift1"/>
    <w:uiPriority w:val="9"/>
    <w:rsid w:val="00CD0586"/>
    <w:rPr>
      <w:rFonts w:ascii="Calibri" w:hAnsi="Calibri"/>
      <w:b/>
      <w:sz w:val="22"/>
    </w:rPr>
  </w:style>
  <w:style w:type="character" w:customStyle="1" w:styleId="Overskrift4Tegn">
    <w:name w:val="Overskrift 4 Tegn"/>
    <w:basedOn w:val="Standardskriftforavsnitt"/>
    <w:link w:val="Overskrift4"/>
    <w:uiPriority w:val="9"/>
    <w:rsid w:val="00A976FC"/>
    <w:rPr>
      <w:rFonts w:asciiTheme="majorHAnsi" w:eastAsiaTheme="majorEastAsia" w:hAnsiTheme="majorHAnsi" w:cstheme="majorBidi"/>
      <w:i/>
      <w:iCs/>
      <w:color w:val="151643" w:themeColor="text1"/>
      <w:sz w:val="20"/>
    </w:rPr>
  </w:style>
  <w:style w:type="paragraph" w:styleId="Listeavsnitt">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eavsnittTegn"/>
    <w:uiPriority w:val="34"/>
    <w:qFormat/>
    <w:rsid w:val="00802E52"/>
    <w:pPr>
      <w:numPr>
        <w:numId w:val="9"/>
      </w:numPr>
      <w:spacing w:before="120"/>
      <w:ind w:left="1276" w:hanging="709"/>
      <w:contextualSpacing/>
    </w:pPr>
  </w:style>
  <w:style w:type="paragraph" w:styleId="Bobletekst">
    <w:name w:val="Balloon Text"/>
    <w:basedOn w:val="Normal"/>
    <w:link w:val="BobletekstTegn"/>
    <w:uiPriority w:val="99"/>
    <w:semiHidden/>
    <w:unhideWhenUsed/>
    <w:rsid w:val="001301B2"/>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301B2"/>
    <w:rPr>
      <w:rFonts w:ascii="Segoe UI" w:hAnsi="Segoe UI" w:cs="Segoe UI"/>
      <w:sz w:val="18"/>
      <w:szCs w:val="18"/>
    </w:rPr>
  </w:style>
  <w:style w:type="paragraph" w:styleId="Ingenmellomrom">
    <w:name w:val="No Spacing"/>
    <w:uiPriority w:val="1"/>
    <w:rsid w:val="000B031E"/>
    <w:pPr>
      <w:spacing w:line="276" w:lineRule="auto"/>
      <w:jc w:val="both"/>
    </w:pPr>
    <w:rPr>
      <w:rFonts w:ascii="Calibri" w:hAnsi="Calibri"/>
      <w:color w:val="151643" w:themeColor="text1"/>
      <w:sz w:val="22"/>
    </w:rPr>
  </w:style>
  <w:style w:type="paragraph" w:customStyle="1" w:styleId="Alternativoverskrift">
    <w:name w:val="Alternativ overskrift"/>
    <w:basedOn w:val="Normal"/>
    <w:link w:val="AlternativoverskriftTegn"/>
    <w:autoRedefine/>
    <w:rsid w:val="00D57917"/>
    <w:pPr>
      <w:numPr>
        <w:numId w:val="6"/>
      </w:numPr>
      <w:spacing w:before="300" w:after="60"/>
      <w:ind w:left="567" w:hanging="567"/>
      <w:outlineLvl w:val="0"/>
    </w:pPr>
    <w:rPr>
      <w:b/>
      <w:sz w:val="24"/>
    </w:rPr>
  </w:style>
  <w:style w:type="paragraph" w:customStyle="1" w:styleId="NIMunderoverskrift1">
    <w:name w:val="NIM underoverskrift 1"/>
    <w:basedOn w:val="Normal"/>
    <w:link w:val="NIMunderoverskrift1Tegn"/>
    <w:rsid w:val="009921A2"/>
    <w:pPr>
      <w:numPr>
        <w:ilvl w:val="1"/>
        <w:numId w:val="6"/>
      </w:numPr>
      <w:spacing w:before="160" w:after="80"/>
      <w:ind w:left="567" w:hanging="567"/>
    </w:pPr>
    <w:rPr>
      <w:i/>
      <w:sz w:val="24"/>
    </w:rPr>
  </w:style>
  <w:style w:type="character" w:customStyle="1" w:styleId="AlternativoverskriftTegn">
    <w:name w:val="Alternativ overskrift Tegn"/>
    <w:basedOn w:val="Standardskriftforavsnitt"/>
    <w:link w:val="Alternativoverskrift"/>
    <w:rsid w:val="00D57917"/>
    <w:rPr>
      <w:rFonts w:ascii="Calibri" w:hAnsi="Calibri"/>
      <w:b/>
      <w:color w:val="151643" w:themeColor="text1"/>
    </w:rPr>
  </w:style>
  <w:style w:type="paragraph" w:customStyle="1" w:styleId="NIMTittel1">
    <w:name w:val="NIM Tittel 1"/>
    <w:basedOn w:val="Tittel"/>
    <w:link w:val="NIMTittel1Tegn"/>
    <w:qFormat/>
    <w:rsid w:val="00576507"/>
    <w:pPr>
      <w:spacing w:after="240"/>
    </w:pPr>
    <w:rPr>
      <w:rFonts w:ascii="Calibri" w:hAnsi="Calibri"/>
      <w:b/>
      <w:spacing w:val="0"/>
      <w:kern w:val="0"/>
      <w:sz w:val="30"/>
      <w:szCs w:val="30"/>
    </w:rPr>
  </w:style>
  <w:style w:type="character" w:customStyle="1" w:styleId="NIMunderoverskrift1Tegn">
    <w:name w:val="NIM underoverskrift 1 Tegn"/>
    <w:basedOn w:val="Standardskriftforavsnitt"/>
    <w:link w:val="NIMunderoverskrift1"/>
    <w:rsid w:val="009921A2"/>
    <w:rPr>
      <w:rFonts w:ascii="Calibri" w:hAnsi="Calibri"/>
      <w:i/>
      <w:color w:val="151643" w:themeColor="text1"/>
      <w:lang w:val="en-GB"/>
    </w:rPr>
  </w:style>
  <w:style w:type="paragraph" w:styleId="Tittel">
    <w:name w:val="Title"/>
    <w:basedOn w:val="Normal"/>
    <w:next w:val="Normal"/>
    <w:link w:val="TittelTegn"/>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telTegn"/>
    <w:link w:val="NIMTittel1"/>
    <w:rsid w:val="00576507"/>
    <w:rPr>
      <w:rFonts w:ascii="Calibri" w:eastAsiaTheme="majorEastAsia" w:hAnsi="Calibri" w:cstheme="majorBidi"/>
      <w:b/>
      <w:color w:val="151643" w:themeColor="text1"/>
      <w:spacing w:val="-10"/>
      <w:kern w:val="28"/>
      <w:sz w:val="30"/>
      <w:szCs w:val="30"/>
    </w:rPr>
  </w:style>
  <w:style w:type="paragraph" w:styleId="Fotnotetekst">
    <w:name w:val="footnote text"/>
    <w:aliases w:val="5_G"/>
    <w:basedOn w:val="Normal"/>
    <w:link w:val="FotnotetekstTegn"/>
    <w:uiPriority w:val="99"/>
    <w:unhideWhenUsed/>
    <w:qFormat/>
    <w:rsid w:val="006C4DB7"/>
    <w:pPr>
      <w:spacing w:after="60"/>
    </w:pPr>
    <w:rPr>
      <w:color w:val="696583" w:themeColor="accent5"/>
      <w:sz w:val="16"/>
      <w:szCs w:val="16"/>
    </w:rPr>
  </w:style>
  <w:style w:type="character" w:customStyle="1" w:styleId="FotnotetekstTegn">
    <w:name w:val="Fotnotetekst Tegn"/>
    <w:aliases w:val="5_G Tegn"/>
    <w:basedOn w:val="Standardskriftforavsnitt"/>
    <w:link w:val="Fotnotetekst"/>
    <w:uiPriority w:val="99"/>
    <w:rsid w:val="006C4DB7"/>
    <w:rPr>
      <w:rFonts w:ascii="Calibri" w:hAnsi="Calibri"/>
      <w:color w:val="696583" w:themeColor="accent5"/>
      <w:sz w:val="16"/>
      <w:szCs w:val="16"/>
    </w:rPr>
  </w:style>
  <w:style w:type="character" w:styleId="Fotnotereferanse">
    <w:name w:val="footnote reference"/>
    <w:aliases w:val="4_G"/>
    <w:basedOn w:val="Standardskriftforavsnitt"/>
    <w:uiPriority w:val="99"/>
    <w:unhideWhenUsed/>
    <w:qFormat/>
    <w:rsid w:val="00C37C2F"/>
    <w:rPr>
      <w:vertAlign w:val="superscript"/>
    </w:rPr>
  </w:style>
  <w:style w:type="paragraph" w:customStyle="1" w:styleId="langtsitat">
    <w:name w:val="langt sitat"/>
    <w:basedOn w:val="Normal"/>
    <w:qFormat/>
    <w:rsid w:val="007C3873"/>
    <w:pPr>
      <w:ind w:left="567"/>
    </w:pPr>
    <w:rPr>
      <w:i/>
      <w:lang w:val="en-US"/>
    </w:rPr>
  </w:style>
  <w:style w:type="paragraph" w:styleId="Dokumentkart">
    <w:name w:val="Document Map"/>
    <w:basedOn w:val="Normal"/>
    <w:link w:val="DokumentkartTegn"/>
    <w:uiPriority w:val="99"/>
    <w:semiHidden/>
    <w:unhideWhenUsed/>
    <w:rsid w:val="00802E52"/>
    <w:pPr>
      <w:spacing w:after="0" w:line="240" w:lineRule="auto"/>
    </w:pPr>
    <w:rPr>
      <w:rFonts w:ascii="Times New Roman" w:hAnsi="Times New Roman" w:cs="Times New Roman"/>
      <w:sz w:val="24"/>
    </w:rPr>
  </w:style>
  <w:style w:type="character" w:customStyle="1" w:styleId="DokumentkartTegn">
    <w:name w:val="Dokumentkart Tegn"/>
    <w:basedOn w:val="Standardskriftforavsnitt"/>
    <w:link w:val="Dokumentkart"/>
    <w:uiPriority w:val="99"/>
    <w:semiHidden/>
    <w:rsid w:val="00802E52"/>
    <w:rPr>
      <w:rFonts w:ascii="Times New Roman" w:hAnsi="Times New Roman" w:cs="Times New Roman"/>
      <w:color w:val="151643" w:themeColor="text1"/>
    </w:rPr>
  </w:style>
  <w:style w:type="paragraph" w:customStyle="1" w:styleId="Stikktittel">
    <w:name w:val="Stikktittel"/>
    <w:basedOn w:val="Ingenmellomrom"/>
    <w:qFormat/>
    <w:rsid w:val="000B031E"/>
    <w:rPr>
      <w:b/>
      <w:lang w:val="en-GB"/>
    </w:rPr>
  </w:style>
  <w:style w:type="character" w:customStyle="1" w:styleId="uthevet">
    <w:name w:val="uthevet"/>
    <w:basedOn w:val="Standardskriftforavsnitt"/>
    <w:uiPriority w:val="1"/>
    <w:qFormat/>
    <w:rsid w:val="00761B05"/>
    <w:rPr>
      <w:rFonts w:ascii="Calibri" w:hAnsi="Calibri"/>
      <w:b/>
      <w:bCs/>
      <w:i w:val="0"/>
      <w:iCs w:val="0"/>
    </w:rPr>
  </w:style>
  <w:style w:type="paragraph" w:styleId="Overskriftforinnholdsfortegnelse">
    <w:name w:val="TOC Heading"/>
    <w:basedOn w:val="Overskrift1"/>
    <w:next w:val="Normal"/>
    <w:uiPriority w:val="39"/>
    <w:unhideWhenUsed/>
    <w:qFormat/>
    <w:rsid w:val="00C25926"/>
    <w:pPr>
      <w:keepNext/>
      <w:keepLines/>
      <w:numPr>
        <w:numId w:val="0"/>
      </w:numPr>
      <w:spacing w:before="240" w:after="0"/>
      <w:contextualSpacing w:val="0"/>
      <w:outlineLvl w:val="9"/>
    </w:pPr>
    <w:rPr>
      <w:rFonts w:asciiTheme="majorHAnsi" w:eastAsiaTheme="majorEastAsia" w:hAnsiTheme="majorHAnsi" w:cstheme="majorBidi"/>
      <w:b w:val="0"/>
      <w:color w:val="2F5496" w:themeColor="accent1" w:themeShade="BF"/>
      <w:sz w:val="32"/>
      <w:szCs w:val="32"/>
    </w:rPr>
  </w:style>
  <w:style w:type="paragraph" w:styleId="INNH2">
    <w:name w:val="toc 2"/>
    <w:basedOn w:val="Normal"/>
    <w:next w:val="Normal"/>
    <w:autoRedefine/>
    <w:uiPriority w:val="39"/>
    <w:unhideWhenUsed/>
    <w:rsid w:val="00C25926"/>
    <w:pPr>
      <w:spacing w:after="100"/>
      <w:ind w:left="220"/>
    </w:pPr>
  </w:style>
  <w:style w:type="character" w:styleId="Hyperkobling">
    <w:name w:val="Hyperlink"/>
    <w:basedOn w:val="Standardskriftforavsnitt"/>
    <w:uiPriority w:val="99"/>
    <w:unhideWhenUsed/>
    <w:rsid w:val="00C25926"/>
    <w:rPr>
      <w:color w:val="0563C1" w:themeColor="hyperlink"/>
      <w:u w:val="single"/>
    </w:rPr>
  </w:style>
  <w:style w:type="character" w:customStyle="1" w:styleId="ListeavsnittTegn">
    <w:name w:val="Listeavsnitt Tegn"/>
    <w:aliases w:val="List P1 Tegn,Dot pt Tegn,No Spacing1 Tegn,List Paragraph Char Char Char Tegn,Indicator Text Tegn,Numbered Para 1 Tegn,List Paragraph1 Tegn,Bullet 1 Tegn,Bullet Points Tegn,MAIN CONTENT Tegn,F5 List Paragraph Tegn,List Paragraph2 Tegn"/>
    <w:link w:val="Listeavsnitt"/>
    <w:uiPriority w:val="34"/>
    <w:qFormat/>
    <w:rsid w:val="00C25926"/>
    <w:rPr>
      <w:rFonts w:ascii="Calibri" w:hAnsi="Calibri"/>
      <w:color w:val="151643" w:themeColor="text1"/>
      <w:sz w:val="22"/>
      <w:lang w:val="en-GB"/>
    </w:rPr>
  </w:style>
  <w:style w:type="paragraph" w:customStyle="1" w:styleId="Georgia11spacing10after">
    <w:name w:val="Georgia11_spacing_10after"/>
    <w:basedOn w:val="Normal"/>
    <w:rsid w:val="00C25926"/>
    <w:pPr>
      <w:spacing w:after="200"/>
      <w:jc w:val="left"/>
    </w:pPr>
    <w:rPr>
      <w:rFonts w:ascii="Georgia" w:eastAsia="Calibri" w:hAnsi="Georgia" w:cs="Times New Roman"/>
      <w:color w:val="auto"/>
      <w:szCs w:val="22"/>
    </w:rPr>
  </w:style>
  <w:style w:type="character" w:styleId="Ulstomtale">
    <w:name w:val="Unresolved Mention"/>
    <w:basedOn w:val="Standardskriftforavsnitt"/>
    <w:uiPriority w:val="99"/>
    <w:rsid w:val="00C25926"/>
    <w:rPr>
      <w:color w:val="808080"/>
      <w:shd w:val="clear" w:color="auto" w:fill="E6E6E6"/>
    </w:rPr>
  </w:style>
  <w:style w:type="character" w:styleId="Merknadsreferanse">
    <w:name w:val="annotation reference"/>
    <w:basedOn w:val="Standardskriftforavsnitt"/>
    <w:uiPriority w:val="99"/>
    <w:semiHidden/>
    <w:unhideWhenUsed/>
    <w:rsid w:val="00C25926"/>
    <w:rPr>
      <w:sz w:val="16"/>
      <w:szCs w:val="16"/>
    </w:rPr>
  </w:style>
  <w:style w:type="paragraph" w:styleId="Merknadstekst">
    <w:name w:val="annotation text"/>
    <w:basedOn w:val="Normal"/>
    <w:link w:val="MerknadstekstTegn"/>
    <w:uiPriority w:val="99"/>
    <w:unhideWhenUsed/>
    <w:rsid w:val="00C25926"/>
    <w:pPr>
      <w:spacing w:line="240" w:lineRule="auto"/>
    </w:pPr>
    <w:rPr>
      <w:sz w:val="20"/>
      <w:szCs w:val="20"/>
    </w:rPr>
  </w:style>
  <w:style w:type="character" w:customStyle="1" w:styleId="MerknadstekstTegn">
    <w:name w:val="Merknadstekst Tegn"/>
    <w:basedOn w:val="Standardskriftforavsnitt"/>
    <w:link w:val="Merknadstekst"/>
    <w:uiPriority w:val="99"/>
    <w:rsid w:val="00C25926"/>
    <w:rPr>
      <w:rFonts w:ascii="Calibri" w:hAnsi="Calibri"/>
      <w:color w:val="151643" w:themeColor="text1"/>
      <w:sz w:val="20"/>
      <w:szCs w:val="20"/>
      <w:lang w:val="en-GB"/>
    </w:rPr>
  </w:style>
  <w:style w:type="paragraph" w:styleId="Kommentaremne">
    <w:name w:val="annotation subject"/>
    <w:basedOn w:val="Merknadstekst"/>
    <w:next w:val="Merknadstekst"/>
    <w:link w:val="KommentaremneTegn"/>
    <w:uiPriority w:val="99"/>
    <w:semiHidden/>
    <w:unhideWhenUsed/>
    <w:rsid w:val="00C25926"/>
    <w:rPr>
      <w:b/>
      <w:bCs/>
    </w:rPr>
  </w:style>
  <w:style w:type="character" w:customStyle="1" w:styleId="KommentaremneTegn">
    <w:name w:val="Kommentaremne Tegn"/>
    <w:basedOn w:val="MerknadstekstTegn"/>
    <w:link w:val="Kommentaremne"/>
    <w:uiPriority w:val="99"/>
    <w:semiHidden/>
    <w:rsid w:val="00C25926"/>
    <w:rPr>
      <w:rFonts w:ascii="Calibri" w:hAnsi="Calibri"/>
      <w:b/>
      <w:bCs/>
      <w:color w:val="151643" w:themeColor="text1"/>
      <w:sz w:val="20"/>
      <w:szCs w:val="20"/>
      <w:lang w:val="en-GB"/>
    </w:rPr>
  </w:style>
  <w:style w:type="character" w:styleId="Fulgthyperkobling">
    <w:name w:val="FollowedHyperlink"/>
    <w:basedOn w:val="Standardskriftforavsnitt"/>
    <w:uiPriority w:val="99"/>
    <w:semiHidden/>
    <w:unhideWhenUsed/>
    <w:rsid w:val="00C25926"/>
    <w:rPr>
      <w:color w:val="954F72" w:themeColor="followedHyperlink"/>
      <w:u w:val="single"/>
    </w:rPr>
  </w:style>
  <w:style w:type="paragraph" w:styleId="Sluttnotetekst">
    <w:name w:val="endnote text"/>
    <w:basedOn w:val="Normal"/>
    <w:link w:val="SluttnotetekstTegn"/>
    <w:uiPriority w:val="99"/>
    <w:semiHidden/>
    <w:unhideWhenUsed/>
    <w:rsid w:val="009033A9"/>
    <w:pPr>
      <w:spacing w:after="0" w:line="240" w:lineRule="auto"/>
    </w:pPr>
    <w:rPr>
      <w:sz w:val="20"/>
      <w:szCs w:val="20"/>
    </w:rPr>
  </w:style>
  <w:style w:type="character" w:customStyle="1" w:styleId="SluttnotetekstTegn">
    <w:name w:val="Sluttnotetekst Tegn"/>
    <w:basedOn w:val="Standardskriftforavsnitt"/>
    <w:link w:val="Sluttnotetekst"/>
    <w:uiPriority w:val="99"/>
    <w:semiHidden/>
    <w:rsid w:val="009033A9"/>
    <w:rPr>
      <w:rFonts w:ascii="Calibri" w:hAnsi="Calibri"/>
      <w:color w:val="151643" w:themeColor="text1"/>
      <w:sz w:val="20"/>
      <w:szCs w:val="20"/>
      <w:lang w:val="en-GB"/>
    </w:rPr>
  </w:style>
  <w:style w:type="character" w:styleId="Sluttnotereferanse">
    <w:name w:val="endnote reference"/>
    <w:basedOn w:val="Standardskriftforavsnitt"/>
    <w:uiPriority w:val="99"/>
    <w:semiHidden/>
    <w:unhideWhenUsed/>
    <w:rsid w:val="009033A9"/>
    <w:rPr>
      <w:vertAlign w:val="superscript"/>
    </w:rPr>
  </w:style>
  <w:style w:type="paragraph" w:styleId="Revisjon">
    <w:name w:val="Revision"/>
    <w:hidden/>
    <w:uiPriority w:val="99"/>
    <w:semiHidden/>
    <w:rsid w:val="00707F24"/>
    <w:rPr>
      <w:rFonts w:ascii="Calibri" w:hAnsi="Calibri"/>
      <w:color w:val="151643" w:themeColor="text1"/>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nhri.no"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politiet.no/globalassets/dokumenter/oslo/rapporter/anmeldt-hatkriminalitet-oslo/Anmeldt_hatkriminalitet_i_Oslo_2018" TargetMode="External"/><Relationship Id="rId13" Type="http://schemas.openxmlformats.org/officeDocument/2006/relationships/hyperlink" Target="https://www.helsetilsynet.no/globalassets/opplastinger/publikasjoner/aarsrapporter/aarsrapport2017.pdf" TargetMode="External"/><Relationship Id="rId3" Type="http://schemas.openxmlformats.org/officeDocument/2006/relationships/hyperlink" Target="https://www.regjeringen.no/globalassets/upload/kmd/boby/nasjonal_strategi_boligsosialt_arbeid.pdf" TargetMode="External"/><Relationship Id="rId7" Type="http://schemas.openxmlformats.org/officeDocument/2006/relationships/hyperlink" Target="https://sciencenorway.no/forskningno-gender-and-society-norway/one-of-four-lgbt-people-experience-hate-speech/1553837" TargetMode="External"/><Relationship Id="rId12" Type="http://schemas.openxmlformats.org/officeDocument/2006/relationships/hyperlink" Target="https://www.aftenposten.no/a-magasinet/i/mRE0z0/sykehjemsvolden-13000-voldsepisoder-paa-norske-sykehjem-i-fjor-aftenposten-har-faatt-innsyn-i-alle?spid_rel=2" TargetMode="External"/><Relationship Id="rId2" Type="http://schemas.openxmlformats.org/officeDocument/2006/relationships/hyperlink" Target="https://www.ssb.no/sosiale-forhold-og-kriminalitet/artikler-og-publikasjoner/levekar-blant-innvandrere-i-norge2016" TargetMode="External"/><Relationship Id="rId1" Type="http://schemas.openxmlformats.org/officeDocument/2006/relationships/hyperlink" Target="https://brage.bibsys.no/xmlui/bitstream/handle/11250/2440432/ISF-rapport_2015_1_v3_endret.pdf?sequence=3&amp;isAllowed=y" TargetMode="External"/><Relationship Id="rId6" Type="http://schemas.openxmlformats.org/officeDocument/2006/relationships/hyperlink" Target="https://www.ssb.no/arbeid-og-lonn/artikler-og-publikasjoner/lavere-lonn-blant-innvandrere" TargetMode="External"/><Relationship Id="rId11" Type="http://schemas.openxmlformats.org/officeDocument/2006/relationships/hyperlink" Target="https://icd.who.int/en" TargetMode="External"/><Relationship Id="rId5" Type="http://schemas.openxmlformats.org/officeDocument/2006/relationships/hyperlink" Target="https://www.ssb.no/innvandring-og-innvandrere/faktaside/innvandring" TargetMode="External"/><Relationship Id="rId10" Type="http://schemas.openxmlformats.org/officeDocument/2006/relationships/hyperlink" Target="http://www.euro.who.int/en/health-topics/health-determinants/gender/gender-definitions/whoeurope-brief-transgender-health-in-the-context-of-icd-11" TargetMode="External"/><Relationship Id="rId4" Type="http://schemas.openxmlformats.org/officeDocument/2006/relationships/hyperlink" Target="https://www.regjeringen.no/contentassets/589aa9f4e14540b5a5a6144aaea7b518/handlingsplan-mot-rasisme_uu_des-2019.pdf" TargetMode="External"/><Relationship Id="rId9" Type="http://schemas.openxmlformats.org/officeDocument/2006/relationships/hyperlink" Target="https://www.reddbarna.no/nyheter/barn-som-bryter-med-normer-for-kjoenn-og-seksualitet" TargetMode="External"/><Relationship Id="rId14" Type="http://schemas.openxmlformats.org/officeDocument/2006/relationships/hyperlink" Target="https://www.ldo.no/globalassets/_ldo_2019/03_ombudet-og-samfunnet/rapporter/tvang/tvang-og-makt-mot-personer-med-utviklingshemming-etter-helse--og-omsorgstjenesteloven-kapittel-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HRI_0010_brevmal.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2CCF7D-FFAF-46CF-BB79-B6C485A0B487}">
  <ds:schemaRefs>
    <ds:schemaRef ds:uri="http://schemas.openxmlformats.org/officeDocument/2006/bibliography"/>
  </ds:schemaRefs>
</ds:datastoreItem>
</file>

<file path=customXml/itemProps2.xml><?xml version="1.0" encoding="utf-8"?>
<ds:datastoreItem xmlns:ds="http://schemas.openxmlformats.org/officeDocument/2006/customXml" ds:itemID="{EAA8FDBF-6E7D-448D-A023-0550F112C4A4}"/>
</file>

<file path=customXml/itemProps3.xml><?xml version="1.0" encoding="utf-8"?>
<ds:datastoreItem xmlns:ds="http://schemas.openxmlformats.org/officeDocument/2006/customXml" ds:itemID="{50461121-AC0B-471B-913B-990FB73F5E07}"/>
</file>

<file path=customXml/itemProps4.xml><?xml version="1.0" encoding="utf-8"?>
<ds:datastoreItem xmlns:ds="http://schemas.openxmlformats.org/officeDocument/2006/customXml" ds:itemID="{4654A2FB-34DE-47F3-BEF5-71B08FC206A3}"/>
</file>

<file path=docProps/app.xml><?xml version="1.0" encoding="utf-8"?>
<Properties xmlns="http://schemas.openxmlformats.org/officeDocument/2006/extended-properties" xmlns:vt="http://schemas.openxmlformats.org/officeDocument/2006/docPropsVTypes">
  <Template>NHRI_0010_brevmal</Template>
  <TotalTime>10</TotalTime>
  <Pages>21</Pages>
  <Words>7461</Words>
  <Characters>39545</Characters>
  <Application>Microsoft Office Word</Application>
  <DocSecurity>0</DocSecurity>
  <Lines>329</Lines>
  <Paragraphs>93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NIM brev</vt:lpstr>
      <vt:lpstr>NIM brev</vt:lpstr>
    </vt:vector>
  </TitlesOfParts>
  <Manager/>
  <Company>NIM</Company>
  <LinksUpToDate>false</LinksUpToDate>
  <CharactersWithSpaces>46913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Ilia Utmelidze</dc:creator>
  <cp:keywords/>
  <dc:description/>
  <cp:lastModifiedBy>Kristin Høgdahl</cp:lastModifiedBy>
  <cp:revision>2</cp:revision>
  <cp:lastPrinted>2020-01-14T10:35:00Z</cp:lastPrinted>
  <dcterms:created xsi:type="dcterms:W3CDTF">2020-01-14T14:56:00Z</dcterms:created>
  <dcterms:modified xsi:type="dcterms:W3CDTF">2020-01-14T14:56:00Z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