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26EB" w:rsidRDefault="000B26EB" w:rsidP="000B26EB">
      <w:pPr>
        <w:jc w:val="both"/>
        <w:rPr>
          <w:rFonts w:asciiTheme="minorBidi" w:hAnsiTheme="minorBidi"/>
          <w:sz w:val="28"/>
          <w:szCs w:val="28"/>
        </w:rPr>
      </w:pPr>
    </w:p>
    <w:p w:rsidR="000B26EB" w:rsidRDefault="001D298A" w:rsidP="001D298A">
      <w:pPr>
        <w:jc w:val="center"/>
        <w:rPr>
          <w:rFonts w:asciiTheme="minorBidi" w:hAnsiTheme="minorBidi"/>
          <w:sz w:val="28"/>
          <w:szCs w:val="28"/>
        </w:rPr>
      </w:pPr>
      <w:r w:rsidRPr="001D298A">
        <w:rPr>
          <w:rFonts w:asciiTheme="minorBidi" w:hAnsiTheme="minorBidi"/>
          <w:sz w:val="28"/>
          <w:szCs w:val="28"/>
        </w:rPr>
        <w:drawing>
          <wp:inline distT="0" distB="0" distL="0" distR="0">
            <wp:extent cx="1241788" cy="1028700"/>
            <wp:effectExtent l="0" t="0" r="0" b="0"/>
            <wp:docPr id="1" name="Picture 1" descr="Logo Maloca Internationale_Logo a 3 colores_edit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Maloca Internationale_Logo a 3 colores_edited.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53822" cy="1038669"/>
                    </a:xfrm>
                    <a:prstGeom prst="rect">
                      <a:avLst/>
                    </a:prstGeom>
                    <a:noFill/>
                    <a:ln>
                      <a:noFill/>
                    </a:ln>
                  </pic:spPr>
                </pic:pic>
              </a:graphicData>
            </a:graphic>
          </wp:inline>
        </w:drawing>
      </w:r>
      <w:r>
        <w:rPr>
          <w:rFonts w:asciiTheme="minorBidi" w:hAnsiTheme="minorBidi"/>
          <w:noProof/>
          <w:sz w:val="28"/>
          <w:szCs w:val="28"/>
        </w:rPr>
        <w:drawing>
          <wp:inline distT="0" distB="0" distL="0" distR="0" wp14:anchorId="54CC963B">
            <wp:extent cx="954405" cy="9544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54405" cy="954405"/>
                    </a:xfrm>
                    <a:prstGeom prst="rect">
                      <a:avLst/>
                    </a:prstGeom>
                    <a:noFill/>
                  </pic:spPr>
                </pic:pic>
              </a:graphicData>
            </a:graphic>
          </wp:inline>
        </w:drawing>
      </w:r>
    </w:p>
    <w:p w:rsidR="005C2046" w:rsidRDefault="005C2046" w:rsidP="001D298A">
      <w:pPr>
        <w:jc w:val="center"/>
        <w:rPr>
          <w:rFonts w:asciiTheme="minorBidi" w:hAnsiTheme="minorBidi"/>
          <w:sz w:val="28"/>
          <w:szCs w:val="28"/>
        </w:rPr>
      </w:pPr>
    </w:p>
    <w:p w:rsidR="001D298A" w:rsidRPr="005C2046" w:rsidRDefault="005C2046" w:rsidP="005C2046">
      <w:pPr>
        <w:jc w:val="center"/>
        <w:rPr>
          <w:rFonts w:asciiTheme="minorBidi" w:hAnsiTheme="minorBidi"/>
          <w:b/>
          <w:bCs/>
          <w:sz w:val="28"/>
          <w:szCs w:val="28"/>
        </w:rPr>
      </w:pPr>
      <w:r w:rsidRPr="005C2046">
        <w:rPr>
          <w:rFonts w:asciiTheme="minorBidi" w:hAnsiTheme="minorBidi"/>
          <w:b/>
          <w:bCs/>
          <w:sz w:val="28"/>
          <w:szCs w:val="28"/>
        </w:rPr>
        <w:t>Committee on the Elimination of Racial Discrimination (CERD)</w:t>
      </w:r>
    </w:p>
    <w:p w:rsidR="000B26EB" w:rsidRDefault="005C2046" w:rsidP="005C2046">
      <w:pPr>
        <w:jc w:val="center"/>
        <w:rPr>
          <w:rFonts w:asciiTheme="minorBidi" w:hAnsiTheme="minorBidi"/>
          <w:sz w:val="28"/>
          <w:szCs w:val="28"/>
        </w:rPr>
      </w:pPr>
      <w:r>
        <w:rPr>
          <w:rFonts w:asciiTheme="minorBidi" w:hAnsiTheme="minorBidi"/>
          <w:sz w:val="28"/>
          <w:szCs w:val="28"/>
        </w:rPr>
        <w:t xml:space="preserve">Joint Statement on the Evaluation of Iran </w:t>
      </w:r>
    </w:p>
    <w:p w:rsidR="005C2046" w:rsidRPr="005C2046" w:rsidRDefault="005C2046" w:rsidP="005C2046">
      <w:pPr>
        <w:jc w:val="center"/>
        <w:rPr>
          <w:rFonts w:asciiTheme="minorBidi" w:hAnsiTheme="minorBidi"/>
          <w:sz w:val="24"/>
          <w:szCs w:val="24"/>
        </w:rPr>
      </w:pPr>
      <w:r w:rsidRPr="005C2046">
        <w:rPr>
          <w:rFonts w:asciiTheme="minorBidi" w:hAnsiTheme="minorBidi"/>
          <w:sz w:val="24"/>
          <w:szCs w:val="24"/>
        </w:rPr>
        <w:t>Geneva, August 2024, 113</w:t>
      </w:r>
      <w:r w:rsidRPr="005C2046">
        <w:rPr>
          <w:rFonts w:asciiTheme="minorBidi" w:hAnsiTheme="minorBidi"/>
          <w:sz w:val="24"/>
          <w:szCs w:val="24"/>
          <w:vertAlign w:val="superscript"/>
        </w:rPr>
        <w:t>th</w:t>
      </w:r>
      <w:r w:rsidRPr="005C2046">
        <w:rPr>
          <w:rFonts w:asciiTheme="minorBidi" w:hAnsiTheme="minorBidi"/>
          <w:sz w:val="24"/>
          <w:szCs w:val="24"/>
        </w:rPr>
        <w:t xml:space="preserve"> session</w:t>
      </w:r>
      <w:bookmarkStart w:id="0" w:name="_GoBack"/>
      <w:bookmarkEnd w:id="0"/>
    </w:p>
    <w:p w:rsidR="000B26EB" w:rsidRDefault="000B26EB" w:rsidP="000B26EB">
      <w:pPr>
        <w:jc w:val="both"/>
        <w:rPr>
          <w:rFonts w:asciiTheme="minorBidi" w:hAnsiTheme="minorBidi"/>
          <w:sz w:val="28"/>
          <w:szCs w:val="28"/>
        </w:rPr>
      </w:pPr>
    </w:p>
    <w:p w:rsidR="00A0243D" w:rsidRDefault="000B26EB" w:rsidP="001D298A">
      <w:pPr>
        <w:spacing w:line="360" w:lineRule="auto"/>
        <w:jc w:val="both"/>
        <w:rPr>
          <w:rFonts w:asciiTheme="minorBidi" w:hAnsiTheme="minorBidi"/>
          <w:sz w:val="28"/>
          <w:szCs w:val="28"/>
        </w:rPr>
      </w:pPr>
      <w:r w:rsidRPr="000B26EB">
        <w:rPr>
          <w:rFonts w:asciiTheme="minorBidi" w:hAnsiTheme="minorBidi"/>
          <w:sz w:val="28"/>
          <w:szCs w:val="28"/>
        </w:rPr>
        <w:t>Maloca Internationale and the Zagros Center are two NGOs active in the field of minority law, with annual conferences on the Middle East, and side events held both at the regular sessions of the Human Rights Council and at the sessions of the Minorities Forum. We also have regularly written statements on the issue, available for research by UN departments.</w:t>
      </w:r>
    </w:p>
    <w:p w:rsidR="000B26EB" w:rsidRDefault="000B26EB" w:rsidP="001D298A">
      <w:pPr>
        <w:spacing w:line="360" w:lineRule="auto"/>
        <w:jc w:val="both"/>
        <w:rPr>
          <w:rFonts w:asciiTheme="minorBidi" w:hAnsiTheme="minorBidi"/>
          <w:sz w:val="28"/>
          <w:szCs w:val="28"/>
        </w:rPr>
      </w:pPr>
    </w:p>
    <w:p w:rsidR="000B26EB" w:rsidRPr="000B26EB" w:rsidRDefault="000B26EB" w:rsidP="001D298A">
      <w:pPr>
        <w:spacing w:line="360" w:lineRule="auto"/>
        <w:jc w:val="both"/>
        <w:rPr>
          <w:rFonts w:asciiTheme="minorBidi" w:hAnsiTheme="minorBidi"/>
          <w:sz w:val="28"/>
          <w:szCs w:val="28"/>
          <w:lang w:val="es-ES"/>
        </w:rPr>
      </w:pPr>
      <w:r w:rsidRPr="000B26EB">
        <w:rPr>
          <w:rFonts w:asciiTheme="minorBidi" w:hAnsiTheme="minorBidi"/>
          <w:sz w:val="28"/>
          <w:szCs w:val="28"/>
        </w:rPr>
        <w:t xml:space="preserve">After years of thinking, talking and writing about discrimination against minorities in the Islamic Republic of Iran, we have come to the conclusion that </w:t>
      </w:r>
      <w:r w:rsidRPr="005C2046">
        <w:rPr>
          <w:rFonts w:asciiTheme="minorBidi" w:hAnsiTheme="minorBidi"/>
          <w:b/>
          <w:bCs/>
          <w:sz w:val="28"/>
          <w:szCs w:val="28"/>
        </w:rPr>
        <w:t>the best way to lobby the issue is to put the discussion in terms of constitutional law. Both Articles 15 and 19 of the 1979 Constitution of the Islamic Republic of Iran contain provisions that have yet to be developed into law</w:t>
      </w:r>
      <w:r w:rsidRPr="000B26EB">
        <w:rPr>
          <w:rFonts w:asciiTheme="minorBidi" w:hAnsiTheme="minorBidi"/>
          <w:sz w:val="28"/>
          <w:szCs w:val="28"/>
        </w:rPr>
        <w:t xml:space="preserve">.  If the State of Iran endows itself with laws that serve to implement Articles 15 and 19 of the Constitution, minorities in the Persian country will </w:t>
      </w:r>
      <w:r>
        <w:rPr>
          <w:rFonts w:asciiTheme="minorBidi" w:hAnsiTheme="minorBidi"/>
          <w:sz w:val="28"/>
          <w:szCs w:val="28"/>
        </w:rPr>
        <w:t xml:space="preserve">see their situation improved. </w:t>
      </w:r>
      <w:r w:rsidRPr="000B26EB">
        <w:rPr>
          <w:rFonts w:asciiTheme="minorBidi" w:hAnsiTheme="minorBidi"/>
          <w:sz w:val="28"/>
          <w:szCs w:val="28"/>
          <w:lang w:val="es-ES"/>
        </w:rPr>
        <w:t xml:space="preserve">It is why we present the </w:t>
      </w:r>
      <w:r w:rsidRPr="000B26EB">
        <w:rPr>
          <w:rFonts w:asciiTheme="minorBidi" w:hAnsiTheme="minorBidi"/>
          <w:sz w:val="28"/>
          <w:szCs w:val="28"/>
          <w:lang w:val="es-ES"/>
        </w:rPr>
        <w:t>following re</w:t>
      </w:r>
      <w:r w:rsidRPr="000B26EB">
        <w:rPr>
          <w:rFonts w:asciiTheme="minorBidi" w:hAnsiTheme="minorBidi"/>
          <w:sz w:val="28"/>
          <w:szCs w:val="28"/>
          <w:lang w:val="es-ES"/>
        </w:rPr>
        <w:t>commendations</w:t>
      </w:r>
      <w:r w:rsidRPr="000B26EB">
        <w:rPr>
          <w:rFonts w:asciiTheme="minorBidi" w:hAnsiTheme="minorBidi"/>
          <w:sz w:val="28"/>
          <w:szCs w:val="28"/>
          <w:lang w:val="es-ES"/>
        </w:rPr>
        <w:t>.</w:t>
      </w:r>
    </w:p>
    <w:p w:rsidR="000B26EB" w:rsidRPr="000B26EB" w:rsidRDefault="000B26EB" w:rsidP="001D298A">
      <w:pPr>
        <w:spacing w:line="360" w:lineRule="auto"/>
        <w:rPr>
          <w:rFonts w:asciiTheme="minorBidi" w:hAnsiTheme="minorBidi"/>
          <w:sz w:val="28"/>
          <w:szCs w:val="28"/>
          <w:lang w:val="es-ES"/>
        </w:rPr>
      </w:pPr>
    </w:p>
    <w:p w:rsidR="005C2046" w:rsidRDefault="005C2046" w:rsidP="001D298A">
      <w:pPr>
        <w:spacing w:line="360" w:lineRule="auto"/>
        <w:jc w:val="both"/>
        <w:rPr>
          <w:rFonts w:asciiTheme="minorBidi" w:hAnsiTheme="minorBidi"/>
          <w:sz w:val="28"/>
          <w:szCs w:val="28"/>
        </w:rPr>
      </w:pPr>
    </w:p>
    <w:p w:rsidR="005C2046" w:rsidRDefault="005C2046" w:rsidP="001D298A">
      <w:pPr>
        <w:spacing w:line="360" w:lineRule="auto"/>
        <w:jc w:val="both"/>
        <w:rPr>
          <w:rFonts w:asciiTheme="minorBidi" w:hAnsiTheme="minorBidi"/>
          <w:sz w:val="28"/>
          <w:szCs w:val="28"/>
        </w:rPr>
      </w:pPr>
    </w:p>
    <w:p w:rsidR="005C2046" w:rsidRDefault="005C2046" w:rsidP="001D298A">
      <w:pPr>
        <w:spacing w:line="360" w:lineRule="auto"/>
        <w:jc w:val="both"/>
        <w:rPr>
          <w:rFonts w:asciiTheme="minorBidi" w:hAnsiTheme="minorBidi"/>
          <w:sz w:val="28"/>
          <w:szCs w:val="28"/>
        </w:rPr>
      </w:pPr>
    </w:p>
    <w:p w:rsidR="000B26EB" w:rsidRPr="000B26EB" w:rsidRDefault="000B26EB" w:rsidP="001D298A">
      <w:pPr>
        <w:spacing w:line="360" w:lineRule="auto"/>
        <w:jc w:val="both"/>
        <w:rPr>
          <w:rFonts w:asciiTheme="minorBidi" w:hAnsiTheme="minorBidi"/>
          <w:sz w:val="28"/>
          <w:szCs w:val="28"/>
        </w:rPr>
      </w:pPr>
      <w:r w:rsidRPr="000B26EB">
        <w:rPr>
          <w:rFonts w:asciiTheme="minorBidi" w:hAnsiTheme="minorBidi"/>
          <w:sz w:val="28"/>
          <w:szCs w:val="28"/>
        </w:rPr>
        <w:t xml:space="preserve">We recommend planning and financing bilingual education programs in all provinces of the country, in accordance with Article 15 of the 1979 Constitution: “(…) </w:t>
      </w:r>
      <w:r w:rsidRPr="000B26EB">
        <w:rPr>
          <w:rFonts w:asciiTheme="minorBidi" w:hAnsiTheme="minorBidi"/>
          <w:sz w:val="28"/>
          <w:szCs w:val="28"/>
        </w:rPr>
        <w:t>use of regional and ethnic languages in the press, the mass media, and the</w:t>
      </w:r>
      <w:r w:rsidRPr="000B26EB">
        <w:rPr>
          <w:rFonts w:asciiTheme="minorBidi" w:hAnsiTheme="minorBidi"/>
          <w:sz w:val="28"/>
          <w:szCs w:val="28"/>
        </w:rPr>
        <w:t xml:space="preserve"> </w:t>
      </w:r>
      <w:r w:rsidRPr="000B26EB">
        <w:rPr>
          <w:rFonts w:asciiTheme="minorBidi" w:hAnsiTheme="minorBidi"/>
          <w:sz w:val="28"/>
          <w:szCs w:val="28"/>
        </w:rPr>
        <w:t>teaching of their literature at schools, alongside the Persian language, is freely permitted</w:t>
      </w:r>
      <w:r w:rsidRPr="000B26EB">
        <w:rPr>
          <w:rFonts w:asciiTheme="minorBidi" w:hAnsiTheme="minorBidi"/>
          <w:sz w:val="28"/>
          <w:szCs w:val="28"/>
        </w:rPr>
        <w:t>”</w:t>
      </w:r>
      <w:r w:rsidRPr="000B26EB">
        <w:rPr>
          <w:rFonts w:asciiTheme="minorBidi" w:hAnsiTheme="minorBidi"/>
          <w:sz w:val="28"/>
          <w:szCs w:val="28"/>
        </w:rPr>
        <w:t>.</w:t>
      </w:r>
    </w:p>
    <w:p w:rsidR="000B26EB" w:rsidRDefault="000B26EB" w:rsidP="001D298A">
      <w:pPr>
        <w:spacing w:line="360" w:lineRule="auto"/>
        <w:jc w:val="both"/>
        <w:rPr>
          <w:rFonts w:asciiTheme="minorBidi" w:hAnsiTheme="minorBidi"/>
          <w:sz w:val="28"/>
          <w:szCs w:val="28"/>
        </w:rPr>
      </w:pPr>
    </w:p>
    <w:p w:rsidR="000B26EB" w:rsidRDefault="000B26EB" w:rsidP="001D298A">
      <w:pPr>
        <w:spacing w:line="360" w:lineRule="auto"/>
        <w:jc w:val="both"/>
        <w:rPr>
          <w:rFonts w:asciiTheme="minorBidi" w:hAnsiTheme="minorBidi"/>
          <w:sz w:val="28"/>
          <w:szCs w:val="28"/>
        </w:rPr>
      </w:pPr>
      <w:r w:rsidRPr="000B26EB">
        <w:rPr>
          <w:rFonts w:asciiTheme="minorBidi" w:hAnsiTheme="minorBidi"/>
          <w:sz w:val="28"/>
          <w:szCs w:val="28"/>
        </w:rPr>
        <w:t>Article 19 of the constitution reads:</w:t>
      </w:r>
      <w:r>
        <w:rPr>
          <w:rFonts w:asciiTheme="minorBidi" w:hAnsiTheme="minorBidi"/>
          <w:sz w:val="28"/>
          <w:szCs w:val="28"/>
        </w:rPr>
        <w:t xml:space="preserve"> “</w:t>
      </w:r>
      <w:r w:rsidRPr="000B26EB">
        <w:rPr>
          <w:rFonts w:asciiTheme="minorBidi" w:hAnsiTheme="minorBidi"/>
          <w:sz w:val="28"/>
          <w:szCs w:val="28"/>
        </w:rPr>
        <w:t>The people of Iran enjoy equal rights, regardless of the tribe or ethnic group to which</w:t>
      </w:r>
      <w:r>
        <w:rPr>
          <w:rFonts w:asciiTheme="minorBidi" w:hAnsiTheme="minorBidi"/>
          <w:sz w:val="28"/>
          <w:szCs w:val="28"/>
        </w:rPr>
        <w:t xml:space="preserve"> </w:t>
      </w:r>
      <w:r w:rsidRPr="000B26EB">
        <w:rPr>
          <w:rFonts w:asciiTheme="minorBidi" w:hAnsiTheme="minorBidi"/>
          <w:sz w:val="28"/>
          <w:szCs w:val="28"/>
        </w:rPr>
        <w:t>they belong</w:t>
      </w:r>
      <w:r>
        <w:rPr>
          <w:rFonts w:asciiTheme="minorBidi" w:hAnsiTheme="minorBidi"/>
          <w:sz w:val="28"/>
          <w:szCs w:val="28"/>
        </w:rPr>
        <w:t xml:space="preserve">”. </w:t>
      </w:r>
      <w:r w:rsidRPr="000B26EB">
        <w:rPr>
          <w:rFonts w:asciiTheme="minorBidi" w:hAnsiTheme="minorBidi"/>
          <w:sz w:val="28"/>
          <w:szCs w:val="28"/>
        </w:rPr>
        <w:t>We believe that the development of Article 15 through the law would lead to the promotion of a situation that would support in part the implementation of Article 19, since it would allow a greater fluidity of the judicial system. This system is essential to protect the rights of minorities, their constitutional rights. Therefore, we recommend that a program of legal interpreters be established for legal proceedings involving members of minorities, and that the State promote the use of databases with interpreters qualified to intervene in such proceedings.</w:t>
      </w:r>
    </w:p>
    <w:p w:rsidR="000B26EB" w:rsidRDefault="000B26EB" w:rsidP="001D298A">
      <w:pPr>
        <w:spacing w:line="360" w:lineRule="auto"/>
        <w:jc w:val="both"/>
        <w:rPr>
          <w:rFonts w:asciiTheme="minorBidi" w:hAnsiTheme="minorBidi"/>
          <w:sz w:val="28"/>
          <w:szCs w:val="28"/>
        </w:rPr>
      </w:pPr>
    </w:p>
    <w:p w:rsidR="000B26EB" w:rsidRPr="000B26EB" w:rsidRDefault="000B26EB" w:rsidP="001D298A">
      <w:pPr>
        <w:spacing w:line="360" w:lineRule="auto"/>
        <w:jc w:val="both"/>
        <w:rPr>
          <w:rFonts w:asciiTheme="minorBidi" w:hAnsiTheme="minorBidi"/>
          <w:sz w:val="28"/>
          <w:szCs w:val="28"/>
        </w:rPr>
      </w:pPr>
      <w:r w:rsidRPr="000B26EB">
        <w:rPr>
          <w:rFonts w:asciiTheme="minorBidi" w:hAnsiTheme="minorBidi"/>
          <w:sz w:val="28"/>
          <w:szCs w:val="28"/>
        </w:rPr>
        <w:t xml:space="preserve">Finally, our organizations stand in solidarity with Women, Life, Freedom </w:t>
      </w:r>
      <w:r w:rsidR="001D298A" w:rsidRPr="000B26EB">
        <w:rPr>
          <w:rFonts w:asciiTheme="minorBidi" w:hAnsiTheme="minorBidi"/>
          <w:sz w:val="28"/>
          <w:szCs w:val="28"/>
        </w:rPr>
        <w:t>movement</w:t>
      </w:r>
      <w:r w:rsidRPr="000B26EB">
        <w:rPr>
          <w:rFonts w:asciiTheme="minorBidi" w:hAnsiTheme="minorBidi"/>
          <w:sz w:val="28"/>
          <w:szCs w:val="28"/>
        </w:rPr>
        <w:t xml:space="preserve"> </w:t>
      </w:r>
      <w:r w:rsidRPr="005C2046">
        <w:rPr>
          <w:rFonts w:asciiTheme="minorBidi" w:hAnsiTheme="minorBidi"/>
          <w:b/>
          <w:bCs/>
          <w:sz w:val="28"/>
          <w:szCs w:val="28"/>
        </w:rPr>
        <w:t>to keep the memory of Jina Amini, a Kurdish woman</w:t>
      </w:r>
      <w:r w:rsidRPr="000B26EB">
        <w:rPr>
          <w:rFonts w:asciiTheme="minorBidi" w:hAnsiTheme="minorBidi"/>
          <w:sz w:val="28"/>
          <w:szCs w:val="28"/>
        </w:rPr>
        <w:t xml:space="preserve"> who in September 2024 will be two years after being killed by the Persian police.</w:t>
      </w:r>
    </w:p>
    <w:sectPr w:rsidR="000B26EB" w:rsidRPr="000B26EB">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1DA2" w:rsidRDefault="00251DA2" w:rsidP="005C2046">
      <w:pPr>
        <w:spacing w:after="0" w:line="240" w:lineRule="auto"/>
      </w:pPr>
      <w:r>
        <w:separator/>
      </w:r>
    </w:p>
  </w:endnote>
  <w:endnote w:type="continuationSeparator" w:id="0">
    <w:p w:rsidR="00251DA2" w:rsidRDefault="00251DA2" w:rsidP="005C20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6895709"/>
      <w:docPartObj>
        <w:docPartGallery w:val="Page Numbers (Bottom of Page)"/>
        <w:docPartUnique/>
      </w:docPartObj>
    </w:sdtPr>
    <w:sdtEndPr>
      <w:rPr>
        <w:noProof/>
      </w:rPr>
    </w:sdtEndPr>
    <w:sdtContent>
      <w:p w:rsidR="005C2046" w:rsidRDefault="005C204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5C2046" w:rsidRDefault="005C204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1DA2" w:rsidRDefault="00251DA2" w:rsidP="005C2046">
      <w:pPr>
        <w:spacing w:after="0" w:line="240" w:lineRule="auto"/>
      </w:pPr>
      <w:r>
        <w:separator/>
      </w:r>
    </w:p>
  </w:footnote>
  <w:footnote w:type="continuationSeparator" w:id="0">
    <w:p w:rsidR="00251DA2" w:rsidRDefault="00251DA2" w:rsidP="005C204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26EB"/>
    <w:rsid w:val="000B26EB"/>
    <w:rsid w:val="001D298A"/>
    <w:rsid w:val="00251DA2"/>
    <w:rsid w:val="005C2046"/>
    <w:rsid w:val="00A024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A7D8A"/>
  <w15:chartTrackingRefBased/>
  <w15:docId w15:val="{977FA2B4-971D-42A3-A7F4-BE017B18D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20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2046"/>
  </w:style>
  <w:style w:type="paragraph" w:styleId="Footer">
    <w:name w:val="footer"/>
    <w:basedOn w:val="Normal"/>
    <w:link w:val="FooterChar"/>
    <w:uiPriority w:val="99"/>
    <w:unhideWhenUsed/>
    <w:rsid w:val="005C20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20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01516D-FBE5-42D2-AB1C-5F2F9914D08D}"/>
</file>

<file path=customXml/itemProps2.xml><?xml version="1.0" encoding="utf-8"?>
<ds:datastoreItem xmlns:ds="http://schemas.openxmlformats.org/officeDocument/2006/customXml" ds:itemID="{07E58250-75AE-4B9F-AF95-08D94728322D}"/>
</file>

<file path=docProps/app.xml><?xml version="1.0" encoding="utf-8"?>
<Properties xmlns="http://schemas.openxmlformats.org/officeDocument/2006/extended-properties" xmlns:vt="http://schemas.openxmlformats.org/officeDocument/2006/docPropsVTypes">
  <Template>Normal</Template>
  <TotalTime>22</TotalTime>
  <Pages>2</Pages>
  <Words>353</Words>
  <Characters>2018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UNOG</Company>
  <LinksUpToDate>false</LinksUpToDate>
  <CharactersWithSpaces>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userwifi</dc:creator>
  <cp:keywords/>
  <dc:description/>
  <cp:lastModifiedBy>userwifi</cp:lastModifiedBy>
  <cp:revision>1</cp:revision>
  <dcterms:created xsi:type="dcterms:W3CDTF">2024-07-29T10:15:00Z</dcterms:created>
  <dcterms:modified xsi:type="dcterms:W3CDTF">2024-07-29T10:46:00Z</dcterms:modified>
</cp:coreProperties>
</file>