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394BD3" w:rsidRDefault="00C05D9B" w:rsidP="00626C39"/>
    <w:p w14:paraId="1C720C6D" w14:textId="77777777" w:rsidR="005403E3" w:rsidRPr="00394BD3" w:rsidRDefault="005403E3" w:rsidP="00626C39"/>
    <w:p w14:paraId="5E537D0D" w14:textId="77777777" w:rsidR="005403E3" w:rsidRPr="00394BD3" w:rsidRDefault="005403E3" w:rsidP="00626C39"/>
    <w:p w14:paraId="43F13231" w14:textId="1A99A73A" w:rsidR="004B1E4E" w:rsidRPr="00394BD3" w:rsidRDefault="008517AC" w:rsidP="004B1E4E">
      <w:pPr>
        <w:jc w:val="center"/>
        <w:rPr>
          <w:b/>
        </w:rPr>
      </w:pPr>
      <w:r w:rsidRPr="00394BD3">
        <w:rPr>
          <w:b/>
        </w:rPr>
        <w:t>Sri Lanka’s</w:t>
      </w:r>
      <w:r w:rsidR="004B1E4E" w:rsidRPr="00394BD3">
        <w:rPr>
          <w:b/>
        </w:rPr>
        <w:t xml:space="preserve"> Compliance with </w:t>
      </w:r>
      <w:r w:rsidRPr="00394BD3">
        <w:rPr>
          <w:b/>
        </w:rPr>
        <w:t>The International Covenant on Civil and Political Rights</w:t>
      </w:r>
      <w:r w:rsidR="00E114C5" w:rsidRPr="00394BD3">
        <w:rPr>
          <w:b/>
        </w:rPr>
        <w:t xml:space="preserve">: </w:t>
      </w:r>
      <w:r w:rsidR="00CE5498" w:rsidRPr="00394BD3">
        <w:rPr>
          <w:b/>
        </w:rPr>
        <w:t>The Death Penalty</w:t>
      </w:r>
    </w:p>
    <w:p w14:paraId="171F4CCF" w14:textId="77777777" w:rsidR="004B1E4E" w:rsidRPr="00394BD3" w:rsidRDefault="004B1E4E" w:rsidP="004B1E4E">
      <w:pPr>
        <w:jc w:val="center"/>
      </w:pPr>
    </w:p>
    <w:p w14:paraId="26D24DDC" w14:textId="77777777" w:rsidR="004B1E4E" w:rsidRPr="00394BD3" w:rsidRDefault="004B1E4E" w:rsidP="004B1E4E">
      <w:pPr>
        <w:jc w:val="center"/>
        <w:rPr>
          <w:b/>
        </w:rPr>
      </w:pPr>
      <w:r w:rsidRPr="00394BD3">
        <w:rPr>
          <w:b/>
        </w:rPr>
        <w:t xml:space="preserve">Submitted by </w:t>
      </w:r>
      <w:r w:rsidR="00AA7FCB" w:rsidRPr="00394BD3">
        <w:rPr>
          <w:b/>
        </w:rPr>
        <w:t>T</w:t>
      </w:r>
      <w:r w:rsidRPr="00394BD3">
        <w:rPr>
          <w:b/>
        </w:rPr>
        <w:t>he Advocates for Human Rights</w:t>
      </w:r>
    </w:p>
    <w:p w14:paraId="6D01AE49" w14:textId="77777777" w:rsidR="004B1E4E" w:rsidRPr="00394BD3" w:rsidRDefault="004B1E4E" w:rsidP="004B1E4E">
      <w:pPr>
        <w:jc w:val="center"/>
      </w:pPr>
      <w:r w:rsidRPr="00394BD3">
        <w:t>a non-governmental organization in special consultative status with ECOSOC</w:t>
      </w:r>
      <w:r w:rsidR="00624A10" w:rsidRPr="00394BD3">
        <w:t xml:space="preserve"> since 1996</w:t>
      </w:r>
    </w:p>
    <w:p w14:paraId="74881DA7" w14:textId="32A8445B" w:rsidR="004B1E4E" w:rsidRPr="00394BD3" w:rsidRDefault="00BA4C3B" w:rsidP="004B1E4E">
      <w:pPr>
        <w:jc w:val="center"/>
      </w:pPr>
      <w:r w:rsidRPr="00394BD3">
        <w:t>and</w:t>
      </w:r>
    </w:p>
    <w:p w14:paraId="7C5325F4" w14:textId="3989D620" w:rsidR="00BA4C3B" w:rsidRPr="00394BD3" w:rsidRDefault="00857D47" w:rsidP="004B1E4E">
      <w:pPr>
        <w:jc w:val="center"/>
        <w:rPr>
          <w:b/>
          <w:bCs/>
        </w:rPr>
      </w:pPr>
      <w:r w:rsidRPr="00394BD3">
        <w:rPr>
          <w:b/>
          <w:bCs/>
        </w:rPr>
        <w:t>The World Coalition Against the Death Penalty</w:t>
      </w:r>
    </w:p>
    <w:p w14:paraId="77E85E5E" w14:textId="77777777" w:rsidR="00857D47" w:rsidRPr="00394BD3" w:rsidRDefault="00857D47" w:rsidP="004B1E4E">
      <w:pPr>
        <w:jc w:val="center"/>
        <w:rPr>
          <w:b/>
          <w:bCs/>
        </w:rPr>
      </w:pPr>
    </w:p>
    <w:p w14:paraId="24E688AE" w14:textId="75372258" w:rsidR="004B1E4E" w:rsidRPr="00394BD3" w:rsidRDefault="004B1E4E" w:rsidP="004B1E4E">
      <w:pPr>
        <w:jc w:val="center"/>
        <w:rPr>
          <w:b/>
          <w:bCs/>
        </w:rPr>
      </w:pPr>
      <w:r w:rsidRPr="00394BD3">
        <w:rPr>
          <w:b/>
          <w:bCs/>
        </w:rPr>
        <w:t xml:space="preserve">for the </w:t>
      </w:r>
      <w:r w:rsidR="008517AC" w:rsidRPr="00394BD3">
        <w:rPr>
          <w:b/>
          <w:bCs/>
        </w:rPr>
        <w:t>137th</w:t>
      </w:r>
      <w:r w:rsidRPr="00394BD3">
        <w:rPr>
          <w:b/>
          <w:bCs/>
        </w:rPr>
        <w:t xml:space="preserve"> Session of the </w:t>
      </w:r>
      <w:r w:rsidR="008517AC" w:rsidRPr="00394BD3">
        <w:rPr>
          <w:b/>
          <w:bCs/>
        </w:rPr>
        <w:t>UN Human Rights Committee</w:t>
      </w:r>
    </w:p>
    <w:p w14:paraId="3B163C2D" w14:textId="12CE8B30" w:rsidR="004B1E4E" w:rsidRPr="00394BD3" w:rsidRDefault="008517AC" w:rsidP="004B1E4E">
      <w:pPr>
        <w:jc w:val="center"/>
        <w:rPr>
          <w:b/>
          <w:bCs/>
        </w:rPr>
      </w:pPr>
      <w:r w:rsidRPr="00394BD3">
        <w:rPr>
          <w:b/>
          <w:bCs/>
        </w:rPr>
        <w:t>27 February–24 March 2023</w:t>
      </w:r>
    </w:p>
    <w:p w14:paraId="42599716" w14:textId="02060FAC" w:rsidR="00C214BA" w:rsidRPr="00394BD3" w:rsidRDefault="00C214BA" w:rsidP="004B1E4E">
      <w:pPr>
        <w:jc w:val="center"/>
        <w:rPr>
          <w:b/>
          <w:bCs/>
        </w:rPr>
      </w:pPr>
    </w:p>
    <w:p w14:paraId="3D93E372" w14:textId="7D95DF89" w:rsidR="00C214BA" w:rsidRPr="00394BD3" w:rsidRDefault="00C214BA" w:rsidP="004B1E4E">
      <w:pPr>
        <w:jc w:val="center"/>
        <w:rPr>
          <w:b/>
          <w:bCs/>
        </w:rPr>
      </w:pPr>
      <w:r w:rsidRPr="00394BD3">
        <w:rPr>
          <w:b/>
          <w:bCs/>
        </w:rPr>
        <w:t xml:space="preserve">Submitted </w:t>
      </w:r>
      <w:r w:rsidR="008517AC" w:rsidRPr="00394BD3">
        <w:rPr>
          <w:b/>
          <w:bCs/>
        </w:rPr>
        <w:t>30 January 2023</w:t>
      </w:r>
    </w:p>
    <w:p w14:paraId="5F0F5054" w14:textId="77777777" w:rsidR="001565F9" w:rsidRPr="00394BD3" w:rsidRDefault="001565F9" w:rsidP="005132BB"/>
    <w:p w14:paraId="69899961" w14:textId="77777777" w:rsidR="005132BB" w:rsidRPr="00394BD3" w:rsidRDefault="005132BB" w:rsidP="00626C39"/>
    <w:p w14:paraId="64B92EAF" w14:textId="7F876488" w:rsidR="27553789" w:rsidRPr="00394BD3" w:rsidRDefault="004B1E4E" w:rsidP="20EBB8F7">
      <w:pPr>
        <w:jc w:val="both"/>
      </w:pPr>
      <w:r w:rsidRPr="00394BD3">
        <w:rPr>
          <w:b/>
        </w:rPr>
        <w:t xml:space="preserve">The Advocates for Human Rights </w:t>
      </w:r>
      <w:r w:rsidRPr="00394BD3">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27553789" w:rsidRPr="00394BD3">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828B34A" w14:textId="77777777" w:rsidR="00CE5498" w:rsidRPr="00394BD3" w:rsidRDefault="00CE5498" w:rsidP="20EBB8F7">
      <w:pPr>
        <w:jc w:val="both"/>
      </w:pPr>
    </w:p>
    <w:p w14:paraId="6C90BA90" w14:textId="211B56B7" w:rsidR="00CE5498" w:rsidRPr="00394BD3" w:rsidRDefault="00CE5498" w:rsidP="20EBB8F7">
      <w:pPr>
        <w:jc w:val="both"/>
      </w:pPr>
      <w:r w:rsidRPr="00394BD3">
        <w:rPr>
          <w:rStyle w:val="normaltextrun"/>
          <w:b/>
          <w:bCs/>
          <w:color w:val="000000"/>
          <w:shd w:val="clear" w:color="auto" w:fill="FFFFFF"/>
        </w:rPr>
        <w:t>The World Coalition Against the Death Penalty</w:t>
      </w:r>
      <w:r w:rsidRPr="00394BD3">
        <w:rPr>
          <w:rStyle w:val="normaltextrun"/>
          <w:color w:val="000000"/>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394BD3" w:rsidRPr="00394BD3">
        <w:rPr>
          <w:rStyle w:val="normaltextrun"/>
          <w:color w:val="000000"/>
          <w:shd w:val="clear" w:color="auto" w:fill="FFFFFF"/>
        </w:rPr>
        <w:t xml:space="preserve"> </w:t>
      </w:r>
    </w:p>
    <w:p w14:paraId="4ACE5FE4" w14:textId="6A4196E0" w:rsidR="00857D47" w:rsidRPr="00394BD3" w:rsidRDefault="00857D47" w:rsidP="20EBB8F7">
      <w:pPr>
        <w:jc w:val="both"/>
      </w:pPr>
    </w:p>
    <w:p w14:paraId="71460289" w14:textId="77777777" w:rsidR="00857D47" w:rsidRPr="00394BD3" w:rsidRDefault="00857D47" w:rsidP="20EBB8F7">
      <w:pPr>
        <w:jc w:val="both"/>
      </w:pPr>
    </w:p>
    <w:p w14:paraId="661F8906" w14:textId="279276EE" w:rsidR="00BA4C3B" w:rsidRPr="00394BD3" w:rsidRDefault="00BA4C3B" w:rsidP="20EBB8F7">
      <w:pPr>
        <w:jc w:val="both"/>
      </w:pPr>
    </w:p>
    <w:p w14:paraId="38E94B4C" w14:textId="77777777" w:rsidR="00BA4C3B" w:rsidRPr="00394BD3" w:rsidRDefault="00BA4C3B" w:rsidP="20EBB8F7">
      <w:pPr>
        <w:jc w:val="both"/>
      </w:pPr>
    </w:p>
    <w:p w14:paraId="7AE434B8" w14:textId="77777777" w:rsidR="00F4107A" w:rsidRPr="00394BD3" w:rsidRDefault="00F4107A" w:rsidP="00626C39"/>
    <w:p w14:paraId="1FC77D31" w14:textId="77777777" w:rsidR="004B1E4E" w:rsidRPr="00394BD3" w:rsidRDefault="004B1E4E" w:rsidP="004B1E4E">
      <w:pPr>
        <w:jc w:val="center"/>
        <w:rPr>
          <w:b/>
          <w:caps/>
        </w:rPr>
      </w:pPr>
      <w:r w:rsidRPr="00394BD3">
        <w:br w:type="page"/>
      </w:r>
      <w:r w:rsidRPr="00394BD3">
        <w:rPr>
          <w:b/>
          <w:caps/>
        </w:rPr>
        <w:lastRenderedPageBreak/>
        <w:t>Executive Summary</w:t>
      </w:r>
    </w:p>
    <w:p w14:paraId="431A8E80" w14:textId="77777777" w:rsidR="004B1E4E" w:rsidRPr="00394BD3" w:rsidRDefault="004B1E4E" w:rsidP="00626C39"/>
    <w:p w14:paraId="6CD9AC33" w14:textId="5572996E" w:rsidR="004B1E4E" w:rsidRPr="00394BD3" w:rsidRDefault="00F357B1" w:rsidP="00F357B1">
      <w:pPr>
        <w:numPr>
          <w:ilvl w:val="0"/>
          <w:numId w:val="7"/>
        </w:numPr>
        <w:spacing w:after="120"/>
        <w:ind w:left="360"/>
        <w:jc w:val="both"/>
      </w:pPr>
      <w:r w:rsidRPr="00394BD3">
        <w:t xml:space="preserve">While Sri Lanka continues to acknowledge itself as a </w:t>
      </w:r>
      <w:r w:rsidRPr="00394BD3">
        <w:rPr>
          <w:i/>
          <w:iCs/>
        </w:rPr>
        <w:t>de facto</w:t>
      </w:r>
      <w:r w:rsidRPr="00394BD3">
        <w:t xml:space="preserve"> abolitionist state, it continues to sentence </w:t>
      </w:r>
      <w:r w:rsidR="001E2C1D" w:rsidRPr="00394BD3">
        <w:t xml:space="preserve">people </w:t>
      </w:r>
      <w:r w:rsidRPr="00394BD3">
        <w:t xml:space="preserve">to death while also recently expanding the death penalty to apply to drug-related offenses. Even </w:t>
      </w:r>
      <w:proofErr w:type="gramStart"/>
      <w:r w:rsidRPr="00394BD3">
        <w:t>in light of</w:t>
      </w:r>
      <w:proofErr w:type="gramEnd"/>
      <w:r w:rsidRPr="00394BD3">
        <w:t xml:space="preserve"> Sri Lanka’s assertion that it does not intend to carry out any executions, </w:t>
      </w:r>
      <w:r w:rsidR="007E4B76" w:rsidRPr="00394BD3">
        <w:t xml:space="preserve">its </w:t>
      </w:r>
      <w:r w:rsidRPr="00394BD3">
        <w:t xml:space="preserve">expansion of the death penalty to </w:t>
      </w:r>
      <w:r w:rsidR="00DD3C83" w:rsidRPr="00394BD3">
        <w:t xml:space="preserve">additional </w:t>
      </w:r>
      <w:r w:rsidRPr="00394BD3">
        <w:t xml:space="preserve">offenses not limited to the most serious crimes demonstrates a regression </w:t>
      </w:r>
      <w:r w:rsidR="00DD3C83" w:rsidRPr="00394BD3">
        <w:t xml:space="preserve">away </w:t>
      </w:r>
      <w:r w:rsidRPr="00394BD3">
        <w:t xml:space="preserve">from abolition. Further, research suggests that detention conditions continue to remain poor. </w:t>
      </w:r>
      <w:r w:rsidR="006B7565" w:rsidRPr="00394BD3">
        <w:t xml:space="preserve">Despite these setbacks, </w:t>
      </w:r>
      <w:r w:rsidRPr="00394BD3">
        <w:t xml:space="preserve">Sri Lanka has taken significant steps in attempting to </w:t>
      </w:r>
      <w:r w:rsidR="006B7565" w:rsidRPr="00394BD3">
        <w:t xml:space="preserve">address </w:t>
      </w:r>
      <w:r w:rsidRPr="00394BD3">
        <w:t xml:space="preserve">concerns relating to torture and ill-treatment of </w:t>
      </w:r>
      <w:r w:rsidR="006B7565" w:rsidRPr="00394BD3">
        <w:t>people in detention</w:t>
      </w:r>
      <w:r w:rsidRPr="00394BD3">
        <w:t xml:space="preserve"> and the overcrowding in prisons by putting the necessary committees in place to implement positive changes.</w:t>
      </w:r>
    </w:p>
    <w:p w14:paraId="51BE79E2" w14:textId="6401949C" w:rsidR="004E150B" w:rsidRPr="00394BD3" w:rsidRDefault="004B5B84" w:rsidP="004B5B84">
      <w:pPr>
        <w:spacing w:after="120"/>
        <w:jc w:val="center"/>
        <w:rPr>
          <w:b/>
        </w:rPr>
      </w:pPr>
      <w:r w:rsidRPr="00394BD3">
        <w:rPr>
          <w:b/>
        </w:rPr>
        <w:t>Sri Lanka</w:t>
      </w:r>
      <w:r w:rsidR="008F2F99" w:rsidRPr="00394BD3">
        <w:rPr>
          <w:b/>
        </w:rPr>
        <w:t xml:space="preserve"> fails to uphold its obligations under the </w:t>
      </w:r>
      <w:r w:rsidRPr="00394BD3">
        <w:rPr>
          <w:b/>
        </w:rPr>
        <w:t>International Covenant on Civil and Political Rights</w:t>
      </w:r>
    </w:p>
    <w:p w14:paraId="71FF20C1" w14:textId="287500C1" w:rsidR="004B1E4E" w:rsidRPr="00394BD3" w:rsidRDefault="004B5B84" w:rsidP="00F23CD7">
      <w:pPr>
        <w:keepNext/>
        <w:numPr>
          <w:ilvl w:val="0"/>
          <w:numId w:val="8"/>
        </w:numPr>
        <w:spacing w:before="240" w:after="240"/>
        <w:ind w:left="720" w:hanging="360"/>
        <w:rPr>
          <w:b/>
        </w:rPr>
      </w:pPr>
      <w:r w:rsidRPr="00394BD3">
        <w:rPr>
          <w:b/>
        </w:rPr>
        <w:t>Sri Lanka</w:t>
      </w:r>
      <w:r w:rsidR="00BE4BE7" w:rsidRPr="00394BD3">
        <w:rPr>
          <w:b/>
        </w:rPr>
        <w:t>’</w:t>
      </w:r>
      <w:r w:rsidRPr="00394BD3">
        <w:rPr>
          <w:b/>
        </w:rPr>
        <w:t>s death penalty practices are not in compliance with Article 6</w:t>
      </w:r>
      <w:r w:rsidR="00DD3C43" w:rsidRPr="00394BD3">
        <w:rPr>
          <w:b/>
        </w:rPr>
        <w:t xml:space="preserve"> </w:t>
      </w:r>
      <w:r w:rsidRPr="00394BD3">
        <w:rPr>
          <w:b/>
        </w:rPr>
        <w:t>of the Covenant. (List of Issues Paragraph 15)</w:t>
      </w:r>
    </w:p>
    <w:p w14:paraId="2B26FBDF" w14:textId="683509D4" w:rsidR="00845BC3" w:rsidRPr="00394BD3" w:rsidRDefault="00845BC3" w:rsidP="00A22296">
      <w:pPr>
        <w:keepNext/>
        <w:spacing w:before="240" w:after="240"/>
        <w:rPr>
          <w:i/>
          <w:iCs/>
        </w:rPr>
      </w:pPr>
      <w:r w:rsidRPr="00394BD3">
        <w:rPr>
          <w:i/>
          <w:iCs/>
        </w:rPr>
        <w:t xml:space="preserve">Sri Lanka has </w:t>
      </w:r>
      <w:r w:rsidR="00A22296" w:rsidRPr="00394BD3">
        <w:rPr>
          <w:i/>
          <w:iCs/>
        </w:rPr>
        <w:t>not abolished the death penalty.</w:t>
      </w:r>
    </w:p>
    <w:p w14:paraId="5096C2B4" w14:textId="2BAAC641" w:rsidR="004B5B84" w:rsidRPr="00394BD3" w:rsidRDefault="00466AAB" w:rsidP="004B5B84">
      <w:pPr>
        <w:numPr>
          <w:ilvl w:val="0"/>
          <w:numId w:val="7"/>
        </w:numPr>
        <w:spacing w:after="120"/>
        <w:ind w:left="360"/>
        <w:jc w:val="both"/>
      </w:pPr>
      <w:r w:rsidRPr="00394BD3">
        <w:t>In its 2020 List of Issues, t</w:t>
      </w:r>
      <w:r w:rsidR="004B5B84" w:rsidRPr="00394BD3">
        <w:t>he Committee requested Sri Lanka to “clarify whether there are any plans to resume the implementation of the death penalty for drug-related offenses, . . . , and thus to resume the long-standing moratorium on the death penalty.”</w:t>
      </w:r>
      <w:r w:rsidR="004B5B84" w:rsidRPr="00394BD3">
        <w:rPr>
          <w:rStyle w:val="FootnoteReference"/>
        </w:rPr>
        <w:footnoteReference w:id="2"/>
      </w:r>
      <w:r w:rsidR="008020DA" w:rsidRPr="00394BD3">
        <w:t xml:space="preserve"> </w:t>
      </w:r>
      <w:r w:rsidR="004B5B84" w:rsidRPr="00394BD3">
        <w:t>Sri Lanka asserts that it continues to maintain the moratorium “despite statements on its re-imposition being made from time to time,” and has “issued an interim order staying execution” while the Supreme Court considers its implementation.</w:t>
      </w:r>
      <w:r w:rsidR="004B5B84" w:rsidRPr="00394BD3">
        <w:rPr>
          <w:rStyle w:val="FootnoteReference"/>
        </w:rPr>
        <w:footnoteReference w:id="3"/>
      </w:r>
    </w:p>
    <w:p w14:paraId="23DE3C74" w14:textId="41F50EB8" w:rsidR="004B5B84" w:rsidRPr="00394BD3" w:rsidRDefault="004B5B84" w:rsidP="004B5B84">
      <w:pPr>
        <w:numPr>
          <w:ilvl w:val="0"/>
          <w:numId w:val="7"/>
        </w:numPr>
        <w:spacing w:after="120"/>
        <w:ind w:left="360"/>
        <w:jc w:val="both"/>
      </w:pPr>
      <w:r w:rsidRPr="00394BD3">
        <w:t xml:space="preserve">While Sri Lanka has observed a de facto moratorium on executions since 1976, </w:t>
      </w:r>
      <w:r w:rsidR="00F37D39" w:rsidRPr="00394BD3">
        <w:t>courts</w:t>
      </w:r>
      <w:r w:rsidRPr="00394BD3">
        <w:t xml:space="preserve"> continue to sentence </w:t>
      </w:r>
      <w:r w:rsidR="003807FF" w:rsidRPr="00394BD3">
        <w:t xml:space="preserve">people </w:t>
      </w:r>
      <w:r w:rsidRPr="00394BD3">
        <w:t xml:space="preserve">to death and the </w:t>
      </w:r>
      <w:r w:rsidR="00562D1C" w:rsidRPr="00394BD3">
        <w:t>C</w:t>
      </w:r>
      <w:r w:rsidRPr="00394BD3">
        <w:t>onstitution authorizes the use of the death penalty.</w:t>
      </w:r>
      <w:r w:rsidRPr="00394BD3">
        <w:rPr>
          <w:rStyle w:val="FootnoteReference"/>
        </w:rPr>
        <w:footnoteReference w:id="4"/>
      </w:r>
      <w:r w:rsidRPr="00394BD3">
        <w:t xml:space="preserve"> In 2020, </w:t>
      </w:r>
      <w:r w:rsidR="00562D1C" w:rsidRPr="00394BD3">
        <w:t xml:space="preserve">Sri Lankan courts sentenced </w:t>
      </w:r>
      <w:r w:rsidRPr="00394BD3">
        <w:t>ninety-three persons to death</w:t>
      </w:r>
      <w:r w:rsidR="00562D1C" w:rsidRPr="00394BD3">
        <w:t xml:space="preserve">, after having sentenced </w:t>
      </w:r>
      <w:r w:rsidRPr="00394BD3">
        <w:t>144 persons to death in 2019.</w:t>
      </w:r>
      <w:r w:rsidRPr="00394BD3">
        <w:rPr>
          <w:rStyle w:val="FootnoteReference"/>
        </w:rPr>
        <w:footnoteReference w:id="5"/>
      </w:r>
      <w:r w:rsidRPr="00394BD3">
        <w:t xml:space="preserve"> As of September 2020, 1,284 people remain on death row.</w:t>
      </w:r>
      <w:r w:rsidRPr="00394BD3">
        <w:rPr>
          <w:rStyle w:val="FootnoteReference"/>
        </w:rPr>
        <w:footnoteReference w:id="6"/>
      </w:r>
      <w:r w:rsidRPr="00394BD3">
        <w:t xml:space="preserve"> </w:t>
      </w:r>
    </w:p>
    <w:p w14:paraId="238A5215" w14:textId="13E959CB" w:rsidR="004B5B84" w:rsidRPr="00394BD3" w:rsidRDefault="004B5B84" w:rsidP="004B5B84">
      <w:pPr>
        <w:numPr>
          <w:ilvl w:val="0"/>
          <w:numId w:val="7"/>
        </w:numPr>
        <w:spacing w:after="120"/>
        <w:ind w:left="360"/>
        <w:jc w:val="both"/>
      </w:pPr>
      <w:r w:rsidRPr="00394BD3">
        <w:t xml:space="preserve">In 2019, </w:t>
      </w:r>
      <w:r w:rsidR="00D57A05" w:rsidRPr="00394BD3">
        <w:t>the then-</w:t>
      </w:r>
      <w:r w:rsidRPr="00394BD3">
        <w:t>president of Sri Lanka announced his intention to commence executing persons sentenced to death for drug trafficking.</w:t>
      </w:r>
      <w:r w:rsidRPr="00394BD3">
        <w:rPr>
          <w:rStyle w:val="FootnoteReference"/>
        </w:rPr>
        <w:footnoteReference w:id="7"/>
      </w:r>
      <w:r w:rsidRPr="00394BD3">
        <w:t xml:space="preserve"> While the new government elected in November 2019 has not attempted to resume executions, it has made no moves toward </w:t>
      </w:r>
      <w:r w:rsidRPr="00394BD3">
        <w:lastRenderedPageBreak/>
        <w:t>complete abolition of the death penalty either.</w:t>
      </w:r>
      <w:r w:rsidRPr="00394BD3">
        <w:rPr>
          <w:rStyle w:val="FootnoteReference"/>
        </w:rPr>
        <w:footnoteReference w:id="8"/>
      </w:r>
      <w:r w:rsidR="00C36662" w:rsidRPr="00394BD3">
        <w:t xml:space="preserve"> </w:t>
      </w:r>
      <w:r w:rsidR="004C6D09" w:rsidRPr="00394BD3">
        <w:t xml:space="preserve">In 2020, Sri Lankan courts sentenced at least </w:t>
      </w:r>
      <w:r w:rsidR="00523668" w:rsidRPr="00394BD3">
        <w:t>three</w:t>
      </w:r>
      <w:r w:rsidR="004C6D09" w:rsidRPr="00394BD3">
        <w:t xml:space="preserve"> people to death for drug-related offenses, out of at least 16 death sentences handed down that year.</w:t>
      </w:r>
      <w:r w:rsidR="004C6D09" w:rsidRPr="00394BD3">
        <w:rPr>
          <w:rStyle w:val="FootnoteReference"/>
        </w:rPr>
        <w:footnoteReference w:id="9"/>
      </w:r>
      <w:r w:rsidR="004C6D09" w:rsidRPr="00394BD3">
        <w:t xml:space="preserve"> </w:t>
      </w:r>
      <w:r w:rsidR="00C36662" w:rsidRPr="00394BD3">
        <w:t>In 2021, Sri Lankan courts sentenced at least one perso</w:t>
      </w:r>
      <w:r w:rsidR="001E729D" w:rsidRPr="00394BD3">
        <w:t xml:space="preserve">n to death for a drug-related offense, out of at least </w:t>
      </w:r>
      <w:r w:rsidR="00523668" w:rsidRPr="00394BD3">
        <w:t>eight</w:t>
      </w:r>
      <w:r w:rsidR="001E729D" w:rsidRPr="00394BD3">
        <w:t xml:space="preserve"> death sentences handed down in that year.</w:t>
      </w:r>
      <w:r w:rsidR="001E729D" w:rsidRPr="00394BD3">
        <w:rPr>
          <w:rStyle w:val="FootnoteReference"/>
        </w:rPr>
        <w:footnoteReference w:id="10"/>
      </w:r>
    </w:p>
    <w:p w14:paraId="72B658C8" w14:textId="7244E90A" w:rsidR="00A15424" w:rsidRPr="00394BD3" w:rsidRDefault="00A15424" w:rsidP="004B5B84">
      <w:pPr>
        <w:numPr>
          <w:ilvl w:val="0"/>
          <w:numId w:val="7"/>
        </w:numPr>
        <w:spacing w:after="120"/>
        <w:ind w:left="360"/>
        <w:jc w:val="both"/>
      </w:pPr>
      <w:r w:rsidRPr="00394BD3">
        <w:t>In 2021</w:t>
      </w:r>
      <w:r w:rsidR="00B1102B" w:rsidRPr="00394BD3">
        <w:t>, the Supreme Court of Sri Lanka “extended until July 2022 the stay order that it had put in place to halt the resumption of executions authorized by then President Maithripala Sirisena in June 2019</w:t>
      </w:r>
      <w:r w:rsidR="00441DED" w:rsidRPr="00394BD3">
        <w:t>.”</w:t>
      </w:r>
      <w:r w:rsidR="00441DED" w:rsidRPr="00394BD3">
        <w:rPr>
          <w:rStyle w:val="FootnoteReference"/>
        </w:rPr>
        <w:footnoteReference w:id="11"/>
      </w:r>
    </w:p>
    <w:p w14:paraId="4F9FEC7A" w14:textId="77777777" w:rsidR="00A22296" w:rsidRPr="00394BD3" w:rsidRDefault="004B5B84" w:rsidP="00A22296">
      <w:pPr>
        <w:numPr>
          <w:ilvl w:val="0"/>
          <w:numId w:val="7"/>
        </w:numPr>
        <w:spacing w:after="120"/>
        <w:ind w:left="360"/>
        <w:jc w:val="both"/>
      </w:pPr>
      <w:r w:rsidRPr="00394BD3">
        <w:t xml:space="preserve">More recently, on January 12, 2022, Sri Lanka sentenced a former prison official to death in relation to the 2012 </w:t>
      </w:r>
      <w:proofErr w:type="spellStart"/>
      <w:r w:rsidRPr="00394BD3">
        <w:t>Welikada</w:t>
      </w:r>
      <w:proofErr w:type="spellEnd"/>
      <w:r w:rsidRPr="00394BD3">
        <w:t xml:space="preserve"> Prison incident.</w:t>
      </w:r>
      <w:r w:rsidRPr="00394BD3">
        <w:rPr>
          <w:rStyle w:val="FootnoteReference"/>
        </w:rPr>
        <w:footnoteReference w:id="12"/>
      </w:r>
    </w:p>
    <w:p w14:paraId="6665AAF3" w14:textId="1D838337" w:rsidR="004B5B84" w:rsidRPr="00394BD3" w:rsidRDefault="00845BC3" w:rsidP="00A22296">
      <w:pPr>
        <w:spacing w:after="120"/>
        <w:jc w:val="both"/>
        <w:rPr>
          <w:i/>
          <w:iCs/>
        </w:rPr>
      </w:pPr>
      <w:r w:rsidRPr="00394BD3">
        <w:rPr>
          <w:i/>
          <w:iCs/>
        </w:rPr>
        <w:t>Sri Lanka</w:t>
      </w:r>
      <w:r w:rsidR="004B5B84" w:rsidRPr="00394BD3">
        <w:rPr>
          <w:i/>
          <w:iCs/>
        </w:rPr>
        <w:t xml:space="preserve"> has not ratified the Second Optional Protocol</w:t>
      </w:r>
      <w:r w:rsidR="00A22296" w:rsidRPr="00394BD3">
        <w:rPr>
          <w:i/>
          <w:iCs/>
        </w:rPr>
        <w:t xml:space="preserve"> to the Covenant.</w:t>
      </w:r>
    </w:p>
    <w:p w14:paraId="1B9FC0BB" w14:textId="6F2231B2" w:rsidR="004B5B84" w:rsidRPr="00394BD3" w:rsidRDefault="004B5B84" w:rsidP="008020DA">
      <w:pPr>
        <w:numPr>
          <w:ilvl w:val="0"/>
          <w:numId w:val="7"/>
        </w:numPr>
        <w:spacing w:after="120"/>
        <w:ind w:left="360"/>
        <w:jc w:val="both"/>
      </w:pPr>
      <w:r w:rsidRPr="00394BD3">
        <w:t>The Committee further asked Sri Lanka to “provide information about the status of the bill to abolish the death penalty tabled by a member of parliament in August 2019 and about any other steps planned or taken towards the legal abolition of the death penalty and the ratification of the Second Optional Protocol to the Covenant.”</w:t>
      </w:r>
      <w:r w:rsidRPr="00394BD3">
        <w:rPr>
          <w:rStyle w:val="FootnoteReference"/>
        </w:rPr>
        <w:footnoteReference w:id="13"/>
      </w:r>
      <w:r w:rsidR="008020DA" w:rsidRPr="00394BD3">
        <w:t xml:space="preserve"> </w:t>
      </w:r>
      <w:r w:rsidRPr="00394BD3">
        <w:t>In its reply, Sri Lanka recognizes that the issue surrounding the death penalty is one of “public interest,” stating that there is a “diverse spectrum of views,” on the issue, thereby suggesting the possibility of reimplementing the death penalty.</w:t>
      </w:r>
      <w:r w:rsidRPr="00394BD3">
        <w:rPr>
          <w:rStyle w:val="FootnoteReference"/>
        </w:rPr>
        <w:footnoteReference w:id="14"/>
      </w:r>
    </w:p>
    <w:p w14:paraId="0725E69A" w14:textId="75AF2956" w:rsidR="004B5B84" w:rsidRPr="00394BD3" w:rsidRDefault="004B5B84" w:rsidP="00A24983">
      <w:pPr>
        <w:numPr>
          <w:ilvl w:val="0"/>
          <w:numId w:val="7"/>
        </w:numPr>
        <w:spacing w:after="120"/>
        <w:ind w:left="360"/>
        <w:jc w:val="both"/>
      </w:pPr>
      <w:r w:rsidRPr="00394BD3">
        <w:t>Sri Lanka has not ratified the Second Optional Protocol</w:t>
      </w:r>
      <w:r w:rsidR="00A24983" w:rsidRPr="00394BD3">
        <w:t xml:space="preserve">, despite its acceptance of </w:t>
      </w:r>
      <w:r w:rsidR="001A48D7" w:rsidRPr="00394BD3">
        <w:t xml:space="preserve">a Universal Periodic Review </w:t>
      </w:r>
      <w:r w:rsidR="00A24983" w:rsidRPr="00394BD3">
        <w:t>recommendation to consider ratification.</w:t>
      </w:r>
      <w:r w:rsidR="00845BC3" w:rsidRPr="00394BD3">
        <w:rPr>
          <w:rStyle w:val="FootnoteReference"/>
        </w:rPr>
        <w:footnoteReference w:id="15"/>
      </w:r>
      <w:r w:rsidR="00A24983" w:rsidRPr="00394BD3">
        <w:t xml:space="preserve"> </w:t>
      </w:r>
      <w:r w:rsidR="00B622EF" w:rsidRPr="00394BD3">
        <w:t>T</w:t>
      </w:r>
      <w:r w:rsidRPr="00394BD3">
        <w:t xml:space="preserve">he </w:t>
      </w:r>
      <w:r w:rsidR="00B622EF" w:rsidRPr="00394BD3">
        <w:t>G</w:t>
      </w:r>
      <w:r w:rsidRPr="00394BD3">
        <w:t xml:space="preserve">overnment of Sri Lanka has consistently voted in favor of the UN General </w:t>
      </w:r>
      <w:r w:rsidR="00B622EF" w:rsidRPr="00394BD3">
        <w:t>Assembly r</w:t>
      </w:r>
      <w:r w:rsidRPr="00394BD3">
        <w:t>esolution calling for a moratorium on the use of the death penalty, including most recently in 202</w:t>
      </w:r>
      <w:r w:rsidR="009D6DE4" w:rsidRPr="00394BD3">
        <w:t>2</w:t>
      </w:r>
      <w:r w:rsidRPr="00394BD3">
        <w:t>.</w:t>
      </w:r>
      <w:r w:rsidRPr="00394BD3">
        <w:rPr>
          <w:rStyle w:val="FootnoteReference"/>
        </w:rPr>
        <w:footnoteReference w:id="16"/>
      </w:r>
    </w:p>
    <w:p w14:paraId="331306A2" w14:textId="114EF1C0" w:rsidR="004B5B84" w:rsidRPr="00394BD3" w:rsidRDefault="004B5B84" w:rsidP="00E06283">
      <w:pPr>
        <w:keepNext/>
        <w:spacing w:after="120"/>
        <w:jc w:val="both"/>
        <w:rPr>
          <w:i/>
          <w:iCs/>
        </w:rPr>
      </w:pPr>
      <w:r w:rsidRPr="00394BD3">
        <w:rPr>
          <w:i/>
          <w:iCs/>
        </w:rPr>
        <w:lastRenderedPageBreak/>
        <w:t>Sri Lanka does not limit the death penalty to the most serious crimes.</w:t>
      </w:r>
    </w:p>
    <w:p w14:paraId="447A13EB" w14:textId="487F1236" w:rsidR="00845BC3" w:rsidRPr="00394BD3" w:rsidRDefault="004B5B84" w:rsidP="00B278A9">
      <w:pPr>
        <w:numPr>
          <w:ilvl w:val="0"/>
          <w:numId w:val="7"/>
        </w:numPr>
        <w:spacing w:after="120"/>
        <w:ind w:left="360"/>
        <w:jc w:val="both"/>
      </w:pPr>
      <w:r w:rsidRPr="00394BD3">
        <w:t>The Committee asked Sri Lanka to “clarify whether any comprehensive review of relevant legislation is planned with a view to ensuring that the death penalty may be imposed only for the most serious crimes.”</w:t>
      </w:r>
      <w:r w:rsidR="00F37D39" w:rsidRPr="00394BD3">
        <w:rPr>
          <w:rStyle w:val="FootnoteReference"/>
        </w:rPr>
        <w:footnoteReference w:id="17"/>
      </w:r>
    </w:p>
    <w:p w14:paraId="23FDEC8B" w14:textId="5D0161CB" w:rsidR="004B5B84" w:rsidRPr="00394BD3" w:rsidRDefault="00CF7B54" w:rsidP="00B278A9">
      <w:pPr>
        <w:numPr>
          <w:ilvl w:val="0"/>
          <w:numId w:val="7"/>
        </w:numPr>
        <w:spacing w:after="120"/>
        <w:ind w:left="360"/>
        <w:jc w:val="both"/>
      </w:pPr>
      <w:r w:rsidRPr="00394BD3">
        <w:t xml:space="preserve">Currently, </w:t>
      </w:r>
      <w:r w:rsidR="00F37D39" w:rsidRPr="00394BD3">
        <w:t xml:space="preserve">under </w:t>
      </w:r>
      <w:r w:rsidRPr="00394BD3">
        <w:t>Sri Lanka</w:t>
      </w:r>
      <w:r w:rsidR="00F37D39" w:rsidRPr="00394BD3">
        <w:t>’s</w:t>
      </w:r>
      <w:r w:rsidRPr="00394BD3">
        <w:t xml:space="preserve"> Penal Code</w:t>
      </w:r>
      <w:r w:rsidR="00F37D39" w:rsidRPr="00394BD3">
        <w:t>,</w:t>
      </w:r>
      <w:r w:rsidRPr="00394BD3">
        <w:t xml:space="preserve"> </w:t>
      </w:r>
      <w:r w:rsidR="00F37D39" w:rsidRPr="00394BD3">
        <w:t>the death penalty is an available sentence for offences such as waging war against the state, including attempts and abetting such actions</w:t>
      </w:r>
      <w:r w:rsidRPr="00394BD3">
        <w:t>;</w:t>
      </w:r>
      <w:r w:rsidRPr="00394BD3">
        <w:rPr>
          <w:rStyle w:val="FootnoteReference"/>
        </w:rPr>
        <w:footnoteReference w:id="18"/>
      </w:r>
      <w:r w:rsidRPr="00394BD3">
        <w:t xml:space="preserve"> </w:t>
      </w:r>
      <w:r w:rsidR="00F37D39" w:rsidRPr="00394BD3">
        <w:t>mutiny of an officer in the military</w:t>
      </w:r>
      <w:r w:rsidRPr="00394BD3">
        <w:t>;</w:t>
      </w:r>
      <w:r w:rsidRPr="00394BD3">
        <w:rPr>
          <w:rStyle w:val="FootnoteReference"/>
        </w:rPr>
        <w:footnoteReference w:id="19"/>
      </w:r>
      <w:r w:rsidRPr="00394BD3">
        <w:t xml:space="preserve"> </w:t>
      </w:r>
      <w:r w:rsidR="00F37D39" w:rsidRPr="00394BD3">
        <w:t>knowingly giving false evidence knowing that it is likely to result in the punishment of death and such false evidence results in the conviction of an innocent person</w:t>
      </w:r>
      <w:r w:rsidRPr="00394BD3">
        <w:t>;</w:t>
      </w:r>
      <w:r w:rsidRPr="00394BD3">
        <w:rPr>
          <w:rStyle w:val="FootnoteReference"/>
        </w:rPr>
        <w:footnoteReference w:id="20"/>
      </w:r>
      <w:r w:rsidRPr="00394BD3">
        <w:t xml:space="preserve"> </w:t>
      </w:r>
      <w:r w:rsidR="00F37D39" w:rsidRPr="00394BD3">
        <w:t>abetting in the commission of a suicide</w:t>
      </w:r>
      <w:r w:rsidRPr="00394BD3">
        <w:t>;</w:t>
      </w:r>
      <w:r w:rsidRPr="00394BD3">
        <w:rPr>
          <w:rStyle w:val="FootnoteReference"/>
        </w:rPr>
        <w:footnoteReference w:id="21"/>
      </w:r>
      <w:r w:rsidRPr="00394BD3">
        <w:t xml:space="preserve"> and </w:t>
      </w:r>
      <w:r w:rsidR="00F37D39" w:rsidRPr="00394BD3">
        <w:t>murder</w:t>
      </w:r>
      <w:r w:rsidRPr="00394BD3">
        <w:t>.</w:t>
      </w:r>
      <w:r w:rsidRPr="00394BD3">
        <w:rPr>
          <w:rStyle w:val="FootnoteReference"/>
        </w:rPr>
        <w:footnoteReference w:id="22"/>
      </w:r>
      <w:r w:rsidR="00F37D39" w:rsidRPr="00394BD3">
        <w:t xml:space="preserve"> Under the Poisons, Opium and Dangerous Drugs Ordinance, manufacturing, trafficking, and possession of certain drugs is punishable by death</w:t>
      </w:r>
      <w:r w:rsidR="004B5B84" w:rsidRPr="00394BD3">
        <w:t>.</w:t>
      </w:r>
      <w:r w:rsidR="004B5B84" w:rsidRPr="00394BD3">
        <w:rPr>
          <w:rStyle w:val="FootnoteReference"/>
        </w:rPr>
        <w:footnoteReference w:id="23"/>
      </w:r>
    </w:p>
    <w:p w14:paraId="2113CAB6" w14:textId="10C44195" w:rsidR="004B5B84" w:rsidRPr="00394BD3" w:rsidRDefault="008020DA" w:rsidP="00180135">
      <w:pPr>
        <w:numPr>
          <w:ilvl w:val="0"/>
          <w:numId w:val="7"/>
        </w:numPr>
        <w:spacing w:after="120"/>
        <w:ind w:left="360"/>
        <w:jc w:val="both"/>
      </w:pPr>
      <w:r w:rsidRPr="00394BD3">
        <w:t>Further, research suggests that by reinstating the death penalty for drug-related offenses, the law disproportionately discriminates against women. In Sri Lanka, committing a drug offense near a location where children attend educational, athletic, or social activities is an aggravating factor.</w:t>
      </w:r>
      <w:r w:rsidRPr="00394BD3">
        <w:rPr>
          <w:rStyle w:val="FootnoteReference"/>
        </w:rPr>
        <w:footnoteReference w:id="24"/>
      </w:r>
      <w:r w:rsidRPr="00394BD3">
        <w:t xml:space="preserve"> </w:t>
      </w:r>
      <w:r w:rsidR="00381548" w:rsidRPr="00394BD3">
        <w:t>I</w:t>
      </w:r>
      <w:r w:rsidRPr="00394BD3">
        <w:t>n practice, the</w:t>
      </w:r>
      <w:r w:rsidR="00381548" w:rsidRPr="00394BD3">
        <w:t>se</w:t>
      </w:r>
      <w:r w:rsidRPr="00394BD3">
        <w:t xml:space="preserve"> aggravating factors apply more frequently to female defendants than male defendants because women are often the primary caregivers to children</w:t>
      </w:r>
      <w:r w:rsidR="00BD4AA1" w:rsidRPr="00394BD3">
        <w:t xml:space="preserve">. The law </w:t>
      </w:r>
      <w:r w:rsidRPr="00394BD3">
        <w:t>thereby indirectly discriminat</w:t>
      </w:r>
      <w:r w:rsidR="00BD4AA1" w:rsidRPr="00394BD3">
        <w:t>es</w:t>
      </w:r>
      <w:r w:rsidRPr="00394BD3">
        <w:t xml:space="preserve"> against women. </w:t>
      </w:r>
      <w:r w:rsidRPr="00394BD3">
        <w:rPr>
          <w:rStyle w:val="FootnoteReference"/>
        </w:rPr>
        <w:footnoteReference w:id="25"/>
      </w:r>
      <w:r w:rsidR="00EF2158" w:rsidRPr="00394BD3">
        <w:t xml:space="preserve"> </w:t>
      </w:r>
      <w:r w:rsidRPr="00394BD3">
        <w:t xml:space="preserve">Between 2014 and 2020, thirty-seven women were sentenced to death, </w:t>
      </w:r>
      <w:r w:rsidR="00BB0A4B" w:rsidRPr="00394BD3">
        <w:t xml:space="preserve">and </w:t>
      </w:r>
      <w:r w:rsidRPr="00394BD3">
        <w:t xml:space="preserve">eight </w:t>
      </w:r>
      <w:r w:rsidR="00BB0A4B" w:rsidRPr="00394BD3">
        <w:t xml:space="preserve">of them were sentenced </w:t>
      </w:r>
      <w:r w:rsidRPr="00394BD3">
        <w:t>for drug-related offenses.</w:t>
      </w:r>
      <w:r w:rsidRPr="00394BD3">
        <w:rPr>
          <w:rStyle w:val="FootnoteReference"/>
        </w:rPr>
        <w:footnoteReference w:id="26"/>
      </w:r>
    </w:p>
    <w:p w14:paraId="128BC786" w14:textId="5414A0EF" w:rsidR="008020DA" w:rsidRPr="00394BD3" w:rsidRDefault="00A22296" w:rsidP="008020DA">
      <w:pPr>
        <w:keepNext/>
        <w:numPr>
          <w:ilvl w:val="0"/>
          <w:numId w:val="8"/>
        </w:numPr>
        <w:spacing w:before="240" w:after="240"/>
        <w:ind w:left="720" w:hanging="360"/>
        <w:rPr>
          <w:b/>
        </w:rPr>
      </w:pPr>
      <w:r w:rsidRPr="00394BD3">
        <w:rPr>
          <w:b/>
        </w:rPr>
        <w:t xml:space="preserve">Sri Lanka’s </w:t>
      </w:r>
      <w:r w:rsidR="004B5B84" w:rsidRPr="00394BD3">
        <w:rPr>
          <w:b/>
        </w:rPr>
        <w:t>torture and ill-treatment of persons deprived of their liberty</w:t>
      </w:r>
      <w:r w:rsidR="00A24983" w:rsidRPr="00394BD3">
        <w:rPr>
          <w:b/>
        </w:rPr>
        <w:t>, due process</w:t>
      </w:r>
      <w:r w:rsidRPr="00394BD3">
        <w:rPr>
          <w:b/>
        </w:rPr>
        <w:t xml:space="preserve"> violations, and poor prison conditions threaten the right to life</w:t>
      </w:r>
      <w:r w:rsidR="004B5B84" w:rsidRPr="00394BD3">
        <w:rPr>
          <w:b/>
        </w:rPr>
        <w:t>. (List of Issues Paragraphs 16</w:t>
      </w:r>
      <w:r w:rsidR="00180135" w:rsidRPr="00394BD3">
        <w:rPr>
          <w:b/>
        </w:rPr>
        <w:t>–</w:t>
      </w:r>
      <w:r w:rsidR="004B5B84" w:rsidRPr="00394BD3">
        <w:rPr>
          <w:b/>
        </w:rPr>
        <w:t>18)</w:t>
      </w:r>
    </w:p>
    <w:p w14:paraId="1518A1F0" w14:textId="212343D1" w:rsidR="00845BC3" w:rsidRPr="00394BD3" w:rsidRDefault="00845BC3" w:rsidP="004B5B84">
      <w:pPr>
        <w:numPr>
          <w:ilvl w:val="0"/>
          <w:numId w:val="7"/>
        </w:numPr>
        <w:spacing w:after="120"/>
        <w:ind w:left="360"/>
        <w:jc w:val="both"/>
        <w:rPr>
          <w:bCs/>
        </w:rPr>
      </w:pPr>
      <w:r w:rsidRPr="00394BD3">
        <w:t xml:space="preserve">While Sri Lankan law makes torture a </w:t>
      </w:r>
      <w:r w:rsidR="00A22296" w:rsidRPr="00394BD3">
        <w:t>punishable</w:t>
      </w:r>
      <w:r w:rsidRPr="00394BD3">
        <w:t xml:space="preserve"> offense and mandates imprisonment for such </w:t>
      </w:r>
      <w:r w:rsidR="00A22296" w:rsidRPr="00394BD3">
        <w:t>offenses</w:t>
      </w:r>
      <w:r w:rsidRPr="00394BD3">
        <w:t xml:space="preserve">, human rights organizations </w:t>
      </w:r>
      <w:r w:rsidR="00821D99" w:rsidRPr="00394BD3">
        <w:t xml:space="preserve">report </w:t>
      </w:r>
      <w:r w:rsidRPr="00394BD3">
        <w:t>that torture and excessive use of force by police, specifically to extract confessions, remain endemic.</w:t>
      </w:r>
      <w:r w:rsidRPr="00394BD3">
        <w:rPr>
          <w:rStyle w:val="FootnoteReference"/>
        </w:rPr>
        <w:footnoteReference w:id="27"/>
      </w:r>
      <w:r w:rsidR="00A22296" w:rsidRPr="00394BD3">
        <w:rPr>
          <w:bCs/>
        </w:rPr>
        <w:t xml:space="preserve"> </w:t>
      </w:r>
      <w:r w:rsidR="00A22296" w:rsidRPr="00394BD3">
        <w:t>The Human Rights Commission of Sri Lanka (HRCSL)</w:t>
      </w:r>
      <w:r w:rsidR="00A22296" w:rsidRPr="00394BD3">
        <w:rPr>
          <w:bCs/>
        </w:rPr>
        <w:t xml:space="preserve"> </w:t>
      </w:r>
      <w:r w:rsidR="00A22296" w:rsidRPr="00394BD3">
        <w:t>noted that many reports of torture referred to police officers allegedly “roughing up” suspects to extract a confession or otherwise elicit evidence to use against the accused.</w:t>
      </w:r>
      <w:r w:rsidR="00A22296" w:rsidRPr="00394BD3">
        <w:rPr>
          <w:rStyle w:val="FootnoteReference"/>
        </w:rPr>
        <w:footnoteReference w:id="28"/>
      </w:r>
      <w:r w:rsidR="00A22296" w:rsidRPr="00394BD3">
        <w:t xml:space="preserve"> Further, the Office of the High Commissioner for Human Rights noted it “has </w:t>
      </w:r>
      <w:r w:rsidR="00A22296" w:rsidRPr="00394BD3">
        <w:lastRenderedPageBreak/>
        <w:t>continued to receive credible information about cases of abduction, unlawful detention, torture and sexual violence by security forces, which allegedly took place between 2016 and 2018.</w:t>
      </w:r>
      <w:r w:rsidR="00A22296" w:rsidRPr="00394BD3">
        <w:rPr>
          <w:bCs/>
        </w:rPr>
        <w:t>”</w:t>
      </w:r>
      <w:r w:rsidR="00A22296" w:rsidRPr="00394BD3">
        <w:rPr>
          <w:rStyle w:val="FootnoteReference"/>
        </w:rPr>
        <w:footnoteReference w:id="29"/>
      </w:r>
    </w:p>
    <w:p w14:paraId="72A3AA83" w14:textId="45DF2F98" w:rsidR="004B5B84" w:rsidRPr="00394BD3" w:rsidRDefault="004B5B84" w:rsidP="004B5B84">
      <w:pPr>
        <w:numPr>
          <w:ilvl w:val="0"/>
          <w:numId w:val="7"/>
        </w:numPr>
        <w:spacing w:after="120"/>
        <w:ind w:left="360"/>
        <w:jc w:val="both"/>
        <w:rPr>
          <w:bCs/>
        </w:rPr>
      </w:pPr>
      <w:r w:rsidRPr="00394BD3">
        <w:t xml:space="preserve">Prison conditions for </w:t>
      </w:r>
      <w:r w:rsidR="00562BCD" w:rsidRPr="00394BD3">
        <w:t>people</w:t>
      </w:r>
      <w:r w:rsidR="00562BCD" w:rsidRPr="00394BD3">
        <w:rPr>
          <w:bCs/>
        </w:rPr>
        <w:t xml:space="preserve"> </w:t>
      </w:r>
      <w:r w:rsidRPr="00394BD3">
        <w:t xml:space="preserve">on death row in Sri Lanka are particularly harsh; the 2020 Prison Study by the </w:t>
      </w:r>
      <w:r w:rsidR="00562BCD" w:rsidRPr="00394BD3">
        <w:t>HRCSL</w:t>
      </w:r>
      <w:r w:rsidRPr="00394BD3">
        <w:t xml:space="preserve"> describes the living conditions as “appalling and poor</w:t>
      </w:r>
      <w:r w:rsidR="00B1572A" w:rsidRPr="00394BD3">
        <w:rPr>
          <w:bCs/>
        </w:rPr>
        <w:t>,</w:t>
      </w:r>
      <w:r w:rsidRPr="00394BD3">
        <w:t xml:space="preserve">” detailing testimony of those living on death row in conditions </w:t>
      </w:r>
      <w:r w:rsidR="00B1572A" w:rsidRPr="00394BD3">
        <w:t>of</w:t>
      </w:r>
      <w:r w:rsidRPr="00394BD3">
        <w:t xml:space="preserve"> severe overcrowding, poor sanitation, very limited access to health care and </w:t>
      </w:r>
      <w:r w:rsidR="006906F7" w:rsidRPr="00394BD3">
        <w:t xml:space="preserve">confinement to </w:t>
      </w:r>
      <w:r w:rsidRPr="00394BD3">
        <w:t>locked in cells for 23 hours a day.</w:t>
      </w:r>
      <w:r w:rsidR="00EF2158" w:rsidRPr="00394BD3">
        <w:rPr>
          <w:rStyle w:val="FootnoteReference"/>
        </w:rPr>
        <w:footnoteReference w:id="30"/>
      </w:r>
      <w:r w:rsidRPr="00394BD3">
        <w:t xml:space="preserve"> These conditions contravene the United Nations’ Standard Minimum Rules for the Treatment of Prisoners (the Nelson Mandela Rules).</w:t>
      </w:r>
      <w:r w:rsidRPr="00394BD3">
        <w:rPr>
          <w:rStyle w:val="FootnoteReference"/>
        </w:rPr>
        <w:footnoteReference w:id="31"/>
      </w:r>
    </w:p>
    <w:p w14:paraId="47B4358B" w14:textId="435CCE18" w:rsidR="007570BB" w:rsidRPr="00394BD3" w:rsidRDefault="00DD3C43" w:rsidP="004B5B84">
      <w:pPr>
        <w:numPr>
          <w:ilvl w:val="0"/>
          <w:numId w:val="7"/>
        </w:numPr>
        <w:spacing w:after="120"/>
        <w:ind w:left="360"/>
        <w:jc w:val="both"/>
        <w:rPr>
          <w:bCs/>
        </w:rPr>
      </w:pPr>
      <w:r w:rsidRPr="00394BD3">
        <w:t>The</w:t>
      </w:r>
      <w:r w:rsidR="007570BB" w:rsidRPr="00394BD3">
        <w:rPr>
          <w:bCs/>
        </w:rPr>
        <w:t xml:space="preserve"> </w:t>
      </w:r>
      <w:r w:rsidR="005D6556" w:rsidRPr="00394BD3">
        <w:t xml:space="preserve">U.S. State Department reports </w:t>
      </w:r>
      <w:r w:rsidR="007570BB" w:rsidRPr="00394BD3">
        <w:t xml:space="preserve">that the prison conditions </w:t>
      </w:r>
      <w:r w:rsidR="00845BC3" w:rsidRPr="00394BD3">
        <w:t>in Sri Lanka are</w:t>
      </w:r>
      <w:r w:rsidR="007570BB" w:rsidRPr="00394BD3">
        <w:t xml:space="preserve"> poor due mostly </w:t>
      </w:r>
      <w:r w:rsidR="00845BC3" w:rsidRPr="00394BD3">
        <w:t xml:space="preserve">due </w:t>
      </w:r>
      <w:r w:rsidR="007570BB" w:rsidRPr="00394BD3">
        <w:t>to overcrowding, but also to old infrastructure and a shortage of sanitary facilities.</w:t>
      </w:r>
      <w:r w:rsidR="007570BB" w:rsidRPr="00394BD3">
        <w:rPr>
          <w:rStyle w:val="FootnoteReference"/>
        </w:rPr>
        <w:footnoteReference w:id="32"/>
      </w:r>
      <w:r w:rsidR="007570BB" w:rsidRPr="00394BD3">
        <w:rPr>
          <w:bCs/>
        </w:rPr>
        <w:t xml:space="preserve"> </w:t>
      </w:r>
      <w:r w:rsidR="007570BB" w:rsidRPr="00394BD3">
        <w:t>The commissioner of prisons indicate</w:t>
      </w:r>
      <w:r w:rsidR="00845BC3" w:rsidRPr="00394BD3">
        <w:t>s</w:t>
      </w:r>
      <w:r w:rsidR="007570BB" w:rsidRPr="00394BD3">
        <w:t xml:space="preserve"> that the prison population significantly exceed</w:t>
      </w:r>
      <w:r w:rsidR="00845BC3" w:rsidRPr="00394BD3">
        <w:t>s</w:t>
      </w:r>
      <w:r w:rsidR="007570BB" w:rsidRPr="00394BD3">
        <w:t xml:space="preserve"> capacity</w:t>
      </w:r>
      <w:r w:rsidR="007570BB" w:rsidRPr="00394BD3">
        <w:rPr>
          <w:bCs/>
        </w:rPr>
        <w:t xml:space="preserve">, </w:t>
      </w:r>
      <w:r w:rsidR="00845BC3" w:rsidRPr="00394BD3">
        <w:t>and that</w:t>
      </w:r>
      <w:r w:rsidR="007570BB" w:rsidRPr="00394BD3">
        <w:t xml:space="preserve"> authorities will sometimes hold juveniles and adults together, and pretrial detainees and convicted prisoners together.</w:t>
      </w:r>
      <w:r w:rsidR="007570BB" w:rsidRPr="00394BD3">
        <w:rPr>
          <w:rStyle w:val="FootnoteReference"/>
        </w:rPr>
        <w:footnoteReference w:id="33"/>
      </w:r>
      <w:r w:rsidR="007570BB" w:rsidRPr="00394BD3">
        <w:t xml:space="preserve"> In many prisons inmates reportedly sle</w:t>
      </w:r>
      <w:r w:rsidR="00E4714A" w:rsidRPr="00394BD3">
        <w:t>ep</w:t>
      </w:r>
      <w:r w:rsidR="007570BB" w:rsidRPr="00394BD3">
        <w:t xml:space="preserve"> on concrete floors, and prisons often lack natural light or ventilation.</w:t>
      </w:r>
      <w:r w:rsidR="007570BB" w:rsidRPr="00394BD3">
        <w:rPr>
          <w:rStyle w:val="FootnoteReference"/>
        </w:rPr>
        <w:footnoteReference w:id="34"/>
      </w:r>
    </w:p>
    <w:p w14:paraId="4E20A262" w14:textId="1F08216E" w:rsidR="007570BB" w:rsidRPr="00394BD3" w:rsidRDefault="007570BB" w:rsidP="004B5B84">
      <w:pPr>
        <w:numPr>
          <w:ilvl w:val="0"/>
          <w:numId w:val="7"/>
        </w:numPr>
        <w:spacing w:after="120"/>
        <w:ind w:left="360"/>
        <w:jc w:val="both"/>
        <w:rPr>
          <w:bCs/>
        </w:rPr>
      </w:pPr>
      <w:r w:rsidRPr="00394BD3">
        <w:rPr>
          <w:bCs/>
        </w:rPr>
        <w:t xml:space="preserve">While Sri Lanka asserts that certain committees have been put in place to investigate and monitor the prison and detention center conditions, no formal information or reports have been released regarding any improvements </w:t>
      </w:r>
      <w:r w:rsidR="00A24983" w:rsidRPr="00394BD3">
        <w:rPr>
          <w:bCs/>
        </w:rPr>
        <w:t>to the poor detention conditions</w:t>
      </w:r>
      <w:r w:rsidRPr="00394BD3">
        <w:rPr>
          <w:bCs/>
        </w:rPr>
        <w:t>.</w:t>
      </w:r>
      <w:r w:rsidRPr="00394BD3">
        <w:rPr>
          <w:rStyle w:val="FootnoteReference"/>
          <w:bCs/>
        </w:rPr>
        <w:footnoteReference w:id="35"/>
      </w:r>
      <w:r w:rsidR="00A24983" w:rsidRPr="00394BD3">
        <w:rPr>
          <w:bCs/>
        </w:rPr>
        <w:t xml:space="preserve"> </w:t>
      </w:r>
    </w:p>
    <w:p w14:paraId="24B4D861" w14:textId="1725959C" w:rsidR="00B94852" w:rsidRPr="00394BD3" w:rsidRDefault="004B5B84" w:rsidP="00BC37F6">
      <w:pPr>
        <w:numPr>
          <w:ilvl w:val="0"/>
          <w:numId w:val="7"/>
        </w:numPr>
        <w:spacing w:after="120"/>
        <w:ind w:left="360"/>
        <w:jc w:val="both"/>
        <w:rPr>
          <w:bCs/>
        </w:rPr>
      </w:pPr>
      <w:r w:rsidRPr="00394BD3">
        <w:rPr>
          <w:bCs/>
        </w:rPr>
        <w:t>In Sri Lanka, living conditions for women on death row are poor. Female inmates receive paper-thin beds to sleep on, and the temperatures in the unventilated rooms reach dangerously high levels.</w:t>
      </w:r>
      <w:r w:rsidRPr="00394BD3">
        <w:rPr>
          <w:rStyle w:val="FootnoteReference"/>
          <w:bCs/>
        </w:rPr>
        <w:footnoteReference w:id="36"/>
      </w:r>
    </w:p>
    <w:p w14:paraId="5BA5FD26" w14:textId="35FA8C74" w:rsidR="00085935" w:rsidRPr="00394BD3" w:rsidRDefault="00111994" w:rsidP="00BC37F6">
      <w:pPr>
        <w:keepNext/>
        <w:numPr>
          <w:ilvl w:val="0"/>
          <w:numId w:val="8"/>
        </w:numPr>
        <w:spacing w:before="240" w:after="240"/>
        <w:ind w:left="720" w:hanging="360"/>
        <w:rPr>
          <w:b/>
        </w:rPr>
      </w:pPr>
      <w:r w:rsidRPr="00394BD3">
        <w:rPr>
          <w:b/>
        </w:rPr>
        <w:t xml:space="preserve">Suggested </w:t>
      </w:r>
      <w:r w:rsidR="00BC37F6" w:rsidRPr="00394BD3">
        <w:rPr>
          <w:b/>
        </w:rPr>
        <w:t>Recommendations</w:t>
      </w:r>
      <w:r w:rsidR="00255789" w:rsidRPr="00394BD3">
        <w:rPr>
          <w:b/>
        </w:rPr>
        <w:t xml:space="preserve"> for</w:t>
      </w:r>
      <w:r w:rsidR="000A66B8" w:rsidRPr="00394BD3">
        <w:rPr>
          <w:b/>
        </w:rPr>
        <w:t xml:space="preserve"> the Government of </w:t>
      </w:r>
      <w:r w:rsidR="00BC37F6" w:rsidRPr="00394BD3">
        <w:rPr>
          <w:b/>
        </w:rPr>
        <w:t>Sri Lanka</w:t>
      </w:r>
    </w:p>
    <w:p w14:paraId="7589B0A5" w14:textId="546D224D" w:rsidR="00255789" w:rsidRPr="00394BD3" w:rsidRDefault="00857D47" w:rsidP="004B5B84">
      <w:pPr>
        <w:numPr>
          <w:ilvl w:val="0"/>
          <w:numId w:val="7"/>
        </w:numPr>
        <w:spacing w:after="120"/>
        <w:ind w:left="360"/>
        <w:jc w:val="both"/>
      </w:pPr>
      <w:r w:rsidRPr="00394BD3">
        <w:t xml:space="preserve">The coauthors suggest the following recommendations for </w:t>
      </w:r>
      <w:r w:rsidR="00181B2A" w:rsidRPr="00394BD3">
        <w:t xml:space="preserve">the Government of </w:t>
      </w:r>
      <w:r w:rsidR="004B5B84" w:rsidRPr="00394BD3">
        <w:t>Sri Lanka</w:t>
      </w:r>
      <w:r w:rsidR="00255789" w:rsidRPr="00394BD3">
        <w:t>:</w:t>
      </w:r>
    </w:p>
    <w:p w14:paraId="49C9F61D" w14:textId="77777777" w:rsidR="00845BC3" w:rsidRPr="00394BD3" w:rsidRDefault="00845BC3" w:rsidP="00845BC3">
      <w:pPr>
        <w:numPr>
          <w:ilvl w:val="1"/>
          <w:numId w:val="7"/>
        </w:numPr>
        <w:spacing w:after="120"/>
        <w:jc w:val="both"/>
      </w:pPr>
      <w:r w:rsidRPr="00394BD3">
        <w:t>Impose a formal moratorium on the death penalty, effective immediately going forward, with a view toward complete abolition of the death penalty.</w:t>
      </w:r>
    </w:p>
    <w:p w14:paraId="63F39C83" w14:textId="77777777" w:rsidR="00845BC3" w:rsidRPr="00394BD3" w:rsidRDefault="00845BC3" w:rsidP="00845BC3">
      <w:pPr>
        <w:numPr>
          <w:ilvl w:val="1"/>
          <w:numId w:val="7"/>
        </w:numPr>
        <w:spacing w:after="120"/>
        <w:jc w:val="both"/>
      </w:pPr>
      <w:r w:rsidRPr="00394BD3">
        <w:t>Abolish the death penalty and replace it with a sentence that is fair, proportionate, and respects international human rights standards.</w:t>
      </w:r>
    </w:p>
    <w:p w14:paraId="13C82F99" w14:textId="77777777" w:rsidR="00845BC3" w:rsidRPr="00394BD3" w:rsidRDefault="00845BC3" w:rsidP="00845BC3">
      <w:pPr>
        <w:numPr>
          <w:ilvl w:val="1"/>
          <w:numId w:val="7"/>
        </w:numPr>
        <w:spacing w:after="120"/>
        <w:jc w:val="both"/>
      </w:pPr>
      <w:r w:rsidRPr="00394BD3">
        <w:t>Ratify the Second Optional Protocol to the ICCPR with a view toward abolishing the death penalty.</w:t>
      </w:r>
    </w:p>
    <w:p w14:paraId="02AB545F" w14:textId="2C029109" w:rsidR="002F481B" w:rsidRPr="00394BD3" w:rsidRDefault="002F481B" w:rsidP="00845BC3">
      <w:pPr>
        <w:numPr>
          <w:ilvl w:val="1"/>
          <w:numId w:val="7"/>
        </w:numPr>
        <w:spacing w:after="120"/>
        <w:jc w:val="both"/>
      </w:pPr>
      <w:r w:rsidRPr="00394BD3">
        <w:lastRenderedPageBreak/>
        <w:t>In the meantime, commute all death sentences and replace them with terms of years</w:t>
      </w:r>
      <w:r w:rsidR="00AE354B" w:rsidRPr="00394BD3">
        <w:t xml:space="preserve"> and impose a formal, de jure moratorium on executions</w:t>
      </w:r>
      <w:r w:rsidRPr="00394BD3">
        <w:t>.</w:t>
      </w:r>
    </w:p>
    <w:p w14:paraId="4DAF006E" w14:textId="01853F91" w:rsidR="003C1832" w:rsidRPr="00394BD3" w:rsidRDefault="003C1832" w:rsidP="00845BC3">
      <w:pPr>
        <w:numPr>
          <w:ilvl w:val="1"/>
          <w:numId w:val="7"/>
        </w:numPr>
        <w:spacing w:after="120"/>
        <w:jc w:val="both"/>
      </w:pPr>
      <w:r w:rsidRPr="00394BD3">
        <w:t xml:space="preserve">In the meantime, direct all prosecutors and judges not to seek or impose the death penalty for any crime in which the defendant did not </w:t>
      </w:r>
      <w:r w:rsidR="0038335D" w:rsidRPr="00394BD3">
        <w:t>kill and intend to kill.</w:t>
      </w:r>
    </w:p>
    <w:p w14:paraId="01D6CA8A" w14:textId="77777777" w:rsidR="00845BC3" w:rsidRPr="00394BD3" w:rsidRDefault="00845BC3" w:rsidP="00845BC3">
      <w:pPr>
        <w:numPr>
          <w:ilvl w:val="1"/>
          <w:numId w:val="7"/>
        </w:numPr>
        <w:spacing w:after="120"/>
        <w:jc w:val="both"/>
      </w:pPr>
      <w:r w:rsidRPr="00394BD3">
        <w:t xml:space="preserve">Undertake a public education campaign about human rights, as well as about alternatives to the death penalty, </w:t>
      </w:r>
      <w:proofErr w:type="gramStart"/>
      <w:r w:rsidRPr="00394BD3">
        <w:t>in an effort to</w:t>
      </w:r>
      <w:proofErr w:type="gramEnd"/>
      <w:r w:rsidRPr="00394BD3">
        <w:t xml:space="preserve"> reduce public support for the death penalty.</w:t>
      </w:r>
    </w:p>
    <w:p w14:paraId="2824CE53" w14:textId="77777777" w:rsidR="00845BC3" w:rsidRPr="00394BD3" w:rsidRDefault="00845BC3" w:rsidP="00845BC3">
      <w:pPr>
        <w:numPr>
          <w:ilvl w:val="1"/>
          <w:numId w:val="7"/>
        </w:numPr>
        <w:spacing w:after="120"/>
        <w:jc w:val="both"/>
      </w:pPr>
      <w:r w:rsidRPr="00394BD3">
        <w:t>Amend the Penal Code to eliminate the death penalty as a possible punishment for any crime that does not result in death and in which the defendant did not intend to kill.</w:t>
      </w:r>
    </w:p>
    <w:p w14:paraId="22222518" w14:textId="3F4E6212" w:rsidR="00903698" w:rsidRPr="00394BD3" w:rsidRDefault="00C00848" w:rsidP="00903698">
      <w:pPr>
        <w:numPr>
          <w:ilvl w:val="1"/>
          <w:numId w:val="7"/>
        </w:numPr>
        <w:spacing w:after="120"/>
        <w:jc w:val="both"/>
      </w:pPr>
      <w:r w:rsidRPr="00394BD3">
        <w:t xml:space="preserve">Develop a plan of action to implement </w:t>
      </w:r>
      <w:r w:rsidR="00903698" w:rsidRPr="00394BD3">
        <w:t xml:space="preserve">the HRCSL’s </w:t>
      </w:r>
      <w:r w:rsidRPr="00394BD3">
        <w:t>r</w:t>
      </w:r>
      <w:r w:rsidR="00903698" w:rsidRPr="00394BD3">
        <w:t xml:space="preserve">ecommendation to </w:t>
      </w:r>
      <w:r w:rsidRPr="00394BD3">
        <w:t>a</w:t>
      </w:r>
      <w:r w:rsidR="00903698" w:rsidRPr="00394BD3">
        <w:t xml:space="preserve">bolish the </w:t>
      </w:r>
      <w:r w:rsidRPr="00394BD3">
        <w:t>d</w:t>
      </w:r>
      <w:r w:rsidR="00903698" w:rsidRPr="00394BD3">
        <w:t xml:space="preserve">eath </w:t>
      </w:r>
      <w:r w:rsidRPr="00394BD3">
        <w:t>p</w:t>
      </w:r>
      <w:r w:rsidR="00903698" w:rsidRPr="00394BD3">
        <w:t>enalty in Sri Lanka.</w:t>
      </w:r>
    </w:p>
    <w:p w14:paraId="3F3446F6" w14:textId="77777777" w:rsidR="007A1BF2" w:rsidRPr="00394BD3" w:rsidRDefault="00F70AF4" w:rsidP="00903698">
      <w:pPr>
        <w:numPr>
          <w:ilvl w:val="1"/>
          <w:numId w:val="7"/>
        </w:numPr>
        <w:spacing w:after="120"/>
        <w:jc w:val="both"/>
      </w:pPr>
      <w:r w:rsidRPr="00394BD3">
        <w:t xml:space="preserve">Ensure that aggravating factors, particularly for drug-related offenses, do not disproportionately </w:t>
      </w:r>
      <w:r w:rsidR="00AF03EE" w:rsidRPr="00394BD3">
        <w:t xml:space="preserve">apply to female defendants, and develop and implement gender sensitization training for all judges hearing capital cases to ensure that </w:t>
      </w:r>
      <w:r w:rsidR="00F43BC9" w:rsidRPr="00394BD3">
        <w:t>they take into account appropriate factors in mitigation with regard to women, such as experience with gender-based violence, relationships involving coercive control or manipulation that may have prompted the woman to commit a crime, and self-defense in the context of long-term domestic violence.</w:t>
      </w:r>
    </w:p>
    <w:p w14:paraId="57DBF232" w14:textId="1761BDF1" w:rsidR="00F70AF4" w:rsidRPr="00394BD3" w:rsidRDefault="007A1BF2" w:rsidP="00903698">
      <w:pPr>
        <w:numPr>
          <w:ilvl w:val="1"/>
          <w:numId w:val="7"/>
        </w:numPr>
        <w:spacing w:after="120"/>
        <w:jc w:val="both"/>
      </w:pPr>
      <w:r w:rsidRPr="00394BD3">
        <w:t xml:space="preserve">Institute judicial procedures and training to ensure that no person is sentenced to death </w:t>
      </w:r>
      <w:proofErr w:type="gramStart"/>
      <w:r w:rsidRPr="00394BD3">
        <w:t>on the basis of</w:t>
      </w:r>
      <w:proofErr w:type="gramEnd"/>
      <w:r w:rsidRPr="00394BD3">
        <w:t xml:space="preserve"> coerced confessions or other coerced testimony</w:t>
      </w:r>
      <w:r w:rsidR="002A59E5" w:rsidRPr="00394BD3">
        <w:t>.</w:t>
      </w:r>
      <w:r w:rsidR="00AF03EE" w:rsidRPr="00394BD3">
        <w:t xml:space="preserve"> </w:t>
      </w:r>
    </w:p>
    <w:p w14:paraId="166D508D" w14:textId="3155F848" w:rsidR="004B5B84" w:rsidRPr="00394BD3" w:rsidRDefault="00903698" w:rsidP="00903698">
      <w:pPr>
        <w:numPr>
          <w:ilvl w:val="1"/>
          <w:numId w:val="7"/>
        </w:numPr>
        <w:spacing w:after="120"/>
        <w:jc w:val="both"/>
      </w:pPr>
      <w:r w:rsidRPr="00394BD3">
        <w:t xml:space="preserve">Facilitate the work of a committee to </w:t>
      </w:r>
      <w:r w:rsidR="00CB63AC" w:rsidRPr="00394BD3">
        <w:t xml:space="preserve">research and </w:t>
      </w:r>
      <w:r w:rsidRPr="00394BD3">
        <w:t>publicize concrete findings and recommendations surrounding the death penalty, arbitrary arrest</w:t>
      </w:r>
      <w:r w:rsidR="00CB63AC" w:rsidRPr="00394BD3">
        <w:t>s</w:t>
      </w:r>
      <w:r w:rsidRPr="00394BD3">
        <w:t>, and poor detention conditions.</w:t>
      </w:r>
      <w:r w:rsidRPr="00394BD3">
        <w:rPr>
          <w:kern w:val="0"/>
        </w:rPr>
        <w:t xml:space="preserve"> </w:t>
      </w:r>
    </w:p>
    <w:p w14:paraId="4BC75F29" w14:textId="16D47FA2" w:rsidR="00FD726E" w:rsidRPr="00394BD3" w:rsidRDefault="00FD726E" w:rsidP="00903698">
      <w:pPr>
        <w:numPr>
          <w:ilvl w:val="1"/>
          <w:numId w:val="7"/>
        </w:numPr>
        <w:spacing w:after="120"/>
        <w:jc w:val="both"/>
      </w:pPr>
      <w:r w:rsidRPr="00394BD3">
        <w:rPr>
          <w:kern w:val="0"/>
        </w:rPr>
        <w:t>Facilitate training and capacity building in the prison service to ensure compliance with the Nelson Mandela Rules</w:t>
      </w:r>
      <w:r w:rsidR="00CB63AC" w:rsidRPr="00394BD3">
        <w:rPr>
          <w:kern w:val="0"/>
        </w:rPr>
        <w:t xml:space="preserve"> and the Bangkok Rules.</w:t>
      </w:r>
    </w:p>
    <w:p w14:paraId="173A9939" w14:textId="2A4DB6B2" w:rsidR="008E7B1A" w:rsidRPr="00394BD3" w:rsidRDefault="008E7B1A" w:rsidP="00903698">
      <w:pPr>
        <w:numPr>
          <w:ilvl w:val="1"/>
          <w:numId w:val="7"/>
        </w:numPr>
        <w:spacing w:after="120"/>
        <w:jc w:val="both"/>
      </w:pPr>
      <w:r w:rsidRPr="00394BD3">
        <w:rPr>
          <w:kern w:val="0"/>
        </w:rPr>
        <w:t xml:space="preserve">On at least an annual basis, publicize data on people under sentence of death, disaggregated by sex, age, race / ethnicity, national origin, </w:t>
      </w:r>
      <w:r w:rsidR="007176FF" w:rsidRPr="00394BD3">
        <w:rPr>
          <w:kern w:val="0"/>
        </w:rPr>
        <w:t>crime of conviction, date of conviction, sentencing authority</w:t>
      </w:r>
      <w:r w:rsidR="00EF4B86" w:rsidRPr="00394BD3">
        <w:rPr>
          <w:kern w:val="0"/>
        </w:rPr>
        <w:t>, relationship (if any) to the victim, ages of any minor children</w:t>
      </w:r>
      <w:r w:rsidR="007A7382" w:rsidRPr="00394BD3">
        <w:rPr>
          <w:kern w:val="0"/>
        </w:rPr>
        <w:t>, status of any appeals or petitions for clemency, and current location.</w:t>
      </w:r>
    </w:p>
    <w:sectPr w:rsidR="008E7B1A" w:rsidRPr="00394BD3"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DEE42" w14:textId="77777777" w:rsidR="007E516E" w:rsidRDefault="007E516E">
      <w:r>
        <w:separator/>
      </w:r>
    </w:p>
  </w:endnote>
  <w:endnote w:type="continuationSeparator" w:id="0">
    <w:p w14:paraId="45E18C7B" w14:textId="77777777" w:rsidR="007E516E" w:rsidRDefault="007E516E">
      <w:r>
        <w:continuationSeparator/>
      </w:r>
    </w:p>
  </w:endnote>
  <w:endnote w:type="continuationNotice" w:id="1">
    <w:p w14:paraId="7164718E" w14:textId="77777777" w:rsidR="007E516E" w:rsidRDefault="007E5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E6CCE"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FAF6C86" w:rsidR="00804604" w:rsidRPr="00345B90" w:rsidRDefault="00ED25C7"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394BD3">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A2437DE"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394BD3">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394BD3">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E7832" w14:textId="77777777" w:rsidR="007E516E" w:rsidRDefault="007E516E">
      <w:r>
        <w:separator/>
      </w:r>
    </w:p>
  </w:footnote>
  <w:footnote w:type="continuationSeparator" w:id="0">
    <w:p w14:paraId="4539C9A9" w14:textId="77777777" w:rsidR="007E516E" w:rsidRDefault="007E516E">
      <w:r>
        <w:continuationSeparator/>
      </w:r>
    </w:p>
  </w:footnote>
  <w:footnote w:type="continuationNotice" w:id="1">
    <w:p w14:paraId="1CED3EE7" w14:textId="77777777" w:rsidR="007E516E" w:rsidRDefault="007E516E"/>
  </w:footnote>
  <w:footnote w:id="2">
    <w:p w14:paraId="7BB0E923" w14:textId="05B02AFA" w:rsidR="004B5B84" w:rsidRPr="001A5C13" w:rsidRDefault="004B5B84">
      <w:pPr>
        <w:pStyle w:val="FootnoteText"/>
        <w:rPr>
          <w:sz w:val="20"/>
          <w:szCs w:val="20"/>
        </w:rPr>
      </w:pPr>
      <w:r w:rsidRPr="001A5C13">
        <w:rPr>
          <w:rStyle w:val="FootnoteReference"/>
          <w:sz w:val="20"/>
          <w:szCs w:val="20"/>
        </w:rPr>
        <w:footnoteRef/>
      </w:r>
      <w:r w:rsidRPr="001A5C13">
        <w:rPr>
          <w:sz w:val="20"/>
          <w:szCs w:val="20"/>
        </w:rPr>
        <w:t xml:space="preserve"> </w:t>
      </w:r>
      <w:r w:rsidR="008020DA" w:rsidRPr="001A5C13">
        <w:rPr>
          <w:sz w:val="20"/>
          <w:szCs w:val="20"/>
        </w:rPr>
        <w:t xml:space="preserve">Human Rights Committee, </w:t>
      </w:r>
      <w:r w:rsidR="008020DA" w:rsidRPr="001A5C13">
        <w:rPr>
          <w:i/>
          <w:iCs/>
          <w:sz w:val="20"/>
          <w:szCs w:val="20"/>
        </w:rPr>
        <w:t>List of issues in relation to the sixth periodic report of Sri Lanka,</w:t>
      </w:r>
      <w:r w:rsidR="008020DA" w:rsidRPr="001A5C13">
        <w:rPr>
          <w:sz w:val="20"/>
          <w:szCs w:val="20"/>
        </w:rPr>
        <w:t xml:space="preserve"> U.N. Doc. CCPR/C/LKA/Q/6, (Jul. 10, 2020), ¶ 15.</w:t>
      </w:r>
    </w:p>
  </w:footnote>
  <w:footnote w:id="3">
    <w:p w14:paraId="56F6A10D" w14:textId="310EF930" w:rsidR="004B5B84" w:rsidRPr="001A5C13" w:rsidRDefault="004B5B84">
      <w:pPr>
        <w:pStyle w:val="FootnoteText"/>
        <w:rPr>
          <w:sz w:val="20"/>
          <w:szCs w:val="20"/>
        </w:rPr>
      </w:pPr>
      <w:r w:rsidRPr="001A5C13">
        <w:rPr>
          <w:rStyle w:val="FootnoteReference"/>
          <w:sz w:val="20"/>
          <w:szCs w:val="20"/>
        </w:rPr>
        <w:footnoteRef/>
      </w:r>
      <w:r w:rsidRPr="001A5C13">
        <w:rPr>
          <w:sz w:val="20"/>
          <w:szCs w:val="20"/>
        </w:rPr>
        <w:t xml:space="preserve"> </w:t>
      </w:r>
      <w:r w:rsidR="008020DA" w:rsidRPr="001A5C13">
        <w:rPr>
          <w:sz w:val="20"/>
          <w:szCs w:val="20"/>
        </w:rPr>
        <w:t xml:space="preserve">Human Rights Committee, </w:t>
      </w:r>
      <w:r w:rsidR="008020DA" w:rsidRPr="001A5C13">
        <w:rPr>
          <w:i/>
          <w:iCs/>
          <w:sz w:val="20"/>
          <w:szCs w:val="20"/>
        </w:rPr>
        <w:t>Replies of Sri Lanka to the list of issues in relation to its sixth periodic report</w:t>
      </w:r>
      <w:r w:rsidR="008020DA" w:rsidRPr="001A5C13">
        <w:rPr>
          <w:sz w:val="20"/>
          <w:szCs w:val="20"/>
        </w:rPr>
        <w:t>, U.N. Doc. CCPR/C/LKA/Q/6, (May 11, 2022), ¶¶ 78, 79.</w:t>
      </w:r>
    </w:p>
  </w:footnote>
  <w:footnote w:id="4">
    <w:p w14:paraId="01C8B733" w14:textId="4A22ACDC" w:rsidR="004B5B84" w:rsidRPr="001A5C13" w:rsidRDefault="004B5B84">
      <w:pPr>
        <w:pStyle w:val="FootnoteText"/>
        <w:rPr>
          <w:sz w:val="20"/>
          <w:szCs w:val="20"/>
        </w:rPr>
      </w:pPr>
      <w:r w:rsidRPr="001A5C13">
        <w:rPr>
          <w:rStyle w:val="FootnoteReference"/>
          <w:sz w:val="20"/>
          <w:szCs w:val="20"/>
        </w:rPr>
        <w:footnoteRef/>
      </w:r>
      <w:r w:rsidRPr="001A5C13">
        <w:rPr>
          <w:sz w:val="20"/>
          <w:szCs w:val="20"/>
        </w:rPr>
        <w:t xml:space="preserve"> </w:t>
      </w:r>
      <w:r w:rsidR="008020DA" w:rsidRPr="001A5C13">
        <w:rPr>
          <w:sz w:val="20"/>
          <w:szCs w:val="20"/>
        </w:rPr>
        <w:t xml:space="preserve">The Advocates for Human Rights, </w:t>
      </w:r>
      <w:r w:rsidRPr="001A5C13">
        <w:rPr>
          <w:i/>
          <w:iCs/>
          <w:sz w:val="20"/>
          <w:szCs w:val="20"/>
        </w:rPr>
        <w:t>Sri Lanka’s Evolving Stance on the Death Penalty</w:t>
      </w:r>
      <w:r w:rsidRPr="001A5C13">
        <w:rPr>
          <w:sz w:val="20"/>
          <w:szCs w:val="20"/>
        </w:rPr>
        <w:t>, Dec</w:t>
      </w:r>
      <w:r w:rsidR="008020DA" w:rsidRPr="001A5C13">
        <w:rPr>
          <w:sz w:val="20"/>
          <w:szCs w:val="20"/>
        </w:rPr>
        <w:t>.</w:t>
      </w:r>
      <w:r w:rsidRPr="001A5C13">
        <w:rPr>
          <w:sz w:val="20"/>
          <w:szCs w:val="20"/>
        </w:rPr>
        <w:t xml:space="preserve"> 29, 2017</w:t>
      </w:r>
      <w:r w:rsidR="008020DA" w:rsidRPr="001A5C13">
        <w:rPr>
          <w:sz w:val="20"/>
          <w:szCs w:val="20"/>
        </w:rPr>
        <w:t xml:space="preserve">, available online at </w:t>
      </w:r>
      <w:r w:rsidR="000605C7" w:rsidRPr="001A5C13">
        <w:rPr>
          <w:sz w:val="20"/>
          <w:szCs w:val="20"/>
        </w:rPr>
        <w:t>https://www.theadvocatesforhumanrights.org/News/A/Index?id=98</w:t>
      </w:r>
      <w:r w:rsidR="005F277C" w:rsidRPr="001A5C13">
        <w:rPr>
          <w:sz w:val="20"/>
          <w:szCs w:val="20"/>
        </w:rPr>
        <w:t xml:space="preserve">; Reuters, </w:t>
      </w:r>
      <w:r w:rsidR="005F277C" w:rsidRPr="001A5C13">
        <w:rPr>
          <w:i/>
          <w:iCs/>
          <w:sz w:val="20"/>
          <w:szCs w:val="20"/>
        </w:rPr>
        <w:t xml:space="preserve">Sri Lanka reinstates death penalty for drug crimes ahead of </w:t>
      </w:r>
      <w:r w:rsidR="005F277C" w:rsidRPr="001A5C13">
        <w:rPr>
          <w:sz w:val="20"/>
          <w:szCs w:val="20"/>
        </w:rPr>
        <w:t>polls (June 25, 2019), available online at https://www.reuters.com/article/us-sri-lanka-drugs/sri-lanka-reinstates-death-penalty-for-drug-crimes-ahead-of-polls-idUSKCN1TR0EA.</w:t>
      </w:r>
    </w:p>
  </w:footnote>
  <w:footnote w:id="5">
    <w:p w14:paraId="5C29EF13" w14:textId="0F84530B" w:rsidR="004B5B84" w:rsidRPr="001A5C13" w:rsidRDefault="004B5B84" w:rsidP="004B5B84">
      <w:pPr>
        <w:pStyle w:val="FootnoteText"/>
        <w:rPr>
          <w:sz w:val="20"/>
          <w:szCs w:val="20"/>
        </w:rPr>
      </w:pPr>
      <w:r w:rsidRPr="001A5C13">
        <w:rPr>
          <w:rStyle w:val="FootnoteReference"/>
          <w:sz w:val="20"/>
          <w:szCs w:val="20"/>
        </w:rPr>
        <w:footnoteRef/>
      </w:r>
      <w:r w:rsidR="746E54DF" w:rsidRPr="001A5C13">
        <w:rPr>
          <w:sz w:val="20"/>
          <w:szCs w:val="20"/>
        </w:rPr>
        <w:t xml:space="preserve"> Department of Prisons, </w:t>
      </w:r>
      <w:r w:rsidR="746E54DF" w:rsidRPr="001A5C13">
        <w:rPr>
          <w:i/>
          <w:iCs/>
          <w:sz w:val="20"/>
          <w:szCs w:val="20"/>
        </w:rPr>
        <w:t>Prisons Statistics of Sri Lanka 2021</w:t>
      </w:r>
      <w:r w:rsidR="746E54DF" w:rsidRPr="001A5C13">
        <w:rPr>
          <w:sz w:val="20"/>
          <w:szCs w:val="20"/>
        </w:rPr>
        <w:t>, pg. 47, available online at http://prisons.gov.lk/web/wp-content/uploads/2021/05/prison-statistics-2021.pdf.</w:t>
      </w:r>
    </w:p>
  </w:footnote>
  <w:footnote w:id="6">
    <w:p w14:paraId="0DA2AD13" w14:textId="6A96DD2C" w:rsidR="004B5B84" w:rsidRPr="001A5C13" w:rsidRDefault="004B5B84" w:rsidP="004B5B84">
      <w:pPr>
        <w:pStyle w:val="FootnoteText"/>
        <w:rPr>
          <w:sz w:val="20"/>
          <w:szCs w:val="20"/>
        </w:rPr>
      </w:pPr>
      <w:r w:rsidRPr="001A5C13">
        <w:rPr>
          <w:rStyle w:val="FootnoteReference"/>
          <w:sz w:val="20"/>
          <w:szCs w:val="20"/>
        </w:rPr>
        <w:footnoteRef/>
      </w:r>
      <w:r w:rsidRPr="001A5C13">
        <w:rPr>
          <w:sz w:val="20"/>
          <w:szCs w:val="20"/>
        </w:rPr>
        <w:t xml:space="preserve"> </w:t>
      </w:r>
      <w:r w:rsidRPr="001A5C13">
        <w:rPr>
          <w:iCs/>
          <w:sz w:val="20"/>
          <w:szCs w:val="20"/>
        </w:rPr>
        <w:t>State Ministry of Prison Reform and Prisoner’s Rehabilitation</w:t>
      </w:r>
      <w:r w:rsidRPr="001A5C13">
        <w:rPr>
          <w:i/>
          <w:sz w:val="20"/>
          <w:szCs w:val="20"/>
        </w:rPr>
        <w:t>,</w:t>
      </w:r>
      <w:r w:rsidRPr="001A5C13">
        <w:rPr>
          <w:sz w:val="20"/>
          <w:szCs w:val="20"/>
        </w:rPr>
        <w:t xml:space="preserve"> </w:t>
      </w:r>
      <w:r w:rsidRPr="001A5C13">
        <w:rPr>
          <w:i/>
          <w:iCs/>
          <w:sz w:val="20"/>
          <w:szCs w:val="20"/>
        </w:rPr>
        <w:t>Progress Report 2020</w:t>
      </w:r>
      <w:r w:rsidRPr="001A5C13">
        <w:rPr>
          <w:sz w:val="20"/>
          <w:szCs w:val="20"/>
        </w:rPr>
        <w:t>,</w:t>
      </w:r>
      <w:r w:rsidR="005F277C" w:rsidRPr="001A5C13">
        <w:rPr>
          <w:sz w:val="20"/>
          <w:szCs w:val="20"/>
        </w:rPr>
        <w:t xml:space="preserve"> pgs. 23-24, available online at </w:t>
      </w:r>
      <w:r w:rsidR="000605C7" w:rsidRPr="001A5C13">
        <w:rPr>
          <w:sz w:val="20"/>
          <w:szCs w:val="20"/>
        </w:rPr>
        <w:t>http://www.prisonmin.gov.lk/web/images/pdf/progress-report-2020.pdf</w:t>
      </w:r>
      <w:r w:rsidR="005F277C" w:rsidRPr="001A5C13">
        <w:rPr>
          <w:sz w:val="20"/>
          <w:szCs w:val="20"/>
        </w:rPr>
        <w:t>.</w:t>
      </w:r>
    </w:p>
  </w:footnote>
  <w:footnote w:id="7">
    <w:p w14:paraId="7F74C5BC" w14:textId="691AD968" w:rsidR="004B5B84" w:rsidRPr="001A5C13" w:rsidRDefault="004B5B84" w:rsidP="004B5B84">
      <w:pPr>
        <w:pStyle w:val="FootnoteText"/>
        <w:rPr>
          <w:sz w:val="20"/>
          <w:szCs w:val="20"/>
        </w:rPr>
      </w:pPr>
      <w:r w:rsidRPr="001A5C13">
        <w:rPr>
          <w:rStyle w:val="FootnoteReference"/>
          <w:sz w:val="20"/>
          <w:szCs w:val="20"/>
        </w:rPr>
        <w:footnoteRef/>
      </w:r>
      <w:r w:rsidRPr="001A5C13">
        <w:rPr>
          <w:sz w:val="20"/>
          <w:szCs w:val="20"/>
        </w:rPr>
        <w:t xml:space="preserve"> </w:t>
      </w:r>
      <w:r w:rsidR="001B6AF5" w:rsidRPr="001A5C13">
        <w:rPr>
          <w:sz w:val="20"/>
          <w:szCs w:val="20"/>
        </w:rPr>
        <w:t xml:space="preserve">Ambika </w:t>
      </w:r>
      <w:proofErr w:type="spellStart"/>
      <w:r w:rsidR="001B6AF5" w:rsidRPr="001A5C13">
        <w:rPr>
          <w:sz w:val="20"/>
          <w:szCs w:val="20"/>
        </w:rPr>
        <w:t>Satkunanathan</w:t>
      </w:r>
      <w:proofErr w:type="spellEnd"/>
      <w:r w:rsidR="001B6AF5" w:rsidRPr="001A5C13">
        <w:rPr>
          <w:sz w:val="20"/>
          <w:szCs w:val="20"/>
        </w:rPr>
        <w:t xml:space="preserve">, </w:t>
      </w:r>
      <w:r w:rsidRPr="001A5C13">
        <w:rPr>
          <w:i/>
          <w:iCs/>
          <w:sz w:val="20"/>
          <w:szCs w:val="20"/>
        </w:rPr>
        <w:t>Calls for Inputs</w:t>
      </w:r>
      <w:r w:rsidR="001B6AF5" w:rsidRPr="001A5C13">
        <w:rPr>
          <w:i/>
          <w:iCs/>
          <w:sz w:val="20"/>
          <w:szCs w:val="20"/>
        </w:rPr>
        <w:t xml:space="preserve"> - Secretary-General’s Report on a moratorium on the use of the death penalty </w:t>
      </w:r>
      <w:r w:rsidR="001B6AF5" w:rsidRPr="001A5C13">
        <w:rPr>
          <w:sz w:val="20"/>
          <w:szCs w:val="20"/>
        </w:rPr>
        <w:t>(May 3, 2022).</w:t>
      </w:r>
    </w:p>
  </w:footnote>
  <w:footnote w:id="8">
    <w:p w14:paraId="3DD2B39C" w14:textId="77777777" w:rsidR="004B5B84" w:rsidRPr="001A5C13" w:rsidRDefault="004B5B84" w:rsidP="004B5B84">
      <w:pPr>
        <w:pStyle w:val="FootnoteText"/>
        <w:rPr>
          <w:sz w:val="20"/>
          <w:szCs w:val="20"/>
        </w:rPr>
      </w:pPr>
      <w:r w:rsidRPr="001A5C13">
        <w:rPr>
          <w:rStyle w:val="FootnoteReference"/>
          <w:sz w:val="20"/>
          <w:szCs w:val="20"/>
        </w:rPr>
        <w:footnoteRef/>
      </w:r>
      <w:r w:rsidRPr="001A5C13">
        <w:rPr>
          <w:sz w:val="20"/>
          <w:szCs w:val="20"/>
        </w:rPr>
        <w:t xml:space="preserve"> </w:t>
      </w:r>
      <w:r w:rsidRPr="001A5C13">
        <w:rPr>
          <w:i/>
          <w:iCs/>
          <w:sz w:val="20"/>
          <w:szCs w:val="20"/>
        </w:rPr>
        <w:t>Ibid.</w:t>
      </w:r>
    </w:p>
  </w:footnote>
  <w:footnote w:id="9">
    <w:p w14:paraId="4A11E51A" w14:textId="45A31790" w:rsidR="004C6D09" w:rsidRPr="001A5C13" w:rsidRDefault="004C6D09">
      <w:pPr>
        <w:pStyle w:val="FootnoteText"/>
        <w:rPr>
          <w:sz w:val="20"/>
          <w:szCs w:val="20"/>
        </w:rPr>
      </w:pPr>
      <w:r w:rsidRPr="001A5C13">
        <w:rPr>
          <w:rStyle w:val="FootnoteReference"/>
          <w:sz w:val="20"/>
          <w:szCs w:val="20"/>
        </w:rPr>
        <w:footnoteRef/>
      </w:r>
      <w:r w:rsidR="746E54DF" w:rsidRPr="001A5C13">
        <w:rPr>
          <w:sz w:val="20"/>
          <w:szCs w:val="20"/>
        </w:rPr>
        <w:t xml:space="preserve"> Amnesty International, </w:t>
      </w:r>
      <w:r w:rsidR="746E54DF" w:rsidRPr="001A5C13">
        <w:rPr>
          <w:i/>
          <w:iCs/>
          <w:sz w:val="20"/>
          <w:szCs w:val="20"/>
        </w:rPr>
        <w:t xml:space="preserve">Death Sentences and Executions 2021 </w:t>
      </w:r>
      <w:r w:rsidR="746E54DF" w:rsidRPr="001A5C13">
        <w:rPr>
          <w:sz w:val="20"/>
          <w:szCs w:val="20"/>
        </w:rPr>
        <w:t>(2022), at 15, available online at https://www.amnesty.org/en/documents/act50/5418/2022/en/.</w:t>
      </w:r>
    </w:p>
  </w:footnote>
  <w:footnote w:id="10">
    <w:p w14:paraId="236153F6" w14:textId="72C6D8C8" w:rsidR="001E729D" w:rsidRPr="001A5C13" w:rsidRDefault="001E729D">
      <w:pPr>
        <w:pStyle w:val="FootnoteText"/>
        <w:rPr>
          <w:sz w:val="20"/>
          <w:szCs w:val="20"/>
        </w:rPr>
      </w:pPr>
      <w:r w:rsidRPr="001A5C13">
        <w:rPr>
          <w:rStyle w:val="FootnoteReference"/>
          <w:sz w:val="20"/>
          <w:szCs w:val="20"/>
        </w:rPr>
        <w:footnoteRef/>
      </w:r>
      <w:r w:rsidR="00584575" w:rsidRPr="001A5C13">
        <w:rPr>
          <w:sz w:val="20"/>
          <w:szCs w:val="20"/>
        </w:rPr>
        <w:t xml:space="preserve"> Amnesty International, </w:t>
      </w:r>
      <w:r w:rsidR="00584575" w:rsidRPr="001A5C13">
        <w:rPr>
          <w:i/>
          <w:iCs/>
          <w:sz w:val="20"/>
          <w:szCs w:val="20"/>
        </w:rPr>
        <w:t xml:space="preserve">Death Sentences and Executions 2021 </w:t>
      </w:r>
      <w:r w:rsidR="00584575" w:rsidRPr="001A5C13">
        <w:rPr>
          <w:sz w:val="20"/>
          <w:szCs w:val="20"/>
        </w:rPr>
        <w:t>(2022)</w:t>
      </w:r>
      <w:r w:rsidR="00C46EAB" w:rsidRPr="001A5C13">
        <w:rPr>
          <w:sz w:val="20"/>
          <w:szCs w:val="20"/>
        </w:rPr>
        <w:t>,</w:t>
      </w:r>
      <w:r w:rsidRPr="001A5C13">
        <w:rPr>
          <w:sz w:val="20"/>
          <w:szCs w:val="20"/>
        </w:rPr>
        <w:t xml:space="preserve"> </w:t>
      </w:r>
      <w:r w:rsidR="00C46EAB" w:rsidRPr="001A5C13">
        <w:rPr>
          <w:sz w:val="20"/>
          <w:szCs w:val="20"/>
        </w:rPr>
        <w:t>a</w:t>
      </w:r>
      <w:r w:rsidRPr="001A5C13">
        <w:rPr>
          <w:sz w:val="20"/>
          <w:szCs w:val="20"/>
        </w:rPr>
        <w:t>t 15</w:t>
      </w:r>
      <w:r w:rsidR="00C46EAB" w:rsidRPr="001A5C13">
        <w:rPr>
          <w:sz w:val="20"/>
          <w:szCs w:val="20"/>
        </w:rPr>
        <w:t>, available online at https://www.amnesty.org/en/documents/act50/5418/2022/en/.</w:t>
      </w:r>
    </w:p>
  </w:footnote>
  <w:footnote w:id="11">
    <w:p w14:paraId="58AD0909" w14:textId="6783B16E" w:rsidR="00441DED" w:rsidRPr="001A5C13" w:rsidRDefault="00441DED">
      <w:pPr>
        <w:pStyle w:val="FootnoteText"/>
        <w:rPr>
          <w:sz w:val="20"/>
          <w:szCs w:val="20"/>
        </w:rPr>
      </w:pPr>
      <w:r w:rsidRPr="001A5C13">
        <w:rPr>
          <w:rStyle w:val="FootnoteReference"/>
          <w:sz w:val="20"/>
          <w:szCs w:val="20"/>
        </w:rPr>
        <w:footnoteRef/>
      </w:r>
      <w:r w:rsidRPr="001A5C13">
        <w:rPr>
          <w:sz w:val="20"/>
          <w:szCs w:val="20"/>
        </w:rPr>
        <w:t xml:space="preserve"> Amnesty International, </w:t>
      </w:r>
      <w:r w:rsidRPr="001A5C13">
        <w:rPr>
          <w:i/>
          <w:iCs/>
          <w:sz w:val="20"/>
          <w:szCs w:val="20"/>
        </w:rPr>
        <w:t xml:space="preserve">Death Sentences and Executions 2021 </w:t>
      </w:r>
      <w:r w:rsidRPr="001A5C13">
        <w:rPr>
          <w:sz w:val="20"/>
          <w:szCs w:val="20"/>
        </w:rPr>
        <w:t>(2022), at 36, available online at https://www.amnesty.org/en/documents/act50/5418/2022/en/.</w:t>
      </w:r>
    </w:p>
  </w:footnote>
  <w:footnote w:id="12">
    <w:p w14:paraId="7DBB2277" w14:textId="319A843D" w:rsidR="004B5B84" w:rsidRPr="001A5C13" w:rsidRDefault="004B5B84">
      <w:pPr>
        <w:pStyle w:val="FootnoteText"/>
        <w:rPr>
          <w:sz w:val="20"/>
          <w:szCs w:val="20"/>
        </w:rPr>
      </w:pPr>
      <w:r w:rsidRPr="001A5C13">
        <w:rPr>
          <w:rStyle w:val="FootnoteReference"/>
          <w:sz w:val="20"/>
          <w:szCs w:val="20"/>
        </w:rPr>
        <w:footnoteRef/>
      </w:r>
      <w:r w:rsidRPr="001A5C13">
        <w:rPr>
          <w:sz w:val="20"/>
          <w:szCs w:val="20"/>
        </w:rPr>
        <w:t xml:space="preserve"> </w:t>
      </w:r>
      <w:r w:rsidR="001B6AF5" w:rsidRPr="001A5C13">
        <w:rPr>
          <w:sz w:val="20"/>
          <w:szCs w:val="20"/>
        </w:rPr>
        <w:t xml:space="preserve">Human Rights Watch, </w:t>
      </w:r>
      <w:r w:rsidR="001B6AF5" w:rsidRPr="001A5C13">
        <w:rPr>
          <w:i/>
          <w:iCs/>
          <w:sz w:val="20"/>
          <w:szCs w:val="20"/>
        </w:rPr>
        <w:t xml:space="preserve">Sri Lanka: Death Sentence for Prison Official </w:t>
      </w:r>
      <w:r w:rsidR="001B6AF5" w:rsidRPr="001A5C13">
        <w:rPr>
          <w:sz w:val="20"/>
          <w:szCs w:val="20"/>
        </w:rPr>
        <w:t xml:space="preserve">(Jan. 17, 2022), available online at </w:t>
      </w:r>
      <w:r w:rsidRPr="001A5C13">
        <w:rPr>
          <w:sz w:val="20"/>
          <w:szCs w:val="20"/>
        </w:rPr>
        <w:t>https://www.hrw.org/news/2022/01/17/sri-lanka-death-sentence-prison-official</w:t>
      </w:r>
      <w:r w:rsidR="001B6AF5" w:rsidRPr="001A5C13">
        <w:rPr>
          <w:sz w:val="20"/>
          <w:szCs w:val="20"/>
        </w:rPr>
        <w:t>.</w:t>
      </w:r>
    </w:p>
  </w:footnote>
  <w:footnote w:id="13">
    <w:p w14:paraId="659A0856" w14:textId="7B744164" w:rsidR="004B5B84" w:rsidRPr="001A5C13" w:rsidRDefault="004B5B84">
      <w:pPr>
        <w:pStyle w:val="FootnoteText"/>
        <w:rPr>
          <w:sz w:val="20"/>
          <w:szCs w:val="20"/>
        </w:rPr>
      </w:pPr>
      <w:r w:rsidRPr="001A5C13">
        <w:rPr>
          <w:rStyle w:val="FootnoteReference"/>
          <w:sz w:val="20"/>
          <w:szCs w:val="20"/>
        </w:rPr>
        <w:footnoteRef/>
      </w:r>
      <w:r w:rsidRPr="001A5C13">
        <w:rPr>
          <w:sz w:val="20"/>
          <w:szCs w:val="20"/>
        </w:rPr>
        <w:t xml:space="preserve"> </w:t>
      </w:r>
      <w:r w:rsidR="008020DA" w:rsidRPr="001A5C13">
        <w:rPr>
          <w:sz w:val="20"/>
          <w:szCs w:val="20"/>
        </w:rPr>
        <w:t xml:space="preserve">Human Rights Committee, </w:t>
      </w:r>
      <w:r w:rsidR="008020DA" w:rsidRPr="001A5C13">
        <w:rPr>
          <w:i/>
          <w:iCs/>
          <w:sz w:val="20"/>
          <w:szCs w:val="20"/>
        </w:rPr>
        <w:t>List of issues in relation to the sixth periodic report of Sri Lanka,</w:t>
      </w:r>
      <w:r w:rsidR="008020DA" w:rsidRPr="001A5C13">
        <w:rPr>
          <w:sz w:val="20"/>
          <w:szCs w:val="20"/>
        </w:rPr>
        <w:t xml:space="preserve"> U.N. Doc. CCPR/C/LKA/Q/6, (Jul. 10, 2020), ¶ 15.</w:t>
      </w:r>
    </w:p>
  </w:footnote>
  <w:footnote w:id="14">
    <w:p w14:paraId="67FBBB42" w14:textId="21C00A84" w:rsidR="004B5B84" w:rsidRPr="001A5C13" w:rsidRDefault="004B5B84">
      <w:pPr>
        <w:pStyle w:val="FootnoteText"/>
        <w:rPr>
          <w:sz w:val="20"/>
          <w:szCs w:val="20"/>
        </w:rPr>
      </w:pPr>
      <w:r w:rsidRPr="001A5C13">
        <w:rPr>
          <w:rStyle w:val="FootnoteReference"/>
          <w:sz w:val="20"/>
          <w:szCs w:val="20"/>
        </w:rPr>
        <w:footnoteRef/>
      </w:r>
      <w:r w:rsidRPr="001A5C13">
        <w:rPr>
          <w:sz w:val="20"/>
          <w:szCs w:val="20"/>
        </w:rPr>
        <w:t xml:space="preserve"> </w:t>
      </w:r>
      <w:r w:rsidR="008020DA" w:rsidRPr="001A5C13">
        <w:rPr>
          <w:sz w:val="20"/>
          <w:szCs w:val="20"/>
        </w:rPr>
        <w:t xml:space="preserve">Human Rights Committee, </w:t>
      </w:r>
      <w:r w:rsidR="008020DA" w:rsidRPr="001A5C13">
        <w:rPr>
          <w:i/>
          <w:iCs/>
          <w:sz w:val="20"/>
          <w:szCs w:val="20"/>
        </w:rPr>
        <w:t>Replies of Sri Lanka to the list of issues in relation to its sixth periodic report</w:t>
      </w:r>
      <w:r w:rsidR="008020DA" w:rsidRPr="001A5C13">
        <w:rPr>
          <w:sz w:val="20"/>
          <w:szCs w:val="20"/>
        </w:rPr>
        <w:t>, U.N. Doc. CCPR/C/LKA/Q/6, (May 11, 2022), ¶ 79.</w:t>
      </w:r>
    </w:p>
  </w:footnote>
  <w:footnote w:id="15">
    <w:p w14:paraId="6FA4560C" w14:textId="7C4F0870" w:rsidR="00845BC3" w:rsidRPr="001A5C13" w:rsidRDefault="00845BC3" w:rsidP="00845BC3">
      <w:pPr>
        <w:pStyle w:val="EndnoteText"/>
      </w:pPr>
      <w:r w:rsidRPr="001A5C13">
        <w:rPr>
          <w:rStyle w:val="FootnoteReference"/>
        </w:rPr>
        <w:footnoteRef/>
      </w:r>
      <w:r w:rsidR="746E54DF" w:rsidRPr="001A5C13">
        <w:t xml:space="preserve"> United Nations Human Rights Council, </w:t>
      </w:r>
      <w:r w:rsidR="746E54DF" w:rsidRPr="001A5C13">
        <w:rPr>
          <w:i/>
          <w:iCs/>
        </w:rPr>
        <w:t>Report of the Working Group on the Universal Periodic Review of Sri Lanka Addendum</w:t>
      </w:r>
      <w:r w:rsidR="746E54DF" w:rsidRPr="001A5C13">
        <w:t xml:space="preserve">, U.N. Doc. A/HRC/22/16/Add.1, ¶ 2.1. </w:t>
      </w:r>
    </w:p>
  </w:footnote>
  <w:footnote w:id="16">
    <w:p w14:paraId="2C019281" w14:textId="0280F8BF" w:rsidR="004B5B84" w:rsidRPr="001A5C13" w:rsidRDefault="004B5B84">
      <w:pPr>
        <w:pStyle w:val="FootnoteText"/>
        <w:rPr>
          <w:sz w:val="20"/>
          <w:szCs w:val="20"/>
        </w:rPr>
      </w:pPr>
      <w:r w:rsidRPr="001A5C13">
        <w:rPr>
          <w:rStyle w:val="FootnoteReference"/>
          <w:sz w:val="20"/>
          <w:szCs w:val="20"/>
        </w:rPr>
        <w:footnoteRef/>
      </w:r>
      <w:r w:rsidR="746E54DF" w:rsidRPr="001A5C13">
        <w:rPr>
          <w:sz w:val="20"/>
          <w:szCs w:val="20"/>
        </w:rPr>
        <w:t xml:space="preserve"> International Commission Against Death Penalty, </w:t>
      </w:r>
      <w:r w:rsidR="746E54DF" w:rsidRPr="001A5C13">
        <w:rPr>
          <w:i/>
          <w:iCs/>
          <w:sz w:val="20"/>
          <w:szCs w:val="20"/>
        </w:rPr>
        <w:t>UNGA Moratorium Resolution Map</w:t>
      </w:r>
      <w:r w:rsidR="746E54DF" w:rsidRPr="001A5C13">
        <w:rPr>
          <w:sz w:val="20"/>
          <w:szCs w:val="20"/>
        </w:rPr>
        <w:t xml:space="preserve">, https://icomdp.org/unga/#; </w:t>
      </w:r>
      <w:r w:rsidR="746E54DF" w:rsidRPr="001A5C13">
        <w:rPr>
          <w:i/>
          <w:iCs/>
          <w:sz w:val="20"/>
          <w:szCs w:val="20"/>
        </w:rPr>
        <w:t>9th Resolution for a moratorium on the death penalty: the trend is growing</w:t>
      </w:r>
      <w:r w:rsidR="746E54DF" w:rsidRPr="001A5C13">
        <w:rPr>
          <w:sz w:val="20"/>
          <w:szCs w:val="20"/>
        </w:rPr>
        <w:t>, World Coalition Against the Death Penalty (Dec. 20, 2022), available online at https://worldcoalition.org/2022/12/20/9th-resolution-for-a-moratorium-on-the-death-penalty-the-trend-is-growing/.</w:t>
      </w:r>
    </w:p>
  </w:footnote>
  <w:footnote w:id="17">
    <w:p w14:paraId="50861414" w14:textId="67175A28" w:rsidR="00F37D39" w:rsidRPr="001A5C13" w:rsidRDefault="00F37D39">
      <w:pPr>
        <w:pStyle w:val="FootnoteText"/>
        <w:rPr>
          <w:sz w:val="20"/>
          <w:szCs w:val="20"/>
        </w:rPr>
      </w:pPr>
      <w:r w:rsidRPr="001A5C13">
        <w:rPr>
          <w:rStyle w:val="FootnoteReference"/>
          <w:sz w:val="20"/>
          <w:szCs w:val="20"/>
        </w:rPr>
        <w:footnoteRef/>
      </w:r>
      <w:r w:rsidRPr="001A5C13">
        <w:rPr>
          <w:sz w:val="20"/>
          <w:szCs w:val="20"/>
        </w:rPr>
        <w:t xml:space="preserve"> </w:t>
      </w:r>
      <w:r w:rsidR="008020DA" w:rsidRPr="001A5C13">
        <w:rPr>
          <w:sz w:val="20"/>
          <w:szCs w:val="20"/>
        </w:rPr>
        <w:t xml:space="preserve">Human Rights Committee, </w:t>
      </w:r>
      <w:r w:rsidR="008020DA" w:rsidRPr="001A5C13">
        <w:rPr>
          <w:i/>
          <w:iCs/>
          <w:sz w:val="20"/>
          <w:szCs w:val="20"/>
        </w:rPr>
        <w:t>List of issues in relation to the sixth periodic report of Sri Lanka,</w:t>
      </w:r>
      <w:r w:rsidR="008020DA" w:rsidRPr="001A5C13">
        <w:rPr>
          <w:sz w:val="20"/>
          <w:szCs w:val="20"/>
        </w:rPr>
        <w:t xml:space="preserve"> U.N. Doc. CCPR/C/LKA/Q/6, (Jul. 10, 2020), ¶ 15.</w:t>
      </w:r>
    </w:p>
  </w:footnote>
  <w:footnote w:id="18">
    <w:p w14:paraId="2CD942EB" w14:textId="3A086B8C" w:rsidR="00CF7B54" w:rsidRPr="001A5C13" w:rsidRDefault="00CF7B54" w:rsidP="00CF7B54">
      <w:pPr>
        <w:pStyle w:val="FootnoteText"/>
        <w:rPr>
          <w:sz w:val="20"/>
          <w:szCs w:val="20"/>
        </w:rPr>
      </w:pPr>
      <w:r w:rsidRPr="001A5C13">
        <w:rPr>
          <w:rStyle w:val="FootnoteReference"/>
          <w:sz w:val="20"/>
          <w:szCs w:val="20"/>
        </w:rPr>
        <w:footnoteRef/>
      </w:r>
      <w:r w:rsidRPr="001A5C13">
        <w:rPr>
          <w:sz w:val="20"/>
          <w:szCs w:val="20"/>
        </w:rPr>
        <w:t xml:space="preserve"> Penal </w:t>
      </w:r>
      <w:r w:rsidR="001B6AF5" w:rsidRPr="001A5C13">
        <w:rPr>
          <w:sz w:val="20"/>
          <w:szCs w:val="20"/>
        </w:rPr>
        <w:t>C</w:t>
      </w:r>
      <w:r w:rsidRPr="001A5C13">
        <w:rPr>
          <w:sz w:val="20"/>
          <w:szCs w:val="20"/>
        </w:rPr>
        <w:t xml:space="preserve">ode </w:t>
      </w:r>
      <w:r w:rsidR="001B6AF5" w:rsidRPr="001A5C13">
        <w:rPr>
          <w:sz w:val="20"/>
          <w:szCs w:val="20"/>
        </w:rPr>
        <w:t>§</w:t>
      </w:r>
      <w:r w:rsidRPr="001A5C13">
        <w:rPr>
          <w:sz w:val="20"/>
          <w:szCs w:val="20"/>
        </w:rPr>
        <w:t xml:space="preserve"> 114</w:t>
      </w:r>
      <w:r w:rsidR="001B6AF5" w:rsidRPr="001A5C13">
        <w:rPr>
          <w:sz w:val="20"/>
          <w:szCs w:val="20"/>
        </w:rPr>
        <w:t>.</w:t>
      </w:r>
    </w:p>
  </w:footnote>
  <w:footnote w:id="19">
    <w:p w14:paraId="25E90DE9" w14:textId="3B60540A" w:rsidR="00CF7B54" w:rsidRPr="001A5C13" w:rsidRDefault="00CF7B54" w:rsidP="00CF7B54">
      <w:pPr>
        <w:pStyle w:val="FootnoteText"/>
        <w:rPr>
          <w:sz w:val="20"/>
          <w:szCs w:val="20"/>
        </w:rPr>
      </w:pPr>
      <w:r w:rsidRPr="001A5C13">
        <w:rPr>
          <w:rStyle w:val="FootnoteReference"/>
          <w:sz w:val="20"/>
          <w:szCs w:val="20"/>
        </w:rPr>
        <w:footnoteRef/>
      </w:r>
      <w:r w:rsidRPr="001A5C13">
        <w:rPr>
          <w:sz w:val="20"/>
          <w:szCs w:val="20"/>
        </w:rPr>
        <w:t xml:space="preserve"> Penal Code </w:t>
      </w:r>
      <w:r w:rsidR="001B6AF5" w:rsidRPr="001A5C13">
        <w:rPr>
          <w:sz w:val="20"/>
          <w:szCs w:val="20"/>
        </w:rPr>
        <w:t>§</w:t>
      </w:r>
      <w:r w:rsidRPr="001A5C13">
        <w:rPr>
          <w:sz w:val="20"/>
          <w:szCs w:val="20"/>
        </w:rPr>
        <w:t xml:space="preserve"> 129</w:t>
      </w:r>
      <w:r w:rsidR="001B6AF5" w:rsidRPr="001A5C13">
        <w:rPr>
          <w:sz w:val="20"/>
          <w:szCs w:val="20"/>
        </w:rPr>
        <w:t>.</w:t>
      </w:r>
    </w:p>
  </w:footnote>
  <w:footnote w:id="20">
    <w:p w14:paraId="78C763A1" w14:textId="7984D500" w:rsidR="00CF7B54" w:rsidRPr="001A5C13" w:rsidRDefault="00CF7B54" w:rsidP="00CF7B54">
      <w:pPr>
        <w:pStyle w:val="FootnoteText"/>
        <w:rPr>
          <w:sz w:val="20"/>
          <w:szCs w:val="20"/>
        </w:rPr>
      </w:pPr>
      <w:r w:rsidRPr="001A5C13">
        <w:rPr>
          <w:rStyle w:val="FootnoteReference"/>
          <w:sz w:val="20"/>
          <w:szCs w:val="20"/>
        </w:rPr>
        <w:footnoteRef/>
      </w:r>
      <w:r w:rsidRPr="001A5C13">
        <w:rPr>
          <w:sz w:val="20"/>
          <w:szCs w:val="20"/>
        </w:rPr>
        <w:t xml:space="preserve"> Penal </w:t>
      </w:r>
      <w:r w:rsidR="001B6AF5" w:rsidRPr="001A5C13">
        <w:rPr>
          <w:sz w:val="20"/>
          <w:szCs w:val="20"/>
        </w:rPr>
        <w:t>C</w:t>
      </w:r>
      <w:r w:rsidRPr="001A5C13">
        <w:rPr>
          <w:sz w:val="20"/>
          <w:szCs w:val="20"/>
        </w:rPr>
        <w:t>ode</w:t>
      </w:r>
      <w:r w:rsidR="001B6AF5" w:rsidRPr="001A5C13">
        <w:rPr>
          <w:sz w:val="20"/>
          <w:szCs w:val="20"/>
        </w:rPr>
        <w:t xml:space="preserve"> §</w:t>
      </w:r>
      <w:r w:rsidRPr="001A5C13">
        <w:rPr>
          <w:sz w:val="20"/>
          <w:szCs w:val="20"/>
        </w:rPr>
        <w:t xml:space="preserve"> 191</w:t>
      </w:r>
      <w:r w:rsidR="001B6AF5" w:rsidRPr="001A5C13">
        <w:rPr>
          <w:sz w:val="20"/>
          <w:szCs w:val="20"/>
        </w:rPr>
        <w:t>.</w:t>
      </w:r>
    </w:p>
  </w:footnote>
  <w:footnote w:id="21">
    <w:p w14:paraId="14461C57" w14:textId="77EC6B3D" w:rsidR="00CF7B54" w:rsidRPr="001A5C13" w:rsidRDefault="00CF7B54" w:rsidP="00CF7B54">
      <w:pPr>
        <w:pStyle w:val="FootnoteText"/>
        <w:rPr>
          <w:sz w:val="20"/>
          <w:szCs w:val="20"/>
        </w:rPr>
      </w:pPr>
      <w:r w:rsidRPr="001A5C13">
        <w:rPr>
          <w:rStyle w:val="FootnoteReference"/>
          <w:sz w:val="20"/>
          <w:szCs w:val="20"/>
        </w:rPr>
        <w:footnoteRef/>
      </w:r>
      <w:r w:rsidRPr="001A5C13">
        <w:rPr>
          <w:sz w:val="20"/>
          <w:szCs w:val="20"/>
        </w:rPr>
        <w:t xml:space="preserve"> Penal </w:t>
      </w:r>
      <w:r w:rsidR="001B6AF5" w:rsidRPr="001A5C13">
        <w:rPr>
          <w:sz w:val="20"/>
          <w:szCs w:val="20"/>
        </w:rPr>
        <w:t>C</w:t>
      </w:r>
      <w:r w:rsidRPr="001A5C13">
        <w:rPr>
          <w:sz w:val="20"/>
          <w:szCs w:val="20"/>
        </w:rPr>
        <w:t xml:space="preserve">ode </w:t>
      </w:r>
      <w:r w:rsidR="001B6AF5" w:rsidRPr="001A5C13">
        <w:rPr>
          <w:sz w:val="20"/>
          <w:szCs w:val="20"/>
        </w:rPr>
        <w:t xml:space="preserve">§ </w:t>
      </w:r>
      <w:r w:rsidRPr="001A5C13">
        <w:rPr>
          <w:sz w:val="20"/>
          <w:szCs w:val="20"/>
        </w:rPr>
        <w:t>299</w:t>
      </w:r>
      <w:r w:rsidR="001B6AF5" w:rsidRPr="001A5C13">
        <w:rPr>
          <w:sz w:val="20"/>
          <w:szCs w:val="20"/>
        </w:rPr>
        <w:t>.</w:t>
      </w:r>
    </w:p>
  </w:footnote>
  <w:footnote w:id="22">
    <w:p w14:paraId="60B9EB07" w14:textId="43DB084F" w:rsidR="00CF7B54" w:rsidRPr="001A5C13" w:rsidRDefault="00CF7B54" w:rsidP="00CF7B54">
      <w:pPr>
        <w:pStyle w:val="FootnoteText"/>
        <w:rPr>
          <w:sz w:val="20"/>
          <w:szCs w:val="20"/>
        </w:rPr>
      </w:pPr>
      <w:r w:rsidRPr="001A5C13">
        <w:rPr>
          <w:rStyle w:val="FootnoteReference"/>
          <w:sz w:val="20"/>
          <w:szCs w:val="20"/>
        </w:rPr>
        <w:footnoteRef/>
      </w:r>
      <w:r w:rsidRPr="001A5C13">
        <w:rPr>
          <w:sz w:val="20"/>
          <w:szCs w:val="20"/>
        </w:rPr>
        <w:t xml:space="preserve"> Penal </w:t>
      </w:r>
      <w:r w:rsidR="001B6AF5" w:rsidRPr="001A5C13">
        <w:rPr>
          <w:sz w:val="20"/>
          <w:szCs w:val="20"/>
        </w:rPr>
        <w:t>C</w:t>
      </w:r>
      <w:r w:rsidRPr="001A5C13">
        <w:rPr>
          <w:sz w:val="20"/>
          <w:szCs w:val="20"/>
        </w:rPr>
        <w:t xml:space="preserve">ode </w:t>
      </w:r>
      <w:r w:rsidR="001B6AF5" w:rsidRPr="001A5C13">
        <w:rPr>
          <w:sz w:val="20"/>
          <w:szCs w:val="20"/>
        </w:rPr>
        <w:t xml:space="preserve">§ </w:t>
      </w:r>
      <w:r w:rsidRPr="001A5C13">
        <w:rPr>
          <w:sz w:val="20"/>
          <w:szCs w:val="20"/>
        </w:rPr>
        <w:t>296</w:t>
      </w:r>
      <w:r w:rsidR="001B6AF5" w:rsidRPr="001A5C13">
        <w:rPr>
          <w:sz w:val="20"/>
          <w:szCs w:val="20"/>
        </w:rPr>
        <w:t>.</w:t>
      </w:r>
    </w:p>
  </w:footnote>
  <w:footnote w:id="23">
    <w:p w14:paraId="46D8665F" w14:textId="5AAB43C8" w:rsidR="004B5B84" w:rsidRPr="001A5C13" w:rsidRDefault="004B5B84">
      <w:pPr>
        <w:pStyle w:val="FootnoteText"/>
        <w:rPr>
          <w:sz w:val="20"/>
          <w:szCs w:val="20"/>
        </w:rPr>
      </w:pPr>
      <w:r w:rsidRPr="001A5C13">
        <w:rPr>
          <w:rStyle w:val="FootnoteReference"/>
          <w:sz w:val="20"/>
          <w:szCs w:val="20"/>
        </w:rPr>
        <w:footnoteRef/>
      </w:r>
      <w:r w:rsidR="001B6AF5" w:rsidRPr="001A5C13">
        <w:rPr>
          <w:sz w:val="20"/>
          <w:szCs w:val="20"/>
        </w:rPr>
        <w:t xml:space="preserve"> </w:t>
      </w:r>
      <w:r w:rsidR="001B6AF5" w:rsidRPr="001A5C13">
        <w:rPr>
          <w:i/>
          <w:iCs/>
          <w:sz w:val="20"/>
          <w:szCs w:val="20"/>
        </w:rPr>
        <w:t xml:space="preserve">See supra </w:t>
      </w:r>
      <w:r w:rsidR="001B6AF5" w:rsidRPr="001A5C13">
        <w:rPr>
          <w:sz w:val="20"/>
          <w:szCs w:val="20"/>
        </w:rPr>
        <w:t>note 8</w:t>
      </w:r>
      <w:r w:rsidR="00DD3C43" w:rsidRPr="001A5C13">
        <w:rPr>
          <w:sz w:val="20"/>
          <w:szCs w:val="20"/>
        </w:rPr>
        <w:t>; Poisons, Opium, and Dangerous Drugs, 54A.</w:t>
      </w:r>
    </w:p>
  </w:footnote>
  <w:footnote w:id="24">
    <w:p w14:paraId="09DA652E" w14:textId="7B9C8EA0" w:rsidR="008020DA" w:rsidRPr="001A5C13" w:rsidRDefault="008020DA" w:rsidP="001B6AF5">
      <w:pPr>
        <w:pStyle w:val="FootnoteText"/>
        <w:rPr>
          <w:sz w:val="20"/>
          <w:szCs w:val="20"/>
        </w:rPr>
      </w:pPr>
      <w:r w:rsidRPr="001A5C13">
        <w:rPr>
          <w:rStyle w:val="FootnoteReference"/>
          <w:sz w:val="20"/>
          <w:szCs w:val="20"/>
        </w:rPr>
        <w:footnoteRef/>
      </w:r>
      <w:r w:rsidRPr="001A5C13">
        <w:rPr>
          <w:sz w:val="20"/>
          <w:szCs w:val="20"/>
        </w:rPr>
        <w:t xml:space="preserve"> </w:t>
      </w:r>
      <w:r w:rsidR="001B6AF5" w:rsidRPr="001A5C13">
        <w:rPr>
          <w:sz w:val="20"/>
          <w:szCs w:val="20"/>
        </w:rPr>
        <w:t>Parliament of the Democratic Socialist Republic of Sri Lanka, Conventions Against Illicit Traffic in Narcotic Drugs and Psychotropic Substances Act, No. 1 of 2008, Jan. 23, 2008.</w:t>
      </w:r>
    </w:p>
  </w:footnote>
  <w:footnote w:id="25">
    <w:p w14:paraId="1A6846A4" w14:textId="4DAF7165" w:rsidR="008020DA" w:rsidRPr="001A5C13" w:rsidRDefault="008020DA" w:rsidP="008020DA">
      <w:pPr>
        <w:pStyle w:val="FootnoteText"/>
        <w:rPr>
          <w:sz w:val="20"/>
          <w:szCs w:val="20"/>
        </w:rPr>
      </w:pPr>
      <w:r w:rsidRPr="001A5C13">
        <w:rPr>
          <w:rStyle w:val="FootnoteReference"/>
          <w:sz w:val="20"/>
          <w:szCs w:val="20"/>
        </w:rPr>
        <w:footnoteRef/>
      </w:r>
      <w:r w:rsidRPr="001A5C13">
        <w:rPr>
          <w:sz w:val="20"/>
          <w:szCs w:val="20"/>
        </w:rPr>
        <w:t xml:space="preserve"> </w:t>
      </w:r>
      <w:r w:rsidR="00EF2158" w:rsidRPr="001A5C13">
        <w:rPr>
          <w:sz w:val="20"/>
          <w:szCs w:val="20"/>
        </w:rPr>
        <w:t xml:space="preserve">Cornell Law School, </w:t>
      </w:r>
      <w:r w:rsidRPr="001A5C13">
        <w:rPr>
          <w:i/>
          <w:iCs/>
          <w:sz w:val="20"/>
          <w:szCs w:val="20"/>
        </w:rPr>
        <w:t>“No One Believed Me”: A Global Overview of Women Facing the Death Penalty for Drug Offenses</w:t>
      </w:r>
      <w:r w:rsidR="00EF2158" w:rsidRPr="001A5C13">
        <w:rPr>
          <w:sz w:val="20"/>
          <w:szCs w:val="20"/>
        </w:rPr>
        <w:t xml:space="preserve"> (Oct. 5, 2021), available at https://deathpenaltyworldwide.org/publication/no-one-believed-me-a-global-overview-of-women-facing-the-death-penalty-for-drug-offenses/?version=html.</w:t>
      </w:r>
    </w:p>
  </w:footnote>
  <w:footnote w:id="26">
    <w:p w14:paraId="2D6ACC82" w14:textId="1E275B38" w:rsidR="008020DA" w:rsidRPr="001A5C13" w:rsidRDefault="008020DA" w:rsidP="008020DA">
      <w:pPr>
        <w:pStyle w:val="FootnoteText"/>
        <w:rPr>
          <w:sz w:val="20"/>
          <w:szCs w:val="20"/>
        </w:rPr>
      </w:pPr>
      <w:r w:rsidRPr="001A5C13">
        <w:rPr>
          <w:rStyle w:val="FootnoteReference"/>
          <w:sz w:val="20"/>
          <w:szCs w:val="20"/>
        </w:rPr>
        <w:footnoteRef/>
      </w:r>
      <w:r w:rsidR="746E54DF" w:rsidRPr="001A5C13">
        <w:rPr>
          <w:sz w:val="20"/>
          <w:szCs w:val="20"/>
        </w:rPr>
        <w:t xml:space="preserve"> </w:t>
      </w:r>
      <w:r w:rsidR="746E54DF" w:rsidRPr="001A5C13">
        <w:rPr>
          <w:color w:val="171717"/>
          <w:spacing w:val="3"/>
          <w:sz w:val="20"/>
          <w:szCs w:val="20"/>
          <w:shd w:val="clear" w:color="auto" w:fill="FFFFFF"/>
        </w:rPr>
        <w:t>Department of Prisons, Statistics Information, available online at </w:t>
      </w:r>
      <w:r w:rsidR="746E54DF" w:rsidRPr="001A5C13">
        <w:rPr>
          <w:spacing w:val="3"/>
          <w:sz w:val="20"/>
          <w:szCs w:val="20"/>
          <w:shd w:val="clear" w:color="auto" w:fill="FFFFFF"/>
        </w:rPr>
        <w:t>https://perma.cc/FE2S-GPTP</w:t>
      </w:r>
      <w:r w:rsidR="746E54DF" w:rsidRPr="001A5C13">
        <w:rPr>
          <w:color w:val="171717"/>
          <w:spacing w:val="3"/>
          <w:sz w:val="20"/>
          <w:szCs w:val="20"/>
          <w:shd w:val="clear" w:color="auto" w:fill="FFFFFF"/>
        </w:rPr>
        <w:t>, last accessed on Jan. 25, 2023.</w:t>
      </w:r>
    </w:p>
  </w:footnote>
  <w:footnote w:id="27">
    <w:p w14:paraId="5EA3DA1B" w14:textId="41D2FCB4" w:rsidR="00845BC3" w:rsidRPr="001A5C13" w:rsidRDefault="00845BC3">
      <w:pPr>
        <w:pStyle w:val="FootnoteText"/>
        <w:rPr>
          <w:sz w:val="20"/>
          <w:szCs w:val="20"/>
        </w:rPr>
      </w:pPr>
      <w:r w:rsidRPr="001A5C13">
        <w:rPr>
          <w:rStyle w:val="FootnoteReference"/>
          <w:sz w:val="20"/>
          <w:szCs w:val="20"/>
        </w:rPr>
        <w:footnoteRef/>
      </w:r>
      <w:r w:rsidR="746E54DF" w:rsidRPr="001A5C13">
        <w:rPr>
          <w:sz w:val="20"/>
          <w:szCs w:val="20"/>
        </w:rPr>
        <w:t xml:space="preserve"> U.S. Department of State, </w:t>
      </w:r>
      <w:r w:rsidR="746E54DF" w:rsidRPr="001A5C13">
        <w:rPr>
          <w:i/>
          <w:iCs/>
          <w:sz w:val="20"/>
          <w:szCs w:val="20"/>
        </w:rPr>
        <w:t>2019 Country Reports on Human Rights: Sri Lanka</w:t>
      </w:r>
      <w:r w:rsidR="746E54DF" w:rsidRPr="001A5C13">
        <w:rPr>
          <w:sz w:val="20"/>
          <w:szCs w:val="20"/>
        </w:rPr>
        <w:t>, available online at https://www.state.gov/reports/2019-country-reports-on-human-rights-practices/sri-lanka/.</w:t>
      </w:r>
    </w:p>
  </w:footnote>
  <w:footnote w:id="28">
    <w:p w14:paraId="24E22BA7" w14:textId="6AD70DBB" w:rsidR="00A22296" w:rsidRPr="001A5C13" w:rsidRDefault="00A22296">
      <w:pPr>
        <w:pStyle w:val="FootnoteText"/>
        <w:rPr>
          <w:sz w:val="20"/>
          <w:szCs w:val="20"/>
        </w:rPr>
      </w:pPr>
      <w:r w:rsidRPr="001A5C13">
        <w:rPr>
          <w:rStyle w:val="FootnoteReference"/>
          <w:sz w:val="20"/>
          <w:szCs w:val="20"/>
        </w:rPr>
        <w:footnoteRef/>
      </w:r>
      <w:r w:rsidRPr="001A5C13">
        <w:rPr>
          <w:sz w:val="20"/>
          <w:szCs w:val="20"/>
        </w:rPr>
        <w:t xml:space="preserve"> </w:t>
      </w:r>
      <w:r w:rsidRPr="001A5C13">
        <w:rPr>
          <w:i/>
          <w:iCs/>
          <w:sz w:val="20"/>
          <w:szCs w:val="20"/>
        </w:rPr>
        <w:t>Ibid</w:t>
      </w:r>
      <w:r w:rsidRPr="001A5C13">
        <w:rPr>
          <w:sz w:val="20"/>
          <w:szCs w:val="20"/>
        </w:rPr>
        <w:t>.</w:t>
      </w:r>
    </w:p>
  </w:footnote>
  <w:footnote w:id="29">
    <w:p w14:paraId="40A6C3F6" w14:textId="279FD587" w:rsidR="00A22296" w:rsidRPr="001A5C13" w:rsidRDefault="00A22296">
      <w:pPr>
        <w:pStyle w:val="FootnoteText"/>
        <w:rPr>
          <w:sz w:val="20"/>
          <w:szCs w:val="20"/>
        </w:rPr>
      </w:pPr>
      <w:r w:rsidRPr="001A5C13">
        <w:rPr>
          <w:rStyle w:val="FootnoteReference"/>
          <w:sz w:val="20"/>
          <w:szCs w:val="20"/>
        </w:rPr>
        <w:footnoteRef/>
      </w:r>
      <w:r w:rsidRPr="001A5C13">
        <w:rPr>
          <w:sz w:val="20"/>
          <w:szCs w:val="20"/>
        </w:rPr>
        <w:t xml:space="preserve"> </w:t>
      </w:r>
      <w:r w:rsidRPr="001A5C13">
        <w:rPr>
          <w:i/>
          <w:iCs/>
          <w:sz w:val="20"/>
          <w:szCs w:val="20"/>
        </w:rPr>
        <w:t>Ibid</w:t>
      </w:r>
      <w:r w:rsidRPr="001A5C13">
        <w:rPr>
          <w:sz w:val="20"/>
          <w:szCs w:val="20"/>
        </w:rPr>
        <w:t>.</w:t>
      </w:r>
    </w:p>
  </w:footnote>
  <w:footnote w:id="30">
    <w:p w14:paraId="5D4211D1" w14:textId="4DE0A5C4" w:rsidR="00EF2158" w:rsidRPr="001A5C13" w:rsidRDefault="00EF2158">
      <w:pPr>
        <w:pStyle w:val="FootnoteText"/>
        <w:rPr>
          <w:sz w:val="20"/>
          <w:szCs w:val="20"/>
        </w:rPr>
      </w:pPr>
      <w:r w:rsidRPr="001A5C13">
        <w:rPr>
          <w:rStyle w:val="FootnoteReference"/>
          <w:sz w:val="20"/>
          <w:szCs w:val="20"/>
        </w:rPr>
        <w:footnoteRef/>
      </w:r>
      <w:r w:rsidR="746E54DF" w:rsidRPr="001A5C13">
        <w:rPr>
          <w:sz w:val="20"/>
          <w:szCs w:val="20"/>
        </w:rPr>
        <w:t xml:space="preserve"> The Human Rights Commission of Sri Lanka, </w:t>
      </w:r>
      <w:r w:rsidR="746E54DF" w:rsidRPr="001A5C13">
        <w:rPr>
          <w:i/>
          <w:iCs/>
          <w:sz w:val="20"/>
          <w:szCs w:val="20"/>
        </w:rPr>
        <w:t>Prison Study</w:t>
      </w:r>
      <w:r w:rsidR="746E54DF" w:rsidRPr="001A5C13">
        <w:rPr>
          <w:sz w:val="20"/>
          <w:szCs w:val="20"/>
        </w:rPr>
        <w:t xml:space="preserve">, available online at https://www.hrcsl.lk/wp-content/uploads/2020/01/Prison-Report-Final-2.pdf. </w:t>
      </w:r>
    </w:p>
  </w:footnote>
  <w:footnote w:id="31">
    <w:p w14:paraId="16F74F0D" w14:textId="495E053F" w:rsidR="004B5B84" w:rsidRPr="001A5C13" w:rsidRDefault="004B5B84" w:rsidP="00E06283">
      <w:pPr>
        <w:pStyle w:val="NormalWeb"/>
        <w:spacing w:before="0" w:beforeAutospacing="0" w:after="0" w:afterAutospacing="0"/>
        <w:rPr>
          <w:sz w:val="20"/>
          <w:szCs w:val="20"/>
        </w:rPr>
      </w:pPr>
      <w:r w:rsidRPr="001A5C13">
        <w:rPr>
          <w:rStyle w:val="FootnoteReference"/>
          <w:sz w:val="20"/>
          <w:szCs w:val="20"/>
        </w:rPr>
        <w:footnoteRef/>
      </w:r>
      <w:r w:rsidR="00394BD3">
        <w:rPr>
          <w:sz w:val="20"/>
          <w:szCs w:val="20"/>
        </w:rPr>
        <w:t xml:space="preserve"> </w:t>
      </w:r>
      <w:r w:rsidR="00BC37F6" w:rsidRPr="001A5C13">
        <w:rPr>
          <w:sz w:val="20"/>
          <w:szCs w:val="20"/>
        </w:rPr>
        <w:t xml:space="preserve">Standard Minimum Rules for the Treatment of Prisoners, available online at </w:t>
      </w:r>
      <w:r w:rsidR="000605C7" w:rsidRPr="001A5C13">
        <w:rPr>
          <w:sz w:val="20"/>
          <w:szCs w:val="20"/>
        </w:rPr>
        <w:t>https://www.unodc.org/pdf/criminal_justice/UN_Standard_Minimum_Rules_for_the_Treatment_of_Prisoners.pdf</w:t>
      </w:r>
      <w:r w:rsidR="00BC37F6" w:rsidRPr="001A5C13">
        <w:rPr>
          <w:sz w:val="20"/>
          <w:szCs w:val="20"/>
        </w:rPr>
        <w:t>.</w:t>
      </w:r>
    </w:p>
  </w:footnote>
  <w:footnote w:id="32">
    <w:p w14:paraId="5278C31D" w14:textId="4AB42A15" w:rsidR="007570BB" w:rsidRPr="001A5C13" w:rsidRDefault="007570BB">
      <w:pPr>
        <w:pStyle w:val="FootnoteText"/>
        <w:rPr>
          <w:sz w:val="20"/>
          <w:szCs w:val="20"/>
        </w:rPr>
      </w:pPr>
      <w:r w:rsidRPr="001A5C13">
        <w:rPr>
          <w:rStyle w:val="FootnoteReference"/>
          <w:sz w:val="20"/>
          <w:szCs w:val="20"/>
        </w:rPr>
        <w:footnoteRef/>
      </w:r>
      <w:r w:rsidR="746E54DF" w:rsidRPr="001A5C13">
        <w:rPr>
          <w:sz w:val="20"/>
          <w:szCs w:val="20"/>
        </w:rPr>
        <w:t xml:space="preserve"> U.S. Department of State, 2019 </w:t>
      </w:r>
      <w:r w:rsidR="746E54DF" w:rsidRPr="001A5C13">
        <w:rPr>
          <w:i/>
          <w:iCs/>
          <w:sz w:val="20"/>
          <w:szCs w:val="20"/>
        </w:rPr>
        <w:t>Country Reports on Human Rights: Sri Lanka</w:t>
      </w:r>
      <w:r w:rsidR="746E54DF" w:rsidRPr="001A5C13">
        <w:rPr>
          <w:sz w:val="20"/>
          <w:szCs w:val="20"/>
        </w:rPr>
        <w:t xml:space="preserve">, available at https://www.state.gov/reports/2019-country-reports-on-human-rights-practices/sri-lanka/; </w:t>
      </w:r>
      <w:r w:rsidR="746E54DF" w:rsidRPr="001A5C13">
        <w:rPr>
          <w:color w:val="171717"/>
          <w:spacing w:val="3"/>
          <w:sz w:val="20"/>
          <w:szCs w:val="20"/>
          <w:shd w:val="clear" w:color="auto" w:fill="FFFFFF"/>
        </w:rPr>
        <w:t>Department of Prisons, Statistics Information, </w:t>
      </w:r>
      <w:r w:rsidR="746E54DF" w:rsidRPr="001A5C13">
        <w:rPr>
          <w:spacing w:val="3"/>
          <w:sz w:val="20"/>
          <w:szCs w:val="20"/>
          <w:shd w:val="clear" w:color="auto" w:fill="FFFFFF"/>
        </w:rPr>
        <w:t>https://perma.cc/FE2S-GPTP</w:t>
      </w:r>
      <w:r w:rsidR="746E54DF" w:rsidRPr="001A5C13">
        <w:rPr>
          <w:color w:val="171717"/>
          <w:spacing w:val="3"/>
          <w:sz w:val="20"/>
          <w:szCs w:val="20"/>
          <w:shd w:val="clear" w:color="auto" w:fill="FFFFFF"/>
        </w:rPr>
        <w:t>, last accessed on Jan. 25, 2023.</w:t>
      </w:r>
    </w:p>
  </w:footnote>
  <w:footnote w:id="33">
    <w:p w14:paraId="647EBAA2" w14:textId="52BAD9CA" w:rsidR="007570BB" w:rsidRPr="001A5C13" w:rsidRDefault="007570BB">
      <w:pPr>
        <w:pStyle w:val="FootnoteText"/>
        <w:rPr>
          <w:sz w:val="20"/>
          <w:szCs w:val="20"/>
        </w:rPr>
      </w:pPr>
      <w:r w:rsidRPr="001A5C13">
        <w:rPr>
          <w:rStyle w:val="FootnoteReference"/>
          <w:sz w:val="20"/>
          <w:szCs w:val="20"/>
        </w:rPr>
        <w:footnoteRef/>
      </w:r>
      <w:r w:rsidRPr="001A5C13">
        <w:rPr>
          <w:sz w:val="20"/>
          <w:szCs w:val="20"/>
        </w:rPr>
        <w:t xml:space="preserve"> </w:t>
      </w:r>
      <w:r w:rsidRPr="001A5C13">
        <w:rPr>
          <w:i/>
          <w:iCs/>
          <w:sz w:val="20"/>
          <w:szCs w:val="20"/>
        </w:rPr>
        <w:t>Ibid</w:t>
      </w:r>
      <w:r w:rsidRPr="001A5C13">
        <w:rPr>
          <w:sz w:val="20"/>
          <w:szCs w:val="20"/>
        </w:rPr>
        <w:t>.</w:t>
      </w:r>
    </w:p>
  </w:footnote>
  <w:footnote w:id="34">
    <w:p w14:paraId="2DD2E56D" w14:textId="5B4531E6" w:rsidR="007570BB" w:rsidRPr="001A5C13" w:rsidRDefault="007570BB">
      <w:pPr>
        <w:pStyle w:val="FootnoteText"/>
        <w:rPr>
          <w:sz w:val="20"/>
          <w:szCs w:val="20"/>
        </w:rPr>
      </w:pPr>
      <w:r w:rsidRPr="001A5C13">
        <w:rPr>
          <w:rStyle w:val="FootnoteReference"/>
          <w:sz w:val="20"/>
          <w:szCs w:val="20"/>
        </w:rPr>
        <w:footnoteRef/>
      </w:r>
      <w:r w:rsidRPr="001A5C13">
        <w:rPr>
          <w:sz w:val="20"/>
          <w:szCs w:val="20"/>
        </w:rPr>
        <w:t xml:space="preserve"> </w:t>
      </w:r>
      <w:r w:rsidRPr="001A5C13">
        <w:rPr>
          <w:i/>
          <w:iCs/>
          <w:sz w:val="20"/>
          <w:szCs w:val="20"/>
        </w:rPr>
        <w:t>Ibid</w:t>
      </w:r>
      <w:r w:rsidRPr="001A5C13">
        <w:rPr>
          <w:sz w:val="20"/>
          <w:szCs w:val="20"/>
        </w:rPr>
        <w:t>.</w:t>
      </w:r>
    </w:p>
  </w:footnote>
  <w:footnote w:id="35">
    <w:p w14:paraId="4638108B" w14:textId="3DA2C304" w:rsidR="007570BB" w:rsidRPr="001A5C13" w:rsidRDefault="007570BB">
      <w:pPr>
        <w:pStyle w:val="FootnoteText"/>
        <w:rPr>
          <w:sz w:val="20"/>
          <w:szCs w:val="20"/>
        </w:rPr>
      </w:pPr>
      <w:r w:rsidRPr="001A5C13">
        <w:rPr>
          <w:rStyle w:val="FootnoteReference"/>
          <w:sz w:val="20"/>
          <w:szCs w:val="20"/>
        </w:rPr>
        <w:footnoteRef/>
      </w:r>
      <w:r w:rsidRPr="001A5C13">
        <w:rPr>
          <w:sz w:val="20"/>
          <w:szCs w:val="20"/>
        </w:rPr>
        <w:t xml:space="preserve"> </w:t>
      </w:r>
      <w:r w:rsidRPr="001A5C13">
        <w:rPr>
          <w:i/>
          <w:iCs/>
          <w:sz w:val="20"/>
          <w:szCs w:val="20"/>
        </w:rPr>
        <w:t>Ibid</w:t>
      </w:r>
      <w:r w:rsidRPr="001A5C13">
        <w:rPr>
          <w:sz w:val="20"/>
          <w:szCs w:val="20"/>
        </w:rPr>
        <w:t>.</w:t>
      </w:r>
    </w:p>
  </w:footnote>
  <w:footnote w:id="36">
    <w:p w14:paraId="445CFDE9" w14:textId="4A253726" w:rsidR="004B5B84" w:rsidRPr="001A5C13" w:rsidRDefault="004B5B84">
      <w:pPr>
        <w:pStyle w:val="FootnoteText"/>
        <w:rPr>
          <w:sz w:val="20"/>
          <w:szCs w:val="20"/>
        </w:rPr>
      </w:pPr>
      <w:r w:rsidRPr="001A5C13">
        <w:rPr>
          <w:rStyle w:val="FootnoteReference"/>
          <w:sz w:val="20"/>
          <w:szCs w:val="20"/>
        </w:rPr>
        <w:footnoteRef/>
      </w:r>
      <w:r w:rsidRPr="001A5C13">
        <w:rPr>
          <w:sz w:val="20"/>
          <w:szCs w:val="20"/>
        </w:rPr>
        <w:t xml:space="preserve"> U.N.G.A, 68th Session, </w:t>
      </w:r>
      <w:r w:rsidRPr="001A5C13">
        <w:rPr>
          <w:i/>
          <w:iCs/>
          <w:sz w:val="20"/>
          <w:szCs w:val="20"/>
        </w:rPr>
        <w:t>Pathways to, conditions and consequences of incarceration for women</w:t>
      </w:r>
      <w:r w:rsidRPr="001A5C13">
        <w:rPr>
          <w:sz w:val="20"/>
          <w:szCs w:val="20"/>
        </w:rPr>
        <w:t>, U.N. Doc. A/68/340, Aug. 21,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7E3CF31E" w:rsidR="00804604" w:rsidRDefault="001A5C13">
    <w:pPr>
      <w:pStyle w:val="Header"/>
    </w:pPr>
    <w:r>
      <w:rPr>
        <w:noProof/>
      </w:rPr>
      <w:drawing>
        <wp:anchor distT="0" distB="0" distL="114300" distR="114300" simplePos="0" relativeHeight="251660289" behindDoc="0" locked="0" layoutInCell="1" allowOverlap="1" wp14:anchorId="77CB67ED" wp14:editId="0347C07C">
          <wp:simplePos x="0" y="0"/>
          <wp:positionH relativeFrom="margin">
            <wp:align>left</wp:align>
          </wp:positionH>
          <wp:positionV relativeFrom="paragraph">
            <wp:posOffset>-142802</wp:posOffset>
          </wp:positionV>
          <wp:extent cx="1943100" cy="939727"/>
          <wp:effectExtent l="0" t="0" r="0" b="0"/>
          <wp:wrapNone/>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with medium confidenc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3100" cy="939727"/>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D691956" wp14:editId="3A418EED">
          <wp:simplePos x="0" y="0"/>
          <wp:positionH relativeFrom="column">
            <wp:posOffset>4010660</wp:posOffset>
          </wp:positionH>
          <wp:positionV relativeFrom="paragraph">
            <wp:posOffset>-132080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5F55B19"/>
    <w:multiLevelType w:val="hybridMultilevel"/>
    <w:tmpl w:val="5ADACF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495CFB"/>
    <w:multiLevelType w:val="hybridMultilevel"/>
    <w:tmpl w:val="EC18EA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F5196D"/>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11"/>
  </w:num>
  <w:num w:numId="9" w16cid:durableId="1023946614">
    <w:abstractNumId w:val="1"/>
  </w:num>
  <w:num w:numId="10" w16cid:durableId="623776239">
    <w:abstractNumId w:val="8"/>
  </w:num>
  <w:num w:numId="11" w16cid:durableId="25840079">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6136723">
    <w:abstractNumId w:val="9"/>
  </w:num>
  <w:num w:numId="13" w16cid:durableId="1570533896">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6377"/>
    <w:rsid w:val="00056CF5"/>
    <w:rsid w:val="000605C7"/>
    <w:rsid w:val="000734A4"/>
    <w:rsid w:val="0008238F"/>
    <w:rsid w:val="00085935"/>
    <w:rsid w:val="000910FC"/>
    <w:rsid w:val="0009644E"/>
    <w:rsid w:val="000A1F17"/>
    <w:rsid w:val="000A66B8"/>
    <w:rsid w:val="000B042D"/>
    <w:rsid w:val="000B4DB3"/>
    <w:rsid w:val="000C6340"/>
    <w:rsid w:val="000D0680"/>
    <w:rsid w:val="000E1DDC"/>
    <w:rsid w:val="000F1E67"/>
    <w:rsid w:val="000F56E0"/>
    <w:rsid w:val="001008D1"/>
    <w:rsid w:val="00111994"/>
    <w:rsid w:val="001203AB"/>
    <w:rsid w:val="001215B4"/>
    <w:rsid w:val="00136514"/>
    <w:rsid w:val="00143423"/>
    <w:rsid w:val="00147EA4"/>
    <w:rsid w:val="001565F9"/>
    <w:rsid w:val="00160BDA"/>
    <w:rsid w:val="00180135"/>
    <w:rsid w:val="00181B2A"/>
    <w:rsid w:val="00181EF5"/>
    <w:rsid w:val="0018642B"/>
    <w:rsid w:val="001A48D7"/>
    <w:rsid w:val="001A59C1"/>
    <w:rsid w:val="001A5C13"/>
    <w:rsid w:val="001A5ED5"/>
    <w:rsid w:val="001A7AF4"/>
    <w:rsid w:val="001B1AC4"/>
    <w:rsid w:val="001B27D7"/>
    <w:rsid w:val="001B46C2"/>
    <w:rsid w:val="001B6AF5"/>
    <w:rsid w:val="001B799A"/>
    <w:rsid w:val="001C42EB"/>
    <w:rsid w:val="001E2C1D"/>
    <w:rsid w:val="001E729D"/>
    <w:rsid w:val="001F6879"/>
    <w:rsid w:val="00220D48"/>
    <w:rsid w:val="00237C8C"/>
    <w:rsid w:val="00242F64"/>
    <w:rsid w:val="002439A3"/>
    <w:rsid w:val="00243E14"/>
    <w:rsid w:val="00255789"/>
    <w:rsid w:val="00272519"/>
    <w:rsid w:val="002734D9"/>
    <w:rsid w:val="00273933"/>
    <w:rsid w:val="00282223"/>
    <w:rsid w:val="00291BE8"/>
    <w:rsid w:val="002A0797"/>
    <w:rsid w:val="002A41BB"/>
    <w:rsid w:val="002A4838"/>
    <w:rsid w:val="002A59E5"/>
    <w:rsid w:val="002C57BC"/>
    <w:rsid w:val="002D36C6"/>
    <w:rsid w:val="002E34EA"/>
    <w:rsid w:val="002E46A1"/>
    <w:rsid w:val="002F481B"/>
    <w:rsid w:val="002F7A11"/>
    <w:rsid w:val="00315C53"/>
    <w:rsid w:val="00317C17"/>
    <w:rsid w:val="00322CB1"/>
    <w:rsid w:val="00335DDF"/>
    <w:rsid w:val="003369A6"/>
    <w:rsid w:val="00340484"/>
    <w:rsid w:val="00344140"/>
    <w:rsid w:val="00344556"/>
    <w:rsid w:val="00345B90"/>
    <w:rsid w:val="0035378E"/>
    <w:rsid w:val="0035424D"/>
    <w:rsid w:val="00354589"/>
    <w:rsid w:val="0036063A"/>
    <w:rsid w:val="00374FD8"/>
    <w:rsid w:val="003807FF"/>
    <w:rsid w:val="00381548"/>
    <w:rsid w:val="0038335D"/>
    <w:rsid w:val="00390AC3"/>
    <w:rsid w:val="003937C6"/>
    <w:rsid w:val="00394BD3"/>
    <w:rsid w:val="003A0BC2"/>
    <w:rsid w:val="003A1D3E"/>
    <w:rsid w:val="003A6F6D"/>
    <w:rsid w:val="003B6E54"/>
    <w:rsid w:val="003C1832"/>
    <w:rsid w:val="003C1E49"/>
    <w:rsid w:val="003C60FE"/>
    <w:rsid w:val="003D128D"/>
    <w:rsid w:val="003D608F"/>
    <w:rsid w:val="003E6A6D"/>
    <w:rsid w:val="004076CD"/>
    <w:rsid w:val="00416297"/>
    <w:rsid w:val="00417CE5"/>
    <w:rsid w:val="00430A63"/>
    <w:rsid w:val="00441DED"/>
    <w:rsid w:val="00450118"/>
    <w:rsid w:val="00450405"/>
    <w:rsid w:val="00453314"/>
    <w:rsid w:val="00466AAB"/>
    <w:rsid w:val="00476CC4"/>
    <w:rsid w:val="004866AE"/>
    <w:rsid w:val="004A17D9"/>
    <w:rsid w:val="004A5B01"/>
    <w:rsid w:val="004A7D93"/>
    <w:rsid w:val="004A7FF9"/>
    <w:rsid w:val="004B1E4E"/>
    <w:rsid w:val="004B4CAF"/>
    <w:rsid w:val="004B5B84"/>
    <w:rsid w:val="004B73AF"/>
    <w:rsid w:val="004C23A0"/>
    <w:rsid w:val="004C6D09"/>
    <w:rsid w:val="004D2568"/>
    <w:rsid w:val="004D3EE9"/>
    <w:rsid w:val="004D51DD"/>
    <w:rsid w:val="004E150B"/>
    <w:rsid w:val="004E7176"/>
    <w:rsid w:val="004E783D"/>
    <w:rsid w:val="004F2465"/>
    <w:rsid w:val="004F34E5"/>
    <w:rsid w:val="005132BB"/>
    <w:rsid w:val="0051494C"/>
    <w:rsid w:val="00523668"/>
    <w:rsid w:val="00524166"/>
    <w:rsid w:val="00524C18"/>
    <w:rsid w:val="00530ECD"/>
    <w:rsid w:val="005336C2"/>
    <w:rsid w:val="005403E3"/>
    <w:rsid w:val="0055461C"/>
    <w:rsid w:val="00562BCD"/>
    <w:rsid w:val="00562D1C"/>
    <w:rsid w:val="00567FD1"/>
    <w:rsid w:val="00571EF6"/>
    <w:rsid w:val="00584575"/>
    <w:rsid w:val="0059754B"/>
    <w:rsid w:val="005B0C1B"/>
    <w:rsid w:val="005C183B"/>
    <w:rsid w:val="005C58B6"/>
    <w:rsid w:val="005C5BF7"/>
    <w:rsid w:val="005D4EE6"/>
    <w:rsid w:val="005D5F82"/>
    <w:rsid w:val="005D6556"/>
    <w:rsid w:val="005D7FDE"/>
    <w:rsid w:val="005F277C"/>
    <w:rsid w:val="005F2A19"/>
    <w:rsid w:val="0060568A"/>
    <w:rsid w:val="0060622C"/>
    <w:rsid w:val="0061778F"/>
    <w:rsid w:val="006201BD"/>
    <w:rsid w:val="00624A10"/>
    <w:rsid w:val="00625197"/>
    <w:rsid w:val="00626C39"/>
    <w:rsid w:val="006435DC"/>
    <w:rsid w:val="00643D7A"/>
    <w:rsid w:val="00646D29"/>
    <w:rsid w:val="0066318F"/>
    <w:rsid w:val="006906F7"/>
    <w:rsid w:val="006927DD"/>
    <w:rsid w:val="006B7565"/>
    <w:rsid w:val="006B7B89"/>
    <w:rsid w:val="006D39C4"/>
    <w:rsid w:val="006E7D5B"/>
    <w:rsid w:val="006F582F"/>
    <w:rsid w:val="007064C2"/>
    <w:rsid w:val="007143B8"/>
    <w:rsid w:val="007176FF"/>
    <w:rsid w:val="007316AA"/>
    <w:rsid w:val="00741B9C"/>
    <w:rsid w:val="007570BB"/>
    <w:rsid w:val="00757A1C"/>
    <w:rsid w:val="007637D8"/>
    <w:rsid w:val="00765EBC"/>
    <w:rsid w:val="0077231B"/>
    <w:rsid w:val="00774643"/>
    <w:rsid w:val="007838DE"/>
    <w:rsid w:val="007A1BF2"/>
    <w:rsid w:val="007A7382"/>
    <w:rsid w:val="007B46CD"/>
    <w:rsid w:val="007C4387"/>
    <w:rsid w:val="007C7CCE"/>
    <w:rsid w:val="007D2FB7"/>
    <w:rsid w:val="007E4B76"/>
    <w:rsid w:val="007E516E"/>
    <w:rsid w:val="007E79C4"/>
    <w:rsid w:val="007F23A8"/>
    <w:rsid w:val="008020DA"/>
    <w:rsid w:val="00804604"/>
    <w:rsid w:val="0081221D"/>
    <w:rsid w:val="00821D99"/>
    <w:rsid w:val="00826961"/>
    <w:rsid w:val="00836428"/>
    <w:rsid w:val="00845BC3"/>
    <w:rsid w:val="00847C78"/>
    <w:rsid w:val="008517AC"/>
    <w:rsid w:val="00852B97"/>
    <w:rsid w:val="00857D47"/>
    <w:rsid w:val="00870521"/>
    <w:rsid w:val="0087642D"/>
    <w:rsid w:val="008806CE"/>
    <w:rsid w:val="008856D7"/>
    <w:rsid w:val="00890056"/>
    <w:rsid w:val="0089523C"/>
    <w:rsid w:val="008C3B9B"/>
    <w:rsid w:val="008C7B1F"/>
    <w:rsid w:val="008C7B63"/>
    <w:rsid w:val="008E0859"/>
    <w:rsid w:val="008E7B1A"/>
    <w:rsid w:val="008F0BDD"/>
    <w:rsid w:val="008F2F99"/>
    <w:rsid w:val="008F6084"/>
    <w:rsid w:val="00903698"/>
    <w:rsid w:val="009057C8"/>
    <w:rsid w:val="00913FE8"/>
    <w:rsid w:val="0093193B"/>
    <w:rsid w:val="00947170"/>
    <w:rsid w:val="00947B3D"/>
    <w:rsid w:val="00956E94"/>
    <w:rsid w:val="00962312"/>
    <w:rsid w:val="009627A1"/>
    <w:rsid w:val="009712FE"/>
    <w:rsid w:val="009875AD"/>
    <w:rsid w:val="009924AF"/>
    <w:rsid w:val="009A7F71"/>
    <w:rsid w:val="009B51D7"/>
    <w:rsid w:val="009D3BEA"/>
    <w:rsid w:val="009D5161"/>
    <w:rsid w:val="009D6DE4"/>
    <w:rsid w:val="009E1A87"/>
    <w:rsid w:val="009E4D16"/>
    <w:rsid w:val="009F12E2"/>
    <w:rsid w:val="009F3358"/>
    <w:rsid w:val="009F478B"/>
    <w:rsid w:val="009F69C1"/>
    <w:rsid w:val="00A15424"/>
    <w:rsid w:val="00A22296"/>
    <w:rsid w:val="00A24983"/>
    <w:rsid w:val="00A40EE1"/>
    <w:rsid w:val="00A423ED"/>
    <w:rsid w:val="00A536F3"/>
    <w:rsid w:val="00A72103"/>
    <w:rsid w:val="00A75C67"/>
    <w:rsid w:val="00A91D08"/>
    <w:rsid w:val="00AA6318"/>
    <w:rsid w:val="00AA7FCB"/>
    <w:rsid w:val="00AB59AE"/>
    <w:rsid w:val="00AB5BD9"/>
    <w:rsid w:val="00AC040C"/>
    <w:rsid w:val="00AD0AA1"/>
    <w:rsid w:val="00AE07A3"/>
    <w:rsid w:val="00AE354B"/>
    <w:rsid w:val="00AE372A"/>
    <w:rsid w:val="00AF03EE"/>
    <w:rsid w:val="00B1102B"/>
    <w:rsid w:val="00B1572A"/>
    <w:rsid w:val="00B275A9"/>
    <w:rsid w:val="00B278A9"/>
    <w:rsid w:val="00B40DBF"/>
    <w:rsid w:val="00B44231"/>
    <w:rsid w:val="00B457C4"/>
    <w:rsid w:val="00B54060"/>
    <w:rsid w:val="00B622EF"/>
    <w:rsid w:val="00B71178"/>
    <w:rsid w:val="00B914A2"/>
    <w:rsid w:val="00B94852"/>
    <w:rsid w:val="00B9541E"/>
    <w:rsid w:val="00BA4C3B"/>
    <w:rsid w:val="00BA4CDE"/>
    <w:rsid w:val="00BB0488"/>
    <w:rsid w:val="00BB0A4B"/>
    <w:rsid w:val="00BB3ED5"/>
    <w:rsid w:val="00BB4AB9"/>
    <w:rsid w:val="00BB520B"/>
    <w:rsid w:val="00BC07C0"/>
    <w:rsid w:val="00BC37F6"/>
    <w:rsid w:val="00BD3CFF"/>
    <w:rsid w:val="00BD4AA1"/>
    <w:rsid w:val="00BE4BE7"/>
    <w:rsid w:val="00BE59BD"/>
    <w:rsid w:val="00BF75A3"/>
    <w:rsid w:val="00C00848"/>
    <w:rsid w:val="00C0174A"/>
    <w:rsid w:val="00C05D9B"/>
    <w:rsid w:val="00C12C10"/>
    <w:rsid w:val="00C214BA"/>
    <w:rsid w:val="00C21D57"/>
    <w:rsid w:val="00C26130"/>
    <w:rsid w:val="00C315B6"/>
    <w:rsid w:val="00C36662"/>
    <w:rsid w:val="00C376F3"/>
    <w:rsid w:val="00C4132F"/>
    <w:rsid w:val="00C45ED8"/>
    <w:rsid w:val="00C463D2"/>
    <w:rsid w:val="00C46EAB"/>
    <w:rsid w:val="00C62A44"/>
    <w:rsid w:val="00C80A39"/>
    <w:rsid w:val="00C81936"/>
    <w:rsid w:val="00C84C4C"/>
    <w:rsid w:val="00CA1702"/>
    <w:rsid w:val="00CA5CC2"/>
    <w:rsid w:val="00CA7D78"/>
    <w:rsid w:val="00CB631F"/>
    <w:rsid w:val="00CB63AC"/>
    <w:rsid w:val="00CC5314"/>
    <w:rsid w:val="00CE5498"/>
    <w:rsid w:val="00CF5003"/>
    <w:rsid w:val="00CF7B54"/>
    <w:rsid w:val="00D0019C"/>
    <w:rsid w:val="00D17F80"/>
    <w:rsid w:val="00D20254"/>
    <w:rsid w:val="00D3182B"/>
    <w:rsid w:val="00D52AD6"/>
    <w:rsid w:val="00D57A05"/>
    <w:rsid w:val="00D861C1"/>
    <w:rsid w:val="00D86901"/>
    <w:rsid w:val="00D92835"/>
    <w:rsid w:val="00D94424"/>
    <w:rsid w:val="00DA6DB6"/>
    <w:rsid w:val="00DB0FFA"/>
    <w:rsid w:val="00DB163F"/>
    <w:rsid w:val="00DC41C9"/>
    <w:rsid w:val="00DC5473"/>
    <w:rsid w:val="00DC6A3F"/>
    <w:rsid w:val="00DD2F76"/>
    <w:rsid w:val="00DD3996"/>
    <w:rsid w:val="00DD3C43"/>
    <w:rsid w:val="00DD3C83"/>
    <w:rsid w:val="00DE6FE8"/>
    <w:rsid w:val="00E06283"/>
    <w:rsid w:val="00E114C5"/>
    <w:rsid w:val="00E13D93"/>
    <w:rsid w:val="00E162F5"/>
    <w:rsid w:val="00E307F3"/>
    <w:rsid w:val="00E3230E"/>
    <w:rsid w:val="00E35775"/>
    <w:rsid w:val="00E4714A"/>
    <w:rsid w:val="00E7301C"/>
    <w:rsid w:val="00E80E2E"/>
    <w:rsid w:val="00E826D1"/>
    <w:rsid w:val="00E95CF7"/>
    <w:rsid w:val="00EA0EEB"/>
    <w:rsid w:val="00EC57AB"/>
    <w:rsid w:val="00ED25C7"/>
    <w:rsid w:val="00ED2912"/>
    <w:rsid w:val="00ED2DCC"/>
    <w:rsid w:val="00EF2158"/>
    <w:rsid w:val="00EF2BE5"/>
    <w:rsid w:val="00EF4B86"/>
    <w:rsid w:val="00F042FA"/>
    <w:rsid w:val="00F16374"/>
    <w:rsid w:val="00F22813"/>
    <w:rsid w:val="00F23CD7"/>
    <w:rsid w:val="00F2442A"/>
    <w:rsid w:val="00F357B1"/>
    <w:rsid w:val="00F37D39"/>
    <w:rsid w:val="00F4107A"/>
    <w:rsid w:val="00F43BC9"/>
    <w:rsid w:val="00F51AFD"/>
    <w:rsid w:val="00F612FF"/>
    <w:rsid w:val="00F6493F"/>
    <w:rsid w:val="00F70AF4"/>
    <w:rsid w:val="00F75663"/>
    <w:rsid w:val="00F811E7"/>
    <w:rsid w:val="00F9056C"/>
    <w:rsid w:val="00F92EF4"/>
    <w:rsid w:val="00FB4891"/>
    <w:rsid w:val="00FC686F"/>
    <w:rsid w:val="00FC7FBE"/>
    <w:rsid w:val="00FD726E"/>
    <w:rsid w:val="00FE0378"/>
    <w:rsid w:val="00FE2347"/>
    <w:rsid w:val="1E4547F8"/>
    <w:rsid w:val="20EBB8F7"/>
    <w:rsid w:val="27553789"/>
    <w:rsid w:val="33A7E4E3"/>
    <w:rsid w:val="4D884532"/>
    <w:rsid w:val="6014D3F3"/>
    <w:rsid w:val="746E54DF"/>
    <w:rsid w:val="76A226C7"/>
    <w:rsid w:val="7C4844FA"/>
    <w:rsid w:val="7DE415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CE5498"/>
  </w:style>
  <w:style w:type="character" w:customStyle="1" w:styleId="eop">
    <w:name w:val="eop"/>
    <w:basedOn w:val="DefaultParagraphFont"/>
    <w:rsid w:val="00CE5498"/>
  </w:style>
  <w:style w:type="character" w:styleId="UnresolvedMention">
    <w:name w:val="Unresolved Mention"/>
    <w:basedOn w:val="DefaultParagraphFont"/>
    <w:uiPriority w:val="99"/>
    <w:semiHidden/>
    <w:unhideWhenUsed/>
    <w:rsid w:val="004B5B84"/>
    <w:rPr>
      <w:color w:val="605E5C"/>
      <w:shd w:val="clear" w:color="auto" w:fill="E1DFDD"/>
    </w:rPr>
  </w:style>
  <w:style w:type="character" w:styleId="FollowedHyperlink">
    <w:name w:val="FollowedHyperlink"/>
    <w:basedOn w:val="DefaultParagraphFont"/>
    <w:rsid w:val="004B5B84"/>
    <w:rPr>
      <w:color w:val="954F72" w:themeColor="followedHyperlink"/>
      <w:u w:val="single"/>
    </w:rPr>
  </w:style>
  <w:style w:type="paragraph" w:styleId="EndnoteText">
    <w:name w:val="endnote text"/>
    <w:basedOn w:val="Normal"/>
    <w:link w:val="EndnoteTextChar"/>
    <w:unhideWhenUsed/>
    <w:rsid w:val="00845BC3"/>
    <w:rPr>
      <w:color w:val="000000"/>
      <w:sz w:val="20"/>
      <w:szCs w:val="20"/>
      <w:lang w:eastAsia="en-US"/>
    </w:rPr>
  </w:style>
  <w:style w:type="character" w:customStyle="1" w:styleId="EndnoteTextChar">
    <w:name w:val="Endnote Text Char"/>
    <w:basedOn w:val="DefaultParagraphFont"/>
    <w:link w:val="EndnoteText"/>
    <w:rsid w:val="00845BC3"/>
    <w:rPr>
      <w:color w:val="000000"/>
      <w:sz w:val="20"/>
      <w:szCs w:val="20"/>
      <w:lang w:eastAsia="en-US"/>
    </w:rPr>
  </w:style>
  <w:style w:type="character" w:styleId="EndnoteReference">
    <w:name w:val="endnote reference"/>
    <w:unhideWhenUsed/>
    <w:rsid w:val="00845BC3"/>
    <w:rPr>
      <w:vertAlign w:val="superscript"/>
    </w:rPr>
  </w:style>
  <w:style w:type="paragraph" w:styleId="Revision">
    <w:name w:val="Revision"/>
    <w:hidden/>
    <w:uiPriority w:val="99"/>
    <w:semiHidden/>
    <w:rsid w:val="00060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1382634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22556035">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09033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c0669a60-de84-4b64-8ef6-a2dd33121859"/>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6B081081-D5A4-48E2-BCB7-E551631AF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1907</Words>
  <Characters>10321</Characters>
  <Application>Microsoft Office Word</Application>
  <DocSecurity>0</DocSecurity>
  <Lines>86</Lines>
  <Paragraphs>24</Paragraphs>
  <ScaleCrop>false</ScaleCrop>
  <Company>Minnesota Advocates for Human Rights</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4</cp:revision>
  <cp:lastPrinted>2011-09-16T18:52:00Z</cp:lastPrinted>
  <dcterms:created xsi:type="dcterms:W3CDTF">2023-01-30T23:00:00Z</dcterms:created>
  <dcterms:modified xsi:type="dcterms:W3CDTF">2023-01-30T23:22:00Z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