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F9B94" w14:textId="49E9D61D" w:rsidR="00BC7E13" w:rsidRDefault="00BC7E13" w:rsidP="00CB6872">
      <w:pPr>
        <w:pBdr>
          <w:bottom w:val="single" w:sz="6" w:space="1" w:color="auto"/>
        </w:pBdr>
        <w:jc w:val="center"/>
        <w:rPr>
          <w:rFonts w:asciiTheme="majorBidi" w:hAnsiTheme="majorBidi" w:cstheme="majorBidi"/>
          <w:b/>
          <w:bCs/>
          <w:color w:val="FF0000"/>
          <w:sz w:val="28"/>
          <w:szCs w:val="28"/>
        </w:rPr>
      </w:pPr>
      <w:r>
        <w:rPr>
          <w:rFonts w:asciiTheme="majorBidi" w:hAnsiTheme="majorBidi" w:cstheme="majorBidi"/>
          <w:b/>
          <w:bCs/>
          <w:color w:val="004E9A"/>
          <w:sz w:val="28"/>
          <w:szCs w:val="28"/>
        </w:rPr>
        <w:t xml:space="preserve">A report submitted to the Committee on </w:t>
      </w:r>
      <w:r w:rsidRPr="00BC7E13">
        <w:rPr>
          <w:rFonts w:asciiTheme="majorBidi" w:hAnsiTheme="majorBidi" w:cstheme="majorBidi"/>
          <w:b/>
          <w:bCs/>
          <w:color w:val="004E9A"/>
          <w:sz w:val="28"/>
          <w:szCs w:val="28"/>
        </w:rPr>
        <w:t xml:space="preserve">the Elimination of Racial Discrimination </w:t>
      </w:r>
      <w:r>
        <w:rPr>
          <w:rFonts w:asciiTheme="majorBidi" w:hAnsiTheme="majorBidi" w:cstheme="majorBidi"/>
          <w:b/>
          <w:bCs/>
          <w:color w:val="004E9A"/>
          <w:sz w:val="28"/>
          <w:szCs w:val="28"/>
        </w:rPr>
        <w:t xml:space="preserve">regarding </w:t>
      </w:r>
      <w:r>
        <w:rPr>
          <w:rFonts w:asciiTheme="majorBidi" w:hAnsiTheme="majorBidi" w:cstheme="majorBidi"/>
          <w:b/>
          <w:bCs/>
          <w:color w:val="FF0000"/>
          <w:sz w:val="28"/>
          <w:szCs w:val="28"/>
        </w:rPr>
        <w:t>The Islamic Republic of Iran</w:t>
      </w:r>
    </w:p>
    <w:p w14:paraId="0B2E4F0B" w14:textId="44CB992E" w:rsidR="00F871C7" w:rsidRDefault="00BC7E13" w:rsidP="00CB6872">
      <w:pPr>
        <w:jc w:val="both"/>
        <w:rPr>
          <w:rFonts w:asciiTheme="majorBidi" w:hAnsiTheme="majorBidi" w:cstheme="majorBidi"/>
          <w:sz w:val="24"/>
          <w:szCs w:val="24"/>
        </w:rPr>
      </w:pPr>
      <w:r w:rsidRPr="00BC7E13">
        <w:rPr>
          <w:rFonts w:asciiTheme="majorBidi" w:hAnsiTheme="majorBidi" w:cstheme="majorBidi"/>
          <w:sz w:val="24"/>
          <w:szCs w:val="24"/>
        </w:rPr>
        <w:t xml:space="preserve">Maat for Peace, Development and Human Rights submits this report to assess the compliance of the Islamic Republic of Iran with the provisions of the Convention on the Elimination of All Forms of Racial Discrimination (hereinafter referred to as the Convention). Prior to preparing this report, Maat reviewed the combined report of the twentieth to twenty-seventh reports submitted by the </w:t>
      </w:r>
      <w:r>
        <w:rPr>
          <w:rFonts w:asciiTheme="majorBidi" w:hAnsiTheme="majorBidi" w:cstheme="majorBidi"/>
          <w:sz w:val="24"/>
          <w:szCs w:val="24"/>
        </w:rPr>
        <w:t xml:space="preserve">Islamic </w:t>
      </w:r>
      <w:r w:rsidRPr="00BC7E13">
        <w:rPr>
          <w:rFonts w:asciiTheme="majorBidi" w:hAnsiTheme="majorBidi" w:cstheme="majorBidi"/>
          <w:sz w:val="24"/>
          <w:szCs w:val="24"/>
        </w:rPr>
        <w:t>Republic of Iran, which Iran was late in submitting to the committee. Maat notes the ethnic and cultural diversity in Iran, where Iranian society includes a group of ethnicities such as Arabs, Azerbaijanis, Kurds, and Baluchis, in addition to religious minorities such as Sunni Muslims, Baha’is, and Christians. These minorities face practices of racial discrimination and unjustified restrictions in law and actual practice, and include racist practices that Minorities in Iran face deprivation of natural resources and discrimination in employment, especially in senior and leadership positions. Despite Iran's ratification of the Convention on August 29, 1968 and its commitment to take all necessary measures to ensure equality and eliminate racial discrimination within its territory, analyzes indicate that Iranian legislation and policies related to combating racial discrimination are still limited and insufficient to guarantee the rights of minorities and vulnerable groups.</w:t>
      </w:r>
    </w:p>
    <w:p w14:paraId="237148C5" w14:textId="77777777" w:rsidR="00BC7E13" w:rsidRPr="00BC7E13" w:rsidRDefault="00BC7E13" w:rsidP="00CB6872">
      <w:pPr>
        <w:jc w:val="both"/>
        <w:rPr>
          <w:rFonts w:asciiTheme="majorBidi" w:hAnsiTheme="majorBidi" w:cstheme="majorBidi"/>
          <w:b/>
          <w:bCs/>
          <w:color w:val="FF0000"/>
          <w:sz w:val="28"/>
          <w:szCs w:val="28"/>
        </w:rPr>
      </w:pPr>
      <w:r w:rsidRPr="00BC7E13">
        <w:rPr>
          <w:rFonts w:asciiTheme="majorBidi" w:hAnsiTheme="majorBidi" w:cstheme="majorBidi"/>
          <w:b/>
          <w:bCs/>
          <w:color w:val="FF0000"/>
          <w:sz w:val="28"/>
          <w:szCs w:val="28"/>
        </w:rPr>
        <w:t>Racial discrimination (Article 1)</w:t>
      </w:r>
    </w:p>
    <w:p w14:paraId="43AB7A7B" w14:textId="66BE1ACC" w:rsidR="00BC7E13" w:rsidRDefault="00BC7E13" w:rsidP="00CB6872">
      <w:pPr>
        <w:jc w:val="both"/>
        <w:rPr>
          <w:rFonts w:asciiTheme="majorBidi" w:hAnsiTheme="majorBidi" w:cstheme="majorBidi"/>
          <w:sz w:val="24"/>
          <w:szCs w:val="24"/>
        </w:rPr>
      </w:pPr>
      <w:r w:rsidRPr="00BC7E13">
        <w:rPr>
          <w:rFonts w:asciiTheme="majorBidi" w:hAnsiTheme="majorBidi" w:cstheme="majorBidi"/>
          <w:sz w:val="24"/>
          <w:szCs w:val="24"/>
        </w:rPr>
        <w:t>Maat reviewed the measures contained in Iran’s periodic report to implement Article 1 of the Convention, especially what the state reported regarding the existence of guarantees of non-discrimination in its national constitution</w:t>
      </w:r>
      <w:r w:rsidR="00FA4811">
        <w:rPr>
          <w:rStyle w:val="FootnoteReference"/>
          <w:rFonts w:asciiTheme="majorBidi" w:hAnsiTheme="majorBidi" w:cstheme="majorBidi"/>
          <w:sz w:val="24"/>
          <w:szCs w:val="24"/>
        </w:rPr>
        <w:footnoteReference w:id="1"/>
      </w:r>
      <w:r w:rsidRPr="00BC7E13">
        <w:rPr>
          <w:rFonts w:asciiTheme="majorBidi" w:hAnsiTheme="majorBidi" w:cstheme="majorBidi"/>
          <w:sz w:val="24"/>
          <w:szCs w:val="24"/>
        </w:rPr>
        <w:t xml:space="preserve">. However, by reviewing the constitutional text contained in Article 3, </w:t>
      </w:r>
      <w:r>
        <w:rPr>
          <w:rFonts w:asciiTheme="majorBidi" w:hAnsiTheme="majorBidi" w:cstheme="majorBidi"/>
          <w:sz w:val="24"/>
          <w:szCs w:val="24"/>
        </w:rPr>
        <w:t>Maat</w:t>
      </w:r>
      <w:r w:rsidRPr="00BC7E13">
        <w:rPr>
          <w:rFonts w:asciiTheme="majorBidi" w:hAnsiTheme="majorBidi" w:cstheme="majorBidi"/>
          <w:sz w:val="24"/>
          <w:szCs w:val="24"/>
        </w:rPr>
        <w:t xml:space="preserve"> find</w:t>
      </w:r>
      <w:r>
        <w:rPr>
          <w:rFonts w:asciiTheme="majorBidi" w:hAnsiTheme="majorBidi" w:cstheme="majorBidi"/>
          <w:sz w:val="24"/>
          <w:szCs w:val="24"/>
        </w:rPr>
        <w:t xml:space="preserve">s </w:t>
      </w:r>
      <w:r w:rsidRPr="00BC7E13">
        <w:rPr>
          <w:rFonts w:asciiTheme="majorBidi" w:hAnsiTheme="majorBidi" w:cstheme="majorBidi"/>
          <w:sz w:val="24"/>
          <w:szCs w:val="24"/>
        </w:rPr>
        <w:t>that placing the phrase abolishing all forms of unjustified and unfair discrimination constitutes a legislative loophole that can be used to justify practices of racial discrimination. Article 19 of the Iranian Constitution also defines racial discrimination, and under this article, members of the Iranian people, of whatever nationality or tribe, enjoy equal rights. Color, race, language, or the like do not confer any privilege. However, Maat notes that the previous definition does not cover all forms of racial discrimination mentioned in the agreement ratified by the Islamic Republic of Iran</w:t>
      </w:r>
      <w:r w:rsidR="00FA4811">
        <w:rPr>
          <w:rStyle w:val="FootnoteReference"/>
          <w:rFonts w:asciiTheme="majorBidi" w:hAnsiTheme="majorBidi" w:cstheme="majorBidi"/>
          <w:sz w:val="24"/>
          <w:szCs w:val="24"/>
        </w:rPr>
        <w:footnoteReference w:id="2"/>
      </w:r>
      <w:r w:rsidRPr="00BC7E13">
        <w:rPr>
          <w:rFonts w:asciiTheme="majorBidi" w:hAnsiTheme="majorBidi" w:cstheme="majorBidi"/>
          <w:sz w:val="24"/>
          <w:szCs w:val="24"/>
        </w:rPr>
        <w:t xml:space="preserve">. On the other hand, Maat notes that the legal framework in Iran lacks a comprehensive and specific definition of racial discrimination in a manner </w:t>
      </w:r>
      <w:r w:rsidRPr="00BC7E13">
        <w:rPr>
          <w:rFonts w:asciiTheme="majorBidi" w:hAnsiTheme="majorBidi" w:cstheme="majorBidi"/>
          <w:sz w:val="24"/>
          <w:szCs w:val="24"/>
        </w:rPr>
        <w:lastRenderedPageBreak/>
        <w:t>consistent with Article 1 of the Convention. On the other hand, despite the promises made by Iran to adopt an integrated strategy to combat all forms of racial discrimination and cases of intolerance, these promises have not been translated into actual practice in reality.</w:t>
      </w:r>
    </w:p>
    <w:p w14:paraId="0A7AB0D0" w14:textId="5612AF0D" w:rsidR="00BC7E13" w:rsidRPr="00BC7E13" w:rsidRDefault="00BC7E13" w:rsidP="00CB6872">
      <w:pPr>
        <w:jc w:val="both"/>
        <w:rPr>
          <w:rFonts w:asciiTheme="majorBidi" w:hAnsiTheme="majorBidi" w:cstheme="majorBidi"/>
          <w:b/>
          <w:bCs/>
          <w:color w:val="FF0000"/>
          <w:sz w:val="28"/>
          <w:szCs w:val="28"/>
        </w:rPr>
      </w:pPr>
      <w:r w:rsidRPr="00BC7E13">
        <w:rPr>
          <w:rFonts w:asciiTheme="majorBidi" w:hAnsiTheme="majorBidi" w:cstheme="majorBidi"/>
          <w:b/>
          <w:bCs/>
          <w:color w:val="FF0000"/>
          <w:sz w:val="28"/>
          <w:szCs w:val="28"/>
        </w:rPr>
        <w:t xml:space="preserve">Measures to prohibit racial discrimination (Article </w:t>
      </w:r>
      <w:r w:rsidRPr="00BC7E13">
        <w:rPr>
          <w:rFonts w:asciiTheme="majorBidi" w:hAnsiTheme="majorBidi" w:cstheme="majorBidi"/>
          <w:b/>
          <w:bCs/>
          <w:color w:val="FF0000"/>
          <w:sz w:val="28"/>
          <w:szCs w:val="28"/>
        </w:rPr>
        <w:t>2</w:t>
      </w:r>
      <w:r w:rsidRPr="00BC7E13">
        <w:rPr>
          <w:rFonts w:asciiTheme="majorBidi" w:hAnsiTheme="majorBidi" w:cstheme="majorBidi"/>
          <w:b/>
          <w:bCs/>
          <w:color w:val="FF0000"/>
          <w:sz w:val="28"/>
          <w:szCs w:val="28"/>
        </w:rPr>
        <w:t>)</w:t>
      </w:r>
    </w:p>
    <w:p w14:paraId="16062814" w14:textId="3CCE7FC5" w:rsidR="00BC7E13" w:rsidRDefault="00BC7E13" w:rsidP="00CB6872">
      <w:pPr>
        <w:jc w:val="both"/>
        <w:rPr>
          <w:rFonts w:asciiTheme="majorBidi" w:hAnsiTheme="majorBidi" w:cstheme="majorBidi"/>
          <w:sz w:val="24"/>
          <w:szCs w:val="24"/>
        </w:rPr>
      </w:pPr>
      <w:r w:rsidRPr="00BC7E13">
        <w:rPr>
          <w:rFonts w:asciiTheme="majorBidi" w:hAnsiTheme="majorBidi" w:cstheme="majorBidi"/>
          <w:sz w:val="24"/>
          <w:szCs w:val="24"/>
        </w:rPr>
        <w:t>Maat notes the efforts mentioned in Iran's national report to implement Article II of the Convention. It notes that Article 19 of the Iranian Constitution stipulates that members of the people shall enjoy equal rights and that no privileges shall be granted to any tribe or nationality on the basis of race, language, or otherwise</w:t>
      </w:r>
      <w:r w:rsidR="003B6C69">
        <w:rPr>
          <w:rStyle w:val="FootnoteReference"/>
          <w:rFonts w:asciiTheme="majorBidi" w:hAnsiTheme="majorBidi" w:cstheme="majorBidi"/>
          <w:sz w:val="24"/>
          <w:szCs w:val="24"/>
        </w:rPr>
        <w:footnoteReference w:id="3"/>
      </w:r>
      <w:r w:rsidRPr="00BC7E13">
        <w:rPr>
          <w:rFonts w:asciiTheme="majorBidi" w:hAnsiTheme="majorBidi" w:cstheme="majorBidi"/>
          <w:sz w:val="24"/>
          <w:szCs w:val="24"/>
        </w:rPr>
        <w:t>. One of the developments mentioned in Iran's periodic report is granting religious minorities the right to representation in city and village councils in various provinces</w:t>
      </w:r>
      <w:r w:rsidR="003B6C69">
        <w:rPr>
          <w:rStyle w:val="FootnoteReference"/>
          <w:rFonts w:asciiTheme="majorBidi" w:hAnsiTheme="majorBidi" w:cstheme="majorBidi"/>
          <w:sz w:val="24"/>
          <w:szCs w:val="24"/>
        </w:rPr>
        <w:footnoteReference w:id="4"/>
      </w:r>
      <w:r w:rsidRPr="00BC7E13">
        <w:rPr>
          <w:rFonts w:asciiTheme="majorBidi" w:hAnsiTheme="majorBidi" w:cstheme="majorBidi"/>
          <w:sz w:val="24"/>
          <w:szCs w:val="24"/>
        </w:rPr>
        <w:t xml:space="preserve">. However, the report did not mention the restrictions imposed on minorities in Iran, especially in political participation, in enjoying resources, in employment, and in obtaining job opportunities on satisfactory conditions. For example, senior positions in the state are limited to followers of a specific sect and </w:t>
      </w:r>
      <w:proofErr w:type="spellStart"/>
      <w:r w:rsidRPr="00BC7E13">
        <w:rPr>
          <w:rFonts w:asciiTheme="majorBidi" w:hAnsiTheme="majorBidi" w:cstheme="majorBidi"/>
          <w:sz w:val="24"/>
          <w:szCs w:val="24"/>
        </w:rPr>
        <w:t>not</w:t>
      </w:r>
      <w:proofErr w:type="spellEnd"/>
      <w:r w:rsidRPr="00BC7E13">
        <w:rPr>
          <w:rFonts w:asciiTheme="majorBidi" w:hAnsiTheme="majorBidi" w:cstheme="majorBidi"/>
          <w:sz w:val="24"/>
          <w:szCs w:val="24"/>
        </w:rPr>
        <w:t xml:space="preserve"> other sects in Iranian society, and members </w:t>
      </w:r>
      <w:r w:rsidR="00760D1E" w:rsidRPr="00760D1E">
        <w:rPr>
          <w:rFonts w:asciiTheme="majorBidi" w:hAnsiTheme="majorBidi" w:cstheme="majorBidi"/>
          <w:sz w:val="24"/>
          <w:szCs w:val="24"/>
        </w:rPr>
        <w:t xml:space="preserve">of other non-Shiite sects are also excluded from civil and military leadership positions even in Sunni-majority governorates, in addition to being prevented from building Sunni mosques inside Shiite-majority governorates, and none of the provisions of the constitution or policies calling for eliminating discrimination against different ethnicities are implemented, which confirms </w:t>
      </w:r>
      <w:r w:rsidR="00760D1E">
        <w:rPr>
          <w:rFonts w:asciiTheme="majorBidi" w:hAnsiTheme="majorBidi" w:cstheme="majorBidi"/>
          <w:sz w:val="24"/>
          <w:szCs w:val="24"/>
        </w:rPr>
        <w:t>i</w:t>
      </w:r>
      <w:r w:rsidR="00760D1E" w:rsidRPr="00760D1E">
        <w:rPr>
          <w:rFonts w:asciiTheme="majorBidi" w:hAnsiTheme="majorBidi" w:cstheme="majorBidi"/>
          <w:sz w:val="24"/>
          <w:szCs w:val="24"/>
        </w:rPr>
        <w:t>t's just cosmetic propaganda</w:t>
      </w:r>
      <w:r w:rsidR="003B6C69">
        <w:rPr>
          <w:rStyle w:val="FootnoteReference"/>
          <w:rFonts w:asciiTheme="majorBidi" w:hAnsiTheme="majorBidi" w:cstheme="majorBidi"/>
          <w:sz w:val="24"/>
          <w:szCs w:val="24"/>
        </w:rPr>
        <w:footnoteReference w:id="5"/>
      </w:r>
      <w:r w:rsidR="00760D1E" w:rsidRPr="00760D1E">
        <w:rPr>
          <w:rFonts w:asciiTheme="majorBidi" w:hAnsiTheme="majorBidi" w:cstheme="majorBidi"/>
          <w:sz w:val="24"/>
          <w:szCs w:val="24"/>
        </w:rPr>
        <w:t>.</w:t>
      </w:r>
      <w:r w:rsidR="00760D1E">
        <w:rPr>
          <w:rFonts w:asciiTheme="majorBidi" w:hAnsiTheme="majorBidi" w:cstheme="majorBidi"/>
          <w:sz w:val="24"/>
          <w:szCs w:val="24"/>
        </w:rPr>
        <w:t xml:space="preserve"> </w:t>
      </w:r>
      <w:r w:rsidRPr="00BC7E13">
        <w:rPr>
          <w:rFonts w:asciiTheme="majorBidi" w:hAnsiTheme="majorBidi" w:cstheme="majorBidi"/>
          <w:sz w:val="24"/>
          <w:szCs w:val="24"/>
        </w:rPr>
        <w:t>Arab politicians in Khuzestan also faced great marginalization in the Iranian parliament compared to other members of the Iranian parliament. Khuzestan has about 18 representatives in the parliament, which consists of 290 seats, some of whom are Arabs, but some Arab representatives claimed that they face restrictions when requesting the implementation of their needs, claiming that Iran Prefer central governorates</w:t>
      </w:r>
      <w:r w:rsidR="003B6C69">
        <w:rPr>
          <w:rStyle w:val="FootnoteReference"/>
          <w:rFonts w:asciiTheme="majorBidi" w:hAnsiTheme="majorBidi" w:cstheme="majorBidi"/>
          <w:sz w:val="24"/>
          <w:szCs w:val="24"/>
        </w:rPr>
        <w:footnoteReference w:id="6"/>
      </w:r>
      <w:r w:rsidRPr="00BC7E13">
        <w:rPr>
          <w:rFonts w:asciiTheme="majorBidi" w:hAnsiTheme="majorBidi" w:cstheme="majorBidi"/>
          <w:sz w:val="24"/>
          <w:szCs w:val="24"/>
        </w:rPr>
        <w:t>. On the other hand, various credible reports concluded that Iran prevented the Arabs of Khuzestan from establishing political parties and groups that espouse their interests and subjected people who tried to exercise their right to establish civil associations to arrest and sometimes to forced disappearance under the pretext of calling for secession.</w:t>
      </w:r>
    </w:p>
    <w:p w14:paraId="46D1F87F" w14:textId="5868504D" w:rsidR="00760D1E" w:rsidRDefault="00760D1E" w:rsidP="00CB6872">
      <w:pPr>
        <w:jc w:val="both"/>
        <w:rPr>
          <w:rFonts w:asciiTheme="majorBidi" w:hAnsiTheme="majorBidi" w:cstheme="majorBidi"/>
          <w:sz w:val="24"/>
          <w:szCs w:val="24"/>
        </w:rPr>
      </w:pPr>
      <w:r w:rsidRPr="00760D1E">
        <w:rPr>
          <w:rFonts w:asciiTheme="majorBidi" w:hAnsiTheme="majorBidi" w:cstheme="majorBidi"/>
          <w:sz w:val="24"/>
          <w:szCs w:val="24"/>
        </w:rPr>
        <w:t xml:space="preserve">Maat also notes that the unequal distribution of basic services in Iran leads to the shortage and marginalization of minorities, and this distribution leads to a lack of health care in some areas </w:t>
      </w:r>
      <w:r w:rsidRPr="00760D1E">
        <w:rPr>
          <w:rFonts w:asciiTheme="majorBidi" w:hAnsiTheme="majorBidi" w:cstheme="majorBidi"/>
          <w:sz w:val="24"/>
          <w:szCs w:val="24"/>
        </w:rPr>
        <w:lastRenderedPageBreak/>
        <w:t xml:space="preserve">where ethnic minorities live, for example in the </w:t>
      </w:r>
      <w:proofErr w:type="spellStart"/>
      <w:r w:rsidRPr="00760D1E">
        <w:rPr>
          <w:rFonts w:asciiTheme="majorBidi" w:hAnsiTheme="majorBidi" w:cstheme="majorBidi"/>
          <w:sz w:val="24"/>
          <w:szCs w:val="24"/>
        </w:rPr>
        <w:t>Sistan</w:t>
      </w:r>
      <w:proofErr w:type="spellEnd"/>
      <w:r w:rsidRPr="00760D1E">
        <w:rPr>
          <w:rFonts w:asciiTheme="majorBidi" w:hAnsiTheme="majorBidi" w:cstheme="majorBidi"/>
          <w:sz w:val="24"/>
          <w:szCs w:val="24"/>
        </w:rPr>
        <w:t xml:space="preserve"> and </w:t>
      </w:r>
      <w:proofErr w:type="spellStart"/>
      <w:r w:rsidRPr="00760D1E">
        <w:rPr>
          <w:rFonts w:asciiTheme="majorBidi" w:hAnsiTheme="majorBidi" w:cstheme="majorBidi"/>
          <w:sz w:val="24"/>
          <w:szCs w:val="24"/>
        </w:rPr>
        <w:t>Baluchestan</w:t>
      </w:r>
      <w:proofErr w:type="spellEnd"/>
      <w:r w:rsidRPr="00760D1E">
        <w:rPr>
          <w:rFonts w:asciiTheme="majorBidi" w:hAnsiTheme="majorBidi" w:cstheme="majorBidi"/>
          <w:sz w:val="24"/>
          <w:szCs w:val="24"/>
        </w:rPr>
        <w:t xml:space="preserve"> province, which is the province that represents 11.5% of the area of ​​Iran</w:t>
      </w:r>
      <w:r w:rsidR="003B6C69">
        <w:rPr>
          <w:rStyle w:val="FootnoteReference"/>
          <w:rFonts w:asciiTheme="majorBidi" w:hAnsiTheme="majorBidi" w:cstheme="majorBidi"/>
          <w:sz w:val="24"/>
          <w:szCs w:val="24"/>
        </w:rPr>
        <w:footnoteReference w:id="7"/>
      </w:r>
      <w:r w:rsidRPr="00760D1E">
        <w:rPr>
          <w:rFonts w:asciiTheme="majorBidi" w:hAnsiTheme="majorBidi" w:cstheme="majorBidi"/>
          <w:sz w:val="24"/>
          <w:szCs w:val="24"/>
        </w:rPr>
        <w:t>.</w:t>
      </w:r>
      <w:r w:rsidR="003B6C69">
        <w:rPr>
          <w:rFonts w:asciiTheme="majorBidi" w:hAnsiTheme="majorBidi" w:cstheme="majorBidi"/>
          <w:sz w:val="24"/>
          <w:szCs w:val="24"/>
        </w:rPr>
        <w:t xml:space="preserve"> </w:t>
      </w:r>
      <w:r w:rsidRPr="00760D1E">
        <w:rPr>
          <w:rFonts w:asciiTheme="majorBidi" w:hAnsiTheme="majorBidi" w:cstheme="majorBidi"/>
          <w:sz w:val="24"/>
          <w:szCs w:val="24"/>
        </w:rPr>
        <w:t>The low number of health clinics in rural and remote areas has led to a lower average life expectancy for the population compared to urban areas</w:t>
      </w:r>
      <w:r w:rsidR="003B6C69">
        <w:rPr>
          <w:rStyle w:val="FootnoteReference"/>
          <w:rFonts w:asciiTheme="majorBidi" w:hAnsiTheme="majorBidi" w:cstheme="majorBidi"/>
          <w:sz w:val="24"/>
          <w:szCs w:val="24"/>
        </w:rPr>
        <w:footnoteReference w:id="8"/>
      </w:r>
      <w:r w:rsidRPr="00760D1E">
        <w:rPr>
          <w:rFonts w:asciiTheme="majorBidi" w:hAnsiTheme="majorBidi" w:cstheme="majorBidi"/>
          <w:sz w:val="24"/>
          <w:szCs w:val="24"/>
        </w:rPr>
        <w:t xml:space="preserve">. In a related context, the health coverage index in </w:t>
      </w:r>
      <w:proofErr w:type="spellStart"/>
      <w:r w:rsidRPr="00760D1E">
        <w:rPr>
          <w:rFonts w:asciiTheme="majorBidi" w:hAnsiTheme="majorBidi" w:cstheme="majorBidi"/>
          <w:sz w:val="24"/>
          <w:szCs w:val="24"/>
        </w:rPr>
        <w:t>Sistan</w:t>
      </w:r>
      <w:proofErr w:type="spellEnd"/>
      <w:r w:rsidRPr="00760D1E">
        <w:rPr>
          <w:rFonts w:asciiTheme="majorBidi" w:hAnsiTheme="majorBidi" w:cstheme="majorBidi"/>
          <w:sz w:val="24"/>
          <w:szCs w:val="24"/>
        </w:rPr>
        <w:t xml:space="preserve"> and </w:t>
      </w:r>
      <w:proofErr w:type="spellStart"/>
      <w:r w:rsidRPr="00760D1E">
        <w:rPr>
          <w:rFonts w:asciiTheme="majorBidi" w:hAnsiTheme="majorBidi" w:cstheme="majorBidi"/>
          <w:sz w:val="24"/>
          <w:szCs w:val="24"/>
        </w:rPr>
        <w:t>Baluchestan</w:t>
      </w:r>
      <w:proofErr w:type="spellEnd"/>
      <w:r w:rsidRPr="00760D1E">
        <w:rPr>
          <w:rFonts w:asciiTheme="majorBidi" w:hAnsiTheme="majorBidi" w:cstheme="majorBidi"/>
          <w:sz w:val="24"/>
          <w:szCs w:val="24"/>
        </w:rPr>
        <w:t xml:space="preserve"> for the year 2012-2018 showed that the level of health care has declined to the lowest level. The index attributed this decline to the weakness of material, financial and human resources, which is further evidence of the unfair distribution of resources in the region compared to the urban and central areas of the Islamic Republic of Iran</w:t>
      </w:r>
      <w:r w:rsidR="003B6C69">
        <w:rPr>
          <w:rStyle w:val="FootnoteReference"/>
          <w:rFonts w:asciiTheme="majorBidi" w:hAnsiTheme="majorBidi" w:cstheme="majorBidi"/>
          <w:sz w:val="24"/>
          <w:szCs w:val="24"/>
        </w:rPr>
        <w:footnoteReference w:id="9"/>
      </w:r>
      <w:r w:rsidRPr="00760D1E">
        <w:rPr>
          <w:rFonts w:asciiTheme="majorBidi" w:hAnsiTheme="majorBidi" w:cstheme="majorBidi"/>
          <w:sz w:val="24"/>
          <w:szCs w:val="24"/>
        </w:rPr>
        <w:t>. This conflicts with the implementation of Article 2 of the agreement</w:t>
      </w:r>
      <w:r>
        <w:rPr>
          <w:rFonts w:asciiTheme="majorBidi" w:hAnsiTheme="majorBidi" w:cstheme="majorBidi"/>
          <w:sz w:val="24"/>
          <w:szCs w:val="24"/>
        </w:rPr>
        <w:t>, and i</w:t>
      </w:r>
      <w:r w:rsidRPr="00760D1E">
        <w:rPr>
          <w:rFonts w:asciiTheme="majorBidi" w:hAnsiTheme="majorBidi" w:cstheme="majorBidi"/>
          <w:sz w:val="24"/>
          <w:szCs w:val="24"/>
        </w:rPr>
        <w:t>t also conflicts with the implementation of the third goal of the Sustainable Development Goals</w:t>
      </w:r>
      <w:r w:rsidR="003B6C69">
        <w:rPr>
          <w:rStyle w:val="FootnoteReference"/>
          <w:rFonts w:asciiTheme="majorBidi" w:hAnsiTheme="majorBidi" w:cstheme="majorBidi"/>
          <w:sz w:val="24"/>
          <w:szCs w:val="24"/>
        </w:rPr>
        <w:footnoteReference w:id="10"/>
      </w:r>
      <w:r w:rsidRPr="00760D1E">
        <w:rPr>
          <w:rFonts w:asciiTheme="majorBidi" w:hAnsiTheme="majorBidi" w:cstheme="majorBidi"/>
          <w:sz w:val="24"/>
          <w:szCs w:val="24"/>
        </w:rPr>
        <w:t>. In the context of preventing racial discrimination in the field of work and employment, Maat did not notice any positive steps taken by Iran to end these practices. Maat was informed of what is known as the “</w:t>
      </w:r>
      <w:proofErr w:type="spellStart"/>
      <w:r w:rsidRPr="00760D1E">
        <w:rPr>
          <w:rFonts w:asciiTheme="majorBidi" w:hAnsiTheme="majorBidi" w:cstheme="majorBidi"/>
          <w:sz w:val="24"/>
          <w:szCs w:val="24"/>
        </w:rPr>
        <w:t>Gozinish</w:t>
      </w:r>
      <w:proofErr w:type="spellEnd"/>
      <w:r w:rsidRPr="00760D1E">
        <w:rPr>
          <w:rFonts w:asciiTheme="majorBidi" w:hAnsiTheme="majorBidi" w:cstheme="majorBidi"/>
          <w:sz w:val="24"/>
          <w:szCs w:val="24"/>
        </w:rPr>
        <w:t>” practice, which is a practice and standards based on the text of Article Second of the Selection Law of 1995 in Iran, this practice subjects employment in the public sector and in some other jobs in which the government is involved to discriminatory criteria, for example, belonging to the Twelve Jaafari school of thought, and the theory of guardianship of the jurist, and these criteria are the basis for appointment to jobs</w:t>
      </w:r>
      <w:r w:rsidR="003B6C69">
        <w:rPr>
          <w:rStyle w:val="FootnoteReference"/>
          <w:rFonts w:asciiTheme="majorBidi" w:hAnsiTheme="majorBidi" w:cstheme="majorBidi"/>
          <w:sz w:val="24"/>
          <w:szCs w:val="24"/>
        </w:rPr>
        <w:footnoteReference w:id="11"/>
      </w:r>
      <w:r w:rsidRPr="00760D1E">
        <w:rPr>
          <w:rFonts w:asciiTheme="majorBidi" w:hAnsiTheme="majorBidi" w:cstheme="majorBidi"/>
          <w:sz w:val="24"/>
          <w:szCs w:val="24"/>
        </w:rPr>
        <w:t>, which represent</w:t>
      </w:r>
      <w:r>
        <w:rPr>
          <w:rFonts w:asciiTheme="majorBidi" w:hAnsiTheme="majorBidi" w:cstheme="majorBidi"/>
          <w:sz w:val="24"/>
          <w:szCs w:val="24"/>
        </w:rPr>
        <w:t>s a violation of</w:t>
      </w:r>
      <w:r w:rsidRPr="00760D1E">
        <w:rPr>
          <w:rFonts w:asciiTheme="majorBidi" w:hAnsiTheme="majorBidi" w:cstheme="majorBidi"/>
          <w:sz w:val="24"/>
          <w:szCs w:val="24"/>
        </w:rPr>
        <w:t xml:space="preserve"> the principle of equal opportunities and non-discrimination and contradicts the implementation of Article 2 of the Convention. It also contravenes Articles 6 and 7 of the International Covenant on Economic, Social and Cultural Rights</w:t>
      </w:r>
      <w:r w:rsidR="003B6C69">
        <w:rPr>
          <w:rStyle w:val="FootnoteReference"/>
          <w:rFonts w:asciiTheme="majorBidi" w:hAnsiTheme="majorBidi" w:cstheme="majorBidi"/>
          <w:sz w:val="24"/>
          <w:szCs w:val="24"/>
        </w:rPr>
        <w:footnoteReference w:id="12"/>
      </w:r>
      <w:r w:rsidRPr="00760D1E">
        <w:rPr>
          <w:rFonts w:asciiTheme="majorBidi" w:hAnsiTheme="majorBidi" w:cstheme="majorBidi"/>
          <w:sz w:val="24"/>
          <w:szCs w:val="24"/>
        </w:rPr>
        <w:t>. Discrimination in employment leads to the spread of unemployment in areas inhabited by ethnic minorities, such as Baluchistan and Khuzestan in particular</w:t>
      </w:r>
      <w:r w:rsidR="003B6C69">
        <w:rPr>
          <w:rStyle w:val="FootnoteReference"/>
          <w:rFonts w:asciiTheme="majorBidi" w:hAnsiTheme="majorBidi" w:cstheme="majorBidi"/>
          <w:sz w:val="24"/>
          <w:szCs w:val="24"/>
        </w:rPr>
        <w:footnoteReference w:id="13"/>
      </w:r>
      <w:r w:rsidRPr="00760D1E">
        <w:rPr>
          <w:rFonts w:asciiTheme="majorBidi" w:hAnsiTheme="majorBidi" w:cstheme="majorBidi"/>
          <w:sz w:val="24"/>
          <w:szCs w:val="24"/>
        </w:rPr>
        <w:t>. In a related context, Maat has seen numerous reports indicating that Azeris, a minority in Iran, are subjected to systematic discrimination with regard to the right to work, despite the fact that Azeris constitute the largest ethnic minority by about 16% of its population. However, the Republic of Iran ignored these allegations and did not respond to them</w:t>
      </w:r>
      <w:r w:rsidR="003B6C69">
        <w:rPr>
          <w:rStyle w:val="FootnoteReference"/>
          <w:rFonts w:asciiTheme="majorBidi" w:hAnsiTheme="majorBidi" w:cstheme="majorBidi"/>
          <w:sz w:val="24"/>
          <w:szCs w:val="24"/>
        </w:rPr>
        <w:footnoteReference w:id="14"/>
      </w:r>
      <w:r w:rsidRPr="00760D1E">
        <w:rPr>
          <w:rFonts w:asciiTheme="majorBidi" w:hAnsiTheme="majorBidi" w:cstheme="majorBidi"/>
          <w:sz w:val="24"/>
          <w:szCs w:val="24"/>
        </w:rPr>
        <w:t xml:space="preserve">, yet the complaints </w:t>
      </w:r>
      <w:r w:rsidRPr="00760D1E">
        <w:rPr>
          <w:rFonts w:asciiTheme="majorBidi" w:hAnsiTheme="majorBidi" w:cstheme="majorBidi"/>
          <w:sz w:val="24"/>
          <w:szCs w:val="24"/>
        </w:rPr>
        <w:lastRenderedPageBreak/>
        <w:t>remained persistent and ongoing</w:t>
      </w:r>
      <w:r w:rsidR="003B6C69">
        <w:rPr>
          <w:rStyle w:val="FootnoteReference"/>
          <w:rFonts w:asciiTheme="majorBidi" w:hAnsiTheme="majorBidi" w:cstheme="majorBidi"/>
          <w:sz w:val="24"/>
          <w:szCs w:val="24"/>
        </w:rPr>
        <w:footnoteReference w:id="15"/>
      </w:r>
      <w:r w:rsidRPr="00760D1E">
        <w:rPr>
          <w:rFonts w:asciiTheme="majorBidi" w:hAnsiTheme="majorBidi" w:cstheme="majorBidi"/>
          <w:sz w:val="24"/>
          <w:szCs w:val="24"/>
        </w:rPr>
        <w:t>. Reports also documented that the Iranian government discriminated against this ethnicity and prevented some parents from giving their children names of a Turkish nature</w:t>
      </w:r>
      <w:r w:rsidR="003B6C69">
        <w:rPr>
          <w:rStyle w:val="FootnoteReference"/>
          <w:rFonts w:asciiTheme="majorBidi" w:hAnsiTheme="majorBidi" w:cstheme="majorBidi"/>
          <w:sz w:val="24"/>
          <w:szCs w:val="24"/>
        </w:rPr>
        <w:footnoteReference w:id="16"/>
      </w:r>
      <w:r w:rsidRPr="00760D1E">
        <w:rPr>
          <w:rFonts w:asciiTheme="majorBidi" w:hAnsiTheme="majorBidi" w:cstheme="majorBidi"/>
          <w:sz w:val="24"/>
          <w:szCs w:val="24"/>
        </w:rPr>
        <w:t>. On the other hand, discrimination against minorities in obtaining resources continued, as the government continued to implement plans to divert natural resources, including clean drinking water, from areas where ethnic minorities prevail</w:t>
      </w:r>
      <w:r w:rsidR="003B6C69">
        <w:rPr>
          <w:rStyle w:val="FootnoteReference"/>
          <w:rFonts w:asciiTheme="majorBidi" w:hAnsiTheme="majorBidi" w:cstheme="majorBidi"/>
          <w:sz w:val="24"/>
          <w:szCs w:val="24"/>
        </w:rPr>
        <w:footnoteReference w:id="17"/>
      </w:r>
      <w:r w:rsidRPr="00760D1E">
        <w:rPr>
          <w:rFonts w:asciiTheme="majorBidi" w:hAnsiTheme="majorBidi" w:cstheme="majorBidi"/>
          <w:sz w:val="24"/>
          <w:szCs w:val="24"/>
        </w:rPr>
        <w:t>, through building dams, whether small or large, according to various reports that resulted in this Practices degrade the lands on which farmers and others depend to improve their living conditions, leading to forced migration and further marginalization of ethnic communities. Manifestations of discrimination include, but are not limited to, the Iranian government's plans to withhold water from the Khuzestan region, to transfer it to central Iran. These plans led to protests in Khuzestan province, and the demonstrators, of whom more than five people were killed, claimed that the water transfer plans are clear evidence of ethnic discrimination against the Arab population in Khuzestan.</w:t>
      </w:r>
    </w:p>
    <w:p w14:paraId="3E195159" w14:textId="1BDF8E94" w:rsidR="00DF2A06" w:rsidRDefault="00DF2A06" w:rsidP="00CB6872">
      <w:pPr>
        <w:jc w:val="both"/>
        <w:rPr>
          <w:rFonts w:asciiTheme="majorBidi" w:hAnsiTheme="majorBidi" w:cstheme="majorBidi"/>
          <w:sz w:val="24"/>
          <w:szCs w:val="24"/>
        </w:rPr>
      </w:pPr>
      <w:r w:rsidRPr="00DF2A06">
        <w:rPr>
          <w:rFonts w:asciiTheme="majorBidi" w:hAnsiTheme="majorBidi" w:cstheme="majorBidi"/>
          <w:sz w:val="24"/>
          <w:szCs w:val="24"/>
        </w:rPr>
        <w:t>The Arab population in Khuzestan Province, who constitute 2% of the total population in the Islamic Republic of Iran, also faces systematic discrimination in the areas in which they live, especially in Khuzestan. Local Arab residents claim that the Iranian government is deliberately not addressing the environmental problems in Khuzestan, until the Arab residents leave</w:t>
      </w:r>
      <w:r w:rsidR="003B6C69">
        <w:rPr>
          <w:rStyle w:val="FootnoteReference"/>
          <w:rFonts w:asciiTheme="majorBidi" w:hAnsiTheme="majorBidi" w:cstheme="majorBidi"/>
          <w:sz w:val="24"/>
          <w:szCs w:val="24"/>
        </w:rPr>
        <w:footnoteReference w:id="18"/>
      </w:r>
      <w:r w:rsidRPr="00DF2A06">
        <w:rPr>
          <w:rFonts w:asciiTheme="majorBidi" w:hAnsiTheme="majorBidi" w:cstheme="majorBidi"/>
          <w:sz w:val="24"/>
          <w:szCs w:val="24"/>
        </w:rPr>
        <w:t>. Among the practices that affected the environment was the expansion of the establishment of oil refineries, which led to the forced migration of this population. Maat also reviewed reliable reports indicating that Arabs in Khuzestan have formed a belief that their ethnic affiliation affects their unfavorable economic situation, and local reports attributed this to unequal development between areas inhabited by minorities and other areas inhabited by the majority. Therefore, Maat notes that the Iranian government has not taken sufficient measures to implement the provisions contained in Article Two of the agreement.</w:t>
      </w:r>
    </w:p>
    <w:p w14:paraId="4F0C12C1" w14:textId="77777777" w:rsidR="00DF2A06" w:rsidRPr="00DF2A06" w:rsidRDefault="00DF2A06" w:rsidP="00CB6872">
      <w:pPr>
        <w:jc w:val="both"/>
        <w:rPr>
          <w:rFonts w:asciiTheme="majorBidi" w:hAnsiTheme="majorBidi" w:cstheme="majorBidi"/>
          <w:b/>
          <w:bCs/>
          <w:color w:val="FF0000"/>
          <w:sz w:val="28"/>
          <w:szCs w:val="28"/>
        </w:rPr>
      </w:pPr>
      <w:r w:rsidRPr="00DF2A06">
        <w:rPr>
          <w:rFonts w:asciiTheme="majorBidi" w:hAnsiTheme="majorBidi" w:cstheme="majorBidi"/>
          <w:b/>
          <w:bCs/>
          <w:color w:val="FF0000"/>
          <w:sz w:val="28"/>
          <w:szCs w:val="28"/>
        </w:rPr>
        <w:t>Resorting to national courts (Article 6)</w:t>
      </w:r>
    </w:p>
    <w:p w14:paraId="740CE32D" w14:textId="4A358CD2" w:rsidR="00DF2A06" w:rsidRDefault="00DF2A06" w:rsidP="00CB6872">
      <w:pPr>
        <w:jc w:val="both"/>
        <w:rPr>
          <w:rFonts w:asciiTheme="majorBidi" w:hAnsiTheme="majorBidi" w:cstheme="majorBidi"/>
          <w:sz w:val="24"/>
          <w:szCs w:val="24"/>
        </w:rPr>
      </w:pPr>
      <w:r w:rsidRPr="00DF2A06">
        <w:rPr>
          <w:rFonts w:asciiTheme="majorBidi" w:hAnsiTheme="majorBidi" w:cstheme="majorBidi"/>
          <w:sz w:val="24"/>
          <w:szCs w:val="24"/>
        </w:rPr>
        <w:t xml:space="preserve">Maat reviewed the measures contained in Iran’s periodic report to implement Article VI of the Convention, including the indication that the Criminal Procedure Code enhances the guarantees available to every person in complaints without regard to gender, race, or color. It also allows for </w:t>
      </w:r>
      <w:r w:rsidRPr="00DF2A06">
        <w:rPr>
          <w:rFonts w:asciiTheme="majorBidi" w:hAnsiTheme="majorBidi" w:cstheme="majorBidi"/>
          <w:sz w:val="24"/>
          <w:szCs w:val="24"/>
        </w:rPr>
        <w:lastRenderedPageBreak/>
        <w:t>compensation to be provided to victims and affected parties. In a related context, Iran reported that the Document of Legal Certainty, adopted on October 13, 2020, stipulated equality among all and their right to a fair trial and litigation, regardless of gender, race, color, language, religion</w:t>
      </w:r>
      <w:r>
        <w:rPr>
          <w:rFonts w:asciiTheme="majorBidi" w:hAnsiTheme="majorBidi" w:cstheme="majorBidi"/>
          <w:sz w:val="24"/>
          <w:szCs w:val="24"/>
        </w:rPr>
        <w:t>, p</w:t>
      </w:r>
      <w:r w:rsidRPr="00DF2A06">
        <w:rPr>
          <w:rFonts w:asciiTheme="majorBidi" w:hAnsiTheme="majorBidi" w:cstheme="majorBidi"/>
          <w:sz w:val="24"/>
          <w:szCs w:val="24"/>
        </w:rPr>
        <w:t>olitical beliefs and other considerations. It also criminalized discriminatory treatment by judges in courts. Through a number of studies reviewed by Maat, it was found that although the Iranian Constitution contains provisions guaranteeing the rights of ethnic minorities in litigation, and the Iranian authorities made reforms to the Iranian Criminal Procedure Code in 2015 that include emphasizing the necessity of the presence of lawyers in the early stages of detaining and interrogating accused persons</w:t>
      </w:r>
      <w:r w:rsidR="003B6C69">
        <w:rPr>
          <w:rStyle w:val="FootnoteReference"/>
          <w:rFonts w:asciiTheme="majorBidi" w:hAnsiTheme="majorBidi" w:cstheme="majorBidi"/>
          <w:sz w:val="24"/>
          <w:szCs w:val="24"/>
        </w:rPr>
        <w:footnoteReference w:id="19"/>
      </w:r>
      <w:r w:rsidRPr="00DF2A06">
        <w:rPr>
          <w:rFonts w:asciiTheme="majorBidi" w:hAnsiTheme="majorBidi" w:cstheme="majorBidi"/>
          <w:sz w:val="24"/>
          <w:szCs w:val="24"/>
        </w:rPr>
        <w:t>, The Iranian judicial system deliberately fails to play its role in protecting minorities and preserving their rights, and even adopts discriminatory policies towards them. Minority defendants are subjected to prolonged pre-trial detention without legal evidence compared to other citizens, and some of them are exposed to mistreatment and physical abuse</w:t>
      </w:r>
      <w:r w:rsidR="003B6C69">
        <w:rPr>
          <w:rStyle w:val="FootnoteReference"/>
          <w:rFonts w:asciiTheme="majorBidi" w:hAnsiTheme="majorBidi" w:cstheme="majorBidi"/>
          <w:sz w:val="24"/>
          <w:szCs w:val="24"/>
        </w:rPr>
        <w:footnoteReference w:id="20"/>
      </w:r>
      <w:r w:rsidRPr="00DF2A06">
        <w:rPr>
          <w:rFonts w:asciiTheme="majorBidi" w:hAnsiTheme="majorBidi" w:cstheme="majorBidi"/>
          <w:sz w:val="24"/>
          <w:szCs w:val="24"/>
        </w:rPr>
        <w:t>. Estimates indicate that members of religious minorities sometimes face vague charges such as undermining national security and propaganda against the Islamic Republic, in addition to being detained in unknown locations</w:t>
      </w:r>
      <w:r>
        <w:rPr>
          <w:rFonts w:asciiTheme="majorBidi" w:hAnsiTheme="majorBidi" w:cstheme="majorBidi"/>
          <w:sz w:val="24"/>
          <w:szCs w:val="24"/>
        </w:rPr>
        <w:t xml:space="preserve"> f</w:t>
      </w:r>
      <w:r w:rsidRPr="00DF2A06">
        <w:rPr>
          <w:rFonts w:asciiTheme="majorBidi" w:hAnsiTheme="majorBidi" w:cstheme="majorBidi"/>
          <w:sz w:val="24"/>
          <w:szCs w:val="24"/>
        </w:rPr>
        <w:t>or long periods of time and without formally trying them, in addition to confiscating and destroying their personal property</w:t>
      </w:r>
      <w:r w:rsidR="00E05503" w:rsidRPr="00E05503">
        <w:t xml:space="preserve"> </w:t>
      </w:r>
      <w:r w:rsidR="00E05503" w:rsidRPr="00E05503">
        <w:rPr>
          <w:rFonts w:asciiTheme="majorBidi" w:hAnsiTheme="majorBidi" w:cstheme="majorBidi"/>
          <w:sz w:val="24"/>
          <w:szCs w:val="24"/>
        </w:rPr>
        <w:t>The years from 2019 to June 2024 witnessed a significant increase in the placement of members of the Baha’is and other religious minorities in Iranian prisons against the backdrop of trials that did not meet the conditions for a fair trial, including the sentencing of two men from the Baha’i sect in June 2024 to five years in prison and a ban on travel or use of social media</w:t>
      </w:r>
      <w:r w:rsidR="00E05503">
        <w:rPr>
          <w:rFonts w:asciiTheme="majorBidi" w:hAnsiTheme="majorBidi" w:cstheme="majorBidi"/>
          <w:sz w:val="24"/>
          <w:szCs w:val="24"/>
        </w:rPr>
        <w:t xml:space="preserve">. They </w:t>
      </w:r>
      <w:r w:rsidRPr="00DF2A06">
        <w:rPr>
          <w:rFonts w:asciiTheme="majorBidi" w:hAnsiTheme="majorBidi" w:cstheme="majorBidi"/>
          <w:sz w:val="24"/>
          <w:szCs w:val="24"/>
        </w:rPr>
        <w:t xml:space="preserve">confiscated their commercial equipment, which consisted of smartphones, computers, and photographic cameras, on the grounds of their involvement in joining associations aimed at undermining national security and propaganda against the Islamic Republic. </w:t>
      </w:r>
      <w:r w:rsidR="00E05503" w:rsidRPr="00E05503">
        <w:rPr>
          <w:rFonts w:asciiTheme="majorBidi" w:hAnsiTheme="majorBidi" w:cstheme="majorBidi"/>
          <w:sz w:val="24"/>
          <w:szCs w:val="24"/>
        </w:rPr>
        <w:t>This comes after the authorities confiscated their equipment in September 2023 and briefly detained them in October of the same year</w:t>
      </w:r>
      <w:r w:rsidR="003B6C69">
        <w:rPr>
          <w:rStyle w:val="FootnoteReference"/>
          <w:rFonts w:asciiTheme="majorBidi" w:hAnsiTheme="majorBidi" w:cstheme="majorBidi"/>
          <w:sz w:val="24"/>
          <w:szCs w:val="24"/>
        </w:rPr>
        <w:footnoteReference w:id="21"/>
      </w:r>
      <w:r w:rsidR="00E05503" w:rsidRPr="00E05503">
        <w:rPr>
          <w:rFonts w:asciiTheme="majorBidi" w:hAnsiTheme="majorBidi" w:cstheme="majorBidi"/>
          <w:sz w:val="24"/>
          <w:szCs w:val="24"/>
        </w:rPr>
        <w:t>.</w:t>
      </w:r>
    </w:p>
    <w:p w14:paraId="22DA4BC4" w14:textId="2C13315C" w:rsidR="00E05503" w:rsidRDefault="00E05503" w:rsidP="00CB6872">
      <w:pPr>
        <w:jc w:val="both"/>
        <w:rPr>
          <w:rFonts w:asciiTheme="majorBidi" w:hAnsiTheme="majorBidi" w:cstheme="majorBidi"/>
          <w:sz w:val="24"/>
          <w:szCs w:val="24"/>
        </w:rPr>
      </w:pPr>
      <w:r w:rsidRPr="00E05503">
        <w:rPr>
          <w:rFonts w:asciiTheme="majorBidi" w:hAnsiTheme="majorBidi" w:cstheme="majorBidi"/>
          <w:sz w:val="24"/>
          <w:szCs w:val="24"/>
        </w:rPr>
        <w:t>In June 2024, a new charge was added to a Baha’i prisoner called “LF.” The additional charge is related to spreading false news, and the latter faces a nine-year prison sentence on charges of incitement to demonstrate, speaking to foreign media about the situation of Baha’is inside Iran, and propaganda against the Islamic Republic. Background of his participation in the demonstrations following the killing of Mahsa Amini in September 2022</w:t>
      </w:r>
      <w:r w:rsidR="003B6C69">
        <w:rPr>
          <w:rStyle w:val="FootnoteReference"/>
          <w:rFonts w:asciiTheme="majorBidi" w:hAnsiTheme="majorBidi" w:cstheme="majorBidi"/>
          <w:sz w:val="24"/>
          <w:szCs w:val="24"/>
        </w:rPr>
        <w:footnoteReference w:id="22"/>
      </w:r>
      <w:r w:rsidRPr="00E05503">
        <w:rPr>
          <w:rFonts w:asciiTheme="majorBidi" w:hAnsiTheme="majorBidi" w:cstheme="majorBidi"/>
          <w:sz w:val="24"/>
          <w:szCs w:val="24"/>
        </w:rPr>
        <w:t xml:space="preserve">. In April 2024, 15 women from the Baha’i community from the city of Isfahan were summoned to appear in court on </w:t>
      </w:r>
      <w:r w:rsidRPr="00E05503">
        <w:rPr>
          <w:rFonts w:asciiTheme="majorBidi" w:hAnsiTheme="majorBidi" w:cstheme="majorBidi"/>
          <w:sz w:val="24"/>
          <w:szCs w:val="24"/>
        </w:rPr>
        <w:lastRenderedPageBreak/>
        <w:t>charges of propaganda against the Islamic Republic and participating in educational activities contrary to Islamic law</w:t>
      </w:r>
      <w:r w:rsidR="003B6C69">
        <w:rPr>
          <w:rStyle w:val="FootnoteReference"/>
          <w:rFonts w:asciiTheme="majorBidi" w:hAnsiTheme="majorBidi" w:cstheme="majorBidi"/>
          <w:sz w:val="24"/>
          <w:szCs w:val="24"/>
        </w:rPr>
        <w:footnoteReference w:id="23"/>
      </w:r>
      <w:r w:rsidRPr="00E05503">
        <w:rPr>
          <w:rFonts w:asciiTheme="majorBidi" w:hAnsiTheme="majorBidi" w:cstheme="majorBidi"/>
          <w:sz w:val="24"/>
          <w:szCs w:val="24"/>
        </w:rPr>
        <w:t>. In March 2024, Iranian security forces arrested five ethnic Azerbaijani activists and placed them in a detention center without announcing the charges against them or following legal procedures for investigation and trial</w:t>
      </w:r>
      <w:r w:rsidR="003B6C69">
        <w:rPr>
          <w:rStyle w:val="FootnoteReference"/>
          <w:rFonts w:asciiTheme="majorBidi" w:hAnsiTheme="majorBidi" w:cstheme="majorBidi"/>
          <w:sz w:val="24"/>
          <w:szCs w:val="24"/>
        </w:rPr>
        <w:footnoteReference w:id="24"/>
      </w:r>
      <w:r w:rsidRPr="00E05503">
        <w:rPr>
          <w:rFonts w:asciiTheme="majorBidi" w:hAnsiTheme="majorBidi" w:cstheme="majorBidi"/>
          <w:sz w:val="24"/>
          <w:szCs w:val="24"/>
        </w:rPr>
        <w:t>. Estimates reviewed by Maat confirm that some judges in Iran have clearly announced their intention to eliminate the Baha’i faith through court rulings, including the judge of the Revolutionary Court in Karaj Governorate, Asif al-Husseini, and Public Prosecutor Narimani, without taking any disciplinary measures against them or removing them from their positions</w:t>
      </w:r>
      <w:r w:rsidR="003B6C69">
        <w:rPr>
          <w:rStyle w:val="FootnoteReference"/>
          <w:rFonts w:asciiTheme="majorBidi" w:hAnsiTheme="majorBidi" w:cstheme="majorBidi"/>
          <w:sz w:val="24"/>
          <w:szCs w:val="24"/>
        </w:rPr>
        <w:footnoteReference w:id="25"/>
      </w:r>
      <w:r w:rsidRPr="00E05503">
        <w:rPr>
          <w:rFonts w:asciiTheme="majorBidi" w:hAnsiTheme="majorBidi" w:cstheme="majorBidi"/>
          <w:sz w:val="24"/>
          <w:szCs w:val="24"/>
        </w:rPr>
        <w:t>. In general,</w:t>
      </w:r>
      <w:r w:rsidR="00FA4811">
        <w:rPr>
          <w:rFonts w:asciiTheme="majorBidi" w:hAnsiTheme="majorBidi" w:cstheme="majorBidi"/>
          <w:sz w:val="24"/>
          <w:szCs w:val="24"/>
        </w:rPr>
        <w:t xml:space="preserve"> </w:t>
      </w:r>
      <w:r w:rsidRPr="00E05503">
        <w:rPr>
          <w:rFonts w:asciiTheme="majorBidi" w:hAnsiTheme="majorBidi" w:cstheme="majorBidi"/>
          <w:sz w:val="24"/>
          <w:szCs w:val="24"/>
        </w:rPr>
        <w:t>Maat notes, based on credible reports, that minorities in Iran are denied access to justice. There is also no information available regarding the compensation provisions obtained by members of minorities for the discriminatory practices to which they were subjected.</w:t>
      </w:r>
    </w:p>
    <w:p w14:paraId="64BC70D2" w14:textId="77777777" w:rsidR="00FA4811" w:rsidRPr="00FA4811" w:rsidRDefault="00FA4811" w:rsidP="00CB6872">
      <w:pPr>
        <w:jc w:val="both"/>
        <w:rPr>
          <w:rFonts w:asciiTheme="majorBidi" w:hAnsiTheme="majorBidi" w:cstheme="majorBidi"/>
          <w:b/>
          <w:bCs/>
          <w:color w:val="FF0000"/>
          <w:sz w:val="28"/>
          <w:szCs w:val="28"/>
        </w:rPr>
      </w:pPr>
      <w:r w:rsidRPr="00FA4811">
        <w:rPr>
          <w:rFonts w:asciiTheme="majorBidi" w:hAnsiTheme="majorBidi" w:cstheme="majorBidi"/>
          <w:b/>
          <w:bCs/>
          <w:color w:val="FF0000"/>
          <w:sz w:val="28"/>
          <w:szCs w:val="28"/>
        </w:rPr>
        <w:t>Eliminate discrimination in the fields of education, culture and media (Article 7)</w:t>
      </w:r>
    </w:p>
    <w:p w14:paraId="1C0ED690" w14:textId="0ADF87CF" w:rsidR="00FA4811" w:rsidRDefault="00FA4811" w:rsidP="00CB6872">
      <w:pPr>
        <w:jc w:val="both"/>
        <w:rPr>
          <w:rFonts w:asciiTheme="majorBidi" w:hAnsiTheme="majorBidi" w:cstheme="majorBidi"/>
          <w:sz w:val="24"/>
          <w:szCs w:val="24"/>
        </w:rPr>
      </w:pPr>
      <w:r w:rsidRPr="00FA4811">
        <w:rPr>
          <w:rFonts w:asciiTheme="majorBidi" w:hAnsiTheme="majorBidi" w:cstheme="majorBidi"/>
          <w:sz w:val="24"/>
          <w:szCs w:val="24"/>
        </w:rPr>
        <w:t>Maat notes the measures taken by Iran to implement Article Seven of the Convention, especially the training of administrative staff and members of the judiciary, in addition to the judiciary adopting specialized programs for education in the field of human rights, including combating discrimination, and despite the Iranian Ministry of Interior held the National Festival of Afghan Studies in cooperation with the Office of the United Nations High Commissioner for Refugees for Afghan youth and children who were born and raised in the Islamic Republic of Iran to raise awareness of Afghan culture, history and customs for Afghan youth and adolescents.</w:t>
      </w:r>
      <w:r>
        <w:rPr>
          <w:rFonts w:asciiTheme="majorBidi" w:hAnsiTheme="majorBidi" w:cstheme="majorBidi"/>
          <w:sz w:val="24"/>
          <w:szCs w:val="24"/>
        </w:rPr>
        <w:t xml:space="preserve"> </w:t>
      </w:r>
      <w:r w:rsidRPr="00FA4811">
        <w:rPr>
          <w:rFonts w:asciiTheme="majorBidi" w:hAnsiTheme="majorBidi" w:cstheme="majorBidi"/>
          <w:sz w:val="24"/>
          <w:szCs w:val="24"/>
        </w:rPr>
        <w:t>However, Maat notes that the periodic report submitted by Iran was limited to clarifying general measures such as promoting a culture of citizenship and legal awareness, and there were no direct measures related to combating discrimination. Maat also did not notice tolerance on the part of media organizations for issues that discuss the rights of minorities living in Iran. For example, in September 2021, when a series called “The Neighbor” was shown, the producers of the series were subjected to various criticisms due to the details the series contains, which show the plight of Afghan immigrants and humanize their stories</w:t>
      </w:r>
      <w:r w:rsidR="00CB6872">
        <w:rPr>
          <w:rStyle w:val="FootnoteReference"/>
          <w:rFonts w:asciiTheme="majorBidi" w:hAnsiTheme="majorBidi" w:cstheme="majorBidi"/>
          <w:sz w:val="24"/>
          <w:szCs w:val="24"/>
        </w:rPr>
        <w:footnoteReference w:id="26"/>
      </w:r>
      <w:r w:rsidRPr="00FA4811">
        <w:rPr>
          <w:rFonts w:asciiTheme="majorBidi" w:hAnsiTheme="majorBidi" w:cstheme="majorBidi"/>
          <w:sz w:val="24"/>
          <w:szCs w:val="24"/>
        </w:rPr>
        <w:t xml:space="preserve">. On the other hand, the cultural rights of minorities in Iran are subject to systematic violations under the patronage of the authorities. Perhaps the most notable of these violations is the erasure and destruction of cultural and </w:t>
      </w:r>
      <w:r w:rsidRPr="00FA4811">
        <w:rPr>
          <w:rFonts w:asciiTheme="majorBidi" w:hAnsiTheme="majorBidi" w:cstheme="majorBidi"/>
          <w:sz w:val="24"/>
          <w:szCs w:val="24"/>
        </w:rPr>
        <w:lastRenderedPageBreak/>
        <w:t>archaeological sites of the Azerbaijani minority in northern Iran, whose percentage is high compared to other minorities. Reports indicate that these measures aim to obliterate the identity of this minority. The government also did not respect the right of minorities to promote their cultural events and placed restrictions. It is not justified while they celebrate their cultural events in public places, and the official media discourse adopts racist language towards the Azerbaijanis, their culture and rituals. The Iranian government also does not recognize the Azerbaijani language in official documents and institutions, especially schools and economic activities, ignoring Iranian laws that grant ethnic minorities the right to speak</w:t>
      </w:r>
      <w:r>
        <w:rPr>
          <w:rFonts w:asciiTheme="majorBidi" w:hAnsiTheme="majorBidi" w:cstheme="majorBidi"/>
          <w:sz w:val="24"/>
          <w:szCs w:val="24"/>
        </w:rPr>
        <w:t xml:space="preserve"> </w:t>
      </w:r>
      <w:r w:rsidRPr="00FA4811">
        <w:rPr>
          <w:rFonts w:asciiTheme="majorBidi" w:hAnsiTheme="majorBidi" w:cstheme="majorBidi"/>
          <w:sz w:val="24"/>
          <w:szCs w:val="24"/>
        </w:rPr>
        <w:t>their own language</w:t>
      </w:r>
      <w:r w:rsidR="00CB6872">
        <w:rPr>
          <w:rStyle w:val="FootnoteReference"/>
          <w:rFonts w:asciiTheme="majorBidi" w:hAnsiTheme="majorBidi" w:cstheme="majorBidi"/>
          <w:sz w:val="24"/>
          <w:szCs w:val="24"/>
        </w:rPr>
        <w:footnoteReference w:id="27"/>
      </w:r>
      <w:r w:rsidRPr="00FA4811">
        <w:rPr>
          <w:rFonts w:asciiTheme="majorBidi" w:hAnsiTheme="majorBidi" w:cstheme="majorBidi"/>
          <w:sz w:val="24"/>
          <w:szCs w:val="24"/>
        </w:rPr>
        <w:t>.</w:t>
      </w:r>
    </w:p>
    <w:p w14:paraId="437D5632" w14:textId="3436377F" w:rsidR="00FA4811" w:rsidRPr="00FA4811" w:rsidRDefault="00FA4811" w:rsidP="00CB6872">
      <w:pPr>
        <w:jc w:val="both"/>
        <w:rPr>
          <w:rFonts w:asciiTheme="majorBidi" w:hAnsiTheme="majorBidi" w:cstheme="majorBidi"/>
          <w:b/>
          <w:bCs/>
          <w:color w:val="FF0000"/>
          <w:sz w:val="28"/>
          <w:szCs w:val="28"/>
        </w:rPr>
      </w:pPr>
      <w:r w:rsidRPr="00FA4811">
        <w:rPr>
          <w:rFonts w:asciiTheme="majorBidi" w:hAnsiTheme="majorBidi" w:cstheme="majorBidi"/>
          <w:b/>
          <w:bCs/>
          <w:color w:val="FF0000"/>
          <w:sz w:val="28"/>
          <w:szCs w:val="28"/>
        </w:rPr>
        <w:t>Recommendations</w:t>
      </w:r>
    </w:p>
    <w:p w14:paraId="3A609E05" w14:textId="1CC1D29B"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Consider making a legislative amendment in order to establish a specific definition of racial discrimination consistent with Article 1 of the Convention</w:t>
      </w:r>
      <w:r>
        <w:rPr>
          <w:rFonts w:asciiTheme="majorBidi" w:hAnsiTheme="majorBidi" w:cstheme="majorBidi"/>
          <w:sz w:val="24"/>
          <w:szCs w:val="24"/>
        </w:rPr>
        <w:t>.</w:t>
      </w:r>
    </w:p>
    <w:p w14:paraId="279B0833" w14:textId="2B175DBD"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Urging the Iranian government to clarify the recent measures taken to adopt the national strategy to combat racial discrimination and other forms of intolerance</w:t>
      </w:r>
      <w:r>
        <w:rPr>
          <w:rFonts w:asciiTheme="majorBidi" w:hAnsiTheme="majorBidi" w:cstheme="majorBidi"/>
          <w:sz w:val="24"/>
          <w:szCs w:val="24"/>
        </w:rPr>
        <w:t>.</w:t>
      </w:r>
    </w:p>
    <w:p w14:paraId="019652F7" w14:textId="0AACE30F"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Encouraging the Iranian government to establish a mechanism for dialogue between the Iranian government and representatives of ethnic minorities in Iran to enhance societal understanding and reach a common vision for safe coexistence for all.</w:t>
      </w:r>
    </w:p>
    <w:p w14:paraId="7EF97750" w14:textId="01CD705D"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Allowing the visit of the Special Rapporteur on minority rights and entry to areas where the Baloch, Arab, Kurds and Azerbaijani minorities are present</w:t>
      </w:r>
      <w:r>
        <w:rPr>
          <w:rFonts w:asciiTheme="majorBidi" w:hAnsiTheme="majorBidi" w:cstheme="majorBidi"/>
          <w:sz w:val="24"/>
          <w:szCs w:val="24"/>
        </w:rPr>
        <w:t>.</w:t>
      </w:r>
    </w:p>
    <w:p w14:paraId="26DED9EA" w14:textId="77777777" w:rsid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Consider publishing statistics on compensation and reparation awards obtained by members of minorities from national courts</w:t>
      </w:r>
      <w:r>
        <w:rPr>
          <w:rFonts w:asciiTheme="majorBidi" w:hAnsiTheme="majorBidi" w:cstheme="majorBidi"/>
          <w:sz w:val="24"/>
          <w:szCs w:val="24"/>
        </w:rPr>
        <w:t>.</w:t>
      </w:r>
    </w:p>
    <w:p w14:paraId="4F5B9275" w14:textId="4E5AAFE3"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Consider taking all adequate measures to protect and not discriminate against minorities, including equitable distribution of development plans and revenues</w:t>
      </w:r>
      <w:r>
        <w:rPr>
          <w:rFonts w:asciiTheme="majorBidi" w:hAnsiTheme="majorBidi" w:cstheme="majorBidi"/>
          <w:sz w:val="24"/>
          <w:szCs w:val="24"/>
        </w:rPr>
        <w:t>.</w:t>
      </w:r>
    </w:p>
    <w:p w14:paraId="070E7AF5" w14:textId="5361ABEF"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Abolish the practice known as “</w:t>
      </w:r>
      <w:proofErr w:type="spellStart"/>
      <w:r w:rsidRPr="00760D1E">
        <w:rPr>
          <w:rFonts w:asciiTheme="majorBidi" w:hAnsiTheme="majorBidi" w:cstheme="majorBidi"/>
          <w:sz w:val="24"/>
          <w:szCs w:val="24"/>
        </w:rPr>
        <w:t>Gozinish</w:t>
      </w:r>
      <w:proofErr w:type="spellEnd"/>
      <w:r w:rsidRPr="00FA4811">
        <w:rPr>
          <w:rFonts w:asciiTheme="majorBidi" w:hAnsiTheme="majorBidi" w:cstheme="majorBidi"/>
          <w:sz w:val="24"/>
          <w:szCs w:val="24"/>
        </w:rPr>
        <w:t>,” which sets criteria for acceptance into jobs based on considerations of loyalty to a specific sect</w:t>
      </w:r>
      <w:r>
        <w:rPr>
          <w:rFonts w:asciiTheme="majorBidi" w:hAnsiTheme="majorBidi" w:cstheme="majorBidi"/>
          <w:sz w:val="24"/>
          <w:szCs w:val="24"/>
        </w:rPr>
        <w:t>.</w:t>
      </w:r>
    </w:p>
    <w:p w14:paraId="518FC46C" w14:textId="05378324"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Providing equal opportunities for minorities to ensure their effective participation in political and economic life and holding public positions in the state.</w:t>
      </w:r>
    </w:p>
    <w:p w14:paraId="136F3EA6" w14:textId="7C503442" w:rsidR="00FA4811" w:rsidRPr="00FA4811" w:rsidRDefault="00FA4811" w:rsidP="00CB6872">
      <w:pPr>
        <w:pStyle w:val="ListParagraph"/>
        <w:numPr>
          <w:ilvl w:val="0"/>
          <w:numId w:val="36"/>
        </w:numPr>
        <w:jc w:val="both"/>
        <w:rPr>
          <w:rFonts w:asciiTheme="majorBidi" w:hAnsiTheme="majorBidi" w:cstheme="majorBidi"/>
          <w:sz w:val="24"/>
          <w:szCs w:val="24"/>
        </w:rPr>
      </w:pPr>
      <w:r w:rsidRPr="00FA4811">
        <w:rPr>
          <w:rFonts w:asciiTheme="majorBidi" w:hAnsiTheme="majorBidi" w:cstheme="majorBidi"/>
          <w:sz w:val="24"/>
          <w:szCs w:val="24"/>
        </w:rPr>
        <w:t>Developing areas inhabited by ethnic minorities, raising their efficiency in terms of infrastructure and services, and addressing the cumulative impact of discrimination over the past decades.</w:t>
      </w:r>
    </w:p>
    <w:p w14:paraId="66D40CF7" w14:textId="6A2703A5" w:rsidR="00FA4811" w:rsidRPr="00FA4811" w:rsidRDefault="00FA4811" w:rsidP="00CB6872">
      <w:pPr>
        <w:pStyle w:val="ListParagraph"/>
        <w:numPr>
          <w:ilvl w:val="0"/>
          <w:numId w:val="36"/>
        </w:numPr>
        <w:jc w:val="both"/>
        <w:rPr>
          <w:rFonts w:asciiTheme="majorBidi" w:hAnsiTheme="majorBidi" w:cstheme="majorBidi"/>
          <w:sz w:val="24"/>
          <w:szCs w:val="24"/>
          <w:rtl/>
        </w:rPr>
      </w:pPr>
      <w:r w:rsidRPr="00FA4811">
        <w:rPr>
          <w:rFonts w:asciiTheme="majorBidi" w:hAnsiTheme="majorBidi" w:cstheme="majorBidi"/>
          <w:sz w:val="24"/>
          <w:szCs w:val="24"/>
        </w:rPr>
        <w:t>Stop building dams in areas inhabited by minorities in order to enhance the right of residents in these areas to enjoy water resources</w:t>
      </w:r>
      <w:r>
        <w:rPr>
          <w:rFonts w:asciiTheme="majorBidi" w:hAnsiTheme="majorBidi" w:cstheme="majorBidi"/>
          <w:sz w:val="24"/>
          <w:szCs w:val="24"/>
        </w:rPr>
        <w:t>.</w:t>
      </w:r>
    </w:p>
    <w:sectPr w:rsidR="00FA4811" w:rsidRPr="00FA4811"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EDF06A" w14:textId="77777777" w:rsidR="006C36CB" w:rsidRDefault="006C36CB" w:rsidP="004F6D5A">
      <w:pPr>
        <w:spacing w:after="0" w:line="240" w:lineRule="auto"/>
      </w:pPr>
      <w:r>
        <w:separator/>
      </w:r>
    </w:p>
  </w:endnote>
  <w:endnote w:type="continuationSeparator" w:id="0">
    <w:p w14:paraId="6A79A3BE" w14:textId="77777777" w:rsidR="006C36CB" w:rsidRDefault="006C36CB"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6912E" w14:textId="77777777" w:rsidR="006C36CB" w:rsidRDefault="006C36CB" w:rsidP="004F6D5A">
      <w:pPr>
        <w:spacing w:after="0" w:line="240" w:lineRule="auto"/>
      </w:pPr>
      <w:r>
        <w:separator/>
      </w:r>
    </w:p>
  </w:footnote>
  <w:footnote w:type="continuationSeparator" w:id="0">
    <w:p w14:paraId="4AD505BD" w14:textId="77777777" w:rsidR="006C36CB" w:rsidRDefault="006C36CB" w:rsidP="004F6D5A">
      <w:pPr>
        <w:spacing w:after="0" w:line="240" w:lineRule="auto"/>
      </w:pPr>
      <w:r>
        <w:continuationSeparator/>
      </w:r>
    </w:p>
  </w:footnote>
  <w:footnote w:id="1">
    <w:p w14:paraId="0D0ABB70" w14:textId="5CB5FD8D" w:rsidR="00FA4811" w:rsidRDefault="00FA4811">
      <w:pPr>
        <w:pStyle w:val="FootnoteText"/>
      </w:pPr>
      <w:r>
        <w:rPr>
          <w:rStyle w:val="FootnoteReference"/>
        </w:rPr>
        <w:footnoteRef/>
      </w:r>
      <w:r>
        <w:t xml:space="preserve"> </w:t>
      </w:r>
      <w:r w:rsidRPr="00FA4811">
        <w:t xml:space="preserve">Combined twentieth to twenty-seventh reports submitted by the Islamic Republic of Iran under article 9 of the Convention, due in 2014, </w:t>
      </w:r>
      <w:hyperlink r:id="rId1" w:history="1">
        <w:r w:rsidRPr="003E34E0">
          <w:rPr>
            <w:rStyle w:val="Hyperlink"/>
          </w:rPr>
          <w:t>https://tinyurl.com/2wxsaru7</w:t>
        </w:r>
      </w:hyperlink>
      <w:r>
        <w:t xml:space="preserve"> </w:t>
      </w:r>
    </w:p>
  </w:footnote>
  <w:footnote w:id="2">
    <w:p w14:paraId="2616EFEF" w14:textId="14627A73" w:rsidR="00FA4811" w:rsidRDefault="00FA4811">
      <w:pPr>
        <w:pStyle w:val="FootnoteText"/>
      </w:pPr>
      <w:r>
        <w:rPr>
          <w:rStyle w:val="FootnoteReference"/>
        </w:rPr>
        <w:footnoteRef/>
      </w:r>
      <w:r>
        <w:t xml:space="preserve"> </w:t>
      </w:r>
      <w:r w:rsidRPr="00FA4811">
        <w:t xml:space="preserve">Concluding observations of the Committee on the Elimination of Racial Discrimination Islamic Republic of Iran, </w:t>
      </w:r>
      <w:hyperlink r:id="rId2" w:history="1">
        <w:r w:rsidRPr="003E34E0">
          <w:rPr>
            <w:rStyle w:val="Hyperlink"/>
          </w:rPr>
          <w:t>https://tinyurl.com/2hdz234z</w:t>
        </w:r>
      </w:hyperlink>
      <w:r>
        <w:t xml:space="preserve"> </w:t>
      </w:r>
    </w:p>
  </w:footnote>
  <w:footnote w:id="3">
    <w:p w14:paraId="68586C17" w14:textId="5F2F3921" w:rsidR="003B6C69" w:rsidRDefault="003B6C69">
      <w:pPr>
        <w:pStyle w:val="FootnoteText"/>
      </w:pPr>
      <w:r>
        <w:rPr>
          <w:rStyle w:val="FootnoteReference"/>
        </w:rPr>
        <w:footnoteRef/>
      </w:r>
      <w:r>
        <w:t xml:space="preserve"> </w:t>
      </w:r>
      <w:r w:rsidRPr="003B6C69">
        <w:t xml:space="preserve">Constitution of Iran 1979 (amended 1989), constitutes draft, </w:t>
      </w:r>
      <w:hyperlink r:id="rId3" w:history="1">
        <w:r w:rsidRPr="003E34E0">
          <w:rPr>
            <w:rStyle w:val="Hyperlink"/>
          </w:rPr>
          <w:t>https://2h.ae/XitJ</w:t>
        </w:r>
      </w:hyperlink>
      <w:r>
        <w:t xml:space="preserve"> </w:t>
      </w:r>
    </w:p>
  </w:footnote>
  <w:footnote w:id="4">
    <w:p w14:paraId="7F77225C" w14:textId="0B63BB2C" w:rsidR="003B6C69" w:rsidRDefault="003B6C69">
      <w:pPr>
        <w:pStyle w:val="FootnoteText"/>
      </w:pPr>
      <w:r>
        <w:rPr>
          <w:rStyle w:val="FootnoteReference"/>
        </w:rPr>
        <w:footnoteRef/>
      </w:r>
      <w:r>
        <w:t xml:space="preserve"> </w:t>
      </w:r>
      <w:r w:rsidRPr="003B6C69">
        <w:t xml:space="preserve">Minorities in the Islamic Republic of Iran, </w:t>
      </w:r>
      <w:hyperlink r:id="rId4" w:history="1">
        <w:r w:rsidRPr="003E34E0">
          <w:rPr>
            <w:rStyle w:val="Hyperlink"/>
          </w:rPr>
          <w:t>https://poland.mfa.gov.ir/en/generalcategoryservices/11562/minorities-in-the-islamic-republic-of-iran</w:t>
        </w:r>
      </w:hyperlink>
      <w:r>
        <w:t xml:space="preserve"> </w:t>
      </w:r>
    </w:p>
  </w:footnote>
  <w:footnote w:id="5">
    <w:p w14:paraId="35955F8D" w14:textId="22A5E8E4" w:rsidR="003B6C69" w:rsidRDefault="003B6C69">
      <w:pPr>
        <w:pStyle w:val="FootnoteText"/>
      </w:pPr>
      <w:r>
        <w:rPr>
          <w:rStyle w:val="FootnoteReference"/>
        </w:rPr>
        <w:footnoteRef/>
      </w:r>
      <w:r>
        <w:t xml:space="preserve"> </w:t>
      </w:r>
      <w:r w:rsidRPr="003B6C69">
        <w:t xml:space="preserve">Activists: The rights of religious minorities in Iran are being severely violated, Al-Arabiya, </w:t>
      </w:r>
      <w:hyperlink r:id="rId5" w:history="1">
        <w:r w:rsidRPr="003E34E0">
          <w:rPr>
            <w:rStyle w:val="Hyperlink"/>
          </w:rPr>
          <w:t>https://2h.ae/JNuq</w:t>
        </w:r>
      </w:hyperlink>
      <w:r>
        <w:t xml:space="preserve"> </w:t>
      </w:r>
    </w:p>
  </w:footnote>
  <w:footnote w:id="6">
    <w:p w14:paraId="59087F55" w14:textId="1462A0F5" w:rsidR="003B6C69" w:rsidRDefault="003B6C69">
      <w:pPr>
        <w:pStyle w:val="FootnoteText"/>
      </w:pPr>
      <w:r>
        <w:rPr>
          <w:rStyle w:val="FootnoteReference"/>
        </w:rPr>
        <w:footnoteRef/>
      </w:r>
      <w:r>
        <w:t xml:space="preserve"> </w:t>
      </w:r>
      <w:r w:rsidRPr="003B6C69">
        <w:t xml:space="preserve">Ibid, , </w:t>
      </w:r>
      <w:hyperlink r:id="rId6" w:history="1">
        <w:r w:rsidRPr="003E34E0">
          <w:rPr>
            <w:rStyle w:val="Hyperlink"/>
          </w:rPr>
          <w:t>https://www.crisisgroup.org/middle-east-north-africa/gulf-and-arabian-peninsula/iran/241-irans-khuzestan-thirst-and-turmoil</w:t>
        </w:r>
      </w:hyperlink>
      <w:r>
        <w:t xml:space="preserve"> </w:t>
      </w:r>
    </w:p>
  </w:footnote>
  <w:footnote w:id="7">
    <w:p w14:paraId="1AEFD251" w14:textId="72C236F6" w:rsidR="003B6C69" w:rsidRDefault="003B6C69">
      <w:pPr>
        <w:pStyle w:val="FootnoteText"/>
      </w:pPr>
      <w:r>
        <w:rPr>
          <w:rStyle w:val="FootnoteReference"/>
        </w:rPr>
        <w:footnoteRef/>
      </w:r>
      <w:r>
        <w:t xml:space="preserve"> </w:t>
      </w:r>
      <w:r w:rsidRPr="003B6C69">
        <w:t xml:space="preserve">Gas Supply to </w:t>
      </w:r>
      <w:proofErr w:type="spellStart"/>
      <w:r w:rsidRPr="003B6C69">
        <w:t>Sistan-Baluchestan</w:t>
      </w:r>
      <w:proofErr w:type="spellEnd"/>
      <w:r w:rsidRPr="003B6C69">
        <w:t xml:space="preserve"> Province Continues Unabated, Financial tribune, </w:t>
      </w:r>
      <w:hyperlink r:id="rId7" w:history="1">
        <w:r w:rsidRPr="003E34E0">
          <w:rPr>
            <w:rStyle w:val="Hyperlink"/>
          </w:rPr>
          <w:t>https://tinyurl.com/2wucw83e</w:t>
        </w:r>
      </w:hyperlink>
      <w:r>
        <w:t xml:space="preserve"> </w:t>
      </w:r>
    </w:p>
  </w:footnote>
  <w:footnote w:id="8">
    <w:p w14:paraId="776A5E9A" w14:textId="40AB1D0A" w:rsidR="003B6C69" w:rsidRDefault="003B6C69">
      <w:pPr>
        <w:pStyle w:val="FootnoteText"/>
      </w:pPr>
      <w:r>
        <w:rPr>
          <w:rStyle w:val="FootnoteReference"/>
        </w:rPr>
        <w:footnoteRef/>
      </w:r>
      <w:r>
        <w:t xml:space="preserve"> </w:t>
      </w:r>
      <w:r w:rsidRPr="003B6C69">
        <w:t xml:space="preserve">Rights Denied: Violations against ethnic and religious minorities in Iran, Minority Rights Group International, </w:t>
      </w:r>
      <w:hyperlink r:id="rId8" w:history="1">
        <w:r w:rsidRPr="003E34E0">
          <w:rPr>
            <w:rStyle w:val="Hyperlink"/>
          </w:rPr>
          <w:t>https://tinyurl.com/affzc673</w:t>
        </w:r>
      </w:hyperlink>
      <w:r>
        <w:t xml:space="preserve"> </w:t>
      </w:r>
    </w:p>
  </w:footnote>
  <w:footnote w:id="9">
    <w:p w14:paraId="412C32E8" w14:textId="207C38CA" w:rsidR="003B6C69" w:rsidRDefault="003B6C69">
      <w:pPr>
        <w:pStyle w:val="FootnoteText"/>
      </w:pPr>
      <w:r>
        <w:rPr>
          <w:rStyle w:val="FootnoteReference"/>
        </w:rPr>
        <w:footnoteRef/>
      </w:r>
      <w:r>
        <w:t xml:space="preserve"> </w:t>
      </w:r>
      <w:r w:rsidRPr="003B6C69">
        <w:t xml:space="preserve">Universal health coverage index in the poorest region of Iran, </w:t>
      </w:r>
      <w:proofErr w:type="spellStart"/>
      <w:r w:rsidRPr="003B6C69">
        <w:t>Sistan</w:t>
      </w:r>
      <w:proofErr w:type="spellEnd"/>
      <w:r w:rsidRPr="003B6C69">
        <w:t xml:space="preserve"> and </w:t>
      </w:r>
      <w:proofErr w:type="spellStart"/>
      <w:r w:rsidRPr="003B6C69">
        <w:t>Baluchestan</w:t>
      </w:r>
      <w:proofErr w:type="spellEnd"/>
      <w:r w:rsidRPr="003B6C69">
        <w:t xml:space="preserve">: 2012-2018., Journal of Public Health Policy and Planning, </w:t>
      </w:r>
      <w:hyperlink r:id="rId9" w:history="1">
        <w:r w:rsidRPr="003E34E0">
          <w:rPr>
            <w:rStyle w:val="Hyperlink"/>
          </w:rPr>
          <w:t>https://tinyurl.com/46mdzvaa</w:t>
        </w:r>
      </w:hyperlink>
      <w:r>
        <w:t xml:space="preserve"> </w:t>
      </w:r>
    </w:p>
  </w:footnote>
  <w:footnote w:id="10">
    <w:p w14:paraId="22A1D2D5" w14:textId="6146438A" w:rsidR="003B6C69" w:rsidRDefault="003B6C69">
      <w:pPr>
        <w:pStyle w:val="FootnoteText"/>
      </w:pPr>
      <w:r>
        <w:rPr>
          <w:rStyle w:val="FootnoteReference"/>
        </w:rPr>
        <w:footnoteRef/>
      </w:r>
      <w:r>
        <w:t xml:space="preserve"> </w:t>
      </w:r>
      <w:r w:rsidRPr="003B6C69">
        <w:t>On the International Human Rights Day, Maat Warns of the Dangers of Inequality on Human Rights, Maat</w:t>
      </w:r>
      <w:r>
        <w:t xml:space="preserve"> for Peace</w:t>
      </w:r>
      <w:r w:rsidRPr="003B6C69">
        <w:t xml:space="preserve">, </w:t>
      </w:r>
      <w:hyperlink r:id="rId10" w:history="1">
        <w:r w:rsidRPr="003E34E0">
          <w:rPr>
            <w:rStyle w:val="Hyperlink"/>
          </w:rPr>
          <w:t>https://tinyurl.com/2wubx9r6</w:t>
        </w:r>
      </w:hyperlink>
      <w:r>
        <w:t xml:space="preserve"> </w:t>
      </w:r>
    </w:p>
  </w:footnote>
  <w:footnote w:id="11">
    <w:p w14:paraId="0F5E9817" w14:textId="577B5304" w:rsidR="003B6C69" w:rsidRDefault="003B6C69">
      <w:pPr>
        <w:pStyle w:val="FootnoteText"/>
      </w:pPr>
      <w:r>
        <w:rPr>
          <w:rStyle w:val="FootnoteReference"/>
        </w:rPr>
        <w:footnoteRef/>
      </w:r>
      <w:r>
        <w:t xml:space="preserve"> </w:t>
      </w:r>
      <w:r w:rsidRPr="003B6C69">
        <w:t xml:space="preserve">LEGISLATION MONITOR, Impact Iran, </w:t>
      </w:r>
      <w:hyperlink r:id="rId11" w:history="1">
        <w:r w:rsidRPr="003E34E0">
          <w:rPr>
            <w:rStyle w:val="Hyperlink"/>
          </w:rPr>
          <w:t>https://impactiran.org/2022/04/14/legislation-monitor-selection-law/</w:t>
        </w:r>
      </w:hyperlink>
      <w:r>
        <w:t xml:space="preserve"> </w:t>
      </w:r>
      <w:r w:rsidRPr="003B6C69">
        <w:t xml:space="preserve"> </w:t>
      </w:r>
      <w:r>
        <w:t xml:space="preserve"> </w:t>
      </w:r>
    </w:p>
  </w:footnote>
  <w:footnote w:id="12">
    <w:p w14:paraId="7C0B5B3F" w14:textId="25FE5996" w:rsidR="003B6C69" w:rsidRDefault="003B6C69">
      <w:pPr>
        <w:pStyle w:val="FootnoteText"/>
      </w:pPr>
      <w:r>
        <w:rPr>
          <w:rStyle w:val="FootnoteReference"/>
        </w:rPr>
        <w:footnoteRef/>
      </w:r>
      <w:r>
        <w:t xml:space="preserve"> </w:t>
      </w:r>
      <w:r w:rsidRPr="003B6C69">
        <w:t xml:space="preserve">International Covenant on Economic, Social and Cultural Right, Articles 6, 7, </w:t>
      </w:r>
      <w:hyperlink r:id="rId12" w:history="1">
        <w:r w:rsidRPr="003E34E0">
          <w:rPr>
            <w:rStyle w:val="Hyperlink"/>
          </w:rPr>
          <w:t>https://tinyurl.com/32jhwsv6</w:t>
        </w:r>
      </w:hyperlink>
      <w:r>
        <w:t xml:space="preserve"> </w:t>
      </w:r>
    </w:p>
  </w:footnote>
  <w:footnote w:id="13">
    <w:p w14:paraId="54F38F90" w14:textId="3BF1626A" w:rsidR="003B6C69" w:rsidRDefault="003B6C69">
      <w:pPr>
        <w:pStyle w:val="FootnoteText"/>
      </w:pPr>
      <w:r>
        <w:rPr>
          <w:rStyle w:val="FootnoteReference"/>
        </w:rPr>
        <w:footnoteRef/>
      </w:r>
      <w:r>
        <w:t xml:space="preserve"> </w:t>
      </w:r>
      <w:r w:rsidRPr="003B6C69">
        <w:t xml:space="preserve">Workers in Khuzestan Go to Neighboring Iraq for Jobs, Better Wages, </w:t>
      </w:r>
      <w:hyperlink r:id="rId13" w:history="1">
        <w:r w:rsidRPr="003E34E0">
          <w:rPr>
            <w:rStyle w:val="Hyperlink"/>
          </w:rPr>
          <w:t>https://tinyurl.com/na6zsank</w:t>
        </w:r>
      </w:hyperlink>
      <w:r>
        <w:t xml:space="preserve"> </w:t>
      </w:r>
    </w:p>
  </w:footnote>
  <w:footnote w:id="14">
    <w:p w14:paraId="07A73C31" w14:textId="6FA7CEBA" w:rsidR="003B6C69" w:rsidRDefault="003B6C69">
      <w:pPr>
        <w:pStyle w:val="FootnoteText"/>
      </w:pPr>
      <w:r>
        <w:rPr>
          <w:rStyle w:val="FootnoteReference"/>
        </w:rPr>
        <w:footnoteRef/>
      </w:r>
      <w:r>
        <w:t xml:space="preserve"> </w:t>
      </w:r>
      <w:r w:rsidRPr="003B6C69">
        <w:t xml:space="preserve">Azeri community in Iran – inequality and discrimination, </w:t>
      </w:r>
      <w:hyperlink r:id="rId14" w:history="1">
        <w:r w:rsidRPr="003E34E0">
          <w:rPr>
            <w:rStyle w:val="Hyperlink"/>
          </w:rPr>
          <w:t>https://www.europarl.europa.eu/doceo/document/E-9-2023-003110_EN.html</w:t>
        </w:r>
      </w:hyperlink>
      <w:r>
        <w:t xml:space="preserve"> </w:t>
      </w:r>
    </w:p>
  </w:footnote>
  <w:footnote w:id="15">
    <w:p w14:paraId="7D74EC16" w14:textId="1A816DA2" w:rsidR="003B6C69" w:rsidRDefault="003B6C69">
      <w:pPr>
        <w:pStyle w:val="FootnoteText"/>
      </w:pPr>
      <w:r>
        <w:rPr>
          <w:rStyle w:val="FootnoteReference"/>
        </w:rPr>
        <w:footnoteRef/>
      </w:r>
      <w:r>
        <w:t xml:space="preserve"> </w:t>
      </w:r>
      <w:r w:rsidRPr="003B6C69">
        <w:t xml:space="preserve">Iran protests 2022: Human rights and international response, Page 12, </w:t>
      </w:r>
      <w:hyperlink r:id="rId15" w:history="1">
        <w:r w:rsidRPr="003E34E0">
          <w:rPr>
            <w:rStyle w:val="Hyperlink"/>
          </w:rPr>
          <w:t>https://researchbriefings.files.parliament.uk/documents/CBP-9679/CBP-9679.pdf</w:t>
        </w:r>
      </w:hyperlink>
      <w:r>
        <w:t xml:space="preserve"> </w:t>
      </w:r>
    </w:p>
  </w:footnote>
  <w:footnote w:id="16">
    <w:p w14:paraId="0CB44F28" w14:textId="15956DB5" w:rsidR="003B6C69" w:rsidRDefault="003B6C69">
      <w:pPr>
        <w:pStyle w:val="FootnoteText"/>
      </w:pPr>
      <w:r>
        <w:rPr>
          <w:rStyle w:val="FootnoteReference"/>
        </w:rPr>
        <w:footnoteRef/>
      </w:r>
      <w:r>
        <w:t xml:space="preserve"> </w:t>
      </w:r>
      <w:r w:rsidRPr="003B6C69">
        <w:t xml:space="preserve">US State Department: Ethnic Azerbaijanis are discriminated against in Iran, </w:t>
      </w:r>
      <w:hyperlink r:id="rId16" w:history="1">
        <w:r w:rsidRPr="003E34E0">
          <w:rPr>
            <w:rStyle w:val="Hyperlink"/>
          </w:rPr>
          <w:t>https://report.az/en/region/us-state-department-ethnic-azerbaijanis-are-discriminated-against-in-iran/</w:t>
        </w:r>
      </w:hyperlink>
      <w:r>
        <w:t xml:space="preserve"> </w:t>
      </w:r>
    </w:p>
  </w:footnote>
  <w:footnote w:id="17">
    <w:p w14:paraId="34DD8FB0" w14:textId="3E4E49CF" w:rsidR="003B6C69" w:rsidRDefault="003B6C69">
      <w:pPr>
        <w:pStyle w:val="FootnoteText"/>
      </w:pPr>
      <w:r>
        <w:rPr>
          <w:rStyle w:val="FootnoteReference"/>
        </w:rPr>
        <w:footnoteRef/>
      </w:r>
      <w:r>
        <w:t xml:space="preserve"> </w:t>
      </w:r>
      <w:r w:rsidRPr="003B6C69">
        <w:t xml:space="preserve">U.S. Report: Ethnic &amp; Religious Discrimination in Iran, </w:t>
      </w:r>
      <w:hyperlink r:id="rId17" w:history="1">
        <w:r w:rsidRPr="003E34E0">
          <w:rPr>
            <w:rStyle w:val="Hyperlink"/>
          </w:rPr>
          <w:t>https://iranprimer.usip.org/blog/2024/apr/25/us-report-ethnic-religious-discrimination-iran</w:t>
        </w:r>
      </w:hyperlink>
      <w:r>
        <w:t xml:space="preserve"> </w:t>
      </w:r>
    </w:p>
  </w:footnote>
  <w:footnote w:id="18">
    <w:p w14:paraId="6A6D7870" w14:textId="11CD8ECE" w:rsidR="003B6C69" w:rsidRDefault="003B6C69">
      <w:pPr>
        <w:pStyle w:val="FootnoteText"/>
      </w:pPr>
      <w:r>
        <w:rPr>
          <w:rStyle w:val="FootnoteReference"/>
        </w:rPr>
        <w:footnoteRef/>
      </w:r>
      <w:r>
        <w:t xml:space="preserve"> </w:t>
      </w:r>
      <w:r w:rsidRPr="003B6C69">
        <w:t xml:space="preserve">Iran’s Khuzestan: Thirst and Turmoil, Crisis Group, </w:t>
      </w:r>
      <w:hyperlink r:id="rId18" w:history="1">
        <w:r w:rsidRPr="003E34E0">
          <w:rPr>
            <w:rStyle w:val="Hyperlink"/>
          </w:rPr>
          <w:t>https://www.crisisgroup.org/middle-east-north-africa/gulf-and-arabian-peninsula/iran/241-irans-khuzestan-thirst-and-turmoil</w:t>
        </w:r>
      </w:hyperlink>
      <w:r>
        <w:t xml:space="preserve"> </w:t>
      </w:r>
    </w:p>
  </w:footnote>
  <w:footnote w:id="19">
    <w:p w14:paraId="1A539C5D" w14:textId="4E7AE3EE" w:rsidR="003B6C69" w:rsidRDefault="003B6C69">
      <w:pPr>
        <w:pStyle w:val="FootnoteText"/>
      </w:pPr>
      <w:r>
        <w:rPr>
          <w:rStyle w:val="FootnoteReference"/>
        </w:rPr>
        <w:footnoteRef/>
      </w:r>
      <w:r>
        <w:t xml:space="preserve"> </w:t>
      </w:r>
      <w:r w:rsidRPr="003B6C69">
        <w:t xml:space="preserve">Concluding observations on the fourth periodic report of the Islamic Republic of Iran, November 2023, </w:t>
      </w:r>
      <w:hyperlink r:id="rId19" w:history="1">
        <w:r w:rsidRPr="003E34E0">
          <w:rPr>
            <w:rStyle w:val="Hyperlink"/>
          </w:rPr>
          <w:t>https://2h.ae/GAFF</w:t>
        </w:r>
      </w:hyperlink>
      <w:r>
        <w:t xml:space="preserve"> </w:t>
      </w:r>
    </w:p>
  </w:footnote>
  <w:footnote w:id="20">
    <w:p w14:paraId="559F95E2" w14:textId="7944A6E5" w:rsidR="003B6C69" w:rsidRDefault="003B6C69">
      <w:pPr>
        <w:pStyle w:val="FootnoteText"/>
      </w:pPr>
      <w:r>
        <w:rPr>
          <w:rStyle w:val="FootnoteReference"/>
        </w:rPr>
        <w:footnoteRef/>
      </w:r>
      <w:r>
        <w:t xml:space="preserve"> </w:t>
      </w:r>
      <w:r w:rsidRPr="003B6C69">
        <w:t xml:space="preserve">U.S. Report: Ethnic &amp; Religious Discrimination in Iran, The Iran Primer, </w:t>
      </w:r>
      <w:hyperlink r:id="rId20" w:history="1">
        <w:r w:rsidRPr="003E34E0">
          <w:rPr>
            <w:rStyle w:val="Hyperlink"/>
          </w:rPr>
          <w:t>https://2h.ae/rDzk</w:t>
        </w:r>
      </w:hyperlink>
      <w:r>
        <w:t xml:space="preserve"> </w:t>
      </w:r>
    </w:p>
  </w:footnote>
  <w:footnote w:id="21">
    <w:p w14:paraId="036823F1" w14:textId="57DB011E" w:rsidR="003B6C69" w:rsidRDefault="003B6C69">
      <w:pPr>
        <w:pStyle w:val="FootnoteText"/>
      </w:pPr>
      <w:r>
        <w:rPr>
          <w:rStyle w:val="FootnoteReference"/>
        </w:rPr>
        <w:footnoteRef/>
      </w:r>
      <w:r>
        <w:t xml:space="preserve"> </w:t>
      </w:r>
      <w:r w:rsidRPr="003B6C69">
        <w:t xml:space="preserve">Iran Hands Harsh Sentences to Two Baha'i Citizens,  IRANWIRE, </w:t>
      </w:r>
      <w:hyperlink r:id="rId21" w:history="1">
        <w:r w:rsidRPr="003E34E0">
          <w:rPr>
            <w:rStyle w:val="Hyperlink"/>
          </w:rPr>
          <w:t>https://2h.ae/lzHg</w:t>
        </w:r>
      </w:hyperlink>
      <w:r>
        <w:t xml:space="preserve"> </w:t>
      </w:r>
    </w:p>
  </w:footnote>
  <w:footnote w:id="22">
    <w:p w14:paraId="090EC17A" w14:textId="6EE56E6F" w:rsidR="003B6C69" w:rsidRDefault="003B6C69">
      <w:pPr>
        <w:pStyle w:val="FootnoteText"/>
      </w:pPr>
      <w:r>
        <w:rPr>
          <w:rStyle w:val="FootnoteReference"/>
        </w:rPr>
        <w:footnoteRef/>
      </w:r>
      <w:r>
        <w:t xml:space="preserve"> </w:t>
      </w:r>
      <w:r w:rsidRPr="003B6C69">
        <w:t xml:space="preserve">Jailed Baha'i Man Faces New Charge,  IRANWIRE, </w:t>
      </w:r>
      <w:hyperlink r:id="rId22" w:history="1">
        <w:r w:rsidRPr="003E34E0">
          <w:rPr>
            <w:rStyle w:val="Hyperlink"/>
          </w:rPr>
          <w:t>https://2h.ae/SLxZ</w:t>
        </w:r>
      </w:hyperlink>
      <w:r>
        <w:t xml:space="preserve"> </w:t>
      </w:r>
    </w:p>
  </w:footnote>
  <w:footnote w:id="23">
    <w:p w14:paraId="52845107" w14:textId="5BD8A197" w:rsidR="003B6C69" w:rsidRDefault="003B6C69">
      <w:pPr>
        <w:pStyle w:val="FootnoteText"/>
      </w:pPr>
      <w:r>
        <w:rPr>
          <w:rStyle w:val="FootnoteReference"/>
        </w:rPr>
        <w:footnoteRef/>
      </w:r>
      <w:r>
        <w:t xml:space="preserve"> </w:t>
      </w:r>
      <w:r w:rsidRPr="003B6C69">
        <w:t xml:space="preserve">Iranian Court Summons 15 Baha'i Women Over 'Propaganda', Other Charges,  IRANWIRE, </w:t>
      </w:r>
      <w:hyperlink r:id="rId23" w:history="1">
        <w:r w:rsidRPr="003E34E0">
          <w:rPr>
            <w:rStyle w:val="Hyperlink"/>
          </w:rPr>
          <w:t>https://2h.ae/EIVU</w:t>
        </w:r>
      </w:hyperlink>
      <w:r>
        <w:t xml:space="preserve"> </w:t>
      </w:r>
    </w:p>
  </w:footnote>
  <w:footnote w:id="24">
    <w:p w14:paraId="27646983" w14:textId="7C7BAD0D" w:rsidR="003B6C69" w:rsidRDefault="003B6C69">
      <w:pPr>
        <w:pStyle w:val="FootnoteText"/>
      </w:pPr>
      <w:r>
        <w:rPr>
          <w:rStyle w:val="FootnoteReference"/>
        </w:rPr>
        <w:footnoteRef/>
      </w:r>
      <w:r>
        <w:t xml:space="preserve"> </w:t>
      </w:r>
      <w:r w:rsidRPr="003B6C69">
        <w:t xml:space="preserve">Iranian Authorities Arrest 5 Azeri Activists Amid Ethnic Minority Crackdown, IRANWIRE, </w:t>
      </w:r>
      <w:hyperlink r:id="rId24" w:history="1">
        <w:r w:rsidRPr="003E34E0">
          <w:rPr>
            <w:rStyle w:val="Hyperlink"/>
          </w:rPr>
          <w:t>https://2h.ae/qfwX</w:t>
        </w:r>
      </w:hyperlink>
      <w:r>
        <w:t xml:space="preserve"> </w:t>
      </w:r>
    </w:p>
  </w:footnote>
  <w:footnote w:id="25">
    <w:p w14:paraId="77597341" w14:textId="1E9CCEE7" w:rsidR="003B6C69" w:rsidRDefault="003B6C69">
      <w:pPr>
        <w:pStyle w:val="FootnoteText"/>
      </w:pPr>
      <w:r>
        <w:rPr>
          <w:rStyle w:val="FootnoteReference"/>
        </w:rPr>
        <w:footnoteRef/>
      </w:r>
      <w:r>
        <w:t xml:space="preserve"> </w:t>
      </w:r>
      <w:r w:rsidRPr="003B6C69">
        <w:t xml:space="preserve">Jailed Baha'i Man Faces New Charge,  IRANWIRE, </w:t>
      </w:r>
      <w:hyperlink r:id="rId25" w:history="1">
        <w:r w:rsidRPr="003E34E0">
          <w:rPr>
            <w:rStyle w:val="Hyperlink"/>
          </w:rPr>
          <w:t>https://2h.ae/SLxZ</w:t>
        </w:r>
      </w:hyperlink>
      <w:r>
        <w:t xml:space="preserve"> </w:t>
      </w:r>
    </w:p>
  </w:footnote>
  <w:footnote w:id="26">
    <w:p w14:paraId="78AF61D7" w14:textId="12F53052" w:rsidR="00CB6872" w:rsidRDefault="00CB6872">
      <w:pPr>
        <w:pStyle w:val="FootnoteText"/>
      </w:pPr>
      <w:r>
        <w:rPr>
          <w:rStyle w:val="FootnoteReference"/>
        </w:rPr>
        <w:footnoteRef/>
      </w:r>
      <w:r>
        <w:t xml:space="preserve"> </w:t>
      </w:r>
      <w:r w:rsidRPr="00CB6872">
        <w:t xml:space="preserve">Afghan Asylum Seekers Face Hostility in Iran, </w:t>
      </w:r>
      <w:hyperlink r:id="rId26" w:history="1">
        <w:r w:rsidRPr="003E34E0">
          <w:rPr>
            <w:rStyle w:val="Hyperlink"/>
          </w:rPr>
          <w:t>https://foreignpolicy.com/2024/07/03/iran-afghan-refugees-election-discrimination-deportation/</w:t>
        </w:r>
      </w:hyperlink>
      <w:r>
        <w:t xml:space="preserve"> </w:t>
      </w:r>
    </w:p>
  </w:footnote>
  <w:footnote w:id="27">
    <w:p w14:paraId="3C69D2F6" w14:textId="6624D6C8" w:rsidR="00CB6872" w:rsidRDefault="00CB6872">
      <w:pPr>
        <w:pStyle w:val="FootnoteText"/>
      </w:pPr>
      <w:r>
        <w:rPr>
          <w:rStyle w:val="FootnoteReference"/>
        </w:rPr>
        <w:footnoteRef/>
      </w:r>
      <w:r>
        <w:t xml:space="preserve"> </w:t>
      </w:r>
      <w:r w:rsidRPr="00CB6872">
        <w:t xml:space="preserve">Oppression and Discrimination of Minorities in Iran: The Azerbaijanis as an example, ISRAEL INSTITUTE FOR STRATEGIC STUDIES, </w:t>
      </w:r>
      <w:hyperlink r:id="rId27" w:history="1">
        <w:r w:rsidRPr="003E34E0">
          <w:rPr>
            <w:rStyle w:val="Hyperlink"/>
          </w:rPr>
          <w:t>https://2h.ae/urJV</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FA0C56"/>
    <w:multiLevelType w:val="hybridMultilevel"/>
    <w:tmpl w:val="CB0C03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6"/>
  </w:num>
  <w:num w:numId="7" w16cid:durableId="1975796718">
    <w:abstractNumId w:val="30"/>
  </w:num>
  <w:num w:numId="8" w16cid:durableId="168910388">
    <w:abstractNumId w:val="34"/>
  </w:num>
  <w:num w:numId="9" w16cid:durableId="864364265">
    <w:abstractNumId w:val="24"/>
  </w:num>
  <w:num w:numId="10" w16cid:durableId="1110662610">
    <w:abstractNumId w:val="27"/>
  </w:num>
  <w:num w:numId="11" w16cid:durableId="48504678">
    <w:abstractNumId w:val="20"/>
  </w:num>
  <w:num w:numId="12" w16cid:durableId="1057243330">
    <w:abstractNumId w:val="33"/>
  </w:num>
  <w:num w:numId="13" w16cid:durableId="113838224">
    <w:abstractNumId w:val="18"/>
  </w:num>
  <w:num w:numId="14" w16cid:durableId="1819300015">
    <w:abstractNumId w:val="7"/>
  </w:num>
  <w:num w:numId="15" w16cid:durableId="1354769003">
    <w:abstractNumId w:val="23"/>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5"/>
  </w:num>
  <w:num w:numId="22" w16cid:durableId="1106846340">
    <w:abstractNumId w:val="11"/>
  </w:num>
  <w:num w:numId="23" w16cid:durableId="1120413215">
    <w:abstractNumId w:val="15"/>
  </w:num>
  <w:num w:numId="24" w16cid:durableId="884490536">
    <w:abstractNumId w:val="25"/>
  </w:num>
  <w:num w:numId="25" w16cid:durableId="1098991049">
    <w:abstractNumId w:val="28"/>
  </w:num>
  <w:num w:numId="26" w16cid:durableId="631596808">
    <w:abstractNumId w:val="8"/>
  </w:num>
  <w:num w:numId="27" w16cid:durableId="1306087360">
    <w:abstractNumId w:val="6"/>
  </w:num>
  <w:num w:numId="28" w16cid:durableId="909191109">
    <w:abstractNumId w:val="21"/>
  </w:num>
  <w:num w:numId="29" w16cid:durableId="556204899">
    <w:abstractNumId w:val="22"/>
  </w:num>
  <w:num w:numId="30" w16cid:durableId="1668284805">
    <w:abstractNumId w:val="14"/>
  </w:num>
  <w:num w:numId="31" w16cid:durableId="1777868951">
    <w:abstractNumId w:val="19"/>
  </w:num>
  <w:num w:numId="32" w16cid:durableId="1614898655">
    <w:abstractNumId w:val="5"/>
  </w:num>
  <w:num w:numId="33" w16cid:durableId="364449577">
    <w:abstractNumId w:val="10"/>
  </w:num>
  <w:num w:numId="34" w16cid:durableId="248081818">
    <w:abstractNumId w:val="31"/>
  </w:num>
  <w:num w:numId="35" w16cid:durableId="1742749116">
    <w:abstractNumId w:val="29"/>
  </w:num>
  <w:num w:numId="36" w16cid:durableId="132843596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97E44"/>
    <w:rsid w:val="000A0E24"/>
    <w:rsid w:val="000B5D57"/>
    <w:rsid w:val="000B6F75"/>
    <w:rsid w:val="000C7C14"/>
    <w:rsid w:val="00101544"/>
    <w:rsid w:val="00156C09"/>
    <w:rsid w:val="00196443"/>
    <w:rsid w:val="001D532C"/>
    <w:rsid w:val="001D6213"/>
    <w:rsid w:val="002257CD"/>
    <w:rsid w:val="002305C5"/>
    <w:rsid w:val="00284AAE"/>
    <w:rsid w:val="002876FE"/>
    <w:rsid w:val="002D5B01"/>
    <w:rsid w:val="003319F3"/>
    <w:rsid w:val="003439F7"/>
    <w:rsid w:val="00360DAB"/>
    <w:rsid w:val="00372B51"/>
    <w:rsid w:val="0038184B"/>
    <w:rsid w:val="003A1F96"/>
    <w:rsid w:val="003A745E"/>
    <w:rsid w:val="003B6C69"/>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785"/>
    <w:rsid w:val="00646A53"/>
    <w:rsid w:val="006807A3"/>
    <w:rsid w:val="00693967"/>
    <w:rsid w:val="006C36CB"/>
    <w:rsid w:val="00713444"/>
    <w:rsid w:val="0075015E"/>
    <w:rsid w:val="00755B2C"/>
    <w:rsid w:val="00760D1E"/>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BC7E13"/>
    <w:rsid w:val="00C0706B"/>
    <w:rsid w:val="00C34E13"/>
    <w:rsid w:val="00C47923"/>
    <w:rsid w:val="00C86D0C"/>
    <w:rsid w:val="00CB6872"/>
    <w:rsid w:val="00CC2F15"/>
    <w:rsid w:val="00CC606D"/>
    <w:rsid w:val="00CD3720"/>
    <w:rsid w:val="00CD5381"/>
    <w:rsid w:val="00D01C6A"/>
    <w:rsid w:val="00D11899"/>
    <w:rsid w:val="00D674C8"/>
    <w:rsid w:val="00DB04A9"/>
    <w:rsid w:val="00DB5AB9"/>
    <w:rsid w:val="00DC35AC"/>
    <w:rsid w:val="00DE35AB"/>
    <w:rsid w:val="00DF2A06"/>
    <w:rsid w:val="00DF3596"/>
    <w:rsid w:val="00E05503"/>
    <w:rsid w:val="00E3117B"/>
    <w:rsid w:val="00E4520A"/>
    <w:rsid w:val="00E45A93"/>
    <w:rsid w:val="00E55456"/>
    <w:rsid w:val="00E94DD0"/>
    <w:rsid w:val="00EA2C34"/>
    <w:rsid w:val="00EA4670"/>
    <w:rsid w:val="00EB7424"/>
    <w:rsid w:val="00ED3ED2"/>
    <w:rsid w:val="00ED7702"/>
    <w:rsid w:val="00EF597D"/>
    <w:rsid w:val="00F533B4"/>
    <w:rsid w:val="00F56B3D"/>
    <w:rsid w:val="00F72F2C"/>
    <w:rsid w:val="00F8429A"/>
    <w:rsid w:val="00F871C7"/>
    <w:rsid w:val="00F94355"/>
    <w:rsid w:val="00FA13E3"/>
    <w:rsid w:val="00FA4811"/>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66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affzc673" TargetMode="External"/><Relationship Id="rId13" Type="http://schemas.openxmlformats.org/officeDocument/2006/relationships/hyperlink" Target="https://tinyurl.com/na6zsank" TargetMode="External"/><Relationship Id="rId18" Type="http://schemas.openxmlformats.org/officeDocument/2006/relationships/hyperlink" Target="https://www.crisisgroup.org/middle-east-north-africa/gulf-and-arabian-peninsula/iran/241-irans-khuzestan-thirst-and-turmoil" TargetMode="External"/><Relationship Id="rId26" Type="http://schemas.openxmlformats.org/officeDocument/2006/relationships/hyperlink" Target="https://foreignpolicy.com/2024/07/03/iran-afghan-refugees-election-discrimination-deportation/" TargetMode="External"/><Relationship Id="rId3" Type="http://schemas.openxmlformats.org/officeDocument/2006/relationships/hyperlink" Target="https://2h.ae/XitJ" TargetMode="External"/><Relationship Id="rId21" Type="http://schemas.openxmlformats.org/officeDocument/2006/relationships/hyperlink" Target="https://2h.ae/lzHg" TargetMode="External"/><Relationship Id="rId7" Type="http://schemas.openxmlformats.org/officeDocument/2006/relationships/hyperlink" Target="https://tinyurl.com/2wucw83e" TargetMode="External"/><Relationship Id="rId12" Type="http://schemas.openxmlformats.org/officeDocument/2006/relationships/hyperlink" Target="https://tinyurl.com/32jhwsv6" TargetMode="External"/><Relationship Id="rId17" Type="http://schemas.openxmlformats.org/officeDocument/2006/relationships/hyperlink" Target="https://iranprimer.usip.org/blog/2024/apr/25/us-report-ethnic-religious-discrimination-iran" TargetMode="External"/><Relationship Id="rId25" Type="http://schemas.openxmlformats.org/officeDocument/2006/relationships/hyperlink" Target="https://2h.ae/SLxZ" TargetMode="External"/><Relationship Id="rId2" Type="http://schemas.openxmlformats.org/officeDocument/2006/relationships/hyperlink" Target="https://tinyurl.com/2hdz234z" TargetMode="External"/><Relationship Id="rId16" Type="http://schemas.openxmlformats.org/officeDocument/2006/relationships/hyperlink" Target="https://report.az/en/region/us-state-department-ethnic-azerbaijanis-are-discriminated-against-in-iran/" TargetMode="External"/><Relationship Id="rId20" Type="http://schemas.openxmlformats.org/officeDocument/2006/relationships/hyperlink" Target="https://2h.ae/rDzk" TargetMode="External"/><Relationship Id="rId1" Type="http://schemas.openxmlformats.org/officeDocument/2006/relationships/hyperlink" Target="https://tinyurl.com/2wxsaru7" TargetMode="External"/><Relationship Id="rId6" Type="http://schemas.openxmlformats.org/officeDocument/2006/relationships/hyperlink" Target="https://www.crisisgroup.org/middle-east-north-africa/gulf-and-arabian-peninsula/iran/241-irans-khuzestan-thirst-and-turmoil" TargetMode="External"/><Relationship Id="rId11" Type="http://schemas.openxmlformats.org/officeDocument/2006/relationships/hyperlink" Target="https://impactiran.org/2022/04/14/legislation-monitor-selection-law/" TargetMode="External"/><Relationship Id="rId24" Type="http://schemas.openxmlformats.org/officeDocument/2006/relationships/hyperlink" Target="https://2h.ae/qfwX" TargetMode="External"/><Relationship Id="rId5" Type="http://schemas.openxmlformats.org/officeDocument/2006/relationships/hyperlink" Target="https://2h.ae/JNuq" TargetMode="External"/><Relationship Id="rId15" Type="http://schemas.openxmlformats.org/officeDocument/2006/relationships/hyperlink" Target="https://researchbriefings.files.parliament.uk/documents/CBP-9679/CBP-9679.pdf" TargetMode="External"/><Relationship Id="rId23" Type="http://schemas.openxmlformats.org/officeDocument/2006/relationships/hyperlink" Target="https://2h.ae/EIVU" TargetMode="External"/><Relationship Id="rId10" Type="http://schemas.openxmlformats.org/officeDocument/2006/relationships/hyperlink" Target="https://tinyurl.com/2wubx9r6" TargetMode="External"/><Relationship Id="rId19" Type="http://schemas.openxmlformats.org/officeDocument/2006/relationships/hyperlink" Target="https://2h.ae/GAFF" TargetMode="External"/><Relationship Id="rId4" Type="http://schemas.openxmlformats.org/officeDocument/2006/relationships/hyperlink" Target="https://poland.mfa.gov.ir/en/generalcategoryservices/11562/minorities-in-the-islamic-republic-of-iran" TargetMode="External"/><Relationship Id="rId9" Type="http://schemas.openxmlformats.org/officeDocument/2006/relationships/hyperlink" Target="https://tinyurl.com/46mdzvaa" TargetMode="External"/><Relationship Id="rId14" Type="http://schemas.openxmlformats.org/officeDocument/2006/relationships/hyperlink" Target="https://www.europarl.europa.eu/doceo/document/E-9-2023-003110_EN.html" TargetMode="External"/><Relationship Id="rId22" Type="http://schemas.openxmlformats.org/officeDocument/2006/relationships/hyperlink" Target="https://2h.ae/SLxZ" TargetMode="External"/><Relationship Id="rId27" Type="http://schemas.openxmlformats.org/officeDocument/2006/relationships/hyperlink" Target="https://2h.ae/urJ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7AA14FA5-DC0B-4EF0-8FFB-D99A91DF1741}"/>
</file>

<file path=customXml/itemProps3.xml><?xml version="1.0" encoding="utf-8"?>
<ds:datastoreItem xmlns:ds="http://schemas.openxmlformats.org/officeDocument/2006/customXml" ds:itemID="{6113F398-DFCD-4C05-AE9A-7982291173C9}"/>
</file>

<file path=docProps/app.xml><?xml version="1.0" encoding="utf-8"?>
<Properties xmlns="http://schemas.openxmlformats.org/officeDocument/2006/extended-properties" xmlns:vt="http://schemas.openxmlformats.org/officeDocument/2006/docPropsVTypes">
  <Template>Normal</Template>
  <TotalTime>1</TotalTime>
  <Pages>7</Pages>
  <Words>2656</Words>
  <Characters>15145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2024-07-05T01:08:00Z</dcterms:created>
  <dcterms:modified xsi:type="dcterms:W3CDTF">2024-07-05T01:08:00Z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