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C37" w:rsidRPr="002053FB" w:rsidRDefault="00B04C37" w:rsidP="00B04C37">
      <w:pPr>
        <w:pStyle w:val="Heading2"/>
        <w:tabs>
          <w:tab w:val="left" w:pos="3119"/>
        </w:tabs>
        <w:jc w:val="both"/>
        <w:rPr>
          <w:rFonts w:ascii="Times New Roman" w:hAnsi="Times New Roman" w:cs="Times New Roman"/>
          <w:b/>
          <w:sz w:val="28"/>
          <w:szCs w:val="28"/>
          <w:lang w:val="fr-FR"/>
        </w:rPr>
      </w:pPr>
      <w:bookmarkStart w:id="0" w:name="_Toc57644823"/>
      <w:r w:rsidRPr="002053FB">
        <w:rPr>
          <w:rFonts w:ascii="Times New Roman" w:hAnsi="Times New Roman" w:cs="Times New Roman"/>
          <w:b/>
          <w:sz w:val="28"/>
          <w:szCs w:val="28"/>
          <w:lang w:val="fr-FR"/>
        </w:rPr>
        <w:t>Annexe 1 - Abréviations</w:t>
      </w:r>
      <w:bookmarkEnd w:id="0"/>
    </w:p>
    <w:p w:rsidR="00B04C37" w:rsidRDefault="00B04C37" w:rsidP="00B04C37">
      <w:pPr>
        <w:pStyle w:val="CommentText"/>
        <w:tabs>
          <w:tab w:val="left" w:pos="3119"/>
        </w:tabs>
        <w:spacing w:line="240" w:lineRule="atLeast"/>
        <w:ind w:left="3686" w:hanging="3686"/>
        <w:jc w:val="both"/>
        <w:rPr>
          <w:lang w:val="fr-CH"/>
        </w:rPr>
      </w:pPr>
    </w:p>
    <w:p w:rsidR="00B04C37" w:rsidRPr="00917188" w:rsidRDefault="00B04C37" w:rsidP="00B04C37">
      <w:pPr>
        <w:pStyle w:val="CommentText"/>
        <w:tabs>
          <w:tab w:val="left" w:pos="3119"/>
        </w:tabs>
        <w:spacing w:line="240" w:lineRule="atLeast"/>
        <w:ind w:left="3119" w:hanging="3119"/>
        <w:rPr>
          <w:lang w:val="fr-CH"/>
        </w:rPr>
      </w:pPr>
      <w:r w:rsidRPr="00917188">
        <w:rPr>
          <w:lang w:val="fr-CH"/>
        </w:rPr>
        <w:t>AFF</w:t>
      </w:r>
      <w:r w:rsidRPr="00917188">
        <w:rPr>
          <w:lang w:val="fr-CH"/>
        </w:rPr>
        <w:tab/>
        <w:t>Administration fédérale des finances</w:t>
      </w:r>
    </w:p>
    <w:p w:rsidR="00B04C37" w:rsidRPr="00917188" w:rsidRDefault="00B04C37" w:rsidP="00B04C37">
      <w:pPr>
        <w:pStyle w:val="CommentText"/>
        <w:tabs>
          <w:tab w:val="left" w:pos="3119"/>
        </w:tabs>
        <w:spacing w:line="240" w:lineRule="atLeast"/>
        <w:ind w:left="3119" w:hanging="3119"/>
        <w:rPr>
          <w:lang w:val="fr-CH"/>
        </w:rPr>
      </w:pPr>
      <w:r w:rsidRPr="00917188">
        <w:rPr>
          <w:lang w:val="fr-CH"/>
        </w:rPr>
        <w:t>AI</w:t>
      </w:r>
      <w:r w:rsidRPr="00917188">
        <w:rPr>
          <w:lang w:val="fr-CH"/>
        </w:rPr>
        <w:tab/>
        <w:t>Assurance-invalidité</w:t>
      </w:r>
    </w:p>
    <w:p w:rsidR="00B04C37" w:rsidRPr="003C31D6" w:rsidRDefault="00B04C37" w:rsidP="00B04C37">
      <w:pPr>
        <w:pStyle w:val="CommentText"/>
        <w:tabs>
          <w:tab w:val="left" w:pos="3119"/>
        </w:tabs>
        <w:spacing w:line="240" w:lineRule="atLeast"/>
        <w:ind w:left="3119" w:hanging="3119"/>
        <w:rPr>
          <w:lang w:val="fr-CH"/>
        </w:rPr>
      </w:pPr>
      <w:r w:rsidRPr="003C31D6">
        <w:rPr>
          <w:lang w:val="fr-CH"/>
        </w:rPr>
        <w:t>AOS</w:t>
      </w:r>
      <w:r w:rsidRPr="003C31D6">
        <w:rPr>
          <w:lang w:val="fr-CH"/>
        </w:rPr>
        <w:tab/>
        <w:t>Assurance obligatoire des soins</w:t>
      </w:r>
    </w:p>
    <w:p w:rsidR="00B04C37" w:rsidRPr="003A37A9" w:rsidRDefault="00B04C37" w:rsidP="00B04C37">
      <w:pPr>
        <w:pStyle w:val="CommentText"/>
        <w:tabs>
          <w:tab w:val="left" w:pos="3119"/>
        </w:tabs>
        <w:spacing w:line="240" w:lineRule="atLeast"/>
        <w:ind w:left="3119" w:hanging="3119"/>
        <w:rPr>
          <w:lang w:val="fr-CH"/>
        </w:rPr>
      </w:pPr>
      <w:r w:rsidRPr="003A37A9">
        <w:rPr>
          <w:lang w:val="fr-CH"/>
        </w:rPr>
        <w:t>APEA</w:t>
      </w:r>
      <w:r w:rsidRPr="003A37A9">
        <w:rPr>
          <w:lang w:val="fr-CH"/>
        </w:rPr>
        <w:tab/>
        <w:t>Autorité de protection de l'enfant et de l'adulte</w:t>
      </w:r>
    </w:p>
    <w:p w:rsidR="00B04C37" w:rsidRPr="00917188" w:rsidRDefault="00B04C37" w:rsidP="00B04C37">
      <w:pPr>
        <w:pStyle w:val="CommentText"/>
        <w:tabs>
          <w:tab w:val="left" w:pos="3119"/>
        </w:tabs>
        <w:spacing w:line="240" w:lineRule="atLeast"/>
        <w:ind w:left="3119" w:hanging="3119"/>
        <w:rPr>
          <w:lang w:val="fr-CH"/>
        </w:rPr>
      </w:pPr>
      <w:r w:rsidRPr="00917188">
        <w:rPr>
          <w:lang w:val="fr-CH"/>
        </w:rPr>
        <w:t>API</w:t>
      </w:r>
      <w:r w:rsidRPr="00917188">
        <w:rPr>
          <w:lang w:val="fr-CH"/>
        </w:rPr>
        <w:tab/>
        <w:t>Allocation pour impotent</w:t>
      </w:r>
    </w:p>
    <w:p w:rsidR="00B04C37" w:rsidRPr="003C31D6" w:rsidRDefault="00B04C37" w:rsidP="00B04C37">
      <w:pPr>
        <w:pStyle w:val="CommentText"/>
        <w:tabs>
          <w:tab w:val="left" w:pos="3119"/>
        </w:tabs>
        <w:spacing w:line="240" w:lineRule="atLeast"/>
        <w:ind w:left="3119" w:hanging="3119"/>
        <w:rPr>
          <w:lang w:val="fr-CH"/>
        </w:rPr>
      </w:pPr>
      <w:r w:rsidRPr="003C31D6">
        <w:rPr>
          <w:lang w:val="fr-CH"/>
        </w:rPr>
        <w:t>ASA</w:t>
      </w:r>
      <w:r w:rsidRPr="003C31D6">
        <w:rPr>
          <w:lang w:val="fr-CH"/>
        </w:rPr>
        <w:tab/>
        <w:t>Association suisse d’assurances</w:t>
      </w:r>
    </w:p>
    <w:p w:rsidR="00B04C37" w:rsidRPr="00E84712" w:rsidRDefault="00B04C37" w:rsidP="00B04C37">
      <w:pPr>
        <w:pStyle w:val="CommentText"/>
        <w:tabs>
          <w:tab w:val="left" w:pos="3119"/>
        </w:tabs>
        <w:spacing w:line="240" w:lineRule="atLeast"/>
        <w:ind w:left="3119" w:hanging="3119"/>
        <w:rPr>
          <w:lang w:val="fr-CH"/>
        </w:rPr>
      </w:pPr>
      <w:r w:rsidRPr="00E84712">
        <w:rPr>
          <w:lang w:val="fr-CH"/>
        </w:rPr>
        <w:t>ASIP</w:t>
      </w:r>
      <w:r w:rsidRPr="00E84712">
        <w:rPr>
          <w:lang w:val="fr-CH"/>
        </w:rPr>
        <w:tab/>
        <w:t>Association suisse des institutions de prévoyance</w:t>
      </w:r>
    </w:p>
    <w:p w:rsidR="00B04C37" w:rsidRPr="003C31D6" w:rsidRDefault="00B04C37" w:rsidP="00B04C37">
      <w:pPr>
        <w:pStyle w:val="CommentText"/>
        <w:tabs>
          <w:tab w:val="left" w:pos="3119"/>
        </w:tabs>
        <w:spacing w:line="240" w:lineRule="atLeast"/>
        <w:ind w:left="3119" w:hanging="3119"/>
        <w:rPr>
          <w:shd w:val="clear" w:color="auto" w:fill="FFFFFF"/>
          <w:lang w:val="fr-CH"/>
        </w:rPr>
      </w:pPr>
      <w:r w:rsidRPr="003C31D6">
        <w:rPr>
          <w:lang w:val="fr-CH"/>
        </w:rPr>
        <w:t>ASME</w:t>
      </w:r>
      <w:r w:rsidRPr="003C31D6">
        <w:rPr>
          <w:lang w:val="fr-CH"/>
        </w:rPr>
        <w:tab/>
      </w:r>
      <w:r w:rsidRPr="003C31D6">
        <w:rPr>
          <w:shd w:val="clear" w:color="auto" w:fill="FFFFFF"/>
          <w:lang w:val="fr-CH"/>
        </w:rPr>
        <w:t>Aide suisse pour la mère et l'enfant</w:t>
      </w:r>
    </w:p>
    <w:p w:rsidR="00B04C37" w:rsidRPr="00E84712" w:rsidRDefault="00B04C37" w:rsidP="00B04C37">
      <w:pPr>
        <w:pStyle w:val="CommentText"/>
        <w:tabs>
          <w:tab w:val="left" w:pos="3119"/>
        </w:tabs>
        <w:spacing w:line="240" w:lineRule="atLeast"/>
        <w:ind w:left="3119" w:hanging="3119"/>
        <w:rPr>
          <w:lang w:val="fr-CH"/>
        </w:rPr>
      </w:pPr>
      <w:r w:rsidRPr="00E84712">
        <w:rPr>
          <w:lang w:val="fr-CH"/>
        </w:rPr>
        <w:t>ATF</w:t>
      </w:r>
      <w:r w:rsidRPr="00E84712">
        <w:rPr>
          <w:lang w:val="fr-CH"/>
        </w:rPr>
        <w:tab/>
        <w:t>Arrêt du Tribunal fédéral</w:t>
      </w:r>
    </w:p>
    <w:p w:rsidR="00B04C37" w:rsidRPr="00917188" w:rsidRDefault="00B04C37" w:rsidP="00B04C37">
      <w:pPr>
        <w:pStyle w:val="CommentText"/>
        <w:tabs>
          <w:tab w:val="left" w:pos="3119"/>
        </w:tabs>
        <w:spacing w:line="240" w:lineRule="atLeast"/>
        <w:ind w:left="3119" w:hanging="3119"/>
        <w:rPr>
          <w:lang w:val="fr-CH"/>
        </w:rPr>
      </w:pPr>
      <w:r w:rsidRPr="00917188">
        <w:rPr>
          <w:lang w:val="fr-CH"/>
        </w:rPr>
        <w:t>BFEG</w:t>
      </w:r>
      <w:r w:rsidRPr="00917188">
        <w:rPr>
          <w:lang w:val="fr-CH"/>
        </w:rPr>
        <w:tab/>
        <w:t>Bureau fédéral de l’égalité entre femmes et hommes</w:t>
      </w:r>
    </w:p>
    <w:p w:rsidR="00B04C37" w:rsidRDefault="00B04C37" w:rsidP="00B04C37">
      <w:pPr>
        <w:pStyle w:val="CommentText"/>
        <w:tabs>
          <w:tab w:val="left" w:pos="3119"/>
        </w:tabs>
        <w:spacing w:line="240" w:lineRule="atLeast"/>
        <w:ind w:left="3119" w:hanging="3119"/>
        <w:rPr>
          <w:lang w:val="fr-CH"/>
        </w:rPr>
      </w:pPr>
      <w:r>
        <w:rPr>
          <w:lang w:val="fr-CH"/>
        </w:rPr>
        <w:t>BFEH</w:t>
      </w:r>
      <w:r>
        <w:rPr>
          <w:lang w:val="fr-CH"/>
        </w:rPr>
        <w:tab/>
        <w:t>Bureau fédéral de l’égalité pour les personnes handicapées</w:t>
      </w:r>
    </w:p>
    <w:p w:rsidR="00B04C37" w:rsidRPr="00E84712" w:rsidRDefault="00B04C37" w:rsidP="00B04C37">
      <w:pPr>
        <w:pStyle w:val="CommentText"/>
        <w:tabs>
          <w:tab w:val="left" w:pos="3119"/>
        </w:tabs>
        <w:spacing w:line="240" w:lineRule="atLeast"/>
        <w:ind w:left="3119" w:hanging="3119"/>
        <w:rPr>
          <w:lang w:val="fr-CH"/>
        </w:rPr>
      </w:pPr>
      <w:r w:rsidRPr="00E84712">
        <w:rPr>
          <w:lang w:val="fr-CH"/>
        </w:rPr>
        <w:t>bpa</w:t>
      </w:r>
      <w:r w:rsidRPr="00E84712">
        <w:rPr>
          <w:lang w:val="fr-CH"/>
        </w:rPr>
        <w:tab/>
        <w:t>Bureau de prévention des accidents</w:t>
      </w:r>
    </w:p>
    <w:p w:rsidR="00B04C37" w:rsidRPr="003C31D6" w:rsidRDefault="00B04C37" w:rsidP="00B04C37">
      <w:pPr>
        <w:pStyle w:val="CommentText"/>
        <w:tabs>
          <w:tab w:val="left" w:pos="3119"/>
        </w:tabs>
        <w:spacing w:line="240" w:lineRule="atLeast"/>
        <w:ind w:left="3119" w:hanging="3119"/>
        <w:rPr>
          <w:lang w:val="fr-CH"/>
        </w:rPr>
      </w:pPr>
      <w:r w:rsidRPr="003C31D6">
        <w:rPr>
          <w:lang w:val="fr-CH"/>
        </w:rPr>
        <w:t>CC</w:t>
      </w:r>
      <w:r w:rsidRPr="003C31D6">
        <w:rPr>
          <w:lang w:val="fr-CH"/>
        </w:rPr>
        <w:tab/>
        <w:t>Code civil</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CCD</w:t>
      </w:r>
      <w:r w:rsidRPr="00917188">
        <w:rPr>
          <w:lang w:val="fr-CH"/>
        </w:rPr>
        <w:tab/>
      </w:r>
      <w:r w:rsidRPr="00917188">
        <w:rPr>
          <w:i/>
          <w:lang w:val="fr-CH"/>
        </w:rPr>
        <w:t>Common Core Document</w:t>
      </w:r>
    </w:p>
    <w:p w:rsidR="00B04C37" w:rsidRPr="003C31D6" w:rsidRDefault="00B04C37" w:rsidP="00B04C37">
      <w:pPr>
        <w:pStyle w:val="CommentText"/>
        <w:tabs>
          <w:tab w:val="left" w:pos="3119"/>
        </w:tabs>
        <w:spacing w:line="240" w:lineRule="atLeast"/>
        <w:ind w:left="3119" w:hanging="3119"/>
        <w:jc w:val="both"/>
        <w:rPr>
          <w:lang w:val="fr-CH"/>
        </w:rPr>
      </w:pPr>
      <w:r w:rsidRPr="003A37A9">
        <w:rPr>
          <w:lang w:val="fr-CH"/>
        </w:rPr>
        <w:t>CCDJP</w:t>
      </w:r>
      <w:r w:rsidRPr="003A37A9">
        <w:rPr>
          <w:lang w:val="fr-CH"/>
        </w:rPr>
        <w:tab/>
        <w:t xml:space="preserve">Conférence des directrices et directeurs des départements cantonaux de </w:t>
      </w:r>
      <w:r w:rsidRPr="003C31D6">
        <w:rPr>
          <w:lang w:val="fr-CH"/>
        </w:rPr>
        <w:t>justice et police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CCE</w:t>
      </w:r>
      <w:r w:rsidRPr="003C31D6">
        <w:rPr>
          <w:lang w:val="fr-CH"/>
        </w:rPr>
        <w:tab/>
        <w:t>Commission Centrale d'</w:t>
      </w:r>
      <w:r>
        <w:rPr>
          <w:lang w:val="fr-CH"/>
        </w:rPr>
        <w:t>É</w:t>
      </w:r>
      <w:r w:rsidRPr="003C31D6">
        <w:rPr>
          <w:lang w:val="fr-CH"/>
        </w:rPr>
        <w:t>thique de l'Académie Suisse des Sciences Médicales</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CDAS</w:t>
      </w:r>
      <w:r w:rsidRPr="003C31D6">
        <w:rPr>
          <w:lang w:val="fr-CH"/>
        </w:rPr>
        <w:tab/>
      </w:r>
      <w:r w:rsidRPr="003C31D6">
        <w:rPr>
          <w:shd w:val="clear" w:color="auto" w:fill="FFFFFF"/>
          <w:lang w:val="fr-CH"/>
        </w:rPr>
        <w:t>Conférence des directrices et directeurs cantonaux des affaires sociales</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CDE</w:t>
      </w:r>
      <w:r w:rsidRPr="003A37A9">
        <w:rPr>
          <w:lang w:val="fr-CH"/>
        </w:rPr>
        <w:tab/>
        <w:t>Convention relative aux droits de l’enfant</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CDIP</w:t>
      </w:r>
      <w:r w:rsidRPr="00917188">
        <w:rPr>
          <w:lang w:val="fr-CH"/>
        </w:rPr>
        <w:tab/>
        <w:t>Conférence des directeurs cantonaux de l’instruction publique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CE</w:t>
      </w:r>
      <w:r w:rsidRPr="003C31D6">
        <w:rPr>
          <w:lang w:val="fr-CH"/>
        </w:rPr>
        <w:tab/>
        <w:t>Conseil des États (Chambre des cantons)</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CEDH</w:t>
      </w:r>
      <w:r w:rsidRPr="00917188">
        <w:rPr>
          <w:lang w:val="fr-CH"/>
        </w:rPr>
        <w:tab/>
        <w:t>Convention européenne des droits de l'homme</w:t>
      </w:r>
    </w:p>
    <w:p w:rsidR="00B04C37" w:rsidRPr="00917188" w:rsidRDefault="00B04C37" w:rsidP="00B04C37">
      <w:pPr>
        <w:pStyle w:val="CommentText"/>
        <w:tabs>
          <w:tab w:val="left" w:pos="3119"/>
        </w:tabs>
        <w:spacing w:line="240" w:lineRule="atLeast"/>
        <w:ind w:left="3119" w:hanging="3119"/>
        <w:jc w:val="both"/>
        <w:rPr>
          <w:rStyle w:val="st"/>
          <w:rFonts w:eastAsiaTheme="majorEastAsia"/>
          <w:lang w:val="fr-CH"/>
        </w:rPr>
      </w:pPr>
      <w:r w:rsidRPr="00917188">
        <w:rPr>
          <w:rStyle w:val="st"/>
          <w:rFonts w:eastAsiaTheme="majorEastAsia"/>
          <w:lang w:val="fr-CH"/>
        </w:rPr>
        <w:t>CFEJ</w:t>
      </w:r>
      <w:r w:rsidRPr="00917188">
        <w:rPr>
          <w:rStyle w:val="st"/>
          <w:rFonts w:eastAsiaTheme="majorEastAsia"/>
          <w:lang w:val="fr-CH"/>
        </w:rPr>
        <w:tab/>
        <w:t>Commission fédérale pour l'enfance et la jeunesse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CN</w:t>
      </w:r>
      <w:r w:rsidRPr="003C31D6">
        <w:rPr>
          <w:lang w:val="fr-CH"/>
        </w:rPr>
        <w:tab/>
        <w:t>Conseil national (Chambre du peuple)</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CNE</w:t>
      </w:r>
      <w:r w:rsidRPr="003A37A9">
        <w:rPr>
          <w:lang w:val="fr-CH"/>
        </w:rPr>
        <w:tab/>
        <w:t>Commission nationale d'éthique dans le domaine de la médecine humaine</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COPMA</w:t>
      </w:r>
      <w:r w:rsidRPr="003A37A9">
        <w:rPr>
          <w:lang w:val="fr-CH"/>
        </w:rPr>
        <w:tab/>
        <w:t>Conférence en matière de protection des mineurs et des adultes</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CP</w:t>
      </w:r>
      <w:r w:rsidRPr="003C31D6">
        <w:rPr>
          <w:lang w:val="fr-CH"/>
        </w:rPr>
        <w:tab/>
        <w:t>Code pénal</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CPC</w:t>
      </w:r>
      <w:r w:rsidRPr="003C31D6">
        <w:rPr>
          <w:lang w:val="fr-CH"/>
        </w:rPr>
        <w:tab/>
        <w:t>Code de procédure civile</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CPEJ</w:t>
      </w:r>
      <w:r w:rsidRPr="003A37A9">
        <w:rPr>
          <w:lang w:val="fr-CH"/>
        </w:rPr>
        <w:tab/>
        <w:t>Conférence pour la politique de l'enfance et de la jeunesse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CPP</w:t>
      </w:r>
      <w:r w:rsidRPr="003C31D6">
        <w:rPr>
          <w:lang w:val="fr-CH"/>
        </w:rPr>
        <w:tab/>
        <w:t>Code de procédure pénale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CSDH</w:t>
      </w:r>
      <w:r w:rsidRPr="003C31D6">
        <w:rPr>
          <w:lang w:val="fr-CH"/>
        </w:rPr>
        <w:tab/>
        <w:t>Centre suisse de compétences pour les droits humains</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Cst</w:t>
      </w:r>
      <w:r w:rsidRPr="00917188">
        <w:rPr>
          <w:lang w:val="fr-CH"/>
        </w:rPr>
        <w:tab/>
        <w:t>Constitution fédérale</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DDC</w:t>
      </w:r>
      <w:r w:rsidRPr="00917188">
        <w:rPr>
          <w:lang w:val="fr-CH"/>
        </w:rPr>
        <w:tab/>
        <w:t>Direction du développement et de la coopération</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DFF</w:t>
      </w:r>
      <w:r w:rsidRPr="00917188">
        <w:rPr>
          <w:lang w:val="fr-CH"/>
        </w:rPr>
        <w:tab/>
      </w:r>
      <w:r w:rsidRPr="00917188">
        <w:rPr>
          <w:lang w:val="fr-CH" w:eastAsia="de-CH"/>
        </w:rPr>
        <w:t>Département fédéral des finances</w:t>
      </w:r>
    </w:p>
    <w:p w:rsidR="00B04C37" w:rsidRPr="00917188" w:rsidRDefault="00B04C37" w:rsidP="00B04C37">
      <w:pPr>
        <w:pStyle w:val="CommentText"/>
        <w:tabs>
          <w:tab w:val="left" w:pos="3119"/>
        </w:tabs>
        <w:spacing w:line="240" w:lineRule="atLeast"/>
        <w:ind w:left="3119" w:hanging="3119"/>
        <w:jc w:val="both"/>
        <w:rPr>
          <w:lang w:val="fr-CH" w:eastAsia="de-CH"/>
        </w:rPr>
      </w:pPr>
      <w:r w:rsidRPr="00917188">
        <w:rPr>
          <w:lang w:val="fr-CH" w:eastAsia="de-CH"/>
        </w:rPr>
        <w:t>DFI</w:t>
      </w:r>
      <w:r w:rsidRPr="00917188">
        <w:rPr>
          <w:lang w:val="fr-CH" w:eastAsia="de-CH"/>
        </w:rPr>
        <w:tab/>
        <w:t>Département fédéral de l’intérieur</w:t>
      </w:r>
    </w:p>
    <w:p w:rsidR="00B04C37" w:rsidRDefault="00B04C37" w:rsidP="00B04C37">
      <w:pPr>
        <w:pStyle w:val="CommentText"/>
        <w:tabs>
          <w:tab w:val="left" w:pos="3119"/>
        </w:tabs>
        <w:spacing w:line="240" w:lineRule="atLeast"/>
        <w:ind w:left="3119" w:hanging="3119"/>
        <w:jc w:val="both"/>
        <w:rPr>
          <w:lang w:val="fr-CH"/>
        </w:rPr>
      </w:pPr>
      <w:r>
        <w:rPr>
          <w:lang w:val="fr-CH"/>
        </w:rPr>
        <w:t>DFJP</w:t>
      </w:r>
      <w:r>
        <w:rPr>
          <w:lang w:val="fr-CH"/>
        </w:rPr>
        <w:tab/>
        <w:t>Département fédéral de justice et police</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DPMin</w:t>
      </w:r>
      <w:r w:rsidRPr="00917188">
        <w:rPr>
          <w:lang w:val="fr-CH"/>
        </w:rPr>
        <w:tab/>
        <w:t>Loi fédérale régissant la condition pénale des mineurs</w:t>
      </w:r>
    </w:p>
    <w:p w:rsidR="00B04C37" w:rsidRPr="00E84712" w:rsidRDefault="00B04C37" w:rsidP="00B04C37">
      <w:pPr>
        <w:pStyle w:val="CommentText"/>
        <w:tabs>
          <w:tab w:val="left" w:pos="3119"/>
        </w:tabs>
        <w:spacing w:line="240" w:lineRule="atLeast"/>
        <w:ind w:left="3119" w:hanging="3119"/>
        <w:jc w:val="both"/>
        <w:rPr>
          <w:lang w:val="fr-CH"/>
        </w:rPr>
      </w:pPr>
      <w:r w:rsidRPr="00E84712">
        <w:rPr>
          <w:lang w:val="fr-CH"/>
        </w:rPr>
        <w:t>EDD</w:t>
      </w:r>
      <w:r w:rsidRPr="00E84712">
        <w:rPr>
          <w:lang w:val="fr-CH"/>
        </w:rPr>
        <w:tab/>
      </w:r>
      <w:r>
        <w:rPr>
          <w:lang w:val="fr-CH"/>
        </w:rPr>
        <w:t>É</w:t>
      </w:r>
      <w:r w:rsidRPr="00E84712">
        <w:rPr>
          <w:lang w:val="fr-CH"/>
        </w:rPr>
        <w:t>ducation en développement durable</w:t>
      </w:r>
    </w:p>
    <w:p w:rsidR="00B04C37" w:rsidRDefault="00B04C37" w:rsidP="00B04C37">
      <w:pPr>
        <w:pStyle w:val="CommentText"/>
        <w:tabs>
          <w:tab w:val="left" w:pos="3119"/>
        </w:tabs>
        <w:spacing w:line="240" w:lineRule="atLeast"/>
        <w:ind w:left="3119" w:hanging="3119"/>
        <w:jc w:val="both"/>
        <w:rPr>
          <w:lang w:val="fr-CH"/>
        </w:rPr>
      </w:pPr>
      <w:r>
        <w:rPr>
          <w:lang w:val="fr-CH"/>
        </w:rPr>
        <w:t>EPER</w:t>
      </w:r>
      <w:r>
        <w:rPr>
          <w:lang w:val="fr-CH"/>
        </w:rPr>
        <w:tab/>
        <w:t>Entraide Protestante Suisse</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FEDPOL</w:t>
      </w:r>
      <w:r w:rsidRPr="00917188">
        <w:rPr>
          <w:lang w:val="fr-CH"/>
        </w:rPr>
        <w:tab/>
        <w:t>Office fédéral de la police</w:t>
      </w:r>
    </w:p>
    <w:p w:rsidR="00B04C37" w:rsidRPr="003A37A9" w:rsidRDefault="00B04C37" w:rsidP="00B04C37">
      <w:pPr>
        <w:pStyle w:val="CommentText"/>
        <w:tabs>
          <w:tab w:val="left" w:pos="3119"/>
        </w:tabs>
        <w:spacing w:line="240" w:lineRule="atLeast"/>
        <w:ind w:left="3119" w:hanging="3119"/>
        <w:jc w:val="both"/>
        <w:rPr>
          <w:lang w:val="fr-CH"/>
        </w:rPr>
      </w:pPr>
      <w:r w:rsidRPr="003C31D6">
        <w:rPr>
          <w:lang w:val="fr-CH"/>
        </w:rPr>
        <w:t>FNS</w:t>
      </w:r>
      <w:r w:rsidRPr="003C31D6">
        <w:rPr>
          <w:lang w:val="fr-CH"/>
        </w:rPr>
        <w:tab/>
        <w:t>Fonds national suisse de la recherche scientifique</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HCCH</w:t>
      </w:r>
      <w:r w:rsidRPr="00917188">
        <w:rPr>
          <w:lang w:val="fr-CH"/>
        </w:rPr>
        <w:tab/>
        <w:t>Conférence de la Haye de droit international privé</w:t>
      </w:r>
    </w:p>
    <w:p w:rsidR="00B04C37" w:rsidRPr="00917188" w:rsidRDefault="00B04C37" w:rsidP="00B04C37">
      <w:pPr>
        <w:pStyle w:val="CommentText"/>
        <w:tabs>
          <w:tab w:val="left" w:pos="3119"/>
        </w:tabs>
        <w:spacing w:line="240" w:lineRule="atLeast"/>
        <w:ind w:left="3119" w:hanging="3119"/>
        <w:jc w:val="both"/>
      </w:pPr>
      <w:r w:rsidRPr="00917188">
        <w:t>hepa</w:t>
      </w:r>
      <w:r w:rsidRPr="00917188">
        <w:tab/>
      </w:r>
      <w:r w:rsidRPr="00917188">
        <w:rPr>
          <w:i/>
        </w:rPr>
        <w:t>Health enhancing physical activity</w:t>
      </w:r>
    </w:p>
    <w:p w:rsidR="00B04C37" w:rsidRPr="00917188" w:rsidRDefault="00B04C37" w:rsidP="00B04C37">
      <w:pPr>
        <w:pStyle w:val="CommentText"/>
        <w:tabs>
          <w:tab w:val="left" w:pos="3119"/>
        </w:tabs>
        <w:spacing w:line="240" w:lineRule="atLeast"/>
        <w:ind w:left="3119" w:hanging="3119"/>
        <w:jc w:val="both"/>
      </w:pPr>
      <w:r w:rsidRPr="00917188">
        <w:t>IC</w:t>
      </w:r>
      <w:r w:rsidRPr="00917188">
        <w:tab/>
        <w:t>Infirmité congénitale</w:t>
      </w:r>
    </w:p>
    <w:p w:rsidR="00B04C37" w:rsidRPr="00917188" w:rsidRDefault="00B04C37" w:rsidP="00B04C37">
      <w:pPr>
        <w:pStyle w:val="CommentText"/>
        <w:tabs>
          <w:tab w:val="left" w:pos="3119"/>
        </w:tabs>
        <w:spacing w:line="240" w:lineRule="atLeast"/>
        <w:ind w:left="3119" w:hanging="3119"/>
        <w:jc w:val="both"/>
        <w:rPr>
          <w:rFonts w:cs="Arial"/>
          <w:bCs/>
          <w:lang w:val="fr-CH"/>
        </w:rPr>
      </w:pPr>
      <w:r w:rsidRPr="00917188">
        <w:rPr>
          <w:lang w:val="fr-CH"/>
        </w:rPr>
        <w:t>ICSE</w:t>
      </w:r>
      <w:r w:rsidRPr="00917188">
        <w:rPr>
          <w:lang w:val="fr-CH"/>
        </w:rPr>
        <w:tab/>
      </w:r>
      <w:r w:rsidRPr="00917188">
        <w:rPr>
          <w:rFonts w:cs="Arial"/>
          <w:bCs/>
          <w:i/>
          <w:lang w:val="fr-CH"/>
        </w:rPr>
        <w:t>International Child Sexual Exploitation</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INDH</w:t>
      </w:r>
      <w:r w:rsidRPr="003C31D6">
        <w:rPr>
          <w:lang w:val="fr-CH"/>
        </w:rPr>
        <w:tab/>
        <w:t>Institution nationale des droits de l’homme</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IPAS</w:t>
      </w:r>
      <w:r w:rsidRPr="00917188">
        <w:rPr>
          <w:lang w:val="fr-CH"/>
        </w:rPr>
        <w:tab/>
      </w:r>
      <w:r w:rsidRPr="00917188">
        <w:rPr>
          <w:rFonts w:cs="Arial"/>
          <w:bCs/>
          <w:lang w:val="fr-CH"/>
        </w:rPr>
        <w:t>S</w:t>
      </w:r>
      <w:r w:rsidRPr="00917188">
        <w:rPr>
          <w:lang w:val="fr-CH"/>
        </w:rPr>
        <w:t>ystème informatisé de gestion et d'indexation de dossiers et de personnes</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IPSF</w:t>
      </w:r>
      <w:r w:rsidRPr="00917188">
        <w:rPr>
          <w:lang w:val="fr-CH"/>
        </w:rPr>
        <w:tab/>
      </w:r>
      <w:r w:rsidRPr="00917188">
        <w:rPr>
          <w:rStyle w:val="A1"/>
          <w:lang w:val="fr-CH"/>
        </w:rPr>
        <w:t>Plateforme internationale sur la finance durable</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JANUS</w:t>
      </w:r>
      <w:r w:rsidRPr="00917188">
        <w:rPr>
          <w:lang w:val="fr-CH"/>
        </w:rPr>
        <w:tab/>
      </w:r>
      <w:r w:rsidRPr="00917188">
        <w:rPr>
          <w:rFonts w:cs="Arial"/>
          <w:bCs/>
          <w:lang w:val="fr-CH"/>
        </w:rPr>
        <w:t>Système informatisé de la Police judiciaire fédérale</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J+M</w:t>
      </w:r>
      <w:r w:rsidRPr="003A37A9">
        <w:rPr>
          <w:lang w:val="fr-CH"/>
        </w:rPr>
        <w:tab/>
        <w:t>Programme Jeunesse et Musique</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J+S</w:t>
      </w:r>
      <w:r w:rsidRPr="003A37A9">
        <w:rPr>
          <w:lang w:val="fr-CH"/>
        </w:rPr>
        <w:tab/>
        <w:t>Programme Jeunesse et Sport</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JUSUS</w:t>
      </w:r>
      <w:r w:rsidRPr="003A37A9">
        <w:rPr>
          <w:lang w:val="fr-CH"/>
        </w:rPr>
        <w:tab/>
        <w:t>Statistique des jugements pénaux des mineurs</w:t>
      </w:r>
    </w:p>
    <w:p w:rsidR="00B04C37" w:rsidRPr="003A37A9" w:rsidRDefault="00B04C37" w:rsidP="00B04C37">
      <w:pPr>
        <w:pStyle w:val="CommentText"/>
        <w:tabs>
          <w:tab w:val="left" w:pos="3119"/>
        </w:tabs>
        <w:spacing w:line="240" w:lineRule="atLeast"/>
        <w:ind w:left="3119" w:hanging="3119"/>
        <w:jc w:val="both"/>
        <w:rPr>
          <w:lang w:val="fr-FR"/>
        </w:rPr>
      </w:pPr>
      <w:r w:rsidRPr="003A37A9">
        <w:rPr>
          <w:lang w:val="fr-CH"/>
        </w:rPr>
        <w:t>LAAcc</w:t>
      </w:r>
      <w:r w:rsidRPr="003A37A9">
        <w:rPr>
          <w:lang w:val="fr-CH"/>
        </w:rPr>
        <w:tab/>
        <w:t>L</w:t>
      </w:r>
      <w:r w:rsidRPr="003A37A9">
        <w:rPr>
          <w:lang w:val="fr-FR"/>
        </w:rPr>
        <w:t>oi fédérale sur les aides financières à l'accueil extrafamilial pour enfants</w:t>
      </w:r>
    </w:p>
    <w:p w:rsidR="00B04C37" w:rsidRPr="00917188" w:rsidRDefault="00B04C37" w:rsidP="00B04C37">
      <w:pPr>
        <w:pStyle w:val="CommentText"/>
        <w:tabs>
          <w:tab w:val="left" w:pos="3119"/>
        </w:tabs>
        <w:spacing w:line="240" w:lineRule="atLeast"/>
        <w:ind w:left="3119" w:hanging="3119"/>
        <w:jc w:val="both"/>
        <w:rPr>
          <w:bCs/>
          <w:lang w:val="fr-CH"/>
        </w:rPr>
      </w:pPr>
      <w:r w:rsidRPr="00917188">
        <w:rPr>
          <w:lang w:val="fr-CH"/>
        </w:rPr>
        <w:t>LAI</w:t>
      </w:r>
      <w:r w:rsidRPr="00917188">
        <w:rPr>
          <w:lang w:val="fr-CH"/>
        </w:rPr>
        <w:tab/>
      </w:r>
      <w:r w:rsidRPr="00917188">
        <w:rPr>
          <w:bCs/>
          <w:lang w:val="fr-CH"/>
        </w:rPr>
        <w:t>Loi fédérale sur l’assurance-invalidité</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LAVI</w:t>
      </w:r>
      <w:r w:rsidRPr="003C31D6">
        <w:rPr>
          <w:lang w:val="fr-CH"/>
        </w:rPr>
        <w:tab/>
        <w:t>Loi fédérale sur l’aide aux victimes d’infractions</w:t>
      </w:r>
    </w:p>
    <w:p w:rsidR="00B04C37" w:rsidRDefault="00B04C37" w:rsidP="00B04C37">
      <w:pPr>
        <w:pStyle w:val="CommentText"/>
        <w:tabs>
          <w:tab w:val="left" w:pos="3119"/>
        </w:tabs>
        <w:spacing w:line="240" w:lineRule="atLeast"/>
        <w:ind w:left="3119" w:hanging="3119"/>
        <w:jc w:val="both"/>
        <w:rPr>
          <w:lang w:val="fr-CH"/>
        </w:rPr>
      </w:pPr>
      <w:r>
        <w:rPr>
          <w:lang w:val="fr-CH"/>
        </w:rPr>
        <w:lastRenderedPageBreak/>
        <w:t>LAsi</w:t>
      </w:r>
      <w:r>
        <w:rPr>
          <w:lang w:val="fr-CH"/>
        </w:rPr>
        <w:tab/>
        <w:t>Loi fédérale sur l’asile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LEEJ</w:t>
      </w:r>
      <w:r w:rsidRPr="003C31D6">
        <w:rPr>
          <w:lang w:val="fr-CH"/>
        </w:rPr>
        <w:tab/>
        <w:t>Loi fédérale sur l’encouragement des activités extrascolaires des enfants et des jeunes</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FR"/>
        </w:rPr>
        <w:t>LEg</w:t>
      </w:r>
      <w:r w:rsidRPr="00917188">
        <w:rPr>
          <w:lang w:val="fr-FR"/>
        </w:rPr>
        <w:tab/>
        <w:t>Loi</w:t>
      </w:r>
      <w:r w:rsidRPr="00917188">
        <w:rPr>
          <w:lang w:val="fr-CH"/>
        </w:rPr>
        <w:t xml:space="preserve"> fédérale sur l’égalité entre femmes et hommes</w:t>
      </w:r>
    </w:p>
    <w:p w:rsidR="00B04C37" w:rsidRPr="00444EFD" w:rsidRDefault="00B04C37" w:rsidP="00B04C37">
      <w:pPr>
        <w:pStyle w:val="CommentText"/>
        <w:tabs>
          <w:tab w:val="left" w:pos="3119"/>
        </w:tabs>
        <w:spacing w:line="240" w:lineRule="atLeast"/>
        <w:ind w:left="3119" w:hanging="3119"/>
        <w:jc w:val="both"/>
        <w:rPr>
          <w:lang w:val="fr-FR"/>
        </w:rPr>
      </w:pPr>
      <w:r w:rsidRPr="00444EFD">
        <w:rPr>
          <w:lang w:val="fr-FR"/>
        </w:rPr>
        <w:t>LEI</w:t>
      </w:r>
      <w:r w:rsidRPr="00444EFD">
        <w:rPr>
          <w:lang w:val="fr-FR"/>
        </w:rPr>
        <w:tab/>
        <w:t>Loi fédérale sur les étrangers et l’intégration</w:t>
      </w:r>
    </w:p>
    <w:p w:rsidR="00B04C37" w:rsidRPr="00E84712" w:rsidRDefault="00B04C37" w:rsidP="00B04C37">
      <w:pPr>
        <w:pStyle w:val="CommentText"/>
        <w:tabs>
          <w:tab w:val="left" w:pos="3119"/>
        </w:tabs>
        <w:spacing w:line="240" w:lineRule="atLeast"/>
        <w:ind w:left="3119" w:hanging="3119"/>
        <w:jc w:val="both"/>
        <w:rPr>
          <w:lang w:val="fr-CH"/>
        </w:rPr>
      </w:pPr>
      <w:r w:rsidRPr="00E84712">
        <w:rPr>
          <w:lang w:val="fr-FR"/>
        </w:rPr>
        <w:t>LHand</w:t>
      </w:r>
      <w:r w:rsidRPr="00E84712">
        <w:rPr>
          <w:lang w:val="fr-FR"/>
        </w:rPr>
        <w:tab/>
        <w:t>L</w:t>
      </w:r>
      <w:r w:rsidRPr="00E84712">
        <w:rPr>
          <w:lang w:val="fr-CH"/>
        </w:rPr>
        <w:t>oi fédérale sur l’égalité pour les handicapés</w:t>
      </w:r>
    </w:p>
    <w:p w:rsidR="00B04C37" w:rsidRPr="00E84712" w:rsidRDefault="00B04C37" w:rsidP="00B04C37">
      <w:pPr>
        <w:pStyle w:val="CommentText"/>
        <w:tabs>
          <w:tab w:val="left" w:pos="3119"/>
        </w:tabs>
        <w:spacing w:line="240" w:lineRule="atLeast"/>
        <w:ind w:left="3119" w:hanging="3119"/>
        <w:jc w:val="both"/>
        <w:rPr>
          <w:lang w:val="fr-FR"/>
        </w:rPr>
      </w:pPr>
      <w:r w:rsidRPr="00E84712">
        <w:rPr>
          <w:lang w:val="fr-FR"/>
        </w:rPr>
        <w:t>LMP</w:t>
      </w:r>
      <w:r w:rsidRPr="00E84712">
        <w:rPr>
          <w:lang w:val="fr-FR"/>
        </w:rPr>
        <w:tab/>
        <w:t>L</w:t>
      </w:r>
      <w:r w:rsidRPr="00E84712">
        <w:rPr>
          <w:lang w:val="fr-CH"/>
        </w:rPr>
        <w:t>oi fédérale sur les marchés publics</w:t>
      </w:r>
    </w:p>
    <w:p w:rsidR="00B04C37" w:rsidRPr="00917188" w:rsidRDefault="00B04C37" w:rsidP="00B04C37">
      <w:pPr>
        <w:pStyle w:val="CommentText"/>
        <w:tabs>
          <w:tab w:val="left" w:pos="3119"/>
        </w:tabs>
        <w:spacing w:line="240" w:lineRule="atLeast"/>
        <w:ind w:left="3119" w:hanging="3119"/>
        <w:jc w:val="both"/>
        <w:rPr>
          <w:lang w:val="fr-FR"/>
        </w:rPr>
      </w:pPr>
      <w:r w:rsidRPr="00917188">
        <w:rPr>
          <w:lang w:val="fr-FR"/>
        </w:rPr>
        <w:t>LPMA</w:t>
      </w:r>
      <w:r w:rsidRPr="00917188">
        <w:rPr>
          <w:lang w:val="fr-FR"/>
        </w:rPr>
        <w:tab/>
        <w:t>Loi fédérale sur la procréation médicalement assistée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LPPM</w:t>
      </w:r>
      <w:r w:rsidRPr="003C31D6">
        <w:rPr>
          <w:lang w:val="fr-CH"/>
        </w:rPr>
        <w:tab/>
        <w:t>Loi fédérale sur les prestations de la Confédération dans le domaine de l’exécution des peines et des mesures</w:t>
      </w:r>
    </w:p>
    <w:p w:rsidR="00B04C37" w:rsidRPr="00E84712" w:rsidRDefault="00B04C37" w:rsidP="00B04C37">
      <w:pPr>
        <w:pStyle w:val="CommentText"/>
        <w:tabs>
          <w:tab w:val="left" w:pos="3119"/>
        </w:tabs>
        <w:spacing w:line="240" w:lineRule="atLeast"/>
        <w:ind w:left="3119" w:hanging="3119"/>
        <w:jc w:val="both"/>
        <w:rPr>
          <w:lang w:val="fr-CH"/>
        </w:rPr>
      </w:pPr>
      <w:r w:rsidRPr="003C31D6">
        <w:rPr>
          <w:lang w:val="fr-CH"/>
        </w:rPr>
        <w:t>LN</w:t>
      </w:r>
      <w:r w:rsidRPr="003C31D6">
        <w:rPr>
          <w:lang w:val="fr-CH"/>
        </w:rPr>
        <w:tab/>
        <w:t>Loi fédérale sur la nationalité</w:t>
      </w:r>
    </w:p>
    <w:p w:rsidR="00B04C37" w:rsidRPr="00444EFD" w:rsidRDefault="00B04C37" w:rsidP="00B04C37">
      <w:pPr>
        <w:pStyle w:val="CommentText"/>
        <w:tabs>
          <w:tab w:val="left" w:pos="3119"/>
        </w:tabs>
        <w:spacing w:line="240" w:lineRule="atLeast"/>
        <w:ind w:left="3119" w:hanging="3119"/>
        <w:jc w:val="both"/>
        <w:rPr>
          <w:bCs/>
          <w:lang w:val="fr-CH"/>
        </w:rPr>
      </w:pPr>
      <w:r w:rsidRPr="00444EFD">
        <w:rPr>
          <w:lang w:val="fr-CH"/>
        </w:rPr>
        <w:t>LTr</w:t>
      </w:r>
      <w:r w:rsidRPr="00444EFD">
        <w:rPr>
          <w:lang w:val="fr-CH"/>
        </w:rPr>
        <w:tab/>
      </w:r>
      <w:r w:rsidRPr="00444EFD">
        <w:rPr>
          <w:bCs/>
          <w:lang w:val="fr-CH"/>
        </w:rPr>
        <w:t>Loi fédérale sur le travail</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MGF</w:t>
      </w:r>
      <w:r w:rsidRPr="00917188">
        <w:rPr>
          <w:lang w:val="fr-CH"/>
        </w:rPr>
        <w:tab/>
      </w:r>
      <w:r w:rsidRPr="00917188">
        <w:rPr>
          <w:rFonts w:cs="Arial"/>
          <w:bCs/>
          <w:lang w:val="fr-CH"/>
        </w:rPr>
        <w:t>Mutilations génitales féminines</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MNA</w:t>
      </w:r>
      <w:r w:rsidRPr="003C31D6">
        <w:rPr>
          <w:lang w:val="fr-CH"/>
        </w:rPr>
        <w:tab/>
        <w:t>Mineur non accompagné (requérant d’asile)</w:t>
      </w:r>
    </w:p>
    <w:p w:rsidR="00B04C37" w:rsidRPr="003A37A9" w:rsidRDefault="00B04C37" w:rsidP="00B04C37">
      <w:pPr>
        <w:pStyle w:val="CommentText"/>
        <w:tabs>
          <w:tab w:val="left" w:pos="3119"/>
        </w:tabs>
        <w:spacing w:line="240" w:lineRule="atLeast"/>
        <w:ind w:left="3119" w:hanging="3119"/>
        <w:jc w:val="both"/>
        <w:rPr>
          <w:rFonts w:cs="Arial"/>
          <w:bCs/>
          <w:lang w:val="fr-FR"/>
        </w:rPr>
      </w:pPr>
      <w:r w:rsidRPr="003A37A9">
        <w:rPr>
          <w:lang w:val="fr-CH"/>
        </w:rPr>
        <w:t>MNT</w:t>
      </w:r>
      <w:r w:rsidRPr="003A37A9">
        <w:rPr>
          <w:lang w:val="fr-CH"/>
        </w:rPr>
        <w:tab/>
        <w:t>Maladies non transmissibles</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NAP</w:t>
      </w:r>
      <w:r w:rsidRPr="003A37A9">
        <w:rPr>
          <w:lang w:val="fr-CH"/>
        </w:rPr>
        <w:tab/>
        <w:t>Plan d’action national</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NCBI</w:t>
      </w:r>
      <w:r w:rsidRPr="003A37A9">
        <w:rPr>
          <w:lang w:val="fr-CH"/>
        </w:rPr>
        <w:tab/>
      </w:r>
      <w:r w:rsidRPr="003A37A9">
        <w:rPr>
          <w:i/>
          <w:lang w:val="fr-CH"/>
        </w:rPr>
        <w:t>National Coalition Building Institute</w:t>
      </w:r>
    </w:p>
    <w:p w:rsidR="00B04C37" w:rsidRPr="00E84712" w:rsidRDefault="00B04C37" w:rsidP="00B04C37">
      <w:pPr>
        <w:pStyle w:val="CommentText"/>
        <w:tabs>
          <w:tab w:val="left" w:pos="3119"/>
        </w:tabs>
        <w:spacing w:line="240" w:lineRule="atLeast"/>
        <w:ind w:left="3119" w:hanging="3119"/>
        <w:jc w:val="both"/>
        <w:rPr>
          <w:lang w:val="fr-CH"/>
        </w:rPr>
      </w:pPr>
      <w:r w:rsidRPr="00E84712">
        <w:rPr>
          <w:lang w:val="fr-CH"/>
        </w:rPr>
        <w:t>OA</w:t>
      </w:r>
      <w:r w:rsidRPr="00E84712">
        <w:rPr>
          <w:lang w:val="fr-CH"/>
        </w:rPr>
        <w:tab/>
        <w:t>Ordonnance 1 sur l’asile</w:t>
      </w:r>
    </w:p>
    <w:p w:rsidR="00B04C37" w:rsidRPr="00444EFD" w:rsidRDefault="00B04C37" w:rsidP="00B04C37">
      <w:pPr>
        <w:pStyle w:val="CommentText"/>
        <w:tabs>
          <w:tab w:val="left" w:pos="3119"/>
        </w:tabs>
        <w:spacing w:line="240" w:lineRule="atLeast"/>
        <w:ind w:left="3119" w:hanging="3119"/>
        <w:jc w:val="both"/>
        <w:rPr>
          <w:lang w:val="fr-CH"/>
        </w:rPr>
      </w:pPr>
      <w:r w:rsidRPr="00444EFD">
        <w:rPr>
          <w:lang w:val="fr-CH"/>
        </w:rPr>
        <w:t>OAdo</w:t>
      </w:r>
      <w:r w:rsidRPr="00444EFD">
        <w:rPr>
          <w:lang w:val="fr-CH"/>
        </w:rPr>
        <w:tab/>
      </w:r>
      <w:r w:rsidRPr="00444EFD">
        <w:rPr>
          <w:lang w:val="fr-FR"/>
        </w:rPr>
        <w:t>Ordonnance sur l’adoption</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ODAlOUs</w:t>
      </w:r>
      <w:r w:rsidRPr="003A37A9">
        <w:rPr>
          <w:lang w:val="fr-CH"/>
        </w:rPr>
        <w:tab/>
        <w:t>Ordonnance sur les denrées alimentaires et les objets usuels</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ODD</w:t>
      </w:r>
      <w:r w:rsidRPr="003C31D6">
        <w:rPr>
          <w:lang w:val="fr-CH"/>
        </w:rPr>
        <w:tab/>
        <w:t>Objectif de développement durable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FR"/>
        </w:rPr>
        <w:t>OASA</w:t>
      </w:r>
      <w:r w:rsidRPr="003C31D6">
        <w:rPr>
          <w:lang w:val="fr-CH"/>
        </w:rPr>
        <w:tab/>
      </w:r>
      <w:r w:rsidRPr="003C31D6">
        <w:rPr>
          <w:bCs/>
          <w:color w:val="000000"/>
          <w:shd w:val="clear" w:color="auto" w:fill="FFFFFF"/>
          <w:lang w:val="fr-CH"/>
        </w:rPr>
        <w:t>Ordonnance relative à l’admission, au séjour et à l’exercice d’une activité lucrative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OEC</w:t>
      </w:r>
      <w:r w:rsidRPr="003C31D6">
        <w:rPr>
          <w:lang w:val="fr-CH"/>
        </w:rPr>
        <w:tab/>
        <w:t>Ordonnance sur l'état civil</w:t>
      </w:r>
    </w:p>
    <w:p w:rsidR="00B04C37" w:rsidRPr="003C31D6" w:rsidRDefault="00B04C37" w:rsidP="00B04C37">
      <w:pPr>
        <w:pStyle w:val="CommentText"/>
        <w:tabs>
          <w:tab w:val="left" w:pos="3119"/>
        </w:tabs>
        <w:spacing w:line="240" w:lineRule="atLeast"/>
        <w:ind w:left="3119" w:hanging="3119"/>
        <w:jc w:val="both"/>
        <w:rPr>
          <w:lang w:val="fr-CH"/>
        </w:rPr>
      </w:pPr>
      <w:r w:rsidRPr="003C31D6">
        <w:rPr>
          <w:rStyle w:val="st"/>
          <w:rFonts w:eastAsiaTheme="majorEastAsia"/>
          <w:lang w:val="fr-CH"/>
        </w:rPr>
        <w:t>OERE</w:t>
      </w:r>
      <w:r w:rsidRPr="003C31D6">
        <w:rPr>
          <w:rStyle w:val="st"/>
          <w:rFonts w:eastAsiaTheme="majorEastAsia"/>
          <w:lang w:val="fr-CH"/>
        </w:rPr>
        <w:tab/>
        <w:t>Ordonnance sur l'exécution du renvoi et de l'expulsion d'étrangers</w:t>
      </w:r>
    </w:p>
    <w:p w:rsidR="00B04C37" w:rsidRPr="00E84712" w:rsidRDefault="00B04C37" w:rsidP="00B04C37">
      <w:pPr>
        <w:pStyle w:val="CommentText"/>
        <w:tabs>
          <w:tab w:val="left" w:pos="3119"/>
        </w:tabs>
        <w:spacing w:line="240" w:lineRule="atLeast"/>
        <w:ind w:left="3119" w:hanging="3119"/>
        <w:jc w:val="both"/>
        <w:rPr>
          <w:lang w:val="fr-CH"/>
        </w:rPr>
      </w:pPr>
      <w:r w:rsidRPr="00E84712">
        <w:rPr>
          <w:lang w:val="fr-CH"/>
        </w:rPr>
        <w:t>OFAS</w:t>
      </w:r>
      <w:r w:rsidRPr="00E84712">
        <w:rPr>
          <w:lang w:val="fr-CH"/>
        </w:rPr>
        <w:tab/>
        <w:t>Office fédéral des assurances sociales</w:t>
      </w:r>
    </w:p>
    <w:p w:rsidR="00B04C37" w:rsidRPr="00E84712" w:rsidRDefault="00B04C37" w:rsidP="00B04C37">
      <w:pPr>
        <w:pStyle w:val="CommentText"/>
        <w:tabs>
          <w:tab w:val="left" w:pos="3119"/>
        </w:tabs>
        <w:spacing w:line="240" w:lineRule="atLeast"/>
        <w:ind w:left="3119" w:hanging="3119"/>
        <w:jc w:val="both"/>
        <w:rPr>
          <w:rStyle w:val="st"/>
          <w:rFonts w:eastAsiaTheme="majorEastAsia"/>
          <w:lang w:val="fr-CH"/>
        </w:rPr>
      </w:pPr>
      <w:r w:rsidRPr="00E84712">
        <w:rPr>
          <w:rStyle w:val="st"/>
          <w:rFonts w:eastAsiaTheme="majorEastAsia"/>
          <w:lang w:val="fr-CH"/>
        </w:rPr>
        <w:t>OFC</w:t>
      </w:r>
      <w:r w:rsidRPr="00E84712">
        <w:rPr>
          <w:rStyle w:val="st"/>
          <w:rFonts w:eastAsiaTheme="majorEastAsia"/>
          <w:lang w:val="fr-CH"/>
        </w:rPr>
        <w:tab/>
        <w:t>Office fédéral de la culture</w:t>
      </w:r>
    </w:p>
    <w:p w:rsidR="00B04C37" w:rsidRPr="00917188" w:rsidRDefault="00B04C37" w:rsidP="00B04C37">
      <w:pPr>
        <w:pStyle w:val="CommentText"/>
        <w:tabs>
          <w:tab w:val="left" w:pos="3119"/>
        </w:tabs>
        <w:spacing w:line="240" w:lineRule="atLeast"/>
        <w:ind w:left="3119" w:hanging="3119"/>
        <w:jc w:val="both"/>
        <w:rPr>
          <w:lang w:val="fr-CH"/>
        </w:rPr>
      </w:pPr>
      <w:r w:rsidRPr="00917188">
        <w:rPr>
          <w:rStyle w:val="st"/>
          <w:rFonts w:eastAsiaTheme="majorEastAsia"/>
          <w:lang w:val="fr-CH"/>
        </w:rPr>
        <w:t>OFEC</w:t>
      </w:r>
      <w:r w:rsidRPr="00917188">
        <w:rPr>
          <w:lang w:val="fr-CH"/>
        </w:rPr>
        <w:tab/>
      </w:r>
      <w:r w:rsidRPr="00917188">
        <w:rPr>
          <w:rStyle w:val="st"/>
          <w:rFonts w:eastAsiaTheme="majorEastAsia"/>
          <w:lang w:val="fr-CH"/>
        </w:rPr>
        <w:t>Office fédéral de l'état civil</w:t>
      </w:r>
    </w:p>
    <w:p w:rsidR="00B04C37" w:rsidRPr="00E84712" w:rsidRDefault="00B04C37" w:rsidP="00B04C37">
      <w:pPr>
        <w:pStyle w:val="CommentText"/>
        <w:tabs>
          <w:tab w:val="left" w:pos="3119"/>
        </w:tabs>
        <w:spacing w:line="240" w:lineRule="atLeast"/>
        <w:ind w:left="3119" w:hanging="3119"/>
        <w:jc w:val="both"/>
        <w:rPr>
          <w:lang w:val="fr-CH"/>
        </w:rPr>
      </w:pPr>
      <w:r w:rsidRPr="00E84712">
        <w:rPr>
          <w:lang w:val="fr-CH"/>
        </w:rPr>
        <w:t>OFEV</w:t>
      </w:r>
      <w:r w:rsidRPr="00E84712">
        <w:rPr>
          <w:lang w:val="fr-CH"/>
        </w:rPr>
        <w:tab/>
        <w:t>Office fédéral de l’environnement</w:t>
      </w:r>
    </w:p>
    <w:p w:rsidR="00B04C37" w:rsidRPr="00E84712" w:rsidRDefault="00B04C37" w:rsidP="00B04C37">
      <w:pPr>
        <w:pStyle w:val="CommentText"/>
        <w:tabs>
          <w:tab w:val="left" w:pos="3119"/>
        </w:tabs>
        <w:spacing w:line="240" w:lineRule="atLeast"/>
        <w:ind w:left="3119" w:hanging="3119"/>
        <w:jc w:val="both"/>
        <w:rPr>
          <w:lang w:val="fr-CH"/>
        </w:rPr>
      </w:pPr>
      <w:r w:rsidRPr="00E84712">
        <w:rPr>
          <w:lang w:val="fr-CH"/>
        </w:rPr>
        <w:t>OFJ</w:t>
      </w:r>
      <w:r w:rsidRPr="00E84712">
        <w:rPr>
          <w:lang w:val="fr-CH"/>
        </w:rPr>
        <w:tab/>
        <w:t>Office fédéral de la justice</w:t>
      </w:r>
    </w:p>
    <w:p w:rsidR="00B04C37" w:rsidRPr="00E84712" w:rsidRDefault="00B04C37" w:rsidP="00B04C37">
      <w:pPr>
        <w:pStyle w:val="CommentText"/>
        <w:tabs>
          <w:tab w:val="left" w:pos="3119"/>
        </w:tabs>
        <w:spacing w:line="240" w:lineRule="atLeast"/>
        <w:ind w:left="3119" w:hanging="3119"/>
        <w:jc w:val="both"/>
        <w:rPr>
          <w:lang w:val="fr-CH"/>
        </w:rPr>
      </w:pPr>
      <w:r w:rsidRPr="00E84712">
        <w:rPr>
          <w:lang w:val="fr-CH"/>
        </w:rPr>
        <w:t>OFS</w:t>
      </w:r>
      <w:r w:rsidRPr="00E84712">
        <w:rPr>
          <w:lang w:val="fr-CH"/>
        </w:rPr>
        <w:tab/>
        <w:t>Office fédéral de la statistique</w:t>
      </w:r>
    </w:p>
    <w:p w:rsidR="00B04C37" w:rsidRPr="00E84712" w:rsidRDefault="00B04C37" w:rsidP="00B04C37">
      <w:pPr>
        <w:pStyle w:val="CommentText"/>
        <w:tabs>
          <w:tab w:val="left" w:pos="3119"/>
        </w:tabs>
        <w:spacing w:line="240" w:lineRule="atLeast"/>
        <w:ind w:left="3119" w:hanging="3119"/>
        <w:jc w:val="both"/>
        <w:rPr>
          <w:lang w:val="fr-CH"/>
        </w:rPr>
      </w:pPr>
      <w:r w:rsidRPr="00E84712">
        <w:rPr>
          <w:lang w:val="fr-CH"/>
        </w:rPr>
        <w:t>OFSP</w:t>
      </w:r>
      <w:r w:rsidRPr="00E84712">
        <w:rPr>
          <w:lang w:val="fr-CH"/>
        </w:rPr>
        <w:tab/>
        <w:t>Office fédéral de la santé publique</w:t>
      </w:r>
    </w:p>
    <w:p w:rsidR="00B04C37" w:rsidRPr="00E84712" w:rsidRDefault="00B04C37" w:rsidP="00B04C37">
      <w:pPr>
        <w:pStyle w:val="CommentText"/>
        <w:tabs>
          <w:tab w:val="left" w:pos="3119"/>
        </w:tabs>
        <w:spacing w:line="240" w:lineRule="atLeast"/>
        <w:ind w:left="3119" w:hanging="3119"/>
        <w:jc w:val="both"/>
        <w:rPr>
          <w:lang w:val="fr-FR"/>
        </w:rPr>
      </w:pPr>
      <w:r w:rsidRPr="00E84712">
        <w:rPr>
          <w:lang w:val="fr-FR"/>
        </w:rPr>
        <w:t>OFSPO</w:t>
      </w:r>
      <w:r w:rsidRPr="00E84712">
        <w:rPr>
          <w:lang w:val="fr-FR"/>
        </w:rPr>
        <w:tab/>
        <w:t>Office fédéral du sport</w:t>
      </w:r>
    </w:p>
    <w:p w:rsidR="00B04C37" w:rsidRPr="00444EFD" w:rsidRDefault="00B04C37" w:rsidP="00B04C37">
      <w:pPr>
        <w:pStyle w:val="CommentText"/>
        <w:tabs>
          <w:tab w:val="left" w:pos="3119"/>
        </w:tabs>
        <w:spacing w:line="240" w:lineRule="atLeast"/>
        <w:ind w:left="3119" w:hanging="3119"/>
        <w:jc w:val="both"/>
        <w:rPr>
          <w:lang w:val="fr-FR"/>
        </w:rPr>
      </w:pPr>
      <w:r w:rsidRPr="00444EFD">
        <w:rPr>
          <w:lang w:val="fr-FR"/>
        </w:rPr>
        <w:t>OG</w:t>
      </w:r>
      <w:r w:rsidRPr="00444EFD">
        <w:rPr>
          <w:lang w:val="fr-FR"/>
        </w:rPr>
        <w:tab/>
        <w:t>Observation générale</w:t>
      </w:r>
    </w:p>
    <w:p w:rsidR="00B04C37" w:rsidRPr="00917188" w:rsidRDefault="00B04C37" w:rsidP="00B04C37">
      <w:pPr>
        <w:pStyle w:val="CommentText"/>
        <w:tabs>
          <w:tab w:val="left" w:pos="3119"/>
        </w:tabs>
        <w:spacing w:line="240" w:lineRule="atLeast"/>
        <w:ind w:left="3119" w:hanging="3119"/>
        <w:jc w:val="both"/>
        <w:rPr>
          <w:lang w:val="fr-FR"/>
        </w:rPr>
      </w:pPr>
      <w:r w:rsidRPr="00917188">
        <w:rPr>
          <w:lang w:val="fr-FR"/>
        </w:rPr>
        <w:t>OIT</w:t>
      </w:r>
      <w:r w:rsidRPr="00917188">
        <w:rPr>
          <w:lang w:val="fr-FR"/>
        </w:rPr>
        <w:tab/>
      </w:r>
      <w:r w:rsidRPr="00917188">
        <w:rPr>
          <w:rFonts w:eastAsiaTheme="minorHAnsi"/>
          <w:bCs/>
          <w:lang w:val="fr-CH"/>
        </w:rPr>
        <w:t>Organisation internationale du Travail</w:t>
      </w:r>
    </w:p>
    <w:p w:rsidR="00B04C37" w:rsidRPr="00444EFD" w:rsidRDefault="00B04C37" w:rsidP="00B04C37">
      <w:pPr>
        <w:pStyle w:val="CommentText"/>
        <w:tabs>
          <w:tab w:val="left" w:pos="3119"/>
        </w:tabs>
        <w:spacing w:line="240" w:lineRule="atLeast"/>
        <w:ind w:left="3119" w:hanging="3119"/>
        <w:jc w:val="both"/>
        <w:rPr>
          <w:lang w:val="fr-CH"/>
        </w:rPr>
      </w:pPr>
      <w:r w:rsidRPr="00444EFD">
        <w:rPr>
          <w:lang w:val="fr-FR"/>
        </w:rPr>
        <w:t>OLT 1</w:t>
      </w:r>
      <w:r w:rsidRPr="00444EFD">
        <w:rPr>
          <w:lang w:val="fr-FR"/>
        </w:rPr>
        <w:tab/>
      </w:r>
      <w:r w:rsidRPr="00444EFD">
        <w:rPr>
          <w:bCs/>
          <w:lang w:val="fr-CH"/>
        </w:rPr>
        <w:t>Ordonnance 1 relative à la loi fédérale sur le travail</w:t>
      </w:r>
    </w:p>
    <w:p w:rsidR="00B04C37" w:rsidRPr="00444EFD" w:rsidRDefault="00B04C37" w:rsidP="00B04C37">
      <w:pPr>
        <w:pStyle w:val="CommentText"/>
        <w:tabs>
          <w:tab w:val="left" w:pos="3119"/>
        </w:tabs>
        <w:spacing w:line="240" w:lineRule="atLeast"/>
        <w:ind w:left="3119" w:hanging="3119"/>
        <w:jc w:val="both"/>
        <w:rPr>
          <w:lang w:val="fr-FR"/>
        </w:rPr>
      </w:pPr>
      <w:r w:rsidRPr="00444EFD">
        <w:rPr>
          <w:lang w:val="fr-FR"/>
        </w:rPr>
        <w:t>OLT 3</w:t>
      </w:r>
      <w:r w:rsidRPr="00444EFD">
        <w:rPr>
          <w:lang w:val="fr-FR"/>
        </w:rPr>
        <w:tab/>
      </w:r>
      <w:r w:rsidRPr="00444EFD">
        <w:rPr>
          <w:bCs/>
          <w:lang w:val="fr-CH"/>
        </w:rPr>
        <w:t>Ordonnance 3 relative à la loi fédérale sur le travail</w:t>
      </w:r>
    </w:p>
    <w:p w:rsidR="00B04C37" w:rsidRPr="003C31D6" w:rsidRDefault="00B04C37" w:rsidP="00B04C37">
      <w:pPr>
        <w:pStyle w:val="CommentText"/>
        <w:tabs>
          <w:tab w:val="left" w:pos="3119"/>
        </w:tabs>
        <w:spacing w:line="240" w:lineRule="atLeast"/>
        <w:ind w:left="3119" w:hanging="3119"/>
        <w:jc w:val="both"/>
        <w:rPr>
          <w:lang w:val="fr-FR"/>
        </w:rPr>
      </w:pPr>
      <w:r w:rsidRPr="003C31D6">
        <w:rPr>
          <w:lang w:val="fr-FR"/>
        </w:rPr>
        <w:t>OMS</w:t>
      </w:r>
      <w:r w:rsidRPr="003C31D6">
        <w:rPr>
          <w:lang w:val="fr-FR"/>
        </w:rPr>
        <w:tab/>
        <w:t>Organisation mondiale de la santé</w:t>
      </w:r>
    </w:p>
    <w:p w:rsidR="00B04C37" w:rsidRPr="003C31D6" w:rsidRDefault="00B04C37" w:rsidP="00B04C37">
      <w:pPr>
        <w:pStyle w:val="CommentText"/>
        <w:tabs>
          <w:tab w:val="left" w:pos="3119"/>
        </w:tabs>
        <w:spacing w:line="240" w:lineRule="atLeast"/>
        <w:ind w:left="3119" w:hanging="3119"/>
        <w:jc w:val="both"/>
        <w:rPr>
          <w:lang w:val="fr-FR"/>
        </w:rPr>
      </w:pPr>
      <w:r w:rsidRPr="003C31D6">
        <w:rPr>
          <w:lang w:val="fr-FR"/>
        </w:rPr>
        <w:t>ONG</w:t>
      </w:r>
      <w:r w:rsidRPr="003C31D6">
        <w:rPr>
          <w:lang w:val="fr-FR"/>
        </w:rPr>
        <w:tab/>
        <w:t>Organisation non gouvernementale</w:t>
      </w:r>
    </w:p>
    <w:p w:rsidR="00B04C37" w:rsidRPr="003C31D6" w:rsidRDefault="00B04C37" w:rsidP="00B04C37">
      <w:pPr>
        <w:pStyle w:val="CommentText"/>
        <w:tabs>
          <w:tab w:val="left" w:pos="3119"/>
        </w:tabs>
        <w:spacing w:line="240" w:lineRule="atLeast"/>
        <w:ind w:left="3119" w:hanging="3119"/>
        <w:jc w:val="both"/>
        <w:rPr>
          <w:lang w:val="fr-FR"/>
        </w:rPr>
      </w:pPr>
      <w:r w:rsidRPr="003C31D6">
        <w:rPr>
          <w:lang w:val="fr-FR"/>
        </w:rPr>
        <w:t>OPE</w:t>
      </w:r>
      <w:r w:rsidRPr="003C31D6">
        <w:rPr>
          <w:lang w:val="fr-FR"/>
        </w:rPr>
        <w:tab/>
      </w:r>
      <w:r w:rsidRPr="003C31D6">
        <w:rPr>
          <w:lang w:val="fr-CH"/>
        </w:rPr>
        <w:t>Ordonnance sur le placement d'enfants</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FR"/>
        </w:rPr>
        <w:t>OPF</w:t>
      </w:r>
      <w:r w:rsidRPr="00917188">
        <w:rPr>
          <w:lang w:val="fr-FR"/>
        </w:rPr>
        <w:tab/>
        <w:t>O</w:t>
      </w:r>
      <w:r w:rsidRPr="00917188">
        <w:rPr>
          <w:lang w:val="fr-CH"/>
        </w:rPr>
        <w:t>rganisation de placement familial</w:t>
      </w:r>
    </w:p>
    <w:p w:rsidR="00B04C37" w:rsidRPr="003C31D6" w:rsidRDefault="00B04C37" w:rsidP="00B04C37">
      <w:pPr>
        <w:pStyle w:val="CommentText"/>
        <w:tabs>
          <w:tab w:val="left" w:pos="3119"/>
        </w:tabs>
        <w:spacing w:line="240" w:lineRule="atLeast"/>
        <w:ind w:left="3119" w:hanging="3119"/>
        <w:jc w:val="both"/>
        <w:rPr>
          <w:lang w:val="fr-FR"/>
        </w:rPr>
      </w:pPr>
      <w:r w:rsidRPr="003C31D6">
        <w:rPr>
          <w:lang w:val="fr-FR"/>
        </w:rPr>
        <w:t>OPPM</w:t>
      </w:r>
      <w:r w:rsidRPr="003C31D6">
        <w:rPr>
          <w:lang w:val="fr-FR"/>
        </w:rPr>
        <w:tab/>
        <w:t>Ordonnance sur les prestations de la Confédération dans le domaine de l’exécution des peines et des mesures</w:t>
      </w:r>
    </w:p>
    <w:p w:rsidR="00B04C37" w:rsidRPr="00917188" w:rsidRDefault="00B04C37" w:rsidP="00B04C37">
      <w:pPr>
        <w:pStyle w:val="CommentText"/>
        <w:tabs>
          <w:tab w:val="left" w:pos="3119"/>
        </w:tabs>
        <w:spacing w:line="240" w:lineRule="atLeast"/>
        <w:ind w:left="3119" w:hanging="3119"/>
        <w:jc w:val="both"/>
        <w:rPr>
          <w:lang w:val="fr-FR"/>
        </w:rPr>
      </w:pPr>
      <w:r w:rsidRPr="00917188">
        <w:rPr>
          <w:lang w:val="fr-FR"/>
        </w:rPr>
        <w:t>OPMA</w:t>
      </w:r>
      <w:r w:rsidRPr="00917188">
        <w:rPr>
          <w:lang w:val="fr-FR"/>
        </w:rPr>
        <w:tab/>
        <w:t>Ordonnance sur la procréation médicalement assistée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PACTA</w:t>
      </w:r>
      <w:r w:rsidRPr="003C31D6">
        <w:rPr>
          <w:lang w:val="fr-CH"/>
        </w:rPr>
        <w:tab/>
      </w:r>
      <w:r w:rsidRPr="003C31D6">
        <w:rPr>
          <w:i/>
          <w:lang w:val="fr-CH"/>
        </w:rPr>
        <w:t>Paris Agreement Capital Transition Assessment</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PER</w:t>
      </w:r>
      <w:r w:rsidRPr="003C31D6">
        <w:rPr>
          <w:lang w:val="fr-CH"/>
        </w:rPr>
        <w:tab/>
        <w:t>Plan d’études romand</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PIC</w:t>
      </w:r>
      <w:r w:rsidRPr="003A37A9">
        <w:rPr>
          <w:lang w:val="fr-CH"/>
        </w:rPr>
        <w:tab/>
        <w:t>Programmes d'intégration cantonaux</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PMA</w:t>
      </w:r>
      <w:r w:rsidRPr="003A37A9">
        <w:rPr>
          <w:lang w:val="fr-CH"/>
        </w:rPr>
        <w:tab/>
      </w:r>
      <w:r w:rsidRPr="003A37A9">
        <w:rPr>
          <w:lang w:val="fr-FR"/>
        </w:rPr>
        <w:t>Procréation médicalement assistée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PNR</w:t>
      </w:r>
      <w:r w:rsidRPr="003C31D6">
        <w:rPr>
          <w:lang w:val="fr-CH"/>
        </w:rPr>
        <w:tab/>
        <w:t>Programme national de recherche</w:t>
      </w:r>
    </w:p>
    <w:p w:rsidR="00B04C37" w:rsidRPr="003A37A9" w:rsidRDefault="00B04C37" w:rsidP="00B04C37">
      <w:pPr>
        <w:pStyle w:val="CommentText"/>
        <w:tabs>
          <w:tab w:val="left" w:pos="3119"/>
        </w:tabs>
        <w:spacing w:line="240" w:lineRule="atLeast"/>
        <w:ind w:left="3119" w:hanging="3119"/>
        <w:jc w:val="both"/>
        <w:rPr>
          <w:lang w:val="fr-CH"/>
        </w:rPr>
      </w:pPr>
      <w:r w:rsidRPr="003A37A9">
        <w:rPr>
          <w:lang w:val="fr-CH"/>
        </w:rPr>
        <w:t>PPMin</w:t>
      </w:r>
      <w:r w:rsidRPr="003A37A9">
        <w:rPr>
          <w:lang w:val="fr-CH"/>
        </w:rPr>
        <w:tab/>
        <w:t>Loi fédérale sur la procédure pénale applicable aux mineurs</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PSC</w:t>
      </w:r>
      <w:r w:rsidRPr="003C31D6">
        <w:rPr>
          <w:lang w:val="fr-CH"/>
        </w:rPr>
        <w:tab/>
        <w:t>Prévention Suisse de la Criminalité</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RSDE</w:t>
      </w:r>
      <w:r w:rsidRPr="003C31D6">
        <w:rPr>
          <w:lang w:val="fr-CH"/>
        </w:rPr>
        <w:tab/>
        <w:t>Réseau suisse des droits de l’enfant (société civile)</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SEM</w:t>
      </w:r>
      <w:r w:rsidRPr="003C31D6">
        <w:rPr>
          <w:lang w:val="fr-CH"/>
        </w:rPr>
        <w:tab/>
        <w:t>Secrétariat d’État aux migrations</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SFI</w:t>
      </w:r>
      <w:r w:rsidRPr="003C31D6">
        <w:rPr>
          <w:lang w:val="fr-CH"/>
        </w:rPr>
        <w:tab/>
        <w:t>Secrétariat d’État aux questions financières internationales</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SLR</w:t>
      </w:r>
      <w:r w:rsidRPr="00917188">
        <w:rPr>
          <w:lang w:val="fr-CH"/>
        </w:rPr>
        <w:tab/>
        <w:t>Service de lutte contre le racisme (rattaché au DFI)</w:t>
      </w:r>
    </w:p>
    <w:p w:rsidR="00B04C37" w:rsidRPr="003C31D6" w:rsidRDefault="00B04C37" w:rsidP="00B04C37">
      <w:pPr>
        <w:pStyle w:val="CommentText"/>
        <w:tabs>
          <w:tab w:val="left" w:pos="3119"/>
        </w:tabs>
        <w:spacing w:line="240" w:lineRule="atLeast"/>
        <w:ind w:left="3119" w:hanging="3119"/>
        <w:jc w:val="both"/>
        <w:rPr>
          <w:lang w:val="fr-CH"/>
        </w:rPr>
      </w:pPr>
      <w:r w:rsidRPr="003C31D6">
        <w:rPr>
          <w:lang w:val="fr-CH"/>
        </w:rPr>
        <w:t>SPC</w:t>
      </w:r>
      <w:r w:rsidRPr="003C31D6">
        <w:rPr>
          <w:lang w:val="fr-CH"/>
        </w:rPr>
        <w:tab/>
        <w:t>Statistique policière de la criminalité</w:t>
      </w:r>
    </w:p>
    <w:p w:rsidR="00B04C37" w:rsidRPr="00917188" w:rsidRDefault="00B04C37" w:rsidP="00B04C37">
      <w:pPr>
        <w:pStyle w:val="CommentText"/>
        <w:tabs>
          <w:tab w:val="left" w:pos="3119"/>
        </w:tabs>
        <w:spacing w:line="240" w:lineRule="atLeast"/>
        <w:ind w:left="3119" w:hanging="3119"/>
        <w:jc w:val="both"/>
        <w:rPr>
          <w:lang w:val="fr-CH"/>
        </w:rPr>
      </w:pPr>
      <w:r w:rsidRPr="00917188">
        <w:rPr>
          <w:lang w:val="fr-CH"/>
        </w:rPr>
        <w:t>SSI</w:t>
      </w:r>
      <w:r w:rsidRPr="00917188">
        <w:rPr>
          <w:lang w:val="fr-CH"/>
        </w:rPr>
        <w:tab/>
        <w:t>Supplément pour soins intenses</w:t>
      </w:r>
    </w:p>
    <w:p w:rsidR="00B04C37" w:rsidRPr="003C31D6" w:rsidRDefault="00B04C37" w:rsidP="00B04C37">
      <w:pPr>
        <w:pStyle w:val="CommentText"/>
        <w:tabs>
          <w:tab w:val="left" w:pos="3119"/>
        </w:tabs>
        <w:spacing w:line="240" w:lineRule="atLeast"/>
        <w:ind w:left="3119" w:hanging="3119"/>
        <w:jc w:val="both"/>
        <w:rPr>
          <w:rStyle w:val="st"/>
          <w:rFonts w:eastAsiaTheme="majorEastAsia"/>
          <w:lang w:val="fr-CH"/>
        </w:rPr>
      </w:pPr>
      <w:r w:rsidRPr="003C31D6">
        <w:rPr>
          <w:rStyle w:val="st"/>
          <w:rFonts w:eastAsiaTheme="majorEastAsia"/>
          <w:lang w:val="fr-CH"/>
        </w:rPr>
        <w:t>SYMIC</w:t>
      </w:r>
      <w:r w:rsidRPr="003C31D6">
        <w:rPr>
          <w:rStyle w:val="st"/>
          <w:rFonts w:eastAsiaTheme="majorEastAsia"/>
          <w:lang w:val="fr-CH"/>
        </w:rPr>
        <w:tab/>
        <w:t>Système d'information central sur la migration</w:t>
      </w:r>
    </w:p>
    <w:p w:rsidR="00B04C37" w:rsidRDefault="00B04C37" w:rsidP="00B04C37">
      <w:pPr>
        <w:pStyle w:val="CommentText"/>
        <w:tabs>
          <w:tab w:val="left" w:pos="3119"/>
        </w:tabs>
        <w:spacing w:line="240" w:lineRule="atLeast"/>
        <w:ind w:left="3119" w:hanging="3119"/>
        <w:jc w:val="both"/>
        <w:rPr>
          <w:lang w:val="fr-CH"/>
        </w:rPr>
      </w:pPr>
      <w:r w:rsidRPr="00E84712">
        <w:rPr>
          <w:rStyle w:val="st"/>
          <w:rFonts w:eastAsiaTheme="majorEastAsia"/>
          <w:lang w:val="fr-CH"/>
        </w:rPr>
        <w:t>TF</w:t>
      </w:r>
      <w:r w:rsidRPr="00E84712">
        <w:rPr>
          <w:rStyle w:val="st"/>
          <w:rFonts w:eastAsiaTheme="majorEastAsia"/>
          <w:lang w:val="fr-CH"/>
        </w:rPr>
        <w:tab/>
        <w:t>Tribunal fédéral</w:t>
      </w:r>
    </w:p>
    <w:p w:rsidR="00B04C37" w:rsidRDefault="00B04C37" w:rsidP="00B04C37">
      <w:pPr>
        <w:suppressAutoHyphens w:val="0"/>
        <w:spacing w:after="160" w:line="259" w:lineRule="auto"/>
      </w:pPr>
      <w:r>
        <w:lastRenderedPageBreak/>
        <w:br w:type="page"/>
      </w:r>
    </w:p>
    <w:p w:rsidR="00B04C37" w:rsidRDefault="00B04C37" w:rsidP="00B04C37">
      <w:pPr>
        <w:pStyle w:val="Heading1"/>
        <w:jc w:val="both"/>
        <w:rPr>
          <w:rStyle w:val="BookTitle"/>
          <w:rFonts w:ascii="Times New Roman" w:hAnsi="Times New Roman" w:cs="Times New Roman"/>
          <w:i w:val="0"/>
          <w:sz w:val="28"/>
          <w:szCs w:val="28"/>
        </w:rPr>
      </w:pPr>
      <w:bookmarkStart w:id="1" w:name="_Toc34658304"/>
      <w:bookmarkStart w:id="2" w:name="_Toc57644824"/>
      <w:r w:rsidRPr="002053FB">
        <w:rPr>
          <w:rStyle w:val="BookTitle"/>
          <w:rFonts w:ascii="Times New Roman" w:hAnsi="Times New Roman" w:cs="Times New Roman"/>
          <w:sz w:val="28"/>
          <w:szCs w:val="28"/>
        </w:rPr>
        <w:lastRenderedPageBreak/>
        <w:t xml:space="preserve">Annexe 2 - </w:t>
      </w:r>
      <w:r w:rsidRPr="000768E5">
        <w:rPr>
          <w:rStyle w:val="BookTitle"/>
          <w:rFonts w:ascii="Times New Roman" w:hAnsi="Times New Roman" w:cs="Times New Roman"/>
          <w:sz w:val="28"/>
          <w:szCs w:val="28"/>
        </w:rPr>
        <w:t>Informations</w:t>
      </w:r>
      <w:r w:rsidRPr="002053FB">
        <w:rPr>
          <w:rStyle w:val="BookTitle"/>
          <w:rFonts w:ascii="Times New Roman" w:hAnsi="Times New Roman" w:cs="Times New Roman"/>
          <w:sz w:val="28"/>
          <w:szCs w:val="28"/>
        </w:rPr>
        <w:t xml:space="preserve"> et données statistiques</w:t>
      </w:r>
      <w:bookmarkStart w:id="3" w:name="_Toc34658307"/>
      <w:bookmarkEnd w:id="1"/>
      <w:bookmarkEnd w:id="2"/>
    </w:p>
    <w:bookmarkEnd w:id="3"/>
    <w:p w:rsidR="00B04C37" w:rsidRDefault="00B04C37" w:rsidP="00B04C37">
      <w:pPr>
        <w:jc w:val="both"/>
        <w:rPr>
          <w:b/>
          <w:sz w:val="24"/>
          <w:szCs w:val="24"/>
        </w:rPr>
      </w:pPr>
    </w:p>
    <w:p w:rsidR="00B04C37" w:rsidRPr="000768E5" w:rsidRDefault="00B04C37" w:rsidP="00B04C37">
      <w:pPr>
        <w:jc w:val="both"/>
        <w:rPr>
          <w:b/>
          <w:color w:val="2E74B5" w:themeColor="accent1" w:themeShade="BF"/>
          <w:sz w:val="24"/>
          <w:szCs w:val="24"/>
        </w:rPr>
      </w:pPr>
      <w:r w:rsidRPr="000768E5">
        <w:rPr>
          <w:b/>
          <w:color w:val="2E74B5" w:themeColor="accent1" w:themeShade="BF"/>
          <w:sz w:val="24"/>
          <w:szCs w:val="24"/>
        </w:rPr>
        <w:t>A.</w:t>
      </w:r>
      <w:r w:rsidRPr="000768E5">
        <w:rPr>
          <w:b/>
          <w:color w:val="2E74B5" w:themeColor="accent1" w:themeShade="BF"/>
          <w:sz w:val="24"/>
          <w:szCs w:val="24"/>
        </w:rPr>
        <w:tab/>
        <w:t>Mesures d’application générales (art.4, 42 et 44 §6)</w:t>
      </w:r>
    </w:p>
    <w:p w:rsidR="00B04C37" w:rsidRPr="00C52C2E" w:rsidRDefault="00B04C37" w:rsidP="00B04C37">
      <w:pPr>
        <w:jc w:val="both"/>
      </w:pPr>
    </w:p>
    <w:p w:rsidR="00B04C37" w:rsidRPr="000768E5" w:rsidRDefault="00B04C37" w:rsidP="00B04C37">
      <w:pPr>
        <w:jc w:val="both"/>
        <w:rPr>
          <w:color w:val="1F4E79" w:themeColor="accent1" w:themeShade="80"/>
          <w:sz w:val="24"/>
          <w:szCs w:val="24"/>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rPr>
        <w:t>35</w:t>
      </w:r>
    </w:p>
    <w:p w:rsidR="00B04C37" w:rsidRPr="00AC28D2" w:rsidRDefault="00B04C37" w:rsidP="00B04C37">
      <w:pPr>
        <w:jc w:val="both"/>
      </w:pPr>
    </w:p>
    <w:p w:rsidR="00B04C37" w:rsidRPr="00AC28D2" w:rsidRDefault="00B04C37" w:rsidP="00B04C37">
      <w:pPr>
        <w:jc w:val="both"/>
      </w:pPr>
      <w:r w:rsidRPr="00AC28D2">
        <w:rPr>
          <w:b/>
          <w:u w:val="single"/>
        </w:rPr>
        <w:t>Dépenses de l’</w:t>
      </w:r>
      <w:r>
        <w:rPr>
          <w:b/>
          <w:u w:val="single"/>
        </w:rPr>
        <w:t>État</w:t>
      </w:r>
      <w:r w:rsidRPr="00AC28D2">
        <w:rPr>
          <w:b/>
          <w:u w:val="single"/>
        </w:rPr>
        <w:t xml:space="preserve"> (trois niveaux institutionnels: Conf</w:t>
      </w:r>
      <w:r>
        <w:rPr>
          <w:b/>
          <w:u w:val="single"/>
        </w:rPr>
        <w:t>édération, cantons et communes)</w:t>
      </w:r>
    </w:p>
    <w:p w:rsidR="00B04C37" w:rsidRPr="00F23BA1" w:rsidRDefault="00B04C37" w:rsidP="00B04C37">
      <w:pPr>
        <w:jc w:val="both"/>
        <w:rPr>
          <w:i/>
        </w:rPr>
      </w:pPr>
      <w:r w:rsidRPr="00F23BA1">
        <w:rPr>
          <w:i/>
        </w:rPr>
        <w:t>Voir tableau annexé de l’AFF</w:t>
      </w:r>
    </w:p>
    <w:p w:rsidR="00B04C37" w:rsidRDefault="00B04C37" w:rsidP="00B04C37">
      <w:pPr>
        <w:jc w:val="both"/>
        <w:rPr>
          <w:b/>
          <w:u w:val="single"/>
        </w:rPr>
      </w:pPr>
    </w:p>
    <w:p w:rsidR="00B04C37" w:rsidRPr="00AC28D2" w:rsidRDefault="00B04C37" w:rsidP="00B04C37">
      <w:pPr>
        <w:jc w:val="both"/>
      </w:pPr>
      <w:r w:rsidRPr="00AC28D2">
        <w:rPr>
          <w:b/>
          <w:u w:val="single"/>
        </w:rPr>
        <w:t>Dépenses de la Confédération en faveur de la politique familiale 2016-2019</w:t>
      </w:r>
    </w:p>
    <w:p w:rsidR="00B04C37" w:rsidRPr="00F23BA1" w:rsidRDefault="00B04C37" w:rsidP="00B04C37">
      <w:pPr>
        <w:jc w:val="both"/>
        <w:rPr>
          <w:i/>
        </w:rPr>
      </w:pPr>
      <w:r w:rsidRPr="00F23BA1">
        <w:rPr>
          <w:i/>
        </w:rPr>
        <w:t>Voir tableau annexé de l’AFF</w:t>
      </w:r>
    </w:p>
    <w:p w:rsidR="00B04C37" w:rsidRPr="00AC28D2" w:rsidRDefault="00B04C37" w:rsidP="00B04C37">
      <w:pPr>
        <w:jc w:val="both"/>
      </w:pPr>
      <w:r w:rsidRPr="00AC28D2">
        <w:t xml:space="preserve">Comme </w:t>
      </w:r>
      <w:r>
        <w:t xml:space="preserve">la politique familiale est </w:t>
      </w:r>
      <w:r w:rsidRPr="00AC28D2">
        <w:t>une tâche de la responsabilité principale des cantons et des communes, la part que ce poste occupe dans les dépenses de la Confédération est assez faible, ce qui ne permet pas de comparaison internationale valable.</w:t>
      </w:r>
    </w:p>
    <w:p w:rsidR="00B04C37" w:rsidRPr="00AC28D2" w:rsidRDefault="00B04C37" w:rsidP="00B04C37">
      <w:pPr>
        <w:jc w:val="both"/>
      </w:pPr>
    </w:p>
    <w:p w:rsidR="00B04C37" w:rsidRPr="00AC28D2" w:rsidRDefault="00B04C37" w:rsidP="00B04C37">
      <w:pPr>
        <w:jc w:val="both"/>
      </w:pPr>
      <w:r w:rsidRPr="00AC28D2">
        <w:rPr>
          <w:b/>
          <w:u w:val="single"/>
        </w:rPr>
        <w:t>Crédits OFAS</w:t>
      </w:r>
    </w:p>
    <w:p w:rsidR="00B04C37" w:rsidRPr="00AC28D2" w:rsidRDefault="00B04C37" w:rsidP="00B04C37">
      <w:pPr>
        <w:jc w:val="both"/>
      </w:pPr>
      <w:r w:rsidRPr="00AC28D2">
        <w:t xml:space="preserve">Crédit LEEJ </w:t>
      </w:r>
      <w:r>
        <w:t>(</w:t>
      </w:r>
      <w:r w:rsidRPr="00AC28D2">
        <w:t>2019</w:t>
      </w:r>
      <w:r>
        <w:t>)</w:t>
      </w:r>
      <w:r w:rsidRPr="00AC28D2">
        <w:t>: CHF 11'757'600</w:t>
      </w:r>
    </w:p>
    <w:p w:rsidR="00B04C37" w:rsidRPr="00AC28D2" w:rsidRDefault="00B04C37" w:rsidP="00B04C37">
      <w:pPr>
        <w:jc w:val="both"/>
      </w:pPr>
      <w:r w:rsidRPr="00AC28D2">
        <w:t xml:space="preserve">Crédit protection de l’enfance et de la jeunesse </w:t>
      </w:r>
      <w:r>
        <w:t>(</w:t>
      </w:r>
      <w:r w:rsidRPr="00AC28D2">
        <w:t>2019</w:t>
      </w:r>
      <w:r>
        <w:t>)</w:t>
      </w:r>
      <w:r w:rsidRPr="00AC28D2">
        <w:t>: CHF 1'483'300</w:t>
      </w:r>
      <w:r>
        <w:t>, dont 558</w:t>
      </w:r>
      <w:r w:rsidRPr="00AC28D2">
        <w:t>'</w:t>
      </w:r>
      <w:r>
        <w:t>600</w:t>
      </w:r>
      <w:r w:rsidRPr="003A5844">
        <w:t xml:space="preserve"> </w:t>
      </w:r>
      <w:r>
        <w:t xml:space="preserve">pour la </w:t>
      </w:r>
      <w:r w:rsidRPr="00AC28D2">
        <w:t>plateforme Jeunes et média</w:t>
      </w:r>
      <w:r>
        <w:t>s</w:t>
      </w:r>
    </w:p>
    <w:p w:rsidR="00B04C37" w:rsidRPr="00AC28D2" w:rsidRDefault="00B04C37" w:rsidP="00B04C37">
      <w:pPr>
        <w:jc w:val="both"/>
      </w:pPr>
      <w:r w:rsidRPr="00AC28D2">
        <w:t xml:space="preserve">Crédit droits de l’enfants </w:t>
      </w:r>
      <w:r>
        <w:t>(</w:t>
      </w:r>
      <w:r w:rsidRPr="00AC28D2">
        <w:t>2019</w:t>
      </w:r>
      <w:r>
        <w:t>)</w:t>
      </w:r>
      <w:r w:rsidRPr="00AC28D2">
        <w:t>: CHF 200'100</w:t>
      </w:r>
    </w:p>
    <w:p w:rsidR="00B04C37" w:rsidRPr="00AC28D2" w:rsidRDefault="00B04C37" w:rsidP="00B04C37">
      <w:pPr>
        <w:jc w:val="both"/>
      </w:pPr>
    </w:p>
    <w:p w:rsidR="00B04C37" w:rsidRPr="00AC28D2" w:rsidRDefault="00B04C37" w:rsidP="00B04C37">
      <w:pPr>
        <w:jc w:val="both"/>
        <w:rPr>
          <w:b/>
          <w:u w:val="single"/>
        </w:rPr>
      </w:pPr>
      <w:r>
        <w:rPr>
          <w:b/>
          <w:u w:val="single"/>
        </w:rPr>
        <w:t>Budget de l’OFSP</w:t>
      </w:r>
    </w:p>
    <w:p w:rsidR="00B04C37" w:rsidRPr="00AC28D2"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AC28D2">
        <w:rPr>
          <w:rFonts w:cs="Arial"/>
          <w:bCs/>
          <w:sz w:val="20"/>
          <w:szCs w:val="20"/>
          <w:lang w:val="fr-CH"/>
        </w:rPr>
        <w:t xml:space="preserve">Le montant réservé pour la santé des enfants et des </w:t>
      </w:r>
      <w:r>
        <w:rPr>
          <w:rFonts w:cs="Arial"/>
          <w:bCs/>
          <w:sz w:val="20"/>
          <w:szCs w:val="20"/>
          <w:lang w:val="fr-CH"/>
        </w:rPr>
        <w:t xml:space="preserve">jeunes dans le budget de l’OFSP </w:t>
      </w:r>
      <w:r w:rsidRPr="00AC28D2">
        <w:rPr>
          <w:rFonts w:cs="Arial"/>
          <w:bCs/>
          <w:sz w:val="20"/>
          <w:szCs w:val="20"/>
          <w:lang w:val="fr-CH"/>
        </w:rPr>
        <w:t xml:space="preserve">n’est pas </w:t>
      </w:r>
      <w:r w:rsidRPr="00AC28D2">
        <w:rPr>
          <w:bCs/>
          <w:sz w:val="20"/>
          <w:szCs w:val="20"/>
          <w:lang w:val="fr-CH"/>
        </w:rPr>
        <w:t>"</w:t>
      </w:r>
      <w:r w:rsidRPr="00AC28D2">
        <w:rPr>
          <w:rFonts w:cs="Arial"/>
          <w:bCs/>
          <w:sz w:val="20"/>
          <w:szCs w:val="20"/>
          <w:lang w:val="fr-CH"/>
        </w:rPr>
        <w:t>visible</w:t>
      </w:r>
      <w:r w:rsidRPr="00AC28D2">
        <w:rPr>
          <w:bCs/>
          <w:sz w:val="20"/>
          <w:szCs w:val="20"/>
          <w:lang w:val="fr-CH"/>
        </w:rPr>
        <w:t>"</w:t>
      </w:r>
      <w:r>
        <w:rPr>
          <w:bCs/>
          <w:sz w:val="20"/>
          <w:szCs w:val="20"/>
          <w:lang w:val="fr-CH"/>
        </w:rPr>
        <w:t>, car</w:t>
      </w:r>
      <w:r w:rsidRPr="00AC28D2">
        <w:rPr>
          <w:rFonts w:cs="Arial"/>
          <w:bCs/>
          <w:sz w:val="20"/>
          <w:szCs w:val="20"/>
          <w:lang w:val="fr-CH"/>
        </w:rPr>
        <w:t xml:space="preserve"> le budget est organisé par unité d’organisation et tâches. La santé des enfants et jeunes n’est pas du domaine d’une seule unité, elle est repartie entre une quinzaine d’unités. Une enquête menée auprès des unités membres de la plateforme santé des enfants et jeunes montre qu’en 2018, l’OFSP a dépensé env</w:t>
      </w:r>
      <w:r>
        <w:rPr>
          <w:rFonts w:cs="Arial"/>
          <w:bCs/>
          <w:sz w:val="20"/>
          <w:szCs w:val="20"/>
          <w:lang w:val="fr-CH"/>
        </w:rPr>
        <w:t xml:space="preserve">iron </w:t>
      </w:r>
      <w:r w:rsidRPr="00AC28D2">
        <w:rPr>
          <w:rFonts w:cs="Arial"/>
          <w:bCs/>
          <w:sz w:val="20"/>
          <w:szCs w:val="20"/>
          <w:lang w:val="fr-CH"/>
        </w:rPr>
        <w:t>CHF 2 millions pour ces phases de vie.</w:t>
      </w:r>
    </w:p>
    <w:p w:rsidR="00B04C37" w:rsidRDefault="00B04C37" w:rsidP="00B04C37">
      <w:pPr>
        <w:jc w:val="both"/>
        <w:rPr>
          <w:sz w:val="24"/>
          <w:szCs w:val="24"/>
        </w:rPr>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B.</w:t>
      </w:r>
      <w:r w:rsidRPr="00C52C2E">
        <w:rPr>
          <w:b/>
          <w:color w:val="2E74B5" w:themeColor="accent1" w:themeShade="BF"/>
          <w:sz w:val="24"/>
          <w:szCs w:val="24"/>
        </w:rPr>
        <w:tab/>
        <w:t>Définition de l’enfant (art.1)</w:t>
      </w:r>
    </w:p>
    <w:p w:rsidR="00B04C37" w:rsidRDefault="00B04C37" w:rsidP="00B04C37">
      <w:pPr>
        <w:jc w:val="both"/>
        <w:rPr>
          <w:sz w:val="24"/>
          <w:szCs w:val="24"/>
        </w:rPr>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36</w:t>
      </w:r>
    </w:p>
    <w:p w:rsidR="00B04C37"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p>
    <w:p w:rsidR="00B04C37" w:rsidRPr="00F52CC6"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bookmarkStart w:id="4" w:name="_Toc34658311"/>
      <w:r w:rsidRPr="00F52CC6">
        <w:rPr>
          <w:rFonts w:cs="Arial"/>
          <w:bCs/>
          <w:sz w:val="20"/>
          <w:szCs w:val="20"/>
          <w:lang w:val="fr-CH"/>
        </w:rPr>
        <w:t>En 201</w:t>
      </w:r>
      <w:r>
        <w:rPr>
          <w:rFonts w:cs="Arial"/>
          <w:bCs/>
          <w:sz w:val="20"/>
          <w:szCs w:val="20"/>
          <w:lang w:val="fr-CH"/>
        </w:rPr>
        <w:t>9</w:t>
      </w:r>
      <w:r w:rsidRPr="00F52CC6">
        <w:rPr>
          <w:rFonts w:cs="Arial"/>
          <w:bCs/>
          <w:sz w:val="20"/>
          <w:szCs w:val="20"/>
          <w:lang w:val="fr-CH"/>
        </w:rPr>
        <w:t xml:space="preserve">, </w:t>
      </w:r>
      <w:r w:rsidRPr="001B0B77">
        <w:rPr>
          <w:rFonts w:cs="Arial"/>
          <w:bCs/>
          <w:sz w:val="20"/>
          <w:szCs w:val="20"/>
          <w:lang w:val="fr-CH"/>
        </w:rPr>
        <w:t>1</w:t>
      </w:r>
      <w:r>
        <w:rPr>
          <w:bCs/>
          <w:sz w:val="20"/>
          <w:szCs w:val="20"/>
          <w:lang w:val="fr-CH"/>
        </w:rPr>
        <w:t>'</w:t>
      </w:r>
      <w:r w:rsidRPr="001B0B77">
        <w:rPr>
          <w:rFonts w:cs="Arial"/>
          <w:bCs/>
          <w:sz w:val="20"/>
          <w:szCs w:val="20"/>
          <w:lang w:val="fr-CH"/>
        </w:rPr>
        <w:t>542</w:t>
      </w:r>
      <w:r>
        <w:rPr>
          <w:bCs/>
          <w:sz w:val="20"/>
          <w:szCs w:val="20"/>
          <w:lang w:val="fr-CH"/>
        </w:rPr>
        <w:t>'</w:t>
      </w:r>
      <w:r w:rsidRPr="001B0B77">
        <w:rPr>
          <w:rFonts w:cs="Arial"/>
          <w:bCs/>
          <w:sz w:val="20"/>
          <w:szCs w:val="20"/>
          <w:lang w:val="fr-CH"/>
        </w:rPr>
        <w:t>361</w:t>
      </w:r>
      <w:r w:rsidRPr="00F52CC6">
        <w:rPr>
          <w:rFonts w:cs="Arial"/>
          <w:bCs/>
          <w:sz w:val="20"/>
          <w:szCs w:val="20"/>
          <w:lang w:val="fr-CH"/>
        </w:rPr>
        <w:t xml:space="preserve"> personnes de moins de 18 ans résident en Suisse de manière permanente, soit 17,9% de la population totale. Par rapport à 2014, leur nombre a progressé (+</w:t>
      </w:r>
      <w:r>
        <w:rPr>
          <w:rFonts w:cs="Arial"/>
          <w:bCs/>
          <w:sz w:val="20"/>
          <w:szCs w:val="20"/>
          <w:lang w:val="fr-CH"/>
        </w:rPr>
        <w:t>4</w:t>
      </w:r>
      <w:r w:rsidRPr="00F52CC6">
        <w:rPr>
          <w:rFonts w:cs="Arial"/>
          <w:bCs/>
          <w:sz w:val="20"/>
          <w:szCs w:val="20"/>
          <w:lang w:val="fr-CH"/>
        </w:rPr>
        <w:t>,</w:t>
      </w:r>
      <w:r>
        <w:rPr>
          <w:rFonts w:cs="Arial"/>
          <w:bCs/>
          <w:sz w:val="20"/>
          <w:szCs w:val="20"/>
          <w:lang w:val="fr-CH"/>
        </w:rPr>
        <w:t>1</w:t>
      </w:r>
      <w:r w:rsidRPr="00F52CC6">
        <w:rPr>
          <w:rFonts w:cs="Arial"/>
          <w:bCs/>
          <w:sz w:val="20"/>
          <w:szCs w:val="20"/>
          <w:lang w:val="fr-CH"/>
        </w:rPr>
        <w:t>%), passant de 1</w:t>
      </w:r>
      <w:r>
        <w:rPr>
          <w:bCs/>
          <w:sz w:val="20"/>
          <w:szCs w:val="20"/>
          <w:lang w:val="fr-CH"/>
        </w:rPr>
        <w:t>'</w:t>
      </w:r>
      <w:r w:rsidRPr="00F52CC6">
        <w:rPr>
          <w:rFonts w:cs="Arial"/>
          <w:bCs/>
          <w:sz w:val="20"/>
          <w:szCs w:val="20"/>
          <w:lang w:val="fr-CH"/>
        </w:rPr>
        <w:t>482</w:t>
      </w:r>
      <w:r>
        <w:rPr>
          <w:bCs/>
          <w:sz w:val="20"/>
          <w:szCs w:val="20"/>
          <w:lang w:val="fr-CH"/>
        </w:rPr>
        <w:t>'</w:t>
      </w:r>
      <w:r w:rsidRPr="00F52CC6">
        <w:rPr>
          <w:rFonts w:cs="Arial"/>
          <w:bCs/>
          <w:sz w:val="20"/>
          <w:szCs w:val="20"/>
          <w:lang w:val="fr-CH"/>
        </w:rPr>
        <w:t xml:space="preserve">010 à </w:t>
      </w:r>
      <w:r w:rsidRPr="001B0B77">
        <w:rPr>
          <w:rFonts w:cs="Arial"/>
          <w:bCs/>
          <w:sz w:val="20"/>
          <w:szCs w:val="20"/>
          <w:lang w:val="fr-CH"/>
        </w:rPr>
        <w:t>1</w:t>
      </w:r>
      <w:r>
        <w:rPr>
          <w:bCs/>
          <w:sz w:val="20"/>
          <w:szCs w:val="20"/>
          <w:lang w:val="fr-CH"/>
        </w:rPr>
        <w:t>'</w:t>
      </w:r>
      <w:r w:rsidRPr="001B0B77">
        <w:rPr>
          <w:rFonts w:cs="Arial"/>
          <w:bCs/>
          <w:sz w:val="20"/>
          <w:szCs w:val="20"/>
          <w:lang w:val="fr-CH"/>
        </w:rPr>
        <w:t>542</w:t>
      </w:r>
      <w:r>
        <w:rPr>
          <w:bCs/>
          <w:sz w:val="20"/>
          <w:szCs w:val="20"/>
          <w:lang w:val="fr-CH"/>
        </w:rPr>
        <w:t>'</w:t>
      </w:r>
      <w:r w:rsidRPr="001B0B77">
        <w:rPr>
          <w:rFonts w:cs="Arial"/>
          <w:bCs/>
          <w:sz w:val="20"/>
          <w:szCs w:val="20"/>
          <w:lang w:val="fr-CH"/>
        </w:rPr>
        <w:t>361</w:t>
      </w:r>
      <w:r w:rsidRPr="00F52CC6">
        <w:rPr>
          <w:rFonts w:cs="Arial"/>
          <w:bCs/>
          <w:sz w:val="20"/>
          <w:szCs w:val="20"/>
          <w:lang w:val="fr-CH"/>
        </w:rPr>
        <w:t>, mais leur part dans la population a légèrement diminué au profit de personnes d’autres classes d’âges (de 18% à 17,9%).</w:t>
      </w:r>
    </w:p>
    <w:p w:rsidR="00B04C37" w:rsidRPr="00F52CC6"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F52CC6">
        <w:rPr>
          <w:rFonts w:cs="Arial"/>
          <w:bCs/>
          <w:sz w:val="20"/>
          <w:szCs w:val="20"/>
          <w:lang w:val="fr-CH"/>
        </w:rPr>
        <w:t>Parmi les moins de 18 ans, on dénombre plus de garçons (</w:t>
      </w:r>
      <w:r w:rsidRPr="001B0B77">
        <w:rPr>
          <w:rFonts w:cs="Arial"/>
          <w:bCs/>
          <w:sz w:val="20"/>
          <w:szCs w:val="20"/>
          <w:lang w:val="fr-CH"/>
        </w:rPr>
        <w:t>792</w:t>
      </w:r>
      <w:r>
        <w:rPr>
          <w:bCs/>
          <w:sz w:val="20"/>
          <w:szCs w:val="20"/>
          <w:lang w:val="fr-CH"/>
        </w:rPr>
        <w:t>'</w:t>
      </w:r>
      <w:r w:rsidRPr="001B0B77">
        <w:rPr>
          <w:rFonts w:cs="Arial"/>
          <w:bCs/>
          <w:sz w:val="20"/>
          <w:szCs w:val="20"/>
          <w:lang w:val="fr-CH"/>
        </w:rPr>
        <w:t>186</w:t>
      </w:r>
      <w:r w:rsidRPr="00F52CC6">
        <w:rPr>
          <w:rFonts w:cs="Arial"/>
          <w:bCs/>
          <w:sz w:val="20"/>
          <w:szCs w:val="20"/>
          <w:lang w:val="fr-CH"/>
        </w:rPr>
        <w:t>, soit 51,4%) que de filles (</w:t>
      </w:r>
      <w:r w:rsidRPr="003705C6">
        <w:rPr>
          <w:rFonts w:cs="Arial"/>
          <w:bCs/>
          <w:sz w:val="20"/>
          <w:szCs w:val="20"/>
          <w:lang w:val="fr-CH"/>
        </w:rPr>
        <w:t>750</w:t>
      </w:r>
      <w:r>
        <w:rPr>
          <w:bCs/>
          <w:sz w:val="20"/>
          <w:szCs w:val="20"/>
          <w:lang w:val="fr-CH"/>
        </w:rPr>
        <w:t>'</w:t>
      </w:r>
      <w:r w:rsidRPr="003705C6">
        <w:rPr>
          <w:rFonts w:cs="Arial"/>
          <w:bCs/>
          <w:sz w:val="20"/>
          <w:szCs w:val="20"/>
          <w:lang w:val="fr-CH"/>
        </w:rPr>
        <w:t>175</w:t>
      </w:r>
      <w:r w:rsidRPr="00F52CC6">
        <w:rPr>
          <w:rFonts w:cs="Arial"/>
          <w:bCs/>
          <w:sz w:val="20"/>
          <w:szCs w:val="20"/>
          <w:lang w:val="fr-CH"/>
        </w:rPr>
        <w:t>, soit 48,6%) en 201</w:t>
      </w:r>
      <w:r>
        <w:rPr>
          <w:rFonts w:cs="Arial"/>
          <w:bCs/>
          <w:sz w:val="20"/>
          <w:szCs w:val="20"/>
          <w:lang w:val="fr-CH"/>
        </w:rPr>
        <w:t>9</w:t>
      </w:r>
      <w:r w:rsidRPr="00F52CC6">
        <w:rPr>
          <w:rFonts w:cs="Arial"/>
          <w:bCs/>
          <w:sz w:val="20"/>
          <w:szCs w:val="20"/>
          <w:lang w:val="fr-CH"/>
        </w:rPr>
        <w:t>. Par rapport à 2014, le nombre de garçons</w:t>
      </w:r>
      <w:r>
        <w:rPr>
          <w:rFonts w:cs="Arial"/>
          <w:bCs/>
          <w:sz w:val="20"/>
          <w:szCs w:val="20"/>
          <w:lang w:val="fr-CH"/>
        </w:rPr>
        <w:t xml:space="preserve"> et de filles</w:t>
      </w:r>
      <w:r w:rsidRPr="00F52CC6">
        <w:rPr>
          <w:rFonts w:cs="Arial"/>
          <w:bCs/>
          <w:sz w:val="20"/>
          <w:szCs w:val="20"/>
          <w:lang w:val="fr-CH"/>
        </w:rPr>
        <w:t xml:space="preserve"> a augmenté de </w:t>
      </w:r>
      <w:r>
        <w:rPr>
          <w:rFonts w:cs="Arial"/>
          <w:bCs/>
          <w:sz w:val="20"/>
          <w:szCs w:val="20"/>
          <w:lang w:val="fr-CH"/>
        </w:rPr>
        <w:t>4</w:t>
      </w:r>
      <w:r w:rsidRPr="00F52CC6">
        <w:rPr>
          <w:rFonts w:cs="Arial"/>
          <w:bCs/>
          <w:sz w:val="20"/>
          <w:szCs w:val="20"/>
          <w:lang w:val="fr-CH"/>
        </w:rPr>
        <w:t>,</w:t>
      </w:r>
      <w:r>
        <w:rPr>
          <w:rFonts w:cs="Arial"/>
          <w:bCs/>
          <w:sz w:val="20"/>
          <w:szCs w:val="20"/>
          <w:lang w:val="fr-CH"/>
        </w:rPr>
        <w:t>1</w:t>
      </w:r>
      <w:r w:rsidRPr="00F52CC6">
        <w:rPr>
          <w:rFonts w:cs="Arial"/>
          <w:bCs/>
          <w:sz w:val="20"/>
          <w:szCs w:val="20"/>
          <w:lang w:val="fr-CH"/>
        </w:rPr>
        <w:t>%, passant de 761</w:t>
      </w:r>
      <w:r>
        <w:rPr>
          <w:bCs/>
          <w:sz w:val="20"/>
          <w:szCs w:val="20"/>
          <w:lang w:val="fr-CH"/>
        </w:rPr>
        <w:t>'</w:t>
      </w:r>
      <w:r w:rsidRPr="00F52CC6">
        <w:rPr>
          <w:rFonts w:cs="Arial"/>
          <w:bCs/>
          <w:sz w:val="20"/>
          <w:szCs w:val="20"/>
          <w:lang w:val="fr-CH"/>
        </w:rPr>
        <w:t xml:space="preserve">202 à </w:t>
      </w:r>
      <w:r w:rsidRPr="00AB6B94">
        <w:rPr>
          <w:rFonts w:cs="Arial"/>
          <w:bCs/>
          <w:sz w:val="20"/>
          <w:szCs w:val="20"/>
          <w:lang w:val="fr-CH"/>
        </w:rPr>
        <w:t>792'186</w:t>
      </w:r>
      <w:r w:rsidRPr="00F52CC6">
        <w:rPr>
          <w:rFonts w:cs="Arial"/>
          <w:bCs/>
          <w:sz w:val="20"/>
          <w:szCs w:val="20"/>
          <w:lang w:val="fr-CH"/>
        </w:rPr>
        <w:t xml:space="preserve"> </w:t>
      </w:r>
      <w:r>
        <w:rPr>
          <w:rFonts w:cs="Arial"/>
          <w:bCs/>
          <w:sz w:val="20"/>
          <w:szCs w:val="20"/>
          <w:lang w:val="fr-CH"/>
        </w:rPr>
        <w:t xml:space="preserve">chez les garçons </w:t>
      </w:r>
      <w:r w:rsidRPr="00F52CC6">
        <w:rPr>
          <w:rFonts w:cs="Arial"/>
          <w:bCs/>
          <w:sz w:val="20"/>
          <w:szCs w:val="20"/>
          <w:lang w:val="fr-CH"/>
        </w:rPr>
        <w:t>et de 720</w:t>
      </w:r>
      <w:r>
        <w:rPr>
          <w:bCs/>
          <w:sz w:val="20"/>
          <w:szCs w:val="20"/>
          <w:lang w:val="fr-CH"/>
        </w:rPr>
        <w:t>'</w:t>
      </w:r>
      <w:r w:rsidRPr="00F52CC6">
        <w:rPr>
          <w:rFonts w:cs="Arial"/>
          <w:bCs/>
          <w:sz w:val="20"/>
          <w:szCs w:val="20"/>
          <w:lang w:val="fr-CH"/>
        </w:rPr>
        <w:t xml:space="preserve">808 à </w:t>
      </w:r>
      <w:r w:rsidRPr="003705C6">
        <w:rPr>
          <w:rFonts w:cs="Arial"/>
          <w:bCs/>
          <w:sz w:val="20"/>
          <w:szCs w:val="20"/>
          <w:lang w:val="fr-CH"/>
        </w:rPr>
        <w:t>750</w:t>
      </w:r>
      <w:r>
        <w:rPr>
          <w:bCs/>
          <w:sz w:val="20"/>
          <w:szCs w:val="20"/>
          <w:lang w:val="fr-CH"/>
        </w:rPr>
        <w:t>'</w:t>
      </w:r>
      <w:r w:rsidRPr="003705C6">
        <w:rPr>
          <w:rFonts w:cs="Arial"/>
          <w:bCs/>
          <w:sz w:val="20"/>
          <w:szCs w:val="20"/>
          <w:lang w:val="fr-CH"/>
        </w:rPr>
        <w:t>175</w:t>
      </w:r>
      <w:r>
        <w:rPr>
          <w:rFonts w:cs="Arial"/>
          <w:bCs/>
          <w:sz w:val="20"/>
          <w:szCs w:val="20"/>
          <w:lang w:val="fr-CH"/>
        </w:rPr>
        <w:t xml:space="preserve"> chez les filles</w:t>
      </w:r>
      <w:r w:rsidRPr="00F52CC6">
        <w:rPr>
          <w:rFonts w:cs="Arial"/>
          <w:bCs/>
          <w:sz w:val="20"/>
          <w:szCs w:val="20"/>
          <w:lang w:val="fr-CH"/>
        </w:rPr>
        <w:t>. Entre 2014 et 201</w:t>
      </w:r>
      <w:r>
        <w:rPr>
          <w:rFonts w:cs="Arial"/>
          <w:bCs/>
          <w:sz w:val="20"/>
          <w:szCs w:val="20"/>
          <w:lang w:val="fr-CH"/>
        </w:rPr>
        <w:t>9</w:t>
      </w:r>
      <w:r w:rsidRPr="00F52CC6">
        <w:rPr>
          <w:rFonts w:cs="Arial"/>
          <w:bCs/>
          <w:sz w:val="20"/>
          <w:szCs w:val="20"/>
          <w:lang w:val="fr-CH"/>
        </w:rPr>
        <w:t>, leur part au sein de la population est restée stable.</w:t>
      </w:r>
    </w:p>
    <w:p w:rsidR="00B04C37" w:rsidRPr="00F52CC6"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F52CC6">
        <w:rPr>
          <w:rFonts w:cs="Arial"/>
          <w:bCs/>
          <w:sz w:val="20"/>
          <w:szCs w:val="20"/>
          <w:lang w:val="fr-CH"/>
        </w:rPr>
        <w:t>F</w:t>
      </w:r>
      <w:r>
        <w:rPr>
          <w:rFonts w:cs="Arial"/>
          <w:bCs/>
          <w:sz w:val="20"/>
          <w:szCs w:val="20"/>
          <w:lang w:val="fr-CH"/>
        </w:rPr>
        <w:t>R</w:t>
      </w:r>
      <w:r w:rsidRPr="00F52CC6">
        <w:rPr>
          <w:rFonts w:cs="Arial"/>
          <w:bCs/>
          <w:sz w:val="20"/>
          <w:szCs w:val="20"/>
          <w:lang w:val="fr-CH"/>
        </w:rPr>
        <w:t xml:space="preserve"> et V</w:t>
      </w:r>
      <w:r>
        <w:rPr>
          <w:rFonts w:cs="Arial"/>
          <w:bCs/>
          <w:sz w:val="20"/>
          <w:szCs w:val="20"/>
          <w:lang w:val="fr-CH"/>
        </w:rPr>
        <w:t>D</w:t>
      </w:r>
      <w:r w:rsidRPr="00F52CC6">
        <w:rPr>
          <w:rFonts w:cs="Arial"/>
          <w:bCs/>
          <w:sz w:val="20"/>
          <w:szCs w:val="20"/>
          <w:lang w:val="fr-CH"/>
        </w:rPr>
        <w:t xml:space="preserve"> sont les deux cantons qui affichent, en 201</w:t>
      </w:r>
      <w:r>
        <w:rPr>
          <w:rFonts w:cs="Arial"/>
          <w:bCs/>
          <w:sz w:val="20"/>
          <w:szCs w:val="20"/>
          <w:lang w:val="fr-CH"/>
        </w:rPr>
        <w:t>9</w:t>
      </w:r>
      <w:r w:rsidRPr="00F52CC6">
        <w:rPr>
          <w:rFonts w:cs="Arial"/>
          <w:bCs/>
          <w:sz w:val="20"/>
          <w:szCs w:val="20"/>
          <w:lang w:val="fr-CH"/>
        </w:rPr>
        <w:t xml:space="preserve">, les plus hauts pourcentages de mineurs en Suisse (respectivement </w:t>
      </w:r>
      <w:r>
        <w:rPr>
          <w:rFonts w:cs="Arial"/>
          <w:bCs/>
          <w:sz w:val="20"/>
          <w:szCs w:val="20"/>
          <w:lang w:val="fr-CH"/>
        </w:rPr>
        <w:t>19</w:t>
      </w:r>
      <w:r w:rsidRPr="00F52CC6">
        <w:rPr>
          <w:rFonts w:cs="Arial"/>
          <w:bCs/>
          <w:sz w:val="20"/>
          <w:szCs w:val="20"/>
          <w:lang w:val="fr-CH"/>
        </w:rPr>
        <w:t>,</w:t>
      </w:r>
      <w:r>
        <w:rPr>
          <w:rFonts w:cs="Arial"/>
          <w:bCs/>
          <w:sz w:val="20"/>
          <w:szCs w:val="20"/>
          <w:lang w:val="fr-CH"/>
        </w:rPr>
        <w:t>9</w:t>
      </w:r>
      <w:r w:rsidRPr="00F52CC6">
        <w:rPr>
          <w:rFonts w:cs="Arial"/>
          <w:bCs/>
          <w:sz w:val="20"/>
          <w:szCs w:val="20"/>
          <w:lang w:val="fr-CH"/>
        </w:rPr>
        <w:t>% et 19,5%). G</w:t>
      </w:r>
      <w:r>
        <w:rPr>
          <w:rFonts w:cs="Arial"/>
          <w:bCs/>
          <w:sz w:val="20"/>
          <w:szCs w:val="20"/>
          <w:lang w:val="fr-CH"/>
        </w:rPr>
        <w:t>R</w:t>
      </w:r>
      <w:r w:rsidRPr="00F52CC6">
        <w:rPr>
          <w:rFonts w:cs="Arial"/>
          <w:bCs/>
          <w:sz w:val="20"/>
          <w:szCs w:val="20"/>
          <w:lang w:val="fr-CH"/>
        </w:rPr>
        <w:t xml:space="preserve"> et B</w:t>
      </w:r>
      <w:r>
        <w:rPr>
          <w:rFonts w:cs="Arial"/>
          <w:bCs/>
          <w:sz w:val="20"/>
          <w:szCs w:val="20"/>
          <w:lang w:val="fr-CH"/>
        </w:rPr>
        <w:t>S</w:t>
      </w:r>
      <w:r w:rsidRPr="00F52CC6">
        <w:rPr>
          <w:rFonts w:cs="Arial"/>
          <w:bCs/>
          <w:sz w:val="20"/>
          <w:szCs w:val="20"/>
          <w:lang w:val="fr-CH"/>
        </w:rPr>
        <w:t xml:space="preserve"> présentent les proportions les plu</w:t>
      </w:r>
      <w:r>
        <w:rPr>
          <w:rFonts w:cs="Arial"/>
          <w:bCs/>
          <w:sz w:val="20"/>
          <w:szCs w:val="20"/>
          <w:lang w:val="fr-CH"/>
        </w:rPr>
        <w:t>s petites, avec 15,8% chacun.</w:t>
      </w:r>
    </w:p>
    <w:p w:rsidR="00B04C37"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F52CC6">
        <w:rPr>
          <w:rFonts w:cs="Arial"/>
          <w:bCs/>
          <w:sz w:val="20"/>
          <w:szCs w:val="20"/>
          <w:lang w:val="fr-CH"/>
        </w:rPr>
        <w:t>En 201</w:t>
      </w:r>
      <w:r>
        <w:rPr>
          <w:rFonts w:cs="Arial"/>
          <w:bCs/>
          <w:sz w:val="20"/>
          <w:szCs w:val="20"/>
          <w:lang w:val="fr-CH"/>
        </w:rPr>
        <w:t>9</w:t>
      </w:r>
      <w:r w:rsidRPr="00F52CC6">
        <w:rPr>
          <w:rFonts w:cs="Arial"/>
          <w:bCs/>
          <w:sz w:val="20"/>
          <w:szCs w:val="20"/>
          <w:lang w:val="fr-CH"/>
        </w:rPr>
        <w:t xml:space="preserve">, le nombre d’enfants </w:t>
      </w:r>
      <w:r w:rsidRPr="000524C3">
        <w:rPr>
          <w:rFonts w:cs="Arial"/>
          <w:bCs/>
          <w:sz w:val="20"/>
          <w:szCs w:val="20"/>
          <w:u w:val="single"/>
          <w:lang w:val="fr-CH"/>
        </w:rPr>
        <w:t>suisses</w:t>
      </w:r>
      <w:r w:rsidRPr="00F52CC6">
        <w:rPr>
          <w:rFonts w:cs="Arial"/>
          <w:bCs/>
          <w:sz w:val="20"/>
          <w:szCs w:val="20"/>
          <w:lang w:val="fr-CH"/>
        </w:rPr>
        <w:t xml:space="preserve"> s’élève à </w:t>
      </w:r>
      <w:r w:rsidRPr="00AB6B94">
        <w:rPr>
          <w:rFonts w:cs="Arial"/>
          <w:bCs/>
          <w:sz w:val="20"/>
          <w:szCs w:val="20"/>
          <w:lang w:val="fr-CH"/>
        </w:rPr>
        <w:t>1</w:t>
      </w:r>
      <w:r>
        <w:rPr>
          <w:bCs/>
          <w:sz w:val="20"/>
          <w:szCs w:val="20"/>
          <w:lang w:val="fr-CH"/>
        </w:rPr>
        <w:t>'</w:t>
      </w:r>
      <w:r w:rsidRPr="00AB6B94">
        <w:rPr>
          <w:rFonts w:cs="Arial"/>
          <w:bCs/>
          <w:sz w:val="20"/>
          <w:szCs w:val="20"/>
          <w:lang w:val="fr-CH"/>
        </w:rPr>
        <w:t>139</w:t>
      </w:r>
      <w:r>
        <w:rPr>
          <w:bCs/>
          <w:sz w:val="20"/>
          <w:szCs w:val="20"/>
          <w:lang w:val="fr-CH"/>
        </w:rPr>
        <w:t>'</w:t>
      </w:r>
      <w:r w:rsidRPr="00AB6B94">
        <w:rPr>
          <w:rFonts w:cs="Arial"/>
          <w:bCs/>
          <w:sz w:val="20"/>
          <w:szCs w:val="20"/>
          <w:lang w:val="fr-CH"/>
        </w:rPr>
        <w:t>389</w:t>
      </w:r>
      <w:r w:rsidRPr="00F52CC6">
        <w:rPr>
          <w:rFonts w:cs="Arial"/>
          <w:bCs/>
          <w:sz w:val="20"/>
          <w:szCs w:val="20"/>
          <w:lang w:val="fr-CH"/>
        </w:rPr>
        <w:t xml:space="preserve">, soit 17,7% de la population suisse. Celui des enfants </w:t>
      </w:r>
      <w:r w:rsidRPr="00CB186E">
        <w:rPr>
          <w:rFonts w:cs="Arial"/>
          <w:bCs/>
          <w:sz w:val="20"/>
          <w:szCs w:val="20"/>
          <w:u w:val="single"/>
          <w:lang w:val="fr-CH"/>
        </w:rPr>
        <w:t>étrangers</w:t>
      </w:r>
      <w:r w:rsidRPr="00F52CC6">
        <w:rPr>
          <w:rFonts w:cs="Arial"/>
          <w:bCs/>
          <w:sz w:val="20"/>
          <w:szCs w:val="20"/>
          <w:lang w:val="fr-CH"/>
        </w:rPr>
        <w:t xml:space="preserve"> se chiffre à </w:t>
      </w:r>
      <w:r w:rsidRPr="005007D3">
        <w:rPr>
          <w:rFonts w:cs="Arial"/>
          <w:bCs/>
          <w:sz w:val="20"/>
          <w:szCs w:val="20"/>
          <w:lang w:val="fr-CH"/>
        </w:rPr>
        <w:t>402</w:t>
      </w:r>
      <w:r>
        <w:rPr>
          <w:bCs/>
          <w:sz w:val="20"/>
          <w:szCs w:val="20"/>
          <w:lang w:val="fr-CH"/>
        </w:rPr>
        <w:t>'</w:t>
      </w:r>
      <w:r w:rsidRPr="005007D3">
        <w:rPr>
          <w:rFonts w:cs="Arial"/>
          <w:bCs/>
          <w:sz w:val="20"/>
          <w:szCs w:val="20"/>
          <w:lang w:val="fr-CH"/>
        </w:rPr>
        <w:t>972</w:t>
      </w:r>
      <w:r w:rsidRPr="00F52CC6">
        <w:rPr>
          <w:rFonts w:cs="Arial"/>
          <w:bCs/>
          <w:sz w:val="20"/>
          <w:szCs w:val="20"/>
          <w:lang w:val="fr-CH"/>
        </w:rPr>
        <w:t>, soit 18,</w:t>
      </w:r>
      <w:r>
        <w:rPr>
          <w:rFonts w:cs="Arial"/>
          <w:bCs/>
          <w:sz w:val="20"/>
          <w:szCs w:val="20"/>
          <w:lang w:val="fr-CH"/>
        </w:rPr>
        <w:t>5</w:t>
      </w:r>
      <w:r w:rsidRPr="00F52CC6">
        <w:rPr>
          <w:rFonts w:cs="Arial"/>
          <w:bCs/>
          <w:sz w:val="20"/>
          <w:szCs w:val="20"/>
          <w:lang w:val="fr-CH"/>
        </w:rPr>
        <w:t>% de la population étrangère. Les nationalités les plus représentées parmi les mineurs sont le Portugal (</w:t>
      </w:r>
      <w:r w:rsidRPr="005007D3">
        <w:rPr>
          <w:rFonts w:cs="Arial"/>
          <w:bCs/>
          <w:sz w:val="20"/>
          <w:szCs w:val="20"/>
          <w:lang w:val="fr-CH"/>
        </w:rPr>
        <w:t>54</w:t>
      </w:r>
      <w:r>
        <w:rPr>
          <w:bCs/>
          <w:sz w:val="20"/>
          <w:szCs w:val="20"/>
          <w:lang w:val="fr-CH"/>
        </w:rPr>
        <w:t>'</w:t>
      </w:r>
      <w:r w:rsidRPr="005007D3">
        <w:rPr>
          <w:rFonts w:cs="Arial"/>
          <w:bCs/>
          <w:sz w:val="20"/>
          <w:szCs w:val="20"/>
          <w:lang w:val="fr-CH"/>
        </w:rPr>
        <w:t>917</w:t>
      </w:r>
      <w:r w:rsidRPr="00F52CC6">
        <w:rPr>
          <w:rFonts w:cs="Arial"/>
          <w:bCs/>
          <w:sz w:val="20"/>
          <w:szCs w:val="20"/>
          <w:lang w:val="fr-CH"/>
        </w:rPr>
        <w:t>), l’Allemagne (48</w:t>
      </w:r>
      <w:r>
        <w:rPr>
          <w:bCs/>
          <w:sz w:val="20"/>
          <w:szCs w:val="20"/>
          <w:lang w:val="fr-CH"/>
        </w:rPr>
        <w:t>'</w:t>
      </w:r>
      <w:r>
        <w:rPr>
          <w:rFonts w:cs="Arial"/>
          <w:bCs/>
          <w:sz w:val="20"/>
          <w:szCs w:val="20"/>
          <w:lang w:val="fr-CH"/>
        </w:rPr>
        <w:t>721</w:t>
      </w:r>
      <w:r w:rsidRPr="00F52CC6">
        <w:rPr>
          <w:rFonts w:cs="Arial"/>
          <w:bCs/>
          <w:sz w:val="20"/>
          <w:szCs w:val="20"/>
          <w:lang w:val="fr-CH"/>
        </w:rPr>
        <w:t>), l’Italie (4</w:t>
      </w:r>
      <w:r>
        <w:rPr>
          <w:rFonts w:cs="Arial"/>
          <w:bCs/>
          <w:sz w:val="20"/>
          <w:szCs w:val="20"/>
          <w:lang w:val="fr-CH"/>
        </w:rPr>
        <w:t>3</w:t>
      </w:r>
      <w:r>
        <w:rPr>
          <w:bCs/>
          <w:sz w:val="20"/>
          <w:szCs w:val="20"/>
          <w:lang w:val="fr-CH"/>
        </w:rPr>
        <w:t>'</w:t>
      </w:r>
      <w:r w:rsidRPr="00F52CC6">
        <w:rPr>
          <w:rFonts w:cs="Arial"/>
          <w:bCs/>
          <w:sz w:val="20"/>
          <w:szCs w:val="20"/>
          <w:lang w:val="fr-CH"/>
        </w:rPr>
        <w:t>1</w:t>
      </w:r>
      <w:r>
        <w:rPr>
          <w:rFonts w:cs="Arial"/>
          <w:bCs/>
          <w:sz w:val="20"/>
          <w:szCs w:val="20"/>
          <w:lang w:val="fr-CH"/>
        </w:rPr>
        <w:t>12</w:t>
      </w:r>
      <w:r w:rsidRPr="00F52CC6">
        <w:rPr>
          <w:rFonts w:cs="Arial"/>
          <w:bCs/>
          <w:sz w:val="20"/>
          <w:szCs w:val="20"/>
          <w:lang w:val="fr-CH"/>
        </w:rPr>
        <w:t>), le Kosovo (2</w:t>
      </w:r>
      <w:r>
        <w:rPr>
          <w:rFonts w:cs="Arial"/>
          <w:bCs/>
          <w:sz w:val="20"/>
          <w:szCs w:val="20"/>
          <w:lang w:val="fr-CH"/>
        </w:rPr>
        <w:t>8</w:t>
      </w:r>
      <w:r>
        <w:rPr>
          <w:bCs/>
          <w:sz w:val="20"/>
          <w:szCs w:val="20"/>
          <w:lang w:val="fr-CH"/>
        </w:rPr>
        <w:t>'</w:t>
      </w:r>
      <w:r>
        <w:rPr>
          <w:rFonts w:cs="Arial"/>
          <w:bCs/>
          <w:sz w:val="20"/>
          <w:szCs w:val="20"/>
          <w:lang w:val="fr-CH"/>
        </w:rPr>
        <w:t>948</w:t>
      </w:r>
      <w:r w:rsidRPr="00F52CC6">
        <w:rPr>
          <w:rFonts w:cs="Arial"/>
          <w:bCs/>
          <w:sz w:val="20"/>
          <w:szCs w:val="20"/>
          <w:lang w:val="fr-CH"/>
        </w:rPr>
        <w:t>) et la France (2</w:t>
      </w:r>
      <w:r>
        <w:rPr>
          <w:rFonts w:cs="Arial"/>
          <w:bCs/>
          <w:sz w:val="20"/>
          <w:szCs w:val="20"/>
          <w:lang w:val="fr-CH"/>
        </w:rPr>
        <w:t>5</w:t>
      </w:r>
      <w:r>
        <w:rPr>
          <w:bCs/>
          <w:sz w:val="20"/>
          <w:szCs w:val="20"/>
          <w:lang w:val="fr-CH"/>
        </w:rPr>
        <w:t>'</w:t>
      </w:r>
      <w:r>
        <w:rPr>
          <w:rFonts w:cs="Arial"/>
          <w:bCs/>
          <w:sz w:val="20"/>
          <w:szCs w:val="20"/>
          <w:lang w:val="fr-CH"/>
        </w:rPr>
        <w:t>9</w:t>
      </w:r>
      <w:r w:rsidRPr="00F52CC6">
        <w:rPr>
          <w:rFonts w:cs="Arial"/>
          <w:bCs/>
          <w:sz w:val="20"/>
          <w:szCs w:val="20"/>
          <w:lang w:val="fr-CH"/>
        </w:rPr>
        <w:t xml:space="preserve">32). </w:t>
      </w:r>
      <w:r w:rsidRPr="00FE1088">
        <w:rPr>
          <w:rFonts w:cs="Arial"/>
          <w:bCs/>
          <w:sz w:val="20"/>
          <w:szCs w:val="20"/>
          <w:lang w:val="fr-CH"/>
        </w:rPr>
        <w:t>Entre 2014 et 2019, si le nombre d’enfants suisses a augmenté (+2,6%), leur part au sein de la population suisse a diminué. Dans la population étrangère, le nombre de mineurs a augmenté, passant de 371</w:t>
      </w:r>
      <w:r w:rsidRPr="00FE1088">
        <w:rPr>
          <w:bCs/>
          <w:sz w:val="20"/>
          <w:szCs w:val="20"/>
          <w:lang w:val="fr-CH"/>
        </w:rPr>
        <w:t>'</w:t>
      </w:r>
      <w:r w:rsidRPr="00FE1088">
        <w:rPr>
          <w:rFonts w:cs="Arial"/>
          <w:bCs/>
          <w:sz w:val="20"/>
          <w:szCs w:val="20"/>
          <w:lang w:val="fr-CH"/>
        </w:rPr>
        <w:t>029 à 402</w:t>
      </w:r>
      <w:r w:rsidRPr="00FE1088">
        <w:rPr>
          <w:bCs/>
          <w:sz w:val="20"/>
          <w:szCs w:val="20"/>
          <w:lang w:val="fr-CH"/>
        </w:rPr>
        <w:t>'</w:t>
      </w:r>
      <w:r w:rsidRPr="00FE1088">
        <w:rPr>
          <w:rFonts w:cs="Arial"/>
          <w:bCs/>
          <w:sz w:val="20"/>
          <w:szCs w:val="20"/>
          <w:lang w:val="fr-CH"/>
        </w:rPr>
        <w:t>972, tandis que leur part restait relativement stable (18,6% en 2014 et 18,5% en 2019).</w:t>
      </w:r>
    </w:p>
    <w:p w:rsidR="00B04C37" w:rsidRPr="00F23BA1" w:rsidRDefault="00B04C37" w:rsidP="00B04C37">
      <w:pPr>
        <w:jc w:val="both"/>
        <w:rPr>
          <w:i/>
        </w:rPr>
      </w:pPr>
      <w:r w:rsidRPr="00F23BA1">
        <w:rPr>
          <w:i/>
        </w:rPr>
        <w:t>Voir également tableaux annexés de l’OFS</w:t>
      </w:r>
    </w:p>
    <w:bookmarkEnd w:id="4"/>
    <w:p w:rsidR="00B04C37" w:rsidRDefault="00B04C37" w:rsidP="00B04C37">
      <w:pPr>
        <w:jc w:val="both"/>
        <w:rPr>
          <w:b/>
          <w:sz w:val="24"/>
          <w:szCs w:val="24"/>
        </w:rPr>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C.</w:t>
      </w:r>
      <w:r w:rsidRPr="00C52C2E">
        <w:rPr>
          <w:b/>
          <w:color w:val="2E74B5" w:themeColor="accent1" w:themeShade="BF"/>
          <w:sz w:val="24"/>
          <w:szCs w:val="24"/>
        </w:rPr>
        <w:tab/>
        <w:t>Libertés et droits civils (art.7, 8 et 13-17)</w:t>
      </w:r>
    </w:p>
    <w:p w:rsidR="00B04C37" w:rsidRDefault="00B04C37" w:rsidP="00B04C37">
      <w:pPr>
        <w:jc w:val="both"/>
        <w:rPr>
          <w:sz w:val="24"/>
          <w:szCs w:val="24"/>
        </w:rPr>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37</w:t>
      </w:r>
    </w:p>
    <w:p w:rsidR="00B04C37" w:rsidRPr="002130C9" w:rsidRDefault="00B04C37" w:rsidP="00B04C37">
      <w:pPr>
        <w:jc w:val="both"/>
      </w:pPr>
    </w:p>
    <w:p w:rsidR="00B04C37" w:rsidRPr="00FE1088" w:rsidRDefault="00B04C37" w:rsidP="00B04C37">
      <w:pPr>
        <w:jc w:val="both"/>
      </w:pPr>
      <w:bookmarkStart w:id="5" w:name="_Toc34658313"/>
      <w:r w:rsidRPr="00FE1088">
        <w:t>Le nombre d’enfants apatrides est restreint en Suisse, se montant à 122 en 2019 contre 70 en 2014. Par contre, ils représentent une part élevée de personnes au sein de ce groupe, 25,3% en 2019 contre 26,9% en 2014. On y trouve plus de garçons que de filles (2019, 64 garçons contre 58 filles; 2014, 30 contre 40).</w:t>
      </w:r>
    </w:p>
    <w:p w:rsidR="00B04C37" w:rsidRDefault="00B04C37" w:rsidP="00B04C37">
      <w:pPr>
        <w:jc w:val="both"/>
      </w:pPr>
      <w:r w:rsidRPr="00FE1088">
        <w:lastRenderedPageBreak/>
        <w:t>En 2019, c’est à ZH que le plus grand nombre d’enfants apatrides (38) est relevé (18 garçons, 20 filles). En termes relatifs, ZG et GR affichent les plus hauts pourcentages d’enfants au sein du groupe des apatrides, à savoir 57,1% et 38,9%. SZ, OW, NW, GL, BL, SH, AR, AI</w:t>
      </w:r>
      <w:r>
        <w:t>, VD</w:t>
      </w:r>
      <w:r w:rsidRPr="00FE1088">
        <w:t xml:space="preserve"> et NE ne comptent pas d’enfant au sein du groupe des apatrides. En 2014, c’est également ZH qui affichait le plus grand nombre de mineurs apatrides en Suisse (19), présentant ainsi la plus grande proportion au niveau national (27,9%). En considérant les mineurs au sein du groupe des apatrides dans chaque canton, on obtient une autre image; LU, SO, SH, VS et ZG présentaient des parts d’enfants égales ou supérieures à 50%. Que ce soit en 2014 ou en 2019, ZG reste un canton où la part d’enfants est importante au sein de sa population d’apatrides.</w:t>
      </w:r>
    </w:p>
    <w:p w:rsidR="00B04C37" w:rsidRPr="00F23BA1" w:rsidRDefault="00B04C37" w:rsidP="00B04C37">
      <w:pPr>
        <w:jc w:val="both"/>
        <w:rPr>
          <w:i/>
        </w:rPr>
      </w:pPr>
      <w:r w:rsidRPr="00F23BA1">
        <w:rPr>
          <w:i/>
        </w:rPr>
        <w:t>Voir également tableau annexé de l’OFS</w:t>
      </w:r>
    </w:p>
    <w:bookmarkEnd w:id="5"/>
    <w:p w:rsidR="00B04C37" w:rsidRDefault="00B04C37" w:rsidP="00B04C37">
      <w:pPr>
        <w:jc w:val="both"/>
        <w:rPr>
          <w:b/>
          <w:sz w:val="24"/>
          <w:szCs w:val="24"/>
        </w:rPr>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D.</w:t>
      </w:r>
      <w:r w:rsidRPr="00C52C2E">
        <w:rPr>
          <w:b/>
          <w:color w:val="2E74B5" w:themeColor="accent1" w:themeShade="BF"/>
          <w:sz w:val="24"/>
          <w:szCs w:val="24"/>
        </w:rPr>
        <w:tab/>
        <w:t>Violence à l’égard des enfant</w:t>
      </w:r>
      <w:r>
        <w:rPr>
          <w:b/>
          <w:color w:val="2E74B5" w:themeColor="accent1" w:themeShade="BF"/>
          <w:sz w:val="24"/>
          <w:szCs w:val="24"/>
        </w:rPr>
        <w:t>s (art.19, 24 §3, 28 §2, 34, 37</w:t>
      </w:r>
      <w:r w:rsidRPr="00C52C2E">
        <w:rPr>
          <w:b/>
          <w:color w:val="2E74B5" w:themeColor="accent1" w:themeShade="BF"/>
          <w:sz w:val="24"/>
          <w:szCs w:val="24"/>
        </w:rPr>
        <w:t>a) et 39)</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38a</w:t>
      </w:r>
    </w:p>
    <w:p w:rsidR="00B04C37" w:rsidRPr="00A40052" w:rsidRDefault="00B04C37" w:rsidP="00B04C37">
      <w:pPr>
        <w:jc w:val="both"/>
      </w:pPr>
    </w:p>
    <w:p w:rsidR="00B04C37" w:rsidRPr="00DA2343" w:rsidRDefault="00B04C37" w:rsidP="00B04C37">
      <w:pPr>
        <w:jc w:val="both"/>
      </w:pPr>
      <w:r w:rsidRPr="00DA2343">
        <w:t>Pendant les années 2014 à 2018</w:t>
      </w:r>
      <w:r>
        <w:t>,</w:t>
      </w:r>
      <w:r w:rsidRPr="00DA2343">
        <w:t xml:space="preserve"> les c</w:t>
      </w:r>
      <w:r>
        <w:t>hiffres concernant les enfants</w:t>
      </w:r>
      <w:r w:rsidRPr="00DA2343">
        <w:t>, dans le cadre de la SPC</w:t>
      </w:r>
      <w:r>
        <w:t>, victimes d’actes de</w:t>
      </w:r>
      <w:r w:rsidRPr="00DA2343">
        <w:t xml:space="preserve"> violence (</w:t>
      </w:r>
      <w:r>
        <w:t>a</w:t>
      </w:r>
      <w:r w:rsidRPr="00DA2343">
        <w:t>rt.111</w:t>
      </w:r>
      <w:r>
        <w:t xml:space="preserve"> à </w:t>
      </w:r>
      <w:r w:rsidRPr="00DA2343">
        <w:t>113</w:t>
      </w:r>
      <w:r>
        <w:t xml:space="preserve">, </w:t>
      </w:r>
      <w:r w:rsidRPr="00DA2343">
        <w:t>116</w:t>
      </w:r>
      <w:r>
        <w:t>, 122, 123 et 126 CP</w:t>
      </w:r>
      <w:r w:rsidRPr="00DA2343">
        <w:t>) dénoncées aux polices cantonales varient entre 2</w:t>
      </w:r>
      <w:r>
        <w:t>'</w:t>
      </w:r>
      <w:r w:rsidRPr="00DA2343">
        <w:t>300 et 2</w:t>
      </w:r>
      <w:r>
        <w:t>'</w:t>
      </w:r>
      <w:r w:rsidRPr="00DA2343">
        <w:t>700 personnes par année. Les différences entre les sexes restent similaires au fil des a</w:t>
      </w:r>
      <w:r>
        <w:t>ns (60% masculin, 40% féminin).</w:t>
      </w:r>
    </w:p>
    <w:p w:rsidR="00B04C37" w:rsidRPr="00DA2343" w:rsidRDefault="00B04C37" w:rsidP="00B04C37">
      <w:pPr>
        <w:jc w:val="both"/>
      </w:pPr>
      <w:r w:rsidRPr="00DA2343">
        <w:t>Entre 2014 et 2018, le nombre d’infractions de violence envers les enfants dans le cadre de JUSUS, plus particulièrement les infractions sexuelles à l’encontre des enfants commis par les adultes (selon l’art</w:t>
      </w:r>
      <w:r>
        <w:t>.</w:t>
      </w:r>
      <w:r w:rsidRPr="00DA2343">
        <w:t>18</w:t>
      </w:r>
      <w:r>
        <w:t>7</w:t>
      </w:r>
      <w:r w:rsidRPr="00DA2343">
        <w:t xml:space="preserve"> CP) oscille entre 320 (en 2014) et 252 </w:t>
      </w:r>
      <w:r>
        <w:t xml:space="preserve">cas </w:t>
      </w:r>
      <w:r w:rsidRPr="00DA2343">
        <w:t>(en 2018). En 2015, une augmentation de 9% a été observée par rapport à 2014 avec 349 cas. Depuis 2015, on a constaté une baisse de 27% jusqu’en 2018. Le nombre de cas de violence sexuelle commis par les mineurs est de 66 en 2014. Depuis 2014, on observe progressivement une hausse du nombre de cas de violence sexuelle envers les enfants commis par les mineurs jusqu’en 2018 (80 cas)</w:t>
      </w:r>
      <w:r>
        <w:t xml:space="preserve"> avec un pic de 93 cas en 2015.</w:t>
      </w:r>
    </w:p>
    <w:p w:rsidR="00B04C37" w:rsidRPr="00DA2343" w:rsidRDefault="00B04C37" w:rsidP="00B04C37">
      <w:pPr>
        <w:jc w:val="both"/>
      </w:pPr>
      <w:r w:rsidRPr="00DA2343">
        <w:t>La majorité des condamnés adultes (sanctionnés selon les art</w:t>
      </w:r>
      <w:r>
        <w:t>.</w:t>
      </w:r>
      <w:r w:rsidRPr="00DA2343">
        <w:t>18</w:t>
      </w:r>
      <w:r>
        <w:t>7</w:t>
      </w:r>
      <w:r w:rsidRPr="00DA2343">
        <w:t xml:space="preserve"> et 197 CP) sont de sexe masculin et de nationalité suisse. Le nombre des cas classé</w:t>
      </w:r>
      <w:r>
        <w:t>s</w:t>
      </w:r>
      <w:r w:rsidRPr="00DA2343">
        <w:t xml:space="preserve"> selon l’âge est resté stable depuis 2014, avec une concentration plus élevée parmi les deux catégories d’âge entre 20 et 24 ans et entre 50 et 59 ans. Le nombre de cas est distribué de façon égale parmi les autres catégor</w:t>
      </w:r>
      <w:r>
        <w:t>ies d’âge (entre 25 et 49 ans).</w:t>
      </w:r>
    </w:p>
    <w:p w:rsidR="00B04C37" w:rsidRPr="00DA2343" w:rsidRDefault="00B04C37" w:rsidP="00B04C37">
      <w:pPr>
        <w:jc w:val="both"/>
      </w:pPr>
      <w:r w:rsidRPr="00DA2343">
        <w:t xml:space="preserve">La majorité des </w:t>
      </w:r>
      <w:r>
        <w:t>mineurs</w:t>
      </w:r>
      <w:r w:rsidRPr="00DA2343">
        <w:t xml:space="preserve"> jugé</w:t>
      </w:r>
      <w:r>
        <w:t>s</w:t>
      </w:r>
      <w:r w:rsidRPr="00DA2343">
        <w:t xml:space="preserve"> ayant commis les infractions </w:t>
      </w:r>
      <w:r>
        <w:t>au sens des art.</w:t>
      </w:r>
      <w:r w:rsidRPr="00DA2343">
        <w:t>18</w:t>
      </w:r>
      <w:r>
        <w:t>7</w:t>
      </w:r>
      <w:r w:rsidRPr="00DA2343">
        <w:t xml:space="preserve"> et 197 CP sont également de sexe masculin et de nationalité suisse. Le nombre de cas est le plus élevé parmi la c</w:t>
      </w:r>
      <w:r>
        <w:t>atégorie d’âge de 10 à 14 ans.</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bookmarkStart w:id="6" w:name="_Toc34658314"/>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38</w:t>
      </w:r>
      <w:bookmarkEnd w:id="6"/>
      <w:r w:rsidRPr="000768E5">
        <w:rPr>
          <w:color w:val="1F4E79" w:themeColor="accent1" w:themeShade="80"/>
          <w:sz w:val="24"/>
          <w:szCs w:val="24"/>
          <w:lang w:val="fr-FR"/>
        </w:rPr>
        <w:t>b</w:t>
      </w:r>
    </w:p>
    <w:p w:rsidR="00B04C37" w:rsidRPr="00A40052" w:rsidRDefault="00B04C37" w:rsidP="00B04C37">
      <w:pPr>
        <w:jc w:val="both"/>
      </w:pPr>
    </w:p>
    <w:p w:rsidR="00B04C37" w:rsidRPr="00710F60" w:rsidRDefault="00B04C37" w:rsidP="00B04C37">
      <w:pPr>
        <w:jc w:val="both"/>
      </w:pPr>
      <w:hyperlink r:id="rId7" w:history="1">
        <w:r w:rsidRPr="00555477">
          <w:rPr>
            <w:rStyle w:val="Hyperlink"/>
          </w:rPr>
          <w:t>Statistiques de la COPMA</w:t>
        </w:r>
      </w:hyperlink>
    </w:p>
    <w:p w:rsidR="00B04C37" w:rsidRDefault="00B04C37" w:rsidP="00B04C37">
      <w:pPr>
        <w:jc w:val="both"/>
        <w:rPr>
          <w:b/>
          <w:sz w:val="24"/>
          <w:szCs w:val="24"/>
        </w:rPr>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E.</w:t>
      </w:r>
      <w:r w:rsidRPr="00C52C2E">
        <w:rPr>
          <w:b/>
          <w:color w:val="2E74B5" w:themeColor="accent1" w:themeShade="BF"/>
          <w:sz w:val="24"/>
          <w:szCs w:val="24"/>
        </w:rPr>
        <w:tab/>
        <w:t>Milieu familial et protection de remplacement (art.5, 9-11, 18 §1-2, 20, 21, 25 et 27 §4)</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39</w:t>
      </w:r>
    </w:p>
    <w:p w:rsidR="00B04C37" w:rsidRPr="00931A70" w:rsidRDefault="00B04C37" w:rsidP="00B04C37">
      <w:pPr>
        <w:jc w:val="both"/>
      </w:pPr>
    </w:p>
    <w:p w:rsidR="00B04C37" w:rsidRDefault="00B04C37" w:rsidP="00B04C37">
      <w:pPr>
        <w:jc w:val="both"/>
        <w:rPr>
          <w:lang w:val="fr-FR"/>
        </w:rPr>
      </w:pPr>
      <w:hyperlink r:id="rId8" w:history="1">
        <w:r w:rsidRPr="00AB08EF">
          <w:rPr>
            <w:rStyle w:val="Hyperlink"/>
            <w:lang w:val="fr-FR"/>
          </w:rPr>
          <w:t>Statistiques des assurances sociales suisses 20</w:t>
        </w:r>
        <w:r>
          <w:rPr>
            <w:rStyle w:val="Hyperlink"/>
            <w:lang w:val="fr-FR"/>
          </w:rPr>
          <w:t>20</w:t>
        </w:r>
      </w:hyperlink>
    </w:p>
    <w:p w:rsidR="00B04C37" w:rsidRPr="00F23BA1" w:rsidRDefault="00B04C37" w:rsidP="00B04C37">
      <w:pPr>
        <w:jc w:val="both"/>
        <w:rPr>
          <w:i/>
        </w:rPr>
      </w:pPr>
      <w:bookmarkStart w:id="7" w:name="_Toc34658318"/>
      <w:r w:rsidRPr="00F23BA1">
        <w:rPr>
          <w:i/>
        </w:rPr>
        <w:t>Voir également tableau annexé de l’OFS</w:t>
      </w:r>
    </w:p>
    <w:bookmarkEnd w:id="7"/>
    <w:p w:rsidR="00B04C37" w:rsidRDefault="00B04C37" w:rsidP="00B04C37">
      <w:pPr>
        <w:jc w:val="both"/>
        <w:rPr>
          <w:lang w:val="fr-FR"/>
        </w:rPr>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40a</w:t>
      </w:r>
    </w:p>
    <w:p w:rsidR="00B04C37" w:rsidRDefault="00B04C37" w:rsidP="00B04C37">
      <w:pPr>
        <w:jc w:val="both"/>
      </w:pPr>
    </w:p>
    <w:p w:rsidR="00B04C37" w:rsidRDefault="00B04C37" w:rsidP="00B04C37">
      <w:pPr>
        <w:jc w:val="both"/>
      </w:pPr>
      <w:r w:rsidRPr="00CB6A4A">
        <w:t>Au total, 237 établissements sont désormais enregistrés sur Casadata. Sur ce nombre, 180 sont subventionnés par la Confédération. Les autres collectent des données volontairement pour l'instant. En 2018, 7</w:t>
      </w:r>
      <w:r>
        <w:t>'</w:t>
      </w:r>
      <w:r w:rsidRPr="00CB6A4A">
        <w:t xml:space="preserve">207 enfants </w:t>
      </w:r>
      <w:r>
        <w:t>ont</w:t>
      </w:r>
      <w:r w:rsidRPr="00CB6A4A">
        <w:t xml:space="preserve"> été placé</w:t>
      </w:r>
      <w:r>
        <w:t>s</w:t>
      </w:r>
      <w:r w:rsidRPr="00CB6A4A">
        <w:t xml:space="preserve"> dans ces 237 institutions avec une durée moyenne de séjour de 215 jours.</w:t>
      </w:r>
    </w:p>
    <w:p w:rsidR="00B04C37" w:rsidRPr="00CB6A4A" w:rsidRDefault="00B04C37" w:rsidP="00B04C37">
      <w:pPr>
        <w:jc w:val="both"/>
      </w:pPr>
    </w:p>
    <w:p w:rsidR="00B04C37" w:rsidRPr="00CB6A4A" w:rsidRDefault="00B04C37" w:rsidP="00B04C37">
      <w:pPr>
        <w:pStyle w:val="SingleTxtG"/>
        <w:spacing w:after="0"/>
        <w:ind w:left="0" w:right="1"/>
        <w:rPr>
          <w:lang w:val="fr-CH"/>
        </w:rPr>
      </w:pPr>
      <w:r w:rsidRPr="00CB6A4A">
        <w:rPr>
          <w:lang w:val="fr-CH"/>
        </w:rPr>
        <w:t>En 2015 (dernier relevé complet au plan national), 4</w:t>
      </w:r>
      <w:r>
        <w:rPr>
          <w:lang w:val="fr-CH"/>
        </w:rPr>
        <w:t>'</w:t>
      </w:r>
      <w:r w:rsidRPr="00CB6A4A">
        <w:rPr>
          <w:lang w:val="fr-CH"/>
        </w:rPr>
        <w:t>657 enfants de 0 à 14 ans (0,4%) ont été pris en charge dans les institutions médico-sociales (tous types sauf institutions traitant de troubles de la dépendance</w:t>
      </w:r>
      <w:r>
        <w:rPr>
          <w:lang w:val="fr-CH"/>
        </w:rPr>
        <w:t>,</w:t>
      </w:r>
      <w:r w:rsidRPr="00CB6A4A">
        <w:rPr>
          <w:lang w:val="fr-CH"/>
        </w:rPr>
        <w:t xml:space="preserve"> car les enfants y séjournent surtout pour ne pas être séparés de leurs parents souffrant de tels troubles), dont 1</w:t>
      </w:r>
      <w:r>
        <w:rPr>
          <w:lang w:val="fr-CH"/>
        </w:rPr>
        <w:t>'</w:t>
      </w:r>
      <w:r w:rsidRPr="00CB6A4A">
        <w:rPr>
          <w:lang w:val="fr-CH"/>
        </w:rPr>
        <w:t>622 ont logé sur place tout</w:t>
      </w:r>
      <w:r>
        <w:rPr>
          <w:lang w:val="fr-CH"/>
        </w:rPr>
        <w:t>e</w:t>
      </w:r>
      <w:r w:rsidRPr="00CB6A4A">
        <w:rPr>
          <w:lang w:val="fr-CH"/>
        </w:rPr>
        <w:t xml:space="preserve"> ou partie de l’année. Plus de la moitié avaient entre 10 et 14 ans; deux sur trois étaient de sexe masculin. </w:t>
      </w:r>
      <w:r>
        <w:rPr>
          <w:lang w:val="fr-CH"/>
        </w:rPr>
        <w:t>Concernant la durée de séjour, l’</w:t>
      </w:r>
      <w:r w:rsidRPr="00CB6A4A">
        <w:rPr>
          <w:lang w:val="fr-CH"/>
        </w:rPr>
        <w:t xml:space="preserve">information </w:t>
      </w:r>
      <w:r>
        <w:rPr>
          <w:lang w:val="fr-CH"/>
        </w:rPr>
        <w:t xml:space="preserve">est </w:t>
      </w:r>
      <w:r w:rsidRPr="00CB6A4A">
        <w:rPr>
          <w:lang w:val="fr-CH"/>
        </w:rPr>
        <w:t>collectée jusqu’en 2015</w:t>
      </w:r>
      <w:r>
        <w:rPr>
          <w:lang w:val="fr-CH"/>
        </w:rPr>
        <w:t>,</w:t>
      </w:r>
      <w:r w:rsidRPr="00CB6A4A">
        <w:rPr>
          <w:lang w:val="fr-CH"/>
        </w:rPr>
        <w:t xml:space="preserve"> mais pas diffusée selon l’âge des </w:t>
      </w:r>
      <w:r>
        <w:rPr>
          <w:lang w:val="fr-CH"/>
        </w:rPr>
        <w:t>intéressés</w:t>
      </w:r>
      <w:r w:rsidRPr="00CB6A4A">
        <w:rPr>
          <w:lang w:val="fr-CH"/>
        </w:rPr>
        <w:t>.</w:t>
      </w:r>
    </w:p>
    <w:p w:rsidR="00B04C37" w:rsidRDefault="00B04C37" w:rsidP="00B04C37">
      <w:pPr>
        <w:jc w:val="both"/>
      </w:pPr>
    </w:p>
    <w:p w:rsidR="00B04C37" w:rsidRDefault="00B04C37" w:rsidP="00B04C37">
      <w:pPr>
        <w:suppressAutoHyphens w:val="0"/>
        <w:spacing w:after="160" w:line="259" w:lineRule="auto"/>
        <w:rPr>
          <w:color w:val="1F4E79" w:themeColor="accent1" w:themeShade="80"/>
          <w:sz w:val="24"/>
          <w:szCs w:val="24"/>
          <w:lang w:val="fr-FR"/>
        </w:rPr>
      </w:pPr>
      <w:r>
        <w:rPr>
          <w:color w:val="1F4E79" w:themeColor="accent1" w:themeShade="80"/>
          <w:sz w:val="24"/>
          <w:szCs w:val="24"/>
          <w:lang w:val="fr-FR"/>
        </w:rPr>
        <w:br w:type="page"/>
      </w: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lastRenderedPageBreak/>
        <w:t xml:space="preserve">Réponse au </w:t>
      </w:r>
      <w:r>
        <w:rPr>
          <w:color w:val="1F4E79" w:themeColor="accent1" w:themeShade="80"/>
          <w:sz w:val="24"/>
          <w:szCs w:val="24"/>
          <w:lang w:val="fr-FR"/>
        </w:rPr>
        <w:t>§</w:t>
      </w:r>
      <w:r w:rsidRPr="000768E5">
        <w:rPr>
          <w:color w:val="1F4E79" w:themeColor="accent1" w:themeShade="80"/>
          <w:sz w:val="24"/>
          <w:szCs w:val="24"/>
          <w:lang w:val="fr-FR"/>
        </w:rPr>
        <w:t>40b</w:t>
      </w:r>
    </w:p>
    <w:p w:rsidR="00B04C37" w:rsidRPr="00A40052" w:rsidRDefault="00B04C37" w:rsidP="00B04C37">
      <w:pPr>
        <w:jc w:val="both"/>
      </w:pPr>
    </w:p>
    <w:p w:rsidR="00B04C37" w:rsidRDefault="00B04C37" w:rsidP="00B04C37">
      <w:pPr>
        <w:jc w:val="both"/>
      </w:pPr>
      <w:r w:rsidRPr="00CB6A4A">
        <w:t>Casadata dispose déjà de données à ce sujet, mais elles ne sont pas encore collectées de manière à permettre de faire des déclarations fiables.</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40c</w:t>
      </w:r>
    </w:p>
    <w:p w:rsidR="00B04C37" w:rsidRPr="0002221A" w:rsidRDefault="00B04C37" w:rsidP="00B04C37">
      <w:pPr>
        <w:jc w:val="both"/>
      </w:pPr>
    </w:p>
    <w:p w:rsidR="00B04C37" w:rsidRPr="004B735F" w:rsidRDefault="00B04C37" w:rsidP="00B04C37">
      <w:pPr>
        <w:jc w:val="both"/>
      </w:pPr>
      <w:bookmarkStart w:id="8" w:name="_Toc34658321"/>
      <w:r w:rsidRPr="00CB6A4A">
        <w:t>En 201</w:t>
      </w:r>
      <w:r>
        <w:t>9</w:t>
      </w:r>
      <w:r w:rsidRPr="00CB6A4A">
        <w:t>, 2</w:t>
      </w:r>
      <w:r>
        <w:t>1</w:t>
      </w:r>
      <w:r w:rsidRPr="00CB6A4A">
        <w:t>9 enfants ont été adoptés, dont 1</w:t>
      </w:r>
      <w:r>
        <w:t>71</w:t>
      </w:r>
      <w:r w:rsidRPr="00CB6A4A">
        <w:t xml:space="preserve"> au niveau national et </w:t>
      </w:r>
      <w:r>
        <w:t>48</w:t>
      </w:r>
      <w:r w:rsidRPr="00CB6A4A">
        <w:t xml:space="preserve"> au niveau international. En 2014, on recensait 291 adoptions de mineurs, dont 141 à l’interne et 150 à l’international. Par rapport à 2014, le nombre d’adoptions est donc en baisse (-</w:t>
      </w:r>
      <w:r>
        <w:t>24,7</w:t>
      </w:r>
      <w:r w:rsidRPr="00CB6A4A">
        <w:t xml:space="preserve">%). </w:t>
      </w:r>
      <w:r>
        <w:t>Toutefois</w:t>
      </w:r>
      <w:r w:rsidRPr="00CB6A4A">
        <w:t xml:space="preserve"> si les adoptions au niveau international reculent drastiquement (-</w:t>
      </w:r>
      <w:r>
        <w:t>68,0</w:t>
      </w:r>
      <w:r w:rsidRPr="00CB6A4A">
        <w:t xml:space="preserve">%), celles au niveau national sont en </w:t>
      </w:r>
      <w:r>
        <w:t>hausse (+21,3%).</w:t>
      </w:r>
    </w:p>
    <w:p w:rsidR="00B04C37" w:rsidRPr="00CB6A4A" w:rsidRDefault="00B04C37" w:rsidP="00B04C37">
      <w:pPr>
        <w:jc w:val="both"/>
      </w:pPr>
      <w:r w:rsidRPr="00CB6A4A">
        <w:t xml:space="preserve">Parmi les </w:t>
      </w:r>
      <w:r>
        <w:t>219</w:t>
      </w:r>
      <w:r w:rsidRPr="00CB6A4A">
        <w:t xml:space="preserve"> enfants adoptés en 201</w:t>
      </w:r>
      <w:r>
        <w:t>9</w:t>
      </w:r>
      <w:r w:rsidRPr="00CB6A4A">
        <w:t>, il y a plus de garçons que de filles, aussi bien au niveau national (</w:t>
      </w:r>
      <w:r>
        <w:t>95</w:t>
      </w:r>
      <w:r w:rsidRPr="00CB6A4A">
        <w:t xml:space="preserve"> garçons contre 7</w:t>
      </w:r>
      <w:r>
        <w:t>6</w:t>
      </w:r>
      <w:r w:rsidRPr="00CB6A4A">
        <w:t xml:space="preserve"> filles) qu’à celui international (</w:t>
      </w:r>
      <w:r>
        <w:t>3</w:t>
      </w:r>
      <w:r w:rsidRPr="00CB6A4A">
        <w:t xml:space="preserve">1 garçons contre </w:t>
      </w:r>
      <w:r>
        <w:t>17</w:t>
      </w:r>
      <w:r w:rsidRPr="00CB6A4A">
        <w:t xml:space="preserve"> filles). Ce phénomène s’observait également en 2014, où les adoptions de garçons ont été plus importantes que celles des filles</w:t>
      </w:r>
      <w:r>
        <w:t xml:space="preserve"> (</w:t>
      </w:r>
      <w:r w:rsidRPr="00CB6A4A">
        <w:t xml:space="preserve">76 garçons contre 65 filles au niveau national et 77 </w:t>
      </w:r>
      <w:r>
        <w:t>contre</w:t>
      </w:r>
      <w:r w:rsidRPr="00CB6A4A">
        <w:t xml:space="preserve"> 73 au niveau international</w:t>
      </w:r>
      <w:r>
        <w:t>)</w:t>
      </w:r>
      <w:r w:rsidRPr="00CB6A4A">
        <w:t>.</w:t>
      </w:r>
    </w:p>
    <w:p w:rsidR="00B04C37" w:rsidRPr="00CB6A4A" w:rsidRDefault="00B04C37" w:rsidP="00B04C37">
      <w:pPr>
        <w:jc w:val="both"/>
      </w:pPr>
      <w:r w:rsidRPr="00CB6A4A">
        <w:t>Avec 11%</w:t>
      </w:r>
      <w:r>
        <w:t xml:space="preserve"> et 13%</w:t>
      </w:r>
      <w:r w:rsidRPr="00CB6A4A">
        <w:t xml:space="preserve"> d’adoptions nationales, Z</w:t>
      </w:r>
      <w:r>
        <w:t>H</w:t>
      </w:r>
      <w:r w:rsidRPr="00CB6A4A">
        <w:t xml:space="preserve"> et B</w:t>
      </w:r>
      <w:r>
        <w:t>E</w:t>
      </w:r>
      <w:r w:rsidRPr="00CB6A4A">
        <w:t xml:space="preserve"> affichent les plus hauts taux de Suisse en 201</w:t>
      </w:r>
      <w:r>
        <w:t>9</w:t>
      </w:r>
      <w:r w:rsidRPr="00CB6A4A">
        <w:t xml:space="preserve">, </w:t>
      </w:r>
      <w:r>
        <w:t>UR, GL</w:t>
      </w:r>
      <w:r w:rsidRPr="00CB6A4A">
        <w:t xml:space="preserve"> </w:t>
      </w:r>
      <w:r>
        <w:t xml:space="preserve">et </w:t>
      </w:r>
      <w:r w:rsidRPr="00CB6A4A">
        <w:t>B</w:t>
      </w:r>
      <w:r>
        <w:t>S</w:t>
      </w:r>
      <w:r w:rsidRPr="00CB6A4A">
        <w:t xml:space="preserve"> les plus bas (1%). </w:t>
      </w:r>
      <w:r>
        <w:t>OW, NW et AI</w:t>
      </w:r>
      <w:r w:rsidRPr="00CB6A4A">
        <w:t xml:space="preserve"> ne recense</w:t>
      </w:r>
      <w:r>
        <w:t>nt</w:t>
      </w:r>
      <w:r w:rsidRPr="00CB6A4A">
        <w:t xml:space="preserve"> aucune adoption nationale. En 2014, la part d’adoptions nationales la plus importante est relevée </w:t>
      </w:r>
      <w:r>
        <w:t xml:space="preserve">à ZH </w:t>
      </w:r>
      <w:r w:rsidRPr="00CB6A4A">
        <w:t xml:space="preserve">(17%), suivi de </w:t>
      </w:r>
      <w:r>
        <w:t>VD</w:t>
      </w:r>
      <w:r w:rsidRPr="00CB6A4A">
        <w:t xml:space="preserve"> (12%) et </w:t>
      </w:r>
      <w:r>
        <w:t>BE</w:t>
      </w:r>
      <w:r w:rsidRPr="00CB6A4A">
        <w:t xml:space="preserve"> (10%), la moins importante à U</w:t>
      </w:r>
      <w:r>
        <w:t>R</w:t>
      </w:r>
      <w:r w:rsidRPr="00CB6A4A">
        <w:t xml:space="preserve"> et A</w:t>
      </w:r>
      <w:r>
        <w:t>I</w:t>
      </w:r>
      <w:r w:rsidRPr="00CB6A4A">
        <w:t xml:space="preserve"> (1%). S</w:t>
      </w:r>
      <w:r>
        <w:t>Z</w:t>
      </w:r>
      <w:r w:rsidRPr="00CB6A4A">
        <w:t xml:space="preserve">, </w:t>
      </w:r>
      <w:r>
        <w:t xml:space="preserve">OW, </w:t>
      </w:r>
      <w:r w:rsidRPr="00CB6A4A">
        <w:t>N</w:t>
      </w:r>
      <w:r>
        <w:t>W, GL</w:t>
      </w:r>
      <w:r w:rsidRPr="00CB6A4A">
        <w:t xml:space="preserve">, </w:t>
      </w:r>
      <w:r>
        <w:t xml:space="preserve">ZG, </w:t>
      </w:r>
      <w:r w:rsidRPr="00CB6A4A">
        <w:t>S</w:t>
      </w:r>
      <w:r>
        <w:t>H</w:t>
      </w:r>
      <w:r w:rsidRPr="00CB6A4A">
        <w:t>, A</w:t>
      </w:r>
      <w:r>
        <w:t>R</w:t>
      </w:r>
      <w:r w:rsidRPr="00CB6A4A">
        <w:t xml:space="preserve"> et J</w:t>
      </w:r>
      <w:r>
        <w:t>U n</w:t>
      </w:r>
      <w:r w:rsidRPr="00CB6A4A">
        <w:t>’affichent aucune adoption nationale. Par rapport à 2014, Z</w:t>
      </w:r>
      <w:r>
        <w:t>H</w:t>
      </w:r>
      <w:r w:rsidRPr="00CB6A4A">
        <w:t xml:space="preserve"> et B</w:t>
      </w:r>
      <w:r>
        <w:t>E</w:t>
      </w:r>
      <w:r w:rsidRPr="00CB6A4A">
        <w:t xml:space="preserve"> affichent donc toujours une part importante d’adoptions nationales.</w:t>
      </w:r>
    </w:p>
    <w:p w:rsidR="00B04C37" w:rsidRDefault="00B04C37" w:rsidP="00B04C37">
      <w:pPr>
        <w:jc w:val="both"/>
      </w:pPr>
      <w:r w:rsidRPr="00CB6A4A">
        <w:t>En 201</w:t>
      </w:r>
      <w:r>
        <w:t>9</w:t>
      </w:r>
      <w:r w:rsidRPr="00CB6A4A">
        <w:t>, la part d’adoptions internationa</w:t>
      </w:r>
      <w:r>
        <w:t>les est la plus importante au TI</w:t>
      </w:r>
      <w:r w:rsidRPr="00CB6A4A">
        <w:t xml:space="preserve"> (</w:t>
      </w:r>
      <w:r>
        <w:t>27</w:t>
      </w:r>
      <w:r w:rsidRPr="00CB6A4A">
        <w:t xml:space="preserve">%), suivi de </w:t>
      </w:r>
      <w:r>
        <w:t>GE et VD</w:t>
      </w:r>
      <w:r w:rsidRPr="00CB6A4A">
        <w:t xml:space="preserve"> (</w:t>
      </w:r>
      <w:r>
        <w:t>15</w:t>
      </w:r>
      <w:r w:rsidRPr="00CB6A4A">
        <w:t>%</w:t>
      </w:r>
      <w:r>
        <w:t xml:space="preserve"> chacun</w:t>
      </w:r>
      <w:r w:rsidRPr="00CB6A4A">
        <w:t>), la moins importante à F</w:t>
      </w:r>
      <w:r>
        <w:t xml:space="preserve">R, </w:t>
      </w:r>
      <w:r w:rsidRPr="00C01F89">
        <w:t>SO, GR, NE</w:t>
      </w:r>
      <w:r>
        <w:t xml:space="preserve"> et</w:t>
      </w:r>
      <w:r w:rsidRPr="00C01F89">
        <w:t xml:space="preserve"> JU</w:t>
      </w:r>
      <w:r w:rsidRPr="00CB6A4A">
        <w:t xml:space="preserve"> (</w:t>
      </w:r>
      <w:r>
        <w:t>2</w:t>
      </w:r>
      <w:r w:rsidRPr="00CB6A4A">
        <w:t xml:space="preserve">%). On ne recense aucune adoption internationale à </w:t>
      </w:r>
      <w:r>
        <w:t xml:space="preserve">LU, </w:t>
      </w:r>
      <w:r w:rsidRPr="00CB6A4A">
        <w:t>U</w:t>
      </w:r>
      <w:r>
        <w:t>R, SZ, OW, NW, GL, ZG, BS, SH, AI, AR, SG et TG en 2019</w:t>
      </w:r>
      <w:r w:rsidRPr="00CB6A4A">
        <w:t xml:space="preserve">. En 2014, la part d’adoptions internationales est la plus importante dans </w:t>
      </w:r>
      <w:r>
        <w:t>le canton de VD</w:t>
      </w:r>
      <w:r w:rsidRPr="00CB6A4A">
        <w:t xml:space="preserve"> (15%), suivi du </w:t>
      </w:r>
      <w:r>
        <w:t xml:space="preserve">TI </w:t>
      </w:r>
      <w:r w:rsidRPr="00CB6A4A">
        <w:t xml:space="preserve">(12%), la moins importante à </w:t>
      </w:r>
      <w:r>
        <w:t>BS</w:t>
      </w:r>
      <w:r w:rsidRPr="00CB6A4A">
        <w:t>, U</w:t>
      </w:r>
      <w:r>
        <w:t>R</w:t>
      </w:r>
      <w:r w:rsidRPr="00CB6A4A">
        <w:t xml:space="preserve">, </w:t>
      </w:r>
      <w:r>
        <w:t>BL</w:t>
      </w:r>
      <w:r w:rsidRPr="00CB6A4A">
        <w:t xml:space="preserve"> et J</w:t>
      </w:r>
      <w:r>
        <w:t>U</w:t>
      </w:r>
      <w:r w:rsidRPr="00CB6A4A">
        <w:t xml:space="preserve"> (1%). On ne recense aucune adoption internationale à </w:t>
      </w:r>
      <w:r>
        <w:t xml:space="preserve">OW, </w:t>
      </w:r>
      <w:r w:rsidRPr="00CB6A4A">
        <w:t>N</w:t>
      </w:r>
      <w:r>
        <w:t>W, GL, ZG, AI et AR en 2014</w:t>
      </w:r>
      <w:r w:rsidRPr="00CB6A4A">
        <w:t>. Par rapport à 2014, le T</w:t>
      </w:r>
      <w:r>
        <w:t>I</w:t>
      </w:r>
      <w:r w:rsidRPr="00CB6A4A">
        <w:t xml:space="preserve"> affiche donc toujours une part importante d’adoptions internationales et B</w:t>
      </w:r>
      <w:r>
        <w:t>L</w:t>
      </w:r>
      <w:r w:rsidRPr="00CB6A4A">
        <w:t xml:space="preserve"> reste l’un des ca</w:t>
      </w:r>
      <w:r>
        <w:t>ntons où la demande est faible.</w:t>
      </w:r>
    </w:p>
    <w:p w:rsidR="00B04C37" w:rsidRDefault="00B04C37" w:rsidP="00B04C37">
      <w:pPr>
        <w:jc w:val="both"/>
      </w:pPr>
      <w:r w:rsidRPr="00CB6A4A">
        <w:t>Comme déjà mentionné, le nombre d’adoptions nationales est en hausse par rapport à 2014 (+</w:t>
      </w:r>
      <w:r>
        <w:t>21,3</w:t>
      </w:r>
      <w:r w:rsidRPr="00CB6A4A">
        <w:t>%). Dans la majorité des cas, il s’agit d’enfants qui avaient déjà la nationalité suisse avant l’adoption (2014, 50,4%; 201</w:t>
      </w:r>
      <w:r>
        <w:t>9</w:t>
      </w:r>
      <w:r w:rsidRPr="00CB6A4A">
        <w:t>, 5</w:t>
      </w:r>
      <w:r>
        <w:t>7</w:t>
      </w:r>
      <w:r w:rsidRPr="00CB6A4A">
        <w:t>,</w:t>
      </w:r>
      <w:r>
        <w:t>9</w:t>
      </w:r>
      <w:r w:rsidRPr="00CB6A4A">
        <w:t>%). En ce qui concerne les adoptions internationales, leur nombre est en chute libre depuis 2014 (-</w:t>
      </w:r>
      <w:r>
        <w:t>68</w:t>
      </w:r>
      <w:r w:rsidRPr="00CB6A4A">
        <w:t>,</w:t>
      </w:r>
      <w:r>
        <w:t>0</w:t>
      </w:r>
      <w:r w:rsidRPr="00CB6A4A">
        <w:t>%). Les mineurs adoptés à l’international proviennent</w:t>
      </w:r>
      <w:r>
        <w:t xml:space="preserve"> en 2019</w:t>
      </w:r>
      <w:r w:rsidRPr="00CB6A4A">
        <w:t xml:space="preserve"> essentiellement de Thaïlande et </w:t>
      </w:r>
      <w:r>
        <w:t xml:space="preserve">de Russie </w:t>
      </w:r>
      <w:r w:rsidRPr="00CB6A4A">
        <w:t xml:space="preserve">(respectivement </w:t>
      </w:r>
      <w:r>
        <w:t>41,7</w:t>
      </w:r>
      <w:r w:rsidRPr="00CB6A4A">
        <w:t xml:space="preserve">% et </w:t>
      </w:r>
      <w:r>
        <w:t>14,6</w:t>
      </w:r>
      <w:r w:rsidRPr="00CB6A4A">
        <w:t>%</w:t>
      </w:r>
      <w:r>
        <w:t xml:space="preserve">). En </w:t>
      </w:r>
      <w:r w:rsidRPr="00CB6A4A">
        <w:t>2014,</w:t>
      </w:r>
      <w:r>
        <w:t xml:space="preserve"> </w:t>
      </w:r>
      <w:r w:rsidRPr="00A1564B">
        <w:t>l'Éthiopie était le pays d'origine le plus courant</w:t>
      </w:r>
      <w:r>
        <w:t>; d</w:t>
      </w:r>
      <w:r w:rsidRPr="00CB6A4A">
        <w:t>e 2014 à 201</w:t>
      </w:r>
      <w:r>
        <w:t>9</w:t>
      </w:r>
      <w:r w:rsidRPr="00CB6A4A">
        <w:t>, les adoptions d’enfants provenant d’Ethiopie se sont réduites</w:t>
      </w:r>
      <w:r>
        <w:t xml:space="preserve"> de 30,7% à 6,3%</w:t>
      </w:r>
      <w:r w:rsidRPr="00CB6A4A">
        <w:t xml:space="preserve"> et celles des </w:t>
      </w:r>
      <w:r>
        <w:t>enfants</w:t>
      </w:r>
      <w:r w:rsidRPr="00CB6A4A">
        <w:t xml:space="preserve"> </w:t>
      </w:r>
      <w:r>
        <w:t>t</w:t>
      </w:r>
      <w:r w:rsidRPr="00CB6A4A">
        <w:t>haïlandais</w:t>
      </w:r>
      <w:r>
        <w:t xml:space="preserve"> et russes</w:t>
      </w:r>
      <w:r w:rsidRPr="00CB6A4A">
        <w:t xml:space="preserve"> ont augmenté.</w:t>
      </w:r>
    </w:p>
    <w:p w:rsidR="00B04C37" w:rsidRPr="00F23BA1" w:rsidRDefault="00B04C37" w:rsidP="00B04C37">
      <w:pPr>
        <w:jc w:val="both"/>
        <w:rPr>
          <w:i/>
        </w:rPr>
      </w:pPr>
      <w:r w:rsidRPr="00F23BA1">
        <w:rPr>
          <w:i/>
        </w:rPr>
        <w:t>Voir également tableau annexé de l’OFS</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40d</w:t>
      </w:r>
    </w:p>
    <w:bookmarkEnd w:id="8"/>
    <w:p w:rsidR="00B04C37" w:rsidRPr="008A142E" w:rsidRDefault="00B04C37" w:rsidP="00B04C37">
      <w:pPr>
        <w:jc w:val="both"/>
      </w:pPr>
    </w:p>
    <w:p w:rsidR="00B04C37" w:rsidRPr="00A40052" w:rsidRDefault="00B04C37" w:rsidP="00B04C37">
      <w:pPr>
        <w:jc w:val="both"/>
      </w:pPr>
      <w:r>
        <w:t>D</w:t>
      </w:r>
      <w:r w:rsidRPr="00A40052">
        <w:t>e telles données</w:t>
      </w:r>
      <w:r>
        <w:t xml:space="preserve"> ne sont pas disponibles.</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40e</w:t>
      </w:r>
    </w:p>
    <w:p w:rsidR="00B04C37" w:rsidRPr="00A40052" w:rsidRDefault="00B04C37" w:rsidP="00B04C37">
      <w:pPr>
        <w:jc w:val="both"/>
      </w:pPr>
    </w:p>
    <w:p w:rsidR="00B04C37" w:rsidRPr="00FE1088" w:rsidRDefault="00B04C37" w:rsidP="00B04C37">
      <w:pPr>
        <w:jc w:val="both"/>
      </w:pPr>
      <w:r w:rsidRPr="00FE1088">
        <w:t>Les établissements pénitentiaires disposent seulement dans un peu plus de la moitié de ces derniers d’indications sur les enfants dont un parent est détenu</w:t>
      </w:r>
      <w:r>
        <w:t>.</w:t>
      </w:r>
      <w:r w:rsidRPr="00FE1088">
        <w:t xml:space="preserve"> C'est le résultat d'une étude de faisabilité menée dans le cadre de travaux initiés au sein de la CCDJP et de l’OFJ, avec le concours de l’OFS. De ce fait, il n'est pas prévu de pouvoir récolter ces données régulièrement pour le moment, d'un point de vue statistique</w:t>
      </w:r>
      <w:r w:rsidRPr="002B5527">
        <w:t>. Une étude qualitative sur la situation des enfants dont un parent est détenu est prévue pour 2021.</w:t>
      </w:r>
    </w:p>
    <w:p w:rsidR="00B04C37" w:rsidRDefault="00B04C37" w:rsidP="00B04C37">
      <w:pPr>
        <w:jc w:val="both"/>
        <w:rPr>
          <w:b/>
          <w:sz w:val="24"/>
          <w:szCs w:val="24"/>
        </w:rPr>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F.</w:t>
      </w:r>
      <w:r w:rsidRPr="00C52C2E">
        <w:rPr>
          <w:b/>
          <w:color w:val="2E74B5" w:themeColor="accent1" w:themeShade="BF"/>
          <w:sz w:val="24"/>
          <w:szCs w:val="24"/>
        </w:rPr>
        <w:tab/>
        <w:t>Enfants handicapés (art.23)</w:t>
      </w:r>
    </w:p>
    <w:p w:rsidR="00B04C37" w:rsidRDefault="00B04C37" w:rsidP="00B04C37">
      <w:pPr>
        <w:jc w:val="both"/>
        <w:rPr>
          <w:bCs/>
          <w:sz w:val="24"/>
          <w:szCs w:val="24"/>
          <w:lang w:val="fr-FR"/>
        </w:rPr>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41a</w:t>
      </w:r>
    </w:p>
    <w:p w:rsidR="00B04C37" w:rsidRPr="00A40052" w:rsidRDefault="00B04C37" w:rsidP="00B04C37">
      <w:pPr>
        <w:jc w:val="both"/>
        <w:rPr>
          <w:bCs/>
          <w:sz w:val="24"/>
          <w:szCs w:val="24"/>
          <w:lang w:val="fr-FR"/>
        </w:rPr>
      </w:pPr>
    </w:p>
    <w:p w:rsidR="00B04C37" w:rsidRDefault="00B04C37" w:rsidP="00B04C37">
      <w:pPr>
        <w:pStyle w:val="SingleTxtG"/>
        <w:spacing w:after="0"/>
        <w:ind w:left="0" w:right="0"/>
        <w:rPr>
          <w:lang w:val="fr-CH"/>
        </w:rPr>
      </w:pPr>
      <w:r>
        <w:rPr>
          <w:lang w:val="fr-CH"/>
        </w:rPr>
        <w:t>L</w:t>
      </w:r>
      <w:r w:rsidRPr="00EA3665">
        <w:rPr>
          <w:lang w:val="fr-CH"/>
        </w:rPr>
        <w:t>e nombre d’enfants de 0 à 14 ans pouvant être considérés comme ayant un handicap est estimé à environ 54'000 (52'000 vivant en ménages privés + 2'000 vivant en institution toute ou partie de l’année). Les handicaps physiques sont les plus fréquents parmi les enfants dans les ménages privés avec un handicap ayant une influence faible ou moyenne. Les handicaps mentaux concernent un enfant sur deux quand le handicap a une influence forte ou quand l’enfant est pris en charge en institution (c</w:t>
      </w:r>
      <w:r>
        <w:rPr>
          <w:lang w:val="fr-CH"/>
        </w:rPr>
        <w:t>omme interne ou comme externe).</w:t>
      </w:r>
    </w:p>
    <w:p w:rsidR="00B04C37" w:rsidRPr="00F23BA1" w:rsidRDefault="00B04C37" w:rsidP="00B04C37">
      <w:pPr>
        <w:pStyle w:val="SingleTxtG"/>
        <w:spacing w:after="0"/>
        <w:ind w:left="0" w:right="0"/>
        <w:rPr>
          <w:i/>
          <w:lang w:val="fr-CH"/>
        </w:rPr>
      </w:pPr>
      <w:r w:rsidRPr="00F23BA1">
        <w:rPr>
          <w:i/>
          <w:lang w:val="fr-CH"/>
        </w:rPr>
        <w:t>Voir tableau annexé de l’OFS, onglet "Enfants dans les ménages privés"</w:t>
      </w:r>
    </w:p>
    <w:p w:rsidR="00B04C37" w:rsidRPr="00196A6C" w:rsidRDefault="00B04C37" w:rsidP="00B04C37">
      <w:pPr>
        <w:pStyle w:val="SingleTxtG"/>
        <w:spacing w:after="0"/>
        <w:ind w:left="0"/>
        <w:rPr>
          <w:lang w:val="fr-CH"/>
        </w:rPr>
      </w:pPr>
    </w:p>
    <w:p w:rsidR="00B04C37" w:rsidRDefault="00B04C37" w:rsidP="00B04C37">
      <w:pPr>
        <w:jc w:val="both"/>
      </w:pPr>
      <w:r>
        <w:lastRenderedPageBreak/>
        <w:t xml:space="preserve">En 2018, 109'245 personnes de moins de 20 ans au total ont reçu des prestations de l’AI. Parmi elles, 98'948 ont bénéficié des mesures individuelles (mesures médicales au sens des art.12 et 13 LAI et/ou mesures professionnelles selon les art.15-18 LAI), 1'395 ont reçu une API et 8'318 ont bénéficié à la fois de mesures individuelles et de l’API. Enfin, 297 personnes de moins de 20 ans ont perçu une rente et 287 ont bénéficié </w:t>
      </w:r>
      <w:r>
        <w:rPr>
          <w:i/>
          <w:iCs/>
        </w:rPr>
        <w:t>à la fois</w:t>
      </w:r>
      <w:r>
        <w:t xml:space="preserve"> d’une rente et de mesures individuelles.</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bookmarkStart w:id="9" w:name="_Toc34658324"/>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41</w:t>
      </w:r>
      <w:bookmarkEnd w:id="9"/>
      <w:r w:rsidRPr="000768E5">
        <w:rPr>
          <w:color w:val="1F4E79" w:themeColor="accent1" w:themeShade="80"/>
          <w:sz w:val="24"/>
          <w:szCs w:val="24"/>
          <w:lang w:val="fr-FR"/>
        </w:rPr>
        <w:t>b</w:t>
      </w:r>
    </w:p>
    <w:p w:rsidR="00B04C37" w:rsidRPr="005739ED" w:rsidRDefault="00B04C37" w:rsidP="00B04C37">
      <w:pPr>
        <w:jc w:val="both"/>
      </w:pPr>
    </w:p>
    <w:p w:rsidR="00B04C37" w:rsidRPr="00161533" w:rsidRDefault="00B04C37" w:rsidP="00B04C37">
      <w:pPr>
        <w:jc w:val="both"/>
      </w:pPr>
      <w:r w:rsidRPr="00161533">
        <w:t>Les données de l’OFS ne permettent pas de distinguer les enfants avec handicap vivant avec au moins l’un de leurs parents de ceux vivant dans un autre ménage privé. En 2015, 1'622 enfants de 0 à 14 ans ont séjourné toute ou partie de l’année dans une institution médico-sociale (sans institutions pour troubles de la dépendance).</w:t>
      </w:r>
    </w:p>
    <w:p w:rsidR="00B04C37" w:rsidRPr="00161533" w:rsidRDefault="00B04C37" w:rsidP="00B04C37">
      <w:pPr>
        <w:jc w:val="both"/>
      </w:pPr>
    </w:p>
    <w:p w:rsidR="00B04C37" w:rsidRDefault="00B04C37" w:rsidP="00B04C37">
      <w:pPr>
        <w:jc w:val="both"/>
      </w:pPr>
      <w:r>
        <w:t>En 2018, 552 mineurs ont reçu un contribution d’assistance de l’AI.</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41c</w:t>
      </w:r>
    </w:p>
    <w:p w:rsidR="00B04C37" w:rsidRDefault="00B04C37" w:rsidP="00B04C37"/>
    <w:p w:rsidR="00B04C37" w:rsidRPr="00161533" w:rsidRDefault="00B04C37" w:rsidP="00B04C37">
      <w:r>
        <w:t xml:space="preserve">Voir §41a et </w:t>
      </w:r>
      <w:r w:rsidRPr="00F23BA1">
        <w:rPr>
          <w:i/>
        </w:rPr>
        <w:t>tableau annexé de l’OFS, onglet "Enfants en institution".</w:t>
      </w:r>
    </w:p>
    <w:p w:rsidR="00B04C37" w:rsidRDefault="00B04C37" w:rsidP="00B04C37"/>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41d</w:t>
      </w:r>
    </w:p>
    <w:p w:rsidR="00B04C37" w:rsidRPr="00A40052" w:rsidRDefault="00B04C37" w:rsidP="00B04C37"/>
    <w:p w:rsidR="00B04C37" w:rsidRDefault="00B04C37" w:rsidP="00B04C37">
      <w:pPr>
        <w:jc w:val="both"/>
      </w:pPr>
      <w:r w:rsidRPr="00D1475B">
        <w:t>La Statistique des élèves et des étudiants identifie depuis l’année scolaire 2017-2018 les élèves de la scolarité obligatoire pour lesquels des mesures de pédagogie spécialisée renforcées (MPSR) ont été décidées</w:t>
      </w:r>
      <w:r w:rsidRPr="00D1475B">
        <w:rPr>
          <w:rStyle w:val="FootnoteReference"/>
        </w:rPr>
        <w:footnoteReference w:id="1"/>
      </w:r>
      <w:r w:rsidRPr="00D1475B">
        <w:t>. Sur 933'573 élèves cette année-là, 42'101 (4,5%) ont bénéficié de telles mesures, dont 24'797 étaient intégrés dans une classe de l’école ordinaire (éducation inclusive, 2,7%), 17'304 (1,9%) fréquentaient une école spéciale. Les MPSR sont or</w:t>
      </w:r>
      <w:r>
        <w:t>données de manière individuelle</w:t>
      </w:r>
      <w:r w:rsidRPr="00D1475B">
        <w:t xml:space="preserve"> au terme d’une procédure d’évaluation standardisée (PES) ou d’une procédure équivalente visant à définir les besoins individuels, par une autorité compétente dans une décision susceptible de recours. Pour chaque enfant, on détermine la forme d’enseignement au sein de laquelle il sera le mieux à même de se développer, qu’il s’agisse d’une école ordinaire (classe ordinaire ou non) ou d’une école spécialisée. Les informations de la PES (type de handicap</w:t>
      </w:r>
      <w:r>
        <w:t>,</w:t>
      </w:r>
      <w:r w:rsidRPr="00D1475B">
        <w:t xml:space="preserve"> etc.) ne sont pas disponibles pour la statistique</w:t>
      </w:r>
      <w:r>
        <w:t>.</w:t>
      </w:r>
    </w:p>
    <w:p w:rsidR="00B04C37" w:rsidRPr="00F23BA1" w:rsidRDefault="00B04C37" w:rsidP="00B04C37">
      <w:pPr>
        <w:jc w:val="both"/>
        <w:rPr>
          <w:i/>
        </w:rPr>
      </w:pPr>
      <w:r w:rsidRPr="00F23BA1">
        <w:rPr>
          <w:i/>
        </w:rPr>
        <w:t>Voir tableau annexé de l’OFS, onglet "</w:t>
      </w:r>
      <w:r>
        <w:rPr>
          <w:i/>
        </w:rPr>
        <w:t>É</w:t>
      </w:r>
      <w:r w:rsidRPr="00F23BA1">
        <w:rPr>
          <w:i/>
        </w:rPr>
        <w:t>lèves avec besoins spéciaux"</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41e</w:t>
      </w:r>
    </w:p>
    <w:p w:rsidR="00B04C37" w:rsidRPr="0002221A" w:rsidRDefault="00B04C37" w:rsidP="00B04C37">
      <w:pPr>
        <w:jc w:val="both"/>
      </w:pPr>
    </w:p>
    <w:p w:rsidR="00B04C37" w:rsidRDefault="00B04C37" w:rsidP="00B04C37">
      <w:pPr>
        <w:jc w:val="both"/>
      </w:pPr>
      <w:bookmarkStart w:id="10" w:name="_Toc34658329"/>
      <w:r>
        <w:t>D</w:t>
      </w:r>
      <w:r w:rsidRPr="00A40052">
        <w:t>e telles données</w:t>
      </w:r>
      <w:r>
        <w:t xml:space="preserve"> ne sont pas disponibles.</w:t>
      </w:r>
    </w:p>
    <w:p w:rsidR="00B04C37" w:rsidRDefault="00B04C37" w:rsidP="00B04C37">
      <w:pPr>
        <w:jc w:val="both"/>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G.</w:t>
      </w:r>
      <w:r w:rsidRPr="00C52C2E">
        <w:rPr>
          <w:b/>
          <w:color w:val="2E74B5" w:themeColor="accent1" w:themeShade="BF"/>
          <w:sz w:val="24"/>
          <w:szCs w:val="24"/>
        </w:rPr>
        <w:tab/>
        <w:t>Santé de base et bien-être (art.6, 18 §3, 24, 26, 27 §1-3 et 33)</w:t>
      </w:r>
    </w:p>
    <w:bookmarkEnd w:id="10"/>
    <w:p w:rsidR="00B04C37" w:rsidRDefault="00B04C37" w:rsidP="00B04C37">
      <w:pPr>
        <w:jc w:val="both"/>
        <w:rPr>
          <w:lang w:val="fr-FR"/>
        </w:rPr>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42a</w:t>
      </w:r>
    </w:p>
    <w:p w:rsidR="00B04C37" w:rsidRPr="00A40052" w:rsidRDefault="00B04C37" w:rsidP="00B04C37">
      <w:pPr>
        <w:jc w:val="both"/>
      </w:pPr>
    </w:p>
    <w:p w:rsidR="00B04C37" w:rsidRPr="005736A7" w:rsidRDefault="00B04C37" w:rsidP="00B04C37">
      <w:pPr>
        <w:jc w:val="both"/>
        <w:rPr>
          <w:rFonts w:cs="Arial"/>
          <w:bCs/>
        </w:rPr>
      </w:pPr>
      <w:r w:rsidRPr="005736A7">
        <w:rPr>
          <w:rFonts w:cs="Arial"/>
          <w:bCs/>
        </w:rPr>
        <w:t>Tous les enfants domiciliés en Suisse sont couverts par l’</w:t>
      </w:r>
      <w:r>
        <w:rPr>
          <w:rFonts w:cs="Arial"/>
          <w:bCs/>
        </w:rPr>
        <w:t>AI</w:t>
      </w:r>
      <w:r w:rsidRPr="005736A7">
        <w:rPr>
          <w:rFonts w:cs="Arial"/>
          <w:bCs/>
        </w:rPr>
        <w:t xml:space="preserve"> </w:t>
      </w:r>
      <w:r>
        <w:rPr>
          <w:rFonts w:cs="Arial"/>
          <w:bCs/>
        </w:rPr>
        <w:t>et l’AOS</w:t>
      </w:r>
      <w:r w:rsidRPr="005736A7">
        <w:rPr>
          <w:rFonts w:cs="Arial"/>
          <w:bCs/>
        </w:rPr>
        <w:t>.</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bookmarkStart w:id="11" w:name="_Toc34658330"/>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42</w:t>
      </w:r>
      <w:bookmarkEnd w:id="11"/>
      <w:r w:rsidRPr="000768E5">
        <w:rPr>
          <w:color w:val="1F4E79" w:themeColor="accent1" w:themeShade="80"/>
          <w:sz w:val="24"/>
          <w:szCs w:val="24"/>
          <w:lang w:val="fr-FR"/>
        </w:rPr>
        <w:t>b</w:t>
      </w:r>
    </w:p>
    <w:p w:rsidR="00B04C37" w:rsidRPr="002F6C8A" w:rsidRDefault="00B04C37" w:rsidP="00B04C37">
      <w:pPr>
        <w:jc w:val="both"/>
      </w:pPr>
    </w:p>
    <w:p w:rsidR="00B04C37" w:rsidRPr="002F6C8A" w:rsidRDefault="00B04C37" w:rsidP="00B04C37">
      <w:pPr>
        <w:pStyle w:val="NormalWeb"/>
        <w:shd w:val="clear" w:color="auto" w:fill="FFFFFF"/>
        <w:spacing w:before="0" w:beforeAutospacing="0" w:after="0" w:afterAutospacing="0" w:line="240" w:lineRule="atLeast"/>
        <w:jc w:val="both"/>
        <w:rPr>
          <w:rFonts w:cs="Arial"/>
          <w:b/>
          <w:bCs/>
          <w:sz w:val="20"/>
          <w:szCs w:val="20"/>
          <w:u w:val="single"/>
          <w:lang w:val="fr-CH"/>
        </w:rPr>
      </w:pPr>
      <w:r w:rsidRPr="002F6C8A">
        <w:rPr>
          <w:rFonts w:cs="Arial"/>
          <w:b/>
          <w:bCs/>
          <w:sz w:val="20"/>
          <w:szCs w:val="20"/>
          <w:u w:val="single"/>
          <w:lang w:val="fr-CH"/>
        </w:rPr>
        <w:t>Médecins</w:t>
      </w:r>
    </w:p>
    <w:p w:rsidR="00B04C37"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Les médecins de famille et les pédiatres sont généralement les premiers interlocuteurs en ce qui concerne la</w:t>
      </w:r>
      <w:r>
        <w:rPr>
          <w:rFonts w:cs="Arial"/>
          <w:bCs/>
          <w:sz w:val="20"/>
          <w:szCs w:val="20"/>
          <w:lang w:val="fr-CH"/>
        </w:rPr>
        <w:t xml:space="preserve"> santé physique et mentale.</w:t>
      </w:r>
    </w:p>
    <w:p w:rsidR="00B04C37" w:rsidRPr="002F6C8A"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Nombre de médecins titulaires d’une autorisation fédérale de pratiquer, selon les trois titres de spécialistes existant en pédiatrie</w:t>
      </w:r>
      <w:r>
        <w:rPr>
          <w:rFonts w:cs="Arial"/>
          <w:bCs/>
          <w:sz w:val="20"/>
          <w:szCs w:val="20"/>
          <w:lang w:val="fr-CH"/>
        </w:rPr>
        <w:t xml:space="preserve"> (octobre 2020)</w:t>
      </w:r>
      <w:r w:rsidRPr="002F6C8A">
        <w:rPr>
          <w:rFonts w:cs="Arial"/>
          <w:bCs/>
          <w:sz w:val="20"/>
          <w:szCs w:val="20"/>
          <w:lang w:val="fr-CH"/>
        </w:rPr>
        <w:t>:</w:t>
      </w:r>
    </w:p>
    <w:p w:rsidR="00B04C37" w:rsidRPr="002F6C8A" w:rsidRDefault="00B04C37" w:rsidP="00B04C37">
      <w:pPr>
        <w:pStyle w:val="NormalWeb"/>
        <w:numPr>
          <w:ilvl w:val="0"/>
          <w:numId w:val="1"/>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 xml:space="preserve">Pédiatrie: </w:t>
      </w:r>
      <w:r>
        <w:rPr>
          <w:rFonts w:cs="Arial"/>
          <w:bCs/>
          <w:sz w:val="20"/>
          <w:szCs w:val="20"/>
          <w:lang w:val="fr-CH"/>
        </w:rPr>
        <w:t>2</w:t>
      </w:r>
      <w:r>
        <w:rPr>
          <w:bCs/>
          <w:sz w:val="20"/>
          <w:szCs w:val="20"/>
          <w:lang w:val="fr-CH"/>
        </w:rPr>
        <w:t>'</w:t>
      </w:r>
      <w:r>
        <w:rPr>
          <w:rFonts w:cs="Arial"/>
          <w:bCs/>
          <w:sz w:val="20"/>
          <w:szCs w:val="20"/>
          <w:lang w:val="fr-CH"/>
        </w:rPr>
        <w:t>021</w:t>
      </w:r>
      <w:r w:rsidRPr="002F6C8A">
        <w:rPr>
          <w:rFonts w:cs="Arial"/>
          <w:bCs/>
          <w:sz w:val="20"/>
          <w:szCs w:val="20"/>
          <w:lang w:val="fr-CH"/>
        </w:rPr>
        <w:t>;</w:t>
      </w:r>
    </w:p>
    <w:p w:rsidR="00B04C37" w:rsidRPr="002F6C8A" w:rsidRDefault="00B04C37" w:rsidP="00B04C37">
      <w:pPr>
        <w:pStyle w:val="NormalWeb"/>
        <w:numPr>
          <w:ilvl w:val="0"/>
          <w:numId w:val="1"/>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Psychiatrie et psychothérapie pour enfants et adolescents: 8</w:t>
      </w:r>
      <w:r>
        <w:rPr>
          <w:rFonts w:cs="Arial"/>
          <w:bCs/>
          <w:sz w:val="20"/>
          <w:szCs w:val="20"/>
          <w:lang w:val="fr-CH"/>
        </w:rPr>
        <w:t>38</w:t>
      </w:r>
      <w:r w:rsidRPr="002F6C8A">
        <w:rPr>
          <w:rFonts w:cs="Arial"/>
          <w:bCs/>
          <w:sz w:val="20"/>
          <w:szCs w:val="20"/>
          <w:lang w:val="fr-CH"/>
        </w:rPr>
        <w:t>;</w:t>
      </w:r>
    </w:p>
    <w:p w:rsidR="00B04C37" w:rsidRPr="002F6C8A" w:rsidRDefault="00B04C37" w:rsidP="00B04C37">
      <w:pPr>
        <w:pStyle w:val="NormalWeb"/>
        <w:numPr>
          <w:ilvl w:val="0"/>
          <w:numId w:val="1"/>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 xml:space="preserve">Chirurgie pédiatrique: </w:t>
      </w:r>
      <w:r>
        <w:rPr>
          <w:rFonts w:cs="Arial"/>
          <w:bCs/>
          <w:sz w:val="20"/>
          <w:szCs w:val="20"/>
          <w:lang w:val="fr-CH"/>
        </w:rPr>
        <w:t>80</w:t>
      </w:r>
      <w:r w:rsidRPr="002F6C8A">
        <w:rPr>
          <w:rFonts w:cs="Arial"/>
          <w:bCs/>
          <w:sz w:val="20"/>
          <w:szCs w:val="20"/>
          <w:lang w:val="fr-CH"/>
        </w:rPr>
        <w:t>.</w:t>
      </w:r>
    </w:p>
    <w:p w:rsidR="00B04C37" w:rsidRPr="00801B6F" w:rsidRDefault="00B04C37" w:rsidP="00B04C37">
      <w:pPr>
        <w:pStyle w:val="NormalWeb"/>
        <w:shd w:val="clear" w:color="auto" w:fill="FFFFFF"/>
        <w:spacing w:before="0" w:beforeAutospacing="0" w:after="0" w:afterAutospacing="0" w:line="240" w:lineRule="atLeast"/>
        <w:jc w:val="both"/>
        <w:rPr>
          <w:rFonts w:cs="Arial"/>
          <w:bCs/>
          <w:sz w:val="20"/>
          <w:szCs w:val="20"/>
          <w:lang w:val="de-CH"/>
        </w:rPr>
      </w:pPr>
    </w:p>
    <w:p w:rsidR="00B04C37" w:rsidRPr="002F6C8A"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2F6C8A">
        <w:rPr>
          <w:rFonts w:cs="Arial"/>
          <w:b/>
          <w:bCs/>
          <w:sz w:val="20"/>
          <w:szCs w:val="20"/>
          <w:u w:val="single"/>
          <w:lang w:val="fr-CH"/>
        </w:rPr>
        <w:t>Psychologues</w:t>
      </w:r>
    </w:p>
    <w:p w:rsidR="00B04C37" w:rsidRPr="002F6C8A"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 xml:space="preserve">Parallèlement aux médecins, les psychologues représentent la profession la plus importante pour les soins aux enfants et adolescents souffrant de maladies psychiques. </w:t>
      </w:r>
      <w:r>
        <w:rPr>
          <w:rFonts w:cs="Arial"/>
          <w:bCs/>
          <w:sz w:val="20"/>
          <w:szCs w:val="20"/>
          <w:lang w:val="fr-CH"/>
        </w:rPr>
        <w:t>D</w:t>
      </w:r>
      <w:r w:rsidRPr="002F6C8A">
        <w:rPr>
          <w:rFonts w:cs="Arial"/>
          <w:bCs/>
          <w:sz w:val="20"/>
          <w:szCs w:val="20"/>
          <w:lang w:val="fr-CH"/>
        </w:rPr>
        <w:t xml:space="preserve">es standards uniformes de formation postgrade ont été introduits depuis l’entrée en vigueur de la loi sur les professions de la psychologie en 2013. Ils concernent les </w:t>
      </w:r>
      <w:r w:rsidRPr="002F6C8A">
        <w:rPr>
          <w:rFonts w:cs="Arial"/>
          <w:bCs/>
          <w:sz w:val="20"/>
          <w:szCs w:val="20"/>
          <w:lang w:val="fr-CH"/>
        </w:rPr>
        <w:lastRenderedPageBreak/>
        <w:t xml:space="preserve">professions suivantes: psychologie des enfants et adolescents; psychologie clinique; psychothérapie; neuropsychologie et psychologie de la santé. Les psychologues titulaires d’un titre postgrade fédéral dans ces domaines de spécialisation sont enregistrés dans le registre des professions de la psychologie PsyReg. L’obtention d’un titre postgrade </w:t>
      </w:r>
      <w:r w:rsidRPr="002B5527">
        <w:rPr>
          <w:rFonts w:cs="Arial"/>
          <w:bCs/>
          <w:sz w:val="20"/>
          <w:szCs w:val="20"/>
          <w:lang w:val="fr-CH"/>
        </w:rPr>
        <w:t xml:space="preserve">reconnu suppose d’avoir suivi avec succès une filière de formation postgrade accréditée par le DFI ou d’avoir obtenu la reconnaissance du titre postgrade étranger de la Commission des professions de la psychologie PsyCo. La liste avec les formations postgrade accréditées, actualisée régulièrement, se trouve sur </w:t>
      </w:r>
      <w:hyperlink r:id="rId9" w:history="1">
        <w:r w:rsidRPr="00601DAB">
          <w:rPr>
            <w:rStyle w:val="Hyperlink"/>
            <w:rFonts w:cs="Arial"/>
            <w:bCs/>
            <w:sz w:val="20"/>
            <w:szCs w:val="20"/>
            <w:lang w:val="fr-CH"/>
          </w:rPr>
          <w:t>http://www.formation-postgrade-accreditee-lpsy.admin.ch</w:t>
        </w:r>
      </w:hyperlink>
      <w:r>
        <w:rPr>
          <w:rFonts w:cs="Arial"/>
          <w:bCs/>
          <w:sz w:val="20"/>
          <w:szCs w:val="20"/>
          <w:lang w:val="fr-CH"/>
        </w:rPr>
        <w:t>.</w:t>
      </w:r>
    </w:p>
    <w:p w:rsidR="00B04C37" w:rsidRPr="002F6C8A"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p>
    <w:p w:rsidR="00B04C37" w:rsidRPr="002F6C8A"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2F6C8A">
        <w:rPr>
          <w:rFonts w:cs="Arial"/>
          <w:b/>
          <w:bCs/>
          <w:sz w:val="20"/>
          <w:szCs w:val="20"/>
          <w:u w:val="single"/>
          <w:lang w:val="fr-CH"/>
        </w:rPr>
        <w:t>Autres professions spécialisées en lien avec les enfants et adolescents</w:t>
      </w:r>
    </w:p>
    <w:p w:rsidR="00B04C37" w:rsidRPr="002F6C8A"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D</w:t>
      </w:r>
      <w:r>
        <w:rPr>
          <w:rFonts w:cs="Arial"/>
          <w:bCs/>
          <w:sz w:val="20"/>
          <w:szCs w:val="20"/>
          <w:lang w:val="fr-CH"/>
        </w:rPr>
        <w:t>’</w:t>
      </w:r>
      <w:r w:rsidRPr="002F6C8A">
        <w:rPr>
          <w:rFonts w:cs="Arial"/>
          <w:bCs/>
          <w:sz w:val="20"/>
          <w:szCs w:val="20"/>
          <w:lang w:val="fr-CH"/>
        </w:rPr>
        <w:t>autres professions participent grandement à l</w:t>
      </w:r>
      <w:r>
        <w:rPr>
          <w:rFonts w:cs="Arial"/>
          <w:bCs/>
          <w:sz w:val="20"/>
          <w:szCs w:val="20"/>
          <w:lang w:val="fr-CH"/>
        </w:rPr>
        <w:t>a</w:t>
      </w:r>
      <w:r w:rsidRPr="002F6C8A">
        <w:rPr>
          <w:rFonts w:cs="Arial"/>
          <w:bCs/>
          <w:sz w:val="20"/>
          <w:szCs w:val="20"/>
          <w:lang w:val="fr-CH"/>
        </w:rPr>
        <w:t xml:space="preserve"> prise en charge médicale </w:t>
      </w:r>
      <w:r>
        <w:rPr>
          <w:rFonts w:cs="Arial"/>
          <w:bCs/>
          <w:sz w:val="20"/>
          <w:szCs w:val="20"/>
          <w:lang w:val="fr-CH"/>
        </w:rPr>
        <w:t xml:space="preserve">des enfants et adolescents </w:t>
      </w:r>
      <w:r w:rsidRPr="002F6C8A">
        <w:rPr>
          <w:rFonts w:cs="Arial"/>
          <w:bCs/>
          <w:sz w:val="20"/>
          <w:szCs w:val="20"/>
          <w:lang w:val="fr-CH"/>
        </w:rPr>
        <w:t>(</w:t>
      </w:r>
      <w:r>
        <w:rPr>
          <w:rFonts w:cs="Arial"/>
          <w:bCs/>
          <w:sz w:val="20"/>
          <w:szCs w:val="20"/>
          <w:lang w:val="fr-CH"/>
        </w:rPr>
        <w:t>par</w:t>
      </w:r>
      <w:r w:rsidRPr="002F6C8A">
        <w:rPr>
          <w:rFonts w:cs="Arial"/>
          <w:bCs/>
          <w:sz w:val="20"/>
          <w:szCs w:val="20"/>
          <w:lang w:val="fr-CH"/>
        </w:rPr>
        <w:t xml:space="preserve"> </w:t>
      </w:r>
      <w:r>
        <w:rPr>
          <w:rFonts w:cs="Arial"/>
          <w:bCs/>
          <w:sz w:val="20"/>
          <w:szCs w:val="20"/>
          <w:lang w:val="fr-CH"/>
        </w:rPr>
        <w:t>exemple</w:t>
      </w:r>
      <w:r w:rsidRPr="002F6C8A">
        <w:rPr>
          <w:rFonts w:cs="Arial"/>
          <w:bCs/>
          <w:sz w:val="20"/>
          <w:szCs w:val="20"/>
          <w:lang w:val="fr-CH"/>
        </w:rPr>
        <w:t xml:space="preserve"> sages-femmes, spécialistes de la pédagogie et de la pédagogie spécialisée, etc.). De plus, plusieurs professionnels sont associés dans une large mesure à la prise en charge médicale des enfants et adolescents sans pour autant disposer de formation spécialisée dans ce domaine (p</w:t>
      </w:r>
      <w:r>
        <w:rPr>
          <w:rFonts w:cs="Arial"/>
          <w:bCs/>
          <w:sz w:val="20"/>
          <w:szCs w:val="20"/>
          <w:lang w:val="fr-CH"/>
        </w:rPr>
        <w:t>ar</w:t>
      </w:r>
      <w:r w:rsidRPr="002F6C8A">
        <w:rPr>
          <w:rFonts w:cs="Arial"/>
          <w:bCs/>
          <w:sz w:val="20"/>
          <w:szCs w:val="20"/>
          <w:lang w:val="fr-CH"/>
        </w:rPr>
        <w:t xml:space="preserve"> </w:t>
      </w:r>
      <w:r>
        <w:rPr>
          <w:rFonts w:cs="Arial"/>
          <w:bCs/>
          <w:sz w:val="20"/>
          <w:szCs w:val="20"/>
          <w:lang w:val="fr-CH"/>
        </w:rPr>
        <w:t>exemple</w:t>
      </w:r>
      <w:r w:rsidRPr="002F6C8A">
        <w:rPr>
          <w:rFonts w:cs="Arial"/>
          <w:bCs/>
          <w:sz w:val="20"/>
          <w:szCs w:val="20"/>
          <w:lang w:val="fr-CH"/>
        </w:rPr>
        <w:t xml:space="preserve"> médecins de famille, personnel infirmier</w:t>
      </w:r>
      <w:r>
        <w:rPr>
          <w:rFonts w:cs="Arial"/>
          <w:bCs/>
          <w:sz w:val="20"/>
          <w:szCs w:val="20"/>
          <w:lang w:val="fr-CH"/>
        </w:rPr>
        <w:t>,</w:t>
      </w:r>
      <w:r w:rsidRPr="002F6C8A">
        <w:rPr>
          <w:rFonts w:cs="Arial"/>
          <w:bCs/>
          <w:sz w:val="20"/>
          <w:szCs w:val="20"/>
          <w:lang w:val="fr-CH"/>
        </w:rPr>
        <w:t xml:space="preserve"> etc.).</w:t>
      </w:r>
    </w:p>
    <w:p w:rsidR="00B04C37" w:rsidRPr="002F6C8A"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p>
    <w:p w:rsidR="00B04C37" w:rsidRPr="002F6C8A"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sidRPr="002F6C8A">
        <w:rPr>
          <w:rFonts w:cs="Arial"/>
          <w:b/>
          <w:bCs/>
          <w:sz w:val="20"/>
          <w:szCs w:val="20"/>
          <w:u w:val="single"/>
          <w:lang w:val="fr-CH"/>
        </w:rPr>
        <w:t>Structures et offres de santé pédiatrique/santé mentale</w:t>
      </w:r>
    </w:p>
    <w:p w:rsidR="00B04C37" w:rsidRPr="002F6C8A" w:rsidRDefault="00B04C37" w:rsidP="00B04C37">
      <w:pPr>
        <w:pStyle w:val="NormalWeb"/>
        <w:shd w:val="clear" w:color="auto" w:fill="FFFFFF"/>
        <w:spacing w:before="0" w:beforeAutospacing="0" w:after="0" w:afterAutospacing="0" w:line="240" w:lineRule="atLeast"/>
        <w:jc w:val="both"/>
        <w:rPr>
          <w:rFonts w:cs="Arial"/>
          <w:bCs/>
          <w:sz w:val="20"/>
          <w:szCs w:val="20"/>
          <w:lang w:val="fr-CH"/>
        </w:rPr>
      </w:pPr>
      <w:r>
        <w:rPr>
          <w:rFonts w:cs="Arial"/>
          <w:bCs/>
          <w:sz w:val="20"/>
          <w:szCs w:val="20"/>
          <w:lang w:val="fr-CH"/>
        </w:rPr>
        <w:t>L</w:t>
      </w:r>
      <w:r w:rsidRPr="002F6C8A">
        <w:rPr>
          <w:rFonts w:cs="Arial"/>
          <w:bCs/>
          <w:sz w:val="20"/>
          <w:szCs w:val="20"/>
          <w:lang w:val="fr-CH"/>
        </w:rPr>
        <w:t xml:space="preserve">iste </w:t>
      </w:r>
      <w:r>
        <w:rPr>
          <w:rFonts w:cs="Arial"/>
          <w:bCs/>
          <w:sz w:val="20"/>
          <w:szCs w:val="20"/>
          <w:lang w:val="fr-CH"/>
        </w:rPr>
        <w:t xml:space="preserve">non </w:t>
      </w:r>
      <w:r w:rsidRPr="002F6C8A">
        <w:rPr>
          <w:rFonts w:cs="Arial"/>
          <w:bCs/>
          <w:sz w:val="20"/>
          <w:szCs w:val="20"/>
          <w:lang w:val="fr-CH"/>
        </w:rPr>
        <w:t>exhaustive des hôpitaux et autr</w:t>
      </w:r>
      <w:r>
        <w:rPr>
          <w:rFonts w:cs="Arial"/>
          <w:bCs/>
          <w:sz w:val="20"/>
          <w:szCs w:val="20"/>
          <w:lang w:val="fr-CH"/>
        </w:rPr>
        <w:t>es établissements stationnaires:</w:t>
      </w:r>
    </w:p>
    <w:p w:rsidR="00B04C37" w:rsidRPr="002F6C8A" w:rsidRDefault="00B04C37" w:rsidP="00B04C37">
      <w:pPr>
        <w:pStyle w:val="NormalWeb"/>
        <w:numPr>
          <w:ilvl w:val="0"/>
          <w:numId w:val="2"/>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Hôpitaux pédiatriques (B</w:t>
      </w:r>
      <w:r>
        <w:rPr>
          <w:rFonts w:cs="Arial"/>
          <w:bCs/>
          <w:sz w:val="20"/>
          <w:szCs w:val="20"/>
          <w:lang w:val="fr-CH"/>
        </w:rPr>
        <w:t>S</w:t>
      </w:r>
      <w:r w:rsidRPr="002F6C8A">
        <w:rPr>
          <w:rFonts w:cs="Arial"/>
          <w:bCs/>
          <w:sz w:val="20"/>
          <w:szCs w:val="20"/>
          <w:lang w:val="fr-CH"/>
        </w:rPr>
        <w:t>, Z</w:t>
      </w:r>
      <w:r>
        <w:rPr>
          <w:rFonts w:cs="Arial"/>
          <w:bCs/>
          <w:sz w:val="20"/>
          <w:szCs w:val="20"/>
          <w:lang w:val="fr-CH"/>
        </w:rPr>
        <w:t>H</w:t>
      </w:r>
      <w:r w:rsidRPr="002F6C8A">
        <w:rPr>
          <w:rFonts w:cs="Arial"/>
          <w:bCs/>
          <w:sz w:val="20"/>
          <w:szCs w:val="20"/>
          <w:lang w:val="fr-CH"/>
        </w:rPr>
        <w:t xml:space="preserve"> et S</w:t>
      </w:r>
      <w:r>
        <w:rPr>
          <w:rFonts w:cs="Arial"/>
          <w:bCs/>
          <w:sz w:val="20"/>
          <w:szCs w:val="20"/>
          <w:lang w:val="fr-CH"/>
        </w:rPr>
        <w:t>G</w:t>
      </w:r>
      <w:r w:rsidRPr="002F6C8A">
        <w:rPr>
          <w:rFonts w:cs="Arial"/>
          <w:bCs/>
          <w:sz w:val="20"/>
          <w:szCs w:val="20"/>
          <w:lang w:val="fr-CH"/>
        </w:rPr>
        <w:t>)</w:t>
      </w:r>
    </w:p>
    <w:p w:rsidR="00B04C37" w:rsidRPr="002F6C8A" w:rsidRDefault="00B04C37" w:rsidP="00B04C37">
      <w:pPr>
        <w:pStyle w:val="NormalWeb"/>
        <w:numPr>
          <w:ilvl w:val="0"/>
          <w:numId w:val="2"/>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Hôpitaux pédiatriques spécialisés issus d’hôpitaux cantonaux et universitaires (y compris hôpitaux psychiatriques pour enfants et adolescents)</w:t>
      </w:r>
    </w:p>
    <w:p w:rsidR="00B04C37" w:rsidRPr="002F6C8A" w:rsidRDefault="00B04C37" w:rsidP="00B04C37">
      <w:pPr>
        <w:pStyle w:val="NormalWeb"/>
        <w:numPr>
          <w:ilvl w:val="0"/>
          <w:numId w:val="2"/>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Services pédiatriques d’hôpitaux régionaux dans le domaine des soins de premier recours</w:t>
      </w:r>
    </w:p>
    <w:p w:rsidR="00B04C37" w:rsidRPr="002F6C8A" w:rsidRDefault="00B04C37" w:rsidP="00B04C37">
      <w:pPr>
        <w:pStyle w:val="NormalWeb"/>
        <w:numPr>
          <w:ilvl w:val="0"/>
          <w:numId w:val="2"/>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Institutions médico-sociales</w:t>
      </w:r>
    </w:p>
    <w:p w:rsidR="00B04C37" w:rsidRPr="002F6C8A" w:rsidRDefault="00B04C37" w:rsidP="00B04C37">
      <w:pPr>
        <w:pStyle w:val="NormalWeb"/>
        <w:numPr>
          <w:ilvl w:val="0"/>
          <w:numId w:val="2"/>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Offres de soins à l’école: services de médecine scolaire, services de médecine dentaire scolaire, services de psychologie scolaire et tr</w:t>
      </w:r>
      <w:r>
        <w:rPr>
          <w:rFonts w:cs="Arial"/>
          <w:bCs/>
          <w:sz w:val="20"/>
          <w:szCs w:val="20"/>
          <w:lang w:val="fr-CH"/>
        </w:rPr>
        <w:t>avail social en milieu scolaire</w:t>
      </w:r>
    </w:p>
    <w:p w:rsidR="00B04C37" w:rsidRPr="002F6C8A" w:rsidRDefault="00B04C37" w:rsidP="00B04C37">
      <w:pPr>
        <w:pStyle w:val="NormalWeb"/>
        <w:numPr>
          <w:ilvl w:val="0"/>
          <w:numId w:val="2"/>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Offres de pédagogie spécialisée</w:t>
      </w:r>
    </w:p>
    <w:p w:rsidR="00B04C37" w:rsidRPr="002F6C8A" w:rsidRDefault="00B04C37" w:rsidP="00B04C37">
      <w:pPr>
        <w:pStyle w:val="NormalWeb"/>
        <w:numPr>
          <w:ilvl w:val="0"/>
          <w:numId w:val="2"/>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Conseil et prévention: services de conseil aux éducateurs et adolescents, services de conseil aux parents et programmes de promotion de la santé et de prévention auprès des enfants et adolescents (</w:t>
      </w:r>
      <w:r w:rsidRPr="002F6C8A">
        <w:rPr>
          <w:bCs/>
          <w:sz w:val="20"/>
          <w:szCs w:val="20"/>
          <w:lang w:val="fr-CH"/>
        </w:rPr>
        <w:t>"</w:t>
      </w:r>
      <w:r w:rsidRPr="002F6C8A">
        <w:rPr>
          <w:rFonts w:cs="Arial"/>
          <w:bCs/>
          <w:sz w:val="20"/>
          <w:szCs w:val="20"/>
          <w:lang w:val="fr-CH"/>
        </w:rPr>
        <w:t>Prévention dans le domaine des soins</w:t>
      </w:r>
      <w:r w:rsidRPr="002F6C8A">
        <w:rPr>
          <w:bCs/>
          <w:sz w:val="20"/>
          <w:szCs w:val="20"/>
          <w:lang w:val="fr-CH"/>
        </w:rPr>
        <w:t>"</w:t>
      </w:r>
      <w:r w:rsidRPr="002F6C8A">
        <w:rPr>
          <w:rFonts w:cs="Arial"/>
          <w:bCs/>
          <w:sz w:val="20"/>
          <w:szCs w:val="20"/>
          <w:lang w:val="fr-CH"/>
        </w:rPr>
        <w:t xml:space="preserve"> [PDS] et </w:t>
      </w:r>
      <w:r w:rsidRPr="002F6C8A">
        <w:rPr>
          <w:bCs/>
          <w:sz w:val="20"/>
          <w:szCs w:val="20"/>
          <w:lang w:val="fr-CH"/>
        </w:rPr>
        <w:t>"P</w:t>
      </w:r>
      <w:r w:rsidRPr="002F6C8A">
        <w:rPr>
          <w:rFonts w:cs="Arial"/>
          <w:bCs/>
          <w:sz w:val="20"/>
          <w:szCs w:val="20"/>
          <w:lang w:val="fr-CH"/>
        </w:rPr>
        <w:t>rogrammes d’action cantonaux</w:t>
      </w:r>
      <w:r w:rsidRPr="002F6C8A">
        <w:rPr>
          <w:bCs/>
          <w:sz w:val="20"/>
          <w:szCs w:val="20"/>
          <w:lang w:val="fr-CH"/>
        </w:rPr>
        <w:t>"</w:t>
      </w:r>
      <w:r>
        <w:rPr>
          <w:rFonts w:cs="Arial"/>
          <w:bCs/>
          <w:sz w:val="20"/>
          <w:szCs w:val="20"/>
          <w:lang w:val="fr-CH"/>
        </w:rPr>
        <w:t xml:space="preserve"> [PAC] via Promotion S</w:t>
      </w:r>
      <w:r w:rsidRPr="002F6C8A">
        <w:rPr>
          <w:rFonts w:cs="Arial"/>
          <w:bCs/>
          <w:sz w:val="20"/>
          <w:szCs w:val="20"/>
          <w:lang w:val="fr-CH"/>
        </w:rPr>
        <w:t>anté Suisse)</w:t>
      </w:r>
    </w:p>
    <w:p w:rsidR="00B04C37" w:rsidRPr="002F6C8A" w:rsidRDefault="00B04C37" w:rsidP="00B04C37">
      <w:pPr>
        <w:pStyle w:val="NormalWeb"/>
        <w:numPr>
          <w:ilvl w:val="0"/>
          <w:numId w:val="2"/>
        </w:numPr>
        <w:shd w:val="clear" w:color="auto" w:fill="FFFFFF"/>
        <w:spacing w:before="0" w:beforeAutospacing="0" w:after="0" w:afterAutospacing="0" w:line="240" w:lineRule="atLeast"/>
        <w:jc w:val="both"/>
        <w:rPr>
          <w:rFonts w:cs="Arial"/>
          <w:bCs/>
          <w:sz w:val="20"/>
          <w:szCs w:val="20"/>
          <w:lang w:val="fr-CH"/>
        </w:rPr>
      </w:pPr>
      <w:r w:rsidRPr="002F6C8A">
        <w:rPr>
          <w:rFonts w:cs="Arial"/>
          <w:bCs/>
          <w:sz w:val="20"/>
          <w:szCs w:val="20"/>
          <w:lang w:val="fr-CH"/>
        </w:rPr>
        <w:t>Soins ambulatoires et semi-stationnaires/intermédiaires: consultations auprès de médecins établis ou de psychologues, soins hospitaliers ambulatoires, consultations en urgence, pédiatrie ambulatoire (services d’aide et de soins à domicile) et institutions psychothérapeutiques ambulatoires et cliniques de jour</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43</w:t>
      </w:r>
    </w:p>
    <w:p w:rsidR="00B04C37" w:rsidRPr="002F6C8A" w:rsidRDefault="00B04C37" w:rsidP="00B04C37"/>
    <w:p w:rsidR="00B04C37" w:rsidRPr="00F23BA1" w:rsidRDefault="00B04C37" w:rsidP="00B04C37">
      <w:pPr>
        <w:jc w:val="both"/>
        <w:rPr>
          <w:i/>
        </w:rPr>
      </w:pPr>
      <w:r w:rsidRPr="00F23BA1">
        <w:rPr>
          <w:i/>
        </w:rPr>
        <w:t xml:space="preserve">Voir tableau annexé </w:t>
      </w:r>
      <w:r>
        <w:rPr>
          <w:i/>
        </w:rPr>
        <w:t>de l’OFS</w:t>
      </w:r>
    </w:p>
    <w:p w:rsidR="00B04C37" w:rsidRDefault="00B04C37" w:rsidP="00B04C37">
      <w:pPr>
        <w:jc w:val="both"/>
        <w:rPr>
          <w:b/>
          <w:sz w:val="24"/>
          <w:szCs w:val="24"/>
        </w:rPr>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H.</w:t>
      </w:r>
      <w:r w:rsidRPr="00C52C2E">
        <w:rPr>
          <w:b/>
          <w:color w:val="2E74B5" w:themeColor="accent1" w:themeShade="BF"/>
          <w:sz w:val="24"/>
          <w:szCs w:val="24"/>
        </w:rPr>
        <w:tab/>
        <w:t>Éducation, loisirs et activités culturelles (art.28-31)</w:t>
      </w:r>
    </w:p>
    <w:p w:rsidR="00B04C37" w:rsidRDefault="00B04C37" w:rsidP="00B04C37">
      <w:pPr>
        <w:jc w:val="both"/>
        <w:rPr>
          <w:sz w:val="24"/>
          <w:szCs w:val="24"/>
        </w:rPr>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44</w:t>
      </w:r>
    </w:p>
    <w:p w:rsidR="00B04C37" w:rsidRPr="002F6C8A" w:rsidRDefault="00B04C37" w:rsidP="00B04C37">
      <w:pPr>
        <w:jc w:val="both"/>
      </w:pPr>
    </w:p>
    <w:p w:rsidR="00B04C37" w:rsidRDefault="00B04C37" w:rsidP="00B04C37">
      <w:pPr>
        <w:autoSpaceDE w:val="0"/>
        <w:autoSpaceDN w:val="0"/>
        <w:adjustRightInd w:val="0"/>
        <w:jc w:val="both"/>
        <w:rPr>
          <w:rFonts w:cs="Arial"/>
        </w:rPr>
      </w:pPr>
      <w:r w:rsidRPr="002F6C8A">
        <w:rPr>
          <w:rFonts w:cs="Arial"/>
        </w:rPr>
        <w:t>Selon la Classification Internationale Type de l’</w:t>
      </w:r>
      <w:r>
        <w:rPr>
          <w:rFonts w:cs="Arial"/>
        </w:rPr>
        <w:t>É</w:t>
      </w:r>
      <w:r w:rsidRPr="002F6C8A">
        <w:rPr>
          <w:rFonts w:cs="Arial"/>
        </w:rPr>
        <w:t>ducation CITE 2011, les programmes de développement</w:t>
      </w:r>
      <w:r>
        <w:rPr>
          <w:rFonts w:cs="Arial"/>
        </w:rPr>
        <w:t xml:space="preserve"> éducatif de la petite enfance </w:t>
      </w:r>
      <w:r w:rsidRPr="002F6C8A">
        <w:rPr>
          <w:rFonts w:cs="Arial"/>
        </w:rPr>
        <w:t>sont destinés à des enfants de 0 à 2 ans (CITE 01</w:t>
      </w:r>
      <w:r>
        <w:rPr>
          <w:rFonts w:cs="Arial"/>
        </w:rPr>
        <w:t>0</w:t>
      </w:r>
      <w:r w:rsidRPr="002F6C8A">
        <w:rPr>
          <w:rFonts w:cs="Arial"/>
        </w:rPr>
        <w:t>) et les programmes d’enseignement préprimaire (CITE 02</w:t>
      </w:r>
      <w:r>
        <w:rPr>
          <w:rFonts w:cs="Arial"/>
        </w:rPr>
        <w:t>0</w:t>
      </w:r>
      <w:r w:rsidRPr="002F6C8A">
        <w:rPr>
          <w:rFonts w:cs="Arial"/>
        </w:rPr>
        <w:t>) sont destinés à des enfants de 3 ans jusqu’à l’âge d’entrée à la CITE 1.</w:t>
      </w:r>
    </w:p>
    <w:p w:rsidR="00B04C37" w:rsidRDefault="00B04C37" w:rsidP="00B04C37">
      <w:pPr>
        <w:jc w:val="both"/>
      </w:pPr>
      <w:r w:rsidRPr="002F6C8A">
        <w:rPr>
          <w:rFonts w:cs="Arial"/>
        </w:rPr>
        <w:t>En Suisse, le niveau CITE 01</w:t>
      </w:r>
      <w:r>
        <w:rPr>
          <w:rFonts w:cs="Arial"/>
        </w:rPr>
        <w:t>0</w:t>
      </w:r>
      <w:r w:rsidRPr="002F6C8A">
        <w:rPr>
          <w:rFonts w:cs="Arial"/>
        </w:rPr>
        <w:t xml:space="preserve"> ne fait pas partie du système scolaire. </w:t>
      </w:r>
      <w:r>
        <w:t>Les données statistiques proviennent des enquêtes sur les revenus et les conditions de vie (SILC) et sur les familles et les générations (EFG). Le pourcentage d'enfants au niveau préscolaire (0-3 ans) avec un accueil extrafamilial s'élève à 70,7% en 2018</w:t>
      </w:r>
      <w:r w:rsidRPr="002B5527">
        <w:t>. Les résultats ne montrent pas de différence statistiquement significative entre filles et garçons (68,4% et 72,8%).</w:t>
      </w:r>
      <w:r>
        <w:t xml:space="preserve"> 22% des enfants au niveau préscolaire (0-3 ans) sont confiés uniquement à une garde institutionnelle (crèches, accueil familial de jour en réseau), pour 33,2% d’entre eux ce sont uniquement des formes de garde non-institutionnelles qui sont utilisées (grands-parents, autres personnes de l’entourage, nounou, au-pair, accueil familial de jour indépendant) et 15,5% sont gardés à la fois de manière institutionnelle et non-institutionnelle.</w:t>
      </w:r>
    </w:p>
    <w:p w:rsidR="00B04C37" w:rsidRPr="002B5527" w:rsidRDefault="00B04C37" w:rsidP="00B04C37">
      <w:pPr>
        <w:jc w:val="both"/>
      </w:pPr>
      <w:r w:rsidRPr="002B5527">
        <w:t>Le pourcentage d'enfants de 0 à 3 ans de nationalité suisse ayant une garde extrafamiliale est de 72,7%, celui des enfants de nationalité étrangère est de 65,6%. La différence n'est pas statistiquement significative. Les enfants suisses sont nettement plus susceptibles d'être confiés à une garde non-institutionnelle: 38,8% sont uniquement gardés de manière non-institutionnelle et 18,4% sont gardés à la fois de manière institutionnelle et non-institutionnelle. Ces pourcentages sont respectivement de 17,8 % et 7,4% pour les enfants de nationalité étrangère. Ceux-ci sont, en revanche, nettement plus souvent confiés uniquement à une garde institutionnelle (40,3% contre 15,4% pour les enfants de nationalité suisse).</w:t>
      </w:r>
    </w:p>
    <w:p w:rsidR="00B04C37" w:rsidRPr="002B5527" w:rsidRDefault="00B04C37" w:rsidP="00B04C37">
      <w:pPr>
        <w:jc w:val="both"/>
      </w:pPr>
      <w:r w:rsidRPr="002B5527">
        <w:lastRenderedPageBreak/>
        <w:t xml:space="preserve">La durée moyenne de garde par semaine pour les enfants au niveau préscolaire est de 21,1 heures. 22,8% de ces enfants sont gardés entre 1 à 9 heures par semaine, 49,9% entre 10 et 29 heures et 27,3% 30 heures ou plus. </w:t>
      </w:r>
    </w:p>
    <w:p w:rsidR="00B04C37" w:rsidRPr="002B5527" w:rsidRDefault="00B04C37" w:rsidP="00B04C37">
      <w:pPr>
        <w:jc w:val="both"/>
      </w:pPr>
    </w:p>
    <w:p w:rsidR="00B04C37" w:rsidRDefault="00B04C37" w:rsidP="00B04C37">
      <w:pPr>
        <w:autoSpaceDE w:val="0"/>
        <w:autoSpaceDN w:val="0"/>
        <w:adjustRightInd w:val="0"/>
        <w:jc w:val="both"/>
        <w:rPr>
          <w:rFonts w:cs="Arial"/>
        </w:rPr>
      </w:pPr>
      <w:r w:rsidRPr="002F6C8A">
        <w:rPr>
          <w:rFonts w:cs="Arial"/>
        </w:rPr>
        <w:t>Le niveau CITE 02</w:t>
      </w:r>
      <w:r>
        <w:rPr>
          <w:rFonts w:cs="Arial"/>
        </w:rPr>
        <w:t>0</w:t>
      </w:r>
      <w:r w:rsidRPr="002F6C8A">
        <w:rPr>
          <w:rFonts w:cs="Arial"/>
        </w:rPr>
        <w:t xml:space="preserve"> correspond au jardin d'enfants ou aux deux premières années du cycle élémentaire. Ce niveau fait partie de l'enseignement obligatoire dans la plupart des cantons. L'âge théorique des enfants à ce niveau est de 4 à 6 ans. Comme l'année scolaire commence en août, les enfants nés dans la deuxième moitié de l'année ne sont pas encore scolarisés</w:t>
      </w:r>
      <w:r>
        <w:rPr>
          <w:rFonts w:cs="Arial"/>
        </w:rPr>
        <w:t>,</w:t>
      </w:r>
      <w:r w:rsidRPr="002F6C8A">
        <w:rPr>
          <w:rFonts w:cs="Arial"/>
        </w:rPr>
        <w:t xml:space="preserve"> car ils n'ont pas encore quatre ans. En 2017/18, 171</w:t>
      </w:r>
      <w:r w:rsidRPr="002F6C8A">
        <w:t>'</w:t>
      </w:r>
      <w:r w:rsidRPr="002F6C8A">
        <w:rPr>
          <w:rFonts w:cs="Arial"/>
        </w:rPr>
        <w:t>859 enfants ont suivi un programme de niveau CITE 02</w:t>
      </w:r>
      <w:r>
        <w:rPr>
          <w:rFonts w:cs="Arial"/>
        </w:rPr>
        <w:t>0</w:t>
      </w:r>
      <w:r w:rsidRPr="002F6C8A">
        <w:rPr>
          <w:rFonts w:cs="Arial"/>
        </w:rPr>
        <w:t>, avec un taux de scolarisation de 48% pour les enfants de quatre ans, 98% pour les enfants de cinq ans et 99% pour les enfants de six ans. Il n'y a pas de différences significatives entre filles et garçons, ni entre élèves de nationalité suisse ou étrangère. Les taux sont restés stables au fil des ans, bien qu'ils aient augmenté pour les enfants de quatre ans depuis la mise en œuvre de HarmoS.</w:t>
      </w:r>
    </w:p>
    <w:p w:rsidR="00B04C37" w:rsidRPr="00F23BA1" w:rsidRDefault="00B04C37" w:rsidP="00B04C37">
      <w:pPr>
        <w:jc w:val="both"/>
        <w:rPr>
          <w:rFonts w:cs="Arial"/>
          <w:i/>
        </w:rPr>
      </w:pPr>
      <w:r w:rsidRPr="00F23BA1">
        <w:rPr>
          <w:rFonts w:cs="Arial"/>
          <w:i/>
        </w:rPr>
        <w:t>Détail pour le niveau CITE 02</w:t>
      </w:r>
      <w:r>
        <w:rPr>
          <w:rFonts w:cs="Arial"/>
          <w:i/>
        </w:rPr>
        <w:t>0</w:t>
      </w:r>
      <w:r w:rsidRPr="00F23BA1">
        <w:rPr>
          <w:rFonts w:cs="Arial"/>
          <w:i/>
        </w:rPr>
        <w:t xml:space="preserve">: voir tableau </w:t>
      </w:r>
      <w:r w:rsidRPr="00F23BA1">
        <w:rPr>
          <w:i/>
        </w:rPr>
        <w:t xml:space="preserve">annexé </w:t>
      </w:r>
      <w:r w:rsidRPr="00F23BA1">
        <w:rPr>
          <w:rFonts w:cs="Arial"/>
          <w:i/>
        </w:rPr>
        <w:t>de l’OFS</w:t>
      </w:r>
    </w:p>
    <w:p w:rsidR="00B04C37" w:rsidRDefault="00B04C37" w:rsidP="00B04C37">
      <w:pPr>
        <w:jc w:val="both"/>
        <w:rPr>
          <w:sz w:val="24"/>
          <w:szCs w:val="24"/>
        </w:rPr>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I.</w:t>
      </w:r>
      <w:r w:rsidRPr="00C52C2E">
        <w:rPr>
          <w:b/>
          <w:color w:val="2E74B5" w:themeColor="accent1" w:themeShade="BF"/>
          <w:sz w:val="24"/>
          <w:szCs w:val="24"/>
        </w:rPr>
        <w:tab/>
        <w:t xml:space="preserve">Mesures de protection spéciales </w:t>
      </w:r>
      <w:r>
        <w:rPr>
          <w:b/>
          <w:color w:val="2E74B5" w:themeColor="accent1" w:themeShade="BF"/>
          <w:sz w:val="24"/>
          <w:szCs w:val="24"/>
        </w:rPr>
        <w:t>(art.22, 30, 32, 33, 35, 36, 37</w:t>
      </w:r>
      <w:r w:rsidRPr="00C52C2E">
        <w:rPr>
          <w:b/>
          <w:color w:val="2E74B5" w:themeColor="accent1" w:themeShade="BF"/>
          <w:sz w:val="24"/>
          <w:szCs w:val="24"/>
        </w:rPr>
        <w:t>b)-d) et 38-40)</w:t>
      </w:r>
    </w:p>
    <w:p w:rsidR="00B04C37" w:rsidRDefault="00B04C37" w:rsidP="00B04C37">
      <w:pPr>
        <w:jc w:val="both"/>
      </w:pPr>
    </w:p>
    <w:p w:rsidR="00B04C37" w:rsidRPr="00F23BA1" w:rsidRDefault="00B04C37" w:rsidP="00B04C37">
      <w:pPr>
        <w:jc w:val="both"/>
        <w:rPr>
          <w:i/>
        </w:rPr>
      </w:pPr>
      <w:r w:rsidRPr="00F23BA1">
        <w:rPr>
          <w:i/>
        </w:rPr>
        <w:t xml:space="preserve">Voir tableau </w:t>
      </w:r>
      <w:r>
        <w:rPr>
          <w:i/>
        </w:rPr>
        <w:t>annexé de l’OFS</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45a</w:t>
      </w:r>
    </w:p>
    <w:p w:rsidR="00B04C37" w:rsidRPr="00A40052" w:rsidRDefault="00B04C37" w:rsidP="00B04C37">
      <w:pPr>
        <w:jc w:val="both"/>
      </w:pPr>
    </w:p>
    <w:p w:rsidR="00B04C37" w:rsidRPr="00F23BA1" w:rsidRDefault="00B04C37" w:rsidP="00B04C37">
      <w:pPr>
        <w:pStyle w:val="ListParagraph"/>
        <w:ind w:left="0"/>
        <w:jc w:val="both"/>
        <w:rPr>
          <w:i/>
        </w:rPr>
      </w:pPr>
      <w:r w:rsidRPr="00F23BA1">
        <w:rPr>
          <w:i/>
        </w:rPr>
        <w:t xml:space="preserve">Voir tableaux annexés du SEM sur les enfants réfugiés et </w:t>
      </w:r>
      <w:r>
        <w:rPr>
          <w:i/>
        </w:rPr>
        <w:t>les enfants requérants d’asile</w:t>
      </w:r>
    </w:p>
    <w:p w:rsidR="00B04C37" w:rsidRDefault="00B04C37" w:rsidP="00B04C37">
      <w:pPr>
        <w:pStyle w:val="ListParagraph"/>
        <w:tabs>
          <w:tab w:val="left" w:pos="1590"/>
        </w:tabs>
        <w:ind w:left="0"/>
        <w:jc w:val="both"/>
        <w:rPr>
          <w:iCs/>
        </w:rPr>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45b</w:t>
      </w:r>
    </w:p>
    <w:p w:rsidR="00B04C37" w:rsidRDefault="00B04C37" w:rsidP="00B04C37">
      <w:pPr>
        <w:jc w:val="both"/>
      </w:pPr>
    </w:p>
    <w:p w:rsidR="00B04C37" w:rsidRPr="002F6C8A" w:rsidRDefault="00B04C37" w:rsidP="00B04C37">
      <w:pPr>
        <w:jc w:val="both"/>
      </w:pPr>
      <w:r w:rsidRPr="002F6C8A">
        <w:t>En 201</w:t>
      </w:r>
      <w:r>
        <w:t>9</w:t>
      </w:r>
      <w:r w:rsidRPr="002F6C8A">
        <w:t>, la Suisse compte 1</w:t>
      </w:r>
      <w:r>
        <w:t>70</w:t>
      </w:r>
      <w:r w:rsidRPr="002F6C8A">
        <w:t>'</w:t>
      </w:r>
      <w:r>
        <w:t>266</w:t>
      </w:r>
      <w:r w:rsidRPr="002F6C8A">
        <w:t xml:space="preserve"> enfants, soit 6,6% de la population née à l’étranger. Parmi ces 1</w:t>
      </w:r>
      <w:r>
        <w:t>70</w:t>
      </w:r>
      <w:r w:rsidRPr="002F6C8A">
        <w:t>'</w:t>
      </w:r>
      <w:r>
        <w:t>266</w:t>
      </w:r>
      <w:r w:rsidRPr="002F6C8A">
        <w:t xml:space="preserve"> enfants, 8</w:t>
      </w:r>
      <w:r>
        <w:t>7</w:t>
      </w:r>
      <w:r w:rsidRPr="002F6C8A">
        <w:t>'</w:t>
      </w:r>
      <w:r>
        <w:t>147</w:t>
      </w:r>
      <w:r w:rsidRPr="002F6C8A">
        <w:t xml:space="preserve"> sont des garçons et 8</w:t>
      </w:r>
      <w:r>
        <w:t>3</w:t>
      </w:r>
      <w:r w:rsidRPr="002F6C8A">
        <w:t>'</w:t>
      </w:r>
      <w:r>
        <w:t>119</w:t>
      </w:r>
      <w:r w:rsidRPr="002F6C8A">
        <w:t xml:space="preserve"> des filles (51,2%</w:t>
      </w:r>
      <w:r>
        <w:t>, resp.</w:t>
      </w:r>
      <w:r w:rsidRPr="002F6C8A">
        <w:t xml:space="preserve"> 48,8%). 33'</w:t>
      </w:r>
      <w:r>
        <w:t>605</w:t>
      </w:r>
      <w:r w:rsidRPr="002F6C8A">
        <w:t xml:space="preserve"> sont suisses et 13</w:t>
      </w:r>
      <w:r>
        <w:t>6</w:t>
      </w:r>
      <w:r w:rsidRPr="002F6C8A">
        <w:t>'</w:t>
      </w:r>
      <w:r>
        <w:t>661</w:t>
      </w:r>
      <w:r w:rsidRPr="002F6C8A">
        <w:t xml:space="preserve"> étrangers (19,7%</w:t>
      </w:r>
      <w:r>
        <w:t>, resp.</w:t>
      </w:r>
      <w:r w:rsidRPr="002F6C8A">
        <w:t xml:space="preserve"> 80,3%). En 2014, leur nombre s’élevait à 158'659, soit 6,7% de la population née à l’étranger. Entre 2014 et 201</w:t>
      </w:r>
      <w:r>
        <w:t>9</w:t>
      </w:r>
      <w:r w:rsidRPr="002F6C8A">
        <w:t xml:space="preserve">, leur nombre a donc progressé (de 158'659 à </w:t>
      </w:r>
      <w:r>
        <w:t>170</w:t>
      </w:r>
      <w:r w:rsidRPr="002F6C8A">
        <w:t>'</w:t>
      </w:r>
      <w:r>
        <w:t>266</w:t>
      </w:r>
      <w:r w:rsidRPr="002F6C8A">
        <w:t>, +</w:t>
      </w:r>
      <w:r>
        <w:t>7,3</w:t>
      </w:r>
      <w:r w:rsidRPr="002F6C8A">
        <w:t>%), mais leur part au sein de la population née à l’étranger a très légèrement diminué au profit de personnes d’autres classes d’âges (</w:t>
      </w:r>
      <w:r>
        <w:t xml:space="preserve">de </w:t>
      </w:r>
      <w:r w:rsidRPr="002F6C8A">
        <w:t>6,7% à 6,6%). Parmi les 158'659 mineurs nés à l’étranger, recensés en Suisse en 2014, 81'206 étaient des garçons et 77'453 des filles (51,2%</w:t>
      </w:r>
      <w:r>
        <w:t xml:space="preserve">, resp. </w:t>
      </w:r>
      <w:r w:rsidRPr="002F6C8A">
        <w:t>48,8%). Entre 2014 et 201</w:t>
      </w:r>
      <w:r>
        <w:t>9</w:t>
      </w:r>
      <w:r w:rsidRPr="002F6C8A">
        <w:t xml:space="preserve">, la progression </w:t>
      </w:r>
      <w:r w:rsidRPr="008B5784">
        <w:t>était la même pour les garçons et les filles</w:t>
      </w:r>
      <w:r w:rsidRPr="002F6C8A">
        <w:t xml:space="preserve"> (+</w:t>
      </w:r>
      <w:r>
        <w:t>7,3</w:t>
      </w:r>
      <w:r w:rsidRPr="002F6C8A">
        <w:t>%). Par rapport à la nationalité, 33'672 étaient suisses et 124'987 étrangers (21,2%</w:t>
      </w:r>
      <w:r>
        <w:t>, resp.</w:t>
      </w:r>
      <w:r w:rsidRPr="002F6C8A">
        <w:t xml:space="preserve"> 78,8%). Entre 2014 et 201</w:t>
      </w:r>
      <w:r>
        <w:t>9</w:t>
      </w:r>
      <w:r w:rsidRPr="002F6C8A">
        <w:t>, on observe une progression du nombre des mineurs étrangers (+</w:t>
      </w:r>
      <w:r>
        <w:t>9,3</w:t>
      </w:r>
      <w:r w:rsidRPr="002F6C8A">
        <w:t>%) et une diminution de celui des mineurs suisses (-</w:t>
      </w:r>
      <w:r>
        <w:t>0,2</w:t>
      </w:r>
      <w:r w:rsidRPr="002F6C8A">
        <w:t>%).</w:t>
      </w:r>
    </w:p>
    <w:p w:rsidR="00B04C37" w:rsidRPr="002F6C8A" w:rsidRDefault="00B04C37" w:rsidP="00B04C37">
      <w:pPr>
        <w:jc w:val="both"/>
      </w:pPr>
      <w:r w:rsidRPr="002F6C8A">
        <w:t>En 201</w:t>
      </w:r>
      <w:r>
        <w:t>9</w:t>
      </w:r>
      <w:r w:rsidRPr="002F6C8A">
        <w:t xml:space="preserve">, </w:t>
      </w:r>
      <w:r>
        <w:t>ZH</w:t>
      </w:r>
      <w:r w:rsidRPr="002F6C8A">
        <w:t xml:space="preserve"> et V</w:t>
      </w:r>
      <w:r>
        <w:t>D</w:t>
      </w:r>
      <w:r w:rsidRPr="002F6C8A">
        <w:t xml:space="preserve"> présentent les pourcentages les plus élevés d’enfants nés à l’étranger (</w:t>
      </w:r>
      <w:r>
        <w:t>18,2</w:t>
      </w:r>
      <w:r w:rsidRPr="002F6C8A">
        <w:t>%</w:t>
      </w:r>
      <w:r>
        <w:t>, resp.</w:t>
      </w:r>
      <w:r w:rsidRPr="002F6C8A">
        <w:t xml:space="preserve"> 15,</w:t>
      </w:r>
      <w:r>
        <w:t>0</w:t>
      </w:r>
      <w:r w:rsidRPr="002F6C8A">
        <w:t>%), A</w:t>
      </w:r>
      <w:r>
        <w:t>I</w:t>
      </w:r>
      <w:r w:rsidRPr="002F6C8A">
        <w:t xml:space="preserve"> le pourcentage le plus bas, soit 0,1%. Si l’on considère le nombre d’enfants sur l’ensemble des personnes nées à l’étranger dans chaque canton, Z</w:t>
      </w:r>
      <w:r>
        <w:t xml:space="preserve">G </w:t>
      </w:r>
      <w:r w:rsidRPr="002F6C8A">
        <w:t>se place en tête avec 9,8% d’enfants, suivi de V</w:t>
      </w:r>
      <w:r>
        <w:t>D</w:t>
      </w:r>
      <w:r w:rsidRPr="002F6C8A">
        <w:t xml:space="preserve"> avec 8,</w:t>
      </w:r>
      <w:r>
        <w:t>0</w:t>
      </w:r>
      <w:r w:rsidRPr="002F6C8A">
        <w:t>% d’enfants. En 2014, V</w:t>
      </w:r>
      <w:r>
        <w:t>D et ZH</w:t>
      </w:r>
      <w:r w:rsidRPr="002F6C8A">
        <w:t xml:space="preserve"> présentaient les pourcentages les plus élevés d’enfants nés à l’étranger (17,7%</w:t>
      </w:r>
      <w:r>
        <w:t>, resp.</w:t>
      </w:r>
      <w:r w:rsidRPr="002F6C8A">
        <w:t xml:space="preserve"> 17,4%), A</w:t>
      </w:r>
      <w:r>
        <w:t>I</w:t>
      </w:r>
      <w:r w:rsidRPr="002F6C8A">
        <w:t xml:space="preserve"> le pourcentage le plus bas, soit 0,0%. Si l’on considère le nombre d’enfants sur l’ensemble des personnes nées à l’étranger dans chaque canton, Z</w:t>
      </w:r>
      <w:r>
        <w:t>G s</w:t>
      </w:r>
      <w:r w:rsidRPr="002F6C8A">
        <w:t>e place en tête avec 9,5% d’enfants, suivi de V</w:t>
      </w:r>
      <w:r>
        <w:t>D</w:t>
      </w:r>
      <w:r w:rsidRPr="002F6C8A">
        <w:t xml:space="preserve"> avec 9,4% d’enfants. Par rapport à 2014, Z</w:t>
      </w:r>
      <w:r>
        <w:t>H et VD</w:t>
      </w:r>
      <w:r w:rsidRPr="002F6C8A">
        <w:t xml:space="preserve"> restent les deux cantons qui accueillent la plus grande part d’enfants nés à l’étranger, une part croissante à Z</w:t>
      </w:r>
      <w:r>
        <w:t>H</w:t>
      </w:r>
      <w:r w:rsidRPr="002F6C8A">
        <w:t xml:space="preserve"> et décroissante dans </w:t>
      </w:r>
      <w:r>
        <w:t>VD</w:t>
      </w:r>
      <w:r w:rsidRPr="002F6C8A">
        <w:t>. Z</w:t>
      </w:r>
      <w:r>
        <w:t>G et VD</w:t>
      </w:r>
      <w:r w:rsidRPr="002F6C8A">
        <w:t>, de leur côté, présentent la part la plus importante d’enfants de leur population née à l’étranger.</w:t>
      </w:r>
    </w:p>
    <w:p w:rsidR="00B04C37" w:rsidRDefault="00B04C37" w:rsidP="00B04C37">
      <w:pPr>
        <w:pStyle w:val="ListParagraph"/>
        <w:ind w:left="0"/>
        <w:contextualSpacing w:val="0"/>
        <w:jc w:val="both"/>
        <w:rPr>
          <w:highlight w:val="green"/>
        </w:rPr>
      </w:pPr>
    </w:p>
    <w:p w:rsidR="00B04C37" w:rsidRPr="00F23BA1" w:rsidRDefault="00B04C37" w:rsidP="00B04C37">
      <w:pPr>
        <w:pStyle w:val="ListParagraph"/>
        <w:ind w:left="0"/>
        <w:contextualSpacing w:val="0"/>
        <w:jc w:val="both"/>
        <w:rPr>
          <w:i/>
        </w:rPr>
      </w:pPr>
      <w:r w:rsidRPr="00F23BA1">
        <w:rPr>
          <w:i/>
        </w:rPr>
        <w:t xml:space="preserve">Voir aussi tableau annexé </w:t>
      </w:r>
      <w:r>
        <w:rPr>
          <w:i/>
        </w:rPr>
        <w:t>du SEM</w:t>
      </w:r>
    </w:p>
    <w:p w:rsidR="00B04C37" w:rsidRDefault="00B04C37" w:rsidP="00B04C37">
      <w:pPr>
        <w:pStyle w:val="ListParagraph"/>
        <w:ind w:left="0"/>
        <w:contextualSpacing w:val="0"/>
        <w:jc w:val="both"/>
      </w:pPr>
    </w:p>
    <w:p w:rsidR="00B04C37" w:rsidRPr="00BE583A" w:rsidRDefault="00B04C37" w:rsidP="00B04C37">
      <w:pPr>
        <w:jc w:val="both"/>
        <w:rPr>
          <w:color w:val="1F4E79" w:themeColor="accent1" w:themeShade="80"/>
          <w:sz w:val="24"/>
          <w:szCs w:val="24"/>
        </w:rPr>
      </w:pPr>
      <w:bookmarkStart w:id="12" w:name="_Toc34658336"/>
      <w:r w:rsidRPr="00BE583A">
        <w:rPr>
          <w:color w:val="1F4E79" w:themeColor="accent1" w:themeShade="80"/>
          <w:sz w:val="24"/>
          <w:szCs w:val="24"/>
        </w:rPr>
        <w:t>Réponse au §45</w:t>
      </w:r>
      <w:bookmarkEnd w:id="12"/>
      <w:r w:rsidRPr="00BE583A">
        <w:rPr>
          <w:color w:val="1F4E79" w:themeColor="accent1" w:themeShade="80"/>
          <w:sz w:val="24"/>
          <w:szCs w:val="24"/>
        </w:rPr>
        <w:t>c</w:t>
      </w:r>
    </w:p>
    <w:p w:rsidR="00B04C37" w:rsidRPr="00BE583A" w:rsidRDefault="00B04C37" w:rsidP="00B04C37">
      <w:pPr>
        <w:jc w:val="both"/>
      </w:pPr>
    </w:p>
    <w:p w:rsidR="00B04C37" w:rsidRPr="001C4DA8" w:rsidRDefault="00B04C37" w:rsidP="00B04C37">
      <w:pPr>
        <w:pStyle w:val="SingleTxtG"/>
        <w:spacing w:after="0"/>
        <w:ind w:left="0" w:right="1"/>
        <w:rPr>
          <w:lang w:val="fr-CH"/>
        </w:rPr>
      </w:pPr>
      <w:r w:rsidRPr="001C4DA8">
        <w:rPr>
          <w:lang w:val="fr-CH"/>
        </w:rPr>
        <w:t xml:space="preserve">En 2019, 8 mineurs (7 en 2018) ont été placés en détention administrative en vertu du droit des étrangers. Parmi eux, 6 étaient de sexe masculin, 2 de sexe féminin </w:t>
      </w:r>
      <w:r>
        <w:rPr>
          <w:lang w:val="fr-CH"/>
        </w:rPr>
        <w:t>(respectivement 7 et 0 en 2018);</w:t>
      </w:r>
      <w:r w:rsidRPr="001C4DA8">
        <w:rPr>
          <w:lang w:val="fr-CH"/>
        </w:rPr>
        <w:t xml:space="preserve"> 2 MNA (2 en 2018)</w:t>
      </w:r>
      <w:r>
        <w:rPr>
          <w:lang w:val="fr-CH"/>
        </w:rPr>
        <w:t xml:space="preserve"> et </w:t>
      </w:r>
      <w:r w:rsidRPr="001C4DA8">
        <w:rPr>
          <w:lang w:val="fr-CH"/>
        </w:rPr>
        <w:t>tous les 8 (7 en 2018) étaient âgés de 15 à 17 ans (la détention administrative de mineurs de moins de 15 ans est interdite). Une ventilation des données en fonction d’autres critères (pays d’origine ou origine ethnique par exemple) est impossible.</w:t>
      </w:r>
    </w:p>
    <w:p w:rsidR="00B04C37" w:rsidRPr="0075273E"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45d</w:t>
      </w:r>
    </w:p>
    <w:p w:rsidR="00B04C37" w:rsidRPr="000C3C0B" w:rsidRDefault="00B04C37" w:rsidP="00B04C37">
      <w:pPr>
        <w:jc w:val="both"/>
      </w:pPr>
    </w:p>
    <w:p w:rsidR="00B04C37" w:rsidRPr="00F23BA1" w:rsidRDefault="00B04C37" w:rsidP="00B04C37">
      <w:pPr>
        <w:jc w:val="both"/>
        <w:rPr>
          <w:i/>
        </w:rPr>
      </w:pPr>
      <w:r w:rsidRPr="00F23BA1">
        <w:rPr>
          <w:i/>
        </w:rPr>
        <w:t>Voir tableau annexé</w:t>
      </w:r>
      <w:r>
        <w:rPr>
          <w:i/>
        </w:rPr>
        <w:t xml:space="preserve"> du SEM</w:t>
      </w:r>
    </w:p>
    <w:p w:rsidR="00B04C37" w:rsidRDefault="00B04C37" w:rsidP="00B04C37">
      <w:pPr>
        <w:jc w:val="both"/>
      </w:pP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lastRenderedPageBreak/>
        <w:t xml:space="preserve">Réponse au </w:t>
      </w:r>
      <w:r>
        <w:rPr>
          <w:color w:val="1F4E79" w:themeColor="accent1" w:themeShade="80"/>
          <w:sz w:val="24"/>
          <w:szCs w:val="24"/>
          <w:lang w:val="fr-FR"/>
        </w:rPr>
        <w:t>§</w:t>
      </w:r>
      <w:r w:rsidRPr="000768E5">
        <w:rPr>
          <w:color w:val="1F4E79" w:themeColor="accent1" w:themeShade="80"/>
          <w:sz w:val="24"/>
          <w:szCs w:val="24"/>
          <w:lang w:val="fr-FR"/>
        </w:rPr>
        <w:t>45</w:t>
      </w:r>
      <w:r>
        <w:rPr>
          <w:color w:val="1F4E79" w:themeColor="accent1" w:themeShade="80"/>
          <w:sz w:val="24"/>
          <w:szCs w:val="24"/>
          <w:lang w:val="fr-FR"/>
        </w:rPr>
        <w:t>e</w:t>
      </w:r>
    </w:p>
    <w:p w:rsidR="00B04C37" w:rsidRPr="002F6C8A" w:rsidRDefault="00B04C37" w:rsidP="00B04C37">
      <w:pPr>
        <w:jc w:val="both"/>
      </w:pPr>
    </w:p>
    <w:p w:rsidR="00B04C37" w:rsidRPr="002F6C8A" w:rsidRDefault="00B04C37" w:rsidP="00B04C37">
      <w:pPr>
        <w:jc w:val="both"/>
        <w:rPr>
          <w:rFonts w:cs="Arial"/>
        </w:rPr>
      </w:pPr>
      <w:r w:rsidRPr="002F6C8A">
        <w:t xml:space="preserve">Tous les enfants domiciliés en Suisse – quel que soit leur statut au regard du droit des étrangers – ont </w:t>
      </w:r>
      <w:r w:rsidRPr="002F6C8A">
        <w:rPr>
          <w:rFonts w:cs="Arial"/>
        </w:rPr>
        <w:t>droit à un enseignement de base suffisant et gratuit et sont assurés à l’</w:t>
      </w:r>
      <w:r>
        <w:rPr>
          <w:rFonts w:cs="Arial"/>
        </w:rPr>
        <w:t>AOS</w:t>
      </w:r>
      <w:r w:rsidRPr="002F6C8A">
        <w:rPr>
          <w:rFonts w:cs="Arial"/>
        </w:rPr>
        <w:t>.</w:t>
      </w:r>
    </w:p>
    <w:p w:rsidR="00B04C37"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46</w:t>
      </w:r>
    </w:p>
    <w:p w:rsidR="00B04C37" w:rsidRPr="002F6C8A" w:rsidRDefault="00B04C37" w:rsidP="00B04C37">
      <w:pPr>
        <w:jc w:val="both"/>
      </w:pPr>
    </w:p>
    <w:p w:rsidR="00B04C37" w:rsidRPr="00F12D1F" w:rsidRDefault="00B04C37" w:rsidP="00B04C37">
      <w:pPr>
        <w:jc w:val="both"/>
        <w:rPr>
          <w:rFonts w:cs="Arial"/>
        </w:rPr>
      </w:pPr>
      <w:r w:rsidRPr="00F87A14">
        <w:t>Il n'est pas possible de donner des chiffres précis sur le nombre de personnes vivant en Suisse sans autorisation de séjour, car ce groupe de population ne peut pas être enregistré de manière systématique</w:t>
      </w:r>
      <w:r>
        <w:t>. Il n’y a donc a</w:t>
      </w:r>
      <w:r w:rsidRPr="002F6C8A">
        <w:rPr>
          <w:rFonts w:cs="Arial"/>
          <w:bCs/>
        </w:rPr>
        <w:t xml:space="preserve">ucun chiffre </w:t>
      </w:r>
      <w:r>
        <w:rPr>
          <w:rFonts w:cs="Arial"/>
          <w:bCs/>
        </w:rPr>
        <w:t xml:space="preserve">disponible </w:t>
      </w:r>
      <w:r w:rsidRPr="002F6C8A">
        <w:rPr>
          <w:rFonts w:cs="Arial"/>
          <w:bCs/>
        </w:rPr>
        <w:t xml:space="preserve">sur le nombre d’enfants sans-papiers séjournant en Suisse. </w:t>
      </w:r>
      <w:r>
        <w:t>Une étude de 2015 commandée par le SEM estimait à environ 76'000 le nombre de sans-papiers en Suisse. D’autres études donnent des chiffres bien plus élevés, à l’instar du Forum suisse pour l’étude des migrations de Neuchâtel qui estimait en 2002 qu’entre 70'000 et 180'000 sans-papiers vivaient en Suisse. L’étude "Enfants sans-papiers à l’école" de l’Association pour les droits des enfants sans statut légal et du Syndicat des services publics (SSP) explique quant à elle que le nombre d’enfants et de jeunes dans cette situation en Suisse est particulièrement difficile à évaluer, mais table sur plusieurs milliers</w:t>
      </w:r>
      <w:r w:rsidRPr="00F12D1F">
        <w:t>.</w:t>
      </w:r>
    </w:p>
    <w:p w:rsidR="00B04C37" w:rsidRPr="00F12D1F"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47a</w:t>
      </w:r>
    </w:p>
    <w:p w:rsidR="00B04C37" w:rsidRPr="002B5527" w:rsidRDefault="00B04C37" w:rsidP="00B04C37">
      <w:pPr>
        <w:jc w:val="both"/>
        <w:rPr>
          <w:rFonts w:cs="Arial"/>
          <w:bCs/>
        </w:rPr>
      </w:pPr>
      <w:bookmarkStart w:id="13" w:name="_Toc34658343"/>
    </w:p>
    <w:p w:rsidR="00B04C37" w:rsidRPr="00B750D8" w:rsidRDefault="00B04C37" w:rsidP="00B04C37">
      <w:pPr>
        <w:jc w:val="both"/>
        <w:rPr>
          <w:rFonts w:cs="Arial"/>
          <w:bCs/>
        </w:rPr>
      </w:pPr>
      <w:r w:rsidRPr="002B5527">
        <w:t xml:space="preserve">Au 31 janvier 2020, on compte 466 mineurs placés en dehors de leur famille après avoir commis une infraction, soit 3% de moins qu’en 2017. </w:t>
      </w:r>
      <w:r w:rsidRPr="002B5527">
        <w:rPr>
          <w:rFonts w:cs="Arial"/>
          <w:bCs/>
        </w:rPr>
        <w:t xml:space="preserve">Le nombre de placements extrafamiliaux de mineurs est resté plutôt stable depuis 2015 après s’être </w:t>
      </w:r>
      <w:r w:rsidRPr="00B750D8">
        <w:rPr>
          <w:rFonts w:cs="Arial"/>
          <w:bCs/>
        </w:rPr>
        <w:t>pratiquement réduit de moitié (-44%) depuis 2010.</w:t>
      </w:r>
    </w:p>
    <w:p w:rsidR="00B04C37" w:rsidRPr="00B750D8" w:rsidRDefault="00B04C37" w:rsidP="00B04C37">
      <w:pPr>
        <w:jc w:val="both"/>
        <w:rPr>
          <w:rFonts w:cs="Arial"/>
          <w:bCs/>
        </w:rPr>
      </w:pPr>
      <w:r w:rsidRPr="00B750D8">
        <w:rPr>
          <w:rFonts w:cs="Arial"/>
          <w:bCs/>
        </w:rPr>
        <w:t>Des 466 jeunes placés en dehors de leur famille en 2020, 213 l’étaient avant jugement – c'est-à-dire pendant la phase des investigations – et 223 l’étaient suite à la décision d’un juge.</w:t>
      </w:r>
    </w:p>
    <w:p w:rsidR="00B04C37" w:rsidRPr="00B750D8" w:rsidRDefault="00B04C37" w:rsidP="00B04C37">
      <w:pPr>
        <w:jc w:val="both"/>
        <w:rPr>
          <w:rFonts w:cs="Arial"/>
          <w:bCs/>
        </w:rPr>
      </w:pPr>
      <w:r w:rsidRPr="00B750D8">
        <w:rPr>
          <w:rFonts w:cs="Arial"/>
          <w:bCs/>
        </w:rPr>
        <w:t>La plupart des mineurs sont placés dans des institutions ouvertes. Les placements en famille d’accueil sont constamment en baisse depuis 2010 (</w:t>
      </w:r>
      <w:r w:rsidRPr="002B5527">
        <w:t xml:space="preserve">15 en 2020 </w:t>
      </w:r>
      <w:r w:rsidRPr="00B750D8">
        <w:t xml:space="preserve">contre </w:t>
      </w:r>
      <w:r w:rsidRPr="002B5527">
        <w:rPr>
          <w:rFonts w:cs="Arial"/>
          <w:bCs/>
        </w:rPr>
        <w:t>77 en 2010). La plupart des jeunes sont donc confiés à des institutions spécialisées</w:t>
      </w:r>
      <w:r w:rsidRPr="00B750D8">
        <w:rPr>
          <w:rFonts w:cs="Arial"/>
          <w:bCs/>
        </w:rPr>
        <w:t xml:space="preserve"> (83%). En 2020, 55% des mesures de protection ordonnées à titre provisionnel et 81% des mesures de protection faisant suite à un jugement sont exécutées dans des institutions ouvertes. En 2020, 36 jeunes se trouvaient en privation de liberté, ce nombre a triplé par rapport à 2017 (11 jeunes).</w:t>
      </w:r>
    </w:p>
    <w:p w:rsidR="00B04C37" w:rsidRPr="00B750D8" w:rsidRDefault="00B04C37" w:rsidP="00B04C37">
      <w:pPr>
        <w:jc w:val="both"/>
        <w:rPr>
          <w:rFonts w:cs="Arial"/>
          <w:bCs/>
        </w:rPr>
      </w:pPr>
      <w:r w:rsidRPr="00B750D8">
        <w:rPr>
          <w:rFonts w:cs="Arial"/>
          <w:bCs/>
        </w:rPr>
        <w:t>La plupart des jeunes placés sont de sexe masculin (91%) et ont plus de 16 ans (88%). 59% des jeunes placés sont des Suisses, 31% sont des étrangers possédant un permis B ou C.</w:t>
      </w:r>
    </w:p>
    <w:p w:rsidR="00B04C37" w:rsidRPr="00A54A91" w:rsidRDefault="00B04C37" w:rsidP="00B04C37">
      <w:pPr>
        <w:jc w:val="both"/>
        <w:rPr>
          <w:lang w:val="fr-FR"/>
        </w:rPr>
      </w:pPr>
    </w:p>
    <w:bookmarkEnd w:id="13"/>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47b</w:t>
      </w: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47c</w:t>
      </w:r>
    </w:p>
    <w:p w:rsidR="00B04C37" w:rsidRDefault="00B04C37" w:rsidP="00B04C37">
      <w:pPr>
        <w:jc w:val="both"/>
      </w:pPr>
    </w:p>
    <w:p w:rsidR="00B04C37" w:rsidRDefault="00B04C37" w:rsidP="00B04C37">
      <w:pPr>
        <w:jc w:val="both"/>
      </w:pPr>
      <w:r>
        <w:t>D</w:t>
      </w:r>
      <w:r w:rsidRPr="00A40052">
        <w:t>e telles données</w:t>
      </w:r>
      <w:r>
        <w:t xml:space="preserve"> ne sont pas disponibles.</w:t>
      </w:r>
    </w:p>
    <w:p w:rsidR="00B04C37" w:rsidRDefault="00B04C37" w:rsidP="00B04C37">
      <w:pPr>
        <w:jc w:val="both"/>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J.</w:t>
      </w:r>
      <w:r w:rsidRPr="00C52C2E">
        <w:rPr>
          <w:b/>
          <w:color w:val="2E74B5" w:themeColor="accent1" w:themeShade="BF"/>
          <w:sz w:val="24"/>
          <w:szCs w:val="24"/>
        </w:rPr>
        <w:tab/>
        <w:t>Protocole facultatif concernant la vente d’enfants, la prostitution des enfants et la pornographie mettant en scène des enfants</w:t>
      </w:r>
    </w:p>
    <w:p w:rsidR="00B04C37" w:rsidRDefault="00B04C37" w:rsidP="00B04C37">
      <w:pPr>
        <w:jc w:val="both"/>
        <w:rPr>
          <w:sz w:val="24"/>
          <w:szCs w:val="24"/>
        </w:rPr>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48a</w:t>
      </w:r>
    </w:p>
    <w:p w:rsidR="00B04C37" w:rsidRPr="003070AE" w:rsidRDefault="00B04C37" w:rsidP="00B04C37">
      <w:pPr>
        <w:jc w:val="both"/>
      </w:pPr>
      <w:bookmarkStart w:id="14" w:name="_Toc34658347"/>
    </w:p>
    <w:p w:rsidR="00B04C37" w:rsidRPr="003070AE" w:rsidRDefault="00B04C37" w:rsidP="00B04C37">
      <w:pPr>
        <w:jc w:val="both"/>
      </w:pPr>
      <w:r>
        <w:t>I</w:t>
      </w:r>
      <w:r w:rsidRPr="003070AE">
        <w:t xml:space="preserve">l n’y a pas de </w:t>
      </w:r>
      <w:r>
        <w:t xml:space="preserve">telles </w:t>
      </w:r>
      <w:r w:rsidRPr="003070AE">
        <w:t xml:space="preserve">données </w:t>
      </w:r>
      <w:r>
        <w:t>d</w:t>
      </w:r>
      <w:r w:rsidRPr="003070AE">
        <w:t xml:space="preserve">ans la </w:t>
      </w:r>
      <w:r>
        <w:t xml:space="preserve">SPC. </w:t>
      </w:r>
      <w:r w:rsidRPr="003070AE">
        <w:t>Par contre, concernant la traite des êtres humains</w:t>
      </w:r>
      <w:r>
        <w:t xml:space="preserve"> (</w:t>
      </w:r>
      <w:r w:rsidRPr="003070AE">
        <w:t>art.</w:t>
      </w:r>
      <w:r>
        <w:t xml:space="preserve">182 </w:t>
      </w:r>
      <w:r w:rsidRPr="003070AE">
        <w:t>CP</w:t>
      </w:r>
      <w:r>
        <w:t>)</w:t>
      </w:r>
      <w:r w:rsidRPr="003070AE">
        <w:t xml:space="preserve">, il y a très peu d’infractions enregistrées par la </w:t>
      </w:r>
      <w:r>
        <w:t>p</w:t>
      </w:r>
      <w:r w:rsidRPr="003070AE">
        <w:t xml:space="preserve">olice depuis 2014, à l’encontre d’enfants, soit entre </w:t>
      </w:r>
      <w:r>
        <w:t>1</w:t>
      </w:r>
      <w:r w:rsidRPr="003070AE">
        <w:t xml:space="preserve"> à </w:t>
      </w:r>
      <w:r>
        <w:t>4</w:t>
      </w:r>
      <w:r w:rsidRPr="003070AE">
        <w:t xml:space="preserve"> par année. En 2018, il y a eu seulement 4 condamnations sur la base de l’art.182 CP.</w:t>
      </w:r>
    </w:p>
    <w:p w:rsidR="00B04C37" w:rsidRDefault="00B04C37" w:rsidP="00B04C37">
      <w:pPr>
        <w:pStyle w:val="SingleTxtG"/>
        <w:spacing w:after="0"/>
        <w:ind w:left="0"/>
        <w:rPr>
          <w:lang w:val="fr-CH"/>
        </w:rPr>
      </w:pPr>
    </w:p>
    <w:p w:rsidR="00B04C37" w:rsidRPr="000768E5" w:rsidRDefault="00B04C37" w:rsidP="00B04C37">
      <w:pPr>
        <w:jc w:val="both"/>
        <w:rPr>
          <w:color w:val="1F4E79" w:themeColor="accent1" w:themeShade="80"/>
          <w:sz w:val="24"/>
          <w:szCs w:val="24"/>
          <w:lang w:val="fr-FR"/>
        </w:rPr>
      </w:pPr>
      <w:bookmarkStart w:id="15" w:name="_Toc34658346"/>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48</w:t>
      </w:r>
      <w:bookmarkEnd w:id="15"/>
      <w:r w:rsidRPr="000768E5">
        <w:rPr>
          <w:color w:val="1F4E79" w:themeColor="accent1" w:themeShade="80"/>
          <w:sz w:val="24"/>
          <w:szCs w:val="24"/>
          <w:lang w:val="fr-FR"/>
        </w:rPr>
        <w:t>b</w:t>
      </w: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48c</w:t>
      </w:r>
    </w:p>
    <w:bookmarkEnd w:id="14"/>
    <w:p w:rsidR="00B04C37" w:rsidRPr="00A40052" w:rsidRDefault="00B04C37" w:rsidP="00B04C37">
      <w:pPr>
        <w:jc w:val="both"/>
        <w:rPr>
          <w:sz w:val="24"/>
          <w:szCs w:val="24"/>
        </w:rPr>
      </w:pPr>
    </w:p>
    <w:p w:rsidR="00B04C37" w:rsidRDefault="00B04C37" w:rsidP="00B04C37">
      <w:pPr>
        <w:jc w:val="both"/>
      </w:pPr>
      <w:bookmarkStart w:id="16" w:name="_Toc34658349"/>
      <w:r>
        <w:t>D</w:t>
      </w:r>
      <w:r w:rsidRPr="00A40052">
        <w:t>e telles données</w:t>
      </w:r>
      <w:r>
        <w:t xml:space="preserve"> ne sont pas disponibles.</w:t>
      </w:r>
    </w:p>
    <w:p w:rsidR="00B04C37" w:rsidRDefault="00B04C37" w:rsidP="00B04C37">
      <w:pPr>
        <w:jc w:val="both"/>
      </w:pPr>
    </w:p>
    <w:p w:rsidR="00B04C37" w:rsidRPr="00C52C2E" w:rsidRDefault="00B04C37" w:rsidP="00B04C37">
      <w:pPr>
        <w:jc w:val="both"/>
        <w:rPr>
          <w:b/>
          <w:color w:val="2E74B5" w:themeColor="accent1" w:themeShade="BF"/>
          <w:sz w:val="24"/>
          <w:szCs w:val="24"/>
        </w:rPr>
      </w:pPr>
      <w:r w:rsidRPr="00C52C2E">
        <w:rPr>
          <w:b/>
          <w:color w:val="2E74B5" w:themeColor="accent1" w:themeShade="BF"/>
          <w:sz w:val="24"/>
          <w:szCs w:val="24"/>
        </w:rPr>
        <w:t>K.</w:t>
      </w:r>
      <w:r w:rsidRPr="00C52C2E">
        <w:rPr>
          <w:b/>
          <w:color w:val="2E74B5" w:themeColor="accent1" w:themeShade="BF"/>
          <w:sz w:val="24"/>
          <w:szCs w:val="24"/>
        </w:rPr>
        <w:tab/>
        <w:t>Protocole facultatif concernant l’implication d’enfants dans les conflits armés</w:t>
      </w:r>
    </w:p>
    <w:p w:rsidR="00B04C37" w:rsidRPr="00A40052" w:rsidRDefault="00B04C37" w:rsidP="00B04C37">
      <w:pPr>
        <w:jc w:val="both"/>
      </w:pP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49a</w:t>
      </w:r>
    </w:p>
    <w:p w:rsidR="00B04C37" w:rsidRPr="000768E5" w:rsidRDefault="00B04C37" w:rsidP="00B04C37">
      <w:pPr>
        <w:jc w:val="both"/>
        <w:rPr>
          <w:color w:val="1F4E79" w:themeColor="accent1" w:themeShade="80"/>
          <w:sz w:val="24"/>
          <w:szCs w:val="24"/>
          <w:lang w:val="fr-FR"/>
        </w:rPr>
      </w:pPr>
      <w:r w:rsidRPr="000768E5">
        <w:rPr>
          <w:color w:val="1F4E79" w:themeColor="accent1" w:themeShade="80"/>
          <w:sz w:val="24"/>
          <w:szCs w:val="24"/>
          <w:lang w:val="fr-FR"/>
        </w:rPr>
        <w:t xml:space="preserve">Réponse au </w:t>
      </w:r>
      <w:r>
        <w:rPr>
          <w:color w:val="1F4E79" w:themeColor="accent1" w:themeShade="80"/>
          <w:sz w:val="24"/>
          <w:szCs w:val="24"/>
          <w:lang w:val="fr-FR"/>
        </w:rPr>
        <w:t>§</w:t>
      </w:r>
      <w:r w:rsidRPr="000768E5">
        <w:rPr>
          <w:color w:val="1F4E79" w:themeColor="accent1" w:themeShade="80"/>
          <w:sz w:val="24"/>
          <w:szCs w:val="24"/>
          <w:lang w:val="fr-FR"/>
        </w:rPr>
        <w:t>49b</w:t>
      </w:r>
    </w:p>
    <w:bookmarkEnd w:id="16"/>
    <w:p w:rsidR="00D839A7" w:rsidRDefault="00B04C37" w:rsidP="00B04C37">
      <w:pPr>
        <w:jc w:val="both"/>
      </w:pPr>
      <w:r>
        <w:t>D</w:t>
      </w:r>
      <w:r w:rsidRPr="00A40052">
        <w:t>e telles données</w:t>
      </w:r>
      <w:r>
        <w:t xml:space="preserve"> ne sont pas disponibles.</w:t>
      </w:r>
      <w:bookmarkStart w:id="17" w:name="_GoBack"/>
      <w:bookmarkEnd w:id="17"/>
    </w:p>
    <w:sectPr w:rsidR="00D839A7" w:rsidSect="00883789">
      <w:footerReference w:type="default" r:id="rId10"/>
      <w:footerReference w:type="first" r:id="rId11"/>
      <w:pgSz w:w="11907" w:h="16839"/>
      <w:pgMar w:top="1418" w:right="1418"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C37" w:rsidRDefault="00B04C37" w:rsidP="00B04C37">
      <w:pPr>
        <w:spacing w:line="240" w:lineRule="auto"/>
      </w:pPr>
      <w:r>
        <w:separator/>
      </w:r>
    </w:p>
  </w:endnote>
  <w:endnote w:type="continuationSeparator" w:id="0">
    <w:p w:rsidR="00B04C37" w:rsidRDefault="00B04C37" w:rsidP="00B04C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utiger LT Com 45 Light">
    <w:altName w:val="Frutiger LT Com 45 Light"/>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7492881"/>
      <w:docPartObj>
        <w:docPartGallery w:val="Page Numbers (Bottom of Page)"/>
        <w:docPartUnique/>
      </w:docPartObj>
    </w:sdtPr>
    <w:sdtEndPr/>
    <w:sdtContent>
      <w:p w:rsidR="00395A3C" w:rsidRDefault="00B04C37">
        <w:pPr>
          <w:pStyle w:val="Footer"/>
          <w:jc w:val="center"/>
        </w:pPr>
        <w:r>
          <w:fldChar w:fldCharType="begin"/>
        </w:r>
        <w:r>
          <w:instrText>PAGE   \* MERGEFORMAT</w:instrText>
        </w:r>
        <w:r>
          <w:fldChar w:fldCharType="separate"/>
        </w:r>
        <w:r w:rsidRPr="00B04C37">
          <w:rPr>
            <w:noProof/>
            <w:lang w:val="fr-FR"/>
          </w:rPr>
          <w:t>10</w:t>
        </w:r>
        <w:r>
          <w:fldChar w:fldCharType="end"/>
        </w:r>
      </w:p>
    </w:sdtContent>
  </w:sdt>
  <w:p w:rsidR="00395A3C" w:rsidRDefault="00B04C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5114139"/>
      <w:docPartObj>
        <w:docPartGallery w:val="Page Numbers (Bottom of Page)"/>
        <w:docPartUnique/>
      </w:docPartObj>
    </w:sdtPr>
    <w:sdtEndPr/>
    <w:sdtContent>
      <w:p w:rsidR="00395A3C" w:rsidRDefault="00B04C37">
        <w:pPr>
          <w:pStyle w:val="Footer"/>
          <w:jc w:val="center"/>
        </w:pPr>
        <w:r>
          <w:rPr>
            <w:rFonts w:ascii="Arial" w:hAnsi="Arial" w:cs="Arial"/>
          </w:rPr>
          <w:fldChar w:fldCharType="begin"/>
        </w:r>
        <w:r>
          <w:rPr>
            <w:rFonts w:ascii="Arial" w:hAnsi="Arial" w:cs="Arial"/>
          </w:rPr>
          <w:instrText>PAGE   \* MERGEFORMAT</w:instrText>
        </w:r>
        <w:r>
          <w:rPr>
            <w:rFonts w:ascii="Arial" w:hAnsi="Arial" w:cs="Arial"/>
          </w:rPr>
          <w:fldChar w:fldCharType="separate"/>
        </w:r>
        <w:r w:rsidRPr="00B04C37">
          <w:rPr>
            <w:rFonts w:ascii="Arial" w:hAnsi="Arial" w:cs="Arial"/>
            <w:noProof/>
            <w:lang w:val="fr-FR"/>
          </w:rPr>
          <w:t>1</w:t>
        </w:r>
        <w:r>
          <w:rPr>
            <w:rFonts w:ascii="Arial" w:hAnsi="Arial" w:cs="Arial"/>
          </w:rPr>
          <w:fldChar w:fldCharType="end"/>
        </w:r>
      </w:p>
    </w:sdtContent>
  </w:sdt>
  <w:p w:rsidR="00395A3C" w:rsidRDefault="00B04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C37" w:rsidRDefault="00B04C37" w:rsidP="00B04C37">
      <w:pPr>
        <w:spacing w:line="240" w:lineRule="auto"/>
      </w:pPr>
      <w:r>
        <w:separator/>
      </w:r>
    </w:p>
  </w:footnote>
  <w:footnote w:type="continuationSeparator" w:id="0">
    <w:p w:rsidR="00B04C37" w:rsidRDefault="00B04C37" w:rsidP="00B04C37">
      <w:pPr>
        <w:spacing w:line="240" w:lineRule="auto"/>
      </w:pPr>
      <w:r>
        <w:continuationSeparator/>
      </w:r>
    </w:p>
  </w:footnote>
  <w:footnote w:id="1">
    <w:p w:rsidR="00B04C37" w:rsidRPr="002053FB" w:rsidRDefault="00B04C37" w:rsidP="00B04C37">
      <w:pPr>
        <w:pStyle w:val="FootnoteText"/>
        <w:tabs>
          <w:tab w:val="clear" w:pos="1021"/>
        </w:tabs>
        <w:ind w:left="0" w:right="284" w:firstLine="0"/>
        <w:rPr>
          <w:sz w:val="16"/>
          <w:szCs w:val="16"/>
        </w:rPr>
      </w:pPr>
      <w:r w:rsidRPr="007936C7">
        <w:rPr>
          <w:rStyle w:val="FootnoteReference"/>
          <w:sz w:val="16"/>
          <w:szCs w:val="16"/>
        </w:rPr>
        <w:footnoteRef/>
      </w:r>
      <w:r w:rsidRPr="002053FB">
        <w:rPr>
          <w:sz w:val="16"/>
          <w:szCs w:val="16"/>
        </w:rPr>
        <w:t xml:space="preserve"> </w:t>
      </w:r>
      <w:hyperlink r:id="rId1" w:history="1">
        <w:r w:rsidRPr="002053FB">
          <w:rPr>
            <w:rStyle w:val="Hyperlink"/>
            <w:sz w:val="16"/>
            <w:szCs w:val="16"/>
          </w:rPr>
          <w:t>https://www.bfs.admin.ch/bfs/fr/home/statistiques/education-science/personnes-formation/ecole-obligatoire/pedagogie-specialisee.html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23672"/>
    <w:multiLevelType w:val="hybridMultilevel"/>
    <w:tmpl w:val="EFEE3590"/>
    <w:lvl w:ilvl="0" w:tplc="B0680166">
      <w:numFmt w:val="bullet"/>
      <w:lvlText w:val="-"/>
      <w:lvlJc w:val="left"/>
      <w:pPr>
        <w:ind w:left="284" w:hanging="284"/>
      </w:pPr>
      <w:rPr>
        <w:rFonts w:ascii="Arial" w:eastAsia="Times New Roman"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5926442D"/>
    <w:multiLevelType w:val="hybridMultilevel"/>
    <w:tmpl w:val="6866A8C2"/>
    <w:lvl w:ilvl="0" w:tplc="161A476E">
      <w:numFmt w:val="bullet"/>
      <w:lvlText w:val="-"/>
      <w:lvlJc w:val="left"/>
      <w:pPr>
        <w:ind w:left="284" w:hanging="284"/>
      </w:pPr>
      <w:rPr>
        <w:rFonts w:ascii="Times New Roman" w:eastAsiaTheme="minorHAnsi"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C37"/>
    <w:rsid w:val="00B04C37"/>
    <w:rsid w:val="00D26913"/>
    <w:rsid w:val="00D83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95DE3-319F-4904-BD7D-171CF707A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C37"/>
    <w:pPr>
      <w:suppressAutoHyphens/>
      <w:spacing w:after="0" w:line="240" w:lineRule="atLeast"/>
    </w:pPr>
    <w:rPr>
      <w:rFonts w:ascii="Times New Roman" w:eastAsia="Times New Roman" w:hAnsi="Times New Roman" w:cs="Times New Roman"/>
      <w:sz w:val="20"/>
      <w:szCs w:val="20"/>
      <w:lang w:val="fr-CH"/>
    </w:rPr>
  </w:style>
  <w:style w:type="paragraph" w:styleId="Heading1">
    <w:name w:val="heading 1"/>
    <w:basedOn w:val="Normal"/>
    <w:next w:val="Normal"/>
    <w:link w:val="Heading1Char"/>
    <w:uiPriority w:val="9"/>
    <w:qFormat/>
    <w:rsid w:val="00B04C3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04C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C37"/>
    <w:rPr>
      <w:rFonts w:asciiTheme="majorHAnsi" w:eastAsiaTheme="majorEastAsia" w:hAnsiTheme="majorHAnsi" w:cstheme="majorBidi"/>
      <w:color w:val="2E74B5" w:themeColor="accent1" w:themeShade="BF"/>
      <w:sz w:val="32"/>
      <w:szCs w:val="32"/>
      <w:lang w:val="fr-CH"/>
    </w:rPr>
  </w:style>
  <w:style w:type="character" w:customStyle="1" w:styleId="Heading2Char">
    <w:name w:val="Heading 2 Char"/>
    <w:basedOn w:val="DefaultParagraphFont"/>
    <w:link w:val="Heading2"/>
    <w:uiPriority w:val="9"/>
    <w:rsid w:val="00B04C37"/>
    <w:rPr>
      <w:rFonts w:asciiTheme="majorHAnsi" w:eastAsiaTheme="majorEastAsia" w:hAnsiTheme="majorHAnsi" w:cstheme="majorBidi"/>
      <w:color w:val="2E74B5" w:themeColor="accent1" w:themeShade="BF"/>
      <w:sz w:val="26"/>
      <w:szCs w:val="26"/>
      <w:lang w:val="fr-CH"/>
    </w:rPr>
  </w:style>
  <w:style w:type="paragraph" w:styleId="ListParagraph">
    <w:name w:val="List Paragraph"/>
    <w:basedOn w:val="Normal"/>
    <w:uiPriority w:val="34"/>
    <w:qFormat/>
    <w:rsid w:val="00B04C37"/>
    <w:pPr>
      <w:ind w:left="720"/>
      <w:contextualSpacing/>
    </w:pPr>
  </w:style>
  <w:style w:type="character" w:styleId="BookTitle">
    <w:name w:val="Book Title"/>
    <w:basedOn w:val="DefaultParagraphFont"/>
    <w:uiPriority w:val="33"/>
    <w:qFormat/>
    <w:rsid w:val="00B04C37"/>
    <w:rPr>
      <w:b/>
      <w:bCs/>
      <w:i/>
      <w:iCs/>
      <w:spacing w:val="5"/>
    </w:rPr>
  </w:style>
  <w:style w:type="paragraph" w:styleId="Footer">
    <w:name w:val="footer"/>
    <w:basedOn w:val="Normal"/>
    <w:link w:val="FooterChar"/>
    <w:uiPriority w:val="99"/>
    <w:unhideWhenUsed/>
    <w:rsid w:val="00B04C37"/>
    <w:pPr>
      <w:tabs>
        <w:tab w:val="center" w:pos="4536"/>
        <w:tab w:val="right" w:pos="9072"/>
      </w:tabs>
      <w:spacing w:line="240" w:lineRule="auto"/>
    </w:pPr>
  </w:style>
  <w:style w:type="character" w:customStyle="1" w:styleId="FooterChar">
    <w:name w:val="Footer Char"/>
    <w:basedOn w:val="DefaultParagraphFont"/>
    <w:link w:val="Footer"/>
    <w:uiPriority w:val="99"/>
    <w:rsid w:val="00B04C37"/>
    <w:rPr>
      <w:rFonts w:ascii="Times New Roman" w:eastAsia="Times New Roman" w:hAnsi="Times New Roman" w:cs="Times New Roman"/>
      <w:sz w:val="20"/>
      <w:szCs w:val="20"/>
      <w:lang w:val="fr-CH"/>
    </w:rPr>
  </w:style>
  <w:style w:type="character" w:styleId="Hyperlink">
    <w:name w:val="Hyperlink"/>
    <w:basedOn w:val="DefaultParagraphFont"/>
    <w:uiPriority w:val="99"/>
    <w:unhideWhenUsed/>
    <w:rsid w:val="00B04C37"/>
    <w:rPr>
      <w:color w:val="0563C1" w:themeColor="hyperlink"/>
      <w:u w:val="single"/>
    </w:rPr>
  </w:style>
  <w:style w:type="paragraph" w:customStyle="1" w:styleId="SingleTxtG">
    <w:name w:val="_ Single Txt_G"/>
    <w:basedOn w:val="Normal"/>
    <w:link w:val="SingleTxtGChar"/>
    <w:qFormat/>
    <w:rsid w:val="00B04C37"/>
    <w:pPr>
      <w:kinsoku w:val="0"/>
      <w:overflowPunct w:val="0"/>
      <w:autoSpaceDE w:val="0"/>
      <w:autoSpaceDN w:val="0"/>
      <w:adjustRightInd w:val="0"/>
      <w:snapToGrid w:val="0"/>
      <w:spacing w:after="120"/>
      <w:ind w:left="1134" w:right="1134"/>
      <w:jc w:val="both"/>
    </w:pPr>
    <w:rPr>
      <w:rFonts w:eastAsiaTheme="minorHAnsi"/>
      <w:lang w:val="en-GB"/>
    </w:rPr>
  </w:style>
  <w:style w:type="character" w:customStyle="1" w:styleId="SingleTxtGChar">
    <w:name w:val="_ Single Txt_G Char"/>
    <w:link w:val="SingleTxtG"/>
    <w:locked/>
    <w:rsid w:val="00B04C37"/>
    <w:rPr>
      <w:rFonts w:ascii="Times New Roman" w:hAnsi="Times New Roman" w:cs="Times New Roman"/>
      <w:sz w:val="20"/>
      <w:szCs w:val="20"/>
    </w:rPr>
  </w:style>
  <w:style w:type="paragraph" w:styleId="CommentText">
    <w:name w:val="annotation text"/>
    <w:basedOn w:val="Normal"/>
    <w:link w:val="CommentTextChar"/>
    <w:unhideWhenUsed/>
    <w:rsid w:val="00B04C37"/>
    <w:pPr>
      <w:spacing w:line="240" w:lineRule="auto"/>
    </w:pPr>
    <w:rPr>
      <w:lang w:val="en-GB"/>
    </w:rPr>
  </w:style>
  <w:style w:type="character" w:customStyle="1" w:styleId="CommentTextChar">
    <w:name w:val="Comment Text Char"/>
    <w:basedOn w:val="DefaultParagraphFont"/>
    <w:link w:val="CommentText"/>
    <w:rsid w:val="00B04C37"/>
    <w:rPr>
      <w:rFonts w:ascii="Times New Roman" w:eastAsia="Times New Roman" w:hAnsi="Times New Roman" w:cs="Times New Roman"/>
      <w:sz w:val="20"/>
      <w:szCs w:val="20"/>
    </w:rPr>
  </w:style>
  <w:style w:type="character" w:customStyle="1" w:styleId="A1">
    <w:name w:val="A1"/>
    <w:uiPriority w:val="99"/>
    <w:rsid w:val="00B04C37"/>
    <w:rPr>
      <w:rFonts w:ascii="Frutiger LT Com 45 Light" w:hAnsi="Frutiger LT Com 45 Light" w:hint="default"/>
      <w:color w:val="000000"/>
      <w:sz w:val="20"/>
    </w:rPr>
  </w:style>
  <w:style w:type="character" w:styleId="FootnoteReference">
    <w:name w:val="footnote reference"/>
    <w:aliases w:val="4_G,Rimando nota a piè di pagina"/>
    <w:basedOn w:val="DefaultParagraphFont"/>
    <w:uiPriority w:val="99"/>
    <w:qFormat/>
    <w:rsid w:val="00B04C37"/>
    <w:rPr>
      <w:rFonts w:ascii="Times New Roman" w:hAnsi="Times New Roman"/>
      <w:sz w:val="18"/>
      <w:vertAlign w:val="superscript"/>
      <w:lang w:val="en-GB"/>
    </w:rPr>
  </w:style>
  <w:style w:type="paragraph" w:styleId="FootnoteText">
    <w:name w:val="footnote text"/>
    <w:aliases w:val="5_G,Testo nota a piè di pagina"/>
    <w:basedOn w:val="Normal"/>
    <w:link w:val="FootnoteTextChar"/>
    <w:qFormat/>
    <w:rsid w:val="00B04C37"/>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lang w:val="en-GB"/>
    </w:rPr>
  </w:style>
  <w:style w:type="character" w:customStyle="1" w:styleId="FootnoteTextChar">
    <w:name w:val="Footnote Text Char"/>
    <w:aliases w:val="5_G Char,Testo nota a piè di pagina Char"/>
    <w:basedOn w:val="DefaultParagraphFont"/>
    <w:link w:val="FootnoteText"/>
    <w:rsid w:val="00B04C37"/>
    <w:rPr>
      <w:rFonts w:ascii="Times New Roman" w:hAnsi="Times New Roman" w:cs="Times New Roman"/>
      <w:sz w:val="18"/>
      <w:szCs w:val="20"/>
    </w:rPr>
  </w:style>
  <w:style w:type="paragraph" w:styleId="NormalWeb">
    <w:name w:val="Normal (Web)"/>
    <w:basedOn w:val="Normal"/>
    <w:uiPriority w:val="99"/>
    <w:unhideWhenUsed/>
    <w:rsid w:val="00B04C37"/>
    <w:pPr>
      <w:suppressAutoHyphens w:val="0"/>
      <w:spacing w:before="100" w:beforeAutospacing="1" w:after="100" w:afterAutospacing="1" w:line="240" w:lineRule="auto"/>
    </w:pPr>
    <w:rPr>
      <w:sz w:val="24"/>
      <w:szCs w:val="24"/>
      <w:lang w:val="en-US"/>
    </w:rPr>
  </w:style>
  <w:style w:type="character" w:customStyle="1" w:styleId="st">
    <w:name w:val="st"/>
    <w:basedOn w:val="DefaultParagraphFont"/>
    <w:rsid w:val="00B04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sv.admin.ch/bsv/fr/home/assurances-sociales/ueberblick/grsv/statistik.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okes.ch/application/files/7815/9911/4675/COPMA_Statistiques_2019_enfants_mesures_en_cours_A3.pd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formation-postgrade-accreditee-lpsy.admin.ch"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bfs.admin.ch/bfs/fr/home/statistiques/education-science/personnes-formation/ecole-obligatoire/pedagogie-specialise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D97355-8BB4-4513-9ABE-4865B7B93CDA}"/>
</file>

<file path=customXml/itemProps2.xml><?xml version="1.0" encoding="utf-8"?>
<ds:datastoreItem xmlns:ds="http://schemas.openxmlformats.org/officeDocument/2006/customXml" ds:itemID="{37F14EBB-6543-4667-8F65-7D907580353E}"/>
</file>

<file path=customXml/itemProps3.xml><?xml version="1.0" encoding="utf-8"?>
<ds:datastoreItem xmlns:ds="http://schemas.openxmlformats.org/officeDocument/2006/customXml" ds:itemID="{D1A8A604-00CB-47C1-90BB-F60FAACE293E}"/>
</file>

<file path=docProps/app.xml><?xml version="1.0" encoding="utf-8"?>
<Properties xmlns="http://schemas.openxmlformats.org/officeDocument/2006/extended-properties" xmlns:vt="http://schemas.openxmlformats.org/officeDocument/2006/docPropsVTypes">
  <Template>Normal.dotm</Template>
  <TotalTime>2</TotalTime>
  <Pages>10</Pages>
  <Words>4719</Words>
  <Characters>26570</Characters>
  <Application>Microsoft Office Word</Application>
  <DocSecurity>0</DocSecurity>
  <Lines>435</Lines>
  <Paragraphs>134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cp:keywords/>
  <dc:description/>
  <cp:lastModifiedBy>BOIT James</cp:lastModifiedBy>
  <cp:revision>1</cp:revision>
  <dcterms:created xsi:type="dcterms:W3CDTF">2021-01-04T15:53:00Z</dcterms:created>
  <dcterms:modified xsi:type="dcterms:W3CDTF">2021-01-04T15:55:00Z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