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jc w:val="both"/>
        <w:rPr>
          <w:rFonts w:ascii="Times New Roman" w:cs="Times New Roman" w:eastAsia="Times New Roman" w:hAnsi="Times New Roman"/>
          <w:b w:val="1"/>
          <w:bCs w:val="1"/>
          <w:sz w:val="24"/>
          <w:szCs w:val="24"/>
        </w:rPr>
      </w:pPr>
      <w:bookmarkStart w:colFirst="0" w:colLast="0" w:name="_fygommbuecqp" w:id="0"/>
      <w:bookmarkEnd w:id="0"/>
      <w:r w:rsidDel="00000000" w:rsidR="00000000" w:rsidRPr="00000000">
        <w:rPr>
          <w:rtl w:val="0"/>
        </w:rPr>
      </w:r>
    </w:p>
    <w:p w:rsidR="00000000" w:rsidDel="00000000" w:rsidP="00000000" w:rsidRDefault="00000000" w:rsidRPr="00000000" w14:paraId="00000002">
      <w:pPr>
        <w:pStyle w:val="Heading2"/>
        <w:keepNext w:val="0"/>
        <w:keepLines w:val="0"/>
        <w:spacing w:after="80" w:lineRule="auto"/>
        <w:jc w:val="center"/>
        <w:rPr>
          <w:rFonts w:ascii="Times New Roman" w:cs="Times New Roman" w:eastAsia="Times New Roman" w:hAnsi="Times New Roman"/>
          <w:b w:val="1"/>
          <w:bCs w:val="1"/>
          <w:sz w:val="24"/>
          <w:szCs w:val="24"/>
        </w:rPr>
      </w:pPr>
      <w:bookmarkStart w:colFirst="0" w:colLast="0" w:name="_45dwi2sv742p" w:id="1"/>
      <w:bookmarkEnd w:id="1"/>
      <w:r w:rsidDel="00000000" w:rsidR="00000000" w:rsidRPr="00000000">
        <w:rPr>
          <w:rFonts w:ascii="Times New Roman" w:cs="Times New Roman" w:eastAsia="Times New Roman" w:hAnsi="Times New Roman"/>
          <w:b w:val="1"/>
          <w:bCs w:val="1"/>
          <w:sz w:val="24"/>
          <w:szCs w:val="24"/>
          <w:rtl w:val="0"/>
        </w:rPr>
        <w:t xml:space="preserve">ALTERNATIVE REPORT OF ARGENTINE CIVIL SOCIETY TO THE CEDAW COMMITTEE</w:t>
      </w:r>
    </w:p>
    <w:p w:rsidR="00000000" w:rsidDel="00000000" w:rsidP="00000000" w:rsidRDefault="00000000" w:rsidRPr="00000000" w14:paraId="00000003">
      <w:pPr>
        <w:spacing w:after="240"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92nd Session | February 2026</w:t>
      </w:r>
      <w:r w:rsidDel="00000000" w:rsidR="00000000" w:rsidRPr="00000000">
        <w:rPr>
          <w:rtl w:val="0"/>
        </w:rPr>
      </w:r>
    </w:p>
    <w:p w:rsidR="00000000" w:rsidDel="00000000" w:rsidP="00000000" w:rsidRDefault="00000000" w:rsidRPr="00000000" w14:paraId="00000004">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undersigned organizations submit this Shadow Report to the Committee on the CEDAW concerning the status of the Argentine State’s compliance with its obligations under Article 5.</w:t>
      </w:r>
      <w:r w:rsidDel="00000000" w:rsidR="00000000" w:rsidRPr="00000000">
        <w:rPr>
          <w:rtl w:val="0"/>
        </w:rPr>
      </w:r>
    </w:p>
    <w:p w:rsidR="00000000" w:rsidDel="00000000" w:rsidP="00000000" w:rsidRDefault="00000000" w:rsidRPr="00000000" w14:paraId="0000000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2023 Universal Periodic Review, the State was urged to adapt the judicial system to the needs of women victims of gender-based violence, allocate budgetary resources for free and specialized legal aid, and establish adequate shelters for women and their children.</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2024, the State report</w:t>
      </w:r>
      <w:r w:rsidDel="00000000" w:rsidR="00000000" w:rsidRPr="00000000">
        <w:rPr>
          <w:rFonts w:ascii="Times New Roman" w:cs="Times New Roman" w:eastAsia="Times New Roman" w:hAnsi="Times New Roman"/>
          <w:sz w:val="24"/>
          <w:szCs w:val="24"/>
          <w:highlight w:val="white"/>
          <w:rtl w:val="0"/>
        </w:rPr>
        <w:t xml:space="preserve">ed the periodic publication of data, the implementation of policies for care and assistance; the creation of the Cabinet for the Mainstreaming of Gender Policies; and the implementation of policies and training initiatives across various areas, incorporating an intersectional perspective.</w:t>
      </w:r>
      <w:r w:rsidDel="00000000" w:rsidR="00000000" w:rsidRPr="00000000">
        <w:rPr>
          <w:rFonts w:ascii="Times New Roman" w:cs="Times New Roman" w:eastAsia="Times New Roman" w:hAnsi="Times New Roman"/>
          <w:sz w:val="24"/>
          <w:szCs w:val="24"/>
          <w:highlight w:val="white"/>
          <w:vertAlign w:val="superscript"/>
        </w:rPr>
        <w:footnoteReference w:customMarkFollows="0" w:id="1"/>
      </w:r>
      <w:r w:rsidDel="00000000" w:rsidR="00000000" w:rsidRPr="00000000">
        <w:rPr>
          <w:rFonts w:ascii="Times New Roman" w:cs="Times New Roman" w:eastAsia="Times New Roman" w:hAnsi="Times New Roman"/>
          <w:sz w:val="24"/>
          <w:szCs w:val="24"/>
          <w:highlight w:val="white"/>
          <w:rtl w:val="0"/>
        </w:rPr>
        <w:t xml:space="preserve"> It</w:t>
      </w:r>
      <w:r w:rsidDel="00000000" w:rsidR="00000000" w:rsidRPr="00000000">
        <w:rPr>
          <w:rFonts w:ascii="Times New Roman" w:cs="Times New Roman" w:eastAsia="Times New Roman" w:hAnsi="Times New Roman"/>
          <w:sz w:val="24"/>
          <w:szCs w:val="24"/>
          <w:rtl w:val="0"/>
        </w:rPr>
        <w:t xml:space="preserve"> also linked the National Plan for Equality of Opportunities and Rights with the 2030 Agenda, the Beijing Platform for Action, the Montevideo Strategy, and the National Action Plan established by Resolution 1325/2000.</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all reported advances have been reversed since December 2023, when the dismantling and defunding of policies for the protection and prevention of violence began, leaving women, girls, and adolescents unprotected.</w:t>
      </w:r>
    </w:p>
    <w:p w:rsidR="00000000" w:rsidDel="00000000" w:rsidP="00000000" w:rsidRDefault="00000000" w:rsidRPr="00000000" w14:paraId="00000009">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numPr>
          <w:ilvl w:val="0"/>
          <w:numId w:val="1"/>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Absence of coordinated public policies at the national level to address, sanction, and prevent situations of gender-based violence. </w:t>
      </w:r>
    </w:p>
    <w:p w:rsidR="00000000" w:rsidDel="00000000" w:rsidP="00000000" w:rsidRDefault="00000000" w:rsidRPr="00000000" w14:paraId="0000000C">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December 2023, under the argument that “violence has no gender”</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 State dismantled and eliminated programmatic areas and public policies created in compliance with Law No. 26,485 (Comprehensive Protection to Prevent, Punish and Eradicate Violence against Women), which designates a governing body within the scope of the National Executive Branch responsible for ensuring the implementation of its provisions.</w:t>
      </w:r>
    </w:p>
    <w:p w:rsidR="00000000" w:rsidDel="00000000" w:rsidP="00000000" w:rsidRDefault="00000000" w:rsidRPr="00000000" w14:paraId="0000000D">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he</w:t>
      </w:r>
      <w:r w:rsidDel="00000000" w:rsidR="00000000" w:rsidRPr="00000000">
        <w:rPr>
          <w:rFonts w:ascii="Times New Roman" w:cs="Times New Roman" w:eastAsia="Times New Roman" w:hAnsi="Times New Roman"/>
          <w:sz w:val="24"/>
          <w:szCs w:val="24"/>
          <w:rtl w:val="0"/>
        </w:rPr>
        <w:t xml:space="preserve"> Ministry of Women, Genders and Diversity (MMGyD) was dissolved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 Its functions were transferred to a subsecretariat within the Ministry of Human Capital, and subsequently all national coordination to prevent, punish, and eradicate gender-based violence was definitively eliminated, following the dismissal of the majority of technical staff.</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The absence of a governing body violates domestic and international law and represents an institutional setback of nearly 40 years, leading to an unprecedented regression in the State’s response.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Several provincial gender mechanisms were downgraded in status,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exacerbating territorial inequalities</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and the structural inequalities faced by women experiencing intersecting forms of discrimination, such as women with disabilities.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0E">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2024, a group of organizations filed a judicial action against the State to demand compliance with the obligations under international treaties (particularly CEDAW and the Inter-American Convention of Belém do Pará) and the applicable domestic legislation (Act No. 26,485; Act No. 27,499, and Act No. 27,210, which establishes the Corps of Lawyers for the legal representation of victims of gender-based violence).</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The State has failed to demonstrate the existence of an action plan or public policies to meet its legal commitments.</w:t>
      </w:r>
    </w:p>
    <w:p w:rsidR="00000000" w:rsidDel="00000000" w:rsidP="00000000" w:rsidRDefault="00000000" w:rsidRPr="00000000" w14:paraId="0000000F">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2026 Budget Law, the main policies aimed at preventing violence and promoting gender equality will, taken together, lose 89% of their budget</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tripling the cuts applied to the rest of the National Public Administration’s budget. The situation is particularly problematic with respect to certain public policies:</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tl w:val="0"/>
        </w:rPr>
      </w:r>
    </w:p>
    <w:p w:rsidR="00000000" w:rsidDel="00000000" w:rsidP="00000000" w:rsidRDefault="00000000" w:rsidRPr="00000000" w14:paraId="00000010">
      <w:pPr>
        <w:numPr>
          <w:ilvl w:val="0"/>
          <w:numId w:val="3"/>
        </w:numPr>
        <w:spacing w:after="200" w:before="24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Acompañar Program:</w:t>
      </w:r>
      <w:r w:rsidDel="00000000" w:rsidR="00000000" w:rsidRPr="00000000">
        <w:rPr>
          <w:rFonts w:ascii="Times New Roman" w:cs="Times New Roman" w:eastAsia="Times New Roman" w:hAnsi="Times New Roman"/>
          <w:sz w:val="24"/>
          <w:szCs w:val="24"/>
          <w:rtl w:val="0"/>
        </w:rPr>
        <w:t xml:space="preserve"> a cash transfer policy that is essential for promoting the economic autonomy of victims of violence.</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It reached 102,510 individuals in 2023, and its coverage was reduced by 96.5% in 2024, reaching only 3,572 individuals. In 2025, no new enrollments were recorded; the program lost its budget allocation; its website is outdated; and the monitoring dashboard, previously accessible to the public, was deactivated. Its coverage period was reduced from six to three months, and a police report was added as a requirement, increasing the risks faced by victims.</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11">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Acercar Derechos Program (PAD):</w:t>
      </w:r>
      <w:r w:rsidDel="00000000" w:rsidR="00000000" w:rsidRPr="00000000">
        <w:rPr>
          <w:rFonts w:ascii="Times New Roman" w:cs="Times New Roman" w:eastAsia="Times New Roman" w:hAnsi="Times New Roman"/>
          <w:sz w:val="24"/>
          <w:szCs w:val="24"/>
          <w:rtl w:val="0"/>
        </w:rPr>
        <w:t xml:space="preserve"> aimed at strengthening access to rights and to justice through interdisciplinary teams throughout the country. It was dismantled following a reduction of more than half of the individuals assisted between the first quarter of 2023 and 2024, and the public interactive dashboard containing its data is no longer available. In July 2025, through Resolution No. 466/2025, the government eliminated the PAD.</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12">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Comprehensive Territorial Centers:</w:t>
      </w:r>
      <w:r w:rsidDel="00000000" w:rsidR="00000000" w:rsidRPr="00000000">
        <w:rPr>
          <w:rFonts w:ascii="Times New Roman" w:cs="Times New Roman" w:eastAsia="Times New Roman" w:hAnsi="Times New Roman"/>
          <w:sz w:val="24"/>
          <w:szCs w:val="24"/>
          <w:rtl w:val="0"/>
        </w:rPr>
        <w:t xml:space="preserve"> by the end of 2023, the construction of 30 Comprehensive Territorial Centers had been promoted across 21 provinces and the Autonomous City of Buenos Aires. These spaces were intended to coordinate prevention, assistance, protection, and access to justice services in cooperation with different levels of government and community-based organizations. Since the dissolution of the MMGyD, no further progress or inaugurations have been recorded, leaving the continuity of these centers in a situation of institutional and budgetary uncertainty.</w:t>
      </w:r>
    </w:p>
    <w:p w:rsidR="00000000" w:rsidDel="00000000" w:rsidP="00000000" w:rsidRDefault="00000000" w:rsidRPr="00000000" w14:paraId="00000013">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Program for Urgent Support and Immediate Comprehensive Assistance in Cases of Extreme Gender-Based Violence (PAU):</w:t>
      </w:r>
      <w:r w:rsidDel="00000000" w:rsidR="00000000" w:rsidRPr="00000000">
        <w:rPr>
          <w:rFonts w:ascii="Times New Roman" w:cs="Times New Roman" w:eastAsia="Times New Roman" w:hAnsi="Times New Roman"/>
          <w:sz w:val="24"/>
          <w:szCs w:val="24"/>
          <w:rtl w:val="0"/>
        </w:rPr>
        <w:t xml:space="preserve"> aimed at providing support and comprehensive assistance to family members or close persons of victims of femicides nationwide. Its services included legal counseling, psychosocial support, and financial assistance. It was one of the commitments undertaken by the State in the friendly settlement process in the Ivana Rosales case before the IACHR</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 It was eliminated in May 2025 through Resolution 291/2025.</w:t>
      </w:r>
    </w:p>
    <w:p w:rsidR="00000000" w:rsidDel="00000000" w:rsidP="00000000" w:rsidRDefault="00000000" w:rsidRPr="00000000" w14:paraId="00000014">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Generar Program:</w:t>
      </w:r>
      <w:r w:rsidDel="00000000" w:rsidR="00000000" w:rsidRPr="00000000">
        <w:rPr>
          <w:rFonts w:ascii="Times New Roman" w:cs="Times New Roman" w:eastAsia="Times New Roman" w:hAnsi="Times New Roman"/>
          <w:sz w:val="24"/>
          <w:szCs w:val="24"/>
          <w:rtl w:val="0"/>
        </w:rPr>
        <w:t xml:space="preserve"> aimed to strengthen gender and diversity institutional frameworks within the national State through financial support, training, and technical assistance for the creation and consolidation of specialized units at the provincial and municipal levels. Its budget execution fell by 56% in 2024, and that year only two projects were funded. In May 2025, it was eliminated through Resolution 292/2025.</w:t>
      </w:r>
    </w:p>
    <w:p w:rsidR="00000000" w:rsidDel="00000000" w:rsidP="00000000" w:rsidRDefault="00000000" w:rsidRPr="00000000" w14:paraId="00000015">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144 Hotline:</w:t>
      </w:r>
      <w:r w:rsidDel="00000000" w:rsidR="00000000" w:rsidRPr="00000000">
        <w:rPr>
          <w:rFonts w:ascii="Times New Roman" w:cs="Times New Roman" w:eastAsia="Times New Roman" w:hAnsi="Times New Roman"/>
          <w:sz w:val="24"/>
          <w:szCs w:val="24"/>
          <w:rtl w:val="0"/>
        </w:rPr>
        <w:t xml:space="preserve"> telephone hotline created to serve women in situations of gender-based violence nationwide. In 2024 it was transformed into a generic service addressing “any person in a situation of violence,” thereby blurring its specific mandate.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It was also downgraded within the state structure, becoming an area within the Directorate for Strengthening Victim Support (two levels lower in the ministerial hierarchy). Operators of the 144 Hotline now report to the “Immediate Response Coordination,” which has a lower rank than a National Directorate. The same directorate is responsible for Hotline 137, which provides telephone assistance to victims of sexual violence, grooming, and family violence, as well as Hotline 149, which offers assistance to victims of crime and their family members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Between the first quarter of 2024 and November 2025, the Hotline’s staff was reduced from 138 to 79 workers, representing a 42.7% reduction in personnel. Some shifts experienced reductions of over 60%, and the video call service for persons with hearing impairments was eliminated. This led to a significant decline in its reach and operational capacity: in the second quarter of 2024, interventions related to gender-based violence decreased by 48.7%, and reported communications between the third quarter of 2024 and the third quarter of 2025 declined by 29.6%. The Hotline no longer has a dedicated budget line that would allow for proper monitoring. Reductions in case handling were also recorded at the offices in Buenos Aires Province and the Autonomous City of Buenos Aires (CABA), by 19.2% and 5.4%, respectively.</w:t>
      </w:r>
    </w:p>
    <w:p w:rsidR="00000000" w:rsidDel="00000000" w:rsidP="00000000" w:rsidRDefault="00000000" w:rsidRPr="00000000" w14:paraId="00000016">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Micaela Act Training:</w:t>
      </w:r>
      <w:r w:rsidDel="00000000" w:rsidR="00000000" w:rsidRPr="00000000">
        <w:rPr>
          <w:rFonts w:ascii="Times New Roman" w:cs="Times New Roman" w:eastAsia="Times New Roman" w:hAnsi="Times New Roman"/>
          <w:sz w:val="24"/>
          <w:szCs w:val="24"/>
          <w:rtl w:val="0"/>
        </w:rPr>
        <w:t xml:space="preserve"> while 234,710 public officials at the national level were trained between 2020 and 2023, no training activities had been carried out as of November 2024.</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In September 2025, the Ministry of Justice reported 44 certifications of senior authorities, 311 of National Public Administration staff, and 914 of members of the general public. The National Executive Branch promoted a bill</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seeking to amend the Micaela Act by eliminating mandatory training for all ministries and State agencies, restricting it to “competent bodies,” and limiting the content to issues of “domestic violence.”</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tl w:val="0"/>
        </w:rPr>
      </w:r>
    </w:p>
    <w:p w:rsidR="00000000" w:rsidDel="00000000" w:rsidP="00000000" w:rsidRDefault="00000000" w:rsidRPr="00000000" w14:paraId="00000017">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Economic Reparation Scheme for Girls, Boys, and Adolescents (RENNYA):</w:t>
      </w:r>
      <w:r w:rsidDel="00000000" w:rsidR="00000000" w:rsidRPr="00000000">
        <w:rPr>
          <w:rFonts w:ascii="Times New Roman" w:cs="Times New Roman" w:eastAsia="Times New Roman" w:hAnsi="Times New Roman"/>
          <w:sz w:val="24"/>
          <w:szCs w:val="24"/>
          <w:rtl w:val="0"/>
        </w:rPr>
        <w:t xml:space="preserve"> based on Law No. 27,452 (the </w:t>
      </w:r>
      <w:r w:rsidDel="00000000" w:rsidR="00000000" w:rsidRPr="00000000">
        <w:rPr>
          <w:rFonts w:ascii="Times New Roman" w:cs="Times New Roman" w:eastAsia="Times New Roman" w:hAnsi="Times New Roman"/>
          <w:i w:val="1"/>
          <w:iCs w:val="1"/>
          <w:sz w:val="24"/>
          <w:szCs w:val="24"/>
          <w:rtl w:val="0"/>
        </w:rPr>
        <w:t xml:space="preserve">Brisa Act</w:t>
      </w:r>
      <w:r w:rsidDel="00000000" w:rsidR="00000000" w:rsidRPr="00000000">
        <w:rPr>
          <w:rFonts w:ascii="Times New Roman" w:cs="Times New Roman" w:eastAsia="Times New Roman" w:hAnsi="Times New Roman"/>
          <w:sz w:val="24"/>
          <w:szCs w:val="24"/>
          <w:rtl w:val="0"/>
        </w:rPr>
        <w:t xml:space="preserve">), which establishes economic reparation for the children of women victims of femicide or homicide in contexts of domestic and/or gender-based violence, this policy seeks to guarantee State protection, comprehensive health care, and support for healthy upbringing free from violence. While 270 favorable determinations were recorded in 2023,</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this figure dropped to 67 in the first half of 2024 and further declined to 57 in 2025,</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despite the fact that during the first half of 2025 there were 127 victims of femicide and 116 children were left without their mothers, 50% of whom were minors.</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As of December 2023, there were 1,298 beneficiaries, and after processing 2,067 accumulated applications, only 51 additional beneficiaries were granted. By July 2025, there were just 1,349 beneficiaries, while the monthly average of applications had fallen to half of what it was in 2024.</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Fonts w:ascii="Times New Roman" w:cs="Times New Roman" w:eastAsia="Times New Roman" w:hAnsi="Times New Roman"/>
          <w:sz w:val="24"/>
          <w:szCs w:val="24"/>
          <w:rtl w:val="0"/>
        </w:rPr>
        <w:t xml:space="preserve"> n 2024, its budget was reduced by 68.8%, and by October 2025, 96.06% of its annual budget had been executed, despite the fact that it was eliminated in May 2025.</w:t>
      </w:r>
    </w:p>
    <w:p w:rsidR="00000000" w:rsidDel="00000000" w:rsidP="00000000" w:rsidRDefault="00000000" w:rsidRPr="00000000" w14:paraId="00000018">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Patrocinar Program:</w:t>
      </w:r>
      <w:r w:rsidDel="00000000" w:rsidR="00000000" w:rsidRPr="00000000">
        <w:rPr>
          <w:rFonts w:ascii="Times New Roman" w:cs="Times New Roman" w:eastAsia="Times New Roman" w:hAnsi="Times New Roman"/>
          <w:sz w:val="24"/>
          <w:szCs w:val="24"/>
          <w:rtl w:val="0"/>
        </w:rPr>
        <w:t xml:space="preserve"> provides free legal representation and counseling to victims of sexual abuse during childhood or adolescence. While 283 individuals were admitted in 2023, only 67 were admitted in 2024, and no new admissions were recorded during the first half of 2025. This represents a 76.3% reduction between 2023 and 2024, further compounded by a shutdown in 2025, resulting in a 100% decline. The program reduced its staff by 58%, and there is currently no clarity regarding the number of workers who remain, as the Ministry of Justice reported two different figures: in one response it reported 23 workers, and in another it reported 32 workers distributed across 20 provinces.</w:t>
      </w:r>
    </w:p>
    <w:p w:rsidR="00000000" w:rsidDel="00000000" w:rsidP="00000000" w:rsidRDefault="00000000" w:rsidRPr="00000000" w14:paraId="00000019">
      <w:pPr>
        <w:numPr>
          <w:ilvl w:val="0"/>
          <w:numId w:val="3"/>
        </w:numPr>
        <w:spacing w:after="20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Access to Justice Centers (CAJ):</w:t>
      </w:r>
      <w:r w:rsidDel="00000000" w:rsidR="00000000" w:rsidRPr="00000000">
        <w:rPr>
          <w:rFonts w:ascii="Times New Roman" w:cs="Times New Roman" w:eastAsia="Times New Roman" w:hAnsi="Times New Roman"/>
          <w:sz w:val="24"/>
          <w:szCs w:val="24"/>
          <w:rtl w:val="0"/>
        </w:rPr>
        <w:t xml:space="preserve"> territorial mechanisms aimed at decentralizing access to justice by facilitating information on rights and State resources, and by providing legal advice and representation.</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The national State reported that only 8 of the 105 centers operating in 2023 were closed;</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however, the official website of the Ministry of Justice indicates that as of September 2025 only 30 remain operational.</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tl w:val="0"/>
        </w:rPr>
      </w:r>
    </w:p>
    <w:p w:rsidR="00000000" w:rsidDel="00000000" w:rsidP="00000000" w:rsidRDefault="00000000" w:rsidRPr="00000000" w14:paraId="0000001A">
      <w:pPr>
        <w:numPr>
          <w:ilvl w:val="0"/>
          <w:numId w:val="3"/>
        </w:numPr>
        <w:spacing w:after="0" w:before="0" w:lineRule="auto"/>
        <w:ind w:left="72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Federal Map of Experiences with Men and Masculinities:</w:t>
      </w:r>
      <w:r w:rsidDel="00000000" w:rsidR="00000000" w:rsidRPr="00000000">
        <w:rPr>
          <w:rFonts w:ascii="Times New Roman" w:cs="Times New Roman" w:eastAsia="Times New Roman" w:hAnsi="Times New Roman"/>
          <w:sz w:val="24"/>
          <w:szCs w:val="24"/>
          <w:rtl w:val="0"/>
        </w:rPr>
        <w:t xml:space="preserve"> a policy supported by the Spotlight Initiative aimed at identifying and systematizing programs and organizations working with men to transform hegemonic masculinities, promote gender equality, and prevent violence.</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The national State ceased updating and supporting this policy during 2024.</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tl w:val="0"/>
        </w:rPr>
      </w:r>
    </w:p>
    <w:p w:rsidR="00000000" w:rsidDel="00000000" w:rsidP="00000000" w:rsidRDefault="00000000" w:rsidRPr="00000000" w14:paraId="0000001B">
      <w:pPr>
        <w:spacing w:after="0" w:before="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1"/>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Barriers and setbacks in women’s access to justice in situations of gender-based violence.</w:t>
      </w:r>
    </w:p>
    <w:p w:rsidR="00000000" w:rsidDel="00000000" w:rsidP="00000000" w:rsidRDefault="00000000" w:rsidRPr="00000000" w14:paraId="0000001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State reported relevant mechanisms —such as the PAD, the Corps of Lawyers, the Federal Network of Free Legal Representation of the National Directorate for the Promotion and Strengthening of Access to Justice (DNPFAJ), the Permanent Monitoring Commission (COPESE) for the Brisa Act, the expansion of Hotline 137 and its coordination with CAJs and security forces, and the Acompañar Program—</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 many of these programs and mechanisms have been defunded and dismantled.</w:t>
      </w:r>
    </w:p>
    <w:p w:rsidR="00000000" w:rsidDel="00000000" w:rsidP="00000000" w:rsidRDefault="00000000" w:rsidRPr="00000000" w14:paraId="0000001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closure of the CAJs and the dismantling of the Patrocinar Program and the Corps of Lawyers are particularly concerning, as these are key mechanisms for legal advice, representation, and coordination with other services in cases of domestic violence, child support claims, and parental responsibility regimes (the latter being issues that perpetuate situations of gender-based economic violence and enable other types and forms of violence).</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Consistent with the Committee’s previous warnings regarding persistent barriers to access to justice, the dismantling of these policies further exacerbates the institutional, procedural, and practical barriers that already hindered effective access to justice.</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tl w:val="0"/>
        </w:rPr>
      </w:r>
    </w:p>
    <w:p w:rsidR="00000000" w:rsidDel="00000000" w:rsidP="00000000" w:rsidRDefault="00000000" w:rsidRPr="00000000" w14:paraId="0000001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Pre-existing barriers are currently being reinforced by the proliferation of narratives promoted by the national State itself that seek to criminalize women who report situations of violence by accusing them of making alleged “false accusations,”</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Fonts w:ascii="Times New Roman" w:cs="Times New Roman" w:eastAsia="Times New Roman" w:hAnsi="Times New Roman"/>
          <w:sz w:val="24"/>
          <w:szCs w:val="24"/>
          <w:rtl w:val="0"/>
        </w:rPr>
        <w:t xml:space="preserve"> thereby discouraging victims from seeking help.</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Fonts w:ascii="Times New Roman" w:cs="Times New Roman" w:eastAsia="Times New Roman" w:hAnsi="Times New Roman"/>
          <w:sz w:val="24"/>
          <w:szCs w:val="24"/>
          <w:rtl w:val="0"/>
        </w:rPr>
        <w:t xml:space="preserve"> In this regard, the Ministry of Justice has expressed support for a bill proposing harsher penalties for those deemed to have filed “false accusations” in cases of gender-based violence. In parallel, the Ministry of Security has blamed the feminist movement for levels of violence, using statements such as “extreme feminism leads you into situations where violence turns against you.”</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tl w:val="0"/>
        </w:rPr>
      </w:r>
    </w:p>
    <w:p w:rsidR="00000000" w:rsidDel="00000000" w:rsidP="00000000" w:rsidRDefault="00000000" w:rsidRPr="00000000" w14:paraId="00000020">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types of initiatives disregard the prevailing reality: available evidence shows that, even though gender-based violence is widespread, only a very small proportion of women actually turn to institutions for help. At the national level, 1 in 2 women has experienced violence by an intimate partner, yet only 1 in 4 has sought help or filed a report.</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In the City of Buenos Aires, the proportion of women who experienced domestic violence and turned to a public institution increased from 22% in 2018 to almost 30% in 2023, which reflects a relative improvement but still means that most do not reach the stage of seeking formal advice or lodging complaints.</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Fonts w:ascii="Times New Roman" w:cs="Times New Roman" w:eastAsia="Times New Roman" w:hAnsi="Times New Roman"/>
          <w:sz w:val="24"/>
          <w:szCs w:val="24"/>
          <w:rtl w:val="0"/>
        </w:rPr>
        <w:t xml:space="preserve"> In the most extreme cases, official data for 2024</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indicate that only 18% of femicide victims had previously reported the violence, and fewer than 5% had protection measures in force.</w:t>
      </w:r>
    </w:p>
    <w:p w:rsidR="00000000" w:rsidDel="00000000" w:rsidP="00000000" w:rsidRDefault="00000000" w:rsidRPr="00000000" w14:paraId="0000002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various nationwide studies, around 20% of women report having experienced at least one episode of sexual violence in their adult lives, yet among them, 88% did not report it.</w:t>
      </w:r>
      <w:r w:rsidDel="00000000" w:rsidR="00000000" w:rsidRPr="00000000">
        <w:rPr>
          <w:rFonts w:ascii="Times New Roman" w:cs="Times New Roman" w:eastAsia="Times New Roman" w:hAnsi="Times New Roman"/>
          <w:sz w:val="24"/>
          <w:szCs w:val="24"/>
          <w:vertAlign w:val="superscript"/>
        </w:rPr>
        <w:footnoteReference w:customMarkFollows="0" w:id="40"/>
      </w:r>
      <w:r w:rsidDel="00000000" w:rsidR="00000000" w:rsidRPr="00000000">
        <w:rPr>
          <w:rFonts w:ascii="Times New Roman" w:cs="Times New Roman" w:eastAsia="Times New Roman" w:hAnsi="Times New Roman"/>
          <w:sz w:val="24"/>
          <w:szCs w:val="24"/>
          <w:rtl w:val="0"/>
        </w:rPr>
        <w:t xml:space="preserve"> The National Ministry of Security  itself acknowledges that</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due to their characteristics, offences against sexual integrity present a high level of underreporting as a result of the stigmatization of victims, changes in social perceptions regarding sexual violence, and institutional responses that directly affect reporting levels. This pattern of low reporting is exacerbated in the current context of the dismantling of public policies on prevention and assistance, and of official discourse that devalues and denies gender-based violence.</w:t>
      </w:r>
    </w:p>
    <w:p w:rsidR="00000000" w:rsidDel="00000000" w:rsidP="00000000" w:rsidRDefault="00000000" w:rsidRPr="00000000" w14:paraId="00000022">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3.1. Prior complaints, protection measures and State ineffectiveness</w:t>
      </w:r>
    </w:p>
    <w:p w:rsidR="00000000" w:rsidDel="00000000" w:rsidP="00000000" w:rsidRDefault="00000000" w:rsidRPr="00000000" w14:paraId="0000002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femicides reveals systematic failures in the prevention system and in the State’s ability to protect women. In 2022, 88% of the victims recorded by the Supreme Court of Justice of the Nation (CSJN)</w:t>
      </w:r>
      <w:r w:rsidDel="00000000" w:rsidR="00000000" w:rsidRPr="00000000">
        <w:rPr>
          <w:rFonts w:ascii="Times New Roman" w:cs="Times New Roman" w:eastAsia="Times New Roman" w:hAnsi="Times New Roman"/>
          <w:sz w:val="24"/>
          <w:szCs w:val="24"/>
          <w:vertAlign w:val="superscript"/>
        </w:rPr>
        <w:footnoteReference w:customMarkFollows="0" w:id="42"/>
      </w:r>
      <w:r w:rsidDel="00000000" w:rsidR="00000000" w:rsidRPr="00000000">
        <w:rPr>
          <w:rFonts w:ascii="Times New Roman" w:cs="Times New Roman" w:eastAsia="Times New Roman" w:hAnsi="Times New Roman"/>
          <w:sz w:val="24"/>
          <w:szCs w:val="24"/>
          <w:rtl w:val="0"/>
        </w:rPr>
        <w:t xml:space="preserve"> knew the perpetrator, 15% had previously filed complaints, and in 24% of cases acts of violence had been recorded in judicial proceedings without a prior complaint. Eight percent of the victims who had reported obtained some type of protection measure, but only 5% of those measures were in force at the time of the killing and almost 3% had expired.</w:t>
      </w:r>
    </w:p>
    <w:p w:rsidR="00000000" w:rsidDel="00000000" w:rsidP="00000000" w:rsidRDefault="00000000" w:rsidRPr="00000000" w14:paraId="00000024">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2023,</w:t>
      </w:r>
      <w:r w:rsidDel="00000000" w:rsidR="00000000" w:rsidRPr="00000000">
        <w:rPr>
          <w:rFonts w:ascii="Times New Roman" w:cs="Times New Roman" w:eastAsia="Times New Roman" w:hAnsi="Times New Roman"/>
          <w:sz w:val="24"/>
          <w:szCs w:val="24"/>
          <w:vertAlign w:val="superscript"/>
        </w:rPr>
        <w:footnoteReference w:customMarkFollows="0" w:id="43"/>
      </w:r>
      <w:r w:rsidDel="00000000" w:rsidR="00000000" w:rsidRPr="00000000">
        <w:rPr>
          <w:rFonts w:ascii="Times New Roman" w:cs="Times New Roman" w:eastAsia="Times New Roman" w:hAnsi="Times New Roman"/>
          <w:sz w:val="24"/>
          <w:szCs w:val="24"/>
          <w:rtl w:val="0"/>
        </w:rPr>
        <w:t xml:space="preserve"> the situation worsened: in almost 40% of direct femicides there was a record of prior violence. Of the total number of victims who had previously reported the aggressor (slightly more than 20%), almost 13% had obtained protection measures. Just over 6% of those measures were in force at the time of the femicide, almost 6% had expired, only in one case did valid and expired measures coexist, and three victims had requested measures that were never granted. In 2024,</w:t>
      </w:r>
      <w:r w:rsidDel="00000000" w:rsidR="00000000" w:rsidRPr="00000000">
        <w:rPr>
          <w:rFonts w:ascii="Times New Roman" w:cs="Times New Roman" w:eastAsia="Times New Roman" w:hAnsi="Times New Roman"/>
          <w:sz w:val="24"/>
          <w:szCs w:val="24"/>
          <w:vertAlign w:val="superscript"/>
        </w:rPr>
        <w:footnoteReference w:customMarkFollows="0" w:id="44"/>
      </w:r>
      <w:r w:rsidDel="00000000" w:rsidR="00000000" w:rsidRPr="00000000">
        <w:rPr>
          <w:rFonts w:ascii="Times New Roman" w:cs="Times New Roman" w:eastAsia="Times New Roman" w:hAnsi="Times New Roman"/>
          <w:sz w:val="24"/>
          <w:szCs w:val="24"/>
          <w:rtl w:val="0"/>
        </w:rPr>
        <w:t xml:space="preserve"> the data confirmed the persistence of this pattern. In at least 86% of cases, the victim had a prior relationship with the perpetrator and in 48% there were records of previous violence, yet only 17% had reported the aggressor beforehand. Among those who did report, just over 8% of the victims had some type of protection measure; almost 5% were in force at the time of the killing and nearly another 5% had expired. In sum, many potential femicide victims never file a formal complaint and, when they do, the protection measures granted do not guarantee their safety.</w:t>
      </w:r>
    </w:p>
    <w:p w:rsidR="00000000" w:rsidDel="00000000" w:rsidP="00000000" w:rsidRDefault="00000000" w:rsidRPr="00000000" w14:paraId="00000025">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3.2. Delays in judicial proceedings and impunity</w:t>
      </w:r>
    </w:p>
    <w:p w:rsidR="00000000" w:rsidDel="00000000" w:rsidP="00000000" w:rsidRDefault="00000000" w:rsidRPr="00000000" w14:paraId="0000002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National Registry of Femicides of the Argentine Justice System (RNFJA), between 2022 and 2024 only between 2% and 3% of the femicide cases analyzed had concluded with convictions.</w:t>
      </w:r>
      <w:r w:rsidDel="00000000" w:rsidR="00000000" w:rsidRPr="00000000">
        <w:rPr>
          <w:rFonts w:ascii="Times New Roman" w:cs="Times New Roman" w:eastAsia="Times New Roman" w:hAnsi="Times New Roman"/>
          <w:sz w:val="24"/>
          <w:szCs w:val="24"/>
          <w:vertAlign w:val="superscript"/>
        </w:rPr>
        <w:footnoteReference w:customMarkFollows="0" w:id="45"/>
      </w:r>
      <w:r w:rsidDel="00000000" w:rsidR="00000000" w:rsidRPr="00000000">
        <w:rPr>
          <w:rFonts w:ascii="Times New Roman" w:cs="Times New Roman" w:eastAsia="Times New Roman" w:hAnsi="Times New Roman"/>
          <w:sz w:val="24"/>
          <w:szCs w:val="24"/>
          <w:rtl w:val="0"/>
        </w:rPr>
        <w:t xml:space="preserve"> A large proportion of femicide cases remain in preliminary stages for prolonged periods, and approximately 15% are archived each year. According to data from the Specialized Prosecutor’s Office on Violence against Women (UFEM), the average time elapsed between the femicide and the judgment is 22 months (with a minimum of 6 months and a maximum of three and a half years of proceedings).</w:t>
      </w:r>
      <w:r w:rsidDel="00000000" w:rsidR="00000000" w:rsidRPr="00000000">
        <w:rPr>
          <w:rFonts w:ascii="Times New Roman" w:cs="Times New Roman" w:eastAsia="Times New Roman" w:hAnsi="Times New Roman"/>
          <w:sz w:val="24"/>
          <w:szCs w:val="24"/>
          <w:vertAlign w:val="superscript"/>
        </w:rPr>
        <w:footnoteReference w:customMarkFollows="0" w:id="46"/>
      </w:r>
      <w:r w:rsidDel="00000000" w:rsidR="00000000" w:rsidRPr="00000000">
        <w:rPr>
          <w:rtl w:val="0"/>
        </w:rPr>
      </w:r>
    </w:p>
    <w:p w:rsidR="00000000" w:rsidDel="00000000" w:rsidP="00000000" w:rsidRDefault="00000000" w:rsidRPr="00000000" w14:paraId="0000002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to justice in cases of gender-based violence continues to be hindered by multiple barriers: low reporting rates; discursive and normative disincentives to report; weaknesses in protection measures; lengthy judicial proceedings; limited emotional and legal support; and low conviction rates. All of this unfolds in a context in which the State itself questions the legitimacy of complaints and promotes initiatives to criminalize women who turn to the justice system.</w:t>
      </w:r>
    </w:p>
    <w:p w:rsidR="00000000" w:rsidDel="00000000" w:rsidP="00000000" w:rsidRDefault="00000000" w:rsidRPr="00000000" w14:paraId="00000028">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numPr>
          <w:ilvl w:val="0"/>
          <w:numId w:val="1"/>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Disinformation, opacity and lack of data on gender-based violence policies.</w:t>
      </w:r>
    </w:p>
    <w:p w:rsidR="00000000" w:rsidDel="00000000" w:rsidP="00000000" w:rsidRDefault="00000000" w:rsidRPr="00000000" w14:paraId="0000002A">
      <w:pPr>
        <w:spacing w:after="240" w:before="240" w:lineRule="auto"/>
        <w:ind w:left="72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4.1. Update of the data provided by the State.</w:t>
      </w:r>
    </w:p>
    <w:p w:rsidR="00000000" w:rsidDel="00000000" w:rsidP="00000000" w:rsidRDefault="00000000" w:rsidRPr="00000000" w14:paraId="0000002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into account the most recent data, the information provided by the State must be updated.</w:t>
      </w:r>
      <w:r w:rsidDel="00000000" w:rsidR="00000000" w:rsidRPr="00000000">
        <w:rPr>
          <w:rFonts w:ascii="Times New Roman" w:cs="Times New Roman" w:eastAsia="Times New Roman" w:hAnsi="Times New Roman"/>
          <w:sz w:val="24"/>
          <w:szCs w:val="24"/>
          <w:vertAlign w:val="superscript"/>
        </w:rPr>
        <w:footnoteReference w:customMarkFollows="0" w:id="47"/>
      </w:r>
      <w:r w:rsidDel="00000000" w:rsidR="00000000" w:rsidRPr="00000000">
        <w:rPr>
          <w:rFonts w:ascii="Times New Roman" w:cs="Times New Roman" w:eastAsia="Times New Roman" w:hAnsi="Times New Roman"/>
          <w:sz w:val="24"/>
          <w:szCs w:val="24"/>
          <w:rtl w:val="0"/>
        </w:rPr>
        <w:t xml:space="preserve"> With regard to lethal violence, although the national rate of direct femicides has fluctuated, it has remained close to 1 victim per 100,000 women. In 2022 the rate was 0.96; in 2023 it rose to 1.05; and in 2024 it dropped again to 0.95. Despite this apparent stability, the territorial impact is uneven, with some provinces reaching rates above 2.0. In absolute numbers, there were 252 femicide victims in 2022, 272 in 2023 and 247 in 2024, which means one victim every 32 to 36 hours. For the period 2017–2024, a total of 2,145 lethal victims were recorded, with an annual average of 268.</w:t>
      </w:r>
    </w:p>
    <w:p w:rsidR="00000000" w:rsidDel="00000000" w:rsidP="00000000" w:rsidRDefault="00000000" w:rsidRPr="00000000" w14:paraId="0000002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intersectional analysis reveals an even more alarming reality in cases of travesticide and transfemicide. Although they account for a smaller percentage of total victims (3% in 2022, 2% in 2023 and 4% in 2024), the specific rate shows a far more serious magnitude: in 2024 there were 13.18 direct victims of travesticide/transfemicide per 100,000 trans/travesti women, a figure twelve times higher than the overall femicide rate. Between 2016 and 2024, 52 direct victims were documented in 52 judicial cases, with the highest concentration in the provinces of Buenos Aires, Tucumán, Santa Fe and the City of Buenos Aires. The gap between the general rate and the specific rate confirms the extreme vulnerability of travesti and trans women and the need for specialized responses.</w:t>
      </w:r>
    </w:p>
    <w:p w:rsidR="00000000" w:rsidDel="00000000" w:rsidP="00000000" w:rsidRDefault="00000000" w:rsidRPr="00000000" w14:paraId="0000002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respect to the context in which the violence occurs, femicides take place predominantly in domestic settings. In 2022, 76% of direct femicide cases, in 2023 75%, and in 2024 77% occurred in this context. The home is the main site of the killings: in 2022, 73% of victims were attacked in dwellings; in 2023, 77%; and in 2024, 79% of direct femicide victims were attacked in dwellings. As regards the profile of perpetrators, the predominant relationship with the victim was an intimate or sexual–affective bond. Within this group, in 2022 there were 18 aggressors belonging to security forces (8 from provincial police, 5 from federal forces, 2 from the Armed Forces and 3 from private security), most of whom used their service weapons.</w:t>
      </w:r>
    </w:p>
    <w:p w:rsidR="00000000" w:rsidDel="00000000" w:rsidP="00000000" w:rsidRDefault="00000000" w:rsidRPr="00000000" w14:paraId="0000002E">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2023, at least 17 perpetrators (6.5%) belonged to security forces and nearly 4 out of 10 relationships had a prior record of gender-based violence. In 2024, a continued presence of perpetrators linked to security forces was also observed, underscoring the need to strengthen control and prevention mechanisms in this sector and to restrict access to firearms in the home.</w:t>
      </w:r>
      <w:r w:rsidDel="00000000" w:rsidR="00000000" w:rsidRPr="00000000">
        <w:rPr>
          <w:rFonts w:ascii="Times New Roman" w:cs="Times New Roman" w:eastAsia="Times New Roman" w:hAnsi="Times New Roman"/>
          <w:sz w:val="24"/>
          <w:szCs w:val="24"/>
          <w:vertAlign w:val="superscript"/>
        </w:rPr>
        <w:footnoteReference w:customMarkFollows="0" w:id="48"/>
      </w:r>
      <w:r w:rsidDel="00000000" w:rsidR="00000000" w:rsidRPr="00000000">
        <w:rPr>
          <w:rFonts w:ascii="Times New Roman" w:cs="Times New Roman" w:eastAsia="Times New Roman" w:hAnsi="Times New Roman"/>
          <w:sz w:val="24"/>
          <w:szCs w:val="24"/>
          <w:rtl w:val="0"/>
        </w:rPr>
        <w:t xml:space="preserve"> However, recent developments point to setbacks in this area. Although Argentina has had, since 2015, a model law that created the National Agency for Controlled Materials (ANMaC), Decree 445/2025</w:t>
      </w:r>
      <w:r w:rsidDel="00000000" w:rsidR="00000000" w:rsidRPr="00000000">
        <w:rPr>
          <w:rFonts w:ascii="Times New Roman" w:cs="Times New Roman" w:eastAsia="Times New Roman" w:hAnsi="Times New Roman"/>
          <w:sz w:val="24"/>
          <w:szCs w:val="24"/>
          <w:vertAlign w:val="superscript"/>
        </w:rPr>
        <w:footnoteReference w:customMarkFollows="0" w:id="49"/>
      </w:r>
      <w:r w:rsidDel="00000000" w:rsidR="00000000" w:rsidRPr="00000000">
        <w:rPr>
          <w:rFonts w:ascii="Times New Roman" w:cs="Times New Roman" w:eastAsia="Times New Roman" w:hAnsi="Times New Roman"/>
          <w:sz w:val="24"/>
          <w:szCs w:val="24"/>
          <w:rtl w:val="0"/>
        </w:rPr>
        <w:t xml:space="preserve"> amended the founding law, removed ANMaC’s prevention and control functions and moved towards a de facto deregulation that reverts the system to the former National Firearms Registry model.</w:t>
      </w:r>
      <w:r w:rsidDel="00000000" w:rsidR="00000000" w:rsidRPr="00000000">
        <w:rPr>
          <w:rFonts w:ascii="Times New Roman" w:cs="Times New Roman" w:eastAsia="Times New Roman" w:hAnsi="Times New Roman"/>
          <w:sz w:val="24"/>
          <w:szCs w:val="24"/>
          <w:vertAlign w:val="superscript"/>
        </w:rPr>
        <w:footnoteReference w:customMarkFollows="0" w:id="50"/>
      </w:r>
      <w:r w:rsidDel="00000000" w:rsidR="00000000" w:rsidRPr="00000000">
        <w:rPr>
          <w:rtl w:val="0"/>
        </w:rPr>
      </w:r>
    </w:p>
    <w:p w:rsidR="00000000" w:rsidDel="00000000" w:rsidP="00000000" w:rsidRDefault="00000000" w:rsidRPr="00000000" w14:paraId="0000002F">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critical aspect concerns the intersecting conditions that heighten vulnerability to violence. In 2022, 27% of victims presented at least one such condition, including migration, problematic substance use, mental health issues, disability, pregnancy, involvement in prostitution, homelessness and belonging to indigenous peoples. In 2023, this indicator rose to 33% of victims, and in 2024 it again stood at 33%.</w:t>
      </w:r>
      <w:r w:rsidDel="00000000" w:rsidR="00000000" w:rsidRPr="00000000">
        <w:rPr>
          <w:rFonts w:ascii="Times New Roman" w:cs="Times New Roman" w:eastAsia="Times New Roman" w:hAnsi="Times New Roman"/>
          <w:sz w:val="24"/>
          <w:szCs w:val="24"/>
          <w:vertAlign w:val="superscript"/>
        </w:rPr>
        <w:footnoteReference w:customMarkFollows="0" w:id="51"/>
      </w:r>
      <w:r w:rsidDel="00000000" w:rsidR="00000000" w:rsidRPr="00000000">
        <w:rPr>
          <w:rFonts w:ascii="Times New Roman" w:cs="Times New Roman" w:eastAsia="Times New Roman" w:hAnsi="Times New Roman"/>
          <w:sz w:val="24"/>
          <w:szCs w:val="24"/>
          <w:rtl w:val="0"/>
        </w:rPr>
        <w:t xml:space="preserve"> There are specific cases that starkly illustrate the situation of abandonment in which certain populations are living. MXM Foundation has reported serious human rights violations at the “Santa María Goretti” Child Care Facility in Tucumán, including the suicide of a transgender adolescent using a police-issued firearm inside the institution. The Foundation is currently participating as a private prosecutor to push forward the investigation of responsibility and the development of an inter-institutional alternative care protocol for institutionalized children and adolescents.</w:t>
      </w:r>
      <w:r w:rsidDel="00000000" w:rsidR="00000000" w:rsidRPr="00000000">
        <w:rPr>
          <w:rFonts w:ascii="Times New Roman" w:cs="Times New Roman" w:eastAsia="Times New Roman" w:hAnsi="Times New Roman"/>
          <w:sz w:val="24"/>
          <w:szCs w:val="24"/>
          <w:vertAlign w:val="superscript"/>
        </w:rPr>
        <w:footnoteReference w:customMarkFollows="0" w:id="52"/>
      </w:r>
      <w:r w:rsidDel="00000000" w:rsidR="00000000" w:rsidRPr="00000000">
        <w:rPr>
          <w:rtl w:val="0"/>
        </w:rPr>
      </w:r>
    </w:p>
    <w:p w:rsidR="00000000" w:rsidDel="00000000" w:rsidP="00000000" w:rsidRDefault="00000000" w:rsidRPr="00000000" w14:paraId="00000030">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has also been a documented increase in femicides committed in the context of organized crime. Between 2020 and 2025 a total of 196 feminicides related to organized crime contexts were recorded nationwide, 128 of which took place in the province of Santa Fe, most of them in the metropolitan area of Rosario</w:t>
      </w:r>
      <w:r w:rsidDel="00000000" w:rsidR="00000000" w:rsidRPr="00000000">
        <w:rPr>
          <w:rFonts w:ascii="Times New Roman" w:cs="Times New Roman" w:eastAsia="Times New Roman" w:hAnsi="Times New Roman"/>
          <w:sz w:val="24"/>
          <w:szCs w:val="24"/>
          <w:vertAlign w:val="superscript"/>
        </w:rPr>
        <w:footnoteReference w:customMarkFollows="0" w:id="5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1">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 to other types and modalities of violence, the only nationwide official survey was conducted in 2022</w:t>
      </w:r>
      <w:r w:rsidDel="00000000" w:rsidR="00000000" w:rsidRPr="00000000">
        <w:rPr>
          <w:rFonts w:ascii="Times New Roman" w:cs="Times New Roman" w:eastAsia="Times New Roman" w:hAnsi="Times New Roman"/>
          <w:sz w:val="24"/>
          <w:szCs w:val="24"/>
          <w:vertAlign w:val="superscript"/>
        </w:rPr>
        <w:footnoteReference w:customMarkFollows="0" w:id="54"/>
      </w:r>
      <w:r w:rsidDel="00000000" w:rsidR="00000000" w:rsidRPr="00000000">
        <w:rPr>
          <w:rFonts w:ascii="Times New Roman" w:cs="Times New Roman" w:eastAsia="Times New Roman" w:hAnsi="Times New Roman"/>
          <w:sz w:val="24"/>
          <w:szCs w:val="24"/>
          <w:rtl w:val="0"/>
        </w:rPr>
        <w:t xml:space="preserve"> and shows that 45% of women experienced domestic violence, but only 1 in 4 sought help or reported the situation. The most frequently reported form of violence is psychological violence (42%), while 23% of women report having experienced economic and patrimonial violence, 23% physical violence, and a smaller proportion (18%) state that they have suffered sexual violence by a current or former intimate partner.</w:t>
      </w:r>
    </w:p>
    <w:p w:rsidR="00000000" w:rsidDel="00000000" w:rsidP="00000000" w:rsidRDefault="00000000" w:rsidRPr="00000000" w14:paraId="0000003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violence has become one of the most widespread forms of abuse, disproportionately affecting women and gender-diverse persons. One in three women in Argentina</w:t>
      </w:r>
      <w:r w:rsidDel="00000000" w:rsidR="00000000" w:rsidRPr="00000000">
        <w:rPr>
          <w:rFonts w:ascii="Times New Roman" w:cs="Times New Roman" w:eastAsia="Times New Roman" w:hAnsi="Times New Roman"/>
          <w:sz w:val="24"/>
          <w:szCs w:val="24"/>
          <w:vertAlign w:val="superscript"/>
        </w:rPr>
        <w:footnoteReference w:customMarkFollows="0" w:id="55"/>
      </w:r>
      <w:r w:rsidDel="00000000" w:rsidR="00000000" w:rsidRPr="00000000">
        <w:rPr>
          <w:rFonts w:ascii="Times New Roman" w:cs="Times New Roman" w:eastAsia="Times New Roman" w:hAnsi="Times New Roman"/>
          <w:sz w:val="24"/>
          <w:szCs w:val="24"/>
          <w:rtl w:val="0"/>
        </w:rPr>
        <w:t xml:space="preserve"> has experienced violence on social media, 9 out of 10 online deepfakes are non-consensual pornographic images of women,</w:t>
      </w:r>
      <w:r w:rsidDel="00000000" w:rsidR="00000000" w:rsidRPr="00000000">
        <w:rPr>
          <w:rFonts w:ascii="Times New Roman" w:cs="Times New Roman" w:eastAsia="Times New Roman" w:hAnsi="Times New Roman"/>
          <w:sz w:val="24"/>
          <w:szCs w:val="24"/>
          <w:vertAlign w:val="superscript"/>
        </w:rPr>
        <w:footnoteReference w:customMarkFollows="0" w:id="56"/>
      </w:r>
      <w:r w:rsidDel="00000000" w:rsidR="00000000" w:rsidRPr="00000000">
        <w:rPr>
          <w:rFonts w:ascii="Times New Roman" w:cs="Times New Roman" w:eastAsia="Times New Roman" w:hAnsi="Times New Roman"/>
          <w:sz w:val="24"/>
          <w:szCs w:val="24"/>
          <w:rtl w:val="0"/>
        </w:rPr>
        <w:t xml:space="preserve"> and more than half of the world’s girls and young women have suffered harassment or abuse online.</w:t>
      </w:r>
      <w:r w:rsidDel="00000000" w:rsidR="00000000" w:rsidRPr="00000000">
        <w:rPr>
          <w:rFonts w:ascii="Times New Roman" w:cs="Times New Roman" w:eastAsia="Times New Roman" w:hAnsi="Times New Roman"/>
          <w:sz w:val="24"/>
          <w:szCs w:val="24"/>
          <w:vertAlign w:val="superscript"/>
        </w:rPr>
        <w:footnoteReference w:customMarkFollows="0" w:id="57"/>
      </w:r>
      <w:r w:rsidDel="00000000" w:rsidR="00000000" w:rsidRPr="00000000">
        <w:rPr>
          <w:rFonts w:ascii="Times New Roman" w:cs="Times New Roman" w:eastAsia="Times New Roman" w:hAnsi="Times New Roman"/>
          <w:sz w:val="24"/>
          <w:szCs w:val="24"/>
          <w:rtl w:val="0"/>
        </w:rPr>
        <w:t xml:space="preserve"> In the case of women journalists, public spokeswomen and human rights defenders, the situation is even more critical: 6 out of 10 women journalists in Argentina have experienced digital gender-based violence in the last six years. Of these, 85.6% were subjected to harassment or trolling, and almost half to sexual harassment or threats of sexual violence.</w:t>
      </w:r>
      <w:r w:rsidDel="00000000" w:rsidR="00000000" w:rsidRPr="00000000">
        <w:rPr>
          <w:rFonts w:ascii="Times New Roman" w:cs="Times New Roman" w:eastAsia="Times New Roman" w:hAnsi="Times New Roman"/>
          <w:sz w:val="24"/>
          <w:szCs w:val="24"/>
          <w:vertAlign w:val="superscript"/>
        </w:rPr>
        <w:footnoteReference w:customMarkFollows="0" w:id="58"/>
      </w:r>
      <w:r w:rsidDel="00000000" w:rsidR="00000000" w:rsidRPr="00000000">
        <w:rPr>
          <w:rFonts w:ascii="Times New Roman" w:cs="Times New Roman" w:eastAsia="Times New Roman" w:hAnsi="Times New Roman"/>
          <w:sz w:val="24"/>
          <w:szCs w:val="24"/>
          <w:rtl w:val="0"/>
        </w:rPr>
        <w:t xml:space="preserve"> Attacks are especially triggered after coverage of abortion, femicides and gender-based violence, human rights, politics and comprehensive sexuality education, which reveals targeted attempts to silence voices that address core human rights agendas. The consequences are severe: half resort to self-censorship, 89% report changes in their professional practice, and serious impacts on mental health are documented. Many of these attacks originate from representatives of the National Executive Branch, in a context of state intolerance toward criticism and the stigmatization and harassment of the press.</w:t>
      </w:r>
      <w:r w:rsidDel="00000000" w:rsidR="00000000" w:rsidRPr="00000000">
        <w:rPr>
          <w:rFonts w:ascii="Times New Roman" w:cs="Times New Roman" w:eastAsia="Times New Roman" w:hAnsi="Times New Roman"/>
          <w:sz w:val="24"/>
          <w:szCs w:val="24"/>
          <w:vertAlign w:val="superscript"/>
        </w:rPr>
        <w:footnoteReference w:customMarkFollows="0" w:id="59"/>
      </w:r>
      <w:r w:rsidDel="00000000" w:rsidR="00000000" w:rsidRPr="00000000">
        <w:rPr>
          <w:rtl w:val="0"/>
        </w:rPr>
      </w:r>
    </w:p>
    <w:p w:rsidR="00000000" w:rsidDel="00000000" w:rsidP="00000000" w:rsidRDefault="00000000" w:rsidRPr="00000000" w14:paraId="00000033">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4.2. Systems for recording, monitoring and publishing information.</w:t>
      </w:r>
    </w:p>
    <w:p w:rsidR="00000000" w:rsidDel="00000000" w:rsidP="00000000" w:rsidRDefault="00000000" w:rsidRPr="00000000" w14:paraId="00000034">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State reports progress in transparency through the Integrated System of Cases of Gender-Based Violence (SICVG),</w:t>
      </w:r>
      <w:r w:rsidDel="00000000" w:rsidR="00000000" w:rsidRPr="00000000">
        <w:rPr>
          <w:rFonts w:ascii="Times New Roman" w:cs="Times New Roman" w:eastAsia="Times New Roman" w:hAnsi="Times New Roman"/>
          <w:sz w:val="24"/>
          <w:szCs w:val="24"/>
          <w:vertAlign w:val="superscript"/>
        </w:rPr>
        <w:footnoteReference w:customMarkFollows="0" w:id="60"/>
      </w:r>
      <w:r w:rsidDel="00000000" w:rsidR="00000000" w:rsidRPr="00000000">
        <w:rPr>
          <w:rFonts w:ascii="Times New Roman" w:cs="Times New Roman" w:eastAsia="Times New Roman" w:hAnsi="Times New Roman"/>
          <w:sz w:val="24"/>
          <w:szCs w:val="24"/>
          <w:rtl w:val="0"/>
        </w:rPr>
        <w:t xml:space="preserve"> since President Javier Milei took office it has stopped publishing information related to this system, which compiled complaints and queries from provincial and municipal agencies, judicial bodies, territorial mechanisms and national programmes. This system made it possible, for the first time, to have a unified and official registry of gender-based violence cases at the national level. Following the dissolution of the Ministry of Women, Genders and Diversity, the technical team was drastically reduced (from more than 20 to 2 professionals), and the number of assisted persons recorded fell by 89.6% overall and by 96% in the case of LGBTIQ+ persons. This situation exacerbates gaps in coverage, updating and cross-referencing of information, and prevents the establishment of a robust and systematic national system to gauge the real scope of gender-based violence.</w:t>
      </w:r>
      <w:r w:rsidDel="00000000" w:rsidR="00000000" w:rsidRPr="00000000">
        <w:rPr>
          <w:rFonts w:ascii="Times New Roman" w:cs="Times New Roman" w:eastAsia="Times New Roman" w:hAnsi="Times New Roman"/>
          <w:sz w:val="24"/>
          <w:szCs w:val="24"/>
          <w:vertAlign w:val="superscript"/>
        </w:rPr>
        <w:footnoteReference w:customMarkFollows="0" w:id="61"/>
      </w:r>
      <w:r w:rsidDel="00000000" w:rsidR="00000000" w:rsidRPr="00000000">
        <w:rPr>
          <w:rtl w:val="0"/>
        </w:rPr>
      </w:r>
    </w:p>
    <w:p w:rsidR="00000000" w:rsidDel="00000000" w:rsidP="00000000" w:rsidRDefault="00000000" w:rsidRPr="00000000" w14:paraId="00000035">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also no periodic national prevalence surveys; the only one available is the survey carried out by the former Ministry of Women, Genders and Diversity together with the Spotlight Initiative in 2022, which covered 12 provinces.</w:t>
      </w:r>
      <w:r w:rsidDel="00000000" w:rsidR="00000000" w:rsidRPr="00000000">
        <w:rPr>
          <w:rFonts w:ascii="Times New Roman" w:cs="Times New Roman" w:eastAsia="Times New Roman" w:hAnsi="Times New Roman"/>
          <w:sz w:val="24"/>
          <w:szCs w:val="24"/>
          <w:vertAlign w:val="superscript"/>
        </w:rPr>
        <w:footnoteReference w:customMarkFollows="0" w:id="62"/>
      </w:r>
      <w:r w:rsidDel="00000000" w:rsidR="00000000" w:rsidRPr="00000000">
        <w:rPr>
          <w:rFonts w:ascii="Times New Roman" w:cs="Times New Roman" w:eastAsia="Times New Roman" w:hAnsi="Times New Roman"/>
          <w:sz w:val="24"/>
          <w:szCs w:val="24"/>
          <w:rtl w:val="0"/>
        </w:rPr>
        <w:t xml:space="preserve"> A notable exception is the Statistical and Census Institute of the City of Buenos Aires, which conducted surveys on the perception and incidence of violence (2018</w:t>
      </w:r>
      <w:r w:rsidDel="00000000" w:rsidR="00000000" w:rsidRPr="00000000">
        <w:rPr>
          <w:rFonts w:ascii="Times New Roman" w:cs="Times New Roman" w:eastAsia="Times New Roman" w:hAnsi="Times New Roman"/>
          <w:sz w:val="24"/>
          <w:szCs w:val="24"/>
          <w:vertAlign w:val="superscript"/>
        </w:rPr>
        <w:footnoteReference w:customMarkFollows="0" w:id="63"/>
      </w:r>
      <w:r w:rsidDel="00000000" w:rsidR="00000000" w:rsidRPr="00000000">
        <w:rPr>
          <w:rFonts w:ascii="Times New Roman" w:cs="Times New Roman" w:eastAsia="Times New Roman" w:hAnsi="Times New Roman"/>
          <w:sz w:val="24"/>
          <w:szCs w:val="24"/>
          <w:rtl w:val="0"/>
        </w:rPr>
        <w:t xml:space="preserve"> and 2023</w:t>
      </w:r>
      <w:r w:rsidDel="00000000" w:rsidR="00000000" w:rsidRPr="00000000">
        <w:rPr>
          <w:rFonts w:ascii="Times New Roman" w:cs="Times New Roman" w:eastAsia="Times New Roman" w:hAnsi="Times New Roman"/>
          <w:sz w:val="24"/>
          <w:szCs w:val="24"/>
          <w:vertAlign w:val="superscript"/>
        </w:rPr>
        <w:footnoteReference w:customMarkFollows="0" w:id="64"/>
      </w:r>
      <w:r w:rsidDel="00000000" w:rsidR="00000000" w:rsidRPr="00000000">
        <w:rPr>
          <w:rFonts w:ascii="Times New Roman" w:cs="Times New Roman" w:eastAsia="Times New Roman" w:hAnsi="Times New Roman"/>
          <w:sz w:val="24"/>
          <w:szCs w:val="24"/>
          <w:rtl w:val="0"/>
        </w:rPr>
        <w:t xml:space="preserve">), providing key information to compare actual prevalence with recorded complaints and to identify the main barriers to accessing justice and support services.</w:t>
      </w:r>
    </w:p>
    <w:p w:rsidR="00000000" w:rsidDel="00000000" w:rsidP="00000000" w:rsidRDefault="00000000" w:rsidRPr="00000000" w14:paraId="0000003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December 2023, the Executive Branch has also stopped publishing information on the Gender-Responsive Budget (PPG),</w:t>
      </w:r>
      <w:r w:rsidDel="00000000" w:rsidR="00000000" w:rsidRPr="00000000">
        <w:rPr>
          <w:rFonts w:ascii="Times New Roman" w:cs="Times New Roman" w:eastAsia="Times New Roman" w:hAnsi="Times New Roman"/>
          <w:sz w:val="24"/>
          <w:szCs w:val="24"/>
          <w:vertAlign w:val="superscript"/>
        </w:rPr>
        <w:footnoteReference w:customMarkFollows="0" w:id="65"/>
      </w:r>
      <w:r w:rsidDel="00000000" w:rsidR="00000000" w:rsidRPr="00000000">
        <w:rPr>
          <w:rFonts w:ascii="Times New Roman" w:cs="Times New Roman" w:eastAsia="Times New Roman" w:hAnsi="Times New Roman"/>
          <w:sz w:val="24"/>
          <w:szCs w:val="24"/>
          <w:rtl w:val="0"/>
        </w:rPr>
        <w:t xml:space="preserve"> a tool created more than seven years ago that has spanned different administrations and made it possible to identify and monitor resources allocated to reducing gender inequalities, as well as to improve and make more efficient the budget formulation and oversight process. </w:t>
      </w:r>
    </w:p>
    <w:p w:rsidR="00000000" w:rsidDel="00000000" w:rsidP="00000000" w:rsidRDefault="00000000" w:rsidRPr="00000000" w14:paraId="0000003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judiciary, a network of recording systems and statistical tools has been maintained that makes it possible to measure the phenomenon of gender-based violence, monitor its evolution and comply with domestic and international commitments. However, these registry systems are highly fragmented across the federal territory and still show significant shortcomings in the collection of information at the provincial level.</w:t>
      </w:r>
    </w:p>
    <w:p w:rsidR="00000000" w:rsidDel="00000000" w:rsidP="00000000" w:rsidRDefault="00000000" w:rsidRPr="00000000" w14:paraId="0000003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2015, the Office of the Woman of the Supreme Court of Justice of the Nation (OM–CSJN) has produced the aforementioned National Registry of Femicides of the Argentine Justice System (RNFJA). The Court annually publishes reports, documents from the Observatory on femicide cases and judgments, as well as open databases on femicides. Furthermore, since 2022 the Federal Council of Supreme Courts and Superior Tribunals, together with the OM, has been working to build a federal system of indicators to respond to MESECVI’s requests.</w:t>
      </w:r>
      <w:r w:rsidDel="00000000" w:rsidR="00000000" w:rsidRPr="00000000">
        <w:rPr>
          <w:rFonts w:ascii="Times New Roman" w:cs="Times New Roman" w:eastAsia="Times New Roman" w:hAnsi="Times New Roman"/>
          <w:sz w:val="24"/>
          <w:szCs w:val="24"/>
          <w:vertAlign w:val="superscript"/>
        </w:rPr>
        <w:footnoteReference w:customMarkFollows="0" w:id="66"/>
      </w:r>
      <w:r w:rsidDel="00000000" w:rsidR="00000000" w:rsidRPr="00000000">
        <w:rPr>
          <w:rFonts w:ascii="Times New Roman" w:cs="Times New Roman" w:eastAsia="Times New Roman" w:hAnsi="Times New Roman"/>
          <w:sz w:val="24"/>
          <w:szCs w:val="24"/>
          <w:rtl w:val="0"/>
        </w:rPr>
        <w:t xml:space="preserve"> At the subnational level, the OM has signed agreements with all provincial High Courts to replicate the model of the Supreme Court’s Domestic Violence Office (OVD), that is, a model based on specialized intake, interdisciplinary intervention, initial risk assessment and referral of cases, accompanied by common recording standards and unified information systems. In this way, each province contributes its records to the integrated national reports.</w:t>
      </w:r>
    </w:p>
    <w:p w:rsidR="00000000" w:rsidDel="00000000" w:rsidP="00000000" w:rsidRDefault="00000000" w:rsidRPr="00000000" w14:paraId="00000039">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numPr>
          <w:ilvl w:val="0"/>
          <w:numId w:val="1"/>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Setbacks in foreign policy</w:t>
      </w:r>
    </w:p>
    <w:p w:rsidR="00000000" w:rsidDel="00000000" w:rsidP="00000000" w:rsidRDefault="00000000" w:rsidRPr="00000000" w14:paraId="0000003B">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past two years, the Argentine State has delegitimized and disavowed the country’s historic trajectory on gender and human rights before the international community. This has been reflected both in discursive attacks on gender policies and hate speech in international arenas,</w:t>
      </w:r>
      <w:r w:rsidDel="00000000" w:rsidR="00000000" w:rsidRPr="00000000">
        <w:rPr>
          <w:rFonts w:ascii="Times New Roman" w:cs="Times New Roman" w:eastAsia="Times New Roman" w:hAnsi="Times New Roman"/>
          <w:sz w:val="24"/>
          <w:szCs w:val="24"/>
          <w:vertAlign w:val="superscript"/>
        </w:rPr>
        <w:footnoteReference w:customMarkFollows="0" w:id="67"/>
      </w:r>
      <w:r w:rsidDel="00000000" w:rsidR="00000000" w:rsidRPr="00000000">
        <w:rPr>
          <w:rFonts w:ascii="Times New Roman" w:cs="Times New Roman" w:eastAsia="Times New Roman" w:hAnsi="Times New Roman"/>
          <w:sz w:val="24"/>
          <w:szCs w:val="24"/>
          <w:rtl w:val="0"/>
        </w:rPr>
        <w:t xml:space="preserve"> and in a regressive shift in its human rights foreign policy, particularly with respect to the rights of women and LGBTI+ persons.</w:t>
      </w:r>
    </w:p>
    <w:p w:rsidR="00000000" w:rsidDel="00000000" w:rsidP="00000000" w:rsidRDefault="00000000" w:rsidRPr="00000000" w14:paraId="0000003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Argentina withdrew from key spaces such as the Conference of States Parties to the MESECVI in 2024 and 2025,</w:t>
      </w:r>
      <w:r w:rsidDel="00000000" w:rsidR="00000000" w:rsidRPr="00000000">
        <w:rPr>
          <w:rFonts w:ascii="Times New Roman" w:cs="Times New Roman" w:eastAsia="Times New Roman" w:hAnsi="Times New Roman"/>
          <w:sz w:val="24"/>
          <w:szCs w:val="24"/>
          <w:vertAlign w:val="superscript"/>
        </w:rPr>
        <w:footnoteReference w:customMarkFollows="0" w:id="68"/>
      </w:r>
      <w:r w:rsidDel="00000000" w:rsidR="00000000" w:rsidRPr="00000000">
        <w:rPr>
          <w:rFonts w:ascii="Times New Roman" w:cs="Times New Roman" w:eastAsia="Times New Roman" w:hAnsi="Times New Roman"/>
          <w:sz w:val="24"/>
          <w:szCs w:val="24"/>
          <w:rtl w:val="0"/>
        </w:rPr>
        <w:t xml:space="preserve"> and from the review before the Committee on the Rights of the Child, which had to be limited due to the absence of in-person State participation.</w:t>
      </w:r>
      <w:r w:rsidDel="00000000" w:rsidR="00000000" w:rsidRPr="00000000">
        <w:rPr>
          <w:rFonts w:ascii="Times New Roman" w:cs="Times New Roman" w:eastAsia="Times New Roman" w:hAnsi="Times New Roman"/>
          <w:sz w:val="24"/>
          <w:szCs w:val="24"/>
          <w:vertAlign w:val="superscript"/>
        </w:rPr>
        <w:footnoteReference w:customMarkFollows="0" w:id="69"/>
      </w:r>
      <w:r w:rsidDel="00000000" w:rsidR="00000000" w:rsidRPr="00000000">
        <w:rPr>
          <w:rFonts w:ascii="Times New Roman" w:cs="Times New Roman" w:eastAsia="Times New Roman" w:hAnsi="Times New Roman"/>
          <w:sz w:val="24"/>
          <w:szCs w:val="24"/>
          <w:rtl w:val="0"/>
        </w:rPr>
        <w:t xml:space="preserve"> In an unprecedented move, Argentina also requested the withdrawal of the advisory opinion on the human right to care (OC-31) that had originally been initiated by the State itself before the Inter-American Court of Human Rights.</w:t>
      </w:r>
      <w:r w:rsidDel="00000000" w:rsidR="00000000" w:rsidRPr="00000000">
        <w:rPr>
          <w:rFonts w:ascii="Times New Roman" w:cs="Times New Roman" w:eastAsia="Times New Roman" w:hAnsi="Times New Roman"/>
          <w:sz w:val="24"/>
          <w:szCs w:val="24"/>
          <w:vertAlign w:val="superscript"/>
        </w:rPr>
        <w:footnoteReference w:customMarkFollows="0" w:id="70"/>
      </w:r>
      <w:r w:rsidDel="00000000" w:rsidR="00000000" w:rsidRPr="00000000">
        <w:rPr>
          <w:rtl w:val="0"/>
        </w:rPr>
      </w:r>
    </w:p>
    <w:p w:rsidR="00000000" w:rsidDel="00000000" w:rsidP="00000000" w:rsidRDefault="00000000" w:rsidRPr="00000000" w14:paraId="0000003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various international forums, Argentina has opposed terms such as “gender” or “LGBT population” and aligned itself with countries that object to the inclusion of references to sexual and reproductive rights.</w:t>
      </w:r>
      <w:r w:rsidDel="00000000" w:rsidR="00000000" w:rsidRPr="00000000">
        <w:rPr>
          <w:rFonts w:ascii="Times New Roman" w:cs="Times New Roman" w:eastAsia="Times New Roman" w:hAnsi="Times New Roman"/>
          <w:sz w:val="24"/>
          <w:szCs w:val="24"/>
          <w:vertAlign w:val="superscript"/>
        </w:rPr>
        <w:footnoteReference w:customMarkFollows="0" w:id="71"/>
      </w:r>
      <w:r w:rsidDel="00000000" w:rsidR="00000000" w:rsidRPr="00000000">
        <w:rPr>
          <w:rFonts w:ascii="Times New Roman" w:cs="Times New Roman" w:eastAsia="Times New Roman" w:hAnsi="Times New Roman"/>
          <w:sz w:val="24"/>
          <w:szCs w:val="24"/>
          <w:rtl w:val="0"/>
        </w:rPr>
        <w:t xml:space="preserve"> It was also the only country to oppose the G20 Declaration on gender equality and women’s empowerment.</w:t>
      </w:r>
      <w:r w:rsidDel="00000000" w:rsidR="00000000" w:rsidRPr="00000000">
        <w:rPr>
          <w:rFonts w:ascii="Times New Roman" w:cs="Times New Roman" w:eastAsia="Times New Roman" w:hAnsi="Times New Roman"/>
          <w:sz w:val="24"/>
          <w:szCs w:val="24"/>
          <w:vertAlign w:val="superscript"/>
        </w:rPr>
        <w:footnoteReference w:customMarkFollows="0" w:id="72"/>
      </w:r>
      <w:r w:rsidDel="00000000" w:rsidR="00000000" w:rsidRPr="00000000">
        <w:rPr>
          <w:rFonts w:ascii="Times New Roman" w:cs="Times New Roman" w:eastAsia="Times New Roman" w:hAnsi="Times New Roman"/>
          <w:sz w:val="24"/>
          <w:szCs w:val="24"/>
          <w:rtl w:val="0"/>
        </w:rPr>
        <w:t xml:space="preserve"> Within the framework of the United Nations General Assembly, it was the sole State out of 184 to vote against a resolution calling for action to combat violence against women and girls in digital environments.</w:t>
      </w:r>
      <w:r w:rsidDel="00000000" w:rsidR="00000000" w:rsidRPr="00000000">
        <w:rPr>
          <w:rFonts w:ascii="Times New Roman" w:cs="Times New Roman" w:eastAsia="Times New Roman" w:hAnsi="Times New Roman"/>
          <w:sz w:val="24"/>
          <w:szCs w:val="24"/>
          <w:vertAlign w:val="superscript"/>
        </w:rPr>
        <w:footnoteReference w:customMarkFollows="0" w:id="73"/>
      </w:r>
      <w:r w:rsidDel="00000000" w:rsidR="00000000" w:rsidRPr="00000000">
        <w:rPr>
          <w:rtl w:val="0"/>
        </w:rPr>
      </w:r>
    </w:p>
    <w:p w:rsidR="00000000" w:rsidDel="00000000" w:rsidP="00000000" w:rsidRDefault="00000000" w:rsidRPr="00000000" w14:paraId="0000003E">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setbacks described in this report have been a source of concern for the MESECVI Committee of Experts since the beginning of the Milei administration.</w:t>
      </w:r>
      <w:r w:rsidDel="00000000" w:rsidR="00000000" w:rsidRPr="00000000">
        <w:rPr>
          <w:rFonts w:ascii="Times New Roman" w:cs="Times New Roman" w:eastAsia="Times New Roman" w:hAnsi="Times New Roman"/>
          <w:sz w:val="24"/>
          <w:szCs w:val="24"/>
          <w:vertAlign w:val="superscript"/>
        </w:rPr>
        <w:footnoteReference w:customMarkFollows="0" w:id="74"/>
      </w:r>
      <w:r w:rsidDel="00000000" w:rsidR="00000000" w:rsidRPr="00000000">
        <w:rPr>
          <w:rFonts w:ascii="Times New Roman" w:cs="Times New Roman" w:eastAsia="Times New Roman" w:hAnsi="Times New Roman"/>
          <w:sz w:val="24"/>
          <w:szCs w:val="24"/>
          <w:rtl w:val="0"/>
        </w:rPr>
        <w:t xml:space="preserve"> Together with the Rapporteur on the Rights of Women of the IACHR, that Committee condemned the attacks against women human rights defenders in Argentina and expressed concern over the lack of guarantees for their protection.</w:t>
      </w:r>
      <w:r w:rsidDel="00000000" w:rsidR="00000000" w:rsidRPr="00000000">
        <w:rPr>
          <w:rFonts w:ascii="Times New Roman" w:cs="Times New Roman" w:eastAsia="Times New Roman" w:hAnsi="Times New Roman"/>
          <w:sz w:val="24"/>
          <w:szCs w:val="24"/>
          <w:vertAlign w:val="superscript"/>
        </w:rPr>
        <w:footnoteReference w:customMarkFollows="0" w:id="75"/>
      </w:r>
      <w:r w:rsidDel="00000000" w:rsidR="00000000" w:rsidRPr="00000000">
        <w:rPr>
          <w:rtl w:val="0"/>
        </w:rPr>
      </w:r>
    </w:p>
    <w:p w:rsidR="00000000" w:rsidDel="00000000" w:rsidP="00000000" w:rsidRDefault="00000000" w:rsidRPr="00000000" w14:paraId="0000003F">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context, civil society organizations call on the Committee to strengthen its supervision of Argentina, given that the regressive shift in foreign policy undermines domestic standards on prevention, protection and access to justice. We request clear and enforceable recommendations, detailed information on the State’s decisions to withdraw, vote or object in international forums on gender equality and LGBTI+ rights, and enhanced follow-up, including an interim report, to monitor compliance with the State’s international obligations.</w:t>
      </w:r>
    </w:p>
    <w:p w:rsidR="00000000" w:rsidDel="00000000" w:rsidP="00000000" w:rsidRDefault="00000000" w:rsidRPr="00000000" w14:paraId="00000040">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numPr>
          <w:ilvl w:val="0"/>
          <w:numId w:val="1"/>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Recommendations</w:t>
      </w:r>
    </w:p>
    <w:p w:rsidR="00000000" w:rsidDel="00000000" w:rsidP="00000000" w:rsidRDefault="00000000" w:rsidRPr="00000000" w14:paraId="00000042">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basis of the setbacks experienced by Argentina in the agenda for protection from gender-based violence and the barriers to access to justice, we suggest that the Committee consider the following recommendations:</w:t>
      </w:r>
    </w:p>
    <w:p w:rsidR="00000000" w:rsidDel="00000000" w:rsidP="00000000" w:rsidRDefault="00000000" w:rsidRPr="00000000" w14:paraId="00000043">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Reaffirm the validity and enforceability of laws, public policies and State commitments on gender-based violence.</w:t>
      </w:r>
    </w:p>
    <w:p w:rsidR="00000000" w:rsidDel="00000000" w:rsidP="00000000" w:rsidRDefault="00000000" w:rsidRPr="00000000" w14:paraId="00000044">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State should refrain from promoting messages that deny the existence of gender-based violence, and should reaffirm and strengthen the validity and enforceability of its domestic norms, public policies and international commitments on this issue, accompanied by the necessary human, technical and financial resources to ensure a minimum level of equality in access to public policies for the prevention, care and response to violence throughout the national territory.</w:t>
      </w:r>
    </w:p>
    <w:p w:rsidR="00000000" w:rsidDel="00000000" w:rsidP="00000000" w:rsidRDefault="00000000" w:rsidRPr="00000000" w14:paraId="00000045">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Ensure comprehensive policies and mechanisms for the care and prevention of gender-based violence.</w:t>
      </w:r>
    </w:p>
    <w:p w:rsidR="00000000" w:rsidDel="00000000" w:rsidP="00000000" w:rsidRDefault="00000000" w:rsidRPr="00000000" w14:paraId="0000004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fund and monitor a National Action Plan and comprehensive programmes for all forms of gender-based violence, ensuring sustained economic support for victims, free and specialized legal aid, access to justice without revictimization and effective monitoring of protection measures. This should include mental health services and access to housing for victims and their children.</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Guarantee the accessibility of these mechanisms, with sufficient human resources, institutional stability and effective coordination among the different branches of the State and levels of government.</w:t>
      </w:r>
    </w:p>
    <w:p w:rsidR="00000000" w:rsidDel="00000000" w:rsidP="00000000" w:rsidRDefault="00000000" w:rsidRPr="00000000" w14:paraId="00000048">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Strengthen gender institutional frameworks for addressing gender-based violence and access to justice.</w:t>
      </w:r>
    </w:p>
    <w:p w:rsidR="00000000" w:rsidDel="00000000" w:rsidP="00000000" w:rsidRDefault="00000000" w:rsidRPr="00000000" w14:paraId="00000049">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Re-establish the lead agency provided for under Law No. 26,485, consolidate inter-institutional coordination mechanisms and allocate sufficient human, technical and financial resources to ensure a minimum level of protection. Strengthen its capacity to promote and oversee gender equality policies.</w:t>
      </w:r>
    </w:p>
    <w:p w:rsidR="00000000" w:rsidDel="00000000" w:rsidP="00000000" w:rsidRDefault="00000000" w:rsidRPr="00000000" w14:paraId="0000004A">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Guarantee continuous and mandatory training on gender and diversity perspectives for officials of the judiciary, security forces, health personnel and frontline support teams, with an emphasis on enhanced due diligence.</w:t>
      </w:r>
    </w:p>
    <w:p w:rsidR="00000000" w:rsidDel="00000000" w:rsidP="00000000" w:rsidRDefault="00000000" w:rsidRPr="00000000" w14:paraId="0000004B">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Reinforce gender offices at provincial and municipal levels, ensuring clear mandates, adequate budgets and trained staff, as well as coordination between the national State, provincial women’s councils and municipal women’s offices.</w:t>
      </w:r>
    </w:p>
    <w:p w:rsidR="00000000" w:rsidDel="00000000" w:rsidP="00000000" w:rsidRDefault="00000000" w:rsidRPr="00000000" w14:paraId="0000004C">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Develop robust systems for information, statistics and monitoring on violence and access to justice.</w:t>
      </w:r>
    </w:p>
    <w:p w:rsidR="00000000" w:rsidDel="00000000" w:rsidP="00000000" w:rsidRDefault="00000000" w:rsidRPr="00000000" w14:paraId="0000004D">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 implementation of the SICVG and generate systematic empirical evidence on the different forms of violence, the obstacles along the critical pathway and the specific needs of women in situations of violence, in order to adjust prevention and access-to-justice policies.</w:t>
      </w:r>
    </w:p>
    <w:p w:rsidR="00000000" w:rsidDel="00000000" w:rsidP="00000000" w:rsidRDefault="00000000" w:rsidRPr="00000000" w14:paraId="0000004E">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Reinstate the Gender-Responsive Budget (PPG) and monitoring dashboards with a gender perspective, with open and disaggregated data (by gender, age, territory, disability, ethnic-racial origin, nationality and gender identity, among others) to assess impacts, identify gaps and redirect policies.</w:t>
      </w:r>
    </w:p>
    <w:p w:rsidR="00000000" w:rsidDel="00000000" w:rsidP="00000000" w:rsidRDefault="00000000" w:rsidRPr="00000000" w14:paraId="0000004F">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Carry out a new national prevalence survey on gender-based violence, with broader territorial coverage (including rural areas and small localities) and disaggregated data.</w:t>
      </w:r>
    </w:p>
    <w:p w:rsidR="00000000" w:rsidDel="00000000" w:rsidP="00000000" w:rsidRDefault="00000000" w:rsidRPr="00000000" w14:paraId="00000050">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and strengthen provincial gender observatories that integrate official and civil society data on violence and access to justice, with technical assistance, financial support and training for data collection, analysis and use.</w:t>
      </w:r>
    </w:p>
    <w:p w:rsidR="00000000" w:rsidDel="00000000" w:rsidP="00000000" w:rsidRDefault="00000000" w:rsidRPr="00000000" w14:paraId="00000051">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gender-responsive accountability mechanisms to oversee the implementation of legislation on care, assistance and eradication of gender-based violence, allocating sufficient human, technical and budgetary resources.</w:t>
      </w:r>
    </w:p>
    <w:p w:rsidR="00000000" w:rsidDel="00000000" w:rsidP="00000000" w:rsidRDefault="00000000" w:rsidRPr="00000000" w14:paraId="00000052">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Ensure accessibility and intersectional approaches in support services.</w:t>
      </w:r>
    </w:p>
    <w:p w:rsidR="00000000" w:rsidDel="00000000" w:rsidP="00000000" w:rsidRDefault="00000000" w:rsidRPr="00000000" w14:paraId="0000005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Guarantee that care and protection mechanisms are accessible to women with disabilities, Indigenous and Afro-descendant women, migrant women and women of different ages. Develop specific protocols, co-designed with specialized organizations and representatives of these groups, to train all stakeholders from an intersectional and reparative perspective, incorporating physical, communicational and cultural adjustments.</w:t>
      </w:r>
    </w:p>
    <w:p w:rsidR="00000000" w:rsidDel="00000000" w:rsidP="00000000" w:rsidRDefault="00000000" w:rsidRPr="00000000" w14:paraId="00000054">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 information and awareness-raising campaigns on rights and available resources, in formats that are understandable and accessible.</w:t>
      </w:r>
    </w:p>
    <w:p w:rsidR="00000000" w:rsidDel="00000000" w:rsidP="00000000" w:rsidRDefault="00000000" w:rsidRPr="00000000" w14:paraId="00000055">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Recognize and sustain the role of civil society organizations.</w:t>
      </w:r>
    </w:p>
    <w:p w:rsidR="00000000" w:rsidDel="00000000" w:rsidP="00000000" w:rsidRDefault="00000000" w:rsidRPr="00000000" w14:paraId="0000005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formal and permanent mechanisms for coordination between civil society organizations and local and provincial governments, in order to co-create public policies based on evidence and territorial experience.</w:t>
      </w:r>
    </w:p>
    <w:p w:rsidR="00000000" w:rsidDel="00000000" w:rsidP="00000000" w:rsidRDefault="00000000" w:rsidRPr="00000000" w14:paraId="0000005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 civil society organizations through technical assistance to design and implement territorially grounded projects, access to predictable and sustainable funding, promotion of national and regional networks with strategic actors, and development of training modules on public policy advocacy with a gender perspective.</w:t>
      </w:r>
    </w:p>
    <w:p w:rsidR="00000000" w:rsidDel="00000000" w:rsidP="00000000" w:rsidRDefault="00000000" w:rsidRPr="00000000" w14:paraId="00000058">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Work with men and evaluate programmes targeting perpetrators.</w:t>
      </w:r>
    </w:p>
    <w:p w:rsidR="00000000" w:rsidDel="00000000" w:rsidP="00000000" w:rsidRDefault="00000000" w:rsidRPr="00000000" w14:paraId="0000005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 and expand programmes working with men to promote non-violent masculinities, through awareness-raising and training on sexist and violent behaviours, comprehensive approaches in services with high contact with men, and communication strategies targeting different age groups.</w:t>
      </w:r>
    </w:p>
    <w:p w:rsidR="00000000" w:rsidDel="00000000" w:rsidP="00000000" w:rsidRDefault="00000000" w:rsidRPr="00000000" w14:paraId="0000005A">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Strengthen the prevention and control of firearms to reduce gender-based violence.</w:t>
      </w:r>
    </w:p>
    <w:p w:rsidR="00000000" w:rsidDel="00000000" w:rsidP="00000000" w:rsidRDefault="00000000" w:rsidRPr="00000000" w14:paraId="0000005B">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 the functions of prevention and control in relation to gender-based violence committed with firearms, reversing the regressive effects of current regulations. Adopt measures to prevent these offences, including reinforced oversight of security forces and effective restrictions on access to firearms in the home.</w:t>
      </w:r>
    </w:p>
    <w:p w:rsidR="00000000" w:rsidDel="00000000" w:rsidP="00000000" w:rsidRDefault="00000000" w:rsidRPr="00000000" w14:paraId="0000005C">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numPr>
          <w:ilvl w:val="0"/>
          <w:numId w:val="2"/>
        </w:numPr>
        <w:spacing w:after="240" w:before="24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Guarantee access to justice and comprehensive reparation in cases of digital gender-based violence.</w:t>
      </w:r>
    </w:p>
    <w:p w:rsidR="00000000" w:rsidDel="00000000" w:rsidP="00000000" w:rsidRDefault="00000000" w:rsidRPr="00000000" w14:paraId="0000005E">
      <w:pPr>
        <w:spacing w:after="240" w:befor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 the capacities of the bodies that advise and support victims, ensuring sufficient human, technical and financial resources, and providing continuous training so they can deliver effective responses.</w:t>
      </w:r>
    </w:p>
    <w:p w:rsidR="00000000" w:rsidDel="00000000" w:rsidP="00000000" w:rsidRDefault="00000000" w:rsidRPr="00000000" w14:paraId="0000005F">
      <w:pPr>
        <w:spacing w:after="240" w:before="240"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sz w:val="24"/>
          <w:szCs w:val="24"/>
          <w:rtl w:val="0"/>
        </w:rPr>
        <w:t xml:space="preserve">Develop awareness-raising campaigns on violence in digital environments and adopt protocols and investigative guidelines that enable an effective response to such complaints.</w:t>
      </w:r>
      <w:r w:rsidDel="00000000" w:rsidR="00000000" w:rsidRPr="00000000">
        <w:rPr>
          <w:rtl w:val="0"/>
        </w:rPr>
      </w:r>
    </w:p>
    <w:tbl>
      <w:tblPr>
        <w:tblStyle w:val="Table1"/>
        <w:tblW w:w="10140.0" w:type="dxa"/>
        <w:jc w:val="left"/>
        <w:tblInd w:w="-3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2145"/>
        <w:gridCol w:w="2520"/>
        <w:gridCol w:w="2745"/>
        <w:tblGridChange w:id="0">
          <w:tblGrid>
            <w:gridCol w:w="2730"/>
            <w:gridCol w:w="2145"/>
            <w:gridCol w:w="2520"/>
            <w:gridCol w:w="2745"/>
          </w:tblGrid>
        </w:tblGridChange>
      </w:tblGrid>
      <w:tr>
        <w:trPr>
          <w:cantSplit w:val="0"/>
          <w:trHeight w:val="2434.9414062499995" w:hRule="atLeast"/>
          <w:tblHeader w:val="0"/>
        </w:trPr>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0">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285875" cy="685800"/>
                  <wp:effectExtent b="0" l="0" r="0" t="0"/>
                  <wp:docPr id="16"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285875" cy="685800"/>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2">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3">
            <w:pPr>
              <w:spacing w:line="240" w:lineRule="auto"/>
              <w:jc w:val="center"/>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64">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Natalia Gherardi </w:t>
            </w:r>
          </w:p>
          <w:p w:rsidR="00000000" w:rsidDel="00000000" w:rsidP="00000000" w:rsidRDefault="00000000" w:rsidRPr="00000000" w14:paraId="00000065">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ELA</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6">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364401" cy="854137"/>
                  <wp:effectExtent b="0" l="0" r="0" t="0"/>
                  <wp:docPr id="21" name="image13.png"/>
                  <a:graphic>
                    <a:graphicData uri="http://schemas.openxmlformats.org/drawingml/2006/picture">
                      <pic:pic>
                        <pic:nvPicPr>
                          <pic:cNvPr id="0" name="image13.png"/>
                          <pic:cNvPicPr preferRelativeResize="0"/>
                        </pic:nvPicPr>
                        <pic:blipFill>
                          <a:blip r:embed="rId8"/>
                          <a:srcRect b="0" l="0" r="0" t="0"/>
                          <a:stretch>
                            <a:fillRect/>
                          </a:stretch>
                        </pic:blipFill>
                        <pic:spPr>
                          <a:xfrm>
                            <a:off x="0" y="0"/>
                            <a:ext cx="1364401" cy="854137"/>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line="240" w:lineRule="auto"/>
              <w:jc w:val="center"/>
              <w:rPr>
                <w:rFonts w:ascii="Times New Roman" w:cs="Times New Roman" w:eastAsia="Times New Roman" w:hAnsi="Times New Roman"/>
                <w:sz w:val="10"/>
                <w:szCs w:val="10"/>
              </w:rPr>
            </w:pPr>
            <w:r w:rsidDel="00000000" w:rsidR="00000000" w:rsidRPr="00000000">
              <w:rPr>
                <w:rtl w:val="0"/>
              </w:rPr>
            </w:r>
          </w:p>
          <w:p w:rsidR="00000000" w:rsidDel="00000000" w:rsidP="00000000" w:rsidRDefault="00000000" w:rsidRPr="00000000" w14:paraId="00000068">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9">
            <w:pP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Diego R. Morales CELS</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A">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B">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152525" cy="495300"/>
                  <wp:effectExtent b="0" l="0" r="0" t="0"/>
                  <wp:docPr id="24" name="image16.jpg"/>
                  <a:graphic>
                    <a:graphicData uri="http://schemas.openxmlformats.org/drawingml/2006/picture">
                      <pic:pic>
                        <pic:nvPicPr>
                          <pic:cNvPr id="0" name="image16.jpg"/>
                          <pic:cNvPicPr preferRelativeResize="0"/>
                        </pic:nvPicPr>
                        <pic:blipFill>
                          <a:blip r:embed="rId9"/>
                          <a:srcRect b="0" l="0" r="0" t="0"/>
                          <a:stretch>
                            <a:fillRect/>
                          </a:stretch>
                        </pic:blipFill>
                        <pic:spPr>
                          <a:xfrm>
                            <a:off x="0" y="0"/>
                            <a:ext cx="1152525"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D">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E">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F">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Soledad Deza</w:t>
            </w:r>
          </w:p>
          <w:p w:rsidR="00000000" w:rsidDel="00000000" w:rsidP="00000000" w:rsidRDefault="00000000" w:rsidRPr="00000000" w14:paraId="0000007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MxM</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rFonts w:ascii="Times New Roman" w:cs="Times New Roman" w:eastAsia="Times New Roman" w:hAnsi="Times New Roman"/>
                <w:sz w:val="20"/>
                <w:szCs w:val="20"/>
              </w:rPr>
            </w:pPr>
            <w:r w:rsidDel="00000000" w:rsidR="00000000" w:rsidRPr="00000000">
              <w:rPr>
                <w:rFonts w:ascii="Calibri" w:cs="Calibri" w:eastAsia="Calibri" w:hAnsi="Calibri"/>
                <w:sz w:val="20"/>
                <w:szCs w:val="20"/>
              </w:rPr>
              <w:drawing>
                <wp:inline distB="114300" distT="114300" distL="114300" distR="114300">
                  <wp:extent cx="1300163" cy="1133475"/>
                  <wp:effectExtent b="0" l="0" r="0" t="0"/>
                  <wp:docPr id="14" name="image20.png"/>
                  <a:graphic>
                    <a:graphicData uri="http://schemas.openxmlformats.org/drawingml/2006/picture">
                      <pic:pic>
                        <pic:nvPicPr>
                          <pic:cNvPr id="0" name="image20.png"/>
                          <pic:cNvPicPr preferRelativeResize="0"/>
                        </pic:nvPicPr>
                        <pic:blipFill>
                          <a:blip r:embed="rId10">
                            <a:alphaModFix amt="65000"/>
                          </a:blip>
                          <a:srcRect b="0" l="0" r="0" t="0"/>
                          <a:stretch>
                            <a:fillRect/>
                          </a:stretch>
                        </pic:blipFill>
                        <pic:spPr>
                          <a:xfrm>
                            <a:off x="0" y="0"/>
                            <a:ext cx="1300163" cy="1133475"/>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widowControl w:val="0"/>
              <w:spacing w:line="240" w:lineRule="auto"/>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María Luisa Storani</w:t>
            </w:r>
          </w:p>
          <w:p w:rsidR="00000000" w:rsidDel="00000000" w:rsidP="00000000" w:rsidRDefault="00000000" w:rsidRPr="00000000" w14:paraId="00000073">
            <w:pPr>
              <w:widowControl w:val="0"/>
              <w:spacing w:line="240" w:lineRule="auto"/>
              <w:jc w:val="lef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CEDEM</w:t>
            </w:r>
          </w:p>
          <w:p w:rsidR="00000000" w:rsidDel="00000000" w:rsidP="00000000" w:rsidRDefault="00000000" w:rsidRPr="00000000" w14:paraId="00000074">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385" w:hRule="atLeast"/>
          <w:tblHeader w:val="0"/>
        </w:trPr>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219075</wp:posOffset>
                  </wp:positionH>
                  <wp:positionV relativeFrom="paragraph">
                    <wp:posOffset>95251</wp:posOffset>
                  </wp:positionV>
                  <wp:extent cx="1038338" cy="828675"/>
                  <wp:effectExtent b="0" l="0" r="0" t="0"/>
                  <wp:wrapNone/>
                  <wp:docPr id="12" name="image23.jpg"/>
                  <a:graphic>
                    <a:graphicData uri="http://schemas.openxmlformats.org/drawingml/2006/picture">
                      <pic:pic>
                        <pic:nvPicPr>
                          <pic:cNvPr id="0" name="image23.jpg"/>
                          <pic:cNvPicPr preferRelativeResize="0"/>
                        </pic:nvPicPr>
                        <pic:blipFill>
                          <a:blip r:embed="rId11"/>
                          <a:srcRect b="0" l="0" r="0" t="0"/>
                          <a:stretch>
                            <a:fillRect/>
                          </a:stretch>
                        </pic:blipFill>
                        <pic:spPr>
                          <a:xfrm>
                            <a:off x="0" y="0"/>
                            <a:ext cx="1038338" cy="828675"/>
                          </a:xfrm>
                          <a:prstGeom prst="rect"/>
                          <a:ln/>
                        </pic:spPr>
                      </pic:pic>
                    </a:graphicData>
                  </a:graphic>
                </wp:anchor>
              </w:drawing>
            </w:r>
          </w:p>
          <w:p w:rsidR="00000000" w:rsidDel="00000000" w:rsidP="00000000" w:rsidRDefault="00000000" w:rsidRPr="00000000" w14:paraId="00000076">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7">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8">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9">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A">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Mayca Balaguer            </w:t>
            </w:r>
          </w:p>
          <w:p w:rsidR="00000000" w:rsidDel="00000000" w:rsidP="00000000" w:rsidRDefault="00000000" w:rsidRPr="00000000" w14:paraId="0000007D">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Fundeps</w:t>
            </w:r>
          </w:p>
          <w:p w:rsidR="00000000" w:rsidDel="00000000" w:rsidP="00000000" w:rsidRDefault="00000000" w:rsidRPr="00000000" w14:paraId="0000007E">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F">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0">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352550" cy="990600"/>
                  <wp:effectExtent b="0" l="0" r="0" t="0"/>
                  <wp:docPr id="5"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1352550" cy="9906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Sandra Chaer</w:t>
            </w:r>
          </w:p>
          <w:p w:rsidR="00000000" w:rsidDel="00000000" w:rsidP="00000000" w:rsidRDefault="00000000" w:rsidRPr="00000000" w14:paraId="00000082">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Comunicación para la Igualdad</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spacing w:after="240" w:before="240"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403596" cy="738188"/>
                  <wp:effectExtent b="0" l="0" r="0" t="0"/>
                  <wp:docPr id="18" name="image1.jpg"/>
                  <a:graphic>
                    <a:graphicData uri="http://schemas.openxmlformats.org/drawingml/2006/picture">
                      <pic:pic>
                        <pic:nvPicPr>
                          <pic:cNvPr id="0" name="image1.jpg"/>
                          <pic:cNvPicPr preferRelativeResize="0"/>
                        </pic:nvPicPr>
                        <pic:blipFill>
                          <a:blip r:embed="rId13"/>
                          <a:srcRect b="0" l="0" r="0" t="0"/>
                          <a:stretch>
                            <a:fillRect/>
                          </a:stretch>
                        </pic:blipFill>
                        <pic:spPr>
                          <a:xfrm>
                            <a:off x="0" y="0"/>
                            <a:ext cx="1403596" cy="738188"/>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Leandro Cahn</w:t>
            </w:r>
          </w:p>
          <w:p w:rsidR="00000000" w:rsidDel="00000000" w:rsidP="00000000" w:rsidRDefault="00000000" w:rsidRPr="00000000" w14:paraId="0000008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Huésped</w:t>
            </w:r>
          </w:p>
          <w:p w:rsidR="00000000" w:rsidDel="00000000" w:rsidP="00000000" w:rsidRDefault="00000000" w:rsidRPr="00000000" w14:paraId="00000086">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7">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8">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152525" cy="622300"/>
                  <wp:effectExtent b="0" l="0" r="0" t="0"/>
                  <wp:docPr id="8" name="image17.jpg"/>
                  <a:graphic>
                    <a:graphicData uri="http://schemas.openxmlformats.org/drawingml/2006/picture">
                      <pic:pic>
                        <pic:nvPicPr>
                          <pic:cNvPr id="0" name="image17.jpg"/>
                          <pic:cNvPicPr preferRelativeResize="0"/>
                        </pic:nvPicPr>
                        <pic:blipFill>
                          <a:blip r:embed="rId14"/>
                          <a:srcRect b="0" l="0" r="0" t="0"/>
                          <a:stretch>
                            <a:fillRect/>
                          </a:stretch>
                        </pic:blipFill>
                        <pic:spPr>
                          <a:xfrm>
                            <a:off x="0" y="0"/>
                            <a:ext cx="1152525" cy="62230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A">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B">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Julian Alfie</w:t>
            </w:r>
          </w:p>
          <w:p w:rsidR="00000000" w:rsidDel="00000000" w:rsidP="00000000" w:rsidRDefault="00000000" w:rsidRPr="00000000" w14:paraId="0000008C">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INECIP</w:t>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Pr>
              <w:drawing>
                <wp:inline distB="114300" distT="114300" distL="114300" distR="114300">
                  <wp:extent cx="1118627" cy="1100138"/>
                  <wp:effectExtent b="0" l="0" r="0" t="0"/>
                  <wp:docPr id="13"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1118627" cy="1100138"/>
                          </a:xfrm>
                          <a:prstGeom prst="rect"/>
                          <a:ln/>
                        </pic:spPr>
                      </pic:pic>
                    </a:graphicData>
                  </a:graphic>
                </wp:inline>
              </w:drawing>
            </w:r>
            <w:r w:rsidDel="00000000" w:rsidR="00000000" w:rsidRPr="00000000">
              <w:rPr>
                <w:rFonts w:ascii="Times New Roman" w:cs="Times New Roman" w:eastAsia="Times New Roman" w:hAnsi="Times New Roman"/>
                <w:sz w:val="20"/>
                <w:szCs w:val="20"/>
                <w:highlight w:val="white"/>
                <w:rtl w:val="0"/>
              </w:rPr>
              <w:t xml:space="preserve">Florencia Abed Dickson</w:t>
            </w:r>
          </w:p>
          <w:p w:rsidR="00000000" w:rsidDel="00000000" w:rsidP="00000000" w:rsidRDefault="00000000" w:rsidRPr="00000000" w14:paraId="0000008E">
            <w:pPr>
              <w:widowControl w:val="0"/>
              <w:spacing w:line="240" w:lineRule="auto"/>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ACIJ </w:t>
            </w:r>
          </w:p>
          <w:p w:rsidR="00000000" w:rsidDel="00000000" w:rsidP="00000000" w:rsidRDefault="00000000" w:rsidRPr="00000000" w14:paraId="0000008F">
            <w:pPr>
              <w:widowControl w:val="0"/>
              <w:spacing w:line="240" w:lineRule="auto"/>
              <w:jc w:val="center"/>
              <w:rPr>
                <w:rFonts w:ascii="Times New Roman" w:cs="Times New Roman" w:eastAsia="Times New Roman" w:hAnsi="Times New Roman"/>
                <w:sz w:val="20"/>
                <w:szCs w:val="20"/>
                <w:shd w:fill="ffe599" w:val="clear"/>
              </w:rPr>
            </w:pPr>
            <w:r w:rsidDel="00000000" w:rsidR="00000000" w:rsidRPr="00000000">
              <w:rPr>
                <w:rtl w:val="0"/>
              </w:rPr>
            </w:r>
          </w:p>
          <w:p w:rsidR="00000000" w:rsidDel="00000000" w:rsidP="00000000" w:rsidRDefault="00000000" w:rsidRPr="00000000" w14:paraId="00000090">
            <w:pPr>
              <w:widowControl w:val="0"/>
              <w:spacing w:line="240" w:lineRule="auto"/>
              <w:jc w:val="center"/>
              <w:rPr>
                <w:rFonts w:ascii="Times New Roman" w:cs="Times New Roman" w:eastAsia="Times New Roman" w:hAnsi="Times New Roman"/>
                <w:sz w:val="20"/>
                <w:szCs w:val="20"/>
                <w:shd w:fill="ffe599" w:val="clea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1428750</wp:posOffset>
                  </wp:positionH>
                  <wp:positionV relativeFrom="paragraph">
                    <wp:posOffset>152400</wp:posOffset>
                  </wp:positionV>
                  <wp:extent cx="1590675" cy="812800"/>
                  <wp:effectExtent b="0" l="0" r="0" t="0"/>
                  <wp:wrapNone/>
                  <wp:docPr id="23"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1590675" cy="812800"/>
                          </a:xfrm>
                          <a:prstGeom prst="rect"/>
                          <a:ln/>
                        </pic:spPr>
                      </pic:pic>
                    </a:graphicData>
                  </a:graphic>
                </wp:anchor>
              </w:drawing>
            </w:r>
          </w:p>
          <w:p w:rsidR="00000000" w:rsidDel="00000000" w:rsidP="00000000" w:rsidRDefault="00000000" w:rsidRPr="00000000" w14:paraId="00000091">
            <w:pPr>
              <w:widowControl w:val="0"/>
              <w:spacing w:line="240" w:lineRule="auto"/>
              <w:jc w:val="center"/>
              <w:rPr>
                <w:rFonts w:ascii="Times New Roman" w:cs="Times New Roman" w:eastAsia="Times New Roman" w:hAnsi="Times New Roman"/>
                <w:sz w:val="20"/>
                <w:szCs w:val="20"/>
                <w:shd w:fill="ffe599" w:val="clear"/>
              </w:rPr>
            </w:pPr>
            <w:r w:rsidDel="00000000" w:rsidR="00000000" w:rsidRPr="00000000">
              <w:rPr>
                <w:rFonts w:ascii="Times New Roman" w:cs="Times New Roman" w:eastAsia="Times New Roman" w:hAnsi="Times New Roman"/>
                <w:sz w:val="20"/>
                <w:szCs w:val="20"/>
              </w:rPr>
              <w:drawing>
                <wp:inline distB="114300" distT="114300" distL="114300" distR="114300">
                  <wp:extent cx="1016000" cy="927100"/>
                  <wp:effectExtent b="0" l="0" r="0" t="0"/>
                  <wp:docPr id="3" name="image12.gif"/>
                  <a:graphic>
                    <a:graphicData uri="http://schemas.openxmlformats.org/drawingml/2006/picture">
                      <pic:pic>
                        <pic:nvPicPr>
                          <pic:cNvPr id="0" name="image12.gif"/>
                          <pic:cNvPicPr preferRelativeResize="0"/>
                        </pic:nvPicPr>
                        <pic:blipFill>
                          <a:blip r:embed="rId17"/>
                          <a:srcRect b="0" l="0" r="0" t="0"/>
                          <a:stretch>
                            <a:fillRect/>
                          </a:stretch>
                        </pic:blipFill>
                        <pic:spPr>
                          <a:xfrm>
                            <a:off x="0" y="0"/>
                            <a:ext cx="1016000" cy="9271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shd w:fill="ffffff" w:val="clear"/>
              <w:spacing w:line="240" w:lineRule="auto"/>
              <w:ind w:left="-14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Mariela Belski</w:t>
            </w:r>
          </w:p>
          <w:p w:rsidR="00000000" w:rsidDel="00000000" w:rsidP="00000000" w:rsidRDefault="00000000" w:rsidRPr="00000000" w14:paraId="00000093">
            <w:pPr>
              <w:shd w:fill="ffffff" w:val="clear"/>
              <w:spacing w:line="240" w:lineRule="auto"/>
              <w:ind w:left="-140" w:firstLine="0"/>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Amnistía Internacional Argentina</w:t>
            </w: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1409700" cy="330200"/>
                  <wp:effectExtent b="0" l="0" r="0" t="0"/>
                  <wp:docPr id="9" name="image9.jpg"/>
                  <a:graphic>
                    <a:graphicData uri="http://schemas.openxmlformats.org/drawingml/2006/picture">
                      <pic:pic>
                        <pic:nvPicPr>
                          <pic:cNvPr id="0" name="image9.jpg"/>
                          <pic:cNvPicPr preferRelativeResize="0"/>
                        </pic:nvPicPr>
                        <pic:blipFill>
                          <a:blip r:embed="rId18"/>
                          <a:srcRect b="0" l="0" r="0" t="0"/>
                          <a:stretch>
                            <a:fillRect/>
                          </a:stretch>
                        </pic:blipFill>
                        <pic:spPr>
                          <a:xfrm>
                            <a:off x="0" y="0"/>
                            <a:ext cx="1409700" cy="330200"/>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7">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8">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9">
            <w:pPr>
              <w:widowControl w:val="0"/>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Monique Thiteux Altschul</w:t>
            </w:r>
            <w:r w:rsidDel="00000000" w:rsidR="00000000" w:rsidRPr="00000000">
              <w:rPr>
                <w:rtl w:val="0"/>
              </w:rPr>
            </w:r>
          </w:p>
          <w:p w:rsidR="00000000" w:rsidDel="00000000" w:rsidP="00000000" w:rsidRDefault="00000000" w:rsidRPr="00000000" w14:paraId="0000009A">
            <w:pPr>
              <w:widowControl w:val="0"/>
              <w:shd w:fill="ffffff" w:val="clear"/>
              <w:spacing w:line="240"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MEI</w:t>
            </w:r>
          </w:p>
          <w:p w:rsidR="00000000" w:rsidDel="00000000" w:rsidP="00000000" w:rsidRDefault="00000000" w:rsidRPr="00000000" w14:paraId="0000009B">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C">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D">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E">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F">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0">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1">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2">
            <w:pPr>
              <w:widowControl w:val="0"/>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3">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4">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5">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Mabel Bianco</w:t>
            </w:r>
          </w:p>
          <w:p w:rsidR="00000000" w:rsidDel="00000000" w:rsidP="00000000" w:rsidRDefault="00000000" w:rsidRPr="00000000" w14:paraId="000000A6">
            <w:pPr>
              <w:widowControl w:val="0"/>
              <w:spacing w:line="24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FEIM</w:t>
            </w:r>
          </w:p>
        </w:tc>
      </w:tr>
      <w:tr>
        <w:trPr>
          <w:cantSplit w:val="0"/>
          <w:trHeight w:val="1230.5664062500002" w:hRule="atLeast"/>
          <w:tblHeader w:val="0"/>
        </w:trPr>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7">
            <w:pPr>
              <w:spacing w:after="240" w:before="240" w:line="240" w:lineRule="auto"/>
              <w:jc w:val="center"/>
              <w:rPr>
                <w:rFonts w:ascii="Times New Roman" w:cs="Times New Roman" w:eastAsia="Times New Roman" w:hAnsi="Times New Roman"/>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133350</wp:posOffset>
                  </wp:positionH>
                  <wp:positionV relativeFrom="paragraph">
                    <wp:posOffset>171450</wp:posOffset>
                  </wp:positionV>
                  <wp:extent cx="1335600" cy="392617"/>
                  <wp:effectExtent b="0" l="0" r="0" t="0"/>
                  <wp:wrapSquare wrapText="bothSides" distB="114300" distT="114300" distL="114300" distR="114300"/>
                  <wp:docPr id="6"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1335600" cy="392617"/>
                          </a:xfrm>
                          <a:prstGeom prst="rect"/>
                          <a:ln/>
                        </pic:spPr>
                      </pic:pic>
                    </a:graphicData>
                  </a:graphic>
                </wp:anchor>
              </w:drawing>
            </w:r>
          </w:p>
          <w:p w:rsidR="00000000" w:rsidDel="00000000" w:rsidP="00000000" w:rsidRDefault="00000000" w:rsidRPr="00000000" w14:paraId="000000A8">
            <w:pPr>
              <w:spacing w:after="240" w:before="240" w:line="240" w:lineRule="auto"/>
              <w:rPr>
                <w:rFonts w:ascii="Times New Roman" w:cs="Times New Roman" w:eastAsia="Times New Roman" w:hAnsi="Times New Roman"/>
                <w:sz w:val="20"/>
                <w:szCs w:val="20"/>
              </w:rPr>
            </w:pP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9">
            <w:pPr>
              <w:spacing w:after="240" w:before="240" w:line="24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A">
            <w:pPr>
              <w:spacing w:after="240" w:before="240" w:line="24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fafafa" w:space="0" w:sz="8" w:val="single"/>
              <w:left w:color="fafafa" w:space="0" w:sz="8" w:val="single"/>
              <w:bottom w:color="fafafa" w:space="0" w:sz="8" w:val="single"/>
              <w:right w:color="fafafa"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jc w:val="cente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AC">
      <w:pPr>
        <w:widowControl w:val="0"/>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Carmen Adelina Storani </w:t>
      </w:r>
    </w:p>
    <w:p w:rsidR="00000000" w:rsidDel="00000000" w:rsidP="00000000" w:rsidRDefault="00000000" w:rsidRPr="00000000" w14:paraId="000000AD">
      <w:pPr>
        <w:widowControl w:val="0"/>
        <w:spacing w:line="24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 Sergio Karakachof</w:t>
      </w:r>
    </w:p>
    <w:p w:rsidR="00000000" w:rsidDel="00000000" w:rsidP="00000000" w:rsidRDefault="00000000" w:rsidRPr="00000000" w14:paraId="000000AE">
      <w:pPr>
        <w:widowControl w:val="0"/>
        <w:spacing w:line="24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FUTENA</w:t>
      </w:r>
    </w:p>
    <w:p w:rsidR="00000000" w:rsidDel="00000000" w:rsidP="00000000" w:rsidRDefault="00000000" w:rsidRPr="00000000" w14:paraId="000000A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ab/>
        <w:tab/>
        <w:tab/>
        <w:t xml:space="preserve">                                                                   </w:t>
      </w:r>
      <w:r w:rsidDel="00000000" w:rsidR="00000000" w:rsidRPr="00000000">
        <w:rPr>
          <w:rtl w:val="0"/>
        </w:rPr>
      </w:r>
    </w:p>
    <w:sectPr>
      <w:headerReference r:id="rId20" w:type="default"/>
      <w:headerReference r:id="rId21" w:type="first"/>
      <w:footerReference r:id="rId22"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A/HRC/53/5.</w:t>
      </w:r>
    </w:p>
  </w:footnote>
  <w:footnote w:id="1">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párrs. 12, 32, 202, 203 y 210.</w:t>
      </w:r>
      <w:r w:rsidDel="00000000" w:rsidR="00000000" w:rsidRPr="00000000">
        <w:rPr>
          <w:rtl w:val="0"/>
        </w:rPr>
      </w:r>
    </w:p>
  </w:footnote>
  <w:footnote w:id="2">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CEDAW/C/ARG/CO/7/Add.1, párr. 3.</w:t>
      </w:r>
      <w:r w:rsidDel="00000000" w:rsidR="00000000" w:rsidRPr="00000000">
        <w:rPr>
          <w:rtl w:val="0"/>
        </w:rPr>
      </w:r>
    </w:p>
  </w:footnote>
  <w:footnote w:id="3">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On 27 August 2024, the Minister of Justice of the Nation was summoned by the Women and Diversity Committee of the Chamber of Deputies to provide information on how issues of violence are being addressed following the closure of the Undersecretariat for Protection against Gender-Based Violence, which was under his authority. In </w:t>
      </w:r>
      <w:hyperlink r:id="rId1">
        <w:r w:rsidDel="00000000" w:rsidR="00000000" w:rsidRPr="00000000">
          <w:rPr>
            <w:rFonts w:ascii="Times New Roman" w:cs="Times New Roman" w:eastAsia="Times New Roman" w:hAnsi="Times New Roman"/>
            <w:color w:val="1155cc"/>
            <w:sz w:val="20"/>
            <w:szCs w:val="20"/>
            <w:u w:val="single"/>
            <w:rtl w:val="0"/>
          </w:rPr>
          <w:t xml:space="preserve">his remarks</w:t>
        </w:r>
      </w:hyperlink>
      <w:r w:rsidDel="00000000" w:rsidR="00000000" w:rsidRPr="00000000">
        <w:rPr>
          <w:rFonts w:ascii="Times New Roman" w:cs="Times New Roman" w:eastAsia="Times New Roman" w:hAnsi="Times New Roman"/>
          <w:sz w:val="20"/>
          <w:szCs w:val="20"/>
          <w:rtl w:val="0"/>
        </w:rPr>
        <w:t xml:space="preserve">, the official defended the dismantling of the institutional structure and stated that, for the government “reject diversity and sexual identity that do not align with biology”. See </w:t>
      </w:r>
      <w:hyperlink r:id="rId2">
        <w:r w:rsidDel="00000000" w:rsidR="00000000" w:rsidRPr="00000000">
          <w:rPr>
            <w:rFonts w:ascii="Times New Roman" w:cs="Times New Roman" w:eastAsia="Times New Roman" w:hAnsi="Times New Roman"/>
            <w:color w:val="1155cc"/>
            <w:sz w:val="20"/>
            <w:szCs w:val="20"/>
            <w:u w:val="single"/>
            <w:rtl w:val="0"/>
          </w:rPr>
          <w:t xml:space="preserve">www.clarin.com/sociedad/ahora-gobierno-dice-politicas-genero-excusas_0_NaIzCSNO9W.html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https://ela.org.ar/publicaciones-documentos/libradas-a-su-suerte-actualizacion-noviembre-2024/</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https://ela.org.ar/publicaciones-documentos/mas-alla-de-los-numeros-el-impacto-del-desmantelamiento-de-las-politicas-de-genero-en-argentina-2023-2025/</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
        <w:r w:rsidDel="00000000" w:rsidR="00000000" w:rsidRPr="00000000">
          <w:rPr>
            <w:rFonts w:ascii="Times New Roman" w:cs="Times New Roman" w:eastAsia="Times New Roman" w:hAnsi="Times New Roman"/>
            <w:color w:val="1155cc"/>
            <w:sz w:val="20"/>
            <w:szCs w:val="20"/>
            <w:u w:val="single"/>
            <w:rtl w:val="0"/>
          </w:rPr>
          <w:t xml:space="preserve">https://www.letrap.com.ar/generos/la-libertad-retrocede-la-era-javier-milei-la-mayoria-las-provincias-degrado-sus-areas-genero-n5408962</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8">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CEDAW/C/ARG/CO/7, párr. 20(c). </w:t>
      </w:r>
      <w:r w:rsidDel="00000000" w:rsidR="00000000" w:rsidRPr="00000000">
        <w:rPr>
          <w:rtl w:val="0"/>
        </w:rPr>
      </w:r>
    </w:p>
  </w:footnote>
  <w:footnote w:id="9">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
        <w:r w:rsidDel="00000000" w:rsidR="00000000" w:rsidRPr="00000000">
          <w:rPr>
            <w:rFonts w:ascii="Times New Roman" w:cs="Times New Roman" w:eastAsia="Times New Roman" w:hAnsi="Times New Roman"/>
            <w:color w:val="1155cc"/>
            <w:sz w:val="20"/>
            <w:szCs w:val="20"/>
            <w:u w:val="single"/>
            <w:rtl w:val="0"/>
          </w:rPr>
          <w:t xml:space="preserve">https://ela.org.ar/wp-content/uploads/2025/02/Retrocesos-en-la-inclusion_-doble-desafio-para-las-mujeres-con-discapacidad.pdf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0">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7">
        <w:r w:rsidDel="00000000" w:rsidR="00000000" w:rsidRPr="00000000">
          <w:rPr>
            <w:rFonts w:ascii="Times New Roman" w:cs="Times New Roman" w:eastAsia="Times New Roman" w:hAnsi="Times New Roman"/>
            <w:color w:val="1155cc"/>
            <w:sz w:val="20"/>
            <w:szCs w:val="20"/>
            <w:u w:val="single"/>
            <w:rtl w:val="0"/>
          </w:rPr>
          <w:t xml:space="preserve">https://ela.org.ar/wp-content/uploads/2024/07/Gacetilla-de-prensa-Presentacion-judicial-contra-el-Poder-Ejecutivo-por-el-incumplimiento-de-leyes-y-tratados-internacionales-en-materia-de-genero.pdf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2">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information listed below uses the following reports as its sources </w:t>
      </w:r>
      <w:hyperlink r:id="rId8">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https://ela.org.ar/publicaciones-documentos/libradas-a-su-suerte-actualizacion-noviembre-2024/</w:t>
        </w:r>
      </w:hyperlink>
      <w:r w:rsidDel="00000000" w:rsidR="00000000" w:rsidRPr="00000000">
        <w:rPr>
          <w:rFonts w:ascii="Times New Roman" w:cs="Times New Roman" w:eastAsia="Times New Roman" w:hAnsi="Times New Roman"/>
          <w:sz w:val="20"/>
          <w:szCs w:val="20"/>
          <w:rtl w:val="0"/>
        </w:rPr>
        <w:t xml:space="preserve">, </w:t>
      </w:r>
      <w:hyperlink r:id="rId9">
        <w:r w:rsidDel="00000000" w:rsidR="00000000" w:rsidRPr="00000000">
          <w:rPr>
            <w:rFonts w:ascii="Times New Roman" w:cs="Times New Roman" w:eastAsia="Times New Roman" w:hAnsi="Times New Roman"/>
            <w:color w:val="1155cc"/>
            <w:sz w:val="20"/>
            <w:szCs w:val="20"/>
            <w:u w:val="single"/>
            <w:rtl w:val="0"/>
          </w:rPr>
          <w:t xml:space="preserve">https://ela.org.ar/wp-content/uploads/2025/11/Politicas-nacionales-de-abordaje-a-las-violencias-noviembre-2025-1.pdf</w:t>
        </w:r>
      </w:hyperlink>
      <w:r w:rsidDel="00000000" w:rsidR="00000000" w:rsidRPr="00000000">
        <w:rPr>
          <w:rFonts w:ascii="Times New Roman" w:cs="Times New Roman" w:eastAsia="Times New Roman" w:hAnsi="Times New Roman"/>
          <w:sz w:val="20"/>
          <w:szCs w:val="20"/>
          <w:highlight w:val="white"/>
          <w:rtl w:val="0"/>
        </w:rPr>
        <w:t xml:space="preserve">; </w:t>
      </w:r>
      <w:hyperlink r:id="rId10">
        <w:r w:rsidDel="00000000" w:rsidR="00000000" w:rsidRPr="00000000">
          <w:rPr>
            <w:rFonts w:ascii="Times New Roman" w:cs="Times New Roman" w:eastAsia="Times New Roman" w:hAnsi="Times New Roman"/>
            <w:color w:val="1155cc"/>
            <w:sz w:val="20"/>
            <w:szCs w:val="20"/>
            <w:highlight w:val="white"/>
            <w:u w:val="single"/>
            <w:rtl w:val="0"/>
          </w:rPr>
          <w:t xml:space="preserve">https://ela.org.ar/wp-content/uploads/2025/12/Cronologia-del-derrumbre_ELA-2025.pdf</w:t>
        </w:r>
      </w:hyperlink>
      <w:r w:rsidDel="00000000" w:rsidR="00000000" w:rsidRPr="00000000">
        <w:rPr>
          <w:rFonts w:ascii="Times New Roman" w:cs="Times New Roman" w:eastAsia="Times New Roman" w:hAnsi="Times New Roman"/>
          <w:sz w:val="20"/>
          <w:szCs w:val="20"/>
          <w:highlight w:val="white"/>
          <w:rtl w:val="0"/>
        </w:rPr>
        <w:t xml:space="preserve"> </w:t>
      </w:r>
      <w:r w:rsidDel="00000000" w:rsidR="00000000" w:rsidRPr="00000000">
        <w:rPr>
          <w:rtl w:val="0"/>
        </w:rPr>
      </w:r>
    </w:p>
  </w:footnote>
  <w:footnote w:id="13">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1">
        <w:r w:rsidDel="00000000" w:rsidR="00000000" w:rsidRPr="00000000">
          <w:rPr>
            <w:rFonts w:ascii="Times New Roman" w:cs="Times New Roman" w:eastAsia="Times New Roman" w:hAnsi="Times New Roman"/>
            <w:color w:val="1155cc"/>
            <w:sz w:val="20"/>
            <w:szCs w:val="20"/>
            <w:u w:val="single"/>
            <w:rtl w:val="0"/>
          </w:rPr>
          <w:t xml:space="preserve">https://ela.org.ar/wp-content/uploads/2023/06/5.-Es-por-aca.pdf.pdf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4">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changes to the Program left all applications pending approval prior to </w:t>
      </w:r>
      <w:hyperlink r:id="rId12">
        <w:r w:rsidDel="00000000" w:rsidR="00000000" w:rsidRPr="00000000">
          <w:rPr>
            <w:rFonts w:ascii="Times New Roman" w:cs="Times New Roman" w:eastAsia="Times New Roman" w:hAnsi="Times New Roman"/>
            <w:color w:val="1155cc"/>
            <w:sz w:val="20"/>
            <w:szCs w:val="20"/>
            <w:u w:val="single"/>
            <w:rtl w:val="0"/>
          </w:rPr>
          <w:t xml:space="preserve">Decree 755/2024</w:t>
        </w:r>
      </w:hyperlink>
      <w:r w:rsidDel="00000000" w:rsidR="00000000" w:rsidRPr="00000000">
        <w:rPr>
          <w:rFonts w:ascii="Times New Roman" w:cs="Times New Roman" w:eastAsia="Times New Roman" w:hAnsi="Times New Roman"/>
          <w:sz w:val="20"/>
          <w:szCs w:val="20"/>
          <w:rtl w:val="0"/>
        </w:rPr>
        <w:t xml:space="preserve"> in a state of complete uncertainty. Through </w:t>
      </w:r>
      <w:hyperlink r:id="rId13">
        <w:r w:rsidDel="00000000" w:rsidR="00000000" w:rsidRPr="00000000">
          <w:rPr>
            <w:rFonts w:ascii="Times New Roman" w:cs="Times New Roman" w:eastAsia="Times New Roman" w:hAnsi="Times New Roman"/>
            <w:color w:val="1155cc"/>
            <w:sz w:val="20"/>
            <w:szCs w:val="20"/>
            <w:u w:val="single"/>
            <w:rtl w:val="0"/>
          </w:rPr>
          <w:t xml:space="preserve">Resolution 401/2025</w:t>
        </w:r>
      </w:hyperlink>
      <w:r w:rsidDel="00000000" w:rsidR="00000000" w:rsidRPr="00000000">
        <w:rPr>
          <w:rFonts w:ascii="Times New Roman" w:cs="Times New Roman" w:eastAsia="Times New Roman" w:hAnsi="Times New Roman"/>
          <w:sz w:val="20"/>
          <w:szCs w:val="20"/>
          <w:rtl w:val="0"/>
        </w:rPr>
        <w:t xml:space="preserve">, the Government called for the review of more than 80,000 applications. </w:t>
      </w:r>
      <w:r w:rsidDel="00000000" w:rsidR="00000000" w:rsidRPr="00000000">
        <w:rPr>
          <w:rtl w:val="0"/>
        </w:rPr>
      </w:r>
    </w:p>
  </w:footnote>
  <w:footnote w:id="15">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4">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https://www.boletinoficial.gob.ar/detalleAviso/primera/328414/20250716</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7">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5">
        <w:r w:rsidDel="00000000" w:rsidR="00000000" w:rsidRPr="00000000">
          <w:rPr>
            <w:rFonts w:ascii="Times New Roman" w:cs="Times New Roman" w:eastAsia="Times New Roman" w:hAnsi="Times New Roman"/>
            <w:color w:val="1155cc"/>
            <w:sz w:val="20"/>
            <w:szCs w:val="20"/>
            <w:u w:val="single"/>
            <w:rtl w:val="0"/>
          </w:rPr>
          <w:t xml:space="preserve">https://amnistia.org.ar/wp-content/uploads/delightful-downloads/2024/11/Pedido-de-informaci%C3%B3n-p%C3%BAblica-al-Ministerio-de-Justicia-de-Naci%C3%B3n.pdf?utm_source=perfit&amp;utm_medium=emai%20l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9">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6">
        <w:r w:rsidDel="00000000" w:rsidR="00000000" w:rsidRPr="00000000">
          <w:rPr>
            <w:rFonts w:ascii="Times New Roman" w:cs="Times New Roman" w:eastAsia="Times New Roman" w:hAnsi="Times New Roman"/>
            <w:color w:val="1155cc"/>
            <w:sz w:val="20"/>
            <w:szCs w:val="20"/>
            <w:u w:val="single"/>
            <w:rtl w:val="0"/>
          </w:rPr>
          <w:t xml:space="preserve">https://www.argentina.gob.ar/sites/default/files/2020/12/libro_informe_de_gestion_2023-hoja_por_hoja-v4.pdf</w:t>
        </w:r>
      </w:hyperlink>
      <w:r w:rsidDel="00000000" w:rsidR="00000000" w:rsidRPr="00000000">
        <w:rPr>
          <w:rFonts w:ascii="Times New Roman" w:cs="Times New Roman" w:eastAsia="Times New Roman" w:hAnsi="Times New Roman"/>
          <w:sz w:val="20"/>
          <w:szCs w:val="20"/>
          <w:rtl w:val="0"/>
        </w:rPr>
        <w:t xml:space="preserve"> </w:t>
      </w:r>
    </w:p>
  </w:footnote>
  <w:footnote w:id="20">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7">
        <w:r w:rsidDel="00000000" w:rsidR="00000000" w:rsidRPr="00000000">
          <w:rPr>
            <w:rFonts w:ascii="Times New Roman" w:cs="Times New Roman" w:eastAsia="Times New Roman" w:hAnsi="Times New Roman"/>
            <w:color w:val="1155cc"/>
            <w:sz w:val="20"/>
            <w:szCs w:val="20"/>
            <w:u w:val="single"/>
            <w:rtl w:val="0"/>
          </w:rPr>
          <w:t xml:space="preserve">https://servicios.infoleg.gob.ar/infolegInternet/verNorma.do?id=401266</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1">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8">
        <w:r w:rsidDel="00000000" w:rsidR="00000000" w:rsidRPr="00000000">
          <w:rPr>
            <w:rFonts w:ascii="Times New Roman" w:cs="Times New Roman" w:eastAsia="Times New Roman" w:hAnsi="Times New Roman"/>
            <w:color w:val="1155cc"/>
            <w:sz w:val="20"/>
            <w:szCs w:val="20"/>
            <w:u w:val="single"/>
            <w:rtl w:val="0"/>
          </w:rPr>
          <w:t xml:space="preserve">https://ela.org.ar/wp-content/uploads/2024/01/Ley-Omnibus-Ley-Micaela_ELA.pdf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2">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According to data published by SENAF, as of December 2023 a total of 1,298 children and adolescents were covered, including retroactive benefits, of which 270 correspond to the year 2023.</w:t>
      </w:r>
      <w:r w:rsidDel="00000000" w:rsidR="00000000" w:rsidRPr="00000000">
        <w:rPr>
          <w:rtl w:val="0"/>
        </w:rPr>
      </w:r>
    </w:p>
  </w:footnote>
  <w:footnote w:id="23">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EX-2025-106141020- -APN-DNPAIP#AAIP, response dated 15 September 2025.</w:t>
      </w:r>
      <w:r w:rsidDel="00000000" w:rsidR="00000000" w:rsidRPr="00000000">
        <w:rPr>
          <w:rtl w:val="0"/>
        </w:rPr>
      </w:r>
    </w:p>
  </w:footnote>
  <w:footnote w:id="24">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19">
        <w:r w:rsidDel="00000000" w:rsidR="00000000" w:rsidRPr="00000000">
          <w:rPr>
            <w:rFonts w:ascii="Times New Roman" w:cs="Times New Roman" w:eastAsia="Times New Roman" w:hAnsi="Times New Roman"/>
            <w:color w:val="1155cc"/>
            <w:sz w:val="20"/>
            <w:szCs w:val="20"/>
            <w:u w:val="single"/>
            <w:rtl w:val="0"/>
          </w:rPr>
          <w:t xml:space="preserve">https://www.instagram.com/p/DLkG908OTz4/</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6">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0">
        <w:r w:rsidDel="00000000" w:rsidR="00000000" w:rsidRPr="00000000">
          <w:rPr>
            <w:rFonts w:ascii="Times New Roman" w:cs="Times New Roman" w:eastAsia="Times New Roman" w:hAnsi="Times New Roman"/>
            <w:color w:val="1155cc"/>
            <w:sz w:val="20"/>
            <w:szCs w:val="20"/>
            <w:u w:val="single"/>
            <w:rtl w:val="0"/>
          </w:rPr>
          <w:t xml:space="preserve">https://acij.org.ar/wp-content/uploads/2022/02/ACIJ-CELS-INECIP-_Investigacion-CAJ_RESUMEN-ESPANOL.pdf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7">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Information provided in the judicial case initiated by ELA and other civil society organizations.</w:t>
      </w:r>
      <w:r w:rsidDel="00000000" w:rsidR="00000000" w:rsidRPr="00000000">
        <w:rPr>
          <w:rtl w:val="0"/>
        </w:rPr>
      </w:r>
    </w:p>
  </w:footnote>
  <w:footnote w:id="28">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1">
        <w:r w:rsidDel="00000000" w:rsidR="00000000" w:rsidRPr="00000000">
          <w:rPr>
            <w:rFonts w:ascii="Times New Roman" w:cs="Times New Roman" w:eastAsia="Times New Roman" w:hAnsi="Times New Roman"/>
            <w:color w:val="1155cc"/>
            <w:sz w:val="20"/>
            <w:szCs w:val="20"/>
            <w:u w:val="single"/>
            <w:rtl w:val="0"/>
          </w:rPr>
          <w:t xml:space="preserve">https://www.argentina.gob.ar/justicia/afianzar/caj/listado</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9">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2">
        <w:r w:rsidDel="00000000" w:rsidR="00000000" w:rsidRPr="00000000">
          <w:rPr>
            <w:rFonts w:ascii="Times New Roman" w:cs="Times New Roman" w:eastAsia="Times New Roman" w:hAnsi="Times New Roman"/>
            <w:color w:val="1155cc"/>
            <w:sz w:val="20"/>
            <w:szCs w:val="20"/>
            <w:u w:val="single"/>
            <w:rtl w:val="0"/>
          </w:rPr>
          <w:t xml:space="preserve">https://www.argentina.gob.ar/generos/mapa-federal-de-experiencias-con-varones-y-masculinidades-en-argentina</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0">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3">
        <w:r w:rsidDel="00000000" w:rsidR="00000000" w:rsidRPr="00000000">
          <w:rPr>
            <w:rFonts w:ascii="Times New Roman" w:cs="Times New Roman" w:eastAsia="Times New Roman" w:hAnsi="Times New Roman"/>
            <w:color w:val="1155cc"/>
            <w:sz w:val="20"/>
            <w:szCs w:val="20"/>
            <w:u w:val="single"/>
            <w:rtl w:val="0"/>
          </w:rPr>
          <w:t xml:space="preserve">Informe de la Sesión Informativa 140 ante la Cámara de Diputados, respuesta a la pregunta nro. 295.</w:t>
        </w:r>
      </w:hyperlink>
      <w:r w:rsidDel="00000000" w:rsidR="00000000" w:rsidRPr="00000000">
        <w:rPr>
          <w:rtl w:val="0"/>
        </w:rPr>
      </w:r>
    </w:p>
  </w:footnote>
  <w:footnote w:id="32">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4">
        <w:r w:rsidDel="00000000" w:rsidR="00000000" w:rsidRPr="00000000">
          <w:rPr>
            <w:rFonts w:ascii="Times New Roman" w:cs="Times New Roman" w:eastAsia="Times New Roman" w:hAnsi="Times New Roman"/>
            <w:color w:val="1155cc"/>
            <w:sz w:val="20"/>
            <w:szCs w:val="20"/>
            <w:u w:val="single"/>
            <w:rtl w:val="0"/>
          </w:rPr>
          <w:t xml:space="preserve">https://ela.org.ar/wp-content/uploads/2023/12/2023-Cadenas-invisibles.pdf</w:t>
        </w:r>
      </w:hyperlink>
      <w:r w:rsidDel="00000000" w:rsidR="00000000" w:rsidRPr="00000000">
        <w:rPr>
          <w:rFonts w:ascii="Times New Roman" w:cs="Times New Roman" w:eastAsia="Times New Roman" w:hAnsi="Times New Roman"/>
          <w:sz w:val="20"/>
          <w:szCs w:val="20"/>
          <w:rtl w:val="0"/>
        </w:rPr>
        <w:t xml:space="preserve">, </w:t>
      </w:r>
      <w:hyperlink r:id="rId25">
        <w:r w:rsidDel="00000000" w:rsidR="00000000" w:rsidRPr="00000000">
          <w:rPr>
            <w:rFonts w:ascii="Times New Roman" w:cs="Times New Roman" w:eastAsia="Times New Roman" w:hAnsi="Times New Roman"/>
            <w:color w:val="1155cc"/>
            <w:sz w:val="20"/>
            <w:szCs w:val="20"/>
            <w:u w:val="single"/>
            <w:rtl w:val="0"/>
          </w:rPr>
          <w:t xml:space="preserve">https://ela.org.ar/wp-content/uploads/2024/03/Documento-Numeros-en-rojo.pdf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3">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CEDAW/C/ARG/CO/7, párr. 12(a), (e).</w:t>
      </w:r>
      <w:r w:rsidDel="00000000" w:rsidR="00000000" w:rsidRPr="00000000">
        <w:rPr>
          <w:rtl w:val="0"/>
        </w:rPr>
      </w:r>
    </w:p>
  </w:footnote>
  <w:footnote w:id="34">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6">
        <w:r w:rsidDel="00000000" w:rsidR="00000000" w:rsidRPr="00000000">
          <w:rPr>
            <w:rFonts w:ascii="Times New Roman" w:cs="Times New Roman" w:eastAsia="Times New Roman" w:hAnsi="Times New Roman"/>
            <w:color w:val="1155cc"/>
            <w:sz w:val="20"/>
            <w:szCs w:val="20"/>
            <w:u w:val="single"/>
            <w:rtl w:val="0"/>
          </w:rPr>
          <w:t xml:space="preserve">https://www.senado.gob.ar/prensa/22319/noticias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5">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7">
        <w:r w:rsidDel="00000000" w:rsidR="00000000" w:rsidRPr="00000000">
          <w:rPr>
            <w:rFonts w:ascii="Times New Roman" w:cs="Times New Roman" w:eastAsia="Times New Roman" w:hAnsi="Times New Roman"/>
            <w:color w:val="1155cc"/>
            <w:sz w:val="20"/>
            <w:szCs w:val="20"/>
            <w:u w:val="single"/>
            <w:rtl w:val="0"/>
          </w:rPr>
          <w:t xml:space="preserve">https://www.senado.gob.ar/prensa/22319/noticias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6">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8">
        <w:r w:rsidDel="00000000" w:rsidR="00000000" w:rsidRPr="00000000">
          <w:rPr>
            <w:rFonts w:ascii="Times New Roman" w:cs="Times New Roman" w:eastAsia="Times New Roman" w:hAnsi="Times New Roman"/>
            <w:color w:val="1155cc"/>
            <w:sz w:val="20"/>
            <w:szCs w:val="20"/>
            <w:u w:val="single"/>
            <w:rtl w:val="0"/>
          </w:rPr>
          <w:t xml:space="preserve">https://www.perfil.com/noticias/bravotv/patricia-bullrich-culpo-al-feminismo-por-la-ola-de-femicidios-y-desato-el-repudio-de-organizaciones-de-mujeres.phtml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7">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9">
        <w:r w:rsidDel="00000000" w:rsidR="00000000" w:rsidRPr="00000000">
          <w:rPr>
            <w:rFonts w:ascii="Times New Roman" w:cs="Times New Roman" w:eastAsia="Times New Roman" w:hAnsi="Times New Roman"/>
            <w:color w:val="1155cc"/>
            <w:sz w:val="20"/>
            <w:szCs w:val="20"/>
            <w:u w:val="single"/>
            <w:rtl w:val="0"/>
          </w:rPr>
          <w:t xml:space="preserve">https://www.argentina.gob.ar/generos/encuesta-de-prevalencia-de-violencia-contra-las-mujeres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8">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0">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https://ela.org.ar/publicaciones-documentos/percepcion-e-incidencia-de-la-violencia-contra-las-mujeres-ciudad-de-buenos-aires-ano-2023/</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39">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1">
        <w:r w:rsidDel="00000000" w:rsidR="00000000" w:rsidRPr="00000000">
          <w:rPr>
            <w:rFonts w:ascii="Times New Roman" w:cs="Times New Roman" w:eastAsia="Times New Roman" w:hAnsi="Times New Roman"/>
            <w:color w:val="1155cc"/>
            <w:sz w:val="20"/>
            <w:szCs w:val="20"/>
            <w:u w:val="single"/>
            <w:rtl w:val="0"/>
          </w:rPr>
          <w:t xml:space="preserve">https://www.csjn.gov.ar/omrecopilacion/omfemicidio/homefemicidio.html?_gl=1*1r2izfw*_ga*MTUxMTkwOTkxOC4xNzY0OTUyMjIy*_ga_EFYJ5G9K5T*czE3NjQ5NTIyMjIkbzEkZzEkdDE3NjQ5NTIyMzEkajUxJGwwJGgw</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0">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2">
        <w:r w:rsidDel="00000000" w:rsidR="00000000" w:rsidRPr="00000000">
          <w:rPr>
            <w:rFonts w:ascii="Times New Roman" w:cs="Times New Roman" w:eastAsia="Times New Roman" w:hAnsi="Times New Roman"/>
            <w:color w:val="1155cc"/>
            <w:sz w:val="20"/>
            <w:szCs w:val="20"/>
            <w:u w:val="single"/>
            <w:rtl w:val="0"/>
          </w:rPr>
          <w:t xml:space="preserve">https://www.mpf.gob.ar/ufem/files/2023/05/Informe_Relevamiento-de-fuentes-secundarias-de-datos-sobre-violencia-sexual.pdf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2">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3">
        <w:r w:rsidDel="00000000" w:rsidR="00000000" w:rsidRPr="00000000">
          <w:rPr>
            <w:rFonts w:ascii="Times New Roman" w:cs="Times New Roman" w:eastAsia="Times New Roman" w:hAnsi="Times New Roman"/>
            <w:color w:val="1155cc"/>
            <w:sz w:val="20"/>
            <w:szCs w:val="20"/>
            <w:u w:val="single"/>
            <w:rtl w:val="0"/>
          </w:rPr>
          <w:t xml:space="preserve">https://om.csjn.gob.ar/consultaTalleresWeb/public/documentoConsulta/verDocumentoById?idDocumento=169</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3">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4">
        <w:r w:rsidDel="00000000" w:rsidR="00000000" w:rsidRPr="00000000">
          <w:rPr>
            <w:rFonts w:ascii="Times New Roman" w:cs="Times New Roman" w:eastAsia="Times New Roman" w:hAnsi="Times New Roman"/>
            <w:color w:val="1155cc"/>
            <w:sz w:val="20"/>
            <w:szCs w:val="20"/>
            <w:u w:val="single"/>
            <w:rtl w:val="0"/>
          </w:rPr>
          <w:t xml:space="preserve">https://om.csjn.gob.ar/consultaTalleresWeb/public/documentoConsulta/verDocumentoById?idDocumento=240</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4">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5">
        <w:r w:rsidDel="00000000" w:rsidR="00000000" w:rsidRPr="00000000">
          <w:rPr>
            <w:rFonts w:ascii="Times New Roman" w:cs="Times New Roman" w:eastAsia="Times New Roman" w:hAnsi="Times New Roman"/>
            <w:color w:val="1155cc"/>
            <w:sz w:val="20"/>
            <w:szCs w:val="20"/>
            <w:u w:val="single"/>
            <w:rtl w:val="0"/>
          </w:rPr>
          <w:t xml:space="preserve">https://om.csjn.gob.ar/consultaTalleresWeb/public/documentoConsulta/verDocumentoById?idDocumento=333</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6">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6">
        <w:r w:rsidDel="00000000" w:rsidR="00000000" w:rsidRPr="00000000">
          <w:rPr>
            <w:rFonts w:ascii="Times New Roman" w:cs="Times New Roman" w:eastAsia="Times New Roman" w:hAnsi="Times New Roman"/>
            <w:color w:val="1155cc"/>
            <w:sz w:val="20"/>
            <w:szCs w:val="20"/>
            <w:u w:val="single"/>
            <w:rtl w:val="0"/>
          </w:rPr>
          <w:t xml:space="preserve">https://www.fiscales.gob.ar/wp-content/uploads/2024/11/UFEM-Femicidios-no-intimos-en-Argentina.pdf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7">
    <w:p w:rsidR="00000000" w:rsidDel="00000000" w:rsidP="00000000" w:rsidRDefault="00000000" w:rsidRPr="00000000" w14:paraId="000000D7">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Sources used: Integrated System of Cases of Gender-Based Violence (SICVG) – 2023 Statistical Report, prepared by the Technical Directorate of Registers and Databases of the former Ministry of Women, Genders and Diversity of the Nation; and the records and publications of the OM–CSJN: </w:t>
      </w:r>
      <w:r w:rsidDel="00000000" w:rsidR="00000000" w:rsidRPr="00000000">
        <w:rPr>
          <w:rFonts w:ascii="Times New Roman" w:cs="Times New Roman" w:eastAsia="Times New Roman" w:hAnsi="Times New Roman"/>
          <w:i w:val="1"/>
          <w:iCs w:val="1"/>
          <w:sz w:val="20"/>
          <w:szCs w:val="20"/>
          <w:rtl w:val="0"/>
        </w:rPr>
        <w:t xml:space="preserve">Direct Femicides – Evolution of Direct Femicides by Jurisdiction (2017–2024)</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iCs w:val="1"/>
          <w:sz w:val="20"/>
          <w:szCs w:val="20"/>
          <w:rtl w:val="0"/>
        </w:rPr>
        <w:t xml:space="preserve">National Registry of Femicides of the Argentine Justice System</w:t>
      </w:r>
      <w:r w:rsidDel="00000000" w:rsidR="00000000" w:rsidRPr="00000000">
        <w:rPr>
          <w:rFonts w:ascii="Times New Roman" w:cs="Times New Roman" w:eastAsia="Times New Roman" w:hAnsi="Times New Roman"/>
          <w:sz w:val="20"/>
          <w:szCs w:val="20"/>
          <w:rtl w:val="0"/>
        </w:rPr>
        <w:t xml:space="preserve"> (2022, 2023 and 2024 editions), </w:t>
      </w:r>
      <w:r w:rsidDel="00000000" w:rsidR="00000000" w:rsidRPr="00000000">
        <w:rPr>
          <w:rFonts w:ascii="Times New Roman" w:cs="Times New Roman" w:eastAsia="Times New Roman" w:hAnsi="Times New Roman"/>
          <w:i w:val="1"/>
          <w:iCs w:val="1"/>
          <w:sz w:val="20"/>
          <w:szCs w:val="20"/>
          <w:rtl w:val="0"/>
        </w:rPr>
        <w:t xml:space="preserve">Monitoring Indicators on Femicides for the Spotlight Initiative</w:t>
      </w:r>
      <w:r w:rsidDel="00000000" w:rsidR="00000000" w:rsidRPr="00000000">
        <w:rPr>
          <w:rFonts w:ascii="Times New Roman" w:cs="Times New Roman" w:eastAsia="Times New Roman" w:hAnsi="Times New Roman"/>
          <w:sz w:val="20"/>
          <w:szCs w:val="20"/>
          <w:rtl w:val="0"/>
        </w:rPr>
        <w:t xml:space="preserve"> (2022, with 2021 data), </w:t>
      </w:r>
      <w:r w:rsidDel="00000000" w:rsidR="00000000" w:rsidRPr="00000000">
        <w:rPr>
          <w:rFonts w:ascii="Times New Roman" w:cs="Times New Roman" w:eastAsia="Times New Roman" w:hAnsi="Times New Roman"/>
          <w:i w:val="1"/>
          <w:iCs w:val="1"/>
          <w:sz w:val="20"/>
          <w:szCs w:val="20"/>
          <w:rtl w:val="0"/>
        </w:rPr>
        <w:t xml:space="preserve">Technical Sheet of the National Registry of Femicides</w:t>
      </w:r>
      <w:r w:rsidDel="00000000" w:rsidR="00000000" w:rsidRPr="00000000">
        <w:rPr>
          <w:rFonts w:ascii="Times New Roman" w:cs="Times New Roman" w:eastAsia="Times New Roman" w:hAnsi="Times New Roman"/>
          <w:sz w:val="20"/>
          <w:szCs w:val="20"/>
          <w:rtl w:val="0"/>
        </w:rPr>
        <w:t xml:space="preserve"> (updated to December 2023), and the </w:t>
      </w:r>
      <w:r w:rsidDel="00000000" w:rsidR="00000000" w:rsidRPr="00000000">
        <w:rPr>
          <w:rFonts w:ascii="Times New Roman" w:cs="Times New Roman" w:eastAsia="Times New Roman" w:hAnsi="Times New Roman"/>
          <w:i w:val="1"/>
          <w:iCs w:val="1"/>
          <w:sz w:val="20"/>
          <w:szCs w:val="20"/>
          <w:rtl w:val="0"/>
        </w:rPr>
        <w:t xml:space="preserve">Observatory for Monitoring Judicial Proceedings and Judgments on Direct Femicides – Infographics and Jurisdictional Databases (RNFJA 2017–2022, updated to June 2024)</w:t>
      </w:r>
      <w:r w:rsidDel="00000000" w:rsidR="00000000" w:rsidRPr="00000000">
        <w:rPr>
          <w:rFonts w:ascii="Times New Roman" w:cs="Times New Roman" w:eastAsia="Times New Roman" w:hAnsi="Times New Roman"/>
          <w:sz w:val="20"/>
          <w:szCs w:val="20"/>
          <w:rtl w:val="0"/>
        </w:rPr>
        <w:t xml:space="preserve">.</w:t>
      </w:r>
    </w:p>
  </w:footnote>
  <w:footnote w:id="48">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7">
        <w:r w:rsidDel="00000000" w:rsidR="00000000" w:rsidRPr="00000000">
          <w:rPr>
            <w:rFonts w:ascii="Times New Roman" w:cs="Times New Roman" w:eastAsia="Times New Roman" w:hAnsi="Times New Roman"/>
            <w:color w:val="1155cc"/>
            <w:sz w:val="20"/>
            <w:szCs w:val="20"/>
            <w:u w:val="single"/>
            <w:rtl w:val="0"/>
          </w:rPr>
          <w:t xml:space="preserve">https://inecip.org/publicaciones/cuando-el-macho-dispara-armas-de-fuego-y-violencias-de-genero-en-argentina/</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9">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8">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https://www.boletinoficial.gob.ar/detalleAviso/primera/327658/20250701</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0">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39">
        <w:r w:rsidDel="00000000" w:rsidR="00000000" w:rsidRPr="00000000">
          <w:rPr>
            <w:rFonts w:ascii="Times New Roman" w:cs="Times New Roman" w:eastAsia="Times New Roman" w:hAnsi="Times New Roman"/>
            <w:color w:val="1155cc"/>
            <w:sz w:val="20"/>
            <w:szCs w:val="20"/>
            <w:highlight w:val="white"/>
            <w:u w:val="single"/>
            <w:rtl w:val="0"/>
          </w:rPr>
          <w:t xml:space="preserve">https://inecip.org/prensa/comunicados/un-retroceso-de-medio-siglo-milei-elimina-por-decreto-la-agencia-de-control-de-armas-en-argentina/</w:t>
        </w:r>
      </w:hyperlink>
      <w:r w:rsidDel="00000000" w:rsidR="00000000" w:rsidRPr="00000000">
        <w:rPr>
          <w:rFonts w:ascii="Times New Roman" w:cs="Times New Roman" w:eastAsia="Times New Roman" w:hAnsi="Times New Roman"/>
          <w:sz w:val="20"/>
          <w:szCs w:val="20"/>
          <w:highlight w:val="white"/>
          <w:rtl w:val="0"/>
        </w:rPr>
        <w:t xml:space="preserve"> </w:t>
      </w:r>
    </w:p>
  </w:footnote>
  <w:footnote w:id="54">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highlight w:val="whit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highlight w:val="white"/>
          <w:rtl w:val="0"/>
        </w:rPr>
        <w:t xml:space="preserve"> See footnote 39.</w:t>
      </w:r>
      <w:r w:rsidDel="00000000" w:rsidR="00000000" w:rsidRPr="00000000">
        <w:rPr>
          <w:rtl w:val="0"/>
        </w:rPr>
      </w:r>
    </w:p>
  </w:footnote>
  <w:footnote w:id="55">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0">
        <w:r w:rsidDel="00000000" w:rsidR="00000000" w:rsidRPr="00000000">
          <w:rPr>
            <w:rFonts w:ascii="Times New Roman" w:cs="Times New Roman" w:eastAsia="Times New Roman" w:hAnsi="Times New Roman"/>
            <w:color w:val="1155cc"/>
            <w:sz w:val="20"/>
            <w:szCs w:val="20"/>
            <w:u w:val="single"/>
            <w:rtl w:val="0"/>
          </w:rPr>
          <w:t xml:space="preserve">https://amnistia.org.ar/corazonesverdes/informe-corazones-verdes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6">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A/79/500.</w:t>
      </w:r>
      <w:r w:rsidDel="00000000" w:rsidR="00000000" w:rsidRPr="00000000">
        <w:rPr>
          <w:rtl w:val="0"/>
        </w:rPr>
      </w:r>
    </w:p>
  </w:footnote>
  <w:footnote w:id="57">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1">
        <w:r w:rsidDel="00000000" w:rsidR="00000000" w:rsidRPr="00000000">
          <w:rPr>
            <w:rFonts w:ascii="Times New Roman" w:cs="Times New Roman" w:eastAsia="Times New Roman" w:hAnsi="Times New Roman"/>
            <w:color w:val="1155cc"/>
            <w:sz w:val="20"/>
            <w:szCs w:val="20"/>
            <w:u w:val="single"/>
            <w:rtl w:val="0"/>
          </w:rPr>
          <w:t xml:space="preserve">https://plan.org.ec/wp-content/uploads/2017/03/Libres-Para-Estar-En-Linea.pdf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8">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2">
        <w:r w:rsidDel="00000000" w:rsidR="00000000" w:rsidRPr="00000000">
          <w:rPr>
            <w:rFonts w:ascii="Times New Roman" w:cs="Times New Roman" w:eastAsia="Times New Roman" w:hAnsi="Times New Roman"/>
            <w:color w:val="1155cc"/>
            <w:sz w:val="20"/>
            <w:szCs w:val="20"/>
            <w:u w:val="single"/>
            <w:rtl w:val="0"/>
          </w:rPr>
          <w:t xml:space="preserve">https://amnistia.org.ar/wp-content/uploads/delightful-downloads/2024/10/Muteadas_InformeCompleto.pdf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0">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para. 78. This system operated through a web application and a unified registry based on national identity documents, which allowed for case traceability, the recording of multiple perpetrators and the classification of incidents according to the types and modalities set out in Law No. 26,485.</w:t>
      </w:r>
    </w:p>
  </w:footnote>
  <w:footnote w:id="61">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 80.</w:t>
      </w:r>
    </w:p>
  </w:footnote>
  <w:footnote w:id="62">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 See footnote 39.</w:t>
      </w:r>
      <w:r w:rsidDel="00000000" w:rsidR="00000000" w:rsidRPr="00000000">
        <w:rPr>
          <w:rtl w:val="0"/>
        </w:rPr>
      </w:r>
    </w:p>
  </w:footnote>
  <w:footnote w:id="63">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3">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https://ela.org.ar/publicaciones-documentos/percepcion-e-incidencia-de-la-violencia-contra-las-mujeres-analisis-de-la-encuesta-sobre-la-situacion-de-las-mujeres-en-la-ciudad-de-buenos-aires/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4">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4">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https://ela.org.ar/publicaciones-documentos/percepcion-e-incidencia-de-la-violencia-contra-las-mujeres-analisis-de-la-encuesta-sobre-la-situacion-de-las-mujeres-en-la-ciudad-de-buenos-aires/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5">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5">
        <w:r w:rsidDel="00000000" w:rsidR="00000000" w:rsidRPr="00000000">
          <w:rPr>
            <w:rFonts w:ascii="Times New Roman" w:cs="Times New Roman" w:eastAsia="Times New Roman" w:hAnsi="Times New Roman"/>
            <w:color w:val="1155cc"/>
            <w:sz w:val="20"/>
            <w:szCs w:val="20"/>
            <w:u w:val="single"/>
            <w:rtl w:val="0"/>
          </w:rPr>
          <w:t xml:space="preserve">www.presupuestoabierto.gob.ar/sici/analisis-transversal-genero</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6">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6">
        <w:r w:rsidDel="00000000" w:rsidR="00000000" w:rsidRPr="00000000">
          <w:rPr>
            <w:rFonts w:ascii="Times New Roman" w:cs="Times New Roman" w:eastAsia="Times New Roman" w:hAnsi="Times New Roman"/>
            <w:color w:val="1155cc"/>
            <w:sz w:val="20"/>
            <w:szCs w:val="20"/>
            <w:u w:val="single"/>
            <w:rtl w:val="0"/>
          </w:rPr>
          <w:t xml:space="preserve">https://www.csjn.gov.ar/novedades/detalle/7476</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7">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7">
        <w:r w:rsidDel="00000000" w:rsidR="00000000" w:rsidRPr="00000000">
          <w:rPr>
            <w:rFonts w:ascii="Times New Roman" w:cs="Times New Roman" w:eastAsia="Times New Roman" w:hAnsi="Times New Roman"/>
            <w:color w:val="1155cc"/>
            <w:sz w:val="20"/>
            <w:szCs w:val="20"/>
            <w:u w:val="single"/>
            <w:rtl w:val="0"/>
          </w:rPr>
          <w:t xml:space="preserve">https://www.casarosada.gob.ar/informacion/discursos/50299-palabras-del-presidente-de-la-nacion-javier-milei-en-el-54-reunion-anual-del-foro-economico-mundial-de-davos%7D</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68">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8">
        <w:r w:rsidDel="00000000" w:rsidR="00000000" w:rsidRPr="00000000">
          <w:rPr>
            <w:rFonts w:ascii="Times New Roman" w:cs="Times New Roman" w:eastAsia="Times New Roman" w:hAnsi="Times New Roman"/>
            <w:color w:val="1155cc"/>
            <w:sz w:val="20"/>
            <w:szCs w:val="20"/>
            <w:u w:val="single"/>
            <w:rtl w:val="0"/>
          </w:rPr>
          <w:t xml:space="preserve">https://www.oas.org/es/mesecvi/docs/MESECVI-IX_CE_doc.152_24.ListaParticipantes.pdf</w:t>
        </w:r>
      </w:hyperlink>
      <w:r w:rsidDel="00000000" w:rsidR="00000000" w:rsidRPr="00000000">
        <w:rPr>
          <w:rFonts w:ascii="Times New Roman" w:cs="Times New Roman" w:eastAsia="Times New Roman" w:hAnsi="Times New Roman"/>
          <w:color w:val="1155cc"/>
          <w:sz w:val="20"/>
          <w:szCs w:val="20"/>
          <w:u w:val="single"/>
          <w:rtl w:val="0"/>
        </w:rPr>
        <w:t xml:space="preserve"> </w:t>
      </w:r>
      <w:r w:rsidDel="00000000" w:rsidR="00000000" w:rsidRPr="00000000">
        <w:rPr>
          <w:rtl w:val="0"/>
        </w:rPr>
      </w:r>
    </w:p>
  </w:footnote>
  <w:footnote w:id="69">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49">
        <w:r w:rsidDel="00000000" w:rsidR="00000000" w:rsidRPr="00000000">
          <w:rPr>
            <w:rFonts w:ascii="Times New Roman" w:cs="Times New Roman" w:eastAsia="Times New Roman" w:hAnsi="Times New Roman"/>
            <w:color w:val="1155cc"/>
            <w:sz w:val="20"/>
            <w:szCs w:val="20"/>
            <w:u w:val="single"/>
            <w:rtl w:val="0"/>
          </w:rPr>
          <w:t xml:space="preserve">https://webtv.un.org/es/asset/k1j/k1j48i2h92</w:t>
        </w:r>
      </w:hyperlink>
      <w:r w:rsidDel="00000000" w:rsidR="00000000" w:rsidRPr="00000000">
        <w:rPr>
          <w:rtl w:val="0"/>
        </w:rPr>
      </w:r>
    </w:p>
  </w:footnote>
  <w:footnote w:id="70">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0">
        <w:r w:rsidDel="00000000" w:rsidR="00000000" w:rsidRPr="00000000">
          <w:rPr>
            <w:rFonts w:ascii="Times New Roman" w:cs="Times New Roman" w:eastAsia="Times New Roman" w:hAnsi="Times New Roman"/>
            <w:color w:val="1155cc"/>
            <w:sz w:val="20"/>
            <w:szCs w:val="20"/>
            <w:u w:val="single"/>
            <w:rtl w:val="0"/>
          </w:rPr>
          <w:t xml:space="preserve">https://ela.org.ar/novedades/la-corte-idh-rechaza-el-pedido-del-estado-argentino-de-retirar-la-opinion-consultiva-sobre-cuidados/</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1">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 the 79th session of the General Assembly, Argentina abandoned its interest in taking part in international consensus-building on the agendas of climate change, gender equality and the regulation of artificial intelligence.</w:t>
      </w:r>
    </w:p>
  </w:footnote>
  <w:footnote w:id="72">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1">
        <w:r w:rsidDel="00000000" w:rsidR="00000000" w:rsidRPr="00000000">
          <w:rPr>
            <w:rFonts w:ascii="Times New Roman" w:cs="Times New Roman" w:eastAsia="Times New Roman" w:hAnsi="Times New Roman"/>
            <w:color w:val="1155cc"/>
            <w:sz w:val="20"/>
            <w:szCs w:val="20"/>
            <w:u w:val="single"/>
            <w:rtl w:val="0"/>
          </w:rPr>
          <w:t xml:space="preserve">https://g7g20-documents.org/database/document/2024-g20-brazil-sherpa-track-womens-empowerment-ministers-ministers-language-documento-final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3">
    <w:p w:rsidR="00000000" w:rsidDel="00000000" w:rsidP="00000000" w:rsidRDefault="00000000" w:rsidRPr="00000000" w14:paraId="000000E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2">
        <w:r w:rsidDel="00000000" w:rsidR="00000000" w:rsidRPr="00000000">
          <w:rPr>
            <w:rFonts w:ascii="Times New Roman" w:cs="Times New Roman" w:eastAsia="Times New Roman" w:hAnsi="Times New Roman"/>
            <w:color w:val="1155cc"/>
            <w:sz w:val="20"/>
            <w:szCs w:val="20"/>
            <w:u w:val="single"/>
            <w:rtl w:val="0"/>
          </w:rPr>
          <w:t xml:space="preserve">https://docs.un.org/es/A/C.3/79/L.17/Rev.1</w:t>
        </w:r>
      </w:hyperlink>
      <w:r w:rsidDel="00000000" w:rsidR="00000000" w:rsidRPr="00000000">
        <w:rPr>
          <w:rFonts w:ascii="Times New Roman" w:cs="Times New Roman" w:eastAsia="Times New Roman" w:hAnsi="Times New Roman"/>
          <w:sz w:val="20"/>
          <w:szCs w:val="20"/>
          <w:rtl w:val="0"/>
        </w:rPr>
        <w:t xml:space="preserve">, </w:t>
      </w:r>
      <w:hyperlink r:id="rId53">
        <w:r w:rsidDel="00000000" w:rsidR="00000000" w:rsidRPr="00000000">
          <w:rPr>
            <w:rFonts w:ascii="Times New Roman" w:cs="Times New Roman" w:eastAsia="Times New Roman" w:hAnsi="Times New Roman"/>
            <w:color w:val="1155cc"/>
            <w:sz w:val="20"/>
            <w:szCs w:val="20"/>
            <w:u w:val="single"/>
            <w:rtl w:val="0"/>
          </w:rPr>
          <w:t xml:space="preserve">https://www.infobae.com/politica/2024/12/19/argentina-modifico-su-voto-y-acompano-en-la-onu-la-resolucion-para-prevenir-la-violencia-contra-las-mujeres/#:~:text=Francisco%20Tropepi%20modific%C3%B3%20el%20voto%20de%20Argentina,y%20eliminaci%C3%B3n%20de%20todas%20las%20formas%20de</w:t>
        </w:r>
      </w:hyperlink>
      <w:r w:rsidDel="00000000" w:rsidR="00000000" w:rsidRPr="00000000">
        <w:rPr>
          <w:rFonts w:ascii="Times New Roman" w:cs="Times New Roman" w:eastAsia="Times New Roman" w:hAnsi="Times New Roman"/>
          <w:sz w:val="20"/>
          <w:szCs w:val="20"/>
          <w:rtl w:val="0"/>
        </w:rPr>
        <w:t xml:space="preserve"> </w:t>
      </w:r>
    </w:p>
  </w:footnote>
  <w:footnote w:id="74">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4">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https://belemdopara.org/wp-content/uploads/2024/02/Comunicado-Argentina-Institucionalidad.pdf</w:t>
        </w:r>
      </w:hyperlink>
      <w:r w:rsidDel="00000000" w:rsidR="00000000" w:rsidRPr="00000000">
        <w:rPr>
          <w:rFonts w:ascii="Times New Roman" w:cs="Times New Roman" w:eastAsia="Times New Roman" w:hAnsi="Times New Roman"/>
          <w:sz w:val="20"/>
          <w:szCs w:val="20"/>
          <w:rtl w:val="0"/>
        </w:rPr>
        <w:t xml:space="preserve">, </w:t>
      </w:r>
      <w:hyperlink r:id="rId55">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https://belemdopara.org/wp-content/uploads/2024/06/Comunicado-IX-CEP.pdf</w:t>
        </w:r>
      </w:hyperlink>
      <w:r w:rsidDel="00000000" w:rsidR="00000000" w:rsidRPr="00000000">
        <w:rPr>
          <w:rFonts w:ascii="Times New Roman" w:cs="Times New Roman" w:eastAsia="Times New Roman" w:hAnsi="Times New Roman"/>
          <w:sz w:val="20"/>
          <w:szCs w:val="20"/>
          <w:rtl w:val="0"/>
        </w:rPr>
        <w:t xml:space="preserve">, </w:t>
      </w:r>
      <w:hyperlink r:id="rId56">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https://belemdopara.org/wp-content/uploads/2024/08/Comunicado-Argentina-Agosto-2024-.pdf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75">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7">
        <w:r w:rsidDel="00000000" w:rsidR="00000000" w:rsidRPr="00000000">
          <w:rPr>
            <w:rFonts w:ascii="Times New Roman" w:cs="Times New Roman" w:eastAsia="Times New Roman" w:hAnsi="Times New Roman"/>
            <w:color w:val="1155cc"/>
            <w:sz w:val="20"/>
            <w:szCs w:val="20"/>
            <w:u w:val="single"/>
            <w:rtl w:val="0"/>
          </w:rPr>
          <w:t xml:space="preserve">https://belemdopara.org/wp-content/uploads/2024/04/Comunicado-Argentina.pdf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6">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Inter-American Commission on Human Rights. Petition 1256-05, Ivana and Abril Rosales v. Argentina</w:t>
      </w:r>
    </w:p>
  </w:footnote>
  <w:footnote w:id="18">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8">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https://www.boletinoficial.gob.ar/detalleAviso/primera/312338/20240816</w:t>
        </w:r>
      </w:hyperlink>
      <w:r w:rsidDel="00000000" w:rsidR="00000000" w:rsidRPr="00000000">
        <w:rPr>
          <w:rFonts w:ascii="Times New Roman" w:cs="Times New Roman" w:eastAsia="Times New Roman" w:hAnsi="Times New Roman"/>
          <w:color w:val="1155cc"/>
          <w:sz w:val="20"/>
          <w:szCs w:val="20"/>
          <w:u w:val="single"/>
          <w:rtl w:val="0"/>
        </w:rPr>
        <w:t xml:space="preserve"> </w:t>
      </w:r>
      <w:r w:rsidDel="00000000" w:rsidR="00000000" w:rsidRPr="00000000">
        <w:rPr>
          <w:rtl w:val="0"/>
        </w:rPr>
      </w:r>
    </w:p>
  </w:footnote>
  <w:footnote w:id="25">
    <w:p w:rsidR="00000000" w:rsidDel="00000000" w:rsidP="00000000" w:rsidRDefault="00000000" w:rsidRPr="00000000" w14:paraId="000000F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59">
        <w:r w:rsidDel="00000000" w:rsidR="00000000" w:rsidRPr="00000000">
          <w:rPr>
            <w:rFonts w:ascii="Times New Roman" w:cs="Times New Roman" w:eastAsia="Times New Roman" w:hAnsi="Times New Roman"/>
            <w:color w:val="1155cc"/>
            <w:sz w:val="20"/>
            <w:szCs w:val="20"/>
            <w:u w:val="single"/>
            <w:rtl w:val="0"/>
          </w:rPr>
          <w:t xml:space="preserve">https://www.cels.org.ar/web/wp-content/uploads/2025/09/LDC-informe-6-Final_.pdf</w:t>
        </w:r>
      </w:hyperlink>
      <w:r w:rsidDel="00000000" w:rsidR="00000000" w:rsidRPr="00000000">
        <w:rPr>
          <w:rFonts w:ascii="Times New Roman" w:cs="Times New Roman" w:eastAsia="Times New Roman" w:hAnsi="Times New Roman"/>
          <w:sz w:val="20"/>
          <w:szCs w:val="20"/>
          <w:rtl w:val="0"/>
        </w:rPr>
        <w:t xml:space="preserve"> </w:t>
      </w:r>
    </w:p>
  </w:footnote>
  <w:footnote w:id="52">
    <w:p w:rsidR="00000000" w:rsidDel="00000000" w:rsidP="00000000" w:rsidRDefault="00000000" w:rsidRPr="00000000" w14:paraId="000000F3">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MXM has documented coerced psychiatric medicalization, practices of confinement and punishment, degrading treatment of transgender persons, and the presence of armed police custody in the context of the case “G.R.A. s/ Suspicious Death, File No. S-039410/2025,” Homicide Prosecutor’s Office No. 2 of Tucumán.</w:t>
      </w:r>
    </w:p>
  </w:footnote>
  <w:footnote w:id="59">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case of journalist Julia Mengolini is an example of this. The President took part in a process of harassment and persecution through digital media and filed a complaint against her over a report presented during the electoral campaign. He and officials from his administration disseminated and celebrated the circulation of false news about the journalist. The criminal investigation into this attack is currently ongoing. See: </w:t>
      </w:r>
      <w:hyperlink r:id="rId60">
        <w:r w:rsidDel="00000000" w:rsidR="00000000" w:rsidRPr="00000000">
          <w:rPr>
            <w:rFonts w:ascii="Times New Roman" w:cs="Times New Roman" w:eastAsia="Times New Roman" w:hAnsi="Times New Roman"/>
            <w:color w:val="1155cc"/>
            <w:sz w:val="20"/>
            <w:szCs w:val="20"/>
            <w:highlight w:val="white"/>
            <w:u w:val="single"/>
            <w:rtl w:val="0"/>
          </w:rPr>
          <w:t xml:space="preserve">https://www.cels.org.ar/web/2025/11/argentina-ante-la-cidh-el-deterioro-de-la-libertad-de-expresion/</w:t>
        </w:r>
      </w:hyperlink>
      <w:r w:rsidDel="00000000" w:rsidR="00000000" w:rsidRPr="00000000">
        <w:rPr>
          <w:rtl w:val="0"/>
        </w:rPr>
      </w:r>
    </w:p>
  </w:footnote>
  <w:footnote w:id="31">
    <w:p w:rsidR="00000000" w:rsidDel="00000000" w:rsidP="00000000" w:rsidRDefault="00000000" w:rsidRPr="00000000" w14:paraId="000000F8">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CEDAW/C/ARG/8, párrs. 41-44, 46, 47, 85, 92-95.</w:t>
      </w:r>
    </w:p>
  </w:footnote>
  <w:footnote w:id="45">
    <w:p w:rsidR="00000000" w:rsidDel="00000000" w:rsidP="00000000" w:rsidRDefault="00000000" w:rsidRPr="00000000" w14:paraId="000000F9">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1">
        <w:r w:rsidDel="00000000" w:rsidR="00000000" w:rsidRPr="00000000">
          <w:rPr>
            <w:rFonts w:ascii="Times New Roman" w:cs="Times New Roman" w:eastAsia="Times New Roman" w:hAnsi="Times New Roman"/>
            <w:color w:val="1155cc"/>
            <w:sz w:val="20"/>
            <w:szCs w:val="20"/>
            <w:u w:val="single"/>
            <w:rtl w:val="0"/>
          </w:rPr>
          <w:t xml:space="preserve">https://www.csjn.gov.ar/omrecopilacion/omfemicidio/homefemicidio.html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1">
    <w:p w:rsidR="00000000" w:rsidDel="00000000" w:rsidP="00000000" w:rsidRDefault="00000000" w:rsidRPr="00000000" w14:paraId="000000FA">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2">
        <w:r w:rsidDel="00000000" w:rsidR="00000000" w:rsidRPr="00000000">
          <w:rPr>
            <w:rFonts w:ascii="Times New Roman" w:cs="Times New Roman" w:eastAsia="Times New Roman" w:hAnsi="Times New Roman"/>
            <w:color w:val="1155cc"/>
            <w:sz w:val="20"/>
            <w:szCs w:val="20"/>
            <w:u w:val="single"/>
            <w:rtl w:val="0"/>
          </w:rPr>
          <w:t xml:space="preserve">https://ela.org.ar/publicaciones-documentos/hallazgos-y-reflexiones-en-torno-al-cumplimiento-de-la-convencion-belem-do-para-en-argentina-2022-2024/</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
    <w:p w:rsidR="00000000" w:rsidDel="00000000" w:rsidP="00000000" w:rsidRDefault="00000000" w:rsidRPr="00000000" w14:paraId="000000FB">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3">
        <w:r w:rsidDel="00000000" w:rsidR="00000000" w:rsidRPr="00000000">
          <w:rPr>
            <w:rFonts w:ascii="Times New Roman" w:cs="Times New Roman" w:eastAsia="Times New Roman" w:hAnsi="Times New Roman"/>
            <w:color w:val="1155cc"/>
            <w:sz w:val="20"/>
            <w:szCs w:val="20"/>
            <w:u w:val="single"/>
            <w:rtl w:val="0"/>
          </w:rPr>
          <w:t xml:space="preserve">https://www.boletinoficial.gob.ar/detalleAviso/primera/300727/20231211</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11">
    <w:p w:rsidR="00000000" w:rsidDel="00000000" w:rsidP="00000000" w:rsidRDefault="00000000" w:rsidRPr="00000000" w14:paraId="000000FC">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4">
        <w:r w:rsidDel="00000000" w:rsidR="00000000" w:rsidRPr="00000000">
          <w:rPr>
            <w:rFonts w:ascii="Times New Roman" w:cs="Times New Roman" w:eastAsia="Times New Roman" w:hAnsi="Times New Roman"/>
            <w:color w:val="1155cc"/>
            <w:sz w:val="20"/>
            <w:szCs w:val="20"/>
            <w:u w:val="single"/>
            <w:rtl w:val="0"/>
          </w:rPr>
          <w:t xml:space="preserve">https://acij.org.ar/wp-content/uploads/2025/11/Analisis-de-las-partidas-vinculadas-a-genero-en-el-Proyecto-de-Presupuesto-2026-ACIJ-ELA.pdf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1">
    <w:p w:rsidR="00000000" w:rsidDel="00000000" w:rsidP="00000000" w:rsidRDefault="00000000" w:rsidRPr="00000000" w14:paraId="000000F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5">
        <w:r w:rsidDel="00000000" w:rsidR="00000000" w:rsidRPr="00000000">
          <w:rPr>
            <w:rFonts w:ascii="Times New Roman" w:cs="Times New Roman" w:eastAsia="Times New Roman" w:hAnsi="Times New Roman"/>
            <w:color w:val="1155cc"/>
            <w:sz w:val="20"/>
            <w:szCs w:val="20"/>
            <w:u w:val="single"/>
            <w:rtl w:val="0"/>
          </w:rPr>
          <w:t xml:space="preserve">https://cloud-snic.minseg.gob.ar/Informes/SNIC/Informe_SNIC_Nacional_2024.pdf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53">
    <w:p w:rsidR="00000000" w:rsidDel="00000000" w:rsidP="00000000" w:rsidRDefault="00000000" w:rsidRPr="00000000" w14:paraId="000000F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66">
        <w:r w:rsidDel="00000000" w:rsidR="00000000" w:rsidRPr="00000000">
          <w:rPr>
            <w:rFonts w:ascii="Times New Roman" w:cs="Times New Roman" w:eastAsia="Times New Roman" w:hAnsi="Times New Roman"/>
            <w:color w:val="1155cc"/>
            <w:sz w:val="20"/>
            <w:szCs w:val="20"/>
            <w:u w:val="single"/>
            <w:rtl w:val="0"/>
          </w:rPr>
          <w:t xml:space="preserve">https://libresdelsur.org.ar/wp-content/uploads/No-estamos-todas-nos-faltan-las-vi%CC%81ctimas-del-narcotra%CC%81fico-en-Santa-Fe-1.Reporte-de-Feminicidios-en-contexto-de-narcotra%CC%81fico-y-crimen-organizado-del-Observatorio-Nacional-MuMaLa-2020-2025.pdf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jc w:val="center"/>
      <w:rPr/>
    </w:pPr>
    <w:r w:rsidDel="00000000" w:rsidR="00000000" w:rsidRPr="00000000">
      <w:rPr/>
      <w:drawing>
        <wp:inline distB="114300" distT="114300" distL="114300" distR="114300">
          <wp:extent cx="947738" cy="624882"/>
          <wp:effectExtent b="0" l="0" r="0" t="0"/>
          <wp:docPr id="19" name="image22.png"/>
          <a:graphic>
            <a:graphicData uri="http://schemas.openxmlformats.org/drawingml/2006/picture">
              <pic:pic>
                <pic:nvPicPr>
                  <pic:cNvPr id="0" name="image22.png"/>
                  <pic:cNvPicPr preferRelativeResize="0"/>
                </pic:nvPicPr>
                <pic:blipFill>
                  <a:blip r:embed="rId1"/>
                  <a:srcRect b="0" l="0" r="0" t="0"/>
                  <a:stretch>
                    <a:fillRect/>
                  </a:stretch>
                </pic:blipFill>
                <pic:spPr>
                  <a:xfrm>
                    <a:off x="0" y="0"/>
                    <a:ext cx="947738" cy="624882"/>
                  </a:xfrm>
                  <a:prstGeom prst="rect"/>
                  <a:ln/>
                </pic:spPr>
              </pic:pic>
            </a:graphicData>
          </a:graphic>
        </wp:inline>
      </w:drawing>
    </w:r>
    <w:r w:rsidDel="00000000" w:rsidR="00000000" w:rsidRPr="00000000">
      <w:rPr/>
      <w:drawing>
        <wp:inline distB="114300" distT="114300" distL="114300" distR="114300">
          <wp:extent cx="1304925" cy="504825"/>
          <wp:effectExtent b="0" l="0" r="0" t="0"/>
          <wp:docPr id="20" name="image25.jpg"/>
          <a:graphic>
            <a:graphicData uri="http://schemas.openxmlformats.org/drawingml/2006/picture">
              <pic:pic>
                <pic:nvPicPr>
                  <pic:cNvPr id="0" name="image25.jpg"/>
                  <pic:cNvPicPr preferRelativeResize="0"/>
                </pic:nvPicPr>
                <pic:blipFill>
                  <a:blip r:embed="rId2"/>
                  <a:srcRect b="16438" l="12637" r="12087" t="10958"/>
                  <a:stretch>
                    <a:fillRect/>
                  </a:stretch>
                </pic:blipFill>
                <pic:spPr>
                  <a:xfrm>
                    <a:off x="0" y="0"/>
                    <a:ext cx="1304925" cy="504825"/>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392075" cy="679061"/>
          <wp:effectExtent b="0" l="0" r="0" t="0"/>
          <wp:docPr id="2" name="image18.png"/>
          <a:graphic>
            <a:graphicData uri="http://schemas.openxmlformats.org/drawingml/2006/picture">
              <pic:pic>
                <pic:nvPicPr>
                  <pic:cNvPr id="0" name="image18.png"/>
                  <pic:cNvPicPr preferRelativeResize="0"/>
                </pic:nvPicPr>
                <pic:blipFill>
                  <a:blip r:embed="rId3"/>
                  <a:srcRect b="0" l="0" r="0" t="0"/>
                  <a:stretch>
                    <a:fillRect/>
                  </a:stretch>
                </pic:blipFill>
                <pic:spPr>
                  <a:xfrm>
                    <a:off x="0" y="0"/>
                    <a:ext cx="1392075" cy="679061"/>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290638" cy="657225"/>
          <wp:effectExtent b="0" l="0" r="0" t="0"/>
          <wp:docPr id="15" name="image4.png"/>
          <a:graphic>
            <a:graphicData uri="http://schemas.openxmlformats.org/drawingml/2006/picture">
              <pic:pic>
                <pic:nvPicPr>
                  <pic:cNvPr id="0" name="image4.png"/>
                  <pic:cNvPicPr preferRelativeResize="0"/>
                </pic:nvPicPr>
                <pic:blipFill>
                  <a:blip r:embed="rId4"/>
                  <a:srcRect b="0" l="0" r="0" t="0"/>
                  <a:stretch>
                    <a:fillRect/>
                  </a:stretch>
                </pic:blipFill>
                <pic:spPr>
                  <a:xfrm>
                    <a:off x="0" y="0"/>
                    <a:ext cx="1290638" cy="65722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509165" cy="599668"/>
          <wp:effectExtent b="0" l="0" r="0" t="0"/>
          <wp:docPr id="25" name="image15.png"/>
          <a:graphic>
            <a:graphicData uri="http://schemas.openxmlformats.org/drawingml/2006/picture">
              <pic:pic>
                <pic:nvPicPr>
                  <pic:cNvPr id="0" name="image15.png"/>
                  <pic:cNvPicPr preferRelativeResize="0"/>
                </pic:nvPicPr>
                <pic:blipFill>
                  <a:blip r:embed="rId5"/>
                  <a:srcRect b="0" l="0" r="0" t="0"/>
                  <a:stretch>
                    <a:fillRect/>
                  </a:stretch>
                </pic:blipFill>
                <pic:spPr>
                  <a:xfrm>
                    <a:off x="0" y="0"/>
                    <a:ext cx="1509165" cy="599668"/>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1276350" cy="695325"/>
          <wp:effectExtent b="0" l="0" r="0" t="0"/>
          <wp:docPr id="11" name="image24.png"/>
          <a:graphic>
            <a:graphicData uri="http://schemas.openxmlformats.org/drawingml/2006/picture">
              <pic:pic>
                <pic:nvPicPr>
                  <pic:cNvPr id="0" name="image24.png"/>
                  <pic:cNvPicPr preferRelativeResize="0"/>
                </pic:nvPicPr>
                <pic:blipFill>
                  <a:blip r:embed="rId6"/>
                  <a:srcRect b="0" l="0" r="0" t="0"/>
                  <a:stretch>
                    <a:fillRect/>
                  </a:stretch>
                </pic:blipFill>
                <pic:spPr>
                  <a:xfrm>
                    <a:off x="0" y="0"/>
                    <a:ext cx="1276350" cy="695325"/>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Calibri" w:cs="Calibri" w:eastAsia="Calibri" w:hAnsi="Calibri"/>
        <w:b w:val="1"/>
        <w:bCs w:val="1"/>
      </w:rPr>
      <w:drawing>
        <wp:inline distB="114300" distT="114300" distL="114300" distR="114300">
          <wp:extent cx="731584" cy="675308"/>
          <wp:effectExtent b="0" l="0" r="0" t="0"/>
          <wp:docPr id="10"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31584" cy="675308"/>
                  </a:xfrm>
                  <a:prstGeom prst="rect"/>
                  <a:ln/>
                </pic:spPr>
              </pic:pic>
            </a:graphicData>
          </a:graphic>
        </wp:inline>
      </w:drawing>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rPr>
      <w:drawing>
        <wp:inline distB="114300" distT="114300" distL="114300" distR="114300">
          <wp:extent cx="1520662" cy="467191"/>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520662" cy="467191"/>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074652" cy="926764"/>
          <wp:effectExtent b="0" l="0" r="0" t="0"/>
          <wp:docPr id="17" name="image14.png"/>
          <a:graphic>
            <a:graphicData uri="http://schemas.openxmlformats.org/drawingml/2006/picture">
              <pic:pic>
                <pic:nvPicPr>
                  <pic:cNvPr id="0" name="image14.png"/>
                  <pic:cNvPicPr preferRelativeResize="0"/>
                </pic:nvPicPr>
                <pic:blipFill>
                  <a:blip r:embed="rId9"/>
                  <a:srcRect b="0" l="0" r="0" t="0"/>
                  <a:stretch>
                    <a:fillRect/>
                  </a:stretch>
                </pic:blipFill>
                <pic:spPr>
                  <a:xfrm>
                    <a:off x="0" y="0"/>
                    <a:ext cx="1074652" cy="926764"/>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628703" cy="683875"/>
          <wp:effectExtent b="0" l="0" r="0" t="0"/>
          <wp:docPr id="22" name="image21.jpg"/>
          <a:graphic>
            <a:graphicData uri="http://schemas.openxmlformats.org/drawingml/2006/picture">
              <pic:pic>
                <pic:nvPicPr>
                  <pic:cNvPr id="0" name="image21.jpg"/>
                  <pic:cNvPicPr preferRelativeResize="0"/>
                </pic:nvPicPr>
                <pic:blipFill>
                  <a:blip r:embed="rId10"/>
                  <a:srcRect b="0" l="0" r="0" t="0"/>
                  <a:stretch>
                    <a:fillRect/>
                  </a:stretch>
                </pic:blipFill>
                <pic:spPr>
                  <a:xfrm>
                    <a:off x="0" y="0"/>
                    <a:ext cx="1628703" cy="68387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1209675" cy="528638"/>
          <wp:effectExtent b="0" l="0" r="0" t="0"/>
          <wp:docPr id="4"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209675" cy="528638"/>
                  </a:xfrm>
                  <a:prstGeom prst="rect"/>
                  <a:ln/>
                </pic:spPr>
              </pic:pic>
            </a:graphicData>
          </a:graphic>
        </wp:inline>
      </w:drawing>
    </w:r>
    <w:r w:rsidDel="00000000" w:rsidR="00000000" w:rsidRPr="00000000">
      <w:rPr>
        <w:rFonts w:ascii="Calibri" w:cs="Calibri" w:eastAsia="Calibri" w:hAnsi="Calibri"/>
        <w:b w:val="1"/>
        <w:bCs w:val="1"/>
      </w:rPr>
      <w:drawing>
        <wp:inline distB="114300" distT="114300" distL="114300" distR="114300">
          <wp:extent cx="1583826" cy="559461"/>
          <wp:effectExtent b="0" l="0" r="0" t="0"/>
          <wp:docPr id="7" name="image11.jpg"/>
          <a:graphic>
            <a:graphicData uri="http://schemas.openxmlformats.org/drawingml/2006/picture">
              <pic:pic>
                <pic:nvPicPr>
                  <pic:cNvPr id="0" name="image11.jpg"/>
                  <pic:cNvPicPr preferRelativeResize="0"/>
                </pic:nvPicPr>
                <pic:blipFill>
                  <a:blip r:embed="rId12"/>
                  <a:srcRect b="0" l="0" r="0" t="0"/>
                  <a:stretch>
                    <a:fillRect/>
                  </a:stretch>
                </pic:blipFill>
                <pic:spPr>
                  <a:xfrm>
                    <a:off x="0" y="0"/>
                    <a:ext cx="1583826" cy="55946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6.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5.png"/><Relationship Id="rId8" Type="http://schemas.openxmlformats.org/officeDocument/2006/relationships/image" Target="media/image13.png"/><Relationship Id="rId20" Type="http://schemas.openxmlformats.org/officeDocument/2006/relationships/header" Target="header1.xml"/><Relationship Id="rId22" Type="http://schemas.openxmlformats.org/officeDocument/2006/relationships/footer" Target="footer1.xml"/><Relationship Id="rId21" Type="http://schemas.openxmlformats.org/officeDocument/2006/relationships/header" Target="header2.xml"/><Relationship Id="rId11" Type="http://schemas.openxmlformats.org/officeDocument/2006/relationships/image" Target="media/image23.jpg"/><Relationship Id="rId10" Type="http://schemas.openxmlformats.org/officeDocument/2006/relationships/image" Target="media/image20.png"/><Relationship Id="rId13" Type="http://schemas.openxmlformats.org/officeDocument/2006/relationships/image" Target="media/image1.jpg"/><Relationship Id="rId12" Type="http://schemas.openxmlformats.org/officeDocument/2006/relationships/image" Target="media/image8.png"/><Relationship Id="rId15" Type="http://schemas.openxmlformats.org/officeDocument/2006/relationships/image" Target="media/image10.png"/><Relationship Id="rId14" Type="http://schemas.openxmlformats.org/officeDocument/2006/relationships/image" Target="media/image17.jpg"/><Relationship Id="rId17" Type="http://schemas.openxmlformats.org/officeDocument/2006/relationships/image" Target="media/image12.gif"/><Relationship Id="rId16" Type="http://schemas.openxmlformats.org/officeDocument/2006/relationships/image" Target="media/image19.png"/><Relationship Id="rId19" Type="http://schemas.openxmlformats.org/officeDocument/2006/relationships/image" Target="media/image6.png"/><Relationship Id="rId18" Type="http://schemas.openxmlformats.org/officeDocument/2006/relationships/image" Target="media/image9.jpg"/></Relationships>
</file>

<file path=word/_rels/footnotes.xml.rels><?xml version="1.0" encoding="UTF-8" standalone="yes"?><Relationships xmlns="http://schemas.openxmlformats.org/package/2006/relationships"><Relationship Id="rId40" Type="http://schemas.openxmlformats.org/officeDocument/2006/relationships/hyperlink" Target="https://amnistia.org.ar/corazonesverdes/informe-corazones-verdes" TargetMode="External"/><Relationship Id="rId42" Type="http://schemas.openxmlformats.org/officeDocument/2006/relationships/hyperlink" Target="https://amnistia.org.ar/wp-content/uploads/delightful-downloads/2024/10/Muteadas_InformeCompleto.pdf" TargetMode="External"/><Relationship Id="rId41" Type="http://schemas.openxmlformats.org/officeDocument/2006/relationships/hyperlink" Target="https://plan.org.ec/wp-content/uploads/2017/03/Libres-Para-Estar-En-Linea.pdf" TargetMode="External"/><Relationship Id="rId44" Type="http://schemas.openxmlformats.org/officeDocument/2006/relationships/hyperlink" Target="https://ela.org.ar/publicaciones-documentos/percepcion-e-incidencia-de-la-violencia-contra-las-mujeres-analisis-de-la-encuesta-sobre-la-situacion-de-las-mujeres-en-la-ciudad-de-buenos-aires/" TargetMode="External"/><Relationship Id="rId43" Type="http://schemas.openxmlformats.org/officeDocument/2006/relationships/hyperlink" Target="https://ela.org.ar/publicaciones-documentos/percepcion-e-incidencia-de-la-violencia-contra-las-mujeres-analisis-de-la-encuesta-sobre-la-situacion-de-las-mujeres-en-la-ciudad-de-buenos-aires/" TargetMode="External"/><Relationship Id="rId46" Type="http://schemas.openxmlformats.org/officeDocument/2006/relationships/hyperlink" Target="https://www.csjn.gov.ar/novedades/detalle/7476" TargetMode="External"/><Relationship Id="rId45" Type="http://schemas.openxmlformats.org/officeDocument/2006/relationships/hyperlink" Target="http://www.presupuestoabierto.gob.ar/sici/analisis-transversal-genero" TargetMode="External"/><Relationship Id="rId1" Type="http://schemas.openxmlformats.org/officeDocument/2006/relationships/hyperlink" Target="https://www.diputados.gob.ar/comisiones/noticias/06c4370e-63d9-11ef-a710-00505689ffd4" TargetMode="External"/><Relationship Id="rId2" Type="http://schemas.openxmlformats.org/officeDocument/2006/relationships/hyperlink" Target="http://www.clarin.com/sociedad/ahora-gobierno-dice-politicas-genero-excusas_0_NaIzCSNO9W.html" TargetMode="External"/><Relationship Id="rId3" Type="http://schemas.openxmlformats.org/officeDocument/2006/relationships/hyperlink" Target="https://ela.org.ar/publicaciones-documentos/libradas-a-su-suerte-actualizacion-noviembre-2024/" TargetMode="External"/><Relationship Id="rId4" Type="http://schemas.openxmlformats.org/officeDocument/2006/relationships/hyperlink" Target="https://ela.org.ar/publicaciones-documentos/mas-alla-de-los-numeros-el-impacto-del-desmantelamiento-de-las-politicas-de-genero-en-argentina-2023-2025/" TargetMode="External"/><Relationship Id="rId9" Type="http://schemas.openxmlformats.org/officeDocument/2006/relationships/hyperlink" Target="https://ela.org.ar/wp-content/uploads/2025/11/Politicas-nacionales-de-abordaje-a-las-violencias-noviembre-2025-1.pdf" TargetMode="External"/><Relationship Id="rId48" Type="http://schemas.openxmlformats.org/officeDocument/2006/relationships/hyperlink" Target="https://www.oas.org/es/mesecvi/docs/MESECVI-IX_CE_doc.152_24.ListaParticipantes.pdf" TargetMode="External"/><Relationship Id="rId47" Type="http://schemas.openxmlformats.org/officeDocument/2006/relationships/hyperlink" Target="https://www.casarosada.gob.ar/informacion/discursos/50299-palabras-del-presidente-de-la-nacion-javier-milei-en-el-54-reunion-anual-del-foro-economico-mundial-de-davos%7D" TargetMode="External"/><Relationship Id="rId49" Type="http://schemas.openxmlformats.org/officeDocument/2006/relationships/hyperlink" Target="https://webtv.un.org/es/asset/k1j/k1j48i2h92" TargetMode="External"/><Relationship Id="rId5" Type="http://schemas.openxmlformats.org/officeDocument/2006/relationships/hyperlink" Target="https://www.letrap.com.ar/generos/la-libertad-retrocede-la-era-javier-milei-la-mayoria-las-provincias-degrado-sus-areas-genero-n5408962" TargetMode="External"/><Relationship Id="rId6" Type="http://schemas.openxmlformats.org/officeDocument/2006/relationships/hyperlink" Target="https://ela.org.ar/wp-content/uploads/2025/02/Retrocesos-en-la-inclusion_-doble-desafio-para-las-mujeres-con-discapacidad.pdf" TargetMode="External"/><Relationship Id="rId7" Type="http://schemas.openxmlformats.org/officeDocument/2006/relationships/hyperlink" Target="https://ela.org.ar/wp-content/uploads/2024/07/Gacetilla-de-prensa-Presentacion-judicial-contra-el-Poder-Ejecutivo-por-el-incumplimiento-de-leyes-y-tratados-internacionales-en-materia-de-genero.pdf" TargetMode="External"/><Relationship Id="rId8" Type="http://schemas.openxmlformats.org/officeDocument/2006/relationships/hyperlink" Target="https://ela.org.ar/publicaciones-documentos/libradas-a-su-suerte-actualizacion-noviembre-2024/" TargetMode="External"/><Relationship Id="rId31" Type="http://schemas.openxmlformats.org/officeDocument/2006/relationships/hyperlink" Target="https://www.csjn.gov.ar/omrecopilacion/omfemicidio/homefemicidio.html?_gl=1*1r2izfw*_ga*MTUxMTkwOTkxOC4xNzY0OTUyMjIy*_ga_EFYJ5G9K5T*czE3NjQ5NTIyMjIkbzEkZzEkdDE3NjQ5NTIyMzEkajUxJGwwJGgw" TargetMode="External"/><Relationship Id="rId30" Type="http://schemas.openxmlformats.org/officeDocument/2006/relationships/hyperlink" Target="https://ela.org.ar/publicaciones-documentos/percepcion-e-incidencia-de-la-violencia-contra-las-mujeres-ciudad-de-buenos-aires-ano-2023/" TargetMode="External"/><Relationship Id="rId33" Type="http://schemas.openxmlformats.org/officeDocument/2006/relationships/hyperlink" Target="https://om.csjn.gob.ar/consultaTalleresWeb/public/documentoConsulta/verDocumentoById?idDocumento=169" TargetMode="External"/><Relationship Id="rId32" Type="http://schemas.openxmlformats.org/officeDocument/2006/relationships/hyperlink" Target="https://www.mpf.gob.ar/ufem/files/2023/05/Informe_Relevamiento-de-fuentes-secundarias-de-datos-sobre-violencia-sexual.pdf" TargetMode="External"/><Relationship Id="rId35" Type="http://schemas.openxmlformats.org/officeDocument/2006/relationships/hyperlink" Target="https://om.csjn.gob.ar/consultaTalleresWeb/public/documentoConsulta/verDocumentoById?idDocumento=333" TargetMode="External"/><Relationship Id="rId34" Type="http://schemas.openxmlformats.org/officeDocument/2006/relationships/hyperlink" Target="https://om.csjn.gob.ar/consultaTalleresWeb/public/documentoConsulta/verDocumentoById?idDocumento=240" TargetMode="External"/><Relationship Id="rId37" Type="http://schemas.openxmlformats.org/officeDocument/2006/relationships/hyperlink" Target="https://inecip.org/publicaciones/cuando-el-macho-dispara-armas-de-fuego-y-violencias-de-genero-en-argentina/" TargetMode="External"/><Relationship Id="rId36" Type="http://schemas.openxmlformats.org/officeDocument/2006/relationships/hyperlink" Target="https://www.fiscales.gob.ar/wp-content/uploads/2024/11/UFEM-Femicidios-no-intimos-en-Argentina.pdf" TargetMode="External"/><Relationship Id="rId39" Type="http://schemas.openxmlformats.org/officeDocument/2006/relationships/hyperlink" Target="https://inecip.org/prensa/comunicados/un-retroceso-de-medio-siglo-milei-elimina-por-decreto-la-agencia-de-control-de-armas-en-argentina/" TargetMode="External"/><Relationship Id="rId38" Type="http://schemas.openxmlformats.org/officeDocument/2006/relationships/hyperlink" Target="https://www.boletinoficial.gob.ar/detalleAviso/primera/327658/20250701" TargetMode="External"/><Relationship Id="rId62" Type="http://schemas.openxmlformats.org/officeDocument/2006/relationships/hyperlink" Target="https://ela.org.ar/publicaciones-documentos/hallazgos-y-reflexiones-en-torno-al-cumplimiento-de-la-convencion-belem-do-para-en-argentina-2022-2024/" TargetMode="External"/><Relationship Id="rId61" Type="http://schemas.openxmlformats.org/officeDocument/2006/relationships/hyperlink" Target="https://www.csjn.gov.ar/omrecopilacion/omfemicidio/homefemicidio.html" TargetMode="External"/><Relationship Id="rId20" Type="http://schemas.openxmlformats.org/officeDocument/2006/relationships/hyperlink" Target="https://acij.org.ar/wp-content/uploads/2022/02/ACIJ-CELS-INECIP-_Investigacion-CAJ_RESUMEN-ESPANOL.pdf" TargetMode="External"/><Relationship Id="rId64" Type="http://schemas.openxmlformats.org/officeDocument/2006/relationships/hyperlink" Target="https://acij.org.ar/wp-content/uploads/2025/11/Analisis-de-las-partidas-vinculadas-a-genero-en-el-Proyecto-de-Presupuesto-2026-ACIJ-ELA.pdf" TargetMode="External"/><Relationship Id="rId63" Type="http://schemas.openxmlformats.org/officeDocument/2006/relationships/hyperlink" Target="https://www.boletinoficial.gob.ar/detalleAviso/primera/300727/20231211" TargetMode="External"/><Relationship Id="rId22" Type="http://schemas.openxmlformats.org/officeDocument/2006/relationships/hyperlink" Target="https://www.argentina.gob.ar/generos/mapa-federal-de-experiencias-con-varones-y-masculinidades-en-argentina" TargetMode="External"/><Relationship Id="rId66" Type="http://schemas.openxmlformats.org/officeDocument/2006/relationships/hyperlink" Target="https://libresdelsur.org.ar/wp-content/uploads/No-estamos-todas-nos-faltan-las-vi%CC%81ctimas-del-narcotra%CC%81fico-en-Santa-Fe-1.Reporte-de-Feminicidios-en-contexto-de-narcotra%CC%81fico-y-crimen-organizado-del-Observatorio-Nacional-MuMaLa-2020-2025.pdf" TargetMode="External"/><Relationship Id="rId21" Type="http://schemas.openxmlformats.org/officeDocument/2006/relationships/hyperlink" Target="https://www.argentina.gob.ar/justicia/afianzar/caj/listado" TargetMode="External"/><Relationship Id="rId65" Type="http://schemas.openxmlformats.org/officeDocument/2006/relationships/hyperlink" Target="https://cloud-snic.minseg.gob.ar/Informes/SNIC/Informe_SNIC_Nacional_2024.pdf" TargetMode="External"/><Relationship Id="rId24" Type="http://schemas.openxmlformats.org/officeDocument/2006/relationships/hyperlink" Target="https://ela.org.ar/wp-content/uploads/2023/12/2023-Cadenas-invisibles.pdf" TargetMode="External"/><Relationship Id="rId23" Type="http://schemas.openxmlformats.org/officeDocument/2006/relationships/hyperlink" Target="https://www.diputados.gov.ar/avisos/9a32c3d2-6a2f-11ef-acdb-00505689ffd4/" TargetMode="External"/><Relationship Id="rId60" Type="http://schemas.openxmlformats.org/officeDocument/2006/relationships/hyperlink" Target="https://www.cels.org.ar/web/2025/11/argentina-ante-la-cidh-el-deterioro-de-la-libertad-de-expresion/" TargetMode="External"/><Relationship Id="rId26" Type="http://schemas.openxmlformats.org/officeDocument/2006/relationships/hyperlink" Target="https://www.senado.gob.ar/prensa/22319/noticias" TargetMode="External"/><Relationship Id="rId25" Type="http://schemas.openxmlformats.org/officeDocument/2006/relationships/hyperlink" Target="https://ela.org.ar/wp-content/uploads/2024/03/Documento-Numeros-en-rojo.pdf" TargetMode="External"/><Relationship Id="rId28" Type="http://schemas.openxmlformats.org/officeDocument/2006/relationships/hyperlink" Target="https://www.perfil.com/noticias/bravotv/patricia-bullrich-culpo-al-feminismo-por-la-ola-de-femicidios-y-desato-el-repudio-de-organizaciones-de-mujeres.phtml" TargetMode="External"/><Relationship Id="rId27" Type="http://schemas.openxmlformats.org/officeDocument/2006/relationships/hyperlink" Target="https://www.senado.gob.ar/prensa/22319/noticias" TargetMode="External"/><Relationship Id="rId29" Type="http://schemas.openxmlformats.org/officeDocument/2006/relationships/hyperlink" Target="https://www.argentina.gob.ar/generos/encuesta-de-prevalencia-de-violencia-contra-las-mujeres" TargetMode="External"/><Relationship Id="rId51" Type="http://schemas.openxmlformats.org/officeDocument/2006/relationships/hyperlink" Target="https://g7g20-documents.org/database/document/2024-g20-brazil-sherpa-track-womens-empowerment-ministers-ministers-language-documento-final" TargetMode="External"/><Relationship Id="rId50" Type="http://schemas.openxmlformats.org/officeDocument/2006/relationships/hyperlink" Target="https://ela.org.ar/novedades/la-corte-idh-rechaza-el-pedido-del-estado-argentino-de-retirar-la-opinion-consultiva-sobre-cuidados/" TargetMode="External"/><Relationship Id="rId53" Type="http://schemas.openxmlformats.org/officeDocument/2006/relationships/hyperlink" Target="https://www.infobae.com/politica/2024/12/19/argentina-modifico-su-voto-y-acompano-en-la-onu-la-resolucion-para-prevenir-la-violencia-contra-las-mujeres/#:~:text=Francisco%20Tropepi%20modific%C3%B3%20el%20voto%20de%20Argentina,y%20eliminaci%C3%B3n%20de%20todas%20las%20formas%20de" TargetMode="External"/><Relationship Id="rId52" Type="http://schemas.openxmlformats.org/officeDocument/2006/relationships/hyperlink" Target="https://docs.un.org/es/A/C.3/79/L.17/Rev.1" TargetMode="External"/><Relationship Id="rId11" Type="http://schemas.openxmlformats.org/officeDocument/2006/relationships/hyperlink" Target="https://ela.org.ar/wp-content/uploads/2023/06/5.-Es-por-aca.pdf.pdf" TargetMode="External"/><Relationship Id="rId55" Type="http://schemas.openxmlformats.org/officeDocument/2006/relationships/hyperlink" Target="https://belemdopara.org/wp-content/uploads/2024/06/Comunicado-IX-CEP.pdf" TargetMode="External"/><Relationship Id="rId10" Type="http://schemas.openxmlformats.org/officeDocument/2006/relationships/hyperlink" Target="https://ela.org.ar/wp-content/uploads/2025/12/Cronologia-del-derrumbre_ELA-2025.pdf" TargetMode="External"/><Relationship Id="rId54" Type="http://schemas.openxmlformats.org/officeDocument/2006/relationships/hyperlink" Target="https://belemdopara.org/wp-content/uploads/2024/02/Comunicado-Argentina-Institucionalidad.pdf" TargetMode="External"/><Relationship Id="rId13" Type="http://schemas.openxmlformats.org/officeDocument/2006/relationships/hyperlink" Target="https://www.boletinoficial.gob.ar/detalleAviso/primera/327433/20250625" TargetMode="External"/><Relationship Id="rId57" Type="http://schemas.openxmlformats.org/officeDocument/2006/relationships/hyperlink" Target="https://belemdopara.org/wp-content/uploads/2024/04/Comunicado-Argentina.pdf" TargetMode="External"/><Relationship Id="rId12" Type="http://schemas.openxmlformats.org/officeDocument/2006/relationships/hyperlink" Target="https://www.boletinoficial.gob.ar/detalleAviso/primera/312767/20240826" TargetMode="External"/><Relationship Id="rId56" Type="http://schemas.openxmlformats.org/officeDocument/2006/relationships/hyperlink" Target="https://belemdopara.org/wp-content/uploads/2024/08/Comunicado-Argentina-Agosto-2024-.pdf" TargetMode="External"/><Relationship Id="rId15" Type="http://schemas.openxmlformats.org/officeDocument/2006/relationships/hyperlink" Target="https://amnistia.org.ar/wp-content/uploads/delightful-downloads/2024/11/Pedido-de-informaci%C3%B3n-p%C3%BAblica-al-Ministerio-de-Justicia-de-Naci%C3%B3n.pdf?utm_source=perfit&amp;utm_medium=emai%20l" TargetMode="External"/><Relationship Id="rId59" Type="http://schemas.openxmlformats.org/officeDocument/2006/relationships/hyperlink" Target="https://www.cels.org.ar/web/wp-content/uploads/2025/09/LDC-informe-6-Final_.pdf" TargetMode="External"/><Relationship Id="rId14" Type="http://schemas.openxmlformats.org/officeDocument/2006/relationships/hyperlink" Target="https://www.boletinoficial.gob.ar/detalleAviso/primera/328414/20250716" TargetMode="External"/><Relationship Id="rId58" Type="http://schemas.openxmlformats.org/officeDocument/2006/relationships/hyperlink" Target="https://www.boletinoficial.gob.ar/detalleAviso/primera/312338/20240816" TargetMode="External"/><Relationship Id="rId17" Type="http://schemas.openxmlformats.org/officeDocument/2006/relationships/hyperlink" Target="https://servicios.infoleg.gob.ar/infolegInternet/verNorma.do?id=401266" TargetMode="External"/><Relationship Id="rId16" Type="http://schemas.openxmlformats.org/officeDocument/2006/relationships/hyperlink" Target="https://www.argentina.gob.ar/sites/default/files/2020/12/libro_informe_de_gestion_2023-hoja_por_hoja-v4.pdf" TargetMode="External"/><Relationship Id="rId19" Type="http://schemas.openxmlformats.org/officeDocument/2006/relationships/hyperlink" Target="https://www.instagram.com/p/DLkG908OTz4/" TargetMode="External"/><Relationship Id="rId18" Type="http://schemas.openxmlformats.org/officeDocument/2006/relationships/hyperlink" Target="https://ela.org.ar/wp-content/uploads/2024/01/Ley-Omnibus-Ley-Micaela_ELA.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2.png"/><Relationship Id="rId2" Type="http://schemas.openxmlformats.org/officeDocument/2006/relationships/image" Target="media/image25.jpg"/><Relationship Id="rId3" Type="http://schemas.openxmlformats.org/officeDocument/2006/relationships/image" Target="media/image18.png"/><Relationship Id="rId4" Type="http://schemas.openxmlformats.org/officeDocument/2006/relationships/image" Target="media/image4.png"/><Relationship Id="rId11" Type="http://schemas.openxmlformats.org/officeDocument/2006/relationships/image" Target="media/image7.png"/><Relationship Id="rId10" Type="http://schemas.openxmlformats.org/officeDocument/2006/relationships/image" Target="media/image21.jpg"/><Relationship Id="rId12" Type="http://schemas.openxmlformats.org/officeDocument/2006/relationships/image" Target="media/image11.jpg"/><Relationship Id="rId9" Type="http://schemas.openxmlformats.org/officeDocument/2006/relationships/image" Target="media/image14.png"/><Relationship Id="rId5" Type="http://schemas.openxmlformats.org/officeDocument/2006/relationships/image" Target="media/image15.png"/><Relationship Id="rId6" Type="http://schemas.openxmlformats.org/officeDocument/2006/relationships/image" Target="media/image24.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