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1B2F1C" w14:textId="77777777" w:rsidR="00AD096E" w:rsidRPr="001A106A" w:rsidRDefault="00AD096E" w:rsidP="00AD096E">
      <w:pPr>
        <w:spacing w:before="240" w:after="240" w:line="240" w:lineRule="auto"/>
        <w:contextualSpacing/>
        <w:jc w:val="right"/>
        <w:rPr>
          <w:rFonts w:ascii="Verdana" w:hAnsi="Verdana"/>
          <w:lang w:val="es-CL"/>
        </w:rPr>
      </w:pPr>
      <w:r>
        <w:rPr>
          <w:rFonts w:ascii="Verdana" w:hAnsi="Verdana" w:cs="Times New Roman"/>
          <w:lang w:val="es-ES"/>
        </w:rPr>
        <w:t>09 de s</w:t>
      </w:r>
      <w:r w:rsidRPr="001A106A">
        <w:rPr>
          <w:rFonts w:ascii="Verdana" w:hAnsi="Verdana" w:cs="Times New Roman"/>
          <w:lang w:val="es-ES"/>
        </w:rPr>
        <w:t xml:space="preserve">eptiembre </w:t>
      </w:r>
      <w:r w:rsidRPr="001A106A">
        <w:rPr>
          <w:rFonts w:ascii="Verdana" w:hAnsi="Verdana" w:cs="Times New Roman"/>
          <w:lang w:val="es-CO"/>
        </w:rPr>
        <w:t>2024</w:t>
      </w:r>
    </w:p>
    <w:p w14:paraId="2AEAF863" w14:textId="77777777" w:rsidR="00AD096E" w:rsidRPr="001A106A" w:rsidRDefault="00AD096E" w:rsidP="00AD096E">
      <w:pPr>
        <w:spacing w:before="240" w:after="240" w:line="240" w:lineRule="auto"/>
        <w:contextualSpacing/>
        <w:jc w:val="both"/>
        <w:rPr>
          <w:rFonts w:ascii="Verdana" w:hAnsi="Verdana" w:cs="Times New Roman"/>
          <w:lang w:val="fr-CA"/>
        </w:rPr>
      </w:pPr>
    </w:p>
    <w:p w14:paraId="1347BA6F" w14:textId="77777777" w:rsidR="00AD096E" w:rsidRPr="001A106A" w:rsidRDefault="00AD096E" w:rsidP="00AD096E">
      <w:pPr>
        <w:spacing w:before="240" w:after="240" w:line="240" w:lineRule="auto"/>
        <w:contextualSpacing/>
        <w:jc w:val="both"/>
        <w:rPr>
          <w:rFonts w:ascii="Verdana" w:hAnsi="Verdana" w:cs="Times New Roman"/>
          <w:lang w:val="fr-CA"/>
        </w:rPr>
      </w:pPr>
    </w:p>
    <w:p w14:paraId="41C7E298" w14:textId="77777777" w:rsidR="00AD096E" w:rsidRPr="001A106A" w:rsidRDefault="00AD096E" w:rsidP="00AD096E">
      <w:pPr>
        <w:spacing w:before="240" w:after="240" w:line="240" w:lineRule="auto"/>
        <w:ind w:left="2552"/>
        <w:contextualSpacing/>
        <w:jc w:val="both"/>
        <w:rPr>
          <w:rFonts w:ascii="Verdana" w:hAnsi="Verdana" w:cs="Times New Roman"/>
          <w:b/>
          <w:lang w:val="es-CO"/>
        </w:rPr>
      </w:pPr>
      <w:r w:rsidRPr="001A106A">
        <w:rPr>
          <w:rFonts w:ascii="Verdana" w:hAnsi="Verdana" w:cs="Times New Roman"/>
          <w:b/>
          <w:lang w:val="es-CO"/>
        </w:rPr>
        <w:t>Información independiente sobre las condiciones, avances y desafíos del acceso a la justicia de las mujeres en el contexto del 89° período de sesiones del Comité para la Eliminación de la Discriminación contra la Mujer</w:t>
      </w:r>
    </w:p>
    <w:p w14:paraId="2C4CAE22" w14:textId="77777777" w:rsidR="00AD096E" w:rsidRPr="001A106A" w:rsidRDefault="00AD096E" w:rsidP="00AD096E">
      <w:pPr>
        <w:spacing w:before="240" w:after="240" w:line="240" w:lineRule="auto"/>
        <w:ind w:left="2552"/>
        <w:contextualSpacing/>
        <w:jc w:val="both"/>
        <w:rPr>
          <w:rFonts w:ascii="Verdana" w:hAnsi="Verdana" w:cs="Times New Roman"/>
          <w:b/>
          <w:lang w:val="es-CO"/>
        </w:rPr>
      </w:pPr>
    </w:p>
    <w:p w14:paraId="14C12678" w14:textId="77777777" w:rsidR="00AD096E" w:rsidRPr="001A106A" w:rsidRDefault="00AD096E" w:rsidP="00AD096E">
      <w:pPr>
        <w:pStyle w:val="Encabezado1"/>
        <w:spacing w:before="240" w:after="240" w:line="360" w:lineRule="auto"/>
        <w:rPr>
          <w:rFonts w:ascii="Verdana" w:hAnsi="Verdana"/>
        </w:rPr>
      </w:pPr>
      <w:r w:rsidRPr="001A106A">
        <w:rPr>
          <w:rFonts w:ascii="Verdana" w:hAnsi="Verdana" w:cs="Times New Roman"/>
        </w:rPr>
        <w:t>Distinguidos</w:t>
      </w:r>
      <w:r w:rsidRPr="001A106A">
        <w:rPr>
          <w:rFonts w:ascii="Verdana" w:eastAsia="Times New Roman" w:hAnsi="Verdana" w:cs="Times New Roman"/>
        </w:rPr>
        <w:t xml:space="preserve">/as </w:t>
      </w:r>
      <w:r w:rsidRPr="001A106A">
        <w:rPr>
          <w:rFonts w:ascii="Verdana" w:hAnsi="Verdana" w:cs="Times New Roman"/>
        </w:rPr>
        <w:t>Miembros del Comité para la Eliminación de la Discriminación contra la Mujer (el "</w:t>
      </w:r>
      <w:r w:rsidRPr="001A106A">
        <w:rPr>
          <w:rFonts w:ascii="Verdana" w:hAnsi="Verdana" w:cs="Times New Roman"/>
          <w:b/>
          <w:u w:val="single"/>
        </w:rPr>
        <w:t>Comité</w:t>
      </w:r>
      <w:r w:rsidRPr="001A106A">
        <w:rPr>
          <w:rFonts w:ascii="Verdana" w:hAnsi="Verdana" w:cs="Times New Roman"/>
        </w:rPr>
        <w:t>"):</w:t>
      </w:r>
    </w:p>
    <w:p w14:paraId="50ED9472" w14:textId="77777777" w:rsidR="00AD096E" w:rsidRPr="001A106A" w:rsidRDefault="00AD096E" w:rsidP="00AD096E">
      <w:pPr>
        <w:spacing w:before="240" w:after="240" w:line="360" w:lineRule="auto"/>
        <w:jc w:val="both"/>
        <w:rPr>
          <w:rFonts w:ascii="Verdana" w:hAnsi="Verdana" w:cs="Times New Roman"/>
          <w:lang w:val="es-CO"/>
        </w:rPr>
      </w:pPr>
      <w:r w:rsidRPr="001A106A">
        <w:rPr>
          <w:rFonts w:ascii="Verdana" w:hAnsi="Verdana" w:cs="Times New Roman"/>
          <w:lang w:val="es-CO"/>
        </w:rPr>
        <w:t xml:space="preserve">La </w:t>
      </w:r>
      <w:r w:rsidRPr="001A106A">
        <w:rPr>
          <w:rFonts w:ascii="Verdana" w:hAnsi="Verdana" w:cs="Times New Roman"/>
          <w:b/>
          <w:bCs/>
          <w:lang w:val="es-CO"/>
        </w:rPr>
        <w:t xml:space="preserve">Fundación </w:t>
      </w:r>
      <w:bookmarkStart w:id="0" w:name="_Int_jglElAQT"/>
      <w:r w:rsidRPr="001A106A">
        <w:rPr>
          <w:rFonts w:ascii="Verdana" w:hAnsi="Verdana" w:cs="Times New Roman"/>
          <w:b/>
          <w:bCs/>
          <w:lang w:val="es-CO"/>
        </w:rPr>
        <w:t>Pro Bono</w:t>
      </w:r>
      <w:bookmarkEnd w:id="0"/>
      <w:r w:rsidRPr="001A106A">
        <w:rPr>
          <w:rStyle w:val="Refdenotaalpie"/>
          <w:rFonts w:ascii="Verdana" w:hAnsi="Verdana" w:cs="Times New Roman"/>
          <w:lang w:val="es-CO"/>
        </w:rPr>
        <w:footnoteReference w:id="1"/>
      </w:r>
      <w:r>
        <w:rPr>
          <w:rFonts w:ascii="Verdana" w:hAnsi="Verdana" w:cs="Times New Roman"/>
          <w:b/>
          <w:bCs/>
          <w:lang w:val="es-CO"/>
        </w:rPr>
        <w:t xml:space="preserve"> </w:t>
      </w:r>
      <w:r w:rsidRPr="00DE5FE2">
        <w:rPr>
          <w:rFonts w:ascii="Verdana" w:hAnsi="Verdana" w:cs="Times New Roman"/>
          <w:bCs/>
          <w:lang w:val="es-CO"/>
        </w:rPr>
        <w:t>(“</w:t>
      </w:r>
      <w:r w:rsidRPr="00DE5FE2">
        <w:rPr>
          <w:rFonts w:ascii="Verdana" w:hAnsi="Verdana" w:cs="Times New Roman"/>
          <w:b/>
          <w:bCs/>
          <w:u w:val="single"/>
          <w:lang w:val="es-CO"/>
        </w:rPr>
        <w:t>Fundación</w:t>
      </w:r>
      <w:r w:rsidRPr="00DE5FE2">
        <w:rPr>
          <w:rFonts w:ascii="Verdana" w:hAnsi="Verdana" w:cs="Times New Roman"/>
          <w:bCs/>
          <w:lang w:val="es-CO"/>
        </w:rPr>
        <w:t>”)</w:t>
      </w:r>
      <w:r w:rsidRPr="00DE5FE2">
        <w:rPr>
          <w:rFonts w:ascii="Verdana" w:hAnsi="Verdana" w:cs="Times New Roman"/>
          <w:lang w:val="es-CO"/>
        </w:rPr>
        <w:t>,</w:t>
      </w:r>
      <w:r w:rsidRPr="001A106A">
        <w:rPr>
          <w:rFonts w:ascii="Verdana" w:hAnsi="Verdana" w:cs="Times New Roman"/>
          <w:lang w:val="es-CO"/>
        </w:rPr>
        <w:t xml:space="preserve"> en el marco del 89° período de sesiones de este Comité y la presentación del 8° Informe Periódico de Chile, ha levantado a partir de su experiencia, cuáles son las principales barreras a las cuales se enfrentan las mujeres en el acceso a justicia.</w:t>
      </w:r>
    </w:p>
    <w:p w14:paraId="4564C4DC" w14:textId="77777777" w:rsidR="00AD096E" w:rsidRPr="001A106A" w:rsidRDefault="00AD096E" w:rsidP="00AD096E">
      <w:pPr>
        <w:spacing w:before="240" w:after="240" w:line="360" w:lineRule="auto"/>
        <w:jc w:val="both"/>
        <w:rPr>
          <w:rFonts w:ascii="Verdana" w:hAnsi="Verdana"/>
          <w:lang w:val="es-CL"/>
        </w:rPr>
      </w:pPr>
      <w:r w:rsidRPr="001A106A">
        <w:rPr>
          <w:rFonts w:ascii="Verdana" w:hAnsi="Verdana" w:cs="Times New Roman"/>
          <w:lang w:val="es-CO"/>
        </w:rPr>
        <w:t xml:space="preserve">En específico, abordaremos los siguientes temas relacionados a lo dispuesto por este Comité en el párrafo 5 de la lista de cuestiones y preguntas previas a la presentación del 8° Informe Periódico de Chile y en la Recomendación General N° 33 (2015): </w:t>
      </w:r>
      <w:r w:rsidRPr="001A106A">
        <w:rPr>
          <w:rFonts w:ascii="Verdana" w:hAnsi="Verdana" w:cs="Times New Roman"/>
          <w:b/>
          <w:bCs/>
          <w:lang w:val="es-CO"/>
        </w:rPr>
        <w:t xml:space="preserve">(i) </w:t>
      </w:r>
      <w:r w:rsidRPr="001A106A">
        <w:rPr>
          <w:rFonts w:ascii="Verdana" w:hAnsi="Verdana" w:cs="Times New Roman"/>
          <w:lang w:val="es-CO"/>
        </w:rPr>
        <w:t xml:space="preserve">Desafíos del acceso a la justicia de mujeres pertenecientes a grupos desfavorecidos y marginados: </w:t>
      </w:r>
      <w:r w:rsidRPr="001A106A">
        <w:rPr>
          <w:rFonts w:ascii="Verdana" w:hAnsi="Verdana" w:cs="Times New Roman"/>
          <w:b/>
          <w:bCs/>
          <w:lang w:val="es-CO"/>
        </w:rPr>
        <w:t>(ii)</w:t>
      </w:r>
      <w:r w:rsidRPr="001A106A">
        <w:rPr>
          <w:rFonts w:ascii="Verdana" w:hAnsi="Verdana" w:cs="Times New Roman"/>
          <w:lang w:val="es-CO"/>
        </w:rPr>
        <w:t xml:space="preserve"> Barreras de acceso a la justicia; </w:t>
      </w:r>
      <w:r w:rsidRPr="001A106A">
        <w:rPr>
          <w:rFonts w:ascii="Verdana" w:hAnsi="Verdana" w:cs="Times New Roman"/>
          <w:b/>
          <w:bCs/>
          <w:lang w:val="es-CO"/>
        </w:rPr>
        <w:t>(iii)</w:t>
      </w:r>
      <w:r w:rsidRPr="001A106A">
        <w:rPr>
          <w:rFonts w:ascii="Verdana" w:hAnsi="Verdana" w:cs="Times New Roman"/>
          <w:lang w:val="es-CO"/>
        </w:rPr>
        <w:t xml:space="preserve"> Inexistencia de un registro sobre el número de casos de discriminación por razón de género; </w:t>
      </w:r>
      <w:r w:rsidRPr="001A106A">
        <w:rPr>
          <w:rFonts w:ascii="Verdana" w:hAnsi="Verdana" w:cs="Times New Roman"/>
          <w:b/>
          <w:bCs/>
          <w:lang w:val="es-CO"/>
        </w:rPr>
        <w:t>(iv)</w:t>
      </w:r>
      <w:r w:rsidRPr="001A106A">
        <w:rPr>
          <w:rFonts w:ascii="Verdana" w:hAnsi="Verdana" w:cs="Times New Roman"/>
          <w:lang w:val="es-CO"/>
        </w:rPr>
        <w:t xml:space="preserve"> A</w:t>
      </w:r>
      <w:r w:rsidRPr="001A106A">
        <w:rPr>
          <w:rFonts w:ascii="Verdana" w:eastAsia="Verdana" w:hAnsi="Verdana" w:cs="Verdana"/>
          <w:lang w:val="es-CO"/>
        </w:rPr>
        <w:t xml:space="preserve">usencia de coordinación interinstitucional en el caso de violencia intrafamiliar; y, </w:t>
      </w:r>
      <w:r w:rsidRPr="001A106A">
        <w:rPr>
          <w:rFonts w:ascii="Verdana" w:hAnsi="Verdana" w:cs="Times New Roman"/>
          <w:b/>
          <w:bCs/>
          <w:lang w:val="es-CO"/>
        </w:rPr>
        <w:t>(iv)</w:t>
      </w:r>
      <w:r w:rsidRPr="001A106A">
        <w:rPr>
          <w:rFonts w:ascii="Verdana" w:hAnsi="Verdana" w:cs="Times New Roman"/>
          <w:lang w:val="es-CO"/>
        </w:rPr>
        <w:t xml:space="preserve"> Recomendaciones de Fundación Pro Bono. </w:t>
      </w:r>
    </w:p>
    <w:p w14:paraId="45E117E5" w14:textId="77777777" w:rsidR="00AD096E" w:rsidRPr="00B4197D" w:rsidRDefault="00AD096E" w:rsidP="00AD096E">
      <w:pPr>
        <w:pStyle w:val="Prrafodelista"/>
        <w:numPr>
          <w:ilvl w:val="0"/>
          <w:numId w:val="4"/>
        </w:numPr>
        <w:suppressAutoHyphens w:val="0"/>
        <w:autoSpaceDN/>
        <w:spacing w:before="240" w:after="240" w:line="360" w:lineRule="auto"/>
        <w:ind w:left="567" w:hanging="567"/>
        <w:contextualSpacing w:val="0"/>
        <w:jc w:val="both"/>
        <w:rPr>
          <w:rFonts w:ascii="Verdana" w:eastAsia="Verdana" w:hAnsi="Verdana" w:cs="Verdana"/>
          <w:b/>
          <w:lang w:val="es" w:eastAsia="es-CL"/>
        </w:rPr>
      </w:pPr>
      <w:r w:rsidRPr="001A106A">
        <w:rPr>
          <w:rFonts w:ascii="Verdana" w:eastAsia="Verdana" w:hAnsi="Verdana" w:cs="Verdana"/>
          <w:b/>
          <w:u w:val="single"/>
          <w:lang w:val="es" w:eastAsia="es-CL"/>
        </w:rPr>
        <w:t>DESAFÍOS DEL ACCESO A LA JUSTICIA DE MUJERES PERTENECIENTES A GRUPOS DESFAVORECIDOS Y MARGINADOS</w:t>
      </w:r>
      <w:r w:rsidRPr="00B4197D">
        <w:rPr>
          <w:rFonts w:ascii="Verdana" w:eastAsia="Verdana" w:hAnsi="Verdana" w:cs="Verdana"/>
          <w:b/>
          <w:lang w:val="es" w:eastAsia="es-CL"/>
        </w:rPr>
        <w:t>:</w:t>
      </w:r>
    </w:p>
    <w:p w14:paraId="675E7C36" w14:textId="77777777" w:rsidR="00AD096E" w:rsidRPr="001A106A" w:rsidRDefault="00AD096E" w:rsidP="00AD096E">
      <w:pPr>
        <w:pStyle w:val="Prrafodelista"/>
        <w:tabs>
          <w:tab w:val="left" w:pos="142"/>
        </w:tabs>
        <w:spacing w:before="240" w:after="240" w:line="360" w:lineRule="auto"/>
        <w:ind w:left="0"/>
        <w:contextualSpacing w:val="0"/>
        <w:jc w:val="both"/>
        <w:rPr>
          <w:rFonts w:ascii="Verdana" w:hAnsi="Verdana" w:cs="Times New Roman"/>
          <w:lang w:val="es-CO"/>
        </w:rPr>
      </w:pPr>
      <w:r w:rsidRPr="001A106A">
        <w:rPr>
          <w:rFonts w:ascii="Verdana" w:hAnsi="Verdana" w:cs="Times New Roman"/>
          <w:lang w:val="es-CO"/>
        </w:rPr>
        <w:lastRenderedPageBreak/>
        <w:t xml:space="preserve">Según se explicará a continuación, en Chile existen diversas instituciones que permiten el acceso a la justicia de mujeres pertenecientes a grupos desfavorecidos y marginados. </w:t>
      </w:r>
    </w:p>
    <w:p w14:paraId="2ED02385" w14:textId="77777777" w:rsidR="00AD096E" w:rsidRPr="001A106A" w:rsidRDefault="00AD096E" w:rsidP="00AD096E">
      <w:pPr>
        <w:pStyle w:val="Prrafodelista"/>
        <w:tabs>
          <w:tab w:val="left" w:pos="142"/>
        </w:tabs>
        <w:spacing w:before="240" w:after="240" w:line="360" w:lineRule="auto"/>
        <w:ind w:left="0"/>
        <w:contextualSpacing w:val="0"/>
        <w:jc w:val="both"/>
        <w:rPr>
          <w:rFonts w:ascii="Verdana" w:hAnsi="Verdana" w:cs="Times New Roman"/>
          <w:lang w:val="es-CO"/>
        </w:rPr>
      </w:pPr>
      <w:r w:rsidRPr="001A106A">
        <w:rPr>
          <w:rFonts w:ascii="Verdana" w:hAnsi="Verdana" w:cs="Times New Roman"/>
          <w:lang w:val="es-CO"/>
        </w:rPr>
        <w:t xml:space="preserve">Sin embargo, a Fundación Pro Bono le preocupa que la oferta pública que ofrece el Estado Chile carezca de un lineamiento común para el acceso a la justicia de mujeres. </w:t>
      </w:r>
    </w:p>
    <w:p w14:paraId="01EF817B" w14:textId="77777777" w:rsidR="00AD096E" w:rsidRPr="001A106A" w:rsidRDefault="00AD096E" w:rsidP="00AD096E">
      <w:pPr>
        <w:pStyle w:val="Prrafodelista"/>
        <w:tabs>
          <w:tab w:val="left" w:pos="142"/>
        </w:tabs>
        <w:spacing w:before="240" w:after="240" w:line="360" w:lineRule="auto"/>
        <w:ind w:left="0"/>
        <w:contextualSpacing w:val="0"/>
        <w:jc w:val="both"/>
        <w:rPr>
          <w:rFonts w:ascii="Verdana" w:hAnsi="Verdana" w:cs="Times New Roman"/>
          <w:lang w:val="es-CO"/>
        </w:rPr>
      </w:pPr>
      <w:r w:rsidRPr="001A106A">
        <w:rPr>
          <w:rFonts w:ascii="Verdana" w:hAnsi="Verdana" w:cs="Times New Roman"/>
          <w:lang w:val="es-CO"/>
        </w:rPr>
        <w:t>Como consecuencia, el sistema para acceder a la justicia que ofrece el Estado a las mujeres pertenecientes a grupos desfavorecidos y marginados contiene deficiencias en su coordinación, focalización y eficacia.</w:t>
      </w:r>
    </w:p>
    <w:p w14:paraId="5C470F31" w14:textId="77777777" w:rsidR="00AD096E" w:rsidRPr="001A106A" w:rsidRDefault="00AD096E" w:rsidP="00AD096E">
      <w:pPr>
        <w:pStyle w:val="Prrafodelista"/>
        <w:tabs>
          <w:tab w:val="left" w:pos="142"/>
        </w:tabs>
        <w:spacing w:before="240" w:after="240" w:line="360" w:lineRule="auto"/>
        <w:ind w:left="0"/>
        <w:contextualSpacing w:val="0"/>
        <w:jc w:val="both"/>
        <w:rPr>
          <w:rFonts w:ascii="Verdana" w:hAnsi="Verdana" w:cs="Times New Roman"/>
          <w:lang w:val="es-CO"/>
        </w:rPr>
      </w:pPr>
      <w:r w:rsidRPr="001A106A">
        <w:rPr>
          <w:rFonts w:ascii="Verdana" w:hAnsi="Verdana" w:cs="Times New Roman"/>
          <w:lang w:val="es-CO"/>
        </w:rPr>
        <w:t>Las principales instituciones que permiten el acceso a la justicia de mujeres pertenecientes a grupos desfavorecidos y marginados son las siguientes:</w:t>
      </w:r>
    </w:p>
    <w:p w14:paraId="2D1EBDE5" w14:textId="77777777" w:rsidR="00AD096E" w:rsidRPr="001A106A" w:rsidRDefault="00AD096E" w:rsidP="00AD096E">
      <w:pPr>
        <w:pStyle w:val="Prrafodelista"/>
        <w:numPr>
          <w:ilvl w:val="0"/>
          <w:numId w:val="5"/>
        </w:numPr>
        <w:tabs>
          <w:tab w:val="left" w:pos="142"/>
        </w:tabs>
        <w:spacing w:before="240" w:after="240" w:line="360" w:lineRule="auto"/>
        <w:contextualSpacing w:val="0"/>
        <w:jc w:val="both"/>
        <w:rPr>
          <w:rFonts w:ascii="Verdana" w:hAnsi="Verdana" w:cs="Times New Roman"/>
          <w:u w:val="single"/>
          <w:lang w:val="es-CO"/>
        </w:rPr>
      </w:pPr>
      <w:r w:rsidRPr="001A106A">
        <w:rPr>
          <w:rFonts w:ascii="Verdana" w:hAnsi="Verdana" w:cs="Times New Roman"/>
          <w:u w:val="single"/>
          <w:lang w:val="es-CO"/>
        </w:rPr>
        <w:t>Corporación de Asistencia Judicial</w:t>
      </w:r>
      <w:r w:rsidRPr="00B4197D">
        <w:rPr>
          <w:rFonts w:ascii="Verdana" w:hAnsi="Verdana" w:cs="Times New Roman"/>
          <w:lang w:val="es-CO"/>
        </w:rPr>
        <w:t>:</w:t>
      </w:r>
    </w:p>
    <w:p w14:paraId="0F67C4AC" w14:textId="77777777" w:rsidR="00AD096E" w:rsidRPr="001A106A" w:rsidRDefault="00AD096E" w:rsidP="00AD096E">
      <w:pPr>
        <w:pStyle w:val="Prrafodelista"/>
        <w:tabs>
          <w:tab w:val="left" w:pos="142"/>
        </w:tabs>
        <w:spacing w:before="240" w:after="240" w:line="360" w:lineRule="auto"/>
        <w:ind w:left="0"/>
        <w:contextualSpacing w:val="0"/>
        <w:jc w:val="both"/>
        <w:rPr>
          <w:rFonts w:ascii="Verdana" w:hAnsi="Verdana" w:cs="Times New Roman"/>
          <w:lang w:val="es-CO"/>
        </w:rPr>
      </w:pPr>
      <w:r w:rsidRPr="001A106A">
        <w:rPr>
          <w:rFonts w:ascii="Verdana" w:hAnsi="Verdana" w:cs="Times New Roman"/>
          <w:lang w:val="es-CO"/>
        </w:rPr>
        <w:t>La Corporación de Asistencia Judicial (CAJ) es la institución encargada de proporcionar asesoría y patrocinio judicial gratuito. Tal como lo reconoció el Estado en el Informe enviado a esta Comisión con fecha 8 de marzo de 2022, el porcentaje de mujeres asistidas supera el 70%, abordando mayoritariamente la asistencia de mujeres víctimas de delitos sexuales.</w:t>
      </w:r>
    </w:p>
    <w:p w14:paraId="1AF0C318" w14:textId="77777777" w:rsidR="00AD096E" w:rsidRPr="001A106A" w:rsidRDefault="00AD096E" w:rsidP="00AD096E">
      <w:pPr>
        <w:pStyle w:val="Prrafodelista"/>
        <w:tabs>
          <w:tab w:val="left" w:pos="142"/>
        </w:tabs>
        <w:spacing w:before="240" w:after="240" w:line="360" w:lineRule="auto"/>
        <w:ind w:left="0"/>
        <w:contextualSpacing w:val="0"/>
        <w:jc w:val="both"/>
        <w:rPr>
          <w:rFonts w:ascii="Verdana" w:hAnsi="Verdana" w:cs="Times New Roman"/>
          <w:lang w:val="es-CO"/>
        </w:rPr>
      </w:pPr>
      <w:r w:rsidRPr="001A106A">
        <w:rPr>
          <w:rFonts w:ascii="Verdana" w:hAnsi="Verdana" w:cs="Times New Roman"/>
          <w:lang w:val="es-CO"/>
        </w:rPr>
        <w:t>Ahora bien, la CAJ utiliza un criterio económico para distinguir a sus usuarios, cuestión que deja fuera del acceso a la justicia a un sector importante de la población, como lo es la clase media empobrecida</w:t>
      </w:r>
      <w:r>
        <w:rPr>
          <w:rFonts w:ascii="Verdana" w:hAnsi="Verdana" w:cs="Times New Roman"/>
          <w:lang w:val="es-CO"/>
        </w:rPr>
        <w:t xml:space="preserve">. Este grupo no califica para ingresar a la CAJ por no cumplir con los parámetros económicos exigidos, pero tampoco puede pagar los altos costos de un abogado.  </w:t>
      </w:r>
    </w:p>
    <w:p w14:paraId="21792392" w14:textId="77777777" w:rsidR="00AD096E" w:rsidRPr="001A106A" w:rsidRDefault="00AD096E" w:rsidP="00AD096E">
      <w:pPr>
        <w:pStyle w:val="Prrafodelista"/>
        <w:tabs>
          <w:tab w:val="left" w:pos="142"/>
        </w:tabs>
        <w:spacing w:before="240" w:after="240" w:line="360" w:lineRule="auto"/>
        <w:ind w:left="0"/>
        <w:contextualSpacing w:val="0"/>
        <w:jc w:val="both"/>
        <w:rPr>
          <w:rFonts w:ascii="Verdana" w:hAnsi="Verdana" w:cs="Times New Roman"/>
          <w:lang w:val="es-CO"/>
        </w:rPr>
      </w:pPr>
      <w:r w:rsidRPr="001A106A">
        <w:rPr>
          <w:rFonts w:ascii="Verdana" w:hAnsi="Verdana" w:cs="Times New Roman"/>
          <w:lang w:val="es-CO"/>
        </w:rPr>
        <w:t xml:space="preserve">Ello, ya que la CAJ focaliza la defensa judicial en la población de escasos recursos que estén en el quinto </w:t>
      </w:r>
      <w:proofErr w:type="spellStart"/>
      <w:r w:rsidRPr="001A106A">
        <w:rPr>
          <w:rFonts w:ascii="Verdana" w:hAnsi="Verdana" w:cs="Times New Roman"/>
          <w:lang w:val="es-CO"/>
        </w:rPr>
        <w:t>decil</w:t>
      </w:r>
      <w:proofErr w:type="spellEnd"/>
      <w:r w:rsidRPr="001A106A">
        <w:rPr>
          <w:rFonts w:ascii="Verdana" w:hAnsi="Verdana" w:cs="Times New Roman"/>
          <w:lang w:val="es-CO"/>
        </w:rPr>
        <w:t>, es decir, que pertenezcan según el Registro Social de Hogares al 50% de la población más vulnerable de nuestro país.</w:t>
      </w:r>
    </w:p>
    <w:p w14:paraId="3F566631" w14:textId="77777777" w:rsidR="00AD096E" w:rsidRDefault="00AD096E" w:rsidP="00AD096E">
      <w:pPr>
        <w:pStyle w:val="Prrafodelista"/>
        <w:tabs>
          <w:tab w:val="left" w:pos="142"/>
        </w:tabs>
        <w:spacing w:before="240" w:after="240" w:line="360" w:lineRule="auto"/>
        <w:ind w:left="0"/>
        <w:contextualSpacing w:val="0"/>
        <w:jc w:val="both"/>
        <w:rPr>
          <w:rFonts w:ascii="Verdana" w:hAnsi="Verdana" w:cs="Times New Roman"/>
          <w:lang w:val="es-CO"/>
        </w:rPr>
      </w:pPr>
      <w:r w:rsidRPr="001A106A">
        <w:rPr>
          <w:rFonts w:ascii="Verdana" w:hAnsi="Verdana" w:cs="Times New Roman"/>
          <w:lang w:val="es-CO"/>
        </w:rPr>
        <w:t xml:space="preserve">Por lo demás, esta institución no se encuentra ubicada en todas las comunas del país, lo cual deja a personas que habitan en zonas rurales y alejadas en situación de </w:t>
      </w:r>
      <w:r w:rsidRPr="001A106A">
        <w:rPr>
          <w:rFonts w:ascii="Verdana" w:hAnsi="Verdana" w:cs="Times New Roman"/>
          <w:lang w:val="es-CO"/>
        </w:rPr>
        <w:lastRenderedPageBreak/>
        <w:t xml:space="preserve">vulnerabilidad sin acceso a la asesoría legal gratuita por parte del Estado. En ese sentido, desde hace un tiempo que Fundación Pro Bono se encuentra planificando posibilidades de expansión a otros territorios del país, para así poder prestar este apoyo legal.  </w:t>
      </w:r>
    </w:p>
    <w:p w14:paraId="709B2A95" w14:textId="77777777" w:rsidR="00AD096E" w:rsidRDefault="00AD096E" w:rsidP="00AD096E">
      <w:pPr>
        <w:pStyle w:val="Prrafodelista"/>
        <w:tabs>
          <w:tab w:val="left" w:pos="142"/>
        </w:tabs>
        <w:spacing w:before="240" w:after="240" w:line="360" w:lineRule="auto"/>
        <w:ind w:left="0"/>
        <w:contextualSpacing w:val="0"/>
        <w:jc w:val="both"/>
        <w:rPr>
          <w:rFonts w:ascii="Verdana" w:hAnsi="Verdana" w:cs="Times New Roman"/>
          <w:lang w:val="es-CO"/>
        </w:rPr>
      </w:pPr>
      <w:r>
        <w:rPr>
          <w:rFonts w:ascii="Verdana" w:hAnsi="Verdana" w:cs="Times New Roman"/>
          <w:lang w:val="es-CO"/>
        </w:rPr>
        <w:t>Adicionalmente, en reiteradas ocasiones, se presentan a la Fundación personas rechazadas por la CAJ, ya que la institución les ha señalado la imposibilidad de asumir sus casos atendido a que ya se encuentran representando a la contraparte.</w:t>
      </w:r>
    </w:p>
    <w:p w14:paraId="0BBD8C98" w14:textId="77777777" w:rsidR="00AD096E" w:rsidRPr="001A106A" w:rsidRDefault="00AD096E" w:rsidP="00AD096E">
      <w:pPr>
        <w:pStyle w:val="Prrafodelista"/>
        <w:tabs>
          <w:tab w:val="left" w:pos="142"/>
        </w:tabs>
        <w:spacing w:before="240" w:after="240" w:line="360" w:lineRule="auto"/>
        <w:ind w:left="0"/>
        <w:contextualSpacing w:val="0"/>
        <w:jc w:val="both"/>
        <w:rPr>
          <w:rFonts w:ascii="Verdana" w:hAnsi="Verdana" w:cs="Times New Roman"/>
          <w:lang w:val="es-CO"/>
        </w:rPr>
      </w:pPr>
      <w:r w:rsidRPr="001A106A">
        <w:rPr>
          <w:rFonts w:ascii="Verdana" w:hAnsi="Verdana" w:cs="Times New Roman"/>
          <w:lang w:val="es-CO"/>
        </w:rPr>
        <w:t>Cabe mencionar a este Comité que la calidad de la asistencia jurídica en la CAJ ha sido cuestionada, porque dicho sistema descansa en la prestación de servicios legales entregada por egresados de derecho que se encuentran realizando su práctica profesional, por lo que muchas veces no poseen la experiencia necesaria para tramitar una causa con la debida diligencia. Además, a esta falta de experiencia se suma el facto</w:t>
      </w:r>
      <w:r>
        <w:rPr>
          <w:rFonts w:ascii="Verdana" w:hAnsi="Verdana" w:cs="Times New Roman"/>
          <w:lang w:val="es-CO"/>
        </w:rPr>
        <w:t>r</w:t>
      </w:r>
      <w:r w:rsidRPr="001A106A">
        <w:rPr>
          <w:rFonts w:ascii="Verdana" w:hAnsi="Verdana" w:cs="Times New Roman"/>
          <w:lang w:val="es-CO"/>
        </w:rPr>
        <w:t xml:space="preserve"> de tiempo, pues los postulantes están durante un tiempo limitado en la institución. Lo anterior, tiene como consecuencia que no exista una continuidad en la defensa jurídica del usuario, ya que cada seis meses se cambia de practicante,</w:t>
      </w:r>
      <w:r>
        <w:rPr>
          <w:rFonts w:ascii="Verdana" w:hAnsi="Verdana" w:cs="Times New Roman"/>
          <w:lang w:val="es-CO"/>
        </w:rPr>
        <w:t xml:space="preserve"> por lo que el nuevo estudiante no tiene </w:t>
      </w:r>
      <w:r w:rsidRPr="001A106A">
        <w:rPr>
          <w:rFonts w:ascii="Verdana" w:hAnsi="Verdana" w:cs="Times New Roman"/>
          <w:lang w:val="es-CO"/>
        </w:rPr>
        <w:t>un manejo integral del caso</w:t>
      </w:r>
      <w:r>
        <w:rPr>
          <w:rFonts w:ascii="Verdana" w:hAnsi="Verdana" w:cs="Times New Roman"/>
          <w:lang w:val="es-CO"/>
        </w:rPr>
        <w:t>.</w:t>
      </w:r>
    </w:p>
    <w:p w14:paraId="01C75D71" w14:textId="77777777" w:rsidR="00AD096E" w:rsidRPr="001A106A" w:rsidRDefault="00AD096E" w:rsidP="00AD096E">
      <w:pPr>
        <w:pStyle w:val="Prrafodelista"/>
        <w:tabs>
          <w:tab w:val="left" w:pos="142"/>
        </w:tabs>
        <w:spacing w:before="240" w:after="240" w:line="360" w:lineRule="auto"/>
        <w:ind w:left="0"/>
        <w:contextualSpacing w:val="0"/>
        <w:jc w:val="both"/>
        <w:rPr>
          <w:rFonts w:ascii="Verdana" w:hAnsi="Verdana" w:cs="Times New Roman"/>
          <w:lang w:val="es-CO"/>
        </w:rPr>
      </w:pPr>
      <w:r w:rsidRPr="001A106A">
        <w:rPr>
          <w:rFonts w:ascii="Verdana" w:hAnsi="Verdana" w:cs="Times New Roman"/>
          <w:lang w:val="es-CO"/>
        </w:rPr>
        <w:t>Finalmente, es importante advertir una excesiva demora en los plazos establecidos para responder a los reclamos interpuestos por los usuarios y falta de fundamentación de estos, además de falencias en el sistema de control de seguimiento de causas.</w:t>
      </w:r>
      <w:r w:rsidRPr="001A106A">
        <w:rPr>
          <w:rFonts w:ascii="Verdana" w:hAnsi="Verdana" w:cs="Times New Roman"/>
          <w:vertAlign w:val="superscript"/>
          <w:lang w:val="es-CO"/>
        </w:rPr>
        <w:footnoteReference w:id="2"/>
      </w:r>
    </w:p>
    <w:p w14:paraId="585870B2" w14:textId="77777777" w:rsidR="00AD096E" w:rsidRPr="00B4197D" w:rsidRDefault="00AD096E" w:rsidP="00AD096E">
      <w:pPr>
        <w:pStyle w:val="Prrafodelista"/>
        <w:numPr>
          <w:ilvl w:val="0"/>
          <w:numId w:val="5"/>
        </w:numPr>
        <w:tabs>
          <w:tab w:val="left" w:pos="142"/>
        </w:tabs>
        <w:spacing w:before="240" w:after="240" w:line="360" w:lineRule="auto"/>
        <w:contextualSpacing w:val="0"/>
        <w:jc w:val="both"/>
        <w:rPr>
          <w:rFonts w:ascii="Verdana" w:hAnsi="Verdana" w:cs="Times New Roman"/>
          <w:lang w:val="es-CO"/>
        </w:rPr>
      </w:pPr>
      <w:r w:rsidRPr="001A106A">
        <w:rPr>
          <w:rFonts w:ascii="Verdana" w:hAnsi="Verdana" w:cs="Times New Roman"/>
          <w:u w:val="single"/>
          <w:lang w:val="es-CO"/>
        </w:rPr>
        <w:t>Defensoría Penal Pública</w:t>
      </w:r>
      <w:r w:rsidRPr="00B4197D">
        <w:rPr>
          <w:rFonts w:ascii="Verdana" w:hAnsi="Verdana" w:cs="Times New Roman"/>
          <w:lang w:val="es-CO"/>
        </w:rPr>
        <w:t>:</w:t>
      </w:r>
    </w:p>
    <w:p w14:paraId="53E842CB" w14:textId="77777777" w:rsidR="00AD096E" w:rsidRPr="001A106A" w:rsidRDefault="00AD096E" w:rsidP="00AD096E">
      <w:pPr>
        <w:tabs>
          <w:tab w:val="left" w:pos="142"/>
        </w:tabs>
        <w:spacing w:before="240" w:after="240" w:line="360" w:lineRule="auto"/>
        <w:jc w:val="both"/>
        <w:rPr>
          <w:rFonts w:ascii="Verdana" w:hAnsi="Verdana" w:cs="Times New Roman"/>
          <w:lang w:val="es-CO"/>
        </w:rPr>
      </w:pPr>
      <w:r w:rsidRPr="001A106A">
        <w:rPr>
          <w:rFonts w:ascii="Verdana" w:hAnsi="Verdana" w:cs="Times New Roman"/>
          <w:lang w:val="es-CO"/>
        </w:rPr>
        <w:t>A través de sus abogadas y abogados defensores, la DPP atiende a las personas imputadas, acusadas o condenadas por un delito hasta cumplir la sentencia si son declaradas culpables.</w:t>
      </w:r>
    </w:p>
    <w:p w14:paraId="10574655" w14:textId="77777777" w:rsidR="00AD096E" w:rsidRPr="001A106A" w:rsidRDefault="00AD096E" w:rsidP="00AD096E">
      <w:pPr>
        <w:tabs>
          <w:tab w:val="left" w:pos="142"/>
        </w:tabs>
        <w:spacing w:before="240" w:after="240" w:line="360" w:lineRule="auto"/>
        <w:jc w:val="both"/>
        <w:rPr>
          <w:rFonts w:ascii="Verdana" w:hAnsi="Verdana" w:cs="Times New Roman"/>
          <w:lang w:val="es-CO"/>
        </w:rPr>
      </w:pPr>
      <w:r w:rsidRPr="001A106A">
        <w:rPr>
          <w:rFonts w:ascii="Verdana" w:hAnsi="Verdana" w:cs="Times New Roman"/>
          <w:lang w:val="es-CO"/>
        </w:rPr>
        <w:lastRenderedPageBreak/>
        <w:t>Aunque, en general, el servicio de defensa de la Defensoría es gratuito, excepcionalmente hay un cobro total o parcial a los usuarios con recursos económicos para financiarlos privadamente. Para ello, la institución ha fijado un arancel, que establece ocho tramos progresivos de copago de acuerdo con los ingresos mensuales del usuario.</w:t>
      </w:r>
    </w:p>
    <w:p w14:paraId="7F31E385" w14:textId="77777777" w:rsidR="00AD096E" w:rsidRPr="001A106A" w:rsidRDefault="00AD096E" w:rsidP="00AD096E">
      <w:pPr>
        <w:tabs>
          <w:tab w:val="left" w:pos="142"/>
        </w:tabs>
        <w:spacing w:before="240" w:after="240" w:line="360" w:lineRule="auto"/>
        <w:jc w:val="both"/>
        <w:rPr>
          <w:rFonts w:ascii="Verdana" w:hAnsi="Verdana" w:cs="Times New Roman"/>
          <w:lang w:val="es-CO"/>
        </w:rPr>
      </w:pPr>
      <w:r w:rsidRPr="001A106A">
        <w:rPr>
          <w:rFonts w:ascii="Verdana" w:hAnsi="Verdana" w:cs="Times New Roman"/>
          <w:lang w:val="es-CO"/>
        </w:rPr>
        <w:t>La Defensoría funciona a nivel nacional, encontrándose distribuida en todas las regiones del país con Direcciones Regionales y unidades de prestación de servicios tanto públicas como licitadas.</w:t>
      </w:r>
    </w:p>
    <w:p w14:paraId="37F271CF" w14:textId="77777777" w:rsidR="00AD096E" w:rsidRPr="001A106A" w:rsidRDefault="00AD096E" w:rsidP="00AD096E">
      <w:pPr>
        <w:pStyle w:val="Prrafodelista"/>
        <w:numPr>
          <w:ilvl w:val="0"/>
          <w:numId w:val="5"/>
        </w:numPr>
        <w:tabs>
          <w:tab w:val="left" w:pos="142"/>
        </w:tabs>
        <w:spacing w:before="240" w:after="240" w:line="360" w:lineRule="auto"/>
        <w:contextualSpacing w:val="0"/>
        <w:jc w:val="both"/>
        <w:rPr>
          <w:rFonts w:ascii="Verdana" w:hAnsi="Verdana" w:cs="Times New Roman"/>
          <w:u w:val="single"/>
          <w:lang w:val="es-CO"/>
        </w:rPr>
      </w:pPr>
      <w:r w:rsidRPr="001A106A">
        <w:rPr>
          <w:rFonts w:ascii="Verdana" w:hAnsi="Verdana" w:cs="Times New Roman"/>
          <w:u w:val="single"/>
          <w:lang w:val="es-CO"/>
        </w:rPr>
        <w:t>Ministerio Público y Unidad de Víctimas y Testigos</w:t>
      </w:r>
      <w:r w:rsidRPr="00B4197D">
        <w:rPr>
          <w:rFonts w:ascii="Verdana" w:hAnsi="Verdana" w:cs="Times New Roman"/>
          <w:lang w:val="es-CO"/>
        </w:rPr>
        <w:t>:</w:t>
      </w:r>
    </w:p>
    <w:p w14:paraId="6B04DBDA" w14:textId="77777777" w:rsidR="00AD096E" w:rsidRPr="001A106A" w:rsidRDefault="00AD096E" w:rsidP="00AD096E">
      <w:pPr>
        <w:tabs>
          <w:tab w:val="left" w:pos="142"/>
        </w:tabs>
        <w:spacing w:before="240" w:after="240" w:line="360" w:lineRule="auto"/>
        <w:jc w:val="both"/>
        <w:rPr>
          <w:rFonts w:ascii="Verdana" w:hAnsi="Verdana" w:cs="Times New Roman"/>
          <w:lang w:val="es-CO"/>
        </w:rPr>
      </w:pPr>
      <w:r w:rsidRPr="001A106A">
        <w:rPr>
          <w:rFonts w:ascii="Verdana" w:hAnsi="Verdana" w:cs="Times New Roman"/>
          <w:lang w:val="es-CO"/>
        </w:rPr>
        <w:t xml:space="preserve">El Ministerio Público es un organismo autónomo cuya función es dirigir la investigación de los delitos, llevar a los imputados a los tribunales en los casos que corresponda y dar protección a víctimas y testigos. </w:t>
      </w:r>
    </w:p>
    <w:p w14:paraId="3473293D" w14:textId="77777777" w:rsidR="00AD096E" w:rsidRPr="001A106A" w:rsidRDefault="00AD096E" w:rsidP="00AD096E">
      <w:pPr>
        <w:tabs>
          <w:tab w:val="left" w:pos="142"/>
        </w:tabs>
        <w:spacing w:before="240" w:after="240" w:line="360" w:lineRule="auto"/>
        <w:jc w:val="both"/>
        <w:rPr>
          <w:rFonts w:ascii="Verdana" w:hAnsi="Verdana" w:cs="Times New Roman"/>
          <w:lang w:val="es-CO"/>
        </w:rPr>
      </w:pPr>
      <w:bookmarkStart w:id="1" w:name="_Int_BUDgXbam"/>
      <w:r w:rsidRPr="001A106A">
        <w:rPr>
          <w:rFonts w:ascii="Verdana" w:hAnsi="Verdana" w:cs="Times New Roman"/>
          <w:lang w:val="es-CO"/>
        </w:rPr>
        <w:t>En cumplimiento de lo anterior surgen las Unidades Regionales de Atención a Víctimas y Testigos (URAVIT) que están compuestas por un equipo multidisciplinario para otorgar orientación, protección y apoyo a las víctimas y testigos de un delito.</w:t>
      </w:r>
      <w:bookmarkEnd w:id="1"/>
      <w:r w:rsidRPr="001A106A">
        <w:rPr>
          <w:rFonts w:ascii="Verdana" w:hAnsi="Verdana" w:cs="Times New Roman"/>
          <w:lang w:val="es-CO"/>
        </w:rPr>
        <w:t xml:space="preserve"> </w:t>
      </w:r>
    </w:p>
    <w:p w14:paraId="4101EA7E" w14:textId="77777777" w:rsidR="00AD096E" w:rsidRPr="001A106A" w:rsidRDefault="00AD096E" w:rsidP="00AD096E">
      <w:pPr>
        <w:pStyle w:val="Prrafodelista"/>
        <w:numPr>
          <w:ilvl w:val="0"/>
          <w:numId w:val="5"/>
        </w:numPr>
        <w:tabs>
          <w:tab w:val="left" w:pos="142"/>
        </w:tabs>
        <w:spacing w:before="240" w:after="240" w:line="360" w:lineRule="auto"/>
        <w:contextualSpacing w:val="0"/>
        <w:jc w:val="both"/>
        <w:rPr>
          <w:rFonts w:ascii="Verdana" w:hAnsi="Verdana" w:cs="Times New Roman"/>
          <w:u w:val="single"/>
          <w:lang w:val="es-CO"/>
        </w:rPr>
      </w:pPr>
      <w:r w:rsidRPr="001A106A">
        <w:rPr>
          <w:rFonts w:ascii="Verdana" w:hAnsi="Verdana" w:cs="Times New Roman"/>
          <w:u w:val="single"/>
          <w:lang w:val="es-CO"/>
        </w:rPr>
        <w:t>Sociedad Civil</w:t>
      </w:r>
      <w:r w:rsidRPr="00B4197D">
        <w:rPr>
          <w:rFonts w:ascii="Verdana" w:hAnsi="Verdana" w:cs="Times New Roman"/>
          <w:lang w:val="es-CO"/>
        </w:rPr>
        <w:t>:</w:t>
      </w:r>
    </w:p>
    <w:p w14:paraId="018DBBBE" w14:textId="77777777" w:rsidR="00AD096E" w:rsidRPr="001A106A" w:rsidRDefault="00AD096E" w:rsidP="00AD096E">
      <w:pPr>
        <w:tabs>
          <w:tab w:val="left" w:pos="142"/>
        </w:tabs>
        <w:spacing w:before="240" w:after="240" w:line="360" w:lineRule="auto"/>
        <w:jc w:val="both"/>
        <w:rPr>
          <w:rFonts w:ascii="Verdana" w:hAnsi="Verdana" w:cs="Times New Roman"/>
          <w:lang w:val="es-CO"/>
        </w:rPr>
      </w:pPr>
      <w:r w:rsidRPr="001A106A">
        <w:rPr>
          <w:rFonts w:ascii="Verdana" w:hAnsi="Verdana" w:cs="Times New Roman"/>
          <w:lang w:val="es-CO"/>
        </w:rPr>
        <w:t>Las Facultades de Derecho de distintas Universidades del país contemplan “Clínicas Jurídicas” en virtud de las cuales los estudiantes –supervisados por docentes- proporcionan servicios jurídicos en distintas materias.</w:t>
      </w:r>
    </w:p>
    <w:p w14:paraId="356824F1" w14:textId="77777777" w:rsidR="00AD096E" w:rsidRPr="001A106A" w:rsidRDefault="00AD096E" w:rsidP="00AD096E">
      <w:pPr>
        <w:tabs>
          <w:tab w:val="left" w:pos="142"/>
        </w:tabs>
        <w:spacing w:before="240" w:after="240" w:line="360" w:lineRule="auto"/>
        <w:jc w:val="both"/>
        <w:rPr>
          <w:rFonts w:ascii="Verdana" w:hAnsi="Verdana" w:cs="Times New Roman"/>
          <w:lang w:val="es-CO"/>
        </w:rPr>
      </w:pPr>
      <w:r w:rsidRPr="001A106A">
        <w:rPr>
          <w:rFonts w:ascii="Verdana" w:hAnsi="Verdana" w:cs="Times New Roman"/>
          <w:lang w:val="es-CO"/>
        </w:rPr>
        <w:t>Las Clínicas Jurídicas no funcionan a nivel nacional, sino que se concentran en la Región Metropolitana y en las capitales regionales de Valparaíso, Biobío y la Araucanía.</w:t>
      </w:r>
      <w:r>
        <w:rPr>
          <w:rFonts w:ascii="Verdana" w:hAnsi="Verdana" w:cs="Times New Roman"/>
          <w:lang w:val="es-CO"/>
        </w:rPr>
        <w:t xml:space="preserve"> Adicionalmente, estas Clínicas Jurídicas no ven todas las materias del derecho, sino que muchas veces se limitan a ciertas temáticas específicas.</w:t>
      </w:r>
    </w:p>
    <w:p w14:paraId="775DFEE0" w14:textId="77777777" w:rsidR="00AD096E" w:rsidRPr="001A106A" w:rsidRDefault="00AD096E" w:rsidP="00AD096E">
      <w:pPr>
        <w:tabs>
          <w:tab w:val="left" w:pos="142"/>
        </w:tabs>
        <w:spacing w:before="240" w:after="240" w:line="360" w:lineRule="auto"/>
        <w:jc w:val="both"/>
        <w:rPr>
          <w:rFonts w:ascii="Verdana" w:hAnsi="Verdana" w:cs="Times New Roman"/>
          <w:lang w:val="es-CO"/>
        </w:rPr>
      </w:pPr>
      <w:r w:rsidRPr="001A106A">
        <w:rPr>
          <w:rFonts w:ascii="Verdana" w:hAnsi="Verdana" w:cs="Times New Roman"/>
          <w:lang w:val="es-CO"/>
        </w:rPr>
        <w:t xml:space="preserve">Por otro lado, en lo que respecta a la sociedad civil, organizaciones como Fundación </w:t>
      </w:r>
      <w:bookmarkStart w:id="2" w:name="_Int_ZsBqYThq"/>
      <w:r w:rsidRPr="001A106A">
        <w:rPr>
          <w:rFonts w:ascii="Verdana" w:hAnsi="Verdana" w:cs="Times New Roman"/>
          <w:lang w:val="es-CO"/>
        </w:rPr>
        <w:t>Pro Bono</w:t>
      </w:r>
      <w:bookmarkEnd w:id="2"/>
      <w:r w:rsidRPr="001A106A">
        <w:rPr>
          <w:rFonts w:ascii="Verdana" w:hAnsi="Verdana" w:cs="Times New Roman"/>
          <w:lang w:val="es-CO"/>
        </w:rPr>
        <w:t xml:space="preserve"> promueven y facilitan el acceso a la justicia en favor a personas y grupos en situaciones de vulnerabilidad.</w:t>
      </w:r>
    </w:p>
    <w:p w14:paraId="6C07CE0F" w14:textId="77777777" w:rsidR="00AD096E" w:rsidRPr="001A106A" w:rsidRDefault="00AD096E" w:rsidP="00AD096E">
      <w:pPr>
        <w:pStyle w:val="Prrafodelista"/>
        <w:numPr>
          <w:ilvl w:val="0"/>
          <w:numId w:val="4"/>
        </w:numPr>
        <w:suppressAutoHyphens w:val="0"/>
        <w:autoSpaceDN/>
        <w:spacing w:before="240" w:after="240" w:line="360" w:lineRule="auto"/>
        <w:ind w:left="567" w:hanging="567"/>
        <w:contextualSpacing w:val="0"/>
        <w:jc w:val="both"/>
        <w:rPr>
          <w:rFonts w:ascii="Verdana" w:eastAsia="Verdana" w:hAnsi="Verdana" w:cs="Verdana"/>
          <w:b/>
          <w:u w:val="single"/>
          <w:lang w:val="es" w:eastAsia="es-CL"/>
        </w:rPr>
      </w:pPr>
      <w:r w:rsidRPr="001A106A">
        <w:rPr>
          <w:rFonts w:ascii="Verdana" w:eastAsia="Verdana" w:hAnsi="Verdana" w:cs="Verdana"/>
          <w:b/>
          <w:u w:val="single"/>
          <w:lang w:val="es" w:eastAsia="es-CL"/>
        </w:rPr>
        <w:lastRenderedPageBreak/>
        <w:t>BARRERAS DE ACCESO A LA JUSTICIA</w:t>
      </w:r>
      <w:r w:rsidRPr="00B4197D">
        <w:rPr>
          <w:rFonts w:ascii="Verdana" w:eastAsia="Verdana" w:hAnsi="Verdana" w:cs="Verdana"/>
          <w:b/>
          <w:lang w:val="es" w:eastAsia="es-CL"/>
        </w:rPr>
        <w:t>:</w:t>
      </w:r>
    </w:p>
    <w:p w14:paraId="02790ADE" w14:textId="77777777" w:rsidR="00AD096E" w:rsidRPr="001A106A" w:rsidRDefault="00AD096E" w:rsidP="00AD096E">
      <w:pPr>
        <w:tabs>
          <w:tab w:val="left" w:pos="142"/>
        </w:tabs>
        <w:spacing w:before="240" w:after="240" w:line="360" w:lineRule="auto"/>
        <w:jc w:val="both"/>
        <w:rPr>
          <w:rFonts w:ascii="Verdana" w:hAnsi="Verdana" w:cs="Times New Roman"/>
          <w:lang w:val="es-CO"/>
        </w:rPr>
      </w:pPr>
      <w:r w:rsidRPr="001A106A">
        <w:rPr>
          <w:rFonts w:ascii="Verdana" w:hAnsi="Verdana" w:cs="Times New Roman"/>
          <w:lang w:val="es-CO"/>
        </w:rPr>
        <w:t xml:space="preserve">Según pasaremos a explicar a continuación, existen tres grandes barreras asociadas al acceso a la justicia de personas pertenecientes a grupos desfavorecidos y marginados: </w:t>
      </w:r>
      <w:r w:rsidRPr="001A106A">
        <w:rPr>
          <w:rFonts w:ascii="Verdana" w:hAnsi="Verdana" w:cs="Times New Roman"/>
          <w:b/>
          <w:bCs/>
          <w:lang w:val="es-CO"/>
        </w:rPr>
        <w:t>(i)</w:t>
      </w:r>
      <w:r w:rsidRPr="001A106A">
        <w:rPr>
          <w:rFonts w:ascii="Verdana" w:hAnsi="Verdana" w:cs="Times New Roman"/>
          <w:lang w:val="es-CO"/>
        </w:rPr>
        <w:t xml:space="preserve"> Los elevados costos judiciales; y, </w:t>
      </w:r>
      <w:r w:rsidRPr="001A106A">
        <w:rPr>
          <w:rFonts w:ascii="Verdana" w:hAnsi="Verdana" w:cs="Times New Roman"/>
          <w:b/>
          <w:bCs/>
          <w:lang w:val="es-CO"/>
        </w:rPr>
        <w:t>(ii)</w:t>
      </w:r>
      <w:r w:rsidRPr="001A106A">
        <w:rPr>
          <w:rFonts w:ascii="Verdana" w:hAnsi="Verdana" w:cs="Times New Roman"/>
          <w:lang w:val="es-CO"/>
        </w:rPr>
        <w:t xml:space="preserve"> La duración excesiva de los procesos judiciales; </w:t>
      </w:r>
      <w:r w:rsidRPr="001A106A">
        <w:rPr>
          <w:rFonts w:ascii="Verdana" w:hAnsi="Verdana" w:cs="Times New Roman"/>
          <w:b/>
          <w:bCs/>
          <w:lang w:val="es-CO"/>
        </w:rPr>
        <w:t>(iii)</w:t>
      </w:r>
      <w:r w:rsidRPr="001A106A">
        <w:rPr>
          <w:rFonts w:ascii="Verdana" w:hAnsi="Verdana" w:cs="Times New Roman"/>
          <w:lang w:val="es-CO"/>
        </w:rPr>
        <w:t xml:space="preserve"> La desconfianza en el sistema judicial.</w:t>
      </w:r>
    </w:p>
    <w:p w14:paraId="78A28C09" w14:textId="77777777" w:rsidR="00AD096E" w:rsidRPr="001A106A" w:rsidRDefault="00AD096E" w:rsidP="00AD096E">
      <w:pPr>
        <w:pStyle w:val="Prrafodelista"/>
        <w:numPr>
          <w:ilvl w:val="0"/>
          <w:numId w:val="6"/>
        </w:numPr>
        <w:tabs>
          <w:tab w:val="left" w:pos="142"/>
        </w:tabs>
        <w:spacing w:before="240" w:after="240" w:line="360" w:lineRule="auto"/>
        <w:contextualSpacing w:val="0"/>
        <w:jc w:val="both"/>
        <w:rPr>
          <w:rFonts w:ascii="Verdana" w:hAnsi="Verdana" w:cs="Times New Roman"/>
          <w:lang w:val="es-CO"/>
        </w:rPr>
      </w:pPr>
      <w:r w:rsidRPr="001A106A">
        <w:rPr>
          <w:rFonts w:ascii="Verdana" w:hAnsi="Verdana" w:cs="Times New Roman"/>
          <w:u w:val="single"/>
          <w:lang w:val="es-CO"/>
        </w:rPr>
        <w:t>Los elevados costos judiciales</w:t>
      </w:r>
      <w:r w:rsidRPr="001A106A">
        <w:rPr>
          <w:rFonts w:ascii="Verdana" w:hAnsi="Verdana" w:cs="Times New Roman"/>
          <w:lang w:val="es-CO"/>
        </w:rPr>
        <w:t>:</w:t>
      </w:r>
    </w:p>
    <w:p w14:paraId="0EE3279E" w14:textId="77777777" w:rsidR="00AD096E" w:rsidRPr="001A106A" w:rsidRDefault="00AD096E" w:rsidP="00AD096E">
      <w:pPr>
        <w:tabs>
          <w:tab w:val="left" w:pos="142"/>
        </w:tabs>
        <w:spacing w:before="240" w:after="240" w:line="360" w:lineRule="auto"/>
        <w:jc w:val="both"/>
        <w:rPr>
          <w:rFonts w:ascii="Verdana" w:hAnsi="Verdana"/>
          <w:lang w:val="es-CL"/>
        </w:rPr>
      </w:pPr>
      <w:r w:rsidRPr="001A106A">
        <w:rPr>
          <w:rFonts w:ascii="Verdana" w:hAnsi="Verdana" w:cs="Times New Roman"/>
          <w:lang w:val="es-CO"/>
        </w:rPr>
        <w:t xml:space="preserve">Una herramienta para combatir este problema es el privilegio de pobreza o llamado actualmente como “beneficio de asistencia judicial gratuita”, que consiste en el derecho a ser atendido gratuitamente por funcionarios del poder judicial. </w:t>
      </w:r>
    </w:p>
    <w:p w14:paraId="3B7383A2" w14:textId="77777777" w:rsidR="00AD096E" w:rsidRPr="001A106A" w:rsidRDefault="00AD096E" w:rsidP="00AD096E">
      <w:pPr>
        <w:tabs>
          <w:tab w:val="left" w:pos="142"/>
        </w:tabs>
        <w:spacing w:before="240" w:after="240" w:line="360" w:lineRule="auto"/>
        <w:jc w:val="both"/>
        <w:rPr>
          <w:rFonts w:ascii="Verdana" w:hAnsi="Verdana" w:cs="Times New Roman"/>
          <w:lang w:val="es-CO"/>
        </w:rPr>
      </w:pPr>
      <w:r w:rsidRPr="001A106A">
        <w:rPr>
          <w:rFonts w:ascii="Verdana" w:hAnsi="Verdana" w:cs="Times New Roman"/>
          <w:lang w:val="es-CO"/>
        </w:rPr>
        <w:t>El privilegio de pobreza permite eximirse de las consignaciones que la ley señala para interponer recursos, pagos de honorarios asociados a receptores judiciales, peritos judiciales y notarias, así como la exoneración del pago de costas.</w:t>
      </w:r>
    </w:p>
    <w:p w14:paraId="598DB045" w14:textId="77777777" w:rsidR="00AD096E" w:rsidRPr="001A106A" w:rsidRDefault="00AD096E" w:rsidP="00AD096E">
      <w:pPr>
        <w:tabs>
          <w:tab w:val="left" w:pos="142"/>
        </w:tabs>
        <w:spacing w:before="240" w:after="240" w:line="360" w:lineRule="auto"/>
        <w:jc w:val="both"/>
        <w:rPr>
          <w:rFonts w:ascii="Verdana" w:hAnsi="Verdana" w:cs="Times New Roman"/>
          <w:lang w:val="es-CO"/>
        </w:rPr>
      </w:pPr>
      <w:r w:rsidRPr="001A106A">
        <w:rPr>
          <w:rFonts w:ascii="Verdana" w:hAnsi="Verdana" w:cs="Times New Roman"/>
          <w:lang w:val="es-CO"/>
        </w:rPr>
        <w:t xml:space="preserve">Este beneficio se puede obtener a través de dos formas. En primer lugar, el privilegio de pobreza se puede obtener a través de una sentencia judicial, lo cual obliga al solicitante a acreditar una verdadera precariedad económica y soportar tiempo valioso en la tramitación en la concesión del privilegio. A lo anterior, debe sumarse que los usuarios por lo general desconocen sus derechos y la forma de ejercerlos, complejizando su solicitud por parte del interesado. </w:t>
      </w:r>
    </w:p>
    <w:p w14:paraId="2BB03FC7" w14:textId="77777777" w:rsidR="00AD096E" w:rsidRPr="001A106A" w:rsidRDefault="00AD096E" w:rsidP="00AD096E">
      <w:pPr>
        <w:tabs>
          <w:tab w:val="left" w:pos="142"/>
        </w:tabs>
        <w:spacing w:before="240" w:after="240" w:line="360" w:lineRule="auto"/>
        <w:jc w:val="both"/>
        <w:rPr>
          <w:rFonts w:ascii="Verdana" w:hAnsi="Verdana" w:cs="Times New Roman"/>
          <w:lang w:val="es-CO"/>
        </w:rPr>
      </w:pPr>
      <w:r w:rsidRPr="001A106A">
        <w:rPr>
          <w:rFonts w:ascii="Verdana" w:hAnsi="Verdana" w:cs="Times New Roman"/>
          <w:lang w:val="es-CO"/>
        </w:rPr>
        <w:t>La segunda vía para obtener el privilegio de pobreza son aquellas formas establecidas en la ley, como la presunción legal del artículo 135 del Código de Procedimiento Civil y en los casos expresamente dispuestos en el Código Orgánico de Tribunales.</w:t>
      </w:r>
    </w:p>
    <w:p w14:paraId="238B80AC" w14:textId="77777777" w:rsidR="00AD096E" w:rsidRPr="001A106A" w:rsidRDefault="00AD096E" w:rsidP="00AD096E">
      <w:pPr>
        <w:tabs>
          <w:tab w:val="left" w:pos="142"/>
        </w:tabs>
        <w:spacing w:before="240" w:after="240" w:line="360" w:lineRule="auto"/>
        <w:jc w:val="both"/>
        <w:rPr>
          <w:rFonts w:ascii="Verdana" w:hAnsi="Verdana"/>
          <w:lang w:val="es-CL"/>
        </w:rPr>
      </w:pPr>
      <w:r w:rsidRPr="001A106A">
        <w:rPr>
          <w:rFonts w:ascii="Verdana" w:hAnsi="Verdana" w:cs="Times New Roman"/>
          <w:lang w:val="es-CL"/>
        </w:rPr>
        <w:t xml:space="preserve">En este sentido, es preocupante para Fundación </w:t>
      </w:r>
      <w:bookmarkStart w:id="3" w:name="_Int_gC7XB923"/>
      <w:r w:rsidRPr="001A106A">
        <w:rPr>
          <w:rFonts w:ascii="Verdana" w:hAnsi="Verdana" w:cs="Times New Roman"/>
          <w:lang w:val="es-CL"/>
        </w:rPr>
        <w:t>Pro Bono</w:t>
      </w:r>
      <w:bookmarkEnd w:id="3"/>
      <w:r w:rsidRPr="001A106A">
        <w:rPr>
          <w:rFonts w:ascii="Verdana" w:hAnsi="Verdana" w:cs="Times New Roman"/>
          <w:lang w:val="es-CL"/>
        </w:rPr>
        <w:t xml:space="preserve"> los altos costos a los cuales se ve enfrentada una mujer al acceder a la justicia, ya que estas actúan como barreras que desincentivan su ejercicio, toda vez que para probar que han sido víctimas de un delito deben incurrir en estos gastos. Dicha situación pone a las mujeres en aprietos económico, ya que una gran parte de ellas son familias monoparentales, siendo ellas las principales sostenedoras económicas de sus </w:t>
      </w:r>
      <w:r w:rsidRPr="001A106A">
        <w:rPr>
          <w:rFonts w:ascii="Verdana" w:hAnsi="Verdana" w:cs="Times New Roman"/>
          <w:lang w:val="es-CL"/>
        </w:rPr>
        <w:lastRenderedPageBreak/>
        <w:t xml:space="preserve">hogares, por lo </w:t>
      </w:r>
      <w:r>
        <w:rPr>
          <w:rFonts w:ascii="Verdana" w:hAnsi="Verdana" w:cs="Times New Roman"/>
          <w:lang w:val="es-CL"/>
        </w:rPr>
        <w:t xml:space="preserve">que </w:t>
      </w:r>
      <w:r w:rsidRPr="001A106A">
        <w:rPr>
          <w:rFonts w:ascii="Verdana" w:hAnsi="Verdana" w:cs="Times New Roman"/>
          <w:lang w:val="es-CL"/>
        </w:rPr>
        <w:t>tiene</w:t>
      </w:r>
      <w:r>
        <w:rPr>
          <w:rFonts w:ascii="Verdana" w:hAnsi="Verdana" w:cs="Times New Roman"/>
          <w:lang w:val="es-CL"/>
        </w:rPr>
        <w:t>n</w:t>
      </w:r>
      <w:r w:rsidRPr="001A106A">
        <w:rPr>
          <w:rFonts w:ascii="Verdana" w:hAnsi="Verdana" w:cs="Times New Roman"/>
          <w:lang w:val="es-CL"/>
        </w:rPr>
        <w:t xml:space="preserve"> que decidir entre acceder a la justicia o satisfacer las necesidades básicas sus hijos, como lo son los alimentos o vestimenta</w:t>
      </w:r>
    </w:p>
    <w:p w14:paraId="39D415FC" w14:textId="77777777" w:rsidR="00AD096E" w:rsidRPr="001A106A" w:rsidRDefault="00AD096E" w:rsidP="00AD096E">
      <w:pPr>
        <w:pStyle w:val="Prrafodelista"/>
        <w:numPr>
          <w:ilvl w:val="0"/>
          <w:numId w:val="6"/>
        </w:numPr>
        <w:tabs>
          <w:tab w:val="left" w:pos="142"/>
        </w:tabs>
        <w:spacing w:before="240" w:after="240" w:line="360" w:lineRule="auto"/>
        <w:contextualSpacing w:val="0"/>
        <w:jc w:val="both"/>
        <w:rPr>
          <w:rFonts w:ascii="Verdana" w:hAnsi="Verdana" w:cs="Times New Roman"/>
          <w:u w:val="single"/>
          <w:lang w:val="es-CL"/>
        </w:rPr>
      </w:pPr>
      <w:r w:rsidRPr="001A106A">
        <w:rPr>
          <w:rFonts w:ascii="Verdana" w:hAnsi="Verdana" w:cs="Times New Roman"/>
          <w:u w:val="single"/>
          <w:lang w:val="es-CL"/>
        </w:rPr>
        <w:t>La duración excesiva de los procesos judiciales</w:t>
      </w:r>
      <w:r w:rsidRPr="001A106A">
        <w:rPr>
          <w:rFonts w:ascii="Verdana" w:hAnsi="Verdana" w:cs="Times New Roman"/>
          <w:lang w:val="es-CL"/>
        </w:rPr>
        <w:t>:</w:t>
      </w:r>
    </w:p>
    <w:p w14:paraId="185C33AD" w14:textId="77777777" w:rsidR="00AD096E" w:rsidRPr="001A106A" w:rsidRDefault="00AD096E" w:rsidP="00AD096E">
      <w:pPr>
        <w:tabs>
          <w:tab w:val="left" w:pos="142"/>
        </w:tabs>
        <w:spacing w:before="240" w:after="240" w:line="360" w:lineRule="auto"/>
        <w:jc w:val="both"/>
        <w:rPr>
          <w:rFonts w:ascii="Verdana" w:hAnsi="Verdana"/>
          <w:lang w:val="es-CL"/>
        </w:rPr>
      </w:pPr>
      <w:r w:rsidRPr="001A106A">
        <w:rPr>
          <w:rFonts w:ascii="Verdana" w:hAnsi="Verdana" w:cs="Times New Roman"/>
          <w:lang w:val="es-CL"/>
        </w:rPr>
        <w:t>Un segundo problema asociado al acceso a la justicia de mujeres pertenecientes a grupos desfavorecidos y marginados es la excesiva demora de los procesos judiciales En ese sentido sabemos que el sistema judicial es lento debido a la gran carga de causas que existe, sin embargo, esta lentitud se ve acentuada cuando los procesos judiciales son llevados por personas que no cuentan con la experiencia suficiente en un tema o tiene una gran sobrecarga de trabajo.</w:t>
      </w:r>
    </w:p>
    <w:p w14:paraId="24372022" w14:textId="77777777" w:rsidR="00AD096E" w:rsidRPr="001A106A" w:rsidRDefault="00AD096E" w:rsidP="00AD096E">
      <w:pPr>
        <w:tabs>
          <w:tab w:val="left" w:pos="142"/>
        </w:tabs>
        <w:spacing w:before="240" w:after="240" w:line="360" w:lineRule="auto"/>
        <w:jc w:val="both"/>
        <w:rPr>
          <w:rFonts w:ascii="Verdana" w:hAnsi="Verdana"/>
          <w:lang w:val="es-CL"/>
        </w:rPr>
      </w:pPr>
      <w:r w:rsidRPr="001A106A">
        <w:rPr>
          <w:rFonts w:ascii="Verdana" w:hAnsi="Verdana" w:cs="Times New Roman"/>
          <w:lang w:val="es-ES"/>
        </w:rPr>
        <w:t>Dicha situación preocupa a Fundación Pro Bono toda vez que la demora es uno de los principales motivos para la mala percepción de la justicia en la ciudadanía</w:t>
      </w:r>
      <w:r w:rsidRPr="001A106A">
        <w:rPr>
          <w:rFonts w:ascii="Verdana" w:hAnsi="Verdana" w:cs="Times New Roman"/>
          <w:vertAlign w:val="superscript"/>
          <w:lang w:val="es-ES"/>
        </w:rPr>
        <w:t>.</w:t>
      </w:r>
      <w:r w:rsidRPr="001A106A">
        <w:rPr>
          <w:rFonts w:ascii="Verdana" w:hAnsi="Verdana" w:cs="Times New Roman"/>
          <w:vertAlign w:val="superscript"/>
          <w:lang w:val="es-ES"/>
        </w:rPr>
        <w:footnoteReference w:id="3"/>
      </w:r>
    </w:p>
    <w:p w14:paraId="71D8793D" w14:textId="77777777" w:rsidR="00AD096E" w:rsidRPr="001A106A" w:rsidRDefault="00AD096E" w:rsidP="00AD096E">
      <w:pPr>
        <w:tabs>
          <w:tab w:val="left" w:pos="142"/>
        </w:tabs>
        <w:spacing w:before="240" w:after="240" w:line="360" w:lineRule="auto"/>
        <w:jc w:val="both"/>
        <w:rPr>
          <w:rFonts w:ascii="Verdana" w:eastAsia="Verdana" w:hAnsi="Verdana" w:cs="Verdana"/>
          <w:lang w:val="es-CO"/>
        </w:rPr>
      </w:pPr>
      <w:r w:rsidRPr="001A106A">
        <w:rPr>
          <w:rFonts w:ascii="Verdana" w:eastAsia="Verdana" w:hAnsi="Verdana" w:cs="Verdana"/>
          <w:lang w:val="es-CO"/>
        </w:rPr>
        <w:t>La tardanza en la resolución de los procesos judiciales no solo eleva los costos de litigación, sino que también genera incertidumbre que puede llevar al desistimiento de las pretensiones o a transigir por montos inferiores a los demandados</w:t>
      </w:r>
    </w:p>
    <w:p w14:paraId="18AFFE8A" w14:textId="77777777" w:rsidR="00AD096E" w:rsidRPr="001A106A" w:rsidRDefault="00AD096E" w:rsidP="00AD096E">
      <w:pPr>
        <w:pStyle w:val="Prrafodelista"/>
        <w:numPr>
          <w:ilvl w:val="0"/>
          <w:numId w:val="6"/>
        </w:numPr>
        <w:tabs>
          <w:tab w:val="left" w:pos="142"/>
        </w:tabs>
        <w:spacing w:before="240" w:after="240" w:line="360" w:lineRule="auto"/>
        <w:contextualSpacing w:val="0"/>
        <w:jc w:val="both"/>
        <w:rPr>
          <w:rFonts w:ascii="Verdana" w:eastAsia="Verdana" w:hAnsi="Verdana" w:cs="Verdana"/>
          <w:lang w:val="es-CO"/>
        </w:rPr>
      </w:pPr>
      <w:r w:rsidRPr="001A106A">
        <w:rPr>
          <w:rFonts w:ascii="Verdana" w:eastAsia="Verdana" w:hAnsi="Verdana" w:cs="Verdana"/>
          <w:u w:val="single"/>
          <w:lang w:val="es-CO"/>
        </w:rPr>
        <w:t>Desconfianza en el sistema judicial</w:t>
      </w:r>
      <w:r w:rsidRPr="001A106A">
        <w:rPr>
          <w:rFonts w:ascii="Verdana" w:eastAsia="Verdana" w:hAnsi="Verdana" w:cs="Verdana"/>
          <w:lang w:val="es-CO"/>
        </w:rPr>
        <w:t>:</w:t>
      </w:r>
    </w:p>
    <w:p w14:paraId="32C4C4D5" w14:textId="77777777" w:rsidR="00AD096E" w:rsidRPr="001A106A" w:rsidRDefault="00AD096E" w:rsidP="00AD096E">
      <w:pPr>
        <w:tabs>
          <w:tab w:val="left" w:pos="142"/>
        </w:tabs>
        <w:spacing w:before="240" w:after="240" w:line="360" w:lineRule="auto"/>
        <w:jc w:val="both"/>
        <w:rPr>
          <w:rFonts w:ascii="Verdana" w:hAnsi="Verdana"/>
          <w:lang w:val="es-CL"/>
        </w:rPr>
      </w:pPr>
      <w:r w:rsidRPr="001A106A">
        <w:rPr>
          <w:rFonts w:ascii="Verdana" w:eastAsia="Verdana" w:hAnsi="Verdana" w:cs="Verdana"/>
          <w:lang w:val="es-CO"/>
        </w:rPr>
        <w:t>Finalmente, otra barrera relacionada al acceso a la justicia de las mujeres es la mala percepción o desconfianza en el sistema judicial. Actualmente, debido a factores como los incumplimientos de medidas de protección, aplicación estereotipos, sesgos y perjuicios adoptados por los órganos de la justicia, existe una percepción de impunidad y desconfianza ante el sistema judicial.</w:t>
      </w:r>
      <w:r w:rsidRPr="001A106A">
        <w:rPr>
          <w:rFonts w:ascii="Verdana" w:eastAsia="Verdana" w:hAnsi="Verdana" w:cs="Verdana"/>
          <w:vertAlign w:val="superscript"/>
          <w:lang w:val="es-CO"/>
        </w:rPr>
        <w:footnoteReference w:id="4"/>
      </w:r>
    </w:p>
    <w:p w14:paraId="41BFEAE8" w14:textId="77777777" w:rsidR="00AD096E" w:rsidRPr="001A106A" w:rsidRDefault="00AD096E" w:rsidP="00AD096E">
      <w:pPr>
        <w:tabs>
          <w:tab w:val="left" w:pos="142"/>
        </w:tabs>
        <w:spacing w:before="240" w:after="240" w:line="360" w:lineRule="auto"/>
        <w:jc w:val="both"/>
        <w:rPr>
          <w:rFonts w:ascii="Verdana" w:eastAsia="Verdana" w:hAnsi="Verdana" w:cs="Verdana"/>
          <w:lang w:val="es-CO"/>
        </w:rPr>
      </w:pPr>
      <w:r w:rsidRPr="001A106A">
        <w:rPr>
          <w:rFonts w:ascii="Verdana" w:eastAsia="Verdana" w:hAnsi="Verdana" w:cs="Verdana"/>
          <w:lang w:val="es-CO"/>
        </w:rPr>
        <w:t xml:space="preserve">Cabe advertir que la desconfianza en el sistema judicial se </w:t>
      </w:r>
      <w:r>
        <w:rPr>
          <w:rFonts w:ascii="Verdana" w:eastAsia="Verdana" w:hAnsi="Verdana" w:cs="Verdana"/>
          <w:lang w:val="es-CO"/>
        </w:rPr>
        <w:t>ha incrementado</w:t>
      </w:r>
      <w:r w:rsidRPr="001A106A">
        <w:rPr>
          <w:rFonts w:ascii="Verdana" w:eastAsia="Verdana" w:hAnsi="Verdana" w:cs="Verdana"/>
          <w:lang w:val="es-CO"/>
        </w:rPr>
        <w:t xml:space="preserve"> </w:t>
      </w:r>
      <w:r>
        <w:rPr>
          <w:rFonts w:ascii="Verdana" w:eastAsia="Verdana" w:hAnsi="Verdana" w:cs="Verdana"/>
          <w:lang w:val="es-CO"/>
        </w:rPr>
        <w:t>debido</w:t>
      </w:r>
      <w:r w:rsidRPr="001A106A">
        <w:rPr>
          <w:rFonts w:ascii="Verdana" w:eastAsia="Verdana" w:hAnsi="Verdana" w:cs="Verdana"/>
          <w:lang w:val="es-CO"/>
        </w:rPr>
        <w:t xml:space="preserve"> a las sucesivas denuncias sobre tráfico de influencias y corrupción dentro del país. </w:t>
      </w:r>
    </w:p>
    <w:p w14:paraId="7AA3A3B7" w14:textId="77777777" w:rsidR="00AD096E" w:rsidRPr="001A106A" w:rsidRDefault="00AD096E" w:rsidP="00AD096E">
      <w:pPr>
        <w:tabs>
          <w:tab w:val="left" w:pos="142"/>
        </w:tabs>
        <w:spacing w:before="240" w:after="240" w:line="360" w:lineRule="auto"/>
        <w:jc w:val="both"/>
        <w:rPr>
          <w:rFonts w:ascii="Verdana" w:eastAsia="Verdana" w:hAnsi="Verdana" w:cs="Verdana"/>
          <w:lang w:val="es-CO"/>
        </w:rPr>
      </w:pPr>
      <w:r w:rsidRPr="001A106A">
        <w:rPr>
          <w:rFonts w:ascii="Verdana" w:eastAsia="Verdana" w:hAnsi="Verdana" w:cs="Verdana"/>
          <w:lang w:val="es-CO"/>
        </w:rPr>
        <w:lastRenderedPageBreak/>
        <w:t>Además, la desconfianza en el sistema judicial se acentúa con el desconocimiento de las mujeres de sus derechos, lo cual es grave ya que, ante situaciones de vulneración, si las mujeres desconocen sus derechos pueden sentirse desprotegidas y sin la posibilidad de reclamar. Ello, a pesar de que efectivamente la ley les asista de derechos y medios institucionales para su protección.</w:t>
      </w:r>
    </w:p>
    <w:p w14:paraId="72CC90B9" w14:textId="77777777" w:rsidR="00AD096E" w:rsidRPr="001A106A" w:rsidRDefault="00AD096E" w:rsidP="00AD096E">
      <w:pPr>
        <w:pStyle w:val="Prrafodelista"/>
        <w:numPr>
          <w:ilvl w:val="0"/>
          <w:numId w:val="4"/>
        </w:numPr>
        <w:suppressAutoHyphens w:val="0"/>
        <w:autoSpaceDN/>
        <w:spacing w:before="240" w:after="240" w:line="360" w:lineRule="auto"/>
        <w:ind w:left="567" w:hanging="567"/>
        <w:contextualSpacing w:val="0"/>
        <w:jc w:val="both"/>
        <w:rPr>
          <w:rFonts w:ascii="Verdana" w:eastAsia="Verdana" w:hAnsi="Verdana" w:cs="Verdana"/>
          <w:b/>
          <w:lang w:val="es" w:eastAsia="es-CL"/>
        </w:rPr>
      </w:pPr>
      <w:r w:rsidRPr="001A106A">
        <w:rPr>
          <w:rFonts w:ascii="Verdana" w:eastAsia="Verdana" w:hAnsi="Verdana" w:cs="Verdana"/>
          <w:b/>
          <w:u w:val="single"/>
          <w:lang w:val="es" w:eastAsia="es-CL"/>
        </w:rPr>
        <w:t>INEXISTENCIA DE UN REGISTRO SOBRE EL NÚMERO DE CASOS DE DISCRIMINACIÓN POR RAZÓN DE GÉNERO</w:t>
      </w:r>
      <w:r w:rsidRPr="001A106A">
        <w:rPr>
          <w:rFonts w:ascii="Verdana" w:eastAsia="Verdana" w:hAnsi="Verdana" w:cs="Verdana"/>
          <w:b/>
          <w:lang w:val="es" w:eastAsia="es-CL"/>
        </w:rPr>
        <w:t xml:space="preserve">: </w:t>
      </w:r>
    </w:p>
    <w:p w14:paraId="2CD9031E" w14:textId="77777777" w:rsidR="00AD096E" w:rsidRPr="001A106A" w:rsidRDefault="00AD096E" w:rsidP="00AD096E">
      <w:pPr>
        <w:pStyle w:val="Prrafodelista"/>
        <w:tabs>
          <w:tab w:val="left" w:pos="142"/>
        </w:tabs>
        <w:spacing w:before="240" w:after="240" w:line="360" w:lineRule="auto"/>
        <w:ind w:left="0"/>
        <w:contextualSpacing w:val="0"/>
        <w:jc w:val="both"/>
        <w:rPr>
          <w:rFonts w:ascii="Verdana" w:hAnsi="Verdana"/>
          <w:lang w:val="es-CL"/>
        </w:rPr>
      </w:pPr>
      <w:r w:rsidRPr="001A106A">
        <w:rPr>
          <w:rFonts w:ascii="Verdana" w:hAnsi="Verdana" w:cs="Times New Roman"/>
          <w:lang w:val="es-CO"/>
        </w:rPr>
        <w:t>En el marco de las Recomendaciones Generales</w:t>
      </w:r>
      <w:r w:rsidRPr="001A106A">
        <w:rPr>
          <w:rStyle w:val="Refdenotaalpie"/>
          <w:rFonts w:ascii="Verdana" w:hAnsi="Verdana" w:cs="Times New Roman"/>
          <w:lang w:val="es-CO"/>
        </w:rPr>
        <w:footnoteReference w:id="5"/>
      </w:r>
      <w:r w:rsidRPr="001A106A">
        <w:rPr>
          <w:rFonts w:ascii="Verdana" w:hAnsi="Verdana" w:cs="Times New Roman"/>
          <w:lang w:val="es-CO"/>
        </w:rPr>
        <w:t>, este Comité ha instado en la importancia de reunir datos acerca de los casos de discriminación por razón de género considerando edad, discapacidad, origen étnico, nacionalidad, orientación sexual, entre otros factores.</w:t>
      </w:r>
    </w:p>
    <w:p w14:paraId="1C595DC2" w14:textId="77777777" w:rsidR="00AD096E" w:rsidRPr="001A106A" w:rsidRDefault="00AD096E" w:rsidP="00AD096E">
      <w:pPr>
        <w:pStyle w:val="Prrafodelista"/>
        <w:tabs>
          <w:tab w:val="left" w:pos="142"/>
        </w:tabs>
        <w:spacing w:before="240" w:after="240" w:line="360" w:lineRule="auto"/>
        <w:ind w:left="0"/>
        <w:contextualSpacing w:val="0"/>
        <w:jc w:val="both"/>
        <w:rPr>
          <w:rFonts w:ascii="Verdana" w:hAnsi="Verdana" w:cs="Times New Roman"/>
          <w:lang w:val="es-CO"/>
        </w:rPr>
      </w:pPr>
      <w:r w:rsidRPr="001A106A">
        <w:rPr>
          <w:rFonts w:ascii="Verdana" w:hAnsi="Verdana" w:cs="Times New Roman"/>
          <w:lang w:val="es-CO"/>
        </w:rPr>
        <w:t>El registro de dichos datos permite al Estado evaluar las medidas adoptadas para combatir la discriminación por razón de género y guiar políticas públicas para prevenir, sancionar y erradicar este tipo de conductas.</w:t>
      </w:r>
    </w:p>
    <w:p w14:paraId="2B6E965F" w14:textId="77777777" w:rsidR="00AD096E" w:rsidRPr="001A106A" w:rsidRDefault="00AD096E" w:rsidP="00AD096E">
      <w:pPr>
        <w:pStyle w:val="Prrafodelista"/>
        <w:tabs>
          <w:tab w:val="left" w:pos="142"/>
        </w:tabs>
        <w:spacing w:before="240" w:after="240" w:line="360" w:lineRule="auto"/>
        <w:ind w:left="0"/>
        <w:contextualSpacing w:val="0"/>
        <w:jc w:val="both"/>
        <w:rPr>
          <w:rFonts w:ascii="Verdana" w:eastAsia="Verdana" w:hAnsi="Verdana" w:cs="Verdana"/>
          <w:lang w:val="es-CO"/>
        </w:rPr>
      </w:pPr>
      <w:r w:rsidRPr="001A106A">
        <w:rPr>
          <w:rFonts w:ascii="Verdana" w:eastAsia="Verdana" w:hAnsi="Verdana" w:cs="Verdana"/>
          <w:lang w:val="es-CO"/>
        </w:rPr>
        <w:t>En este sentido, considerar estas variables que se intersectan con el género, resulta fundamental para garantizar de manera efectiva el acceso de las mujeres a la justicia, para entregar respuestas oportunas y pertinentes.</w:t>
      </w:r>
    </w:p>
    <w:p w14:paraId="4C8B8B82" w14:textId="77777777" w:rsidR="00AD096E" w:rsidRPr="001A106A" w:rsidRDefault="00AD096E" w:rsidP="00AD096E">
      <w:pPr>
        <w:pStyle w:val="Prrafodelista"/>
        <w:tabs>
          <w:tab w:val="left" w:pos="142"/>
        </w:tabs>
        <w:spacing w:before="240" w:after="240" w:line="360" w:lineRule="auto"/>
        <w:ind w:left="0"/>
        <w:contextualSpacing w:val="0"/>
        <w:jc w:val="both"/>
        <w:rPr>
          <w:rFonts w:ascii="Verdana" w:hAnsi="Verdana" w:cs="Times New Roman"/>
          <w:lang w:val="es-CO"/>
        </w:rPr>
      </w:pPr>
      <w:r w:rsidRPr="001A106A">
        <w:rPr>
          <w:rFonts w:ascii="Verdana" w:hAnsi="Verdana" w:cs="Times New Roman"/>
          <w:lang w:val="es-CO"/>
        </w:rPr>
        <w:t>Sin embargo, preocupa a Fundación que, en el informe evacuado con fecha 8 de marzo de 2022, el Estado haya afirmado la imposibilidad de realizar una distinción en las causas de discriminación arbitraria bajo la Ley N° 20.609.</w:t>
      </w:r>
    </w:p>
    <w:p w14:paraId="2073E1A1" w14:textId="77777777" w:rsidR="00AD096E" w:rsidRPr="001A106A" w:rsidRDefault="00AD096E" w:rsidP="00AD096E">
      <w:pPr>
        <w:pStyle w:val="Prrafodelista"/>
        <w:tabs>
          <w:tab w:val="left" w:pos="142"/>
        </w:tabs>
        <w:spacing w:before="240" w:after="240" w:line="360" w:lineRule="auto"/>
        <w:ind w:left="0"/>
        <w:contextualSpacing w:val="0"/>
        <w:jc w:val="both"/>
        <w:rPr>
          <w:rFonts w:ascii="Verdana" w:eastAsia="Verdana" w:hAnsi="Verdana" w:cs="Verdana"/>
          <w:lang w:val="es-ES"/>
        </w:rPr>
      </w:pPr>
      <w:r w:rsidRPr="001A106A">
        <w:rPr>
          <w:rFonts w:ascii="Verdana" w:eastAsia="Verdana" w:hAnsi="Verdana" w:cs="Verdana"/>
          <w:lang w:val="es-ES"/>
        </w:rPr>
        <w:t>Esta inexistencia o escasez de información estadística, constituye un obstáculo para que el Estado pueda evaluar las medidas adoptadas para combatir la discriminación por razón de género y diseñar políticas públicas al respecto.</w:t>
      </w:r>
    </w:p>
    <w:p w14:paraId="18A3AA71" w14:textId="77777777" w:rsidR="00AD096E" w:rsidRPr="001A106A" w:rsidRDefault="00AD096E" w:rsidP="00AD096E">
      <w:pPr>
        <w:pStyle w:val="Prrafodelista"/>
        <w:tabs>
          <w:tab w:val="left" w:pos="142"/>
        </w:tabs>
        <w:spacing w:before="240" w:after="240" w:line="360" w:lineRule="auto"/>
        <w:ind w:left="0"/>
        <w:contextualSpacing w:val="0"/>
        <w:jc w:val="both"/>
        <w:rPr>
          <w:rFonts w:ascii="Verdana" w:eastAsia="Verdana" w:hAnsi="Verdana" w:cs="Verdana"/>
          <w:lang w:val="es-CO"/>
        </w:rPr>
      </w:pPr>
      <w:r w:rsidRPr="001A106A">
        <w:rPr>
          <w:rFonts w:ascii="Verdana" w:eastAsia="Verdana" w:hAnsi="Verdana" w:cs="Verdana"/>
          <w:lang w:val="es-CO"/>
        </w:rPr>
        <w:t xml:space="preserve">Fundación </w:t>
      </w:r>
      <w:bookmarkStart w:id="4" w:name="_Int_tb2mhJhF"/>
      <w:r w:rsidRPr="001A106A">
        <w:rPr>
          <w:rFonts w:ascii="Verdana" w:eastAsia="Verdana" w:hAnsi="Verdana" w:cs="Verdana"/>
          <w:lang w:val="es-CO"/>
        </w:rPr>
        <w:t>Pro Bono</w:t>
      </w:r>
      <w:bookmarkEnd w:id="4"/>
      <w:r w:rsidRPr="001A106A">
        <w:rPr>
          <w:rFonts w:ascii="Verdana" w:eastAsia="Verdana" w:hAnsi="Verdana" w:cs="Verdana"/>
          <w:lang w:val="es-CO"/>
        </w:rPr>
        <w:t xml:space="preserve"> considera esencial caracterizar a las mujeres usuarias del Poder Judicial y conocer las causas por las que principalmente acceden, los delitos de los </w:t>
      </w:r>
      <w:r w:rsidRPr="001A106A">
        <w:rPr>
          <w:rFonts w:ascii="Verdana" w:eastAsia="Verdana" w:hAnsi="Verdana" w:cs="Verdana"/>
          <w:lang w:val="es-CO"/>
        </w:rPr>
        <w:lastRenderedPageBreak/>
        <w:t xml:space="preserve">cuales son víctimas, las formas de término de las causas en que participan, entre otros. </w:t>
      </w:r>
    </w:p>
    <w:p w14:paraId="59CE796E" w14:textId="77777777" w:rsidR="00AD096E" w:rsidRPr="001A106A" w:rsidRDefault="00AD096E" w:rsidP="00AD096E">
      <w:pPr>
        <w:pStyle w:val="Prrafodelista"/>
        <w:tabs>
          <w:tab w:val="left" w:pos="142"/>
        </w:tabs>
        <w:spacing w:before="240" w:after="240" w:line="360" w:lineRule="auto"/>
        <w:ind w:left="0"/>
        <w:contextualSpacing w:val="0"/>
        <w:jc w:val="both"/>
        <w:rPr>
          <w:rFonts w:ascii="Verdana" w:eastAsia="Verdana" w:hAnsi="Verdana" w:cs="Verdana"/>
          <w:lang w:val="es-CO"/>
        </w:rPr>
      </w:pPr>
      <w:r w:rsidRPr="001A106A">
        <w:rPr>
          <w:rFonts w:ascii="Verdana" w:eastAsia="Verdana" w:hAnsi="Verdana" w:cs="Verdana"/>
          <w:lang w:val="es-CO"/>
        </w:rPr>
        <w:t>Ello, ya que permitirá al Estado entregar a las mujeres respuestas jurídicas oportunas y pertinentes a sus contextos y necesidades, además de identificar posibles barreras de grupos específicos de mujeres para acceder a la justicia.</w:t>
      </w:r>
    </w:p>
    <w:p w14:paraId="61155CA2" w14:textId="77777777" w:rsidR="00AD096E" w:rsidRPr="001A106A" w:rsidRDefault="00AD096E" w:rsidP="00AD096E">
      <w:pPr>
        <w:pStyle w:val="Prrafodelista"/>
        <w:numPr>
          <w:ilvl w:val="0"/>
          <w:numId w:val="4"/>
        </w:numPr>
        <w:suppressAutoHyphens w:val="0"/>
        <w:autoSpaceDN/>
        <w:spacing w:before="240" w:after="240" w:line="360" w:lineRule="auto"/>
        <w:ind w:left="567" w:hanging="567"/>
        <w:contextualSpacing w:val="0"/>
        <w:jc w:val="both"/>
        <w:rPr>
          <w:rFonts w:ascii="Verdana" w:eastAsia="Verdana" w:hAnsi="Verdana" w:cs="Verdana"/>
          <w:b/>
          <w:u w:val="single"/>
          <w:lang w:val="es" w:eastAsia="es-CL"/>
        </w:rPr>
      </w:pPr>
      <w:r w:rsidRPr="001A106A">
        <w:rPr>
          <w:rFonts w:ascii="Verdana" w:eastAsia="Verdana" w:hAnsi="Verdana" w:cs="Verdana"/>
          <w:b/>
          <w:u w:val="single"/>
          <w:lang w:val="es" w:eastAsia="es-CL"/>
        </w:rPr>
        <w:t>AUSENCIA DE COORDINACIÓN INTERINSTITUCIONAL EN EL CASO DE VIOLENCIA INTRAFAMILIAR</w:t>
      </w:r>
      <w:r w:rsidRPr="001A106A">
        <w:rPr>
          <w:rFonts w:ascii="Verdana" w:eastAsia="Verdana" w:hAnsi="Verdana" w:cs="Verdana"/>
          <w:b/>
          <w:lang w:val="es" w:eastAsia="es-CL"/>
        </w:rPr>
        <w:t>:</w:t>
      </w:r>
    </w:p>
    <w:p w14:paraId="0B8F8D5E" w14:textId="77777777" w:rsidR="00AD096E" w:rsidRPr="001A106A" w:rsidRDefault="00AD096E" w:rsidP="00AD096E">
      <w:pPr>
        <w:tabs>
          <w:tab w:val="left" w:pos="142"/>
        </w:tabs>
        <w:spacing w:before="240" w:after="240" w:line="360" w:lineRule="auto"/>
        <w:jc w:val="both"/>
        <w:rPr>
          <w:rFonts w:ascii="Verdana" w:eastAsia="Verdana" w:hAnsi="Verdana" w:cs="Verdana"/>
          <w:lang w:val="es-CO"/>
        </w:rPr>
      </w:pPr>
      <w:r w:rsidRPr="001A106A">
        <w:rPr>
          <w:rFonts w:ascii="Verdana" w:eastAsia="Verdana" w:hAnsi="Verdana" w:cs="Verdana"/>
          <w:lang w:val="es-CO"/>
        </w:rPr>
        <w:t xml:space="preserve">Entre los años 2020 y 2024, un 30% de las consultas a Pro Bono provinieron de hombres, mientras que un 68% de mujeres. De éstas, los mayores motivos de consulta a la Fundación son: (i) </w:t>
      </w:r>
      <w:r>
        <w:rPr>
          <w:rFonts w:ascii="Verdana" w:eastAsia="Verdana" w:hAnsi="Verdana" w:cs="Verdana"/>
          <w:lang w:val="es-CO"/>
        </w:rPr>
        <w:t>Cuidado personal</w:t>
      </w:r>
      <w:r w:rsidRPr="001A106A">
        <w:rPr>
          <w:rFonts w:ascii="Verdana" w:eastAsia="Verdana" w:hAnsi="Verdana" w:cs="Verdana"/>
          <w:lang w:val="es-CO"/>
        </w:rPr>
        <w:t xml:space="preserve">; (ii) </w:t>
      </w:r>
      <w:r>
        <w:rPr>
          <w:rFonts w:ascii="Verdana" w:eastAsia="Verdana" w:hAnsi="Verdana" w:cs="Verdana"/>
          <w:lang w:val="es-CO"/>
        </w:rPr>
        <w:t>Relación directa y regular</w:t>
      </w:r>
      <w:r w:rsidRPr="001A106A">
        <w:rPr>
          <w:rFonts w:ascii="Verdana" w:eastAsia="Verdana" w:hAnsi="Verdana" w:cs="Verdana"/>
          <w:lang w:val="es-CO"/>
        </w:rPr>
        <w:t>; y, (iii) Violencia Intrafamiliar. Lo anterior se condice con el hecho de que las mujeres perciben ingresos en un 21,7% inferior en comparación a los hombres</w:t>
      </w:r>
      <w:r w:rsidRPr="001A106A">
        <w:rPr>
          <w:rStyle w:val="Refdenotaalpie"/>
          <w:rFonts w:ascii="Verdana" w:eastAsia="Verdana" w:hAnsi="Verdana" w:cs="Verdana"/>
          <w:lang w:val="es-CO"/>
        </w:rPr>
        <w:footnoteReference w:id="6"/>
      </w:r>
      <w:r w:rsidRPr="001A106A">
        <w:rPr>
          <w:rFonts w:ascii="Verdana" w:eastAsia="Verdana" w:hAnsi="Verdana" w:cs="Verdana"/>
          <w:lang w:val="es-CO"/>
        </w:rPr>
        <w:t xml:space="preserve">, lo cual evidencia que los hombres cuentan con una mejor situación económica para solventar los gastos de un abogado.  </w:t>
      </w:r>
    </w:p>
    <w:p w14:paraId="1D2F12D0" w14:textId="77777777" w:rsidR="00AD096E" w:rsidRPr="001A106A" w:rsidRDefault="00AD096E" w:rsidP="00AD096E">
      <w:pPr>
        <w:tabs>
          <w:tab w:val="left" w:pos="142"/>
        </w:tabs>
        <w:spacing w:before="240" w:after="240" w:line="360" w:lineRule="auto"/>
        <w:jc w:val="both"/>
        <w:rPr>
          <w:rFonts w:ascii="Verdana" w:eastAsia="Verdana" w:hAnsi="Verdana" w:cs="Verdana"/>
          <w:lang w:val="es-CO"/>
        </w:rPr>
      </w:pPr>
      <w:r w:rsidRPr="001A106A">
        <w:rPr>
          <w:rFonts w:ascii="Verdana" w:eastAsia="Verdana" w:hAnsi="Verdana" w:cs="Verdana"/>
          <w:lang w:val="es-CO"/>
        </w:rPr>
        <w:t>Tanto los tribunales de familia como los penales conocen causas relacionadas a violencia contra mujeres. Lo anterior, hace necesario la coordinación de las instituciones participantes en dichos procesos, estos son, los tribunales de familia y los tribunales penales.</w:t>
      </w:r>
    </w:p>
    <w:p w14:paraId="31F169DD" w14:textId="77777777" w:rsidR="00AD096E" w:rsidRPr="001A106A" w:rsidRDefault="00AD096E" w:rsidP="00AD096E">
      <w:pPr>
        <w:tabs>
          <w:tab w:val="left" w:pos="142"/>
        </w:tabs>
        <w:spacing w:before="240" w:after="240" w:line="360" w:lineRule="auto"/>
        <w:jc w:val="both"/>
        <w:rPr>
          <w:rFonts w:ascii="Verdana" w:eastAsia="Verdana" w:hAnsi="Verdana" w:cs="Verdana"/>
          <w:lang w:val="es-CO"/>
        </w:rPr>
      </w:pPr>
      <w:r w:rsidRPr="001A106A">
        <w:rPr>
          <w:rFonts w:ascii="Verdana" w:eastAsia="Verdana" w:hAnsi="Verdana" w:cs="Verdana"/>
          <w:lang w:val="es-CO"/>
        </w:rPr>
        <w:t xml:space="preserve">Las causas de violencia intrafamiliar suelen dificultarse cuando existen hijas o hijos en común y por ello, se hace necesario regular aspectos relativos a alimentos, cuidado personal o régimen comunicacional. </w:t>
      </w:r>
    </w:p>
    <w:p w14:paraId="157714E3" w14:textId="77777777" w:rsidR="00AD096E" w:rsidRPr="001A106A" w:rsidRDefault="00AD096E" w:rsidP="00AD096E">
      <w:pPr>
        <w:tabs>
          <w:tab w:val="left" w:pos="142"/>
        </w:tabs>
        <w:spacing w:before="240" w:after="240" w:line="360" w:lineRule="auto"/>
        <w:jc w:val="both"/>
        <w:rPr>
          <w:rFonts w:ascii="Verdana" w:eastAsia="Verdana" w:hAnsi="Verdana" w:cs="Verdana"/>
          <w:lang w:val="es-CO"/>
        </w:rPr>
      </w:pPr>
      <w:r w:rsidRPr="001A106A">
        <w:rPr>
          <w:rFonts w:ascii="Verdana" w:eastAsia="Verdana" w:hAnsi="Verdana" w:cs="Verdana"/>
          <w:lang w:val="es-CO"/>
        </w:rPr>
        <w:t>Lo anterior resulta problemático toda vez que, en muchas ocasiones, la respuesta judicial en estos casos se limita a la dictación de medidas cautelares como la prohibición de acercamiento y la salida del ofensor del hogar común.</w:t>
      </w:r>
    </w:p>
    <w:p w14:paraId="1468F487" w14:textId="77777777" w:rsidR="00AD096E" w:rsidRPr="001A106A" w:rsidRDefault="00AD096E" w:rsidP="00AD096E">
      <w:pPr>
        <w:tabs>
          <w:tab w:val="left" w:pos="142"/>
        </w:tabs>
        <w:spacing w:before="240" w:after="240" w:line="360" w:lineRule="auto"/>
        <w:jc w:val="both"/>
        <w:rPr>
          <w:rFonts w:ascii="Verdana" w:eastAsia="Verdana" w:hAnsi="Verdana" w:cs="Verdana"/>
          <w:lang w:val="es-CO"/>
        </w:rPr>
      </w:pPr>
      <w:r w:rsidRPr="001A106A">
        <w:rPr>
          <w:rFonts w:ascii="Verdana" w:eastAsia="Verdana" w:hAnsi="Verdana" w:cs="Verdana"/>
          <w:lang w:val="es-CO"/>
        </w:rPr>
        <w:lastRenderedPageBreak/>
        <w:t>La dualidad en el tratamiento de los casos de violencia intrafamiliar y la no comunicación entre ambas jurisdicciones impide tener un tratamiento coherente de los casos.</w:t>
      </w:r>
    </w:p>
    <w:p w14:paraId="19798B07" w14:textId="77777777" w:rsidR="00AD096E" w:rsidRPr="001A106A" w:rsidRDefault="00AD096E" w:rsidP="00AD096E">
      <w:pPr>
        <w:tabs>
          <w:tab w:val="left" w:pos="142"/>
        </w:tabs>
        <w:spacing w:before="240" w:after="240" w:line="360" w:lineRule="auto"/>
        <w:jc w:val="both"/>
        <w:rPr>
          <w:rFonts w:ascii="Verdana" w:eastAsia="Verdana" w:hAnsi="Verdana" w:cs="Verdana"/>
          <w:lang w:val="es-CO"/>
        </w:rPr>
      </w:pPr>
      <w:r w:rsidRPr="001A106A">
        <w:rPr>
          <w:rFonts w:ascii="Verdana" w:eastAsia="Verdana" w:hAnsi="Verdana" w:cs="Verdana"/>
          <w:lang w:val="es-CO"/>
        </w:rPr>
        <w:t>En concreto, la dualidad del sistema presenta dificultades que repercuten en el acceso a la justicia de las mujeres dado que hay una nula interacción entre ambos sistemas y diversidad de criterios. Dicha nula interacción y diversidad de criterios conllevan a una grave desprotección para las mujeres.</w:t>
      </w:r>
    </w:p>
    <w:p w14:paraId="66D756EB" w14:textId="77777777" w:rsidR="00AD096E" w:rsidRPr="001A106A" w:rsidRDefault="00AD096E" w:rsidP="00AD096E">
      <w:pPr>
        <w:tabs>
          <w:tab w:val="left" w:pos="142"/>
        </w:tabs>
        <w:spacing w:before="240" w:after="240" w:line="360" w:lineRule="auto"/>
        <w:jc w:val="both"/>
        <w:rPr>
          <w:rFonts w:ascii="Verdana" w:hAnsi="Verdana"/>
          <w:lang w:val="es-CL"/>
        </w:rPr>
      </w:pPr>
      <w:r w:rsidRPr="001A106A">
        <w:rPr>
          <w:rFonts w:ascii="Verdana" w:eastAsia="Verdana" w:hAnsi="Verdana" w:cs="Verdana"/>
          <w:lang w:val="es-CO"/>
        </w:rPr>
        <w:t>Esta dicotomía impide que la violencia de género en contexto de familia tenga el abordaje adecuado para su sanción, prevención y erradicación.</w:t>
      </w:r>
    </w:p>
    <w:p w14:paraId="6E2E6B3B" w14:textId="77777777" w:rsidR="00AD096E" w:rsidRPr="001A106A" w:rsidRDefault="00AD096E" w:rsidP="00AD096E">
      <w:pPr>
        <w:tabs>
          <w:tab w:val="left" w:pos="142"/>
        </w:tabs>
        <w:spacing w:before="240" w:after="240" w:line="360" w:lineRule="auto"/>
        <w:jc w:val="both"/>
        <w:rPr>
          <w:rFonts w:ascii="Verdana" w:eastAsia="Verdana" w:hAnsi="Verdana" w:cs="Verdana"/>
          <w:lang w:val="es-CO"/>
        </w:rPr>
      </w:pPr>
      <w:r w:rsidRPr="001A106A">
        <w:rPr>
          <w:rFonts w:ascii="Verdana" w:eastAsia="Verdana" w:hAnsi="Verdana" w:cs="Verdana"/>
          <w:lang w:val="es-CO"/>
        </w:rPr>
        <w:t>En definitiva, a esta Fundación le preocupa que la dualidad del sistema penal-familia muchas veces aparece como una barrera institucional para el acceso de las mujeres a la justicia.</w:t>
      </w:r>
    </w:p>
    <w:p w14:paraId="05D4ABED" w14:textId="77777777" w:rsidR="00AD096E" w:rsidRPr="001A106A" w:rsidRDefault="00AD096E" w:rsidP="00AD096E">
      <w:pPr>
        <w:tabs>
          <w:tab w:val="left" w:pos="142"/>
        </w:tabs>
        <w:spacing w:before="240" w:after="240" w:line="360" w:lineRule="auto"/>
        <w:jc w:val="both"/>
        <w:rPr>
          <w:rFonts w:ascii="Verdana" w:eastAsia="Verdana" w:hAnsi="Verdana" w:cs="Verdana"/>
          <w:lang w:val="es-CO"/>
        </w:rPr>
      </w:pPr>
      <w:r w:rsidRPr="001A106A">
        <w:rPr>
          <w:rFonts w:ascii="Verdana" w:eastAsia="Verdana" w:hAnsi="Verdana" w:cs="Verdana"/>
          <w:lang w:val="es-CO"/>
        </w:rPr>
        <w:t>Finalmente, preocupa a Fu</w:t>
      </w:r>
      <w:r>
        <w:rPr>
          <w:rFonts w:ascii="Verdana" w:eastAsia="Verdana" w:hAnsi="Verdana" w:cs="Verdana"/>
          <w:lang w:val="es-CO"/>
        </w:rPr>
        <w:t xml:space="preserve">ndación Pro Bono que la Ley N° </w:t>
      </w:r>
      <w:r w:rsidRPr="001A106A">
        <w:rPr>
          <w:rFonts w:ascii="Verdana" w:eastAsia="Verdana" w:hAnsi="Verdana" w:cs="Verdana"/>
          <w:lang w:val="es-CO"/>
        </w:rPr>
        <w:t>19.968, que crea los tribunales de familia, permite que en las causas de violencia intrafamiliar las partes comparezcan personalmente y sin abogado.</w:t>
      </w:r>
    </w:p>
    <w:p w14:paraId="4AD44F61" w14:textId="77777777" w:rsidR="00AD096E" w:rsidRPr="001A106A" w:rsidRDefault="00AD096E" w:rsidP="00AD096E">
      <w:pPr>
        <w:tabs>
          <w:tab w:val="left" w:pos="142"/>
        </w:tabs>
        <w:spacing w:before="240" w:after="240" w:line="360" w:lineRule="auto"/>
        <w:jc w:val="both"/>
        <w:rPr>
          <w:rFonts w:ascii="Verdana" w:eastAsia="Verdana" w:hAnsi="Verdana" w:cs="Verdana"/>
          <w:lang w:val="es-CO"/>
        </w:rPr>
      </w:pPr>
      <w:r w:rsidRPr="001A106A">
        <w:rPr>
          <w:rFonts w:ascii="Verdana" w:eastAsia="Verdana" w:hAnsi="Verdana" w:cs="Verdana"/>
          <w:lang w:val="es-CO"/>
        </w:rPr>
        <w:t xml:space="preserve">La falta de asistencia judicial en casos de violencia doméstica es un problema grave puesto que se impide una efectiva protección de los derechos de la mujer, quien puede no entender a cabalidad sus derechos o las vías legales a seguir. </w:t>
      </w:r>
    </w:p>
    <w:p w14:paraId="4DF6237D" w14:textId="77777777" w:rsidR="00AD096E" w:rsidRPr="001A106A" w:rsidRDefault="00AD096E" w:rsidP="00AD096E">
      <w:pPr>
        <w:tabs>
          <w:tab w:val="left" w:pos="142"/>
        </w:tabs>
        <w:spacing w:before="240" w:after="240" w:line="360" w:lineRule="auto"/>
        <w:jc w:val="both"/>
        <w:rPr>
          <w:rFonts w:ascii="Verdana" w:eastAsia="Verdana" w:hAnsi="Verdana" w:cs="Verdana"/>
          <w:lang w:val="es-CO"/>
        </w:rPr>
      </w:pPr>
      <w:r>
        <w:rPr>
          <w:rFonts w:ascii="Verdana" w:eastAsia="Verdana" w:hAnsi="Verdana" w:cs="Verdana"/>
          <w:lang w:val="es-CO"/>
        </w:rPr>
        <w:t xml:space="preserve">Además, </w:t>
      </w:r>
      <w:r w:rsidRPr="001A106A">
        <w:rPr>
          <w:rFonts w:ascii="Verdana" w:eastAsia="Verdana" w:hAnsi="Verdana" w:cs="Verdana"/>
          <w:lang w:val="es-CO"/>
        </w:rPr>
        <w:t>muchas de las causas de violencia intrafamiliar se relacionan con temas relativos a la convivencia, alimentos o cuidado personal, por lo que la falta de asistencia jurídica genera indefensión a las mujeres.</w:t>
      </w:r>
    </w:p>
    <w:p w14:paraId="76BC57C9" w14:textId="77777777" w:rsidR="00AD096E" w:rsidRPr="001A106A" w:rsidRDefault="00AD096E" w:rsidP="00AD096E">
      <w:pPr>
        <w:tabs>
          <w:tab w:val="left" w:pos="142"/>
        </w:tabs>
        <w:spacing w:before="240" w:after="240" w:line="360" w:lineRule="auto"/>
        <w:jc w:val="both"/>
        <w:rPr>
          <w:rFonts w:ascii="Verdana" w:eastAsia="Verdana" w:hAnsi="Verdana" w:cs="Verdana"/>
          <w:lang w:val="es-CO"/>
        </w:rPr>
      </w:pPr>
      <w:r w:rsidRPr="001A106A">
        <w:rPr>
          <w:rFonts w:ascii="Verdana" w:eastAsia="Verdana" w:hAnsi="Verdana" w:cs="Verdana"/>
          <w:lang w:val="es-CO"/>
        </w:rPr>
        <w:t>Por ello, preocupa a Fundación que la falta de patrocinio puede tener como consecuencia, la deslegitimación de la voz de la</w:t>
      </w:r>
      <w:r>
        <w:rPr>
          <w:rFonts w:ascii="Verdana" w:eastAsia="Verdana" w:hAnsi="Verdana" w:cs="Verdana"/>
          <w:lang w:val="es-CO"/>
        </w:rPr>
        <w:t>s mujeres víctimas de violencia</w:t>
      </w:r>
      <w:r w:rsidRPr="001A106A">
        <w:rPr>
          <w:rFonts w:ascii="Verdana" w:eastAsia="Verdana" w:hAnsi="Verdana" w:cs="Verdana"/>
          <w:lang w:val="es-CO"/>
        </w:rPr>
        <w:t>.</w:t>
      </w:r>
    </w:p>
    <w:p w14:paraId="3280B102" w14:textId="77777777" w:rsidR="00AD096E" w:rsidRPr="00B4197D" w:rsidRDefault="00AD096E" w:rsidP="00AD096E">
      <w:pPr>
        <w:pStyle w:val="Prrafodelista"/>
        <w:numPr>
          <w:ilvl w:val="0"/>
          <w:numId w:val="4"/>
        </w:numPr>
        <w:suppressAutoHyphens w:val="0"/>
        <w:autoSpaceDN/>
        <w:spacing w:before="240" w:after="240" w:line="360" w:lineRule="auto"/>
        <w:ind w:left="567" w:hanging="567"/>
        <w:contextualSpacing w:val="0"/>
        <w:jc w:val="both"/>
        <w:rPr>
          <w:rFonts w:ascii="Verdana" w:eastAsia="Verdana" w:hAnsi="Verdana" w:cs="Verdana"/>
          <w:b/>
          <w:lang w:val="es" w:eastAsia="es-CL"/>
        </w:rPr>
      </w:pPr>
      <w:r w:rsidRPr="001A106A">
        <w:rPr>
          <w:rFonts w:ascii="Verdana" w:eastAsia="Verdana" w:hAnsi="Verdana" w:cs="Verdana"/>
          <w:b/>
          <w:u w:val="single"/>
          <w:lang w:val="es" w:eastAsia="es-CL"/>
        </w:rPr>
        <w:t>DESAFÍOS RELACIONADOS A LA PRUEBA DE UNA MUJER VÍCTIMA DE VIOLENCIA</w:t>
      </w:r>
      <w:r w:rsidRPr="00B4197D">
        <w:rPr>
          <w:rFonts w:ascii="Verdana" w:eastAsia="Verdana" w:hAnsi="Verdana" w:cs="Verdana"/>
          <w:b/>
          <w:lang w:val="es" w:eastAsia="es-CL"/>
        </w:rPr>
        <w:t>:</w:t>
      </w:r>
    </w:p>
    <w:p w14:paraId="0E135E4A" w14:textId="77777777" w:rsidR="00AD096E" w:rsidRPr="001A106A" w:rsidRDefault="00AD096E" w:rsidP="00AD096E">
      <w:pPr>
        <w:tabs>
          <w:tab w:val="left" w:pos="142"/>
        </w:tabs>
        <w:spacing w:before="240" w:after="240" w:line="360" w:lineRule="auto"/>
        <w:jc w:val="both"/>
        <w:rPr>
          <w:rFonts w:ascii="Verdana" w:hAnsi="Verdana"/>
          <w:lang w:val="es-CL"/>
        </w:rPr>
      </w:pPr>
      <w:r w:rsidRPr="001A106A">
        <w:rPr>
          <w:rFonts w:ascii="Verdana" w:eastAsia="Verdana" w:hAnsi="Verdana" w:cs="Verdana"/>
          <w:lang w:val="es-CO"/>
        </w:rPr>
        <w:lastRenderedPageBreak/>
        <w:t>En materia de violencia en contra de las mujeres no existe una normativa específica general aplicable. Sin embargo, la Ley sobre Tribunales de Familia establece en su artículo 32 la aplicación de la sana crítica en materias de familia.</w:t>
      </w:r>
      <w:r w:rsidRPr="001A106A">
        <w:rPr>
          <w:rFonts w:ascii="Verdana" w:eastAsia="Verdana" w:hAnsi="Verdana" w:cs="Verdana"/>
          <w:b/>
          <w:bCs/>
          <w:lang w:val="es-CO"/>
        </w:rPr>
        <w:t xml:space="preserve"> </w:t>
      </w:r>
      <w:r w:rsidRPr="001A106A">
        <w:rPr>
          <w:rFonts w:ascii="Verdana" w:eastAsia="Verdana" w:hAnsi="Verdana" w:cs="Verdana"/>
          <w:lang w:val="es-CO"/>
        </w:rPr>
        <w:t>Por su parte, en materia penal, el Código Procesal Penal también establece el estándar de la sana crítica para la valoración de la prueba.</w:t>
      </w:r>
    </w:p>
    <w:p w14:paraId="1814F814" w14:textId="77777777" w:rsidR="00AD096E" w:rsidRPr="001A106A" w:rsidRDefault="00AD096E" w:rsidP="00AD096E">
      <w:pPr>
        <w:tabs>
          <w:tab w:val="left" w:pos="142"/>
        </w:tabs>
        <w:spacing w:before="240" w:after="240" w:line="360" w:lineRule="auto"/>
        <w:jc w:val="both"/>
        <w:rPr>
          <w:rFonts w:ascii="Verdana" w:eastAsia="Verdana" w:hAnsi="Verdana" w:cs="Verdana"/>
          <w:lang w:val="es-CO"/>
        </w:rPr>
      </w:pPr>
      <w:r w:rsidRPr="001A106A">
        <w:rPr>
          <w:rFonts w:ascii="Verdana" w:eastAsia="Verdana" w:hAnsi="Verdana" w:cs="Verdana"/>
          <w:lang w:val="es-CO"/>
        </w:rPr>
        <w:t>Desde una perspectiva de género, los casos de violencia en contra de las mujeres o violencia intrafamiliar presentan particularidades que los hacen diferentes de otros delitos. Factores como la relación entre la víctima y el agresor, la manipulación psicológica, la falta de medios de prueba distintas a la declaración y la presión social para que las víctimas no denuncien son ejemplos de las dificultades probatorias de estos casos.</w:t>
      </w:r>
    </w:p>
    <w:p w14:paraId="777DDDC5" w14:textId="77777777" w:rsidR="00AD096E" w:rsidRPr="001A106A" w:rsidRDefault="00AD096E" w:rsidP="00AD096E">
      <w:pPr>
        <w:tabs>
          <w:tab w:val="left" w:pos="142"/>
        </w:tabs>
        <w:spacing w:before="240" w:after="240" w:line="360" w:lineRule="auto"/>
        <w:jc w:val="both"/>
        <w:rPr>
          <w:rFonts w:ascii="Verdana" w:eastAsia="Verdana" w:hAnsi="Verdana" w:cs="Verdana"/>
          <w:lang w:val="es-CO"/>
        </w:rPr>
      </w:pPr>
      <w:r w:rsidRPr="001A106A">
        <w:rPr>
          <w:rFonts w:ascii="Verdana" w:eastAsia="Verdana" w:hAnsi="Verdana" w:cs="Verdana"/>
          <w:lang w:val="es-CO"/>
        </w:rPr>
        <w:t>Preocupa a Fundación Pro Bono que las dificultades probatorias descritas anteriormente en materia de violencia en contra la mujer, se traduzcan en la impunidad del victimario y, además la desprotección de la víctima.</w:t>
      </w:r>
    </w:p>
    <w:p w14:paraId="32B1CBD9" w14:textId="77777777" w:rsidR="00AD096E" w:rsidRPr="001A106A" w:rsidRDefault="00AD096E" w:rsidP="00AD096E">
      <w:pPr>
        <w:tabs>
          <w:tab w:val="left" w:pos="142"/>
        </w:tabs>
        <w:spacing w:before="240" w:after="240" w:line="360" w:lineRule="auto"/>
        <w:jc w:val="both"/>
        <w:rPr>
          <w:rFonts w:ascii="Verdana" w:eastAsia="Verdana" w:hAnsi="Verdana" w:cs="Verdana"/>
          <w:lang w:val="es-CO"/>
        </w:rPr>
      </w:pPr>
      <w:r w:rsidRPr="001A106A">
        <w:rPr>
          <w:rFonts w:ascii="Verdana" w:eastAsia="Verdana" w:hAnsi="Verdana" w:cs="Verdana"/>
          <w:lang w:val="es-CO"/>
        </w:rPr>
        <w:t xml:space="preserve">En definitiva, se requiere que a los estándares probatorios se apliquen con enfoque de género que deje de lado múltiples prejuicios y suposiciones sociales respecto de las condiciones de la víctima y del victimario. </w:t>
      </w:r>
    </w:p>
    <w:p w14:paraId="69E61248" w14:textId="77777777" w:rsidR="00AD096E" w:rsidRPr="001A106A" w:rsidRDefault="00AD096E" w:rsidP="00AD096E">
      <w:pPr>
        <w:pStyle w:val="Prrafodelista"/>
        <w:numPr>
          <w:ilvl w:val="0"/>
          <w:numId w:val="4"/>
        </w:numPr>
        <w:suppressAutoHyphens w:val="0"/>
        <w:autoSpaceDN/>
        <w:spacing w:before="240" w:after="240" w:line="360" w:lineRule="auto"/>
        <w:ind w:left="567" w:hanging="567"/>
        <w:contextualSpacing w:val="0"/>
        <w:jc w:val="both"/>
        <w:rPr>
          <w:rFonts w:ascii="Verdana" w:eastAsia="Verdana" w:hAnsi="Verdana" w:cs="Verdana"/>
          <w:b/>
          <w:u w:val="single"/>
          <w:lang w:val="es" w:eastAsia="es-CL"/>
        </w:rPr>
      </w:pPr>
      <w:r w:rsidRPr="001A106A">
        <w:rPr>
          <w:rFonts w:ascii="Verdana" w:eastAsia="Verdana" w:hAnsi="Verdana" w:cs="Verdana"/>
          <w:b/>
          <w:u w:val="single"/>
          <w:lang w:val="es" w:eastAsia="es-CL"/>
        </w:rPr>
        <w:t>RECOMENDACIONES</w:t>
      </w:r>
      <w:r w:rsidRPr="00DE5FE2">
        <w:rPr>
          <w:rFonts w:ascii="Verdana" w:eastAsia="Verdana" w:hAnsi="Verdana" w:cs="Verdana"/>
          <w:b/>
          <w:lang w:val="es" w:eastAsia="es-CL"/>
        </w:rPr>
        <w:t xml:space="preserve">: </w:t>
      </w:r>
      <w:r w:rsidRPr="001A106A">
        <w:rPr>
          <w:rFonts w:ascii="Verdana" w:eastAsia="Verdana" w:hAnsi="Verdana" w:cs="Verdana"/>
          <w:b/>
          <w:u w:val="single"/>
          <w:lang w:val="es" w:eastAsia="es-CL"/>
        </w:rPr>
        <w:t xml:space="preserve"> </w:t>
      </w:r>
    </w:p>
    <w:p w14:paraId="3A5834D0" w14:textId="77777777" w:rsidR="00AD096E" w:rsidRPr="001A106A" w:rsidRDefault="00AD096E" w:rsidP="00AD096E">
      <w:pPr>
        <w:pStyle w:val="Prrafodelista"/>
        <w:numPr>
          <w:ilvl w:val="0"/>
          <w:numId w:val="7"/>
        </w:numPr>
        <w:tabs>
          <w:tab w:val="left" w:pos="142"/>
        </w:tabs>
        <w:spacing w:before="240" w:after="240" w:line="360" w:lineRule="auto"/>
        <w:contextualSpacing w:val="0"/>
        <w:jc w:val="both"/>
        <w:rPr>
          <w:rFonts w:ascii="Verdana" w:eastAsia="Verdana" w:hAnsi="Verdana" w:cs="Verdana"/>
          <w:lang w:val="es-CO"/>
        </w:rPr>
      </w:pPr>
      <w:r w:rsidRPr="001A106A">
        <w:rPr>
          <w:rFonts w:ascii="Verdana" w:eastAsia="Verdana" w:hAnsi="Verdana" w:cs="Verdana"/>
          <w:lang w:val="es-CO"/>
        </w:rPr>
        <w:t>Fortalecer los mecanismos de asistencia jurídica gratuita que actualme</w:t>
      </w:r>
      <w:r>
        <w:rPr>
          <w:rFonts w:ascii="Verdana" w:eastAsia="Verdana" w:hAnsi="Verdana" w:cs="Verdana"/>
          <w:lang w:val="es-CO"/>
        </w:rPr>
        <w:t>nte el sistema ofrece a mujeres.</w:t>
      </w:r>
    </w:p>
    <w:p w14:paraId="64EEF58A" w14:textId="77777777" w:rsidR="00AD096E" w:rsidRPr="001A106A" w:rsidRDefault="00AD096E" w:rsidP="00AD096E">
      <w:pPr>
        <w:pStyle w:val="Prrafodelista"/>
        <w:numPr>
          <w:ilvl w:val="0"/>
          <w:numId w:val="7"/>
        </w:numPr>
        <w:tabs>
          <w:tab w:val="left" w:pos="142"/>
        </w:tabs>
        <w:spacing w:before="240" w:after="240" w:line="360" w:lineRule="auto"/>
        <w:contextualSpacing w:val="0"/>
        <w:jc w:val="both"/>
        <w:rPr>
          <w:rFonts w:ascii="Verdana" w:hAnsi="Verdana"/>
          <w:lang w:val="es-CL"/>
        </w:rPr>
      </w:pPr>
      <w:r w:rsidRPr="001A106A">
        <w:rPr>
          <w:rFonts w:ascii="Verdana" w:eastAsia="Verdana" w:hAnsi="Verdana" w:cs="Verdana"/>
          <w:lang w:val="es-CO"/>
        </w:rPr>
        <w:t xml:space="preserve">Implementar </w:t>
      </w:r>
      <w:r w:rsidRPr="001A106A">
        <w:rPr>
          <w:rFonts w:ascii="Verdana" w:hAnsi="Verdana" w:cs="Times New Roman"/>
          <w:lang w:val="es-CO"/>
        </w:rPr>
        <w:t xml:space="preserve">un lineamiento común para el acceso a la justicia a las mujeres en búsqueda mayor coordinación, focalización y eficacia en el sistema. </w:t>
      </w:r>
    </w:p>
    <w:p w14:paraId="3E4E9124" w14:textId="77777777" w:rsidR="00AD096E" w:rsidRPr="001A106A" w:rsidRDefault="00AD096E" w:rsidP="00AD096E">
      <w:pPr>
        <w:pStyle w:val="Prrafodelista"/>
        <w:tabs>
          <w:tab w:val="left" w:pos="142"/>
        </w:tabs>
        <w:spacing w:before="240" w:after="240" w:line="360" w:lineRule="auto"/>
        <w:contextualSpacing w:val="0"/>
        <w:jc w:val="both"/>
        <w:rPr>
          <w:rFonts w:ascii="Verdana" w:hAnsi="Verdana" w:cs="Times New Roman"/>
          <w:lang w:val="es-CO"/>
        </w:rPr>
      </w:pPr>
      <w:r w:rsidRPr="001A106A">
        <w:rPr>
          <w:rFonts w:ascii="Verdana" w:hAnsi="Verdana" w:cs="Times New Roman"/>
          <w:lang w:val="es-CO"/>
        </w:rPr>
        <w:t xml:space="preserve">Para el logro de dicho objetivo, sugerimos acelerar la tramitación del proyecto de ley que busca crear el Servicio Nacional de Acceso a la Justicia para concentrar toda la oferta pública en materia de defensa y asistencia jurídica. </w:t>
      </w:r>
    </w:p>
    <w:p w14:paraId="6722DC08" w14:textId="77777777" w:rsidR="00AD096E" w:rsidRPr="001A106A" w:rsidRDefault="00AD096E" w:rsidP="00AD096E">
      <w:pPr>
        <w:pStyle w:val="Prrafodelista"/>
        <w:numPr>
          <w:ilvl w:val="0"/>
          <w:numId w:val="7"/>
        </w:numPr>
        <w:tabs>
          <w:tab w:val="left" w:pos="142"/>
        </w:tabs>
        <w:spacing w:before="240" w:after="240" w:line="360" w:lineRule="auto"/>
        <w:contextualSpacing w:val="0"/>
        <w:jc w:val="both"/>
        <w:rPr>
          <w:rFonts w:ascii="Verdana" w:eastAsia="Verdana" w:hAnsi="Verdana" w:cs="Verdana"/>
          <w:lang w:val="es-CO"/>
        </w:rPr>
      </w:pPr>
      <w:r w:rsidRPr="001A106A">
        <w:rPr>
          <w:rFonts w:ascii="Verdana" w:eastAsia="Verdana" w:hAnsi="Verdana" w:cs="Verdana"/>
          <w:lang w:val="es-CO"/>
        </w:rPr>
        <w:lastRenderedPageBreak/>
        <w:t>Eliminar las barreras de acceso a la justicia, estableciendo mecanismos que permitan</w:t>
      </w:r>
      <w:r>
        <w:rPr>
          <w:rFonts w:ascii="Verdana" w:eastAsia="Verdana" w:hAnsi="Verdana" w:cs="Verdana"/>
          <w:lang w:val="es-CO"/>
        </w:rPr>
        <w:t xml:space="preserve"> reducir el tiempo y los costos.</w:t>
      </w:r>
    </w:p>
    <w:p w14:paraId="3F600376" w14:textId="77777777" w:rsidR="00AD096E" w:rsidRPr="001A106A" w:rsidRDefault="00AD096E" w:rsidP="00AD096E">
      <w:pPr>
        <w:pStyle w:val="Prrafodelista"/>
        <w:numPr>
          <w:ilvl w:val="0"/>
          <w:numId w:val="7"/>
        </w:numPr>
        <w:tabs>
          <w:tab w:val="left" w:pos="142"/>
        </w:tabs>
        <w:spacing w:before="240" w:after="240" w:line="360" w:lineRule="auto"/>
        <w:contextualSpacing w:val="0"/>
        <w:jc w:val="both"/>
        <w:rPr>
          <w:rFonts w:ascii="Verdana" w:eastAsia="Verdana" w:hAnsi="Verdana" w:cs="Verdana"/>
          <w:lang w:val="es-CO"/>
        </w:rPr>
      </w:pPr>
      <w:r w:rsidRPr="001A106A">
        <w:rPr>
          <w:rFonts w:ascii="Verdana" w:eastAsia="Verdana" w:hAnsi="Verdana" w:cs="Verdana"/>
          <w:lang w:val="es-CO"/>
        </w:rPr>
        <w:t>Generar un sistema de coordinación interinstitucional entre los Tribunales de Familia y los Tribunales Penales que, de oficio, se tome conocimiento integral de las causas de violencia intrafamiliar.</w:t>
      </w:r>
    </w:p>
    <w:p w14:paraId="61719690" w14:textId="77777777" w:rsidR="00AD096E" w:rsidRPr="001A106A" w:rsidRDefault="00AD096E" w:rsidP="00AD096E">
      <w:pPr>
        <w:pStyle w:val="Prrafodelista"/>
        <w:numPr>
          <w:ilvl w:val="0"/>
          <w:numId w:val="7"/>
        </w:numPr>
        <w:tabs>
          <w:tab w:val="left" w:pos="142"/>
        </w:tabs>
        <w:spacing w:before="240" w:after="240" w:line="360" w:lineRule="auto"/>
        <w:contextualSpacing w:val="0"/>
        <w:jc w:val="both"/>
        <w:rPr>
          <w:rFonts w:ascii="Verdana" w:eastAsia="Verdana" w:hAnsi="Verdana" w:cs="Verdana"/>
          <w:lang w:val="es-CO"/>
        </w:rPr>
      </w:pPr>
      <w:r w:rsidRPr="001A106A">
        <w:rPr>
          <w:rFonts w:ascii="Verdana" w:eastAsia="Verdana" w:hAnsi="Verdana" w:cs="Verdana"/>
          <w:lang w:val="es-CO"/>
        </w:rPr>
        <w:t xml:space="preserve">Fomentar la regulación de los temas conexos por parte de los jueces en la resolución del conflicto de violencia intrafamiliar, tanto en sede de familia como penal. </w:t>
      </w:r>
    </w:p>
    <w:p w14:paraId="5DAA0434" w14:textId="77777777" w:rsidR="00AD096E" w:rsidRPr="001A106A" w:rsidRDefault="00AD096E" w:rsidP="00AD096E">
      <w:pPr>
        <w:pStyle w:val="Prrafodelista"/>
        <w:numPr>
          <w:ilvl w:val="0"/>
          <w:numId w:val="7"/>
        </w:numPr>
        <w:tabs>
          <w:tab w:val="left" w:pos="142"/>
        </w:tabs>
        <w:spacing w:before="240" w:after="240" w:line="360" w:lineRule="auto"/>
        <w:contextualSpacing w:val="0"/>
        <w:jc w:val="both"/>
        <w:rPr>
          <w:rFonts w:ascii="Verdana" w:eastAsia="Verdana" w:hAnsi="Verdana" w:cs="Verdana"/>
          <w:lang w:val="es-CO"/>
        </w:rPr>
      </w:pPr>
      <w:r w:rsidRPr="001A106A">
        <w:rPr>
          <w:rFonts w:ascii="Verdana" w:eastAsia="Verdana" w:hAnsi="Verdana" w:cs="Verdana"/>
          <w:lang w:val="es-CO"/>
        </w:rPr>
        <w:t>Enfatizar la necesidad de que el poder judicial aplique la perspectiva de género en la valoración de la prueba en casos de violencia en contra de la mujer.</w:t>
      </w:r>
    </w:p>
    <w:p w14:paraId="5E701C53" w14:textId="77777777" w:rsidR="00AD096E" w:rsidRPr="001A106A" w:rsidRDefault="00AD096E" w:rsidP="00AD096E">
      <w:pPr>
        <w:pStyle w:val="Prrafodelista"/>
        <w:numPr>
          <w:ilvl w:val="0"/>
          <w:numId w:val="7"/>
        </w:numPr>
        <w:tabs>
          <w:tab w:val="left" w:pos="142"/>
        </w:tabs>
        <w:spacing w:before="240" w:after="240" w:line="360" w:lineRule="auto"/>
        <w:contextualSpacing w:val="0"/>
        <w:jc w:val="both"/>
        <w:rPr>
          <w:rFonts w:ascii="Verdana" w:hAnsi="Verdana" w:cs="Times New Roman"/>
          <w:lang w:val="es-CO"/>
        </w:rPr>
      </w:pPr>
      <w:r w:rsidRPr="001A106A">
        <w:rPr>
          <w:rFonts w:ascii="Verdana" w:hAnsi="Verdana" w:cs="Times New Roman"/>
          <w:lang w:val="es-CO"/>
        </w:rPr>
        <w:t>Implementar un mecanismo que permita reunir datos sobre casos de discriminación por razón de género considerando edad, discapacidad, origen étnico, nacionalidad, orientación sexual, entre otros.</w:t>
      </w:r>
    </w:p>
    <w:p w14:paraId="0DFB8967" w14:textId="77777777" w:rsidR="00AD096E" w:rsidRPr="00B4197D" w:rsidRDefault="00AD096E" w:rsidP="00AD096E">
      <w:pPr>
        <w:pStyle w:val="Prrafodelista"/>
        <w:numPr>
          <w:ilvl w:val="0"/>
          <w:numId w:val="4"/>
        </w:numPr>
        <w:suppressAutoHyphens w:val="0"/>
        <w:autoSpaceDN/>
        <w:spacing w:before="240" w:after="240" w:line="360" w:lineRule="auto"/>
        <w:ind w:left="567" w:hanging="567"/>
        <w:contextualSpacing w:val="0"/>
        <w:jc w:val="both"/>
        <w:rPr>
          <w:rFonts w:ascii="Verdana" w:eastAsia="Verdana" w:hAnsi="Verdana" w:cs="Verdana"/>
          <w:b/>
          <w:lang w:val="es" w:eastAsia="es-CL"/>
        </w:rPr>
      </w:pPr>
      <w:r w:rsidRPr="001A106A">
        <w:rPr>
          <w:rFonts w:ascii="Verdana" w:eastAsia="Verdana" w:hAnsi="Verdana" w:cs="Verdana"/>
          <w:b/>
          <w:u w:val="single"/>
          <w:lang w:val="es" w:eastAsia="es-CL"/>
        </w:rPr>
        <w:t>REFERENCIAS BIBLIOGRÁFICAS</w:t>
      </w:r>
      <w:r w:rsidRPr="00B4197D">
        <w:rPr>
          <w:rFonts w:ascii="Verdana" w:eastAsia="Verdana" w:hAnsi="Verdana" w:cs="Verdana"/>
          <w:b/>
          <w:lang w:val="es" w:eastAsia="es-CL"/>
        </w:rPr>
        <w:t>:</w:t>
      </w:r>
    </w:p>
    <w:p w14:paraId="05D2E174" w14:textId="77777777" w:rsidR="00AD096E" w:rsidRPr="001A106A" w:rsidRDefault="00AD096E" w:rsidP="00AD096E">
      <w:pPr>
        <w:pStyle w:val="Prrafodelista"/>
        <w:numPr>
          <w:ilvl w:val="0"/>
          <w:numId w:val="8"/>
        </w:numPr>
        <w:tabs>
          <w:tab w:val="left" w:pos="142"/>
        </w:tabs>
        <w:spacing w:before="240" w:after="240" w:line="360" w:lineRule="auto"/>
        <w:contextualSpacing w:val="0"/>
        <w:jc w:val="both"/>
        <w:rPr>
          <w:rFonts w:ascii="Verdana" w:hAnsi="Verdana"/>
          <w:lang w:val="es-CL"/>
        </w:rPr>
      </w:pPr>
      <w:r w:rsidRPr="001A106A">
        <w:rPr>
          <w:rFonts w:ascii="Verdana" w:eastAsia="Verdana" w:hAnsi="Verdana" w:cs="Verdana"/>
          <w:lang w:val="es-CO"/>
        </w:rPr>
        <w:t xml:space="preserve">CONTRALORÍA GENERAL DE LA REPÚBLICA (2017). Informe Final. Corporación de Asistencia Judicial Región Metropolitana. Disponible en: </w:t>
      </w:r>
      <w:hyperlink r:id="rId7" w:history="1">
        <w:r w:rsidRPr="001A106A">
          <w:rPr>
            <w:rStyle w:val="Hipervnculo"/>
            <w:rFonts w:ascii="Verdana" w:eastAsia="Verdana" w:hAnsi="Verdana" w:cs="Verdana"/>
            <w:lang w:val="es-CO"/>
          </w:rPr>
          <w:t>https://www.contraloria.cl/SicaProd/SICAv3-BIFAPortalCGR/faces/detalleInforme?docIdcm=00f58cc0992d0ce97192a9d420f8e43b&amp;_adf.ctrlstate=3qkqdff7b_3.&amp;_adf.ctrl-state=yneg75mza_3</w:t>
        </w:r>
      </w:hyperlink>
    </w:p>
    <w:p w14:paraId="061FD8FD" w14:textId="469FD955" w:rsidR="00AD096E" w:rsidRPr="00AD096E" w:rsidRDefault="00AD096E" w:rsidP="00AD096E">
      <w:pPr>
        <w:pStyle w:val="Prrafodelista"/>
        <w:numPr>
          <w:ilvl w:val="0"/>
          <w:numId w:val="8"/>
        </w:numPr>
        <w:tabs>
          <w:tab w:val="left" w:pos="142"/>
        </w:tabs>
        <w:spacing w:before="240" w:after="240" w:line="360" w:lineRule="auto"/>
        <w:contextualSpacing w:val="0"/>
        <w:jc w:val="both"/>
        <w:rPr>
          <w:rFonts w:ascii="Verdana" w:hAnsi="Verdana"/>
          <w:lang w:val="es-CL"/>
        </w:rPr>
      </w:pPr>
      <w:r w:rsidRPr="001A106A">
        <w:rPr>
          <w:rFonts w:ascii="Verdana" w:eastAsia="Verdana" w:hAnsi="Verdana" w:cs="Verdana"/>
          <w:lang w:val="es-CO"/>
        </w:rPr>
        <w:t xml:space="preserve">VARGAS, M. (2011). Reflexiones en torno a la figura del oficial de ejecución. En F. J. </w:t>
      </w:r>
      <w:proofErr w:type="spellStart"/>
      <w:r w:rsidRPr="001A106A">
        <w:rPr>
          <w:rFonts w:ascii="Verdana" w:eastAsia="Verdana" w:hAnsi="Verdana" w:cs="Verdana"/>
          <w:lang w:val="es-CO"/>
        </w:rPr>
        <w:t>Leturia</w:t>
      </w:r>
      <w:proofErr w:type="spellEnd"/>
      <w:r w:rsidRPr="001A106A">
        <w:rPr>
          <w:rFonts w:ascii="Verdana" w:eastAsia="Verdana" w:hAnsi="Verdana" w:cs="Verdana"/>
          <w:lang w:val="es-CO"/>
        </w:rPr>
        <w:t xml:space="preserve"> (Ed.), Justicia civil y comercial: Una reforma ¿cercana? (pp. 471-488). Santiago: Ediciones LYD. Citado en Universidad Diego Portales. (2017). </w:t>
      </w:r>
      <w:r w:rsidRPr="001A106A">
        <w:rPr>
          <w:rFonts w:ascii="Verdana" w:eastAsia="Verdana" w:hAnsi="Verdana" w:cs="Verdana"/>
          <w:i/>
          <w:iCs/>
          <w:lang w:val="es-CO"/>
        </w:rPr>
        <w:t>Informe anual sobre los derechos humanos en Chile año 2017</w:t>
      </w:r>
      <w:r w:rsidRPr="001A106A">
        <w:rPr>
          <w:rFonts w:ascii="Verdana" w:eastAsia="Verdana" w:hAnsi="Verdana" w:cs="Verdana"/>
          <w:lang w:val="es-CO"/>
        </w:rPr>
        <w:t xml:space="preserve"> (p. 372).</w:t>
      </w:r>
    </w:p>
    <w:p w14:paraId="7D61706F" w14:textId="393A7A36" w:rsidR="00AD096E" w:rsidRDefault="00AD096E" w:rsidP="00AD096E">
      <w:pPr>
        <w:tabs>
          <w:tab w:val="left" w:pos="142"/>
        </w:tabs>
        <w:spacing w:before="240" w:after="240" w:line="360" w:lineRule="auto"/>
        <w:jc w:val="both"/>
        <w:rPr>
          <w:rFonts w:ascii="Verdana" w:hAnsi="Verdana"/>
          <w:lang w:val="es-CL"/>
        </w:rPr>
      </w:pPr>
    </w:p>
    <w:p w14:paraId="136F40C3" w14:textId="10D6E1B4" w:rsidR="00AD096E" w:rsidRDefault="00AD096E" w:rsidP="00AD096E">
      <w:pPr>
        <w:tabs>
          <w:tab w:val="left" w:pos="142"/>
        </w:tabs>
        <w:spacing w:before="240" w:after="240" w:line="360" w:lineRule="auto"/>
        <w:jc w:val="both"/>
        <w:rPr>
          <w:rFonts w:ascii="Verdana" w:hAnsi="Verdana"/>
          <w:lang w:val="es-CL"/>
        </w:rPr>
      </w:pPr>
    </w:p>
    <w:p w14:paraId="1E9D7688" w14:textId="77777777" w:rsidR="00AD096E" w:rsidRPr="00AD096E" w:rsidRDefault="00AD096E" w:rsidP="00AD096E">
      <w:pPr>
        <w:tabs>
          <w:tab w:val="left" w:pos="142"/>
        </w:tabs>
        <w:spacing w:before="240" w:after="240" w:line="360" w:lineRule="auto"/>
        <w:jc w:val="both"/>
        <w:rPr>
          <w:rFonts w:ascii="Verdana" w:hAnsi="Verdana"/>
          <w:lang w:val="es-CL"/>
        </w:rPr>
      </w:pPr>
      <w:bookmarkStart w:id="5" w:name="_GoBack"/>
      <w:bookmarkEnd w:id="5"/>
    </w:p>
    <w:p w14:paraId="0ED41E15" w14:textId="77777777" w:rsidR="00AD096E" w:rsidRPr="001A106A" w:rsidRDefault="00AD096E" w:rsidP="00AD096E">
      <w:pPr>
        <w:pStyle w:val="Prrafodelista"/>
        <w:numPr>
          <w:ilvl w:val="0"/>
          <w:numId w:val="8"/>
        </w:numPr>
        <w:tabs>
          <w:tab w:val="left" w:pos="142"/>
        </w:tabs>
        <w:spacing w:before="240" w:after="240" w:line="360" w:lineRule="auto"/>
        <w:contextualSpacing w:val="0"/>
        <w:jc w:val="both"/>
        <w:rPr>
          <w:rStyle w:val="Hipervnculo"/>
          <w:rFonts w:ascii="Verdana" w:hAnsi="Verdana"/>
        </w:rPr>
      </w:pPr>
      <w:r w:rsidRPr="001A106A">
        <w:rPr>
          <w:rFonts w:ascii="Verdana" w:eastAsia="Verdana" w:hAnsi="Verdana" w:cs="Verdana"/>
          <w:lang w:val="es-CO"/>
        </w:rPr>
        <w:t xml:space="preserve">Puyol, C. (2017). Desconfianza y procedimiento judicial: Efectos nocivos en víctimas de delitos sexuales. </w:t>
      </w:r>
      <w:r w:rsidRPr="001A106A">
        <w:rPr>
          <w:rFonts w:ascii="Verdana" w:eastAsia="Verdana" w:hAnsi="Verdana" w:cs="Verdana"/>
          <w:i/>
          <w:iCs/>
          <w:lang w:val="es-CO"/>
        </w:rPr>
        <w:t>Revista de Estudios de Políticas Públicas, 3</w:t>
      </w:r>
      <w:r w:rsidRPr="001A106A">
        <w:rPr>
          <w:rFonts w:ascii="Verdana" w:eastAsia="Verdana" w:hAnsi="Verdana" w:cs="Verdana"/>
          <w:lang w:val="es-CO"/>
        </w:rPr>
        <w:t xml:space="preserve">(2), 106-130. </w:t>
      </w:r>
      <w:hyperlink r:id="rId8" w:history="1">
        <w:r w:rsidRPr="001A106A">
          <w:rPr>
            <w:rStyle w:val="Hipervnculo"/>
            <w:rFonts w:ascii="Verdana" w:eastAsia="Verdana" w:hAnsi="Verdana" w:cs="Verdana"/>
            <w:lang w:val="es-CO"/>
          </w:rPr>
          <w:t>https://doi.org/10.5354/0719-6296.2017.46351</w:t>
        </w:r>
      </w:hyperlink>
    </w:p>
    <w:p w14:paraId="7A92B9A2" w14:textId="77777777" w:rsidR="00AD096E" w:rsidRDefault="00AD096E" w:rsidP="00AD096E">
      <w:pPr>
        <w:pStyle w:val="Prrafodelista"/>
        <w:numPr>
          <w:ilvl w:val="0"/>
          <w:numId w:val="8"/>
        </w:numPr>
        <w:tabs>
          <w:tab w:val="left" w:pos="142"/>
        </w:tabs>
        <w:spacing w:before="240" w:after="240" w:line="360" w:lineRule="auto"/>
        <w:contextualSpacing w:val="0"/>
        <w:jc w:val="both"/>
        <w:rPr>
          <w:rFonts w:ascii="Verdana" w:hAnsi="Verdana"/>
          <w:lang w:val="es-CL"/>
        </w:rPr>
      </w:pPr>
      <w:r w:rsidRPr="001A106A">
        <w:rPr>
          <w:rFonts w:ascii="Verdana" w:hAnsi="Verdana"/>
          <w:lang w:val="es-CL"/>
        </w:rPr>
        <w:t xml:space="preserve">Observatorio de Contexto Económico y Fundación Chile Mujeres (2022) Zoom de Género N°05. Agosto 2022. </w:t>
      </w:r>
      <w:hyperlink r:id="rId9" w:history="1">
        <w:r w:rsidRPr="001D15C5">
          <w:rPr>
            <w:rStyle w:val="Hipervnculo"/>
            <w:rFonts w:ascii="Verdana" w:hAnsi="Verdana"/>
            <w:lang w:val="es-CL"/>
          </w:rPr>
          <w:t>https://ocec.udp.cl/cms/wp-content/uploads/2022/08/Zoom-de-Ge%CC%81nero-No5-Agosto-2022-2.pdf</w:t>
        </w:r>
      </w:hyperlink>
    </w:p>
    <w:p w14:paraId="69E869EB" w14:textId="77777777" w:rsidR="00AD096E" w:rsidRPr="006406E6" w:rsidRDefault="00AD096E" w:rsidP="00AD096E">
      <w:pPr>
        <w:pStyle w:val="Prrafodelista"/>
        <w:numPr>
          <w:ilvl w:val="0"/>
          <w:numId w:val="8"/>
        </w:numPr>
        <w:tabs>
          <w:tab w:val="left" w:pos="-218"/>
        </w:tabs>
        <w:spacing w:before="240" w:after="240" w:line="360" w:lineRule="auto"/>
        <w:contextualSpacing w:val="0"/>
        <w:jc w:val="both"/>
        <w:rPr>
          <w:rFonts w:ascii="Verdana" w:eastAsia="Verdana" w:hAnsi="Verdana" w:cs="Verdana"/>
          <w:lang w:val="es-CO"/>
        </w:rPr>
      </w:pPr>
      <w:r w:rsidRPr="001A106A">
        <w:rPr>
          <w:rFonts w:ascii="Verdana" w:eastAsia="Verdana" w:hAnsi="Verdana" w:cs="Verdana"/>
          <w:lang w:val="es-CO"/>
        </w:rPr>
        <w:t>Gráficos de Fundación Pro Bono</w:t>
      </w:r>
      <w:r w:rsidRPr="006406E6">
        <w:rPr>
          <w:rFonts w:ascii="Verdana" w:eastAsia="Verdana" w:hAnsi="Verdana" w:cs="Verdana"/>
          <w:lang w:val="es-CO"/>
        </w:rPr>
        <w:t xml:space="preserve"> correspondient</w:t>
      </w:r>
      <w:r>
        <w:rPr>
          <w:rFonts w:ascii="Verdana" w:eastAsia="Verdana" w:hAnsi="Verdana" w:cs="Verdana"/>
          <w:lang w:val="es-CO"/>
        </w:rPr>
        <w:t>es a los motivos de consulta de los años 2021 a</w:t>
      </w:r>
      <w:r w:rsidRPr="006406E6">
        <w:rPr>
          <w:rFonts w:ascii="Verdana" w:eastAsia="Verdana" w:hAnsi="Verdana" w:cs="Verdana"/>
          <w:lang w:val="es-CO"/>
        </w:rPr>
        <w:t xml:space="preserve"> 2024.</w:t>
      </w:r>
      <w:r>
        <w:rPr>
          <w:rFonts w:ascii="Verdana" w:eastAsia="Verdana" w:hAnsi="Verdana" w:cs="Verdana"/>
          <w:lang w:val="es-CO"/>
        </w:rPr>
        <w:t xml:space="preserve"> </w:t>
      </w:r>
    </w:p>
    <w:p w14:paraId="14345622" w14:textId="77777777" w:rsidR="00AD096E" w:rsidRDefault="00AD096E" w:rsidP="00AD096E">
      <w:pPr>
        <w:pStyle w:val="Prrafodelista"/>
        <w:tabs>
          <w:tab w:val="left" w:pos="142"/>
        </w:tabs>
        <w:spacing w:before="240" w:after="240" w:line="360" w:lineRule="auto"/>
        <w:ind w:left="0"/>
        <w:contextualSpacing w:val="0"/>
        <w:jc w:val="both"/>
        <w:rPr>
          <w:rFonts w:ascii="Verdana" w:hAnsi="Verdana" w:cs="Times New Roman"/>
          <w:lang w:val="es-CO"/>
        </w:rPr>
      </w:pPr>
    </w:p>
    <w:p w14:paraId="36D91032" w14:textId="77777777" w:rsidR="00AD096E" w:rsidRDefault="00AD096E" w:rsidP="00AD096E">
      <w:pPr>
        <w:pStyle w:val="Prrafodelista"/>
        <w:tabs>
          <w:tab w:val="left" w:pos="142"/>
        </w:tabs>
        <w:spacing w:before="240" w:after="240" w:line="240" w:lineRule="auto"/>
        <w:ind w:left="0"/>
        <w:contextualSpacing w:val="0"/>
        <w:jc w:val="both"/>
        <w:rPr>
          <w:rFonts w:ascii="Verdana" w:hAnsi="Verdana" w:cs="Times New Roman"/>
          <w:lang w:val="es-CO"/>
        </w:rPr>
      </w:pPr>
    </w:p>
    <w:p w14:paraId="404F30B2" w14:textId="77777777" w:rsidR="00AD096E" w:rsidRDefault="00AD096E" w:rsidP="00AD096E">
      <w:pPr>
        <w:pStyle w:val="Prrafodelista"/>
        <w:tabs>
          <w:tab w:val="left" w:pos="142"/>
        </w:tabs>
        <w:spacing w:before="240" w:after="240" w:line="240" w:lineRule="auto"/>
        <w:ind w:left="0"/>
        <w:contextualSpacing w:val="0"/>
        <w:jc w:val="both"/>
        <w:rPr>
          <w:rFonts w:ascii="Verdana" w:hAnsi="Verdana" w:cs="Times New Roman"/>
          <w:lang w:val="es-CO"/>
        </w:rPr>
      </w:pPr>
    </w:p>
    <w:p w14:paraId="390BF109" w14:textId="77777777" w:rsidR="00AD096E" w:rsidRDefault="00AD096E" w:rsidP="00AD096E">
      <w:pPr>
        <w:pStyle w:val="Prrafodelista"/>
        <w:tabs>
          <w:tab w:val="left" w:pos="142"/>
        </w:tabs>
        <w:spacing w:before="240" w:after="240" w:line="240" w:lineRule="auto"/>
        <w:ind w:left="0"/>
        <w:contextualSpacing w:val="0"/>
        <w:jc w:val="both"/>
        <w:rPr>
          <w:rFonts w:ascii="Verdana" w:hAnsi="Verdana" w:cs="Times New Roman"/>
          <w:lang w:val="es-CO"/>
        </w:rPr>
      </w:pPr>
    </w:p>
    <w:p w14:paraId="1A2AADFB" w14:textId="77777777" w:rsidR="00AD096E" w:rsidRDefault="00AD096E" w:rsidP="00AD096E">
      <w:pPr>
        <w:pStyle w:val="Prrafodelista"/>
        <w:tabs>
          <w:tab w:val="left" w:pos="142"/>
        </w:tabs>
        <w:spacing w:before="240" w:after="240" w:line="240" w:lineRule="auto"/>
        <w:ind w:left="0"/>
        <w:contextualSpacing w:val="0"/>
        <w:jc w:val="both"/>
        <w:rPr>
          <w:rFonts w:ascii="Verdana" w:hAnsi="Verdana" w:cs="Times New Roman"/>
          <w:lang w:val="es-CO"/>
        </w:rPr>
      </w:pPr>
    </w:p>
    <w:p w14:paraId="72612323" w14:textId="77777777" w:rsidR="00AD096E" w:rsidRDefault="00AD096E" w:rsidP="00AD096E">
      <w:pPr>
        <w:pStyle w:val="Prrafodelista"/>
        <w:tabs>
          <w:tab w:val="left" w:pos="142"/>
        </w:tabs>
        <w:spacing w:before="240" w:after="240" w:line="240" w:lineRule="auto"/>
        <w:ind w:left="0"/>
        <w:contextualSpacing w:val="0"/>
        <w:jc w:val="both"/>
        <w:rPr>
          <w:rFonts w:ascii="Verdana" w:hAnsi="Verdana" w:cs="Times New Roman"/>
          <w:lang w:val="es-CO"/>
        </w:rPr>
      </w:pPr>
    </w:p>
    <w:p w14:paraId="138DF552" w14:textId="77777777" w:rsidR="00AD096E" w:rsidRDefault="00AD096E" w:rsidP="00AD096E">
      <w:pPr>
        <w:pStyle w:val="Prrafodelista"/>
        <w:tabs>
          <w:tab w:val="left" w:pos="142"/>
        </w:tabs>
        <w:spacing w:before="240" w:after="240" w:line="240" w:lineRule="auto"/>
        <w:ind w:left="0"/>
        <w:contextualSpacing w:val="0"/>
        <w:jc w:val="both"/>
        <w:rPr>
          <w:rFonts w:ascii="Verdana" w:hAnsi="Verdana" w:cs="Times New Roman"/>
          <w:lang w:val="es-CO"/>
        </w:rPr>
      </w:pPr>
    </w:p>
    <w:p w14:paraId="450F9584" w14:textId="49425FA3" w:rsidR="00006243" w:rsidRPr="00006243" w:rsidRDefault="00006243" w:rsidP="000C1145">
      <w:pPr>
        <w:pStyle w:val="Sinespaciado"/>
        <w:spacing w:line="360" w:lineRule="auto"/>
        <w:jc w:val="center"/>
        <w:rPr>
          <w:lang w:val="es-ES"/>
        </w:rPr>
      </w:pPr>
    </w:p>
    <w:sectPr w:rsidR="00006243" w:rsidRPr="00006243" w:rsidSect="000C1145">
      <w:headerReference w:type="default" r:id="rId10"/>
      <w:footerReference w:type="default" r:id="rId11"/>
      <w:pgSz w:w="12240" w:h="15840"/>
      <w:pgMar w:top="1560" w:right="1467" w:bottom="1417" w:left="1418" w:header="993"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CC7A56" w14:textId="77777777" w:rsidR="00F6626C" w:rsidRDefault="00F6626C" w:rsidP="00CA520E">
      <w:pPr>
        <w:spacing w:after="0" w:line="240" w:lineRule="auto"/>
      </w:pPr>
      <w:r>
        <w:separator/>
      </w:r>
    </w:p>
  </w:endnote>
  <w:endnote w:type="continuationSeparator" w:id="0">
    <w:p w14:paraId="5D2C94C6" w14:textId="77777777" w:rsidR="00F6626C" w:rsidRDefault="00F6626C" w:rsidP="00CA52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828631"/>
      <w:docPartObj>
        <w:docPartGallery w:val="Page Numbers (Bottom of Page)"/>
        <w:docPartUnique/>
      </w:docPartObj>
    </w:sdtPr>
    <w:sdtEndPr/>
    <w:sdtContent>
      <w:p w14:paraId="6E177DA7" w14:textId="2C060A65" w:rsidR="00CA520E" w:rsidRDefault="00CA520E">
        <w:pPr>
          <w:pStyle w:val="Piedepgina"/>
          <w:jc w:val="center"/>
        </w:pPr>
        <w:r>
          <w:fldChar w:fldCharType="begin"/>
        </w:r>
        <w:r>
          <w:instrText>PAGE   \* MERGEFORMAT</w:instrText>
        </w:r>
        <w:r>
          <w:fldChar w:fldCharType="separate"/>
        </w:r>
        <w:r w:rsidR="00AD096E" w:rsidRPr="00AD096E">
          <w:rPr>
            <w:noProof/>
            <w:lang w:val="es-ES"/>
          </w:rPr>
          <w:t>1</w:t>
        </w:r>
        <w:r>
          <w:fldChar w:fldCharType="end"/>
        </w:r>
      </w:p>
    </w:sdtContent>
  </w:sdt>
  <w:p w14:paraId="51C4E27E" w14:textId="77777777" w:rsidR="00CA520E" w:rsidRDefault="00CA520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EC99B2" w14:textId="77777777" w:rsidR="00F6626C" w:rsidRDefault="00F6626C" w:rsidP="00CA520E">
      <w:pPr>
        <w:spacing w:after="0" w:line="240" w:lineRule="auto"/>
      </w:pPr>
      <w:r>
        <w:separator/>
      </w:r>
    </w:p>
  </w:footnote>
  <w:footnote w:type="continuationSeparator" w:id="0">
    <w:p w14:paraId="7EDAE8F2" w14:textId="77777777" w:rsidR="00F6626C" w:rsidRDefault="00F6626C" w:rsidP="00CA520E">
      <w:pPr>
        <w:spacing w:after="0" w:line="240" w:lineRule="auto"/>
      </w:pPr>
      <w:r>
        <w:continuationSeparator/>
      </w:r>
    </w:p>
  </w:footnote>
  <w:footnote w:id="1">
    <w:p w14:paraId="28A78976" w14:textId="77777777" w:rsidR="00AD096E" w:rsidRPr="004F5195" w:rsidRDefault="00AD096E" w:rsidP="00AD096E">
      <w:pPr>
        <w:pStyle w:val="Textonotapie"/>
        <w:jc w:val="both"/>
        <w:rPr>
          <w:rFonts w:ascii="Verdana" w:hAnsi="Verdana"/>
          <w:sz w:val="18"/>
          <w:szCs w:val="18"/>
          <w:lang w:val="es-CL"/>
        </w:rPr>
      </w:pPr>
      <w:r w:rsidRPr="004F5195">
        <w:rPr>
          <w:rStyle w:val="Refdenotaalpie"/>
          <w:rFonts w:ascii="Verdana" w:hAnsi="Verdana"/>
          <w:sz w:val="18"/>
          <w:szCs w:val="18"/>
        </w:rPr>
        <w:footnoteRef/>
      </w:r>
      <w:r w:rsidRPr="004F5195">
        <w:rPr>
          <w:rFonts w:ascii="Verdana" w:eastAsia="Verdana" w:hAnsi="Verdana" w:cs="Verdana"/>
          <w:sz w:val="18"/>
          <w:szCs w:val="18"/>
          <w:lang w:val="es-CL"/>
        </w:rPr>
        <w:t xml:space="preserve"> Fundación Pro Bono es una organización sin fines de lucro que desde el año 2000 promueve y facilita el acceso igualitario a la justicia de personas y grupos en situación de vulnerabilidad social y de organizaciones sociales. Para ello fomenta y articula el voluntariado legal entre sus miembros: estudios jurídicos, departamentos legales de grandes empresas y abogados y abogadas individuales</w:t>
      </w:r>
    </w:p>
    <w:p w14:paraId="3E5135CE" w14:textId="77777777" w:rsidR="00AD096E" w:rsidRDefault="00AD096E" w:rsidP="00AD096E">
      <w:pPr>
        <w:pStyle w:val="Textonotapie"/>
        <w:jc w:val="both"/>
        <w:rPr>
          <w:lang w:val="es-ES"/>
        </w:rPr>
      </w:pPr>
    </w:p>
  </w:footnote>
  <w:footnote w:id="2">
    <w:p w14:paraId="4C89F3AE" w14:textId="77777777" w:rsidR="00AD096E" w:rsidRPr="006406E6" w:rsidRDefault="00AD096E" w:rsidP="00AD096E">
      <w:pPr>
        <w:jc w:val="both"/>
        <w:rPr>
          <w:lang w:val="es-CL"/>
        </w:rPr>
      </w:pPr>
      <w:r w:rsidRPr="004F5195">
        <w:rPr>
          <w:rStyle w:val="Refdenotaalpie"/>
          <w:rFonts w:ascii="Verdana" w:hAnsi="Verdana"/>
          <w:sz w:val="18"/>
          <w:szCs w:val="18"/>
        </w:rPr>
        <w:footnoteRef/>
      </w:r>
      <w:r w:rsidRPr="004F5195">
        <w:rPr>
          <w:rFonts w:ascii="Verdana" w:eastAsia="Verdana" w:hAnsi="Verdana" w:cs="Verdana"/>
          <w:sz w:val="18"/>
          <w:szCs w:val="18"/>
          <w:lang w:val="es-ES"/>
        </w:rPr>
        <w:t xml:space="preserve"> Contraloría General de la República. Informe final 761-2017 Corporación de Asistencia Judicial Región Metropolitana. </w:t>
      </w:r>
    </w:p>
  </w:footnote>
  <w:footnote w:id="3">
    <w:p w14:paraId="63563DDD" w14:textId="77777777" w:rsidR="00AD096E" w:rsidRPr="004F5195" w:rsidRDefault="00AD096E" w:rsidP="00AD096E">
      <w:pPr>
        <w:jc w:val="both"/>
        <w:rPr>
          <w:rFonts w:ascii="Verdana" w:hAnsi="Verdana"/>
          <w:sz w:val="18"/>
          <w:szCs w:val="18"/>
          <w:lang w:val="es-CL"/>
        </w:rPr>
      </w:pPr>
      <w:r w:rsidRPr="004F5195">
        <w:rPr>
          <w:rStyle w:val="Refdenotaalpie"/>
          <w:rFonts w:ascii="Verdana" w:hAnsi="Verdana"/>
          <w:sz w:val="18"/>
          <w:szCs w:val="18"/>
        </w:rPr>
        <w:footnoteRef/>
      </w:r>
      <w:r w:rsidRPr="004F5195">
        <w:rPr>
          <w:rFonts w:ascii="Verdana" w:eastAsia="Verdana" w:hAnsi="Verdana" w:cs="Verdana"/>
          <w:sz w:val="18"/>
          <w:szCs w:val="18"/>
          <w:lang w:val="es-CL"/>
        </w:rPr>
        <w:t xml:space="preserve"> VARGAS, Macarena. “Reflexiones en Torno a la Figura del Oficial de Ejecución”, en: </w:t>
      </w:r>
      <w:r>
        <w:rPr>
          <w:rFonts w:ascii="Verdana" w:eastAsia="Verdana" w:hAnsi="Verdana" w:cs="Verdana"/>
          <w:sz w:val="18"/>
          <w:szCs w:val="18"/>
          <w:lang w:val="es-CL"/>
        </w:rPr>
        <w:t xml:space="preserve">Francisco Javier </w:t>
      </w:r>
      <w:proofErr w:type="spellStart"/>
      <w:r>
        <w:rPr>
          <w:rFonts w:ascii="Verdana" w:eastAsia="Verdana" w:hAnsi="Verdana" w:cs="Verdana"/>
          <w:sz w:val="18"/>
          <w:szCs w:val="18"/>
          <w:lang w:val="es-CL"/>
        </w:rPr>
        <w:t>Leturia</w:t>
      </w:r>
      <w:proofErr w:type="spellEnd"/>
      <w:r>
        <w:rPr>
          <w:rFonts w:ascii="Verdana" w:eastAsia="Verdana" w:hAnsi="Verdana" w:cs="Verdana"/>
          <w:sz w:val="18"/>
          <w:szCs w:val="18"/>
          <w:lang w:val="es-CL"/>
        </w:rPr>
        <w:t xml:space="preserve"> (ed.).</w:t>
      </w:r>
    </w:p>
  </w:footnote>
  <w:footnote w:id="4">
    <w:p w14:paraId="7E903773" w14:textId="77777777" w:rsidR="00AD096E" w:rsidRPr="006406E6" w:rsidRDefault="00AD096E" w:rsidP="00AD096E">
      <w:pPr>
        <w:jc w:val="both"/>
        <w:rPr>
          <w:lang w:val="es-CL"/>
        </w:rPr>
      </w:pPr>
      <w:r w:rsidRPr="004F5195">
        <w:rPr>
          <w:rStyle w:val="Refdenotaalpie"/>
          <w:rFonts w:ascii="Verdana" w:hAnsi="Verdana"/>
          <w:sz w:val="18"/>
          <w:szCs w:val="18"/>
        </w:rPr>
        <w:footnoteRef/>
      </w:r>
      <w:r w:rsidRPr="004F5195">
        <w:rPr>
          <w:rFonts w:ascii="Verdana" w:eastAsia="Verdana" w:hAnsi="Verdana" w:cs="Verdana"/>
          <w:sz w:val="18"/>
          <w:szCs w:val="18"/>
          <w:lang w:val="es-ES"/>
        </w:rPr>
        <w:t xml:space="preserve"> PUYOL, Macarena. Desconfianza y procedimiento judicial: efectos no</w:t>
      </w:r>
      <w:r>
        <w:rPr>
          <w:rFonts w:ascii="Verdana" w:eastAsia="Verdana" w:hAnsi="Verdana" w:cs="Verdana"/>
          <w:sz w:val="18"/>
          <w:szCs w:val="18"/>
          <w:lang w:val="es-ES"/>
        </w:rPr>
        <w:t>c</w:t>
      </w:r>
      <w:r w:rsidRPr="004F5195">
        <w:rPr>
          <w:rFonts w:ascii="Verdana" w:eastAsia="Verdana" w:hAnsi="Verdana" w:cs="Verdana"/>
          <w:sz w:val="18"/>
          <w:szCs w:val="18"/>
          <w:lang w:val="es-ES"/>
        </w:rPr>
        <w:t>i</w:t>
      </w:r>
      <w:r>
        <w:rPr>
          <w:rFonts w:ascii="Verdana" w:eastAsia="Verdana" w:hAnsi="Verdana" w:cs="Verdana"/>
          <w:sz w:val="18"/>
          <w:szCs w:val="18"/>
          <w:lang w:val="es-ES"/>
        </w:rPr>
        <w:t>v</w:t>
      </w:r>
      <w:r w:rsidRPr="004F5195">
        <w:rPr>
          <w:rFonts w:ascii="Verdana" w:eastAsia="Verdana" w:hAnsi="Verdana" w:cs="Verdana"/>
          <w:sz w:val="18"/>
          <w:szCs w:val="18"/>
          <w:lang w:val="es-ES"/>
        </w:rPr>
        <w:t>os en víctimas de delitos sexuales., p. 127.</w:t>
      </w:r>
    </w:p>
  </w:footnote>
  <w:footnote w:id="5">
    <w:p w14:paraId="7DAC33C1" w14:textId="77777777" w:rsidR="00AD096E" w:rsidRPr="004F5195" w:rsidRDefault="00AD096E" w:rsidP="00AD096E">
      <w:pPr>
        <w:pStyle w:val="Textonotapie"/>
        <w:jc w:val="both"/>
        <w:rPr>
          <w:rFonts w:ascii="Verdana" w:hAnsi="Verdana"/>
          <w:sz w:val="18"/>
          <w:szCs w:val="18"/>
          <w:lang w:val="es-CL"/>
        </w:rPr>
      </w:pPr>
      <w:r w:rsidRPr="004F5195">
        <w:rPr>
          <w:rStyle w:val="Refdenotaalpie"/>
          <w:rFonts w:ascii="Verdana" w:hAnsi="Verdana"/>
          <w:sz w:val="18"/>
          <w:szCs w:val="18"/>
        </w:rPr>
        <w:footnoteRef/>
      </w:r>
      <w:r w:rsidRPr="004F5195">
        <w:rPr>
          <w:rFonts w:ascii="Verdana" w:eastAsia="Verdana" w:hAnsi="Verdana" w:cs="Verdana"/>
          <w:sz w:val="18"/>
          <w:szCs w:val="18"/>
          <w:lang w:val="es-CL"/>
        </w:rPr>
        <w:t xml:space="preserve"> </w:t>
      </w:r>
      <w:r w:rsidRPr="004F5195">
        <w:rPr>
          <w:rFonts w:ascii="Verdana" w:eastAsia="Verdana" w:hAnsi="Verdana" w:cs="Verdana"/>
          <w:sz w:val="18"/>
          <w:szCs w:val="18"/>
          <w:lang w:val="es-ES"/>
        </w:rPr>
        <w:t>CEDAW. Recomendación General N° 33, párr. 8</w:t>
      </w:r>
      <w:r>
        <w:rPr>
          <w:rFonts w:ascii="Verdana" w:eastAsia="Verdana" w:hAnsi="Verdana" w:cs="Verdana"/>
          <w:sz w:val="18"/>
          <w:szCs w:val="18"/>
          <w:lang w:val="es-ES"/>
        </w:rPr>
        <w:t>.</w:t>
      </w:r>
    </w:p>
  </w:footnote>
  <w:footnote w:id="6">
    <w:p w14:paraId="524A726A" w14:textId="77777777" w:rsidR="00AD096E" w:rsidRPr="001A106A" w:rsidRDefault="00AD096E" w:rsidP="00AD096E">
      <w:pPr>
        <w:pStyle w:val="Textonotapie"/>
        <w:rPr>
          <w:lang w:val="es-CL"/>
        </w:rPr>
      </w:pPr>
      <w:r>
        <w:rPr>
          <w:rStyle w:val="Refdenotaalpie"/>
        </w:rPr>
        <w:footnoteRef/>
      </w:r>
      <w:r w:rsidRPr="001A106A">
        <w:rPr>
          <w:lang w:val="es-CL"/>
        </w:rPr>
        <w:t xml:space="preserve"> Observatorio de Contexto Económico y Fundación Chile Mujeres (2022) Zoom de Género N°05. </w:t>
      </w:r>
      <w:r w:rsidRPr="002E206F">
        <w:rPr>
          <w:lang w:val="es-CL"/>
        </w:rPr>
        <w:t>Agosto 2022.</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C5A21" w14:textId="09E26324" w:rsidR="00CA520E" w:rsidRDefault="000C1145">
    <w:pPr>
      <w:pStyle w:val="Encabezado"/>
    </w:pPr>
    <w:r w:rsidRPr="00771C56">
      <w:rPr>
        <w:b/>
        <w:noProof/>
        <w:lang w:eastAsia="es-CL"/>
      </w:rPr>
      <w:drawing>
        <wp:inline distT="114300" distB="114300" distL="114300" distR="114300" wp14:anchorId="4A745525" wp14:editId="6BF33C76">
          <wp:extent cx="739471" cy="607695"/>
          <wp:effectExtent l="0" t="0" r="3810" b="1905"/>
          <wp:docPr id="8" name="image2.png" descr="Un letrero de color negr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 name="image2.png" descr="Un letrero de color negro&#10;&#10;Descripción generada automáticamente con confianza media"/>
                  <pic:cNvPicPr preferRelativeResize="0"/>
                </pic:nvPicPr>
                <pic:blipFill>
                  <a:blip r:embed="rId1"/>
                  <a:srcRect/>
                  <a:stretch>
                    <a:fillRect/>
                  </a:stretch>
                </pic:blipFill>
                <pic:spPr>
                  <a:xfrm>
                    <a:off x="0" y="0"/>
                    <a:ext cx="765473" cy="629063"/>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7687"/>
    <w:multiLevelType w:val="multilevel"/>
    <w:tmpl w:val="D9FACF3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7B017F5"/>
    <w:multiLevelType w:val="multilevel"/>
    <w:tmpl w:val="74BCEAEC"/>
    <w:lvl w:ilvl="0">
      <w:start w:val="1"/>
      <w:numFmt w:val="upp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FF43ACF"/>
    <w:multiLevelType w:val="multilevel"/>
    <w:tmpl w:val="AC28268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7972335"/>
    <w:multiLevelType w:val="multilevel"/>
    <w:tmpl w:val="37A40B88"/>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15:restartNumberingAfterBreak="0">
    <w:nsid w:val="47B537EC"/>
    <w:multiLevelType w:val="multilevel"/>
    <w:tmpl w:val="1C30BC8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7AD230A"/>
    <w:multiLevelType w:val="multilevel"/>
    <w:tmpl w:val="FE0477E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3A3153C"/>
    <w:multiLevelType w:val="multilevel"/>
    <w:tmpl w:val="37A40B88"/>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15:restartNumberingAfterBreak="0">
    <w:nsid w:val="7A2B1985"/>
    <w:multiLevelType w:val="multilevel"/>
    <w:tmpl w:val="75A4A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3"/>
  </w:num>
  <w:num w:numId="3">
    <w:abstractNumId w:val="7"/>
  </w:num>
  <w:num w:numId="4">
    <w:abstractNumId w:val="1"/>
  </w:num>
  <w:num w:numId="5">
    <w:abstractNumId w:val="2"/>
  </w:num>
  <w:num w:numId="6">
    <w:abstractNumId w:val="0"/>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243"/>
    <w:rsid w:val="00006243"/>
    <w:rsid w:val="000C1145"/>
    <w:rsid w:val="000F23AE"/>
    <w:rsid w:val="0013190F"/>
    <w:rsid w:val="002123BF"/>
    <w:rsid w:val="002522B4"/>
    <w:rsid w:val="002B49C9"/>
    <w:rsid w:val="00305467"/>
    <w:rsid w:val="003868F9"/>
    <w:rsid w:val="003F23B0"/>
    <w:rsid w:val="00426C71"/>
    <w:rsid w:val="004418AA"/>
    <w:rsid w:val="00517D9D"/>
    <w:rsid w:val="0059674D"/>
    <w:rsid w:val="005C0687"/>
    <w:rsid w:val="005D411D"/>
    <w:rsid w:val="006010F3"/>
    <w:rsid w:val="006E033B"/>
    <w:rsid w:val="0072536A"/>
    <w:rsid w:val="0076351E"/>
    <w:rsid w:val="00805C30"/>
    <w:rsid w:val="00855425"/>
    <w:rsid w:val="0086729E"/>
    <w:rsid w:val="009342CF"/>
    <w:rsid w:val="009C6FF0"/>
    <w:rsid w:val="00A216AB"/>
    <w:rsid w:val="00AD096E"/>
    <w:rsid w:val="00B22078"/>
    <w:rsid w:val="00B56D8B"/>
    <w:rsid w:val="00B669E7"/>
    <w:rsid w:val="00B90888"/>
    <w:rsid w:val="00C123E4"/>
    <w:rsid w:val="00C3166F"/>
    <w:rsid w:val="00C3358D"/>
    <w:rsid w:val="00C53633"/>
    <w:rsid w:val="00C66C2F"/>
    <w:rsid w:val="00C8452B"/>
    <w:rsid w:val="00CA520E"/>
    <w:rsid w:val="00D70B2A"/>
    <w:rsid w:val="00DD0243"/>
    <w:rsid w:val="00ED5B80"/>
    <w:rsid w:val="00F32349"/>
    <w:rsid w:val="00F502B4"/>
    <w:rsid w:val="00F53858"/>
    <w:rsid w:val="00F6626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8E9D96"/>
  <w15:chartTrackingRefBased/>
  <w15:docId w15:val="{A3A4DDF0-C4F3-4F61-A7D3-416921136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096E"/>
    <w:pPr>
      <w:suppressAutoHyphens/>
      <w:autoSpaceDN w:val="0"/>
      <w:spacing w:line="256" w:lineRule="auto"/>
    </w:pPr>
    <w:rPr>
      <w:rFonts w:ascii="Calibri" w:eastAsia="Calibri" w:hAnsi="Calibri" w:cs="Arial"/>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06243"/>
    <w:pPr>
      <w:ind w:left="720"/>
      <w:contextualSpacing/>
    </w:pPr>
  </w:style>
  <w:style w:type="character" w:styleId="Hipervnculo">
    <w:name w:val="Hyperlink"/>
    <w:basedOn w:val="Fuentedeprrafopredeter"/>
    <w:uiPriority w:val="99"/>
    <w:semiHidden/>
    <w:unhideWhenUsed/>
    <w:rsid w:val="003F23B0"/>
    <w:rPr>
      <w:color w:val="0000FF"/>
      <w:u w:val="single"/>
    </w:rPr>
  </w:style>
  <w:style w:type="paragraph" w:styleId="Sinespaciado">
    <w:name w:val="No Spacing"/>
    <w:uiPriority w:val="1"/>
    <w:qFormat/>
    <w:rsid w:val="003F23B0"/>
    <w:pPr>
      <w:spacing w:after="0" w:line="240" w:lineRule="auto"/>
    </w:pPr>
  </w:style>
  <w:style w:type="paragraph" w:styleId="Encabezado">
    <w:name w:val="header"/>
    <w:basedOn w:val="Normal"/>
    <w:link w:val="EncabezadoCar"/>
    <w:uiPriority w:val="99"/>
    <w:unhideWhenUsed/>
    <w:rsid w:val="00CA520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520E"/>
  </w:style>
  <w:style w:type="paragraph" w:styleId="Piedepgina">
    <w:name w:val="footer"/>
    <w:basedOn w:val="Normal"/>
    <w:link w:val="PiedepginaCar"/>
    <w:uiPriority w:val="99"/>
    <w:unhideWhenUsed/>
    <w:rsid w:val="00CA520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A520E"/>
  </w:style>
  <w:style w:type="paragraph" w:styleId="NormalWeb">
    <w:name w:val="Normal (Web)"/>
    <w:basedOn w:val="Normal"/>
    <w:uiPriority w:val="99"/>
    <w:semiHidden/>
    <w:unhideWhenUsed/>
    <w:rsid w:val="00B669E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ncabezado1">
    <w:name w:val="Encabezado1"/>
    <w:basedOn w:val="Normal"/>
    <w:next w:val="Normal"/>
    <w:rsid w:val="00AD096E"/>
    <w:pPr>
      <w:spacing w:after="360"/>
      <w:jc w:val="both"/>
    </w:pPr>
    <w:rPr>
      <w:rFonts w:ascii="Times New Roman" w:hAnsi="Times New Roman"/>
      <w:lang w:val="es-CO"/>
    </w:rPr>
  </w:style>
  <w:style w:type="paragraph" w:styleId="Textonotapie">
    <w:name w:val="footnote text"/>
    <w:basedOn w:val="Normal"/>
    <w:link w:val="TextonotapieCar"/>
    <w:rsid w:val="00AD096E"/>
    <w:pPr>
      <w:spacing w:after="0" w:line="240" w:lineRule="auto"/>
    </w:pPr>
    <w:rPr>
      <w:sz w:val="20"/>
      <w:szCs w:val="20"/>
    </w:rPr>
  </w:style>
  <w:style w:type="character" w:customStyle="1" w:styleId="TextonotapieCar">
    <w:name w:val="Texto nota pie Car"/>
    <w:basedOn w:val="Fuentedeprrafopredeter"/>
    <w:link w:val="Textonotapie"/>
    <w:rsid w:val="00AD096E"/>
    <w:rPr>
      <w:rFonts w:ascii="Calibri" w:eastAsia="Calibri" w:hAnsi="Calibri" w:cs="Arial"/>
      <w:sz w:val="20"/>
      <w:szCs w:val="20"/>
      <w:lang w:val="en-US"/>
    </w:rPr>
  </w:style>
  <w:style w:type="character" w:styleId="Refdenotaalpie">
    <w:name w:val="footnote reference"/>
    <w:rsid w:val="00AD096E"/>
    <w:rPr>
      <w:position w:val="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199249">
      <w:bodyDiv w:val="1"/>
      <w:marLeft w:val="0"/>
      <w:marRight w:val="0"/>
      <w:marTop w:val="0"/>
      <w:marBottom w:val="0"/>
      <w:divBdr>
        <w:top w:val="none" w:sz="0" w:space="0" w:color="auto"/>
        <w:left w:val="none" w:sz="0" w:space="0" w:color="auto"/>
        <w:bottom w:val="none" w:sz="0" w:space="0" w:color="auto"/>
        <w:right w:val="none" w:sz="0" w:space="0" w:color="auto"/>
      </w:divBdr>
      <w:divsChild>
        <w:div w:id="361201601">
          <w:marLeft w:val="0"/>
          <w:marRight w:val="0"/>
          <w:marTop w:val="0"/>
          <w:marBottom w:val="0"/>
          <w:divBdr>
            <w:top w:val="none" w:sz="0" w:space="0" w:color="auto"/>
            <w:left w:val="none" w:sz="0" w:space="0" w:color="auto"/>
            <w:bottom w:val="none" w:sz="0" w:space="0" w:color="auto"/>
            <w:right w:val="none" w:sz="0" w:space="0" w:color="auto"/>
          </w:divBdr>
        </w:div>
        <w:div w:id="1347052326">
          <w:marLeft w:val="0"/>
          <w:marRight w:val="0"/>
          <w:marTop w:val="0"/>
          <w:marBottom w:val="0"/>
          <w:divBdr>
            <w:top w:val="none" w:sz="0" w:space="0" w:color="auto"/>
            <w:left w:val="none" w:sz="0" w:space="0" w:color="auto"/>
            <w:bottom w:val="none" w:sz="0" w:space="0" w:color="auto"/>
            <w:right w:val="none" w:sz="0" w:space="0" w:color="auto"/>
          </w:divBdr>
        </w:div>
        <w:div w:id="1479304933">
          <w:marLeft w:val="0"/>
          <w:marRight w:val="0"/>
          <w:marTop w:val="0"/>
          <w:marBottom w:val="0"/>
          <w:divBdr>
            <w:top w:val="none" w:sz="0" w:space="0" w:color="auto"/>
            <w:left w:val="none" w:sz="0" w:space="0" w:color="auto"/>
            <w:bottom w:val="none" w:sz="0" w:space="0" w:color="auto"/>
            <w:right w:val="none" w:sz="0" w:space="0" w:color="auto"/>
          </w:divBdr>
        </w:div>
      </w:divsChild>
    </w:div>
    <w:div w:id="1368750432">
      <w:bodyDiv w:val="1"/>
      <w:marLeft w:val="0"/>
      <w:marRight w:val="0"/>
      <w:marTop w:val="0"/>
      <w:marBottom w:val="0"/>
      <w:divBdr>
        <w:top w:val="none" w:sz="0" w:space="0" w:color="auto"/>
        <w:left w:val="none" w:sz="0" w:space="0" w:color="auto"/>
        <w:bottom w:val="none" w:sz="0" w:space="0" w:color="auto"/>
        <w:right w:val="none" w:sz="0" w:space="0" w:color="auto"/>
      </w:divBdr>
    </w:div>
    <w:div w:id="1623800820">
      <w:bodyDiv w:val="1"/>
      <w:marLeft w:val="0"/>
      <w:marRight w:val="0"/>
      <w:marTop w:val="0"/>
      <w:marBottom w:val="0"/>
      <w:divBdr>
        <w:top w:val="none" w:sz="0" w:space="0" w:color="auto"/>
        <w:left w:val="none" w:sz="0" w:space="0" w:color="auto"/>
        <w:bottom w:val="none" w:sz="0" w:space="0" w:color="auto"/>
        <w:right w:val="none" w:sz="0" w:space="0" w:color="auto"/>
      </w:divBdr>
      <w:divsChild>
        <w:div w:id="320424000">
          <w:marLeft w:val="0"/>
          <w:marRight w:val="0"/>
          <w:marTop w:val="0"/>
          <w:marBottom w:val="0"/>
          <w:divBdr>
            <w:top w:val="none" w:sz="0" w:space="0" w:color="auto"/>
            <w:left w:val="none" w:sz="0" w:space="0" w:color="auto"/>
            <w:bottom w:val="none" w:sz="0" w:space="0" w:color="auto"/>
            <w:right w:val="none" w:sz="0" w:space="0" w:color="auto"/>
          </w:divBdr>
        </w:div>
        <w:div w:id="1628856133">
          <w:marLeft w:val="0"/>
          <w:marRight w:val="0"/>
          <w:marTop w:val="0"/>
          <w:marBottom w:val="0"/>
          <w:divBdr>
            <w:top w:val="none" w:sz="0" w:space="0" w:color="auto"/>
            <w:left w:val="none" w:sz="0" w:space="0" w:color="auto"/>
            <w:bottom w:val="none" w:sz="0" w:space="0" w:color="auto"/>
            <w:right w:val="none" w:sz="0" w:space="0" w:color="auto"/>
          </w:divBdr>
        </w:div>
        <w:div w:id="151608532">
          <w:marLeft w:val="0"/>
          <w:marRight w:val="0"/>
          <w:marTop w:val="0"/>
          <w:marBottom w:val="0"/>
          <w:divBdr>
            <w:top w:val="none" w:sz="0" w:space="0" w:color="auto"/>
            <w:left w:val="none" w:sz="0" w:space="0" w:color="auto"/>
            <w:bottom w:val="none" w:sz="0" w:space="0" w:color="auto"/>
            <w:right w:val="none" w:sz="0" w:space="0" w:color="auto"/>
          </w:divBdr>
        </w:div>
      </w:divsChild>
    </w:div>
    <w:div w:id="2000690342">
      <w:bodyDiv w:val="1"/>
      <w:marLeft w:val="0"/>
      <w:marRight w:val="0"/>
      <w:marTop w:val="0"/>
      <w:marBottom w:val="0"/>
      <w:divBdr>
        <w:top w:val="none" w:sz="0" w:space="0" w:color="auto"/>
        <w:left w:val="none" w:sz="0" w:space="0" w:color="auto"/>
        <w:bottom w:val="none" w:sz="0" w:space="0" w:color="auto"/>
        <w:right w:val="none" w:sz="0" w:space="0" w:color="auto"/>
      </w:divBdr>
      <w:divsChild>
        <w:div w:id="595554991">
          <w:marLeft w:val="0"/>
          <w:marRight w:val="0"/>
          <w:marTop w:val="0"/>
          <w:marBottom w:val="0"/>
          <w:divBdr>
            <w:top w:val="none" w:sz="0" w:space="0" w:color="auto"/>
            <w:left w:val="none" w:sz="0" w:space="0" w:color="auto"/>
            <w:bottom w:val="none" w:sz="0" w:space="0" w:color="auto"/>
            <w:right w:val="none" w:sz="0" w:space="0" w:color="auto"/>
          </w:divBdr>
        </w:div>
        <w:div w:id="1581253231">
          <w:marLeft w:val="0"/>
          <w:marRight w:val="0"/>
          <w:marTop w:val="0"/>
          <w:marBottom w:val="0"/>
          <w:divBdr>
            <w:top w:val="none" w:sz="0" w:space="0" w:color="auto"/>
            <w:left w:val="none" w:sz="0" w:space="0" w:color="auto"/>
            <w:bottom w:val="none" w:sz="0" w:space="0" w:color="auto"/>
            <w:right w:val="none" w:sz="0" w:space="0" w:color="auto"/>
          </w:divBdr>
        </w:div>
        <w:div w:id="18801250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354/0719-6296.2017.4635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ontraloria.cl/SicaProd/SICAv3-BIFAPortalCGR/faces/detalleInforme?docIdcm=00f58cc0992d0ce97192a9d420f8e43b&amp;_adf.ctrlstate=3qkqdff7b_3.&amp;_adf.ctrl-state=yneg75mza_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ocec.udp.cl/cms/wp-content/uploads/2022/08/Zoom-de-Ge%CC%81nero-No5-Agosto-2022-2.pdf" TargetMode="External"/><Relationship Id="rId14" Type="http://schemas.openxmlformats.org/officeDocument/2006/relationships/customXml" Target="../customXml/item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094715-0331-40AE-AF4D-3FF38CC75598}"/>
</file>

<file path=customXml/itemProps2.xml><?xml version="1.0" encoding="utf-8"?>
<ds:datastoreItem xmlns:ds="http://schemas.openxmlformats.org/officeDocument/2006/customXml" ds:itemID="{E129B4F3-B44F-4345-BE83-142E61B04E1A}"/>
</file>

<file path=docProps/app.xml><?xml version="1.0" encoding="utf-8"?>
<Properties xmlns="http://schemas.openxmlformats.org/officeDocument/2006/extended-properties" xmlns:vt="http://schemas.openxmlformats.org/officeDocument/2006/docPropsVTypes">
  <Template>Normal</Template>
  <TotalTime>0</TotalTime>
  <Pages>12</Pages>
  <Words>3019</Words>
  <Characters>16610</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Fundacion Probono</dc:creator>
  <cp:keywords/>
  <dc:description/>
  <cp:lastModifiedBy>Alejandra Ferreiro</cp:lastModifiedBy>
  <cp:revision>3</cp:revision>
  <dcterms:created xsi:type="dcterms:W3CDTF">2024-08-28T20:03:00Z</dcterms:created>
  <dcterms:modified xsi:type="dcterms:W3CDTF">2024-09-09T18:30:00Z</dcterms:modified>
</cp:coreProperties>
</file>