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9529C" w14:paraId="1609622B" w14:textId="77777777">
        <w:trPr>
          <w:cantSplit/>
          <w:trHeight w:hRule="exact" w:val="851"/>
        </w:trPr>
        <w:tc>
          <w:tcPr>
            <w:tcW w:w="1276" w:type="dxa"/>
            <w:tcBorders>
              <w:bottom w:val="single" w:sz="4" w:space="0" w:color="auto"/>
            </w:tcBorders>
            <w:vAlign w:val="bottom"/>
          </w:tcPr>
          <w:p w14:paraId="644D92A4" w14:textId="77777777" w:rsidR="00AF434B" w:rsidRDefault="00AF434B">
            <w:pPr>
              <w:spacing w:after="80"/>
            </w:pPr>
          </w:p>
        </w:tc>
        <w:tc>
          <w:tcPr>
            <w:tcW w:w="2268" w:type="dxa"/>
            <w:tcBorders>
              <w:bottom w:val="single" w:sz="4" w:space="0" w:color="auto"/>
            </w:tcBorders>
            <w:vAlign w:val="bottom"/>
          </w:tcPr>
          <w:p w14:paraId="0EFF983E" w14:textId="4A045DF2" w:rsidR="00AF434B" w:rsidRDefault="00AF434B">
            <w:pPr>
              <w:spacing w:after="80" w:line="300" w:lineRule="exact"/>
              <w:rPr>
                <w:b/>
                <w:sz w:val="24"/>
                <w:szCs w:val="24"/>
              </w:rPr>
            </w:pPr>
          </w:p>
        </w:tc>
        <w:tc>
          <w:tcPr>
            <w:tcW w:w="6095" w:type="dxa"/>
            <w:gridSpan w:val="2"/>
            <w:tcBorders>
              <w:bottom w:val="single" w:sz="4" w:space="0" w:color="auto"/>
            </w:tcBorders>
            <w:vAlign w:val="bottom"/>
          </w:tcPr>
          <w:p w14:paraId="7E802B48" w14:textId="77777777" w:rsidR="00AF434B" w:rsidRDefault="00372C86">
            <w:pPr>
              <w:suppressAutoHyphens w:val="0"/>
              <w:spacing w:after="20"/>
              <w:jc w:val="right"/>
            </w:pPr>
            <w:r>
              <w:rPr>
                <w:sz w:val="40"/>
              </w:rPr>
              <w:t>CRPD</w:t>
            </w:r>
            <w:r>
              <w:t>/C/UGA/2-4</w:t>
            </w:r>
          </w:p>
        </w:tc>
      </w:tr>
      <w:tr w:rsidR="00D9529C" w14:paraId="632872DB" w14:textId="77777777">
        <w:trPr>
          <w:cantSplit/>
          <w:trHeight w:hRule="exact" w:val="2835"/>
        </w:trPr>
        <w:tc>
          <w:tcPr>
            <w:tcW w:w="1276" w:type="dxa"/>
            <w:tcBorders>
              <w:top w:val="single" w:sz="4" w:space="0" w:color="auto"/>
              <w:bottom w:val="single" w:sz="12" w:space="0" w:color="auto"/>
            </w:tcBorders>
          </w:tcPr>
          <w:p w14:paraId="0107CC97" w14:textId="6EA4F97F" w:rsidR="00AF434B" w:rsidRDefault="00AF434B">
            <w:pPr>
              <w:spacing w:before="120"/>
              <w:jc w:val="center"/>
            </w:pPr>
          </w:p>
        </w:tc>
        <w:tc>
          <w:tcPr>
            <w:tcW w:w="5528" w:type="dxa"/>
            <w:gridSpan w:val="2"/>
            <w:tcBorders>
              <w:top w:val="single" w:sz="4" w:space="0" w:color="auto"/>
              <w:bottom w:val="single" w:sz="12" w:space="0" w:color="auto"/>
            </w:tcBorders>
          </w:tcPr>
          <w:p w14:paraId="23405C7A" w14:textId="5DAA7059" w:rsidR="00AF434B" w:rsidRDefault="00372C86">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772880D2" w14:textId="77777777" w:rsidR="00AF434B" w:rsidRDefault="00372C86">
            <w:pPr>
              <w:suppressAutoHyphens w:val="0"/>
              <w:spacing w:before="240" w:line="240" w:lineRule="exact"/>
              <w:rPr>
                <w:lang w:val="fr-CH"/>
              </w:rPr>
            </w:pPr>
            <w:proofErr w:type="spellStart"/>
            <w:r>
              <w:rPr>
                <w:lang w:val="fr-CH"/>
              </w:rPr>
              <w:t>Distr</w:t>
            </w:r>
            <w:proofErr w:type="spellEnd"/>
            <w:proofErr w:type="gramStart"/>
            <w:r>
              <w:rPr>
                <w:lang w:val="fr-CH"/>
              </w:rPr>
              <w:t>.:</w:t>
            </w:r>
            <w:proofErr w:type="gramEnd"/>
            <w:r>
              <w:rPr>
                <w:lang w:val="fr-CH"/>
              </w:rPr>
              <w:t xml:space="preserve"> General</w:t>
            </w:r>
          </w:p>
          <w:p w14:paraId="67E2EF16" w14:textId="277CC111" w:rsidR="00AF434B" w:rsidRDefault="00372C86">
            <w:pPr>
              <w:suppressAutoHyphens w:val="0"/>
              <w:rPr>
                <w:lang w:val="fr-CH"/>
              </w:rPr>
            </w:pPr>
            <w:r>
              <w:rPr>
                <w:lang w:val="fr-CH"/>
              </w:rPr>
              <w:t>28</w:t>
            </w:r>
            <w:r>
              <w:rPr>
                <w:lang w:val="fr-CH"/>
              </w:rPr>
              <w:t xml:space="preserve"> March</w:t>
            </w:r>
            <w:r>
              <w:rPr>
                <w:lang w:val="fr-CH"/>
              </w:rPr>
              <w:t xml:space="preserve"> 2023</w:t>
            </w:r>
          </w:p>
          <w:p w14:paraId="07FB0BB8" w14:textId="77777777" w:rsidR="00AF434B" w:rsidRDefault="00AF434B">
            <w:pPr>
              <w:suppressAutoHyphens w:val="0"/>
              <w:rPr>
                <w:lang w:val="fr-CH"/>
              </w:rPr>
            </w:pPr>
          </w:p>
          <w:p w14:paraId="40D2698F" w14:textId="513A5925" w:rsidR="00AF434B" w:rsidRPr="00372C86" w:rsidRDefault="00372C86">
            <w:pPr>
              <w:suppressAutoHyphens w:val="0"/>
              <w:rPr>
                <w:lang w:val="fr-CH"/>
              </w:rPr>
            </w:pPr>
            <w:proofErr w:type="gramStart"/>
            <w:r>
              <w:rPr>
                <w:lang w:val="fr-CH"/>
              </w:rPr>
              <w:t>Original:</w:t>
            </w:r>
            <w:proofErr w:type="gramEnd"/>
            <w:r>
              <w:rPr>
                <w:lang w:val="fr-CH"/>
              </w:rPr>
              <w:t xml:space="preserve"> English</w:t>
            </w:r>
          </w:p>
        </w:tc>
      </w:tr>
    </w:tbl>
    <w:p w14:paraId="21CB2895" w14:textId="77777777" w:rsidR="00AF434B" w:rsidRDefault="00372C86">
      <w:pPr>
        <w:spacing w:before="120"/>
        <w:rPr>
          <w:b/>
          <w:sz w:val="24"/>
          <w:szCs w:val="24"/>
        </w:rPr>
      </w:pPr>
      <w:r>
        <w:rPr>
          <w:b/>
          <w:sz w:val="24"/>
        </w:rPr>
        <w:t>Committee on the Rights of Persons with Disabilities</w:t>
      </w:r>
    </w:p>
    <w:p w14:paraId="09E09A9F" w14:textId="34A32C2B" w:rsidR="00AF434B" w:rsidRDefault="00372C86">
      <w:pPr>
        <w:pStyle w:val="HMG"/>
      </w:pPr>
      <w:r>
        <w:tab/>
      </w:r>
      <w:r>
        <w:tab/>
      </w:r>
      <w:bookmarkStart w:id="0" w:name="_Toc133420384"/>
      <w:bookmarkStart w:id="1" w:name="_Toc133425358"/>
      <w:r>
        <w:t xml:space="preserve">Combined second to fourth reports </w:t>
      </w:r>
      <w:r>
        <w:t xml:space="preserve">submitted by </w:t>
      </w:r>
      <w:r w:rsidR="007A2056">
        <w:t>Uganda</w:t>
      </w:r>
      <w:r>
        <w:t xml:space="preserve"> under article 35 of the Convention, due in </w:t>
      </w:r>
      <w:r w:rsidR="00940871">
        <w:t>2022</w:t>
      </w:r>
      <w:r>
        <w:rPr>
          <w:rStyle w:val="FootnoteReference"/>
          <w:b w:val="0"/>
          <w:sz w:val="20"/>
          <w:vertAlign w:val="baseline"/>
        </w:rPr>
        <w:footnoteReference w:customMarkFollows="1" w:id="2"/>
        <w:t>*</w:t>
      </w:r>
      <w:bookmarkEnd w:id="0"/>
      <w:bookmarkEnd w:id="1"/>
    </w:p>
    <w:p w14:paraId="08988BF9" w14:textId="1CDD2B46" w:rsidR="00AF434B" w:rsidRDefault="00372C86">
      <w:pPr>
        <w:pStyle w:val="SingleTxtG"/>
        <w:jc w:val="right"/>
      </w:pPr>
      <w:r>
        <w:t xml:space="preserve"> [Date received: </w:t>
      </w:r>
      <w:r w:rsidR="00940871">
        <w:t>28 March 2023</w:t>
      </w:r>
      <w:r>
        <w:t>]</w:t>
      </w:r>
    </w:p>
    <w:p w14:paraId="7D542F6E" w14:textId="52811974" w:rsidR="00127974" w:rsidRDefault="00372C86" w:rsidP="0050731B">
      <w:pPr>
        <w:spacing w:after="120"/>
      </w:pPr>
      <w:r>
        <w:br w:type="page"/>
      </w:r>
    </w:p>
    <w:sdt>
      <w:sdtPr>
        <w:id w:val="1485052101"/>
        <w:docPartObj>
          <w:docPartGallery w:val="Table of Contents"/>
          <w:docPartUnique/>
        </w:docPartObj>
      </w:sdtPr>
      <w:sdtEndPr>
        <w:rPr>
          <w:rFonts w:ascii="Times New Roman" w:eastAsia="Times New Roman" w:hAnsi="Times New Roman" w:cs="Times New Roman"/>
          <w:b/>
          <w:bCs/>
          <w:noProof/>
          <w:color w:val="auto"/>
          <w:sz w:val="20"/>
          <w:szCs w:val="20"/>
          <w:lang w:val="en-GB"/>
        </w:rPr>
      </w:sdtEndPr>
      <w:sdtContent>
        <w:p w14:paraId="4E117E18" w14:textId="2BF65832" w:rsidR="0050731B" w:rsidRDefault="0050731B">
          <w:pPr>
            <w:pStyle w:val="TOCHeading"/>
          </w:pPr>
          <w:r>
            <w:t>Table of Contents</w:t>
          </w:r>
        </w:p>
        <w:p w14:paraId="633C9FF0" w14:textId="412AB40C" w:rsidR="003E4888" w:rsidRDefault="0050731B">
          <w:pPr>
            <w:pStyle w:val="TOC1"/>
            <w:tabs>
              <w:tab w:val="right" w:leader="dot" w:pos="9628"/>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33425358" w:history="1">
            <w:r w:rsidR="003E4888" w:rsidRPr="00C80C6D">
              <w:rPr>
                <w:rStyle w:val="Hyperlink"/>
                <w:noProof/>
              </w:rPr>
              <w:t>Combined second to fourth reports submitted by Uganda under article 35 of the Convention, due in 2022</w:t>
            </w:r>
            <w:r w:rsidR="003E4888">
              <w:rPr>
                <w:noProof/>
                <w:webHidden/>
              </w:rPr>
              <w:tab/>
            </w:r>
            <w:r w:rsidR="003E4888">
              <w:rPr>
                <w:noProof/>
                <w:webHidden/>
              </w:rPr>
              <w:fldChar w:fldCharType="begin"/>
            </w:r>
            <w:r w:rsidR="003E4888">
              <w:rPr>
                <w:noProof/>
                <w:webHidden/>
              </w:rPr>
              <w:instrText xml:space="preserve"> PAGEREF _Toc133425358 \h </w:instrText>
            </w:r>
            <w:r w:rsidR="003E4888">
              <w:rPr>
                <w:noProof/>
                <w:webHidden/>
              </w:rPr>
            </w:r>
            <w:r w:rsidR="003E4888">
              <w:rPr>
                <w:noProof/>
                <w:webHidden/>
              </w:rPr>
              <w:fldChar w:fldCharType="separate"/>
            </w:r>
            <w:r w:rsidR="003E4888">
              <w:rPr>
                <w:noProof/>
                <w:webHidden/>
              </w:rPr>
              <w:t>1</w:t>
            </w:r>
            <w:r w:rsidR="003E4888">
              <w:rPr>
                <w:noProof/>
                <w:webHidden/>
              </w:rPr>
              <w:fldChar w:fldCharType="end"/>
            </w:r>
          </w:hyperlink>
        </w:p>
        <w:p w14:paraId="27D0A077" w14:textId="3F0EAD32"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59" w:history="1">
            <w:r w:rsidRPr="00C80C6D">
              <w:rPr>
                <w:rStyle w:val="Hyperlink"/>
                <w:noProof/>
              </w:rPr>
              <w:t>Abbreviations</w:t>
            </w:r>
            <w:r>
              <w:rPr>
                <w:noProof/>
                <w:webHidden/>
              </w:rPr>
              <w:tab/>
            </w:r>
            <w:r>
              <w:rPr>
                <w:noProof/>
                <w:webHidden/>
              </w:rPr>
              <w:fldChar w:fldCharType="begin"/>
            </w:r>
            <w:r>
              <w:rPr>
                <w:noProof/>
                <w:webHidden/>
              </w:rPr>
              <w:instrText xml:space="preserve"> PAGEREF _Toc133425359 \h </w:instrText>
            </w:r>
            <w:r>
              <w:rPr>
                <w:noProof/>
                <w:webHidden/>
              </w:rPr>
            </w:r>
            <w:r>
              <w:rPr>
                <w:noProof/>
                <w:webHidden/>
              </w:rPr>
              <w:fldChar w:fldCharType="separate"/>
            </w:r>
            <w:r>
              <w:rPr>
                <w:noProof/>
                <w:webHidden/>
              </w:rPr>
              <w:t>3</w:t>
            </w:r>
            <w:r>
              <w:rPr>
                <w:noProof/>
                <w:webHidden/>
              </w:rPr>
              <w:fldChar w:fldCharType="end"/>
            </w:r>
          </w:hyperlink>
        </w:p>
        <w:p w14:paraId="09A8CCC0" w14:textId="7840AB0D"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60" w:history="1">
            <w:r w:rsidRPr="00C80C6D">
              <w:rPr>
                <w:rStyle w:val="Hyperlink"/>
                <w:noProof/>
              </w:rPr>
              <w:t>Introduction</w:t>
            </w:r>
            <w:r>
              <w:rPr>
                <w:noProof/>
                <w:webHidden/>
              </w:rPr>
              <w:tab/>
            </w:r>
            <w:r>
              <w:rPr>
                <w:noProof/>
                <w:webHidden/>
              </w:rPr>
              <w:fldChar w:fldCharType="begin"/>
            </w:r>
            <w:r>
              <w:rPr>
                <w:noProof/>
                <w:webHidden/>
              </w:rPr>
              <w:instrText xml:space="preserve"> PAGEREF _Toc133425360 \h </w:instrText>
            </w:r>
            <w:r>
              <w:rPr>
                <w:noProof/>
                <w:webHidden/>
              </w:rPr>
            </w:r>
            <w:r>
              <w:rPr>
                <w:noProof/>
                <w:webHidden/>
              </w:rPr>
              <w:fldChar w:fldCharType="separate"/>
            </w:r>
            <w:r>
              <w:rPr>
                <w:noProof/>
                <w:webHidden/>
              </w:rPr>
              <w:t>5</w:t>
            </w:r>
            <w:r>
              <w:rPr>
                <w:noProof/>
                <w:webHidden/>
              </w:rPr>
              <w:fldChar w:fldCharType="end"/>
            </w:r>
          </w:hyperlink>
        </w:p>
        <w:p w14:paraId="2BC39B39" w14:textId="66A4BC4D" w:rsidR="003E4888" w:rsidRPr="003E4888" w:rsidRDefault="003E4888">
          <w:pPr>
            <w:pStyle w:val="TOC2"/>
            <w:tabs>
              <w:tab w:val="right" w:leader="dot" w:pos="9628"/>
            </w:tabs>
            <w:rPr>
              <w:rFonts w:ascii="Times New Roman" w:eastAsiaTheme="minorEastAsia" w:hAnsi="Times New Roman"/>
              <w:noProof/>
              <w:sz w:val="20"/>
              <w:szCs w:val="20"/>
              <w:lang w:eastAsia="en-GB"/>
            </w:rPr>
          </w:pPr>
          <w:hyperlink w:anchor="_Toc133425361" w:history="1">
            <w:r w:rsidRPr="003E4888">
              <w:rPr>
                <w:rStyle w:val="Hyperlink"/>
                <w:rFonts w:ascii="Times New Roman" w:hAnsi="Times New Roman"/>
                <w:noProof/>
                <w:sz w:val="20"/>
                <w:szCs w:val="20"/>
              </w:rPr>
              <w:t>Below are responses to the committee’s concluding observations and conclusions.</w:t>
            </w:r>
            <w:r w:rsidRPr="003E4888">
              <w:rPr>
                <w:rFonts w:ascii="Times New Roman" w:hAnsi="Times New Roman"/>
                <w:noProof/>
                <w:webHidden/>
                <w:sz w:val="20"/>
                <w:szCs w:val="20"/>
              </w:rPr>
              <w:tab/>
            </w:r>
            <w:r w:rsidRPr="003E4888">
              <w:rPr>
                <w:rFonts w:ascii="Times New Roman" w:hAnsi="Times New Roman"/>
                <w:noProof/>
                <w:webHidden/>
                <w:sz w:val="20"/>
                <w:szCs w:val="20"/>
              </w:rPr>
              <w:fldChar w:fldCharType="begin"/>
            </w:r>
            <w:r w:rsidRPr="003E4888">
              <w:rPr>
                <w:rFonts w:ascii="Times New Roman" w:hAnsi="Times New Roman"/>
                <w:noProof/>
                <w:webHidden/>
                <w:sz w:val="20"/>
                <w:szCs w:val="20"/>
              </w:rPr>
              <w:instrText xml:space="preserve"> PAGEREF _Toc133425361 \h </w:instrText>
            </w:r>
            <w:r w:rsidRPr="003E4888">
              <w:rPr>
                <w:rFonts w:ascii="Times New Roman" w:hAnsi="Times New Roman"/>
                <w:noProof/>
                <w:webHidden/>
                <w:sz w:val="20"/>
                <w:szCs w:val="20"/>
              </w:rPr>
            </w:r>
            <w:r w:rsidRPr="003E4888">
              <w:rPr>
                <w:rFonts w:ascii="Times New Roman" w:hAnsi="Times New Roman"/>
                <w:noProof/>
                <w:webHidden/>
                <w:sz w:val="20"/>
                <w:szCs w:val="20"/>
              </w:rPr>
              <w:fldChar w:fldCharType="separate"/>
            </w:r>
            <w:r w:rsidRPr="003E4888">
              <w:rPr>
                <w:rFonts w:ascii="Times New Roman" w:hAnsi="Times New Roman"/>
                <w:noProof/>
                <w:webHidden/>
                <w:sz w:val="20"/>
                <w:szCs w:val="20"/>
              </w:rPr>
              <w:t>6</w:t>
            </w:r>
            <w:r w:rsidRPr="003E4888">
              <w:rPr>
                <w:rFonts w:ascii="Times New Roman" w:hAnsi="Times New Roman"/>
                <w:noProof/>
                <w:webHidden/>
                <w:sz w:val="20"/>
                <w:szCs w:val="20"/>
              </w:rPr>
              <w:fldChar w:fldCharType="end"/>
            </w:r>
          </w:hyperlink>
        </w:p>
        <w:p w14:paraId="0A269966" w14:textId="36494AEF" w:rsidR="003E4888" w:rsidRPr="003E4888" w:rsidRDefault="003E4888">
          <w:pPr>
            <w:pStyle w:val="TOC2"/>
            <w:tabs>
              <w:tab w:val="left" w:pos="660"/>
              <w:tab w:val="right" w:leader="dot" w:pos="9628"/>
            </w:tabs>
            <w:rPr>
              <w:rFonts w:ascii="Times New Roman" w:eastAsiaTheme="minorEastAsia" w:hAnsi="Times New Roman"/>
              <w:noProof/>
              <w:sz w:val="20"/>
              <w:szCs w:val="20"/>
              <w:lang w:eastAsia="en-GB"/>
            </w:rPr>
          </w:pPr>
          <w:hyperlink w:anchor="_Toc133425362" w:history="1">
            <w:r w:rsidRPr="003E4888">
              <w:rPr>
                <w:rStyle w:val="Hyperlink"/>
                <w:rFonts w:ascii="Times New Roman" w:hAnsi="Times New Roman"/>
                <w:noProof/>
                <w:sz w:val="20"/>
                <w:szCs w:val="20"/>
              </w:rPr>
              <w:t>A.</w:t>
            </w:r>
            <w:r w:rsidRPr="003E4888">
              <w:rPr>
                <w:rFonts w:ascii="Times New Roman" w:eastAsiaTheme="minorEastAsia" w:hAnsi="Times New Roman"/>
                <w:noProof/>
                <w:sz w:val="20"/>
                <w:szCs w:val="20"/>
                <w:lang w:eastAsia="en-GB"/>
              </w:rPr>
              <w:tab/>
            </w:r>
            <w:r w:rsidRPr="003E4888">
              <w:rPr>
                <w:rStyle w:val="Hyperlink"/>
                <w:rFonts w:ascii="Times New Roman" w:hAnsi="Times New Roman"/>
                <w:noProof/>
                <w:sz w:val="20"/>
                <w:szCs w:val="20"/>
              </w:rPr>
              <w:t>General Principles and Obligations (Articles 1-4)</w:t>
            </w:r>
            <w:r w:rsidRPr="003E4888">
              <w:rPr>
                <w:rFonts w:ascii="Times New Roman" w:hAnsi="Times New Roman"/>
                <w:noProof/>
                <w:webHidden/>
                <w:sz w:val="20"/>
                <w:szCs w:val="20"/>
              </w:rPr>
              <w:tab/>
            </w:r>
            <w:r w:rsidRPr="003E4888">
              <w:rPr>
                <w:rFonts w:ascii="Times New Roman" w:hAnsi="Times New Roman"/>
                <w:noProof/>
                <w:webHidden/>
                <w:sz w:val="20"/>
                <w:szCs w:val="20"/>
              </w:rPr>
              <w:fldChar w:fldCharType="begin"/>
            </w:r>
            <w:r w:rsidRPr="003E4888">
              <w:rPr>
                <w:rFonts w:ascii="Times New Roman" w:hAnsi="Times New Roman"/>
                <w:noProof/>
                <w:webHidden/>
                <w:sz w:val="20"/>
                <w:szCs w:val="20"/>
              </w:rPr>
              <w:instrText xml:space="preserve"> PAGEREF _Toc133425362 \h </w:instrText>
            </w:r>
            <w:r w:rsidRPr="003E4888">
              <w:rPr>
                <w:rFonts w:ascii="Times New Roman" w:hAnsi="Times New Roman"/>
                <w:noProof/>
                <w:webHidden/>
                <w:sz w:val="20"/>
                <w:szCs w:val="20"/>
              </w:rPr>
            </w:r>
            <w:r w:rsidRPr="003E4888">
              <w:rPr>
                <w:rFonts w:ascii="Times New Roman" w:hAnsi="Times New Roman"/>
                <w:noProof/>
                <w:webHidden/>
                <w:sz w:val="20"/>
                <w:szCs w:val="20"/>
              </w:rPr>
              <w:fldChar w:fldCharType="separate"/>
            </w:r>
            <w:r w:rsidRPr="003E4888">
              <w:rPr>
                <w:rFonts w:ascii="Times New Roman" w:hAnsi="Times New Roman"/>
                <w:noProof/>
                <w:webHidden/>
                <w:sz w:val="20"/>
                <w:szCs w:val="20"/>
              </w:rPr>
              <w:t>6</w:t>
            </w:r>
            <w:r w:rsidRPr="003E4888">
              <w:rPr>
                <w:rFonts w:ascii="Times New Roman" w:hAnsi="Times New Roman"/>
                <w:noProof/>
                <w:webHidden/>
                <w:sz w:val="20"/>
                <w:szCs w:val="20"/>
              </w:rPr>
              <w:fldChar w:fldCharType="end"/>
            </w:r>
          </w:hyperlink>
        </w:p>
        <w:p w14:paraId="05D7A0AB" w14:textId="64AC5AE0" w:rsidR="003E4888" w:rsidRPr="003E4888" w:rsidRDefault="003E4888">
          <w:pPr>
            <w:pStyle w:val="TOC2"/>
            <w:tabs>
              <w:tab w:val="left" w:pos="660"/>
              <w:tab w:val="right" w:leader="dot" w:pos="9628"/>
            </w:tabs>
            <w:rPr>
              <w:rFonts w:ascii="Times New Roman" w:eastAsiaTheme="minorEastAsia" w:hAnsi="Times New Roman"/>
              <w:noProof/>
              <w:sz w:val="20"/>
              <w:szCs w:val="20"/>
              <w:lang w:eastAsia="en-GB"/>
            </w:rPr>
          </w:pPr>
          <w:hyperlink w:anchor="_Toc133425363" w:history="1">
            <w:r w:rsidRPr="003E4888">
              <w:rPr>
                <w:rStyle w:val="Hyperlink"/>
                <w:rFonts w:ascii="Times New Roman" w:hAnsi="Times New Roman"/>
                <w:noProof/>
                <w:sz w:val="20"/>
                <w:szCs w:val="20"/>
              </w:rPr>
              <w:t>B.</w:t>
            </w:r>
            <w:r w:rsidRPr="003E4888">
              <w:rPr>
                <w:rFonts w:ascii="Times New Roman" w:eastAsiaTheme="minorEastAsia" w:hAnsi="Times New Roman"/>
                <w:noProof/>
                <w:sz w:val="20"/>
                <w:szCs w:val="20"/>
                <w:lang w:eastAsia="en-GB"/>
              </w:rPr>
              <w:tab/>
            </w:r>
            <w:r w:rsidRPr="003E4888">
              <w:rPr>
                <w:rStyle w:val="Hyperlink"/>
                <w:rFonts w:ascii="Times New Roman" w:hAnsi="Times New Roman"/>
                <w:noProof/>
                <w:sz w:val="20"/>
                <w:szCs w:val="20"/>
              </w:rPr>
              <w:t>Specific Rights (Articles 5 to 30)</w:t>
            </w:r>
            <w:r w:rsidRPr="003E4888">
              <w:rPr>
                <w:rFonts w:ascii="Times New Roman" w:hAnsi="Times New Roman"/>
                <w:noProof/>
                <w:webHidden/>
                <w:sz w:val="20"/>
                <w:szCs w:val="20"/>
              </w:rPr>
              <w:tab/>
            </w:r>
            <w:r w:rsidRPr="003E4888">
              <w:rPr>
                <w:rFonts w:ascii="Times New Roman" w:hAnsi="Times New Roman"/>
                <w:noProof/>
                <w:webHidden/>
                <w:sz w:val="20"/>
                <w:szCs w:val="20"/>
              </w:rPr>
              <w:fldChar w:fldCharType="begin"/>
            </w:r>
            <w:r w:rsidRPr="003E4888">
              <w:rPr>
                <w:rFonts w:ascii="Times New Roman" w:hAnsi="Times New Roman"/>
                <w:noProof/>
                <w:webHidden/>
                <w:sz w:val="20"/>
                <w:szCs w:val="20"/>
              </w:rPr>
              <w:instrText xml:space="preserve"> PAGEREF _Toc133425363 \h </w:instrText>
            </w:r>
            <w:r w:rsidRPr="003E4888">
              <w:rPr>
                <w:rFonts w:ascii="Times New Roman" w:hAnsi="Times New Roman"/>
                <w:noProof/>
                <w:webHidden/>
                <w:sz w:val="20"/>
                <w:szCs w:val="20"/>
              </w:rPr>
            </w:r>
            <w:r w:rsidRPr="003E4888">
              <w:rPr>
                <w:rFonts w:ascii="Times New Roman" w:hAnsi="Times New Roman"/>
                <w:noProof/>
                <w:webHidden/>
                <w:sz w:val="20"/>
                <w:szCs w:val="20"/>
              </w:rPr>
              <w:fldChar w:fldCharType="separate"/>
            </w:r>
            <w:r w:rsidRPr="003E4888">
              <w:rPr>
                <w:rFonts w:ascii="Times New Roman" w:hAnsi="Times New Roman"/>
                <w:noProof/>
                <w:webHidden/>
                <w:sz w:val="20"/>
                <w:szCs w:val="20"/>
              </w:rPr>
              <w:t>7</w:t>
            </w:r>
            <w:r w:rsidRPr="003E4888">
              <w:rPr>
                <w:rFonts w:ascii="Times New Roman" w:hAnsi="Times New Roman"/>
                <w:noProof/>
                <w:webHidden/>
                <w:sz w:val="20"/>
                <w:szCs w:val="20"/>
              </w:rPr>
              <w:fldChar w:fldCharType="end"/>
            </w:r>
          </w:hyperlink>
        </w:p>
        <w:p w14:paraId="3C3B85F4" w14:textId="44CE1A3A"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64" w:history="1">
            <w:r w:rsidRPr="00C80C6D">
              <w:rPr>
                <w:rStyle w:val="Hyperlink"/>
                <w:noProof/>
              </w:rPr>
              <w:t>Women with disabilities</w:t>
            </w:r>
            <w:r>
              <w:rPr>
                <w:noProof/>
                <w:webHidden/>
              </w:rPr>
              <w:tab/>
            </w:r>
            <w:r>
              <w:rPr>
                <w:noProof/>
                <w:webHidden/>
              </w:rPr>
              <w:fldChar w:fldCharType="begin"/>
            </w:r>
            <w:r>
              <w:rPr>
                <w:noProof/>
                <w:webHidden/>
              </w:rPr>
              <w:instrText xml:space="preserve"> PAGEREF _Toc133425364 \h </w:instrText>
            </w:r>
            <w:r>
              <w:rPr>
                <w:noProof/>
                <w:webHidden/>
              </w:rPr>
            </w:r>
            <w:r>
              <w:rPr>
                <w:noProof/>
                <w:webHidden/>
              </w:rPr>
              <w:fldChar w:fldCharType="separate"/>
            </w:r>
            <w:r>
              <w:rPr>
                <w:noProof/>
                <w:webHidden/>
              </w:rPr>
              <w:t>8</w:t>
            </w:r>
            <w:r>
              <w:rPr>
                <w:noProof/>
                <w:webHidden/>
              </w:rPr>
              <w:fldChar w:fldCharType="end"/>
            </w:r>
          </w:hyperlink>
        </w:p>
        <w:p w14:paraId="528EC691" w14:textId="37BED832"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65" w:history="1">
            <w:r w:rsidRPr="00C80C6D">
              <w:rPr>
                <w:rStyle w:val="Hyperlink"/>
                <w:noProof/>
              </w:rPr>
              <w:t>Children with disabilities (Article 7)</w:t>
            </w:r>
            <w:r>
              <w:rPr>
                <w:noProof/>
                <w:webHidden/>
              </w:rPr>
              <w:tab/>
            </w:r>
            <w:r>
              <w:rPr>
                <w:noProof/>
                <w:webHidden/>
              </w:rPr>
              <w:fldChar w:fldCharType="begin"/>
            </w:r>
            <w:r>
              <w:rPr>
                <w:noProof/>
                <w:webHidden/>
              </w:rPr>
              <w:instrText xml:space="preserve"> PAGEREF _Toc133425365 \h </w:instrText>
            </w:r>
            <w:r>
              <w:rPr>
                <w:noProof/>
                <w:webHidden/>
              </w:rPr>
            </w:r>
            <w:r>
              <w:rPr>
                <w:noProof/>
                <w:webHidden/>
              </w:rPr>
              <w:fldChar w:fldCharType="separate"/>
            </w:r>
            <w:r>
              <w:rPr>
                <w:noProof/>
                <w:webHidden/>
              </w:rPr>
              <w:t>9</w:t>
            </w:r>
            <w:r>
              <w:rPr>
                <w:noProof/>
                <w:webHidden/>
              </w:rPr>
              <w:fldChar w:fldCharType="end"/>
            </w:r>
          </w:hyperlink>
        </w:p>
        <w:p w14:paraId="4A649C37" w14:textId="710249B0"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66" w:history="1">
            <w:r w:rsidRPr="00C80C6D">
              <w:rPr>
                <w:rStyle w:val="Hyperlink"/>
                <w:noProof/>
              </w:rPr>
              <w:t>Awareness-raising (Article 8)</w:t>
            </w:r>
            <w:r>
              <w:rPr>
                <w:noProof/>
                <w:webHidden/>
              </w:rPr>
              <w:tab/>
            </w:r>
            <w:r>
              <w:rPr>
                <w:noProof/>
                <w:webHidden/>
              </w:rPr>
              <w:fldChar w:fldCharType="begin"/>
            </w:r>
            <w:r>
              <w:rPr>
                <w:noProof/>
                <w:webHidden/>
              </w:rPr>
              <w:instrText xml:space="preserve"> PAGEREF _Toc133425366 \h </w:instrText>
            </w:r>
            <w:r>
              <w:rPr>
                <w:noProof/>
                <w:webHidden/>
              </w:rPr>
            </w:r>
            <w:r>
              <w:rPr>
                <w:noProof/>
                <w:webHidden/>
              </w:rPr>
              <w:fldChar w:fldCharType="separate"/>
            </w:r>
            <w:r>
              <w:rPr>
                <w:noProof/>
                <w:webHidden/>
              </w:rPr>
              <w:t>10</w:t>
            </w:r>
            <w:r>
              <w:rPr>
                <w:noProof/>
                <w:webHidden/>
              </w:rPr>
              <w:fldChar w:fldCharType="end"/>
            </w:r>
          </w:hyperlink>
        </w:p>
        <w:p w14:paraId="10C9C745" w14:textId="524F92F2"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67" w:history="1">
            <w:r w:rsidRPr="00C80C6D">
              <w:rPr>
                <w:rStyle w:val="Hyperlink"/>
                <w:noProof/>
              </w:rPr>
              <w:t>Accessibility (Article 9)</w:t>
            </w:r>
            <w:r>
              <w:rPr>
                <w:noProof/>
                <w:webHidden/>
              </w:rPr>
              <w:tab/>
            </w:r>
            <w:r>
              <w:rPr>
                <w:noProof/>
                <w:webHidden/>
              </w:rPr>
              <w:fldChar w:fldCharType="begin"/>
            </w:r>
            <w:r>
              <w:rPr>
                <w:noProof/>
                <w:webHidden/>
              </w:rPr>
              <w:instrText xml:space="preserve"> PAGEREF _Toc133425367 \h </w:instrText>
            </w:r>
            <w:r>
              <w:rPr>
                <w:noProof/>
                <w:webHidden/>
              </w:rPr>
            </w:r>
            <w:r>
              <w:rPr>
                <w:noProof/>
                <w:webHidden/>
              </w:rPr>
              <w:fldChar w:fldCharType="separate"/>
            </w:r>
            <w:r>
              <w:rPr>
                <w:noProof/>
                <w:webHidden/>
              </w:rPr>
              <w:t>12</w:t>
            </w:r>
            <w:r>
              <w:rPr>
                <w:noProof/>
                <w:webHidden/>
              </w:rPr>
              <w:fldChar w:fldCharType="end"/>
            </w:r>
          </w:hyperlink>
        </w:p>
        <w:p w14:paraId="27EE5B04" w14:textId="28DA050F"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68" w:history="1">
            <w:r w:rsidRPr="00C80C6D">
              <w:rPr>
                <w:rStyle w:val="Hyperlink"/>
                <w:noProof/>
              </w:rPr>
              <w:t>Right to life (Article 10)</w:t>
            </w:r>
            <w:r>
              <w:rPr>
                <w:noProof/>
                <w:webHidden/>
              </w:rPr>
              <w:tab/>
            </w:r>
            <w:r>
              <w:rPr>
                <w:noProof/>
                <w:webHidden/>
              </w:rPr>
              <w:fldChar w:fldCharType="begin"/>
            </w:r>
            <w:r>
              <w:rPr>
                <w:noProof/>
                <w:webHidden/>
              </w:rPr>
              <w:instrText xml:space="preserve"> PAGEREF _Toc133425368 \h </w:instrText>
            </w:r>
            <w:r>
              <w:rPr>
                <w:noProof/>
                <w:webHidden/>
              </w:rPr>
            </w:r>
            <w:r>
              <w:rPr>
                <w:noProof/>
                <w:webHidden/>
              </w:rPr>
              <w:fldChar w:fldCharType="separate"/>
            </w:r>
            <w:r>
              <w:rPr>
                <w:noProof/>
                <w:webHidden/>
              </w:rPr>
              <w:t>14</w:t>
            </w:r>
            <w:r>
              <w:rPr>
                <w:noProof/>
                <w:webHidden/>
              </w:rPr>
              <w:fldChar w:fldCharType="end"/>
            </w:r>
          </w:hyperlink>
        </w:p>
        <w:p w14:paraId="7E265DB9" w14:textId="4053AFE6"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69" w:history="1">
            <w:r w:rsidRPr="00C80C6D">
              <w:rPr>
                <w:rStyle w:val="Hyperlink"/>
                <w:noProof/>
              </w:rPr>
              <w:t>Situations of risk and humanitarian emergencies (Article 11)</w:t>
            </w:r>
            <w:r>
              <w:rPr>
                <w:noProof/>
                <w:webHidden/>
              </w:rPr>
              <w:tab/>
            </w:r>
            <w:r>
              <w:rPr>
                <w:noProof/>
                <w:webHidden/>
              </w:rPr>
              <w:fldChar w:fldCharType="begin"/>
            </w:r>
            <w:r>
              <w:rPr>
                <w:noProof/>
                <w:webHidden/>
              </w:rPr>
              <w:instrText xml:space="preserve"> PAGEREF _Toc133425369 \h </w:instrText>
            </w:r>
            <w:r>
              <w:rPr>
                <w:noProof/>
                <w:webHidden/>
              </w:rPr>
            </w:r>
            <w:r>
              <w:rPr>
                <w:noProof/>
                <w:webHidden/>
              </w:rPr>
              <w:fldChar w:fldCharType="separate"/>
            </w:r>
            <w:r>
              <w:rPr>
                <w:noProof/>
                <w:webHidden/>
              </w:rPr>
              <w:t>15</w:t>
            </w:r>
            <w:r>
              <w:rPr>
                <w:noProof/>
                <w:webHidden/>
              </w:rPr>
              <w:fldChar w:fldCharType="end"/>
            </w:r>
          </w:hyperlink>
        </w:p>
        <w:p w14:paraId="20E68808" w14:textId="7BCEEAC3"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0" w:history="1">
            <w:r w:rsidRPr="00C80C6D">
              <w:rPr>
                <w:rStyle w:val="Hyperlink"/>
                <w:noProof/>
              </w:rPr>
              <w:t>Equal recognition before the law (Article 12)</w:t>
            </w:r>
            <w:r>
              <w:rPr>
                <w:noProof/>
                <w:webHidden/>
              </w:rPr>
              <w:tab/>
            </w:r>
            <w:r>
              <w:rPr>
                <w:noProof/>
                <w:webHidden/>
              </w:rPr>
              <w:fldChar w:fldCharType="begin"/>
            </w:r>
            <w:r>
              <w:rPr>
                <w:noProof/>
                <w:webHidden/>
              </w:rPr>
              <w:instrText xml:space="preserve"> PAGEREF _Toc133425370 \h </w:instrText>
            </w:r>
            <w:r>
              <w:rPr>
                <w:noProof/>
                <w:webHidden/>
              </w:rPr>
            </w:r>
            <w:r>
              <w:rPr>
                <w:noProof/>
                <w:webHidden/>
              </w:rPr>
              <w:fldChar w:fldCharType="separate"/>
            </w:r>
            <w:r>
              <w:rPr>
                <w:noProof/>
                <w:webHidden/>
              </w:rPr>
              <w:t>15</w:t>
            </w:r>
            <w:r>
              <w:rPr>
                <w:noProof/>
                <w:webHidden/>
              </w:rPr>
              <w:fldChar w:fldCharType="end"/>
            </w:r>
          </w:hyperlink>
        </w:p>
        <w:p w14:paraId="46FD5E44" w14:textId="0FBEA8C3"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1" w:history="1">
            <w:r w:rsidRPr="00C80C6D">
              <w:rPr>
                <w:rStyle w:val="Hyperlink"/>
                <w:noProof/>
              </w:rPr>
              <w:t>Access to justice (Article 13)</w:t>
            </w:r>
            <w:r>
              <w:rPr>
                <w:noProof/>
                <w:webHidden/>
              </w:rPr>
              <w:tab/>
            </w:r>
            <w:r>
              <w:rPr>
                <w:noProof/>
                <w:webHidden/>
              </w:rPr>
              <w:fldChar w:fldCharType="begin"/>
            </w:r>
            <w:r>
              <w:rPr>
                <w:noProof/>
                <w:webHidden/>
              </w:rPr>
              <w:instrText xml:space="preserve"> PAGEREF _Toc133425371 \h </w:instrText>
            </w:r>
            <w:r>
              <w:rPr>
                <w:noProof/>
                <w:webHidden/>
              </w:rPr>
            </w:r>
            <w:r>
              <w:rPr>
                <w:noProof/>
                <w:webHidden/>
              </w:rPr>
              <w:fldChar w:fldCharType="separate"/>
            </w:r>
            <w:r>
              <w:rPr>
                <w:noProof/>
                <w:webHidden/>
              </w:rPr>
              <w:t>16</w:t>
            </w:r>
            <w:r>
              <w:rPr>
                <w:noProof/>
                <w:webHidden/>
              </w:rPr>
              <w:fldChar w:fldCharType="end"/>
            </w:r>
          </w:hyperlink>
        </w:p>
        <w:p w14:paraId="01163BDC" w14:textId="046E644D"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2" w:history="1">
            <w:r w:rsidRPr="00C80C6D">
              <w:rPr>
                <w:rStyle w:val="Hyperlink"/>
                <w:noProof/>
              </w:rPr>
              <w:t>Liberty and security of the person (Article 14)</w:t>
            </w:r>
            <w:r>
              <w:rPr>
                <w:noProof/>
                <w:webHidden/>
              </w:rPr>
              <w:tab/>
            </w:r>
            <w:r>
              <w:rPr>
                <w:noProof/>
                <w:webHidden/>
              </w:rPr>
              <w:fldChar w:fldCharType="begin"/>
            </w:r>
            <w:r>
              <w:rPr>
                <w:noProof/>
                <w:webHidden/>
              </w:rPr>
              <w:instrText xml:space="preserve"> PAGEREF _Toc133425372 \h </w:instrText>
            </w:r>
            <w:r>
              <w:rPr>
                <w:noProof/>
                <w:webHidden/>
              </w:rPr>
            </w:r>
            <w:r>
              <w:rPr>
                <w:noProof/>
                <w:webHidden/>
              </w:rPr>
              <w:fldChar w:fldCharType="separate"/>
            </w:r>
            <w:r>
              <w:rPr>
                <w:noProof/>
                <w:webHidden/>
              </w:rPr>
              <w:t>18</w:t>
            </w:r>
            <w:r>
              <w:rPr>
                <w:noProof/>
                <w:webHidden/>
              </w:rPr>
              <w:fldChar w:fldCharType="end"/>
            </w:r>
          </w:hyperlink>
        </w:p>
        <w:p w14:paraId="4D0322A4" w14:textId="455B0210"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3" w:history="1">
            <w:r w:rsidRPr="00C80C6D">
              <w:rPr>
                <w:rStyle w:val="Hyperlink"/>
                <w:noProof/>
              </w:rPr>
              <w:t>Freedom from torture and cruel, inhuman or degrading treatment or punishment (article 15)</w:t>
            </w:r>
            <w:r>
              <w:rPr>
                <w:noProof/>
                <w:webHidden/>
              </w:rPr>
              <w:tab/>
            </w:r>
            <w:r>
              <w:rPr>
                <w:noProof/>
                <w:webHidden/>
              </w:rPr>
              <w:fldChar w:fldCharType="begin"/>
            </w:r>
            <w:r>
              <w:rPr>
                <w:noProof/>
                <w:webHidden/>
              </w:rPr>
              <w:instrText xml:space="preserve"> PAGEREF _Toc133425373 \h </w:instrText>
            </w:r>
            <w:r>
              <w:rPr>
                <w:noProof/>
                <w:webHidden/>
              </w:rPr>
            </w:r>
            <w:r>
              <w:rPr>
                <w:noProof/>
                <w:webHidden/>
              </w:rPr>
              <w:fldChar w:fldCharType="separate"/>
            </w:r>
            <w:r>
              <w:rPr>
                <w:noProof/>
                <w:webHidden/>
              </w:rPr>
              <w:t>18</w:t>
            </w:r>
            <w:r>
              <w:rPr>
                <w:noProof/>
                <w:webHidden/>
              </w:rPr>
              <w:fldChar w:fldCharType="end"/>
            </w:r>
          </w:hyperlink>
        </w:p>
        <w:p w14:paraId="0C54BE81" w14:textId="5DD230A1"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4" w:history="1">
            <w:r w:rsidRPr="00C80C6D">
              <w:rPr>
                <w:rStyle w:val="Hyperlink"/>
                <w:noProof/>
              </w:rPr>
              <w:t>Freedom from exploitation, violence and abuse (Article 16)</w:t>
            </w:r>
            <w:r>
              <w:rPr>
                <w:noProof/>
                <w:webHidden/>
              </w:rPr>
              <w:tab/>
            </w:r>
            <w:r>
              <w:rPr>
                <w:noProof/>
                <w:webHidden/>
              </w:rPr>
              <w:fldChar w:fldCharType="begin"/>
            </w:r>
            <w:r>
              <w:rPr>
                <w:noProof/>
                <w:webHidden/>
              </w:rPr>
              <w:instrText xml:space="preserve"> PAGEREF _Toc133425374 \h </w:instrText>
            </w:r>
            <w:r>
              <w:rPr>
                <w:noProof/>
                <w:webHidden/>
              </w:rPr>
            </w:r>
            <w:r>
              <w:rPr>
                <w:noProof/>
                <w:webHidden/>
              </w:rPr>
              <w:fldChar w:fldCharType="separate"/>
            </w:r>
            <w:r>
              <w:rPr>
                <w:noProof/>
                <w:webHidden/>
              </w:rPr>
              <w:t>20</w:t>
            </w:r>
            <w:r>
              <w:rPr>
                <w:noProof/>
                <w:webHidden/>
              </w:rPr>
              <w:fldChar w:fldCharType="end"/>
            </w:r>
          </w:hyperlink>
        </w:p>
        <w:p w14:paraId="2A1D2066" w14:textId="44552794"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5" w:history="1">
            <w:r w:rsidRPr="00C80C6D">
              <w:rPr>
                <w:rStyle w:val="Hyperlink"/>
                <w:noProof/>
              </w:rPr>
              <w:t>Protecting the integrity of the person (Article 17)</w:t>
            </w:r>
            <w:r>
              <w:rPr>
                <w:noProof/>
                <w:webHidden/>
              </w:rPr>
              <w:tab/>
            </w:r>
            <w:r>
              <w:rPr>
                <w:noProof/>
                <w:webHidden/>
              </w:rPr>
              <w:fldChar w:fldCharType="begin"/>
            </w:r>
            <w:r>
              <w:rPr>
                <w:noProof/>
                <w:webHidden/>
              </w:rPr>
              <w:instrText xml:space="preserve"> PAGEREF _Toc133425375 \h </w:instrText>
            </w:r>
            <w:r>
              <w:rPr>
                <w:noProof/>
                <w:webHidden/>
              </w:rPr>
            </w:r>
            <w:r>
              <w:rPr>
                <w:noProof/>
                <w:webHidden/>
              </w:rPr>
              <w:fldChar w:fldCharType="separate"/>
            </w:r>
            <w:r>
              <w:rPr>
                <w:noProof/>
                <w:webHidden/>
              </w:rPr>
              <w:t>21</w:t>
            </w:r>
            <w:r>
              <w:rPr>
                <w:noProof/>
                <w:webHidden/>
              </w:rPr>
              <w:fldChar w:fldCharType="end"/>
            </w:r>
          </w:hyperlink>
        </w:p>
        <w:p w14:paraId="3A70B21C" w14:textId="6A66AFB5"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6" w:history="1">
            <w:r w:rsidRPr="00C80C6D">
              <w:rPr>
                <w:rStyle w:val="Hyperlink"/>
                <w:noProof/>
              </w:rPr>
              <w:t>Liberty of movement and nationality (Article 18)</w:t>
            </w:r>
            <w:r>
              <w:rPr>
                <w:noProof/>
                <w:webHidden/>
              </w:rPr>
              <w:tab/>
            </w:r>
            <w:r>
              <w:rPr>
                <w:noProof/>
                <w:webHidden/>
              </w:rPr>
              <w:fldChar w:fldCharType="begin"/>
            </w:r>
            <w:r>
              <w:rPr>
                <w:noProof/>
                <w:webHidden/>
              </w:rPr>
              <w:instrText xml:space="preserve"> PAGEREF _Toc133425376 \h </w:instrText>
            </w:r>
            <w:r>
              <w:rPr>
                <w:noProof/>
                <w:webHidden/>
              </w:rPr>
            </w:r>
            <w:r>
              <w:rPr>
                <w:noProof/>
                <w:webHidden/>
              </w:rPr>
              <w:fldChar w:fldCharType="separate"/>
            </w:r>
            <w:r>
              <w:rPr>
                <w:noProof/>
                <w:webHidden/>
              </w:rPr>
              <w:t>22</w:t>
            </w:r>
            <w:r>
              <w:rPr>
                <w:noProof/>
                <w:webHidden/>
              </w:rPr>
              <w:fldChar w:fldCharType="end"/>
            </w:r>
          </w:hyperlink>
        </w:p>
        <w:p w14:paraId="106DB9D6" w14:textId="61FD4057"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7" w:history="1">
            <w:r w:rsidRPr="00C80C6D">
              <w:rPr>
                <w:rStyle w:val="Hyperlink"/>
                <w:noProof/>
              </w:rPr>
              <w:t>Living independently and being included in the community (article 19)</w:t>
            </w:r>
            <w:r>
              <w:rPr>
                <w:noProof/>
                <w:webHidden/>
              </w:rPr>
              <w:tab/>
            </w:r>
            <w:r>
              <w:rPr>
                <w:noProof/>
                <w:webHidden/>
              </w:rPr>
              <w:fldChar w:fldCharType="begin"/>
            </w:r>
            <w:r>
              <w:rPr>
                <w:noProof/>
                <w:webHidden/>
              </w:rPr>
              <w:instrText xml:space="preserve"> PAGEREF _Toc133425377 \h </w:instrText>
            </w:r>
            <w:r>
              <w:rPr>
                <w:noProof/>
                <w:webHidden/>
              </w:rPr>
            </w:r>
            <w:r>
              <w:rPr>
                <w:noProof/>
                <w:webHidden/>
              </w:rPr>
              <w:fldChar w:fldCharType="separate"/>
            </w:r>
            <w:r>
              <w:rPr>
                <w:noProof/>
                <w:webHidden/>
              </w:rPr>
              <w:t>22</w:t>
            </w:r>
            <w:r>
              <w:rPr>
                <w:noProof/>
                <w:webHidden/>
              </w:rPr>
              <w:fldChar w:fldCharType="end"/>
            </w:r>
          </w:hyperlink>
        </w:p>
        <w:p w14:paraId="5C7EFC2A" w14:textId="5D78B4CE"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8" w:history="1">
            <w:r w:rsidRPr="00C80C6D">
              <w:rPr>
                <w:rStyle w:val="Hyperlink"/>
                <w:noProof/>
              </w:rPr>
              <w:t>Personal mobility (Article 20)</w:t>
            </w:r>
            <w:r>
              <w:rPr>
                <w:noProof/>
                <w:webHidden/>
              </w:rPr>
              <w:tab/>
            </w:r>
            <w:r>
              <w:rPr>
                <w:noProof/>
                <w:webHidden/>
              </w:rPr>
              <w:fldChar w:fldCharType="begin"/>
            </w:r>
            <w:r>
              <w:rPr>
                <w:noProof/>
                <w:webHidden/>
              </w:rPr>
              <w:instrText xml:space="preserve"> PAGEREF _Toc133425378 \h </w:instrText>
            </w:r>
            <w:r>
              <w:rPr>
                <w:noProof/>
                <w:webHidden/>
              </w:rPr>
            </w:r>
            <w:r>
              <w:rPr>
                <w:noProof/>
                <w:webHidden/>
              </w:rPr>
              <w:fldChar w:fldCharType="separate"/>
            </w:r>
            <w:r>
              <w:rPr>
                <w:noProof/>
                <w:webHidden/>
              </w:rPr>
              <w:t>23</w:t>
            </w:r>
            <w:r>
              <w:rPr>
                <w:noProof/>
                <w:webHidden/>
              </w:rPr>
              <w:fldChar w:fldCharType="end"/>
            </w:r>
          </w:hyperlink>
        </w:p>
        <w:p w14:paraId="0E9CC4A8" w14:textId="79E09463"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79" w:history="1">
            <w:r w:rsidRPr="00C80C6D">
              <w:rPr>
                <w:rStyle w:val="Hyperlink"/>
                <w:noProof/>
              </w:rPr>
              <w:t>Freedom of expression and opinion, and access to information (article 21)</w:t>
            </w:r>
            <w:r>
              <w:rPr>
                <w:noProof/>
                <w:webHidden/>
              </w:rPr>
              <w:tab/>
            </w:r>
            <w:r>
              <w:rPr>
                <w:noProof/>
                <w:webHidden/>
              </w:rPr>
              <w:fldChar w:fldCharType="begin"/>
            </w:r>
            <w:r>
              <w:rPr>
                <w:noProof/>
                <w:webHidden/>
              </w:rPr>
              <w:instrText xml:space="preserve"> PAGEREF _Toc133425379 \h </w:instrText>
            </w:r>
            <w:r>
              <w:rPr>
                <w:noProof/>
                <w:webHidden/>
              </w:rPr>
            </w:r>
            <w:r>
              <w:rPr>
                <w:noProof/>
                <w:webHidden/>
              </w:rPr>
              <w:fldChar w:fldCharType="separate"/>
            </w:r>
            <w:r>
              <w:rPr>
                <w:noProof/>
                <w:webHidden/>
              </w:rPr>
              <w:t>23</w:t>
            </w:r>
            <w:r>
              <w:rPr>
                <w:noProof/>
                <w:webHidden/>
              </w:rPr>
              <w:fldChar w:fldCharType="end"/>
            </w:r>
          </w:hyperlink>
        </w:p>
        <w:p w14:paraId="2F311C00" w14:textId="1C99658B"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0" w:history="1">
            <w:r w:rsidRPr="00C80C6D">
              <w:rPr>
                <w:rStyle w:val="Hyperlink"/>
                <w:noProof/>
              </w:rPr>
              <w:t>Respect for privacy (article 22)</w:t>
            </w:r>
            <w:r>
              <w:rPr>
                <w:noProof/>
                <w:webHidden/>
              </w:rPr>
              <w:tab/>
            </w:r>
            <w:r>
              <w:rPr>
                <w:noProof/>
                <w:webHidden/>
              </w:rPr>
              <w:fldChar w:fldCharType="begin"/>
            </w:r>
            <w:r>
              <w:rPr>
                <w:noProof/>
                <w:webHidden/>
              </w:rPr>
              <w:instrText xml:space="preserve"> PAGEREF _Toc133425380 \h </w:instrText>
            </w:r>
            <w:r>
              <w:rPr>
                <w:noProof/>
                <w:webHidden/>
              </w:rPr>
            </w:r>
            <w:r>
              <w:rPr>
                <w:noProof/>
                <w:webHidden/>
              </w:rPr>
              <w:fldChar w:fldCharType="separate"/>
            </w:r>
            <w:r>
              <w:rPr>
                <w:noProof/>
                <w:webHidden/>
              </w:rPr>
              <w:t>24</w:t>
            </w:r>
            <w:r>
              <w:rPr>
                <w:noProof/>
                <w:webHidden/>
              </w:rPr>
              <w:fldChar w:fldCharType="end"/>
            </w:r>
          </w:hyperlink>
        </w:p>
        <w:p w14:paraId="0A0C03F8" w14:textId="400B0270"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1" w:history="1">
            <w:r w:rsidRPr="00C80C6D">
              <w:rPr>
                <w:rStyle w:val="Hyperlink"/>
                <w:noProof/>
              </w:rPr>
              <w:t>Respect for home and the family (Article 23)</w:t>
            </w:r>
            <w:r>
              <w:rPr>
                <w:noProof/>
                <w:webHidden/>
              </w:rPr>
              <w:tab/>
            </w:r>
            <w:r>
              <w:rPr>
                <w:noProof/>
                <w:webHidden/>
              </w:rPr>
              <w:fldChar w:fldCharType="begin"/>
            </w:r>
            <w:r>
              <w:rPr>
                <w:noProof/>
                <w:webHidden/>
              </w:rPr>
              <w:instrText xml:space="preserve"> PAGEREF _Toc133425381 \h </w:instrText>
            </w:r>
            <w:r>
              <w:rPr>
                <w:noProof/>
                <w:webHidden/>
              </w:rPr>
            </w:r>
            <w:r>
              <w:rPr>
                <w:noProof/>
                <w:webHidden/>
              </w:rPr>
              <w:fldChar w:fldCharType="separate"/>
            </w:r>
            <w:r>
              <w:rPr>
                <w:noProof/>
                <w:webHidden/>
              </w:rPr>
              <w:t>25</w:t>
            </w:r>
            <w:r>
              <w:rPr>
                <w:noProof/>
                <w:webHidden/>
              </w:rPr>
              <w:fldChar w:fldCharType="end"/>
            </w:r>
          </w:hyperlink>
        </w:p>
        <w:p w14:paraId="0A00FE04" w14:textId="12FACA66"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2" w:history="1">
            <w:r w:rsidRPr="00C80C6D">
              <w:rPr>
                <w:rStyle w:val="Hyperlink"/>
                <w:noProof/>
              </w:rPr>
              <w:t>Education (Article 24)</w:t>
            </w:r>
            <w:r>
              <w:rPr>
                <w:noProof/>
                <w:webHidden/>
              </w:rPr>
              <w:tab/>
            </w:r>
            <w:r>
              <w:rPr>
                <w:noProof/>
                <w:webHidden/>
              </w:rPr>
              <w:fldChar w:fldCharType="begin"/>
            </w:r>
            <w:r>
              <w:rPr>
                <w:noProof/>
                <w:webHidden/>
              </w:rPr>
              <w:instrText xml:space="preserve"> PAGEREF _Toc133425382 \h </w:instrText>
            </w:r>
            <w:r>
              <w:rPr>
                <w:noProof/>
                <w:webHidden/>
              </w:rPr>
            </w:r>
            <w:r>
              <w:rPr>
                <w:noProof/>
                <w:webHidden/>
              </w:rPr>
              <w:fldChar w:fldCharType="separate"/>
            </w:r>
            <w:r>
              <w:rPr>
                <w:noProof/>
                <w:webHidden/>
              </w:rPr>
              <w:t>25</w:t>
            </w:r>
            <w:r>
              <w:rPr>
                <w:noProof/>
                <w:webHidden/>
              </w:rPr>
              <w:fldChar w:fldCharType="end"/>
            </w:r>
          </w:hyperlink>
        </w:p>
        <w:p w14:paraId="631D866A" w14:textId="48D3CEC5"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3" w:history="1">
            <w:r w:rsidRPr="00C80C6D">
              <w:rPr>
                <w:rStyle w:val="Hyperlink"/>
                <w:noProof/>
              </w:rPr>
              <w:t>Health (Article 25)</w:t>
            </w:r>
            <w:r>
              <w:rPr>
                <w:noProof/>
                <w:webHidden/>
              </w:rPr>
              <w:tab/>
            </w:r>
            <w:r>
              <w:rPr>
                <w:noProof/>
                <w:webHidden/>
              </w:rPr>
              <w:fldChar w:fldCharType="begin"/>
            </w:r>
            <w:r>
              <w:rPr>
                <w:noProof/>
                <w:webHidden/>
              </w:rPr>
              <w:instrText xml:space="preserve"> PAGEREF _Toc133425383 \h </w:instrText>
            </w:r>
            <w:r>
              <w:rPr>
                <w:noProof/>
                <w:webHidden/>
              </w:rPr>
            </w:r>
            <w:r>
              <w:rPr>
                <w:noProof/>
                <w:webHidden/>
              </w:rPr>
              <w:fldChar w:fldCharType="separate"/>
            </w:r>
            <w:r>
              <w:rPr>
                <w:noProof/>
                <w:webHidden/>
              </w:rPr>
              <w:t>28</w:t>
            </w:r>
            <w:r>
              <w:rPr>
                <w:noProof/>
                <w:webHidden/>
              </w:rPr>
              <w:fldChar w:fldCharType="end"/>
            </w:r>
          </w:hyperlink>
        </w:p>
        <w:p w14:paraId="7EBA7BBA" w14:textId="48E605B3"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4" w:history="1">
            <w:r w:rsidRPr="00C80C6D">
              <w:rPr>
                <w:rStyle w:val="Hyperlink"/>
                <w:noProof/>
              </w:rPr>
              <w:t>Work and employment (Article 27)</w:t>
            </w:r>
            <w:r>
              <w:rPr>
                <w:noProof/>
                <w:webHidden/>
              </w:rPr>
              <w:tab/>
            </w:r>
            <w:r>
              <w:rPr>
                <w:noProof/>
                <w:webHidden/>
              </w:rPr>
              <w:fldChar w:fldCharType="begin"/>
            </w:r>
            <w:r>
              <w:rPr>
                <w:noProof/>
                <w:webHidden/>
              </w:rPr>
              <w:instrText xml:space="preserve"> PAGEREF _Toc133425384 \h </w:instrText>
            </w:r>
            <w:r>
              <w:rPr>
                <w:noProof/>
                <w:webHidden/>
              </w:rPr>
            </w:r>
            <w:r>
              <w:rPr>
                <w:noProof/>
                <w:webHidden/>
              </w:rPr>
              <w:fldChar w:fldCharType="separate"/>
            </w:r>
            <w:r>
              <w:rPr>
                <w:noProof/>
                <w:webHidden/>
              </w:rPr>
              <w:t>29</w:t>
            </w:r>
            <w:r>
              <w:rPr>
                <w:noProof/>
                <w:webHidden/>
              </w:rPr>
              <w:fldChar w:fldCharType="end"/>
            </w:r>
          </w:hyperlink>
        </w:p>
        <w:p w14:paraId="53298C00" w14:textId="7956DD14"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5" w:history="1">
            <w:r w:rsidRPr="00C80C6D">
              <w:rPr>
                <w:rStyle w:val="Hyperlink"/>
                <w:noProof/>
              </w:rPr>
              <w:t>Adequate standard of living and social protection (Article 28)</w:t>
            </w:r>
            <w:r>
              <w:rPr>
                <w:noProof/>
                <w:webHidden/>
              </w:rPr>
              <w:tab/>
            </w:r>
            <w:r>
              <w:rPr>
                <w:noProof/>
                <w:webHidden/>
              </w:rPr>
              <w:fldChar w:fldCharType="begin"/>
            </w:r>
            <w:r>
              <w:rPr>
                <w:noProof/>
                <w:webHidden/>
              </w:rPr>
              <w:instrText xml:space="preserve"> PAGEREF _Toc133425385 \h </w:instrText>
            </w:r>
            <w:r>
              <w:rPr>
                <w:noProof/>
                <w:webHidden/>
              </w:rPr>
            </w:r>
            <w:r>
              <w:rPr>
                <w:noProof/>
                <w:webHidden/>
              </w:rPr>
              <w:fldChar w:fldCharType="separate"/>
            </w:r>
            <w:r>
              <w:rPr>
                <w:noProof/>
                <w:webHidden/>
              </w:rPr>
              <w:t>30</w:t>
            </w:r>
            <w:r>
              <w:rPr>
                <w:noProof/>
                <w:webHidden/>
              </w:rPr>
              <w:fldChar w:fldCharType="end"/>
            </w:r>
          </w:hyperlink>
        </w:p>
        <w:p w14:paraId="7BECB888" w14:textId="245F2702"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6" w:history="1">
            <w:r w:rsidRPr="00C80C6D">
              <w:rPr>
                <w:rStyle w:val="Hyperlink"/>
                <w:noProof/>
              </w:rPr>
              <w:t>Participation in political and public life (Article 29)</w:t>
            </w:r>
            <w:r>
              <w:rPr>
                <w:noProof/>
                <w:webHidden/>
              </w:rPr>
              <w:tab/>
            </w:r>
            <w:r>
              <w:rPr>
                <w:noProof/>
                <w:webHidden/>
              </w:rPr>
              <w:fldChar w:fldCharType="begin"/>
            </w:r>
            <w:r>
              <w:rPr>
                <w:noProof/>
                <w:webHidden/>
              </w:rPr>
              <w:instrText xml:space="preserve"> PAGEREF _Toc133425386 \h </w:instrText>
            </w:r>
            <w:r>
              <w:rPr>
                <w:noProof/>
                <w:webHidden/>
              </w:rPr>
            </w:r>
            <w:r>
              <w:rPr>
                <w:noProof/>
                <w:webHidden/>
              </w:rPr>
              <w:fldChar w:fldCharType="separate"/>
            </w:r>
            <w:r>
              <w:rPr>
                <w:noProof/>
                <w:webHidden/>
              </w:rPr>
              <w:t>31</w:t>
            </w:r>
            <w:r>
              <w:rPr>
                <w:noProof/>
                <w:webHidden/>
              </w:rPr>
              <w:fldChar w:fldCharType="end"/>
            </w:r>
          </w:hyperlink>
        </w:p>
        <w:p w14:paraId="4370461F" w14:textId="05042B8D"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7" w:history="1">
            <w:r w:rsidRPr="00C80C6D">
              <w:rPr>
                <w:rStyle w:val="Hyperlink"/>
                <w:noProof/>
              </w:rPr>
              <w:t>Participation in cultural life, recreation, leisure and sport (art. 30)</w:t>
            </w:r>
            <w:r>
              <w:rPr>
                <w:noProof/>
                <w:webHidden/>
              </w:rPr>
              <w:tab/>
            </w:r>
            <w:r>
              <w:rPr>
                <w:noProof/>
                <w:webHidden/>
              </w:rPr>
              <w:fldChar w:fldCharType="begin"/>
            </w:r>
            <w:r>
              <w:rPr>
                <w:noProof/>
                <w:webHidden/>
              </w:rPr>
              <w:instrText xml:space="preserve"> PAGEREF _Toc133425387 \h </w:instrText>
            </w:r>
            <w:r>
              <w:rPr>
                <w:noProof/>
                <w:webHidden/>
              </w:rPr>
            </w:r>
            <w:r>
              <w:rPr>
                <w:noProof/>
                <w:webHidden/>
              </w:rPr>
              <w:fldChar w:fldCharType="separate"/>
            </w:r>
            <w:r>
              <w:rPr>
                <w:noProof/>
                <w:webHidden/>
              </w:rPr>
              <w:t>32</w:t>
            </w:r>
            <w:r>
              <w:rPr>
                <w:noProof/>
                <w:webHidden/>
              </w:rPr>
              <w:fldChar w:fldCharType="end"/>
            </w:r>
          </w:hyperlink>
        </w:p>
        <w:p w14:paraId="453EF1E5" w14:textId="4AF0C557" w:rsidR="003E4888" w:rsidRPr="003E4888" w:rsidRDefault="003E4888">
          <w:pPr>
            <w:pStyle w:val="TOC2"/>
            <w:tabs>
              <w:tab w:val="left" w:pos="660"/>
              <w:tab w:val="right" w:leader="dot" w:pos="9628"/>
            </w:tabs>
            <w:rPr>
              <w:rFonts w:ascii="Times New Roman" w:eastAsiaTheme="minorEastAsia" w:hAnsi="Times New Roman"/>
              <w:noProof/>
              <w:sz w:val="20"/>
              <w:szCs w:val="20"/>
              <w:lang w:eastAsia="en-GB"/>
            </w:rPr>
          </w:pPr>
          <w:hyperlink w:anchor="_Toc133425388" w:history="1">
            <w:r w:rsidRPr="003E4888">
              <w:rPr>
                <w:rStyle w:val="Hyperlink"/>
                <w:rFonts w:ascii="Times New Roman" w:hAnsi="Times New Roman"/>
                <w:noProof/>
                <w:sz w:val="20"/>
                <w:szCs w:val="20"/>
              </w:rPr>
              <w:t>C.</w:t>
            </w:r>
            <w:r w:rsidRPr="003E4888">
              <w:rPr>
                <w:rFonts w:ascii="Times New Roman" w:eastAsiaTheme="minorEastAsia" w:hAnsi="Times New Roman"/>
                <w:noProof/>
                <w:sz w:val="20"/>
                <w:szCs w:val="20"/>
                <w:lang w:eastAsia="en-GB"/>
              </w:rPr>
              <w:tab/>
            </w:r>
            <w:r w:rsidRPr="003E4888">
              <w:rPr>
                <w:rStyle w:val="Hyperlink"/>
                <w:rFonts w:ascii="Times New Roman" w:hAnsi="Times New Roman"/>
                <w:noProof/>
                <w:sz w:val="20"/>
                <w:szCs w:val="20"/>
              </w:rPr>
              <w:t>Specific Obligations (Article 31-33)</w:t>
            </w:r>
            <w:r w:rsidRPr="003E4888">
              <w:rPr>
                <w:rFonts w:ascii="Times New Roman" w:hAnsi="Times New Roman"/>
                <w:noProof/>
                <w:webHidden/>
                <w:sz w:val="20"/>
                <w:szCs w:val="20"/>
              </w:rPr>
              <w:tab/>
            </w:r>
            <w:r w:rsidRPr="003E4888">
              <w:rPr>
                <w:rFonts w:ascii="Times New Roman" w:hAnsi="Times New Roman"/>
                <w:noProof/>
                <w:webHidden/>
                <w:sz w:val="20"/>
                <w:szCs w:val="20"/>
              </w:rPr>
              <w:fldChar w:fldCharType="begin"/>
            </w:r>
            <w:r w:rsidRPr="003E4888">
              <w:rPr>
                <w:rFonts w:ascii="Times New Roman" w:hAnsi="Times New Roman"/>
                <w:noProof/>
                <w:webHidden/>
                <w:sz w:val="20"/>
                <w:szCs w:val="20"/>
              </w:rPr>
              <w:instrText xml:space="preserve"> PAGEREF _Toc133425388 \h </w:instrText>
            </w:r>
            <w:r w:rsidRPr="003E4888">
              <w:rPr>
                <w:rFonts w:ascii="Times New Roman" w:hAnsi="Times New Roman"/>
                <w:noProof/>
                <w:webHidden/>
                <w:sz w:val="20"/>
                <w:szCs w:val="20"/>
              </w:rPr>
            </w:r>
            <w:r w:rsidRPr="003E4888">
              <w:rPr>
                <w:rFonts w:ascii="Times New Roman" w:hAnsi="Times New Roman"/>
                <w:noProof/>
                <w:webHidden/>
                <w:sz w:val="20"/>
                <w:szCs w:val="20"/>
              </w:rPr>
              <w:fldChar w:fldCharType="separate"/>
            </w:r>
            <w:r w:rsidRPr="003E4888">
              <w:rPr>
                <w:rFonts w:ascii="Times New Roman" w:hAnsi="Times New Roman"/>
                <w:noProof/>
                <w:webHidden/>
                <w:sz w:val="20"/>
                <w:szCs w:val="20"/>
              </w:rPr>
              <w:t>32</w:t>
            </w:r>
            <w:r w:rsidRPr="003E4888">
              <w:rPr>
                <w:rFonts w:ascii="Times New Roman" w:hAnsi="Times New Roman"/>
                <w:noProof/>
                <w:webHidden/>
                <w:sz w:val="20"/>
                <w:szCs w:val="20"/>
              </w:rPr>
              <w:fldChar w:fldCharType="end"/>
            </w:r>
          </w:hyperlink>
        </w:p>
        <w:p w14:paraId="1AD2C7D8" w14:textId="63E3EC03"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89" w:history="1">
            <w:r w:rsidRPr="00C80C6D">
              <w:rPr>
                <w:rStyle w:val="Hyperlink"/>
                <w:noProof/>
              </w:rPr>
              <w:t>Statistics and data collection (Article 31)</w:t>
            </w:r>
            <w:r>
              <w:rPr>
                <w:noProof/>
                <w:webHidden/>
              </w:rPr>
              <w:tab/>
            </w:r>
            <w:r>
              <w:rPr>
                <w:noProof/>
                <w:webHidden/>
              </w:rPr>
              <w:fldChar w:fldCharType="begin"/>
            </w:r>
            <w:r>
              <w:rPr>
                <w:noProof/>
                <w:webHidden/>
              </w:rPr>
              <w:instrText xml:space="preserve"> PAGEREF _Toc133425389 \h </w:instrText>
            </w:r>
            <w:r>
              <w:rPr>
                <w:noProof/>
                <w:webHidden/>
              </w:rPr>
            </w:r>
            <w:r>
              <w:rPr>
                <w:noProof/>
                <w:webHidden/>
              </w:rPr>
              <w:fldChar w:fldCharType="separate"/>
            </w:r>
            <w:r>
              <w:rPr>
                <w:noProof/>
                <w:webHidden/>
              </w:rPr>
              <w:t>32</w:t>
            </w:r>
            <w:r>
              <w:rPr>
                <w:noProof/>
                <w:webHidden/>
              </w:rPr>
              <w:fldChar w:fldCharType="end"/>
            </w:r>
          </w:hyperlink>
        </w:p>
        <w:p w14:paraId="2349614B" w14:textId="6E1DACC1"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90" w:history="1">
            <w:r w:rsidRPr="00C80C6D">
              <w:rPr>
                <w:rStyle w:val="Hyperlink"/>
                <w:noProof/>
              </w:rPr>
              <w:t>International cooperation (Article 32)</w:t>
            </w:r>
            <w:r>
              <w:rPr>
                <w:noProof/>
                <w:webHidden/>
              </w:rPr>
              <w:tab/>
            </w:r>
            <w:r>
              <w:rPr>
                <w:noProof/>
                <w:webHidden/>
              </w:rPr>
              <w:fldChar w:fldCharType="begin"/>
            </w:r>
            <w:r>
              <w:rPr>
                <w:noProof/>
                <w:webHidden/>
              </w:rPr>
              <w:instrText xml:space="preserve"> PAGEREF _Toc133425390 \h </w:instrText>
            </w:r>
            <w:r>
              <w:rPr>
                <w:noProof/>
                <w:webHidden/>
              </w:rPr>
            </w:r>
            <w:r>
              <w:rPr>
                <w:noProof/>
                <w:webHidden/>
              </w:rPr>
              <w:fldChar w:fldCharType="separate"/>
            </w:r>
            <w:r>
              <w:rPr>
                <w:noProof/>
                <w:webHidden/>
              </w:rPr>
              <w:t>33</w:t>
            </w:r>
            <w:r>
              <w:rPr>
                <w:noProof/>
                <w:webHidden/>
              </w:rPr>
              <w:fldChar w:fldCharType="end"/>
            </w:r>
          </w:hyperlink>
        </w:p>
        <w:p w14:paraId="51263A16" w14:textId="1E93AC3F"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91" w:history="1">
            <w:r w:rsidRPr="00C80C6D">
              <w:rPr>
                <w:rStyle w:val="Hyperlink"/>
                <w:noProof/>
              </w:rPr>
              <w:t>National implementation and monitoring (Article 33)</w:t>
            </w:r>
            <w:r>
              <w:rPr>
                <w:noProof/>
                <w:webHidden/>
              </w:rPr>
              <w:tab/>
            </w:r>
            <w:r>
              <w:rPr>
                <w:noProof/>
                <w:webHidden/>
              </w:rPr>
              <w:fldChar w:fldCharType="begin"/>
            </w:r>
            <w:r>
              <w:rPr>
                <w:noProof/>
                <w:webHidden/>
              </w:rPr>
              <w:instrText xml:space="preserve"> PAGEREF _Toc133425391 \h </w:instrText>
            </w:r>
            <w:r>
              <w:rPr>
                <w:noProof/>
                <w:webHidden/>
              </w:rPr>
            </w:r>
            <w:r>
              <w:rPr>
                <w:noProof/>
                <w:webHidden/>
              </w:rPr>
              <w:fldChar w:fldCharType="separate"/>
            </w:r>
            <w:r>
              <w:rPr>
                <w:noProof/>
                <w:webHidden/>
              </w:rPr>
              <w:t>33</w:t>
            </w:r>
            <w:r>
              <w:rPr>
                <w:noProof/>
                <w:webHidden/>
              </w:rPr>
              <w:fldChar w:fldCharType="end"/>
            </w:r>
          </w:hyperlink>
        </w:p>
        <w:p w14:paraId="428F2E8A" w14:textId="119B54DC" w:rsidR="003E4888" w:rsidRDefault="003E4888">
          <w:pPr>
            <w:pStyle w:val="TOC3"/>
            <w:tabs>
              <w:tab w:val="right" w:leader="dot" w:pos="9628"/>
            </w:tabs>
            <w:rPr>
              <w:rFonts w:asciiTheme="minorHAnsi" w:eastAsiaTheme="minorEastAsia" w:hAnsiTheme="minorHAnsi" w:cstheme="minorBidi"/>
              <w:noProof/>
              <w:sz w:val="22"/>
              <w:szCs w:val="22"/>
              <w:lang w:eastAsia="en-GB"/>
            </w:rPr>
          </w:pPr>
          <w:hyperlink w:anchor="_Toc133425392" w:history="1">
            <w:r w:rsidRPr="00C80C6D">
              <w:rPr>
                <w:rStyle w:val="Hyperlink"/>
                <w:noProof/>
              </w:rPr>
              <w:t>Cooperation and technical assistance (Article 37)</w:t>
            </w:r>
            <w:r>
              <w:rPr>
                <w:noProof/>
                <w:webHidden/>
              </w:rPr>
              <w:tab/>
            </w:r>
            <w:r>
              <w:rPr>
                <w:noProof/>
                <w:webHidden/>
              </w:rPr>
              <w:fldChar w:fldCharType="begin"/>
            </w:r>
            <w:r>
              <w:rPr>
                <w:noProof/>
                <w:webHidden/>
              </w:rPr>
              <w:instrText xml:space="preserve"> PAGEREF _Toc133425392 \h </w:instrText>
            </w:r>
            <w:r>
              <w:rPr>
                <w:noProof/>
                <w:webHidden/>
              </w:rPr>
            </w:r>
            <w:r>
              <w:rPr>
                <w:noProof/>
                <w:webHidden/>
              </w:rPr>
              <w:fldChar w:fldCharType="separate"/>
            </w:r>
            <w:r>
              <w:rPr>
                <w:noProof/>
                <w:webHidden/>
              </w:rPr>
              <w:t>34</w:t>
            </w:r>
            <w:r>
              <w:rPr>
                <w:noProof/>
                <w:webHidden/>
              </w:rPr>
              <w:fldChar w:fldCharType="end"/>
            </w:r>
          </w:hyperlink>
        </w:p>
        <w:p w14:paraId="101F509D" w14:textId="09F94817" w:rsidR="0050731B" w:rsidRDefault="0050731B">
          <w:r>
            <w:rPr>
              <w:b/>
              <w:bCs/>
              <w:noProof/>
            </w:rPr>
            <w:fldChar w:fldCharType="end"/>
          </w:r>
        </w:p>
      </w:sdtContent>
    </w:sdt>
    <w:p w14:paraId="08CF4B41" w14:textId="3D5C1E7D" w:rsidR="0050731B" w:rsidRDefault="0050731B">
      <w:pPr>
        <w:suppressAutoHyphens w:val="0"/>
        <w:spacing w:after="200" w:line="276" w:lineRule="auto"/>
      </w:pPr>
      <w:r>
        <w:br w:type="page"/>
      </w:r>
    </w:p>
    <w:p w14:paraId="36A7DE43" w14:textId="3061E360" w:rsidR="0050731B" w:rsidRPr="0050731B" w:rsidRDefault="00A63FB7" w:rsidP="00A63FB7">
      <w:pPr>
        <w:pStyle w:val="H1G"/>
      </w:pPr>
      <w:bookmarkStart w:id="2" w:name="_Toc120102296"/>
      <w:r>
        <w:tab/>
      </w:r>
      <w:r>
        <w:tab/>
      </w:r>
      <w:bookmarkStart w:id="3" w:name="_Toc133425359"/>
      <w:r w:rsidR="0050731B" w:rsidRPr="0050731B">
        <w:t>Abbreviations</w:t>
      </w:r>
      <w:bookmarkEnd w:id="2"/>
      <w:bookmarkEnd w:id="3"/>
    </w:p>
    <w:p w14:paraId="5071B518" w14:textId="77777777" w:rsidR="0050731B" w:rsidRPr="0050731B" w:rsidRDefault="0050731B" w:rsidP="00A63FB7">
      <w:pPr>
        <w:pStyle w:val="SingleTxtG"/>
      </w:pPr>
      <w:r w:rsidRPr="0050731B">
        <w:t>BFP</w:t>
      </w:r>
      <w:r w:rsidRPr="0050731B">
        <w:rPr>
          <w:rFonts w:ascii="Cambria" w:hAnsi="Cambria"/>
        </w:rPr>
        <w:tab/>
      </w:r>
      <w:r w:rsidRPr="0050731B">
        <w:rPr>
          <w:rFonts w:ascii="Cambria" w:hAnsi="Cambria"/>
        </w:rPr>
        <w:tab/>
      </w:r>
      <w:r w:rsidRPr="0050731B">
        <w:t>Budget Framework Papers</w:t>
      </w:r>
    </w:p>
    <w:p w14:paraId="353D2D44" w14:textId="77777777" w:rsidR="0050731B" w:rsidRPr="0050731B" w:rsidRDefault="0050731B" w:rsidP="00A63FB7">
      <w:pPr>
        <w:pStyle w:val="SingleTxtG"/>
      </w:pPr>
      <w:r w:rsidRPr="0050731B">
        <w:t xml:space="preserve">CBR </w:t>
      </w:r>
      <w:r w:rsidRPr="0050731B">
        <w:tab/>
        <w:t xml:space="preserve"> </w:t>
      </w:r>
      <w:r w:rsidRPr="0050731B">
        <w:tab/>
        <w:t>Community Based Rehabilitation</w:t>
      </w:r>
    </w:p>
    <w:p w14:paraId="06FE517D" w14:textId="77777777" w:rsidR="0050731B" w:rsidRPr="0050731B" w:rsidRDefault="0050731B" w:rsidP="00A63FB7">
      <w:pPr>
        <w:pStyle w:val="SingleTxtG"/>
      </w:pPr>
      <w:r w:rsidRPr="0050731B">
        <w:t xml:space="preserve">CEHURD </w:t>
      </w:r>
      <w:r w:rsidRPr="0050731B">
        <w:tab/>
        <w:t xml:space="preserve">Centre for Health, Human Rights and Development </w:t>
      </w:r>
    </w:p>
    <w:p w14:paraId="6588DC55" w14:textId="77777777" w:rsidR="0050731B" w:rsidRPr="0050731B" w:rsidRDefault="0050731B" w:rsidP="00A63FB7">
      <w:pPr>
        <w:pStyle w:val="SingleTxtG"/>
      </w:pPr>
      <w:r w:rsidRPr="0050731B">
        <w:t xml:space="preserve">CRC </w:t>
      </w:r>
      <w:r w:rsidRPr="0050731B">
        <w:tab/>
      </w:r>
      <w:r w:rsidRPr="0050731B">
        <w:tab/>
        <w:t xml:space="preserve">Convention on the Rights of the Child </w:t>
      </w:r>
    </w:p>
    <w:p w14:paraId="4E79A45C" w14:textId="77777777" w:rsidR="0050731B" w:rsidRPr="0050731B" w:rsidRDefault="0050731B" w:rsidP="00A63FB7">
      <w:pPr>
        <w:pStyle w:val="SingleTxtG"/>
      </w:pPr>
      <w:r w:rsidRPr="0050731B">
        <w:t>CRPD</w:t>
      </w:r>
      <w:r w:rsidRPr="0050731B">
        <w:tab/>
        <w:t xml:space="preserve"> </w:t>
      </w:r>
      <w:r w:rsidRPr="0050731B">
        <w:tab/>
        <w:t xml:space="preserve">United Nations Convention on the Rights of Persons with Disabilities </w:t>
      </w:r>
    </w:p>
    <w:p w14:paraId="2BA34473" w14:textId="77777777" w:rsidR="0050731B" w:rsidRPr="0050731B" w:rsidRDefault="0050731B" w:rsidP="00A63FB7">
      <w:pPr>
        <w:pStyle w:val="SingleTxtG"/>
      </w:pPr>
      <w:r w:rsidRPr="0050731B">
        <w:t xml:space="preserve">DES </w:t>
      </w:r>
      <w:r w:rsidRPr="0050731B">
        <w:rPr>
          <w:rFonts w:ascii="Cambria" w:hAnsi="Cambria"/>
        </w:rPr>
        <w:tab/>
      </w:r>
      <w:r w:rsidRPr="0050731B">
        <w:rPr>
          <w:rFonts w:ascii="Cambria" w:hAnsi="Cambria"/>
        </w:rPr>
        <w:tab/>
      </w:r>
      <w:r w:rsidRPr="0050731B">
        <w:t>Directorate of Education Standards</w:t>
      </w:r>
    </w:p>
    <w:p w14:paraId="3185C040" w14:textId="77777777" w:rsidR="0050731B" w:rsidRPr="0050731B" w:rsidRDefault="0050731B" w:rsidP="00A63FB7">
      <w:pPr>
        <w:pStyle w:val="SingleTxtG"/>
      </w:pPr>
      <w:r w:rsidRPr="0050731B">
        <w:t>EMIS              Education Information Management System</w:t>
      </w:r>
    </w:p>
    <w:p w14:paraId="732D343C" w14:textId="77777777" w:rsidR="0050731B" w:rsidRPr="0050731B" w:rsidRDefault="0050731B" w:rsidP="00A63FB7">
      <w:pPr>
        <w:pStyle w:val="SingleTxtG"/>
      </w:pPr>
      <w:r w:rsidRPr="0050731B">
        <w:t xml:space="preserve">EOC   </w:t>
      </w:r>
      <w:r w:rsidRPr="0050731B">
        <w:tab/>
      </w:r>
      <w:r w:rsidRPr="0050731B">
        <w:tab/>
        <w:t xml:space="preserve">Equal Opportunities Commission </w:t>
      </w:r>
    </w:p>
    <w:p w14:paraId="2839CB99" w14:textId="77777777" w:rsidR="0050731B" w:rsidRPr="0050731B" w:rsidRDefault="0050731B" w:rsidP="00A63FB7">
      <w:pPr>
        <w:pStyle w:val="SingleTxtG"/>
      </w:pPr>
      <w:r w:rsidRPr="0050731B">
        <w:rPr>
          <w:bCs/>
        </w:rPr>
        <w:t xml:space="preserve">FGM </w:t>
      </w:r>
      <w:r w:rsidRPr="0050731B">
        <w:rPr>
          <w:bCs/>
        </w:rPr>
        <w:tab/>
      </w:r>
      <w:r w:rsidRPr="0050731B">
        <w:rPr>
          <w:bCs/>
        </w:rPr>
        <w:tab/>
        <w:t>Female Genital Mutilation</w:t>
      </w:r>
      <w:r w:rsidRPr="0050731B">
        <w:t xml:space="preserve"> </w:t>
      </w:r>
    </w:p>
    <w:p w14:paraId="4C447257" w14:textId="479D79FB" w:rsidR="0050731B" w:rsidRPr="0050731B" w:rsidRDefault="0050731B" w:rsidP="00A63FB7">
      <w:pPr>
        <w:pStyle w:val="SingleTxtG"/>
      </w:pPr>
      <w:r w:rsidRPr="0050731B">
        <w:t>FIDA-Uganda</w:t>
      </w:r>
      <w:r w:rsidRPr="0050731B">
        <w:rPr>
          <w:rFonts w:ascii="Cambria" w:hAnsi="Cambria"/>
        </w:rPr>
        <w:tab/>
        <w:t xml:space="preserve">Federation </w:t>
      </w:r>
      <w:proofErr w:type="spellStart"/>
      <w:r w:rsidRPr="0050731B">
        <w:rPr>
          <w:rFonts w:ascii="Cambria" w:hAnsi="Cambria"/>
        </w:rPr>
        <w:t>Internacionale</w:t>
      </w:r>
      <w:proofErr w:type="spellEnd"/>
      <w:r w:rsidRPr="0050731B">
        <w:rPr>
          <w:rFonts w:ascii="Cambria" w:hAnsi="Cambria"/>
        </w:rPr>
        <w:t xml:space="preserve"> </w:t>
      </w:r>
      <w:proofErr w:type="spellStart"/>
      <w:r w:rsidRPr="0050731B">
        <w:rPr>
          <w:rFonts w:ascii="Cambria" w:hAnsi="Cambria"/>
        </w:rPr>
        <w:t>D’Abogades</w:t>
      </w:r>
      <w:proofErr w:type="spellEnd"/>
      <w:r w:rsidRPr="0050731B">
        <w:rPr>
          <w:rFonts w:ascii="Cambria" w:hAnsi="Cambria"/>
        </w:rPr>
        <w:t xml:space="preserve"> (</w:t>
      </w:r>
      <w:r w:rsidRPr="0050731B">
        <w:t xml:space="preserve">Uganda Association of </w:t>
      </w:r>
      <w:r w:rsidR="00A63FB7">
        <w:tab/>
      </w:r>
      <w:r w:rsidR="00A63FB7">
        <w:tab/>
      </w:r>
      <w:r w:rsidR="00A63FB7">
        <w:tab/>
      </w:r>
      <w:r w:rsidRPr="0050731B">
        <w:t>Women Lawyers)</w:t>
      </w:r>
    </w:p>
    <w:p w14:paraId="78E35190" w14:textId="6C85FD28" w:rsidR="0050731B" w:rsidRPr="0050731B" w:rsidRDefault="0050731B" w:rsidP="00A63FB7">
      <w:pPr>
        <w:pStyle w:val="SingleTxtG"/>
      </w:pPr>
      <w:r w:rsidRPr="0050731B">
        <w:t>FY</w:t>
      </w:r>
      <w:r w:rsidRPr="0050731B">
        <w:tab/>
      </w:r>
      <w:r w:rsidRPr="0050731B">
        <w:tab/>
        <w:t>Financial Year</w:t>
      </w:r>
    </w:p>
    <w:p w14:paraId="43BCF8F9" w14:textId="77777777" w:rsidR="0050731B" w:rsidRPr="0050731B" w:rsidRDefault="0050731B" w:rsidP="00A63FB7">
      <w:pPr>
        <w:pStyle w:val="SingleTxtG"/>
      </w:pPr>
      <w:r w:rsidRPr="0050731B">
        <w:t>GBV</w:t>
      </w:r>
      <w:r w:rsidRPr="0050731B">
        <w:tab/>
        <w:t xml:space="preserve"> </w:t>
      </w:r>
      <w:r w:rsidRPr="0050731B">
        <w:tab/>
        <w:t>Gender Based Violence</w:t>
      </w:r>
    </w:p>
    <w:p w14:paraId="43A84571" w14:textId="77777777" w:rsidR="0050731B" w:rsidRPr="0050731B" w:rsidRDefault="0050731B" w:rsidP="00A63FB7">
      <w:pPr>
        <w:pStyle w:val="SingleTxtG"/>
      </w:pPr>
      <w:r w:rsidRPr="0050731B">
        <w:t xml:space="preserve">GOU </w:t>
      </w:r>
      <w:r w:rsidRPr="0050731B">
        <w:tab/>
        <w:t xml:space="preserve"> </w:t>
      </w:r>
      <w:r w:rsidRPr="0050731B">
        <w:tab/>
        <w:t xml:space="preserve">Government of Uganda </w:t>
      </w:r>
    </w:p>
    <w:p w14:paraId="297CE9DA" w14:textId="77777777" w:rsidR="0050731B" w:rsidRPr="0050731B" w:rsidRDefault="0050731B" w:rsidP="00A63FB7">
      <w:pPr>
        <w:pStyle w:val="SingleTxtG"/>
      </w:pPr>
      <w:r w:rsidRPr="0050731B">
        <w:t xml:space="preserve">ICT </w:t>
      </w:r>
      <w:r w:rsidRPr="0050731B">
        <w:tab/>
      </w:r>
      <w:r w:rsidRPr="0050731B">
        <w:tab/>
        <w:t>Information and Communications Technology</w:t>
      </w:r>
    </w:p>
    <w:p w14:paraId="382415F4" w14:textId="77777777" w:rsidR="0050731B" w:rsidRPr="0050731B" w:rsidRDefault="0050731B" w:rsidP="00A63FB7">
      <w:pPr>
        <w:pStyle w:val="SingleTxtG"/>
      </w:pPr>
      <w:r w:rsidRPr="0050731B">
        <w:t xml:space="preserve">IDA </w:t>
      </w:r>
      <w:r w:rsidRPr="0050731B">
        <w:tab/>
      </w:r>
      <w:r w:rsidRPr="0050731B">
        <w:tab/>
        <w:t>International Disability Alliance</w:t>
      </w:r>
    </w:p>
    <w:p w14:paraId="5B6B0F99" w14:textId="77777777" w:rsidR="0050731B" w:rsidRPr="0050731B" w:rsidRDefault="0050731B" w:rsidP="00A63FB7">
      <w:pPr>
        <w:pStyle w:val="SingleTxtG"/>
      </w:pPr>
      <w:r w:rsidRPr="0050731B">
        <w:t xml:space="preserve">INGO </w:t>
      </w:r>
      <w:r w:rsidRPr="0050731B">
        <w:rPr>
          <w:rFonts w:ascii="Cambria" w:hAnsi="Cambria"/>
        </w:rPr>
        <w:tab/>
      </w:r>
      <w:r w:rsidRPr="0050731B">
        <w:t xml:space="preserve"> </w:t>
      </w:r>
      <w:r w:rsidRPr="0050731B">
        <w:rPr>
          <w:rFonts w:ascii="Cambria" w:hAnsi="Cambria"/>
        </w:rPr>
        <w:tab/>
      </w:r>
      <w:r w:rsidRPr="0050731B">
        <w:t>International Non-Governmental Organizations</w:t>
      </w:r>
    </w:p>
    <w:p w14:paraId="3542583E" w14:textId="77777777" w:rsidR="0050731B" w:rsidRPr="0050731B" w:rsidRDefault="0050731B" w:rsidP="00A63FB7">
      <w:pPr>
        <w:pStyle w:val="SingleTxtG"/>
      </w:pPr>
      <w:r w:rsidRPr="0050731B">
        <w:t xml:space="preserve">JLOS </w:t>
      </w:r>
      <w:r w:rsidRPr="0050731B">
        <w:tab/>
      </w:r>
      <w:r w:rsidRPr="0050731B">
        <w:tab/>
        <w:t>Justice Law and Order Sector</w:t>
      </w:r>
    </w:p>
    <w:p w14:paraId="4D401F6F" w14:textId="77777777" w:rsidR="0050731B" w:rsidRPr="0050731B" w:rsidRDefault="0050731B" w:rsidP="00A63FB7">
      <w:pPr>
        <w:pStyle w:val="SingleTxtG"/>
      </w:pPr>
      <w:r w:rsidRPr="0050731B">
        <w:t xml:space="preserve">LAPD </w:t>
      </w:r>
      <w:r w:rsidRPr="0050731B">
        <w:tab/>
      </w:r>
      <w:r w:rsidRPr="0050731B">
        <w:tab/>
        <w:t>Legal Action for Persons with Disabilities</w:t>
      </w:r>
    </w:p>
    <w:p w14:paraId="3002C828" w14:textId="77777777" w:rsidR="0050731B" w:rsidRPr="0050731B" w:rsidRDefault="0050731B" w:rsidP="00A63FB7">
      <w:pPr>
        <w:pStyle w:val="SingleTxtG"/>
      </w:pPr>
      <w:r w:rsidRPr="0050731B">
        <w:t xml:space="preserve">MDA </w:t>
      </w:r>
      <w:r w:rsidRPr="0050731B">
        <w:tab/>
      </w:r>
      <w:r w:rsidRPr="0050731B">
        <w:tab/>
        <w:t xml:space="preserve">Ministries, Departments, and Agencies </w:t>
      </w:r>
    </w:p>
    <w:p w14:paraId="75C57068" w14:textId="4092767F" w:rsidR="0050731B" w:rsidRPr="0050731B" w:rsidRDefault="0050731B" w:rsidP="00A63FB7">
      <w:pPr>
        <w:pStyle w:val="SingleTxtG"/>
      </w:pPr>
      <w:r w:rsidRPr="0050731B">
        <w:t>MGLSD</w:t>
      </w:r>
      <w:r w:rsidRPr="0050731B">
        <w:tab/>
        <w:t xml:space="preserve">Ministry of Gender, </w:t>
      </w:r>
      <w:proofErr w:type="gramStart"/>
      <w:r w:rsidRPr="0050731B">
        <w:t>Labour</w:t>
      </w:r>
      <w:proofErr w:type="gramEnd"/>
      <w:r w:rsidRPr="0050731B">
        <w:t xml:space="preserve"> and Social Development </w:t>
      </w:r>
    </w:p>
    <w:p w14:paraId="327649BB" w14:textId="77777777" w:rsidR="0050731B" w:rsidRPr="0050731B" w:rsidRDefault="0050731B" w:rsidP="00A63FB7">
      <w:pPr>
        <w:pStyle w:val="SingleTxtG"/>
      </w:pPr>
      <w:r w:rsidRPr="0050731B">
        <w:t>MOES</w:t>
      </w:r>
      <w:r w:rsidRPr="0050731B">
        <w:tab/>
        <w:t xml:space="preserve"> </w:t>
      </w:r>
      <w:r w:rsidRPr="0050731B">
        <w:tab/>
        <w:t>Ministry of Education and Sports</w:t>
      </w:r>
    </w:p>
    <w:p w14:paraId="7EF75FD3" w14:textId="77777777" w:rsidR="0050731B" w:rsidRPr="0050731B" w:rsidRDefault="0050731B" w:rsidP="00A63FB7">
      <w:pPr>
        <w:pStyle w:val="SingleTxtG"/>
      </w:pPr>
      <w:r w:rsidRPr="0050731B">
        <w:t>MOH</w:t>
      </w:r>
      <w:r w:rsidRPr="0050731B">
        <w:tab/>
        <w:t xml:space="preserve"> </w:t>
      </w:r>
      <w:r w:rsidRPr="0050731B">
        <w:tab/>
        <w:t>Ministry of Health</w:t>
      </w:r>
    </w:p>
    <w:p w14:paraId="73241A22" w14:textId="77777777" w:rsidR="0050731B" w:rsidRPr="0050731B" w:rsidRDefault="0050731B" w:rsidP="00A63FB7">
      <w:pPr>
        <w:pStyle w:val="SingleTxtG"/>
      </w:pPr>
      <w:r w:rsidRPr="0050731B">
        <w:t xml:space="preserve">MP </w:t>
      </w:r>
      <w:r w:rsidRPr="0050731B">
        <w:rPr>
          <w:rFonts w:ascii="Cambria" w:hAnsi="Cambria"/>
        </w:rPr>
        <w:tab/>
      </w:r>
      <w:r w:rsidRPr="0050731B">
        <w:rPr>
          <w:rFonts w:ascii="Cambria" w:hAnsi="Cambria"/>
        </w:rPr>
        <w:tab/>
      </w:r>
      <w:r w:rsidRPr="0050731B">
        <w:t>Member of Parliament</w:t>
      </w:r>
    </w:p>
    <w:p w14:paraId="4B0B8D8D" w14:textId="77777777" w:rsidR="0050731B" w:rsidRPr="0050731B" w:rsidRDefault="0050731B" w:rsidP="00A63FB7">
      <w:pPr>
        <w:pStyle w:val="SingleTxtG"/>
      </w:pPr>
      <w:r w:rsidRPr="0050731B">
        <w:t>MPS</w:t>
      </w:r>
      <w:r w:rsidRPr="0050731B">
        <w:tab/>
        <w:t xml:space="preserve"> </w:t>
      </w:r>
      <w:r w:rsidRPr="0050731B">
        <w:tab/>
        <w:t>Ministerial Policy Statements</w:t>
      </w:r>
    </w:p>
    <w:p w14:paraId="1542362A" w14:textId="77777777" w:rsidR="0050731B" w:rsidRPr="0050731B" w:rsidRDefault="0050731B" w:rsidP="00A63FB7">
      <w:pPr>
        <w:pStyle w:val="SingleTxtG"/>
      </w:pPr>
      <w:r w:rsidRPr="0050731B">
        <w:t xml:space="preserve">NCDC </w:t>
      </w:r>
      <w:r w:rsidRPr="0050731B">
        <w:tab/>
        <w:t>National Curriculum Development Centre</w:t>
      </w:r>
    </w:p>
    <w:p w14:paraId="282497DD" w14:textId="4DD8B0D7" w:rsidR="0050731B" w:rsidRPr="0050731B" w:rsidRDefault="0050731B" w:rsidP="00A63FB7">
      <w:pPr>
        <w:pStyle w:val="SingleTxtG"/>
      </w:pPr>
      <w:r w:rsidRPr="0050731B">
        <w:t xml:space="preserve">NCHE </w:t>
      </w:r>
      <w:r w:rsidRPr="0050731B">
        <w:tab/>
        <w:t>National Council for Higher Education</w:t>
      </w:r>
    </w:p>
    <w:p w14:paraId="1EE2D261" w14:textId="0D05059F" w:rsidR="0050731B" w:rsidRPr="0050731B" w:rsidRDefault="0050731B" w:rsidP="00A63FB7">
      <w:pPr>
        <w:pStyle w:val="SingleTxtG"/>
      </w:pPr>
      <w:r w:rsidRPr="0050731B">
        <w:t xml:space="preserve">NCPD </w:t>
      </w:r>
      <w:r w:rsidRPr="0050731B">
        <w:tab/>
        <w:t xml:space="preserve">National Council for Persons with Disabilities </w:t>
      </w:r>
    </w:p>
    <w:p w14:paraId="7EAD8596" w14:textId="77777777" w:rsidR="0050731B" w:rsidRPr="0050731B" w:rsidRDefault="0050731B" w:rsidP="00A63FB7">
      <w:pPr>
        <w:pStyle w:val="SingleTxtG"/>
      </w:pPr>
      <w:r w:rsidRPr="0050731B">
        <w:t>NDP</w:t>
      </w:r>
      <w:r w:rsidRPr="0050731B">
        <w:tab/>
        <w:t xml:space="preserve"> </w:t>
      </w:r>
      <w:r w:rsidRPr="0050731B">
        <w:tab/>
        <w:t>National Development Plan</w:t>
      </w:r>
    </w:p>
    <w:p w14:paraId="61EACE17" w14:textId="77777777" w:rsidR="0050731B" w:rsidRPr="0050731B" w:rsidRDefault="0050731B" w:rsidP="00A63FB7">
      <w:pPr>
        <w:pStyle w:val="SingleTxtG"/>
      </w:pPr>
      <w:r w:rsidRPr="0050731B">
        <w:t xml:space="preserve">NGO </w:t>
      </w:r>
      <w:r w:rsidRPr="0050731B">
        <w:tab/>
        <w:t xml:space="preserve"> </w:t>
      </w:r>
      <w:r w:rsidRPr="0050731B">
        <w:tab/>
        <w:t xml:space="preserve">Non-Governmental Organizations </w:t>
      </w:r>
    </w:p>
    <w:p w14:paraId="07F13947" w14:textId="77777777" w:rsidR="0050731B" w:rsidRPr="0050731B" w:rsidRDefault="0050731B" w:rsidP="00A63FB7">
      <w:pPr>
        <w:pStyle w:val="SingleTxtG"/>
      </w:pPr>
      <w:r w:rsidRPr="0050731B">
        <w:t xml:space="preserve">NIEP </w:t>
      </w:r>
      <w:r w:rsidRPr="0050731B">
        <w:tab/>
        <w:t xml:space="preserve"> </w:t>
      </w:r>
      <w:r w:rsidRPr="0050731B">
        <w:tab/>
        <w:t>National Inclusive Education Policy</w:t>
      </w:r>
    </w:p>
    <w:p w14:paraId="4C2F0201" w14:textId="77777777" w:rsidR="0050731B" w:rsidRPr="0050731B" w:rsidRDefault="0050731B" w:rsidP="00A63FB7">
      <w:pPr>
        <w:pStyle w:val="SingleTxtG"/>
      </w:pPr>
      <w:r w:rsidRPr="0050731B">
        <w:t>NIHE              National Health Insurance Scheme</w:t>
      </w:r>
    </w:p>
    <w:p w14:paraId="426CB675" w14:textId="77777777" w:rsidR="0050731B" w:rsidRPr="0050731B" w:rsidRDefault="0050731B" w:rsidP="00A63FB7">
      <w:pPr>
        <w:pStyle w:val="SingleTxtG"/>
      </w:pPr>
      <w:r w:rsidRPr="0050731B">
        <w:t>NIRA</w:t>
      </w:r>
      <w:r w:rsidRPr="0050731B">
        <w:tab/>
        <w:t xml:space="preserve"> </w:t>
      </w:r>
      <w:r w:rsidRPr="0050731B">
        <w:tab/>
        <w:t>National Identification and Registration Authority</w:t>
      </w:r>
    </w:p>
    <w:p w14:paraId="5FA07507" w14:textId="77777777" w:rsidR="0050731B" w:rsidRPr="0050731B" w:rsidRDefault="0050731B" w:rsidP="00A63FB7">
      <w:pPr>
        <w:pStyle w:val="SingleTxtG"/>
      </w:pPr>
      <w:r w:rsidRPr="0050731B">
        <w:t>NITA</w:t>
      </w:r>
      <w:r w:rsidRPr="0050731B">
        <w:tab/>
      </w:r>
      <w:r w:rsidRPr="0050731B">
        <w:tab/>
        <w:t>National Information Technology Authority</w:t>
      </w:r>
    </w:p>
    <w:p w14:paraId="29B6752C" w14:textId="29C77BD6" w:rsidR="0050731B" w:rsidRPr="0050731B" w:rsidRDefault="0050731B" w:rsidP="00A63FB7">
      <w:pPr>
        <w:pStyle w:val="SingleTxtG"/>
      </w:pPr>
      <w:r w:rsidRPr="0050731B">
        <w:t>NPA</w:t>
      </w:r>
      <w:r w:rsidR="00A63FB7">
        <w:tab/>
      </w:r>
      <w:r w:rsidR="00A63FB7">
        <w:tab/>
      </w:r>
      <w:r w:rsidRPr="0050731B">
        <w:t xml:space="preserve">National Planning Authority </w:t>
      </w:r>
    </w:p>
    <w:p w14:paraId="57B9D47A" w14:textId="2AF97E33" w:rsidR="0050731B" w:rsidRPr="0050731B" w:rsidRDefault="0050731B" w:rsidP="00A63FB7">
      <w:pPr>
        <w:pStyle w:val="SingleTxtG"/>
      </w:pPr>
      <w:r w:rsidRPr="0050731B">
        <w:t>NSSF</w:t>
      </w:r>
      <w:r w:rsidR="00A63FB7">
        <w:tab/>
      </w:r>
      <w:r w:rsidRPr="0050731B">
        <w:tab/>
        <w:t>National Social Security Fund</w:t>
      </w:r>
    </w:p>
    <w:p w14:paraId="0F192EB4" w14:textId="77777777" w:rsidR="0050731B" w:rsidRPr="0050731B" w:rsidRDefault="0050731B" w:rsidP="00A63FB7">
      <w:pPr>
        <w:pStyle w:val="SingleTxtG"/>
      </w:pPr>
      <w:r w:rsidRPr="0050731B">
        <w:t>NUDIPU</w:t>
      </w:r>
      <w:r w:rsidRPr="0050731B">
        <w:tab/>
        <w:t>National Union of Disabled Persons of Uganda</w:t>
      </w:r>
    </w:p>
    <w:p w14:paraId="542175D3" w14:textId="77777777" w:rsidR="0050731B" w:rsidRPr="0050731B" w:rsidRDefault="0050731B" w:rsidP="00A63FB7">
      <w:pPr>
        <w:pStyle w:val="SingleTxtG"/>
      </w:pPr>
      <w:r w:rsidRPr="0050731B">
        <w:t>NUWODU</w:t>
      </w:r>
      <w:r w:rsidRPr="0050731B">
        <w:tab/>
        <w:t>National Union of Women with Disabilities of Uganda</w:t>
      </w:r>
    </w:p>
    <w:p w14:paraId="22B1EF9A" w14:textId="77777777" w:rsidR="0050731B" w:rsidRPr="0050731B" w:rsidRDefault="0050731B" w:rsidP="00A63FB7">
      <w:pPr>
        <w:pStyle w:val="SingleTxtG"/>
      </w:pPr>
      <w:r w:rsidRPr="0050731B">
        <w:t>OHCHR</w:t>
      </w:r>
      <w:r w:rsidRPr="0050731B">
        <w:tab/>
        <w:t>Office of the High Commissioner for Human Rights</w:t>
      </w:r>
    </w:p>
    <w:p w14:paraId="1F41B985" w14:textId="77777777" w:rsidR="0050731B" w:rsidRPr="0050731B" w:rsidRDefault="0050731B" w:rsidP="00A63FB7">
      <w:pPr>
        <w:pStyle w:val="SingleTxtG"/>
      </w:pPr>
      <w:r w:rsidRPr="0050731B">
        <w:t>OPD</w:t>
      </w:r>
      <w:r w:rsidRPr="0050731B">
        <w:tab/>
      </w:r>
      <w:r w:rsidRPr="0050731B">
        <w:tab/>
        <w:t xml:space="preserve">Organizations of Persons with Disabilities </w:t>
      </w:r>
    </w:p>
    <w:p w14:paraId="3776DD3D" w14:textId="77777777" w:rsidR="0050731B" w:rsidRPr="0050731B" w:rsidRDefault="0050731B" w:rsidP="00A63FB7">
      <w:pPr>
        <w:pStyle w:val="SingleTxtG"/>
      </w:pPr>
      <w:r w:rsidRPr="0050731B">
        <w:t xml:space="preserve">OWC </w:t>
      </w:r>
      <w:r w:rsidRPr="0050731B">
        <w:tab/>
      </w:r>
      <w:r w:rsidRPr="0050731B">
        <w:tab/>
        <w:t>Operation Wealth Creation</w:t>
      </w:r>
    </w:p>
    <w:p w14:paraId="6612304B" w14:textId="77777777" w:rsidR="0050731B" w:rsidRPr="0050731B" w:rsidRDefault="0050731B" w:rsidP="00A63FB7">
      <w:pPr>
        <w:pStyle w:val="SingleTxtG"/>
      </w:pPr>
      <w:r w:rsidRPr="0050731B">
        <w:t>PDM</w:t>
      </w:r>
      <w:r w:rsidRPr="0050731B">
        <w:tab/>
      </w:r>
      <w:r w:rsidRPr="0050731B">
        <w:tab/>
        <w:t>Parish Development Model</w:t>
      </w:r>
    </w:p>
    <w:p w14:paraId="62D3A3DB" w14:textId="77777777" w:rsidR="0050731B" w:rsidRPr="0050731B" w:rsidRDefault="0050731B" w:rsidP="00A63FB7">
      <w:pPr>
        <w:pStyle w:val="SingleTxtG"/>
      </w:pPr>
      <w:r w:rsidRPr="0050731B">
        <w:t>PFMA</w:t>
      </w:r>
      <w:r w:rsidRPr="0050731B">
        <w:tab/>
        <w:t xml:space="preserve"> </w:t>
      </w:r>
      <w:r w:rsidRPr="0050731B">
        <w:tab/>
        <w:t>Public Finance Management Act</w:t>
      </w:r>
    </w:p>
    <w:p w14:paraId="6C41F700" w14:textId="77777777" w:rsidR="0050731B" w:rsidRPr="0050731B" w:rsidRDefault="0050731B" w:rsidP="00A63FB7">
      <w:pPr>
        <w:pStyle w:val="SingleTxtG"/>
      </w:pPr>
      <w:r w:rsidRPr="0050731B">
        <w:t xml:space="preserve">PRDP </w:t>
      </w:r>
      <w:r w:rsidRPr="0050731B">
        <w:tab/>
      </w:r>
      <w:r w:rsidRPr="0050731B">
        <w:tab/>
        <w:t xml:space="preserve">Peace, Recovery and Development Plan </w:t>
      </w:r>
    </w:p>
    <w:p w14:paraId="39ADB12A" w14:textId="1622E858" w:rsidR="0050731B" w:rsidRPr="0050731B" w:rsidRDefault="0050731B" w:rsidP="00A63FB7">
      <w:pPr>
        <w:pStyle w:val="SingleTxtG"/>
      </w:pPr>
      <w:r w:rsidRPr="0050731B">
        <w:t>PTC</w:t>
      </w:r>
      <w:r w:rsidR="00A63FB7">
        <w:tab/>
      </w:r>
      <w:r w:rsidR="00A63FB7">
        <w:tab/>
      </w:r>
      <w:r w:rsidRPr="0050731B">
        <w:t>Primary Teachers’ Colleges</w:t>
      </w:r>
    </w:p>
    <w:p w14:paraId="57725CF7" w14:textId="2CBD709A" w:rsidR="0050731B" w:rsidRPr="0050731B" w:rsidRDefault="0050731B" w:rsidP="00A63FB7">
      <w:pPr>
        <w:pStyle w:val="SingleTxtG"/>
      </w:pPr>
      <w:r w:rsidRPr="0050731B">
        <w:t>SAGE</w:t>
      </w:r>
      <w:r w:rsidR="00A63FB7">
        <w:tab/>
      </w:r>
      <w:r w:rsidR="00A63FB7">
        <w:tab/>
      </w:r>
      <w:r w:rsidRPr="0050731B">
        <w:t>Social Assistance Grant for Empowerment</w:t>
      </w:r>
    </w:p>
    <w:p w14:paraId="59655F39" w14:textId="0DFE9B64" w:rsidR="0050731B" w:rsidRPr="0050731B" w:rsidRDefault="0050731B" w:rsidP="00A63FB7">
      <w:pPr>
        <w:pStyle w:val="SingleTxtG"/>
      </w:pPr>
      <w:r w:rsidRPr="0050731B">
        <w:t>SDG</w:t>
      </w:r>
      <w:r w:rsidR="00A63FB7">
        <w:tab/>
      </w:r>
      <w:r w:rsidR="00A63FB7">
        <w:tab/>
      </w:r>
      <w:r w:rsidRPr="0050731B">
        <w:t>Sustainable Development Goals</w:t>
      </w:r>
    </w:p>
    <w:p w14:paraId="2102F257" w14:textId="0A16278F" w:rsidR="0050731B" w:rsidRPr="0050731B" w:rsidRDefault="0050731B" w:rsidP="00A63FB7">
      <w:pPr>
        <w:pStyle w:val="SingleTxtG"/>
      </w:pPr>
      <w:r w:rsidRPr="0050731B">
        <w:t>SESI</w:t>
      </w:r>
      <w:r w:rsidR="00A63FB7">
        <w:tab/>
      </w:r>
      <w:r w:rsidR="00A63FB7">
        <w:tab/>
      </w:r>
      <w:r w:rsidRPr="0050731B">
        <w:t>Social Economic Services Infrastructure</w:t>
      </w:r>
    </w:p>
    <w:p w14:paraId="0917A4E9" w14:textId="2F6681BC" w:rsidR="0050731B" w:rsidRPr="0050731B" w:rsidRDefault="0050731B" w:rsidP="00A63FB7">
      <w:pPr>
        <w:pStyle w:val="SingleTxtG"/>
      </w:pPr>
      <w:r w:rsidRPr="0050731B">
        <w:t>UBOS</w:t>
      </w:r>
      <w:r w:rsidR="00A63FB7">
        <w:tab/>
      </w:r>
      <w:r w:rsidRPr="0050731B">
        <w:tab/>
        <w:t xml:space="preserve">Uganda Bureau of Statistics </w:t>
      </w:r>
    </w:p>
    <w:p w14:paraId="6B1E460D" w14:textId="2FFDB0C6" w:rsidR="0050731B" w:rsidRPr="0050731B" w:rsidRDefault="0050731B" w:rsidP="00A63FB7">
      <w:pPr>
        <w:pStyle w:val="SingleTxtG"/>
      </w:pPr>
      <w:r w:rsidRPr="0050731B">
        <w:t>UCC</w:t>
      </w:r>
      <w:r w:rsidRPr="0050731B">
        <w:tab/>
      </w:r>
      <w:r w:rsidRPr="0050731B">
        <w:tab/>
        <w:t>Uganda Communications Commission</w:t>
      </w:r>
    </w:p>
    <w:p w14:paraId="03723E89" w14:textId="0ED0C267" w:rsidR="0050731B" w:rsidRPr="0050731B" w:rsidRDefault="0050731B" w:rsidP="00A63FB7">
      <w:pPr>
        <w:pStyle w:val="SingleTxtG"/>
      </w:pPr>
      <w:r w:rsidRPr="0050731B">
        <w:t>UHRC</w:t>
      </w:r>
      <w:r w:rsidR="00A63FB7">
        <w:tab/>
      </w:r>
      <w:r w:rsidRPr="0050731B">
        <w:tab/>
        <w:t>Uganda Human Rights Commission</w:t>
      </w:r>
    </w:p>
    <w:p w14:paraId="50D5D121" w14:textId="20A14E59" w:rsidR="0050731B" w:rsidRPr="0050731B" w:rsidRDefault="0050731B" w:rsidP="00A63FB7">
      <w:pPr>
        <w:pStyle w:val="SingleTxtG"/>
      </w:pPr>
      <w:r w:rsidRPr="0050731B">
        <w:t>UNAD</w:t>
      </w:r>
      <w:r w:rsidRPr="0050731B">
        <w:rPr>
          <w:rFonts w:ascii="Cambria" w:hAnsi="Cambria"/>
        </w:rPr>
        <w:tab/>
      </w:r>
      <w:r w:rsidRPr="0050731B">
        <w:t>Uganda National Association of the Deaf</w:t>
      </w:r>
    </w:p>
    <w:p w14:paraId="35C4C424" w14:textId="67477563" w:rsidR="0050731B" w:rsidRPr="0050731B" w:rsidRDefault="0050731B" w:rsidP="00A63FB7">
      <w:pPr>
        <w:pStyle w:val="SingleTxtG"/>
      </w:pPr>
      <w:r w:rsidRPr="0050731B">
        <w:t xml:space="preserve">UNEB   </w:t>
      </w:r>
      <w:r w:rsidRPr="0050731B">
        <w:rPr>
          <w:rFonts w:ascii="Cambria" w:hAnsi="Cambria"/>
        </w:rPr>
        <w:tab/>
      </w:r>
      <w:r w:rsidRPr="0050731B">
        <w:t>Uganda National Examinations Board</w:t>
      </w:r>
    </w:p>
    <w:p w14:paraId="58A57B28" w14:textId="3B6F34A0" w:rsidR="0050731B" w:rsidRPr="0050731B" w:rsidRDefault="0050731B" w:rsidP="00A63FB7">
      <w:pPr>
        <w:pStyle w:val="SingleTxtG"/>
      </w:pPr>
      <w:r w:rsidRPr="0050731B">
        <w:t>UNESCO</w:t>
      </w:r>
      <w:r w:rsidRPr="0050731B">
        <w:rPr>
          <w:rFonts w:ascii="Cambria" w:hAnsi="Cambria"/>
        </w:rPr>
        <w:tab/>
      </w:r>
      <w:bookmarkStart w:id="4" w:name="_Hlk109741150"/>
      <w:r w:rsidRPr="0050731B">
        <w:t>United Nations Educational, Scientific and Cultural Organization</w:t>
      </w:r>
    </w:p>
    <w:bookmarkEnd w:id="4"/>
    <w:p w14:paraId="5F72A4D1" w14:textId="3442B9EA" w:rsidR="0050731B" w:rsidRPr="0050731B" w:rsidRDefault="0050731B" w:rsidP="00A63FB7">
      <w:pPr>
        <w:pStyle w:val="SingleTxtG"/>
      </w:pPr>
      <w:r w:rsidRPr="0050731B">
        <w:t>UNFPA</w:t>
      </w:r>
      <w:r w:rsidRPr="0050731B">
        <w:rPr>
          <w:rFonts w:ascii="Cambria" w:hAnsi="Cambria"/>
        </w:rPr>
        <w:tab/>
      </w:r>
      <w:r w:rsidRPr="0050731B">
        <w:t>United Nations Population Fund</w:t>
      </w:r>
    </w:p>
    <w:p w14:paraId="4C29C65C" w14:textId="77777777" w:rsidR="0050731B" w:rsidRPr="0050731B" w:rsidRDefault="0050731B" w:rsidP="00A63FB7">
      <w:pPr>
        <w:pStyle w:val="SingleTxtG"/>
      </w:pPr>
      <w:r w:rsidRPr="0050731B">
        <w:t xml:space="preserve">UNICEF </w:t>
      </w:r>
      <w:r w:rsidRPr="0050731B">
        <w:rPr>
          <w:rFonts w:ascii="Cambria" w:hAnsi="Cambria"/>
        </w:rPr>
        <w:tab/>
      </w:r>
      <w:bookmarkStart w:id="5" w:name="_Hlk109740928"/>
      <w:r w:rsidRPr="0050731B">
        <w:t>United Nations Children’s Education Fund</w:t>
      </w:r>
    </w:p>
    <w:bookmarkEnd w:id="5"/>
    <w:p w14:paraId="79AB887E" w14:textId="3424A32D" w:rsidR="0050731B" w:rsidRPr="0050731B" w:rsidRDefault="0050731B" w:rsidP="00A63FB7">
      <w:pPr>
        <w:pStyle w:val="SingleTxtG"/>
      </w:pPr>
      <w:r w:rsidRPr="0050731B">
        <w:t>UNITE</w:t>
      </w:r>
      <w:r w:rsidR="00A63FB7">
        <w:tab/>
      </w:r>
      <w:r w:rsidRPr="0050731B">
        <w:t>Uganda National Institute of Teacher Education</w:t>
      </w:r>
    </w:p>
    <w:p w14:paraId="44A03825" w14:textId="3C13538D" w:rsidR="0050731B" w:rsidRPr="0050731B" w:rsidRDefault="0050731B" w:rsidP="00A63FB7">
      <w:pPr>
        <w:pStyle w:val="SingleTxtG"/>
      </w:pPr>
      <w:r w:rsidRPr="0050731B">
        <w:t>UNPRPD</w:t>
      </w:r>
      <w:r w:rsidR="00A63FB7">
        <w:tab/>
      </w:r>
      <w:r w:rsidRPr="0050731B">
        <w:t>United Nations Partnership on the Rights of Persons with Disabilities</w:t>
      </w:r>
    </w:p>
    <w:p w14:paraId="5196AC59" w14:textId="610D0D9B" w:rsidR="0050731B" w:rsidRPr="0050731B" w:rsidRDefault="0050731B" w:rsidP="00A63FB7">
      <w:pPr>
        <w:pStyle w:val="SingleTxtG"/>
      </w:pPr>
      <w:r w:rsidRPr="0050731B">
        <w:t>URSB</w:t>
      </w:r>
      <w:r w:rsidR="00C82B37">
        <w:tab/>
      </w:r>
      <w:r w:rsidR="00C82B37">
        <w:tab/>
      </w:r>
      <w:r w:rsidRPr="0050731B">
        <w:t>Uganda Registration Services Bureau</w:t>
      </w:r>
    </w:p>
    <w:p w14:paraId="1C5EA20F" w14:textId="5B15FAC6" w:rsidR="0050731B" w:rsidRPr="0050731B" w:rsidRDefault="0050731B" w:rsidP="00A63FB7">
      <w:pPr>
        <w:pStyle w:val="SingleTxtG"/>
      </w:pPr>
      <w:r w:rsidRPr="0050731B">
        <w:t>UWEP</w:t>
      </w:r>
      <w:r w:rsidR="00C82B37">
        <w:tab/>
      </w:r>
      <w:r w:rsidR="00C82B37">
        <w:tab/>
      </w:r>
      <w:r w:rsidRPr="0050731B">
        <w:t xml:space="preserve">Uganda Women Entrepreneurship Program </w:t>
      </w:r>
    </w:p>
    <w:p w14:paraId="757BD71D" w14:textId="1568E64E" w:rsidR="0050731B" w:rsidRPr="0050731B" w:rsidRDefault="0050731B" w:rsidP="00A63FB7">
      <w:pPr>
        <w:pStyle w:val="SingleTxtG"/>
      </w:pPr>
      <w:r w:rsidRPr="0050731B">
        <w:t>VHT</w:t>
      </w:r>
      <w:r w:rsidR="00C82B37">
        <w:tab/>
      </w:r>
      <w:r w:rsidR="00C82B37">
        <w:tab/>
      </w:r>
      <w:r w:rsidRPr="0050731B">
        <w:t>Village Health Teams</w:t>
      </w:r>
    </w:p>
    <w:p w14:paraId="2AF8602F" w14:textId="6AC6D603" w:rsidR="0050731B" w:rsidRPr="0050731B" w:rsidRDefault="0050731B" w:rsidP="00A63FB7">
      <w:pPr>
        <w:pStyle w:val="SingleTxtG"/>
      </w:pPr>
      <w:r w:rsidRPr="0050731B">
        <w:t>WCAG</w:t>
      </w:r>
      <w:r w:rsidR="00C82B37">
        <w:tab/>
      </w:r>
      <w:r w:rsidRPr="0050731B">
        <w:t xml:space="preserve">Web Content Accessibility Guidelines </w:t>
      </w:r>
    </w:p>
    <w:p w14:paraId="158EAD3D" w14:textId="569C4F00" w:rsidR="0050731B" w:rsidRPr="0050731B" w:rsidRDefault="0050731B" w:rsidP="00A63FB7">
      <w:pPr>
        <w:pStyle w:val="SingleTxtG"/>
      </w:pPr>
      <w:r w:rsidRPr="0050731B">
        <w:t>YLP</w:t>
      </w:r>
      <w:r w:rsidR="00C82B37">
        <w:tab/>
      </w:r>
      <w:r w:rsidR="00C82B37">
        <w:tab/>
      </w:r>
      <w:r w:rsidRPr="0050731B">
        <w:t>Youth Livelihood Programme</w:t>
      </w:r>
    </w:p>
    <w:p w14:paraId="1D98BF8D" w14:textId="4CCFDFCE" w:rsidR="00C82B37" w:rsidRDefault="00C82B37">
      <w:pPr>
        <w:suppressAutoHyphens w:val="0"/>
        <w:spacing w:after="200" w:line="276" w:lineRule="auto"/>
      </w:pPr>
      <w:r>
        <w:br w:type="page"/>
      </w:r>
    </w:p>
    <w:p w14:paraId="4A5786FE" w14:textId="4A8CAC7A" w:rsidR="0050731B" w:rsidRPr="0050731B" w:rsidRDefault="00C82B37" w:rsidP="00C82B37">
      <w:pPr>
        <w:pStyle w:val="H1G"/>
      </w:pPr>
      <w:bookmarkStart w:id="6" w:name="_Toc120102298"/>
      <w:r>
        <w:tab/>
      </w:r>
      <w:r>
        <w:tab/>
      </w:r>
      <w:bookmarkStart w:id="7" w:name="_Toc133425360"/>
      <w:r w:rsidR="0050731B" w:rsidRPr="0050731B">
        <w:t>Introduction</w:t>
      </w:r>
      <w:bookmarkEnd w:id="6"/>
      <w:bookmarkEnd w:id="7"/>
    </w:p>
    <w:p w14:paraId="047C04FC" w14:textId="77777777" w:rsidR="0050731B" w:rsidRPr="0050731B" w:rsidRDefault="0050731B" w:rsidP="009333A7">
      <w:pPr>
        <w:pStyle w:val="SingleTxtG"/>
        <w:numPr>
          <w:ilvl w:val="0"/>
          <w:numId w:val="25"/>
        </w:numPr>
        <w:ind w:left="1134" w:firstLine="0"/>
        <w:rPr>
          <w:rFonts w:ascii="Cambria" w:hAnsi="Cambria"/>
        </w:rPr>
      </w:pPr>
      <w:r w:rsidRPr="0050731B">
        <w:t xml:space="preserve">In the Concluding observations on the Initial Report of Uganda, the UN Committee on the Rights of Persons with Disabilities requested Uganda to submit </w:t>
      </w:r>
      <w:proofErr w:type="spellStart"/>
      <w:r w:rsidRPr="0050731B">
        <w:t>it’s</w:t>
      </w:r>
      <w:proofErr w:type="spellEnd"/>
      <w:r w:rsidRPr="0050731B">
        <w:t xml:space="preserve"> combined second, third and fourth periodic reports by 25 October 2022.</w:t>
      </w:r>
      <w:r w:rsidRPr="0050731B">
        <w:rPr>
          <w:vertAlign w:val="superscript"/>
        </w:rPr>
        <w:footnoteReference w:id="3"/>
      </w:r>
      <w:r w:rsidRPr="0050731B">
        <w:t xml:space="preserve"> This report presents Uganda’s combined second, third, and fourth periodic reports on the implementation of the Convention on the rights of Persons with Disabilities (CRPD). The report provides comprehensive information on the measures Uganda has taken to address the Committee’s observations and recommendations.  </w:t>
      </w:r>
    </w:p>
    <w:p w14:paraId="08B6A9FF" w14:textId="77777777" w:rsidR="0050731B" w:rsidRPr="0050731B" w:rsidRDefault="0050731B" w:rsidP="009333A7">
      <w:pPr>
        <w:pStyle w:val="SingleTxtG"/>
        <w:numPr>
          <w:ilvl w:val="0"/>
          <w:numId w:val="25"/>
        </w:numPr>
        <w:ind w:left="1134" w:firstLine="0"/>
        <w:rPr>
          <w:rFonts w:ascii="Cambria" w:hAnsi="Cambria"/>
        </w:rPr>
      </w:pPr>
      <w:r w:rsidRPr="0050731B">
        <w:t>The combined periodic report was prepared by Ministry of Gender Labour and Social Development (MGLSD) and National Council for Persons with Disabilities (NCPD) through wide consultations and participation of various stakeholders that include Organisations of Persons with Disabilities (OPDs), Civil Society Organisations (CSOs), Ministries, Departments and Agencies (MDAs), Private sector, Local Governments (LGs) and Academia among others.</w:t>
      </w:r>
    </w:p>
    <w:p w14:paraId="53D524B5" w14:textId="77777777" w:rsidR="0050731B" w:rsidRPr="0050731B" w:rsidRDefault="0050731B" w:rsidP="009333A7">
      <w:pPr>
        <w:pStyle w:val="SingleTxtG"/>
        <w:numPr>
          <w:ilvl w:val="0"/>
          <w:numId w:val="25"/>
        </w:numPr>
        <w:ind w:left="1134" w:firstLine="0"/>
      </w:pPr>
      <w:r w:rsidRPr="0050731B">
        <w:t xml:space="preserve">The information presented in this report was collected using qualitative methodologies through review of existing documents of all mentioned stakeholders above. Key Informant interviews and Focus group discussions were conducted at the national and sub national level with stakeholders consisting of OPDs, CSOs, local government officials, the District Councils for persons with disabilities, District Unions of Persons with Disabilities as well as individual persons with disabilities. Key </w:t>
      </w:r>
      <w:proofErr w:type="gramStart"/>
      <w:r w:rsidRPr="0050731B">
        <w:t>informants</w:t>
      </w:r>
      <w:proofErr w:type="gramEnd"/>
      <w:r w:rsidRPr="0050731B">
        <w:t xml:space="preserve"> interviews were conducted with selected officials at the regional level in MDAs, such as the police, judicial officers, district education officers, district health officers and registrars of the electoral commission. </w:t>
      </w:r>
    </w:p>
    <w:p w14:paraId="12C3E547" w14:textId="77777777" w:rsidR="00C82B37" w:rsidRDefault="00C82B37">
      <w:pPr>
        <w:suppressAutoHyphens w:val="0"/>
        <w:spacing w:after="200" w:line="276" w:lineRule="auto"/>
        <w:rPr>
          <w:rFonts w:eastAsiaTheme="minorHAnsi"/>
        </w:rPr>
      </w:pPr>
      <w:r>
        <w:br w:type="page"/>
      </w:r>
    </w:p>
    <w:p w14:paraId="72CE4367" w14:textId="6FA9233D" w:rsidR="0050731B" w:rsidRPr="0050731B" w:rsidRDefault="008446AA" w:rsidP="008446AA">
      <w:pPr>
        <w:pStyle w:val="HChG"/>
        <w:rPr>
          <w:rFonts w:ascii="Cambria" w:hAnsi="Cambria"/>
        </w:rPr>
      </w:pPr>
      <w:r>
        <w:tab/>
      </w:r>
      <w:r>
        <w:tab/>
      </w:r>
      <w:bookmarkStart w:id="8" w:name="_Toc133425361"/>
      <w:r w:rsidR="0050731B" w:rsidRPr="0050731B">
        <w:t>Below are responses to the committee’s concluding observations and conclusions.</w:t>
      </w:r>
      <w:bookmarkEnd w:id="8"/>
      <w:r w:rsidR="0050731B" w:rsidRPr="0050731B">
        <w:t xml:space="preserve"> </w:t>
      </w:r>
    </w:p>
    <w:p w14:paraId="151D565B" w14:textId="13227471" w:rsidR="0050731B" w:rsidRPr="0050731B" w:rsidRDefault="00962003" w:rsidP="00962003">
      <w:pPr>
        <w:pStyle w:val="HChG"/>
        <w:ind w:left="0" w:firstLine="0"/>
      </w:pPr>
      <w:bookmarkStart w:id="9" w:name="_Toc120102299"/>
      <w:r>
        <w:tab/>
      </w:r>
      <w:bookmarkStart w:id="10" w:name="_Toc133425362"/>
      <w:r w:rsidRPr="00962003">
        <w:t>A.</w:t>
      </w:r>
      <w:r w:rsidRPr="00962003">
        <w:tab/>
      </w:r>
      <w:r w:rsidR="0050731B" w:rsidRPr="00962003">
        <w:t>General Principles</w:t>
      </w:r>
      <w:r w:rsidR="0050731B" w:rsidRPr="0050731B">
        <w:t xml:space="preserve"> and Obligations (Articles 1-4)</w:t>
      </w:r>
      <w:bookmarkEnd w:id="9"/>
      <w:bookmarkEnd w:id="10"/>
    </w:p>
    <w:p w14:paraId="2186A911" w14:textId="77777777" w:rsidR="0050731B" w:rsidRPr="00962003" w:rsidRDefault="0050731B" w:rsidP="00962003">
      <w:pPr>
        <w:pStyle w:val="SingleTxtG"/>
        <w:rPr>
          <w:i/>
          <w:iCs/>
        </w:rPr>
      </w:pPr>
      <w:r w:rsidRPr="00962003">
        <w:rPr>
          <w:i/>
          <w:iCs/>
        </w:rPr>
        <w:t>Cf concluding observation 5</w:t>
      </w:r>
    </w:p>
    <w:p w14:paraId="0ABCA77C" w14:textId="77777777" w:rsidR="0050731B" w:rsidRPr="0050731B" w:rsidRDefault="0050731B" w:rsidP="00303E6C">
      <w:pPr>
        <w:pStyle w:val="SingleTxtG"/>
        <w:numPr>
          <w:ilvl w:val="0"/>
          <w:numId w:val="25"/>
        </w:numPr>
        <w:ind w:left="1134" w:firstLine="0"/>
      </w:pPr>
      <w:r w:rsidRPr="0050731B">
        <w:t xml:space="preserve">In 2020, Uganda amended the Persons with Disabilities Act 2006 to strengthen protections for Persons with Disabilities in Uganda. The definition of disability adopted in the Persons with Disabilities Act, 2020 aligns with the Convention, stating that disability is ‘a substantial functional limitation of a person's daily life activities caused by physical, </w:t>
      </w:r>
      <w:proofErr w:type="gramStart"/>
      <w:r w:rsidRPr="0050731B">
        <w:t>mental</w:t>
      </w:r>
      <w:proofErr w:type="gramEnd"/>
      <w:r w:rsidRPr="0050731B">
        <w:t xml:space="preserve"> or sensory impairment and environment barriers, resulting in limited participation in society on equal basis with others.  </w:t>
      </w:r>
    </w:p>
    <w:p w14:paraId="6ABD34A6" w14:textId="77777777" w:rsidR="0050731B" w:rsidRPr="0050731B" w:rsidRDefault="0050731B" w:rsidP="00303E6C">
      <w:pPr>
        <w:pStyle w:val="SingleTxtG"/>
        <w:numPr>
          <w:ilvl w:val="0"/>
          <w:numId w:val="25"/>
        </w:numPr>
        <w:ind w:left="1134" w:firstLine="0"/>
      </w:pPr>
      <w:r w:rsidRPr="0050731B">
        <w:t xml:space="preserve">Uganda is committed to amending the medical model definition of disability contained in other laws to align with the Persons with Disabilities Act 2020. The definition of disability in the Persons with Disabilities Act, 2020 has been adopted in some laws including the National Social Security Fund Midterm Access (Amendment), 2022. The Mental Treatment Act, 1964 that referred to the care of persons of unsound mind was repealed by the Mental Health (Amendment) Act 2019. The definition of disability under the Employment Act, 2006, is in the process of being amended to correspond to the Persons with Disabilities Act 2020.  </w:t>
      </w:r>
      <w:bookmarkStart w:id="11" w:name="_Hlk34611418"/>
    </w:p>
    <w:p w14:paraId="7799B033" w14:textId="77777777" w:rsidR="0050731B" w:rsidRPr="0050731B" w:rsidRDefault="0050731B" w:rsidP="00303E6C">
      <w:pPr>
        <w:pStyle w:val="SingleTxtG"/>
        <w:numPr>
          <w:ilvl w:val="0"/>
          <w:numId w:val="25"/>
        </w:numPr>
        <w:ind w:left="1134" w:firstLine="0"/>
      </w:pPr>
      <w:r w:rsidRPr="0050731B">
        <w:t xml:space="preserve">Judicial and other bodies are pronouncing themselves on the laws that offend the rights and dignity of Persons with Disabilities. The Constitutional Court of Uganda has outlawed the use of derogatory terms such as idiots and imbeciles in reference to persons with mental disabilities in the Penal Code Act Cap 20. </w:t>
      </w:r>
      <w:bookmarkStart w:id="12" w:name="_Hlk34583758"/>
      <w:r w:rsidRPr="0050731B">
        <w:t xml:space="preserve">This followed a petition </w:t>
      </w:r>
      <w:bookmarkEnd w:id="12"/>
      <w:r w:rsidRPr="0050731B">
        <w:t>to repeal degrading laws towards Persons with Disabilities from the criminal justice system. The term unsound mind used in the Mental Health Act, 1938 to refer to persons with mental disabilities was declared derogatory by the constitutional court.</w:t>
      </w:r>
    </w:p>
    <w:p w14:paraId="318A3106" w14:textId="77777777" w:rsidR="0050731B" w:rsidRPr="00962003" w:rsidRDefault="0050731B" w:rsidP="00962003">
      <w:pPr>
        <w:pStyle w:val="SingleTxtG"/>
        <w:rPr>
          <w:i/>
          <w:iCs/>
        </w:rPr>
      </w:pPr>
      <w:r w:rsidRPr="00962003">
        <w:rPr>
          <w:i/>
          <w:iCs/>
        </w:rPr>
        <w:t>Cf concluding observation 7</w:t>
      </w:r>
    </w:p>
    <w:bookmarkEnd w:id="11"/>
    <w:p w14:paraId="70FB0FDC" w14:textId="77777777" w:rsidR="0050731B" w:rsidRPr="0050731B" w:rsidRDefault="0050731B" w:rsidP="00303E6C">
      <w:pPr>
        <w:pStyle w:val="SingleTxtG"/>
        <w:numPr>
          <w:ilvl w:val="0"/>
          <w:numId w:val="25"/>
        </w:numPr>
        <w:ind w:left="1134" w:firstLine="0"/>
      </w:pPr>
      <w:r w:rsidRPr="0050731B">
        <w:t xml:space="preserve">The Persons with Disabilities Act 2020 establishes the Councils for Persons with Disabilities as the statutory mechanism at the national, district and sub-county levels to coordinate and monitor the implementation of disability policies and programs, and to report on the status of disability. At each level, membership of the councils for Persons with Disabilities is drawn from Government departments, Organisations of Persons with Disabilities (OPDs), parents of persons with disabilities, political representatives of persons with disabilities, the youth, NGOs, persons with disabilities, and professionals.   </w:t>
      </w:r>
    </w:p>
    <w:p w14:paraId="0DF75A1A" w14:textId="77777777" w:rsidR="0050731B" w:rsidRPr="0050731B" w:rsidRDefault="0050731B" w:rsidP="00303E6C">
      <w:pPr>
        <w:pStyle w:val="SingleTxtG"/>
        <w:numPr>
          <w:ilvl w:val="0"/>
          <w:numId w:val="25"/>
        </w:numPr>
        <w:ind w:left="1134" w:firstLine="0"/>
      </w:pPr>
      <w:r w:rsidRPr="0050731B">
        <w:t>The National Councils for Persons with Disabilities (NCPDs) are publicly funded through funds appropriated by the Parliament of Uganda, among other sources. Nevertheless, for NCPD to perform its function comprehensively, there is need to increase funding.</w:t>
      </w:r>
    </w:p>
    <w:p w14:paraId="225DA6AD" w14:textId="77777777" w:rsidR="0050731B" w:rsidRPr="0050731B" w:rsidRDefault="0050731B" w:rsidP="00303E6C">
      <w:pPr>
        <w:pStyle w:val="SingleTxtG"/>
        <w:numPr>
          <w:ilvl w:val="0"/>
          <w:numId w:val="25"/>
        </w:numPr>
        <w:ind w:left="1134" w:firstLine="0"/>
      </w:pPr>
      <w:r w:rsidRPr="0050731B">
        <w:t xml:space="preserve">Government directly consults representatives of OPDs on various disability issues including the ongoing review of the National Policy on Disability, the Persons with Disabilities Act, 2020 and its Regulations and the Global Disability Summit Commitments, 2022. Organisations of Persons with Disabilities were similarly consulted in the process of developing the National Inclusive Education Policy (NIEP). </w:t>
      </w:r>
    </w:p>
    <w:p w14:paraId="2D61130A" w14:textId="77777777" w:rsidR="0050731B" w:rsidRPr="0050731B" w:rsidRDefault="0050731B" w:rsidP="00303E6C">
      <w:pPr>
        <w:pStyle w:val="SingleTxtG"/>
        <w:numPr>
          <w:ilvl w:val="0"/>
          <w:numId w:val="25"/>
        </w:numPr>
        <w:ind w:left="1134" w:firstLine="0"/>
      </w:pPr>
      <w:r w:rsidRPr="0050731B">
        <w:t xml:space="preserve">In 2021, the Ministry of Gender, </w:t>
      </w:r>
      <w:proofErr w:type="gramStart"/>
      <w:r w:rsidRPr="0050731B">
        <w:t>Labour</w:t>
      </w:r>
      <w:proofErr w:type="gramEnd"/>
      <w:r w:rsidRPr="0050731B">
        <w:t xml:space="preserve"> and Social Development (MGLSD) established the National Disability Coordination Committee (DCC), a body that convenes quarterly to deliberate on various disability rights issues and propose policy reforms or programmatic interventions. The DCC is a high-level multi-stakeholder national coordination platform composed of representatives of MDAs, OPDs, UN agencies and civil society. </w:t>
      </w:r>
    </w:p>
    <w:p w14:paraId="09E13299" w14:textId="77777777" w:rsidR="0050731B" w:rsidRPr="0050731B" w:rsidRDefault="0050731B" w:rsidP="00303E6C">
      <w:pPr>
        <w:pStyle w:val="SingleTxtG"/>
        <w:numPr>
          <w:ilvl w:val="0"/>
          <w:numId w:val="25"/>
        </w:numPr>
        <w:ind w:left="1134" w:firstLine="0"/>
      </w:pPr>
      <w:r w:rsidRPr="0050731B">
        <w:t>In pursuant to the affirmative action principle under the Constitution, Persons with Disabilities are represented in public bodies including boards, authorities and commissions parliament, university councils, district service commissions, Uganda Communications Commission (UCC), and the National Building Review Board. At local government level, there are District councils for Persons with Disabilities that include representatives of persons with disabilities at district level and lower local government level. They are responsible for monitoring disability inclusion in District plans and budgets.</w:t>
      </w:r>
    </w:p>
    <w:p w14:paraId="135E95F7" w14:textId="08AEB80D" w:rsidR="0050731B" w:rsidRPr="0050731B" w:rsidRDefault="00962003" w:rsidP="00962003">
      <w:pPr>
        <w:pStyle w:val="HChG"/>
      </w:pPr>
      <w:bookmarkStart w:id="13" w:name="_Toc120102300"/>
      <w:r>
        <w:tab/>
      </w:r>
      <w:bookmarkStart w:id="14" w:name="_Toc133425363"/>
      <w:r w:rsidR="0050731B" w:rsidRPr="0050731B">
        <w:t>B.</w:t>
      </w:r>
      <w:r>
        <w:tab/>
      </w:r>
      <w:r w:rsidR="0050731B" w:rsidRPr="0050731B">
        <w:t>Specific Rights (Articles 5 to 30)</w:t>
      </w:r>
      <w:bookmarkEnd w:id="13"/>
      <w:bookmarkEnd w:id="14"/>
    </w:p>
    <w:p w14:paraId="13BB9209" w14:textId="77777777" w:rsidR="0050731B" w:rsidRPr="00962003" w:rsidRDefault="0050731B" w:rsidP="00962003">
      <w:pPr>
        <w:pStyle w:val="SingleTxtG"/>
        <w:rPr>
          <w:i/>
          <w:iCs/>
        </w:rPr>
      </w:pPr>
      <w:bookmarkStart w:id="15" w:name="_Toc120102301"/>
      <w:r w:rsidRPr="00962003">
        <w:rPr>
          <w:i/>
          <w:iCs/>
        </w:rPr>
        <w:t>Cf concluding observation 9</w:t>
      </w:r>
      <w:bookmarkEnd w:id="15"/>
    </w:p>
    <w:p w14:paraId="6B032BAA" w14:textId="77777777" w:rsidR="0050731B" w:rsidRPr="0050731B" w:rsidRDefault="0050731B" w:rsidP="00303E6C">
      <w:pPr>
        <w:pStyle w:val="SingleTxtG"/>
        <w:numPr>
          <w:ilvl w:val="0"/>
          <w:numId w:val="25"/>
        </w:numPr>
        <w:ind w:left="1134" w:firstLine="0"/>
      </w:pPr>
      <w:r w:rsidRPr="0050731B">
        <w:t xml:space="preserve">Disability-based discrimination is explicitly prohibited in disability specific and general laws of Uganda. The Persons with Disabilities Act 2020 prohibits discrimination </w:t>
      </w:r>
      <w:proofErr w:type="gramStart"/>
      <w:r w:rsidRPr="0050731B">
        <w:t>on the basis of</w:t>
      </w:r>
      <w:proofErr w:type="gramEnd"/>
      <w:r w:rsidRPr="0050731B">
        <w:t xml:space="preserve"> disability in several domains including: health, employment, education, transportation and commercial services. The Children (Amendment) Act 2016 forbids discrimination of any kind </w:t>
      </w:r>
      <w:proofErr w:type="gramStart"/>
      <w:r w:rsidRPr="0050731B">
        <w:t>on the basis of</w:t>
      </w:r>
      <w:proofErr w:type="gramEnd"/>
      <w:r w:rsidRPr="0050731B">
        <w:t xml:space="preserve"> disability (Section 4(1) (j)). Other laws such as the Constitution of the Republic of Uganda, 1995 as amended, the Employment Act 2006, the Building Control Act, 2013, the Equal Opportunities Act, </w:t>
      </w:r>
      <w:proofErr w:type="gramStart"/>
      <w:r w:rsidRPr="0050731B">
        <w:t>2007  and</w:t>
      </w:r>
      <w:proofErr w:type="gramEnd"/>
      <w:r w:rsidRPr="0050731B">
        <w:t xml:space="preserve"> the Universities and other Tertiary Institutions (Amendment) Act, 2001 also forbid disability based discrimination. Remedies exist for violating the laws prohibiting disability-based discrimination. The Persons with Disabilities Act, 2020 creates offences for discrimination against any person based on disability. </w:t>
      </w:r>
    </w:p>
    <w:p w14:paraId="1F25599A" w14:textId="77777777" w:rsidR="0050731B" w:rsidRPr="0050731B" w:rsidRDefault="0050731B" w:rsidP="00303E6C">
      <w:pPr>
        <w:pStyle w:val="SingleTxtG"/>
        <w:numPr>
          <w:ilvl w:val="0"/>
          <w:numId w:val="25"/>
        </w:numPr>
        <w:ind w:left="1134" w:firstLine="0"/>
      </w:pPr>
      <w:r w:rsidRPr="0050731B">
        <w:t xml:space="preserve">The Equal Opportunities Commission (EOC) is mandated by law to monitor and eliminate discrimination against any individual or group of persons on various prohibited grounds including disability. Under the Public Finance Management Act 2015, the Minister of Finance and Economic Development is mandated in consultation with the Equal Opportunities Commission to issue a certificate certifying that the Budget Framework Paper is gender and equity responsive and specifying measures taken to equalise opportunities for women, men, Persons with </w:t>
      </w:r>
      <w:proofErr w:type="gramStart"/>
      <w:r w:rsidRPr="0050731B">
        <w:t>Disabilities</w:t>
      </w:r>
      <w:proofErr w:type="gramEnd"/>
      <w:r w:rsidRPr="0050731B">
        <w:t xml:space="preserve"> and other marginalised groups. This Certificate of Compliance is issued annually.  However, the Disability fraternity is advocating for a separate disability budgeting and compliance mechanism since gender issues are too wide and tend to over shadow disability issues which are equally </w:t>
      </w:r>
      <w:proofErr w:type="gramStart"/>
      <w:r w:rsidRPr="0050731B">
        <w:t>wide,.</w:t>
      </w:r>
      <w:proofErr w:type="gramEnd"/>
      <w:r w:rsidRPr="0050731B">
        <w:t xml:space="preserve"> According to NDP111 2022 disability inclusion midterm review, many institutions are reportedly not complying with the minimum reasonable accommodation standards for meaningful inclusion of Persons with Disabilities.</w:t>
      </w:r>
    </w:p>
    <w:p w14:paraId="35B0E145" w14:textId="77777777" w:rsidR="0050731B" w:rsidRPr="0050731B" w:rsidRDefault="0050731B" w:rsidP="00303E6C">
      <w:pPr>
        <w:pStyle w:val="SingleTxtG"/>
        <w:numPr>
          <w:ilvl w:val="0"/>
          <w:numId w:val="25"/>
        </w:numPr>
        <w:ind w:left="1134" w:firstLine="0"/>
      </w:pPr>
      <w:r w:rsidRPr="0050731B">
        <w:t>To make its work known, the EOC has established a department of education and communication to provide strategies for reaching out to communities and other stakeholders on issues of equal opportunities and mind-set change. The department’s strategies include community dialogues on disability rights, use of mainstream and social media influencers and developing communication packages on disability. The EOC developed Gender and Equity Compacts as part of key process to address the gender and equity capacity gaps of MDAs in the planning and budgeting process. The compacts were designed to enhance gender and equity compliance within various sectors in MDAs. In these compacts, issues of disability were mainstreamed. In addition, the EOC has trained all the 176 local governments and 148 MDAs on gender and equity responsive planning and budgeting. Disability inclusion was central to the training and the representatives of persons with disabilities in the district councils of persons with disabilities were included.</w:t>
      </w:r>
    </w:p>
    <w:p w14:paraId="7CD15BF5" w14:textId="77777777" w:rsidR="0050731B" w:rsidRPr="0050731B" w:rsidRDefault="0050731B" w:rsidP="00303E6C">
      <w:pPr>
        <w:pStyle w:val="SingleTxtG"/>
        <w:numPr>
          <w:ilvl w:val="0"/>
          <w:numId w:val="25"/>
        </w:numPr>
        <w:ind w:left="1134" w:firstLine="0"/>
      </w:pPr>
      <w:r w:rsidRPr="0050731B">
        <w:t>Uganda has adopted the principle of reasonable accommodation in the Persons with Disabilities Act, 2020. This law defines reasonable accommodation as necessary and appropriate modifications and adjustments where needed to ensure that an employee who is a person with a disability can enjoy or exercise all human rights and fundamental freedoms on an equal basis with others and includes tools, equipment, and working environment and where necessary a modified work schedule (S 9(4). The Act requires every employer to provide reasonable accommodation to an employee with disability during interview and job performance</w:t>
      </w:r>
      <w:r w:rsidRPr="0050731B">
        <w:rPr>
          <w:vertAlign w:val="superscript"/>
        </w:rPr>
        <w:footnoteReference w:id="4"/>
      </w:r>
      <w:r w:rsidRPr="0050731B">
        <w:t>. Pursuant to the CRPD, the Persons with Disabilities Act, 2020 goes further to recognize the denial of reasonable accommodation required by an employee with a disability as one of the acts constituting disability-based discrimination</w:t>
      </w:r>
      <w:r w:rsidRPr="0050731B">
        <w:rPr>
          <w:vertAlign w:val="superscript"/>
        </w:rPr>
        <w:footnoteReference w:id="5"/>
      </w:r>
      <w:r w:rsidRPr="0050731B">
        <w:t xml:space="preserve"> in the employment process. An employer who contravenes these provisions commits an offence.</w:t>
      </w:r>
    </w:p>
    <w:p w14:paraId="4F401AA5" w14:textId="1BCB94DB" w:rsidR="0050731B" w:rsidRPr="0050731B" w:rsidRDefault="001176D0" w:rsidP="001176D0">
      <w:pPr>
        <w:pStyle w:val="H1G"/>
      </w:pPr>
      <w:bookmarkStart w:id="16" w:name="_Toc120102302"/>
      <w:r>
        <w:tab/>
      </w:r>
      <w:r>
        <w:tab/>
      </w:r>
      <w:bookmarkStart w:id="17" w:name="_Toc133425364"/>
      <w:r w:rsidR="0050731B" w:rsidRPr="0050731B">
        <w:t>Women with disabilities</w:t>
      </w:r>
      <w:bookmarkEnd w:id="16"/>
      <w:bookmarkEnd w:id="17"/>
    </w:p>
    <w:p w14:paraId="694AFC90" w14:textId="77777777" w:rsidR="0050731B" w:rsidRPr="001176D0" w:rsidRDefault="0050731B" w:rsidP="001176D0">
      <w:pPr>
        <w:pStyle w:val="SingleTxtG"/>
        <w:rPr>
          <w:i/>
          <w:iCs/>
        </w:rPr>
      </w:pPr>
      <w:proofErr w:type="spellStart"/>
      <w:r w:rsidRPr="001176D0">
        <w:rPr>
          <w:i/>
          <w:iCs/>
        </w:rPr>
        <w:t>cf</w:t>
      </w:r>
      <w:proofErr w:type="spellEnd"/>
      <w:r w:rsidRPr="001176D0">
        <w:rPr>
          <w:i/>
          <w:iCs/>
        </w:rPr>
        <w:t xml:space="preserve"> concluding Observation 11</w:t>
      </w:r>
    </w:p>
    <w:p w14:paraId="2163DE5B" w14:textId="77777777" w:rsidR="0050731B" w:rsidRPr="0050731B" w:rsidRDefault="0050731B" w:rsidP="001176D0">
      <w:pPr>
        <w:pStyle w:val="SingleTxtG"/>
        <w:numPr>
          <w:ilvl w:val="0"/>
          <w:numId w:val="25"/>
        </w:numPr>
        <w:ind w:left="1134" w:firstLine="0"/>
      </w:pPr>
      <w:r w:rsidRPr="0050731B">
        <w:t>Uganda is recognized as one of the 41 economies in Sub-Saharan Africa that directly guarantees equal protection for Persons with Disabilities in the Constitution.</w:t>
      </w:r>
      <w:r w:rsidRPr="0050731B">
        <w:rPr>
          <w:vertAlign w:val="superscript"/>
        </w:rPr>
        <w:footnoteReference w:id="6"/>
      </w:r>
      <w:r w:rsidRPr="0050731B">
        <w:t xml:space="preserve"> The Constitution provides for affirmative action for women, including women with disabilities, </w:t>
      </w:r>
      <w:proofErr w:type="gramStart"/>
      <w:r w:rsidRPr="0050731B">
        <w:t>in order to</w:t>
      </w:r>
      <w:proofErr w:type="gramEnd"/>
      <w:r w:rsidRPr="0050731B">
        <w:rPr>
          <w:lang w:val="en-US"/>
        </w:rPr>
        <w:t xml:space="preserve"> redress the imbalances that exist against them (</w:t>
      </w:r>
      <w:r w:rsidRPr="0050731B">
        <w:t>Article 33(5).</w:t>
      </w:r>
      <w:r w:rsidRPr="0050731B">
        <w:rPr>
          <w:lang w:val="en-US"/>
        </w:rPr>
        <w:t xml:space="preserve"> To give effect to the affirmative action, the Constitution establishes the EOC whose function entails among others to monitor and ensure that the policies, </w:t>
      </w:r>
      <w:proofErr w:type="gramStart"/>
      <w:r w:rsidRPr="0050731B">
        <w:rPr>
          <w:lang w:val="en-US"/>
        </w:rPr>
        <w:t>programs</w:t>
      </w:r>
      <w:proofErr w:type="gramEnd"/>
      <w:r w:rsidRPr="0050731B">
        <w:rPr>
          <w:lang w:val="en-US"/>
        </w:rPr>
        <w:t xml:space="preserve"> and plans of both state and non-state organs comply with the affirmative action measures in favor of marginalized groups based on sex, disability or other categories.</w:t>
      </w:r>
      <w:r w:rsidRPr="0050731B">
        <w:rPr>
          <w:vertAlign w:val="superscript"/>
          <w:lang w:val="en-US"/>
        </w:rPr>
        <w:footnoteReference w:id="7"/>
      </w:r>
    </w:p>
    <w:p w14:paraId="73A5C455" w14:textId="77777777" w:rsidR="0050731B" w:rsidRPr="0050731B" w:rsidRDefault="0050731B" w:rsidP="001176D0">
      <w:pPr>
        <w:pStyle w:val="SingleTxtG"/>
        <w:numPr>
          <w:ilvl w:val="0"/>
          <w:numId w:val="25"/>
        </w:numPr>
        <w:ind w:left="1134" w:firstLine="0"/>
      </w:pPr>
      <w:r w:rsidRPr="0050731B">
        <w:rPr>
          <w:lang w:val="en-US"/>
        </w:rPr>
        <w:t xml:space="preserve">In addition to the Constitution, Uganda adopted a specific law and policies that provide for the rights </w:t>
      </w:r>
      <w:r w:rsidRPr="001176D0">
        <w:t>of</w:t>
      </w:r>
      <w:r w:rsidRPr="0050731B">
        <w:rPr>
          <w:lang w:val="en-US"/>
        </w:rPr>
        <w:t xml:space="preserve"> women with disabilities. </w:t>
      </w:r>
      <w:r w:rsidRPr="0050731B">
        <w:t xml:space="preserve">The National Women’s Council (Amendment) Act 2010 provides for the representation of women with disabilities in district and national women councils. The Gender Policy of Uganda 2007 recognizes women with disabilities as one of the groups of women who require special empowerment programmes. Furthermore, the Persons with Disabilities Act, 2020 designates specific membership slots for women with disabilities in the councils of persons with disabilities at all levels.  </w:t>
      </w:r>
    </w:p>
    <w:p w14:paraId="2D616643" w14:textId="77777777" w:rsidR="0050731B" w:rsidRPr="0050731B" w:rsidRDefault="0050731B" w:rsidP="001176D0">
      <w:pPr>
        <w:pStyle w:val="SingleTxtG"/>
        <w:numPr>
          <w:ilvl w:val="0"/>
          <w:numId w:val="25"/>
        </w:numPr>
        <w:ind w:left="1134" w:firstLine="0"/>
      </w:pPr>
      <w:r w:rsidRPr="0050731B">
        <w:t xml:space="preserve">The University and Tertiary institutions (Amendment) Act 2006 provides for affirmative action in the enrolment of girls generally and persons with disabilities in public universities and tertiary institutions. It enjoins the Admission Committee of a Public University to apply affirmative action in favour of marginalised groups </w:t>
      </w:r>
      <w:proofErr w:type="gramStart"/>
      <w:r w:rsidRPr="0050731B">
        <w:t>on the basis of</w:t>
      </w:r>
      <w:proofErr w:type="gramEnd"/>
      <w:r w:rsidRPr="0050731B">
        <w:t xml:space="preserve"> gender and disability. Female learners with disabilities have benefitted from these measures to obtain admission at the higher levels of learning.</w:t>
      </w:r>
    </w:p>
    <w:p w14:paraId="7812ADC6" w14:textId="77777777" w:rsidR="0050731B" w:rsidRPr="0050731B" w:rsidRDefault="0050731B" w:rsidP="001176D0">
      <w:pPr>
        <w:pStyle w:val="SingleTxtG"/>
        <w:numPr>
          <w:ilvl w:val="0"/>
          <w:numId w:val="25"/>
        </w:numPr>
        <w:ind w:left="1134" w:firstLine="0"/>
      </w:pPr>
      <w:r w:rsidRPr="0050731B">
        <w:t>Uganda established the Uganda Women Entrepreneurship Program (UWEP) in 2015.</w:t>
      </w:r>
      <w:r w:rsidRPr="0050731B">
        <w:rPr>
          <w:vertAlign w:val="superscript"/>
        </w:rPr>
        <w:footnoteReference w:id="8"/>
      </w:r>
      <w:r w:rsidRPr="0050731B">
        <w:t xml:space="preserve"> UWEP is an interest free revolving loan targeting women aged 18-79 years. It aims at improving access to financial services for women and equipping them with skills for enterprise growth, value addition and marketing of their products and services. Women with disabilities constitute one of the priority target beneficiaries of UWEP.</w:t>
      </w:r>
      <w:r w:rsidRPr="0050731B">
        <w:rPr>
          <w:vertAlign w:val="superscript"/>
        </w:rPr>
        <w:footnoteReference w:id="9"/>
      </w:r>
      <w:r w:rsidRPr="0050731B">
        <w:t xml:space="preserve"> These programs are helping to improve the social wellbeing of women entrepreneurs including women with disabilities.</w:t>
      </w:r>
    </w:p>
    <w:p w14:paraId="70B9EF7A" w14:textId="77777777" w:rsidR="0050731B" w:rsidRPr="0050731B" w:rsidRDefault="0050731B" w:rsidP="001176D0">
      <w:pPr>
        <w:pStyle w:val="SingleTxtG"/>
        <w:numPr>
          <w:ilvl w:val="0"/>
          <w:numId w:val="25"/>
        </w:numPr>
        <w:ind w:left="1134" w:firstLine="0"/>
      </w:pPr>
      <w:r w:rsidRPr="0050731B">
        <w:t>The promotion and protection of rights of women and girls with disabilities is mainstreamed in Government programs. The Equal Opportunities Commission (EOC) which is charged with monitoring Gender and Equity compliance of MDAs developed tools, guidelines and compacts and conducted trainings to empower MDAs and local governments on the process of mainstreaming gender and equity issues into budgets and plans.</w:t>
      </w:r>
      <w:r w:rsidRPr="0050731B">
        <w:rPr>
          <w:vertAlign w:val="superscript"/>
        </w:rPr>
        <w:footnoteReference w:id="10"/>
      </w:r>
      <w:r w:rsidRPr="0050731B">
        <w:t xml:space="preserve"> </w:t>
      </w:r>
    </w:p>
    <w:p w14:paraId="2E1FE929" w14:textId="77777777" w:rsidR="0050731B" w:rsidRPr="0050731B" w:rsidRDefault="0050731B" w:rsidP="001176D0">
      <w:pPr>
        <w:pStyle w:val="SingleTxtG"/>
        <w:numPr>
          <w:ilvl w:val="0"/>
          <w:numId w:val="25"/>
        </w:numPr>
        <w:ind w:left="1134" w:firstLine="0"/>
      </w:pPr>
      <w:r w:rsidRPr="0050731B">
        <w:rPr>
          <w:lang w:val="en-US"/>
        </w:rPr>
        <w:t xml:space="preserve">Government has been intentional about promoting the rights of women and persons with </w:t>
      </w:r>
      <w:r w:rsidRPr="001176D0">
        <w:t>disabilities</w:t>
      </w:r>
      <w:r w:rsidRPr="0050731B">
        <w:rPr>
          <w:lang w:val="en-US"/>
        </w:rPr>
        <w:t xml:space="preserve"> through gender responsive budgeting, </w:t>
      </w:r>
      <w:proofErr w:type="gramStart"/>
      <w:r w:rsidRPr="0050731B">
        <w:rPr>
          <w:lang w:val="en-US"/>
        </w:rPr>
        <w:t>planning</w:t>
      </w:r>
      <w:proofErr w:type="gramEnd"/>
      <w:r w:rsidRPr="0050731B">
        <w:rPr>
          <w:lang w:val="en-US"/>
        </w:rPr>
        <w:t xml:space="preserve"> and programming.  </w:t>
      </w:r>
      <w:r w:rsidRPr="0050731B">
        <w:t xml:space="preserve">The EOC also developed gender and equity compacts for all the 18 sectors under the National Development Plan (NDP) II and briefs for 20 programmes under the NDP III. Gender and Equity compacts and briefs serve as reference materials on disability inclusion, highlight disability issues and the expected interventions to guide both the actors and service recipients in planning and budgeting and implementation phases. </w:t>
      </w:r>
    </w:p>
    <w:p w14:paraId="5AE28E00" w14:textId="77777777" w:rsidR="0050731B" w:rsidRPr="0050731B" w:rsidRDefault="0050731B" w:rsidP="001176D0">
      <w:pPr>
        <w:pStyle w:val="SingleTxtG"/>
        <w:numPr>
          <w:ilvl w:val="0"/>
          <w:numId w:val="25"/>
        </w:numPr>
        <w:ind w:left="1134" w:firstLine="0"/>
      </w:pPr>
      <w:r w:rsidRPr="0050731B">
        <w:t>Persons with psychosocial and intellectual disabilities including women with disabilities are eligible to access the National special grant. Eligibility criteria of the National special grant was recently revised to target and include families and homes of people with severe disabilities such as intellectual disabilities. In addition, Uganda has introduced a new economic empowerment program called the Parish Development Model (PDM) with emphasis on marginalised groups including Persons with Disabilities.</w:t>
      </w:r>
    </w:p>
    <w:p w14:paraId="406E7DB3" w14:textId="77777777" w:rsidR="0050731B" w:rsidRPr="0050731B" w:rsidRDefault="0050731B" w:rsidP="001176D0">
      <w:pPr>
        <w:pStyle w:val="SingleTxtG"/>
        <w:numPr>
          <w:ilvl w:val="0"/>
          <w:numId w:val="25"/>
        </w:numPr>
        <w:ind w:left="1134" w:firstLine="0"/>
      </w:pPr>
      <w:proofErr w:type="gramStart"/>
      <w:r w:rsidRPr="0050731B">
        <w:t>In spite of</w:t>
      </w:r>
      <w:proofErr w:type="gramEnd"/>
      <w:r w:rsidRPr="0050731B">
        <w:t xml:space="preserve"> the legislative and programmatic strides Uganda has made to empower and promote the rights of women with disabilities, they still face double aged societal, structural, attitudinal and cultural barriers that limit their inclusive participation on an equal level with other women. And men at the communal and in the private sector, the rights of women with disabilities continue to be marginalised. Government continues to utilise legislative, financial, </w:t>
      </w:r>
      <w:proofErr w:type="gramStart"/>
      <w:r w:rsidRPr="0050731B">
        <w:t>educational</w:t>
      </w:r>
      <w:proofErr w:type="gramEnd"/>
      <w:r w:rsidRPr="0050731B">
        <w:t xml:space="preserve"> and social protection measures to target communities and families as well as women with disabilities in order to protect and promote the rights of women with disabilities.</w:t>
      </w:r>
    </w:p>
    <w:p w14:paraId="04105851" w14:textId="580296C3" w:rsidR="0050731B" w:rsidRPr="0050731B" w:rsidRDefault="001176D0" w:rsidP="001176D0">
      <w:pPr>
        <w:pStyle w:val="H1G"/>
      </w:pPr>
      <w:bookmarkStart w:id="18" w:name="_Toc120102303"/>
      <w:r>
        <w:tab/>
      </w:r>
      <w:r>
        <w:tab/>
      </w:r>
      <w:bookmarkStart w:id="19" w:name="_Toc133425365"/>
      <w:r w:rsidR="0050731B" w:rsidRPr="0050731B">
        <w:t>Children with disabilities (Article 7)</w:t>
      </w:r>
      <w:bookmarkEnd w:id="18"/>
      <w:bookmarkEnd w:id="19"/>
    </w:p>
    <w:p w14:paraId="0AC3BCBE" w14:textId="77777777" w:rsidR="0050731B" w:rsidRPr="001176D0" w:rsidRDefault="0050731B" w:rsidP="001176D0">
      <w:pPr>
        <w:pStyle w:val="SingleTxtG"/>
        <w:rPr>
          <w:i/>
          <w:iCs/>
        </w:rPr>
      </w:pPr>
      <w:r w:rsidRPr="001176D0">
        <w:rPr>
          <w:i/>
          <w:iCs/>
        </w:rPr>
        <w:t>Cf Concluding observation 13</w:t>
      </w:r>
    </w:p>
    <w:p w14:paraId="5056C0CF" w14:textId="77777777" w:rsidR="0050731B" w:rsidRPr="0050731B" w:rsidRDefault="0050731B" w:rsidP="001176D0">
      <w:pPr>
        <w:pStyle w:val="SingleTxtG"/>
        <w:numPr>
          <w:ilvl w:val="0"/>
          <w:numId w:val="25"/>
        </w:numPr>
        <w:ind w:left="1134" w:firstLine="0"/>
      </w:pPr>
      <w:r w:rsidRPr="0050731B">
        <w:t>The Children Act Cap. 59 was amended in 2016. The Children (Amendment) Act 2016 has mainstreamed the rights of children with disabilities as well as designated a standalone article on the rights of children with special needs.</w:t>
      </w:r>
      <w:r w:rsidRPr="0050731B">
        <w:rPr>
          <w:rFonts w:ascii="Calibri" w:hAnsi="Calibri" w:cs="SimSun"/>
          <w:color w:val="000000"/>
          <w:kern w:val="24"/>
          <w:sz w:val="36"/>
          <w:szCs w:val="36"/>
        </w:rPr>
        <w:t xml:space="preserve"> </w:t>
      </w:r>
      <w:r w:rsidRPr="0050731B">
        <w:t>The Act gives first funding priority to programs targeting children with special needs and forbids the diversion of such funds. The Act also prohibits discrimination of a child on account of disability or special needs.</w:t>
      </w:r>
    </w:p>
    <w:p w14:paraId="5F6EE7C0" w14:textId="77777777" w:rsidR="0050731B" w:rsidRPr="0050731B" w:rsidRDefault="0050731B" w:rsidP="001176D0">
      <w:pPr>
        <w:pStyle w:val="SingleTxtG"/>
        <w:numPr>
          <w:ilvl w:val="0"/>
          <w:numId w:val="25"/>
        </w:numPr>
        <w:ind w:left="1134" w:firstLine="0"/>
      </w:pPr>
      <w:r w:rsidRPr="0050731B">
        <w:t xml:space="preserve">The Children (Amendment) Act recognises that children with special needs have long-term physical, mental, </w:t>
      </w:r>
      <w:proofErr w:type="gramStart"/>
      <w:r w:rsidRPr="0050731B">
        <w:t>intellectual</w:t>
      </w:r>
      <w:proofErr w:type="gramEnd"/>
      <w:r w:rsidRPr="0050731B">
        <w:t xml:space="preserve"> or sensory impairments which may hinder their full and effective participation in society on an equal basis with others. The National Child Participation Strategy (2017/18 - 2021/22) was developed in consultation with various stakeholders including children with disabilities and highlights some of the barriers to meaningful participation of children arising from power relations between adults and children. The Strategy notes that children with disabilities are particularly vulnerable to exclusion and are often denied their rights. This key strategy underscores the provisions of the Convention on </w:t>
      </w:r>
      <w:proofErr w:type="gramStart"/>
      <w:r w:rsidRPr="0050731B">
        <w:t>the  Rights</w:t>
      </w:r>
      <w:proofErr w:type="gramEnd"/>
      <w:r w:rsidRPr="0050731B">
        <w:t xml:space="preserve"> of Persons with Disabilities (Article 7(3) and emphasises the need for families, communities and national institutions to consult children, including those with disabilities, on matters concerning them and to involve them in key processes relevant to their needs and interests as appropriate.</w:t>
      </w:r>
    </w:p>
    <w:p w14:paraId="3CBD92AF" w14:textId="77777777" w:rsidR="0050731B" w:rsidRPr="0050731B" w:rsidRDefault="0050731B" w:rsidP="001176D0">
      <w:pPr>
        <w:pStyle w:val="SingleTxtG"/>
        <w:numPr>
          <w:ilvl w:val="0"/>
          <w:numId w:val="25"/>
        </w:numPr>
        <w:ind w:left="1134" w:firstLine="0"/>
        <w:rPr>
          <w:lang w:val="en-US"/>
        </w:rPr>
      </w:pPr>
      <w:r w:rsidRPr="0050731B">
        <w:rPr>
          <w:lang w:val="en-US"/>
        </w:rPr>
        <w:t xml:space="preserve">The Disability Inclusive Planning Guidelines, 2018 call for mainstreaming strategies to ensure that persons with disabilities participate on an equal basis in all services or activities intended for the </w:t>
      </w:r>
      <w:r w:rsidRPr="001176D0">
        <w:t>general</w:t>
      </w:r>
      <w:r w:rsidRPr="0050731B">
        <w:rPr>
          <w:lang w:val="en-US"/>
        </w:rPr>
        <w:t xml:space="preserve"> population, including education, health, employment, social services, and the full range of interventions provided by Uganda’s sectors. The National Disability Inclusive Planning Guidelines 2018 provides guidance to promote children with disabilities learning together in the same classroom and participating in the same lessons and recreation in the education system. In the guidelines, the principle of reasonable accommodations is emphasized as being applicable in all procedures, service design and delivery, facilities, or equipment to ensure that children with disabilities have full participation.</w:t>
      </w:r>
    </w:p>
    <w:p w14:paraId="4FB1068F" w14:textId="77777777" w:rsidR="0050731B" w:rsidRPr="0050731B" w:rsidRDefault="0050731B" w:rsidP="001176D0">
      <w:pPr>
        <w:pStyle w:val="SingleTxtG"/>
        <w:numPr>
          <w:ilvl w:val="0"/>
          <w:numId w:val="25"/>
        </w:numPr>
        <w:ind w:left="1134" w:firstLine="0"/>
      </w:pPr>
      <w:r w:rsidRPr="0050731B">
        <w:t xml:space="preserve">Efforts have been made by MDAs and OPDs to consult children with disabilities in matters that concern them. Children with disabilities have been consulted on their rights, policies and access to services and programs. Children with Disabilities also participate in child rights clubs which are inclusive of all children, at district and national level. The Uganda Human Rights Commission has promoted Peace Clubs in schools that also target children with disabilities.  The civil society organisations </w:t>
      </w:r>
      <w:proofErr w:type="gramStart"/>
      <w:r w:rsidRPr="0050731B">
        <w:t>has</w:t>
      </w:r>
      <w:proofErr w:type="gramEnd"/>
      <w:r w:rsidRPr="0050731B">
        <w:t xml:space="preserve"> contributed to government efforts to promote child participation in public matters, for instance the Uganda society for children with Disabilities consults with children at school level bio-annually and annually through child rights clubs. Cheshire services Uganda implements a school going program and children with disabilities are often consulted on their learning needs. </w:t>
      </w:r>
    </w:p>
    <w:p w14:paraId="4CCDBE73" w14:textId="37B6F6AF" w:rsidR="0050731B" w:rsidRPr="0050731B" w:rsidRDefault="0050731B" w:rsidP="001176D0">
      <w:pPr>
        <w:pStyle w:val="SingleTxtG"/>
        <w:numPr>
          <w:ilvl w:val="0"/>
          <w:numId w:val="25"/>
        </w:numPr>
        <w:ind w:left="1134" w:firstLine="0"/>
      </w:pPr>
      <w:r w:rsidRPr="0050731B">
        <w:t>The Persons with Disabilities Act 2020 (S8(8) requires institutions with a learner with a disability to provide sports facilities and equipment specific to the needs of the learner with a disability and put in place measures to facilitate the</w:t>
      </w:r>
      <w:r w:rsidRPr="0050731B">
        <w:rPr>
          <w:rFonts w:ascii="Cambria" w:hAnsi="Cambria"/>
        </w:rPr>
        <w:t>ir</w:t>
      </w:r>
      <w:r w:rsidRPr="0050731B">
        <w:t xml:space="preserve"> participation in sports and other co-curricular activities. </w:t>
      </w:r>
      <w:r w:rsidRPr="0050731B">
        <w:rPr>
          <w:lang w:val="en-US"/>
        </w:rPr>
        <w:t>Children with disabilities are increasingly participating in sporting activities within schools. Such sports include special needs ball games and athletic competitions although challenges are posed by insufficient instructors and inadequate instructional methods and material.</w:t>
      </w:r>
      <w:r w:rsidRPr="0050731B">
        <w:t xml:space="preserve"> CSOs too are playing a role in enhancing recreational activities for children. The Comprehensive Rehabilitation Services in Uganda organizes an </w:t>
      </w:r>
      <w:proofErr w:type="gramStart"/>
      <w:r w:rsidRPr="0050731B">
        <w:t>annual sports events</w:t>
      </w:r>
      <w:proofErr w:type="gramEnd"/>
      <w:r w:rsidRPr="0050731B">
        <w:t xml:space="preserve"> with activities that include sports, wheel dance competition, and painting and photo exhibitions</w:t>
      </w:r>
      <w:r w:rsidRPr="0050731B">
        <w:rPr>
          <w:vertAlign w:val="superscript"/>
        </w:rPr>
        <w:footnoteReference w:id="11"/>
      </w:r>
      <w:r w:rsidRPr="0050731B">
        <w:t>.</w:t>
      </w:r>
      <w:r w:rsidRPr="0050731B">
        <w:rPr>
          <w:color w:val="000000"/>
          <w:spacing w:val="-7"/>
          <w:kern w:val="36"/>
          <w:lang w:val="en-US" w:eastAsia="en-GB"/>
        </w:rPr>
        <w:t xml:space="preserve"> Special Olympics Uganda also has a program titled ‘Athletics for development’ that targets children in schools, including those with intellectual disabilities, to play, develop life skills and have fun.</w:t>
      </w:r>
      <w:r w:rsidRPr="0050731B">
        <w:rPr>
          <w:color w:val="000000"/>
          <w:spacing w:val="-7"/>
          <w:kern w:val="36"/>
          <w:vertAlign w:val="superscript"/>
          <w:lang w:val="en-US" w:eastAsia="en-GB"/>
        </w:rPr>
        <w:footnoteReference w:id="12"/>
      </w:r>
    </w:p>
    <w:p w14:paraId="5F6260B1" w14:textId="77777777" w:rsidR="0050731B" w:rsidRPr="0050731B" w:rsidRDefault="0050731B" w:rsidP="001176D0">
      <w:pPr>
        <w:pStyle w:val="SingleTxtG"/>
        <w:numPr>
          <w:ilvl w:val="0"/>
          <w:numId w:val="25"/>
        </w:numPr>
        <w:ind w:left="1134" w:firstLine="0"/>
      </w:pPr>
      <w:r w:rsidRPr="0050731B">
        <w:t xml:space="preserve">The Department of Children and Youth in the MGLSD conducts annual consultative forums for children, </w:t>
      </w:r>
      <w:r w:rsidRPr="001176D0">
        <w:rPr>
          <w:lang w:val="en-US"/>
        </w:rPr>
        <w:t>including</w:t>
      </w:r>
      <w:r w:rsidRPr="0050731B">
        <w:t xml:space="preserve"> children with disabilities. In addition, the MGLSD developed the Uganda National Parenting Guidelines, 2018</w:t>
      </w:r>
      <w:r w:rsidRPr="0050731B">
        <w:rPr>
          <w:vertAlign w:val="superscript"/>
        </w:rPr>
        <w:footnoteReference w:id="13"/>
      </w:r>
      <w:r w:rsidRPr="0050731B">
        <w:t>. The goal of the Parenting guidelines is to empower parents, the family and community structures to effectively nurture children so that they can realise their full potential. Include a section on the guidance for parents and caregivers of children with special needs. Efforts are being made to include families of children with severe disabilities who may not necessarily be able to represent their views. Associations of parents of children with disabilities have been given a membership slot in the National Disability Coordination Committee to represent the voices of children with severe disabilities. The Community Based Rehabilitation program brings together parents of children with disabilities including those with severe disabilities for training and advice on referral mechanisms and the parents are also encouraged to form support groups within their communities.</w:t>
      </w:r>
    </w:p>
    <w:p w14:paraId="785E187C" w14:textId="77777777" w:rsidR="0050731B" w:rsidRPr="0050731B" w:rsidRDefault="0050731B" w:rsidP="001176D0">
      <w:pPr>
        <w:pStyle w:val="SingleTxtG"/>
        <w:numPr>
          <w:ilvl w:val="0"/>
          <w:numId w:val="25"/>
        </w:numPr>
        <w:ind w:left="1134" w:firstLine="0"/>
      </w:pPr>
      <w:r w:rsidRPr="0050731B">
        <w:t>Kyambogo University, a public university, trained 12 lecturers in tactile communication and developed a training program for community development officers and teachers to support parents and schools to enhance communication with deaf blind children. About 120 people have been trained since 2015. The University also developed an online tactile program that has been running since 2018 for the same target group to enhance coverage.</w:t>
      </w:r>
    </w:p>
    <w:p w14:paraId="066BEBD4" w14:textId="625B7AD5" w:rsidR="0050731B" w:rsidRPr="0050731B" w:rsidRDefault="001176D0" w:rsidP="001176D0">
      <w:pPr>
        <w:pStyle w:val="H1G"/>
      </w:pPr>
      <w:bookmarkStart w:id="20" w:name="_Toc120102304"/>
      <w:r>
        <w:tab/>
      </w:r>
      <w:r>
        <w:tab/>
      </w:r>
      <w:bookmarkStart w:id="21" w:name="_Toc133425366"/>
      <w:r w:rsidR="0050731B" w:rsidRPr="0050731B">
        <w:t>Awareness-raising (Article 8)</w:t>
      </w:r>
      <w:bookmarkEnd w:id="20"/>
      <w:bookmarkEnd w:id="21"/>
    </w:p>
    <w:p w14:paraId="7542E44D" w14:textId="77777777" w:rsidR="0050731B" w:rsidRPr="001176D0" w:rsidRDefault="0050731B" w:rsidP="001176D0">
      <w:pPr>
        <w:pStyle w:val="SingleTxtG"/>
        <w:rPr>
          <w:i/>
          <w:iCs/>
        </w:rPr>
      </w:pPr>
      <w:proofErr w:type="spellStart"/>
      <w:r w:rsidRPr="001176D0">
        <w:rPr>
          <w:i/>
          <w:iCs/>
        </w:rPr>
        <w:t>cf</w:t>
      </w:r>
      <w:proofErr w:type="spellEnd"/>
      <w:r w:rsidRPr="001176D0">
        <w:rPr>
          <w:i/>
          <w:iCs/>
        </w:rPr>
        <w:t xml:space="preserve"> Concluding Observation 15</w:t>
      </w:r>
    </w:p>
    <w:p w14:paraId="223D5855" w14:textId="1DCB96C3" w:rsidR="0050731B" w:rsidRPr="0050731B" w:rsidRDefault="0050731B" w:rsidP="001176D0">
      <w:pPr>
        <w:pStyle w:val="SingleTxtG"/>
        <w:numPr>
          <w:ilvl w:val="0"/>
          <w:numId w:val="25"/>
        </w:numPr>
        <w:ind w:left="1134" w:firstLine="0"/>
      </w:pPr>
      <w:r w:rsidRPr="0050731B">
        <w:t xml:space="preserve">Several awareness raising activities are organized annually to sensitize the public, including adults and children with disabilities and parents of children with disabilities about disability rights. Uganda annually celebrates the International Day of Persons with Disabilities led by the Department of Disability and Elderly Affairs, MGLSD. Awareness raising on various disability rights and key themes is a key component of the annual celebrations. The President of the Republic of Uganda hosted the International Day of Persons with Disabilities in State House. The celebration involved high-level government dignitaries (cabinet ministers, legislators, and diplomats), leaders of OPDs, Persons with Disabilities and development partners. As a precursor to the annual celebration of the International Day of Persons with Disabilities, the MGLSD organizes an annual national disability symposium. For </w:t>
      </w:r>
      <w:proofErr w:type="gramStart"/>
      <w:r w:rsidRPr="0050731B">
        <w:t>instance</w:t>
      </w:r>
      <w:proofErr w:type="gramEnd"/>
      <w:r w:rsidRPr="0050731B">
        <w:t xml:space="preserve"> in 2021, Over 200 participants from across MDAs, local governments, OPDs, the media and various development partners participated, and the event was broadcast live with sign language interpretation, captions on national television and on all social media platforms to ensure national coverage.</w:t>
      </w:r>
    </w:p>
    <w:p w14:paraId="11AC539C" w14:textId="77777777" w:rsidR="0050731B" w:rsidRPr="0050731B" w:rsidRDefault="0050731B" w:rsidP="001176D0">
      <w:pPr>
        <w:pStyle w:val="SingleTxtG"/>
        <w:numPr>
          <w:ilvl w:val="0"/>
          <w:numId w:val="25"/>
        </w:numPr>
        <w:ind w:left="1134" w:firstLine="0"/>
      </w:pPr>
      <w:r w:rsidRPr="0050731B">
        <w:t xml:space="preserve">Other specific disability days are celebrated on an annual basis such as International Albinism Awareness Day on 13 June, Deaf awareness week during the third week of September, White Cane Safety Day on 15 October, World Sight Day on the second Thursday of October and World Mental Health Day on 10 October, among others Awareness raising activities are also conducted in print and electronic media in accessible formats, as well as social media platforms. Some persons with disabilities have formed drama, </w:t>
      </w:r>
      <w:proofErr w:type="gramStart"/>
      <w:r w:rsidRPr="0050731B">
        <w:t>music</w:t>
      </w:r>
      <w:proofErr w:type="gramEnd"/>
      <w:r w:rsidRPr="0050731B">
        <w:t xml:space="preserve"> and dance groups to carry out awareness raising about their disability, such as the Source of the Nile Albinism Association. Additionally, within private sector led initiatives, some persons with disabilities participate in mainstream and disability-specific fashion and beauty shows to raise awareness on disability themes of inclusion.</w:t>
      </w:r>
    </w:p>
    <w:p w14:paraId="1B10348E" w14:textId="77777777" w:rsidR="0050731B" w:rsidRPr="0050731B" w:rsidRDefault="0050731B" w:rsidP="001176D0">
      <w:pPr>
        <w:pStyle w:val="SingleTxtG"/>
        <w:numPr>
          <w:ilvl w:val="0"/>
          <w:numId w:val="25"/>
        </w:numPr>
        <w:ind w:left="1134" w:firstLine="0"/>
      </w:pPr>
      <w:r w:rsidRPr="0050731B">
        <w:t>High level advocacy and awareness sessions have been conducted including the launch of the National Action Plan on Albinism, 2022 by the Minister of State for Disability Affairs. In 2017/18, NCPD and its partners organised an orientation of the newly elected Human Rights Committee of Parliament to raise awareness on the CRPD provisions. From 2012-2015, the UHRC conducted awareness raising with the Judiciary on the rights of persons with mental disabilities and access to justice</w:t>
      </w:r>
      <w:r w:rsidRPr="0050731B">
        <w:rPr>
          <w:vertAlign w:val="superscript"/>
        </w:rPr>
        <w:footnoteReference w:id="14"/>
      </w:r>
      <w:r w:rsidRPr="0050731B">
        <w:t xml:space="preserve">. In 2020, UHRC developed 2000 information, education and communication (IEC) materials on the rights of older persons and persons with disabilities under the theme of ‘What you need to know about the rights of older persons and the rights of persons with </w:t>
      </w:r>
      <w:proofErr w:type="gramStart"/>
      <w:r w:rsidRPr="0050731B">
        <w:t>disabilities’</w:t>
      </w:r>
      <w:proofErr w:type="gramEnd"/>
      <w:r w:rsidRPr="0050731B">
        <w:t>. These IEC materials are meant to increase people’s awareness and knowledge on the human rights of persons with disabilities.</w:t>
      </w:r>
    </w:p>
    <w:p w14:paraId="0863A556" w14:textId="77777777" w:rsidR="0050731B" w:rsidRPr="0050731B" w:rsidRDefault="0050731B" w:rsidP="001176D0">
      <w:pPr>
        <w:pStyle w:val="SingleTxtG"/>
        <w:numPr>
          <w:ilvl w:val="0"/>
          <w:numId w:val="25"/>
        </w:numPr>
        <w:ind w:left="1134" w:firstLine="0"/>
        <w:rPr>
          <w:rFonts w:ascii="Cambria" w:hAnsi="Cambria"/>
        </w:rPr>
      </w:pPr>
      <w:r w:rsidRPr="0050731B">
        <w:t>The MGLSD holds an Annual National Level Disability Inter-Ministerial Forum that brings together MDAs, OPDs, national and international NGOs working in the disability field as well as legislators and the judiciary. This is an awareness and advocacy forum where disability issues are shared to generate funds for disability programming.</w:t>
      </w:r>
    </w:p>
    <w:p w14:paraId="00D6DA41" w14:textId="77777777" w:rsidR="0050731B" w:rsidRPr="0050731B" w:rsidRDefault="0050731B" w:rsidP="001176D0">
      <w:pPr>
        <w:pStyle w:val="SingleTxtG"/>
        <w:numPr>
          <w:ilvl w:val="0"/>
          <w:numId w:val="25"/>
        </w:numPr>
        <w:ind w:left="1134" w:firstLine="0"/>
      </w:pPr>
      <w:r w:rsidRPr="0050731B">
        <w:t xml:space="preserve">The EOC has conducted many training events for Members of Parliament (MPs) in support of their oversight role as provided for in the Public Finance Management Act. Members of the 11th parliament representing four parliamentary committees (Gender, Equal Opportunities, </w:t>
      </w:r>
      <w:proofErr w:type="gramStart"/>
      <w:r w:rsidRPr="0050731B">
        <w:t>Health</w:t>
      </w:r>
      <w:proofErr w:type="gramEnd"/>
      <w:r w:rsidRPr="0050731B">
        <w:t xml:space="preserve"> and Budget) were trained on Gender and Equity issues. Through this training, the MPs were able to cascade the same information to influence legislation and resource allocation on issues of disability.  Furthermore, the EOC developed a Gender and Equity Compact for MPs to support parliament’s oversight role. The consumers of this guide include the MPs on the committees where disability issues are central and other committees since disability cuts across all sectors.  </w:t>
      </w:r>
    </w:p>
    <w:p w14:paraId="3416813D" w14:textId="77777777" w:rsidR="0050731B" w:rsidRPr="0050731B" w:rsidRDefault="0050731B" w:rsidP="001176D0">
      <w:pPr>
        <w:pStyle w:val="SingleTxtG"/>
        <w:numPr>
          <w:ilvl w:val="0"/>
          <w:numId w:val="25"/>
        </w:numPr>
        <w:ind w:left="1134" w:firstLine="0"/>
      </w:pPr>
      <w:r w:rsidRPr="0050731B">
        <w:t>A joint stakeholder team comprising the National Union of Disabled Persons of Uganda (NUDIPU), the EOC, UHRC and the NCPD organized meetings with MDAs to brief them about the CRPD concluding observations and recommendations immediately after receiving the recommendations in 2016. The joint team also met and briefed the Human Rights Committee of Parliament in the same year. The team organized annual meetings with MDAs to fast-track the implementation of the concluding observations and recommendations.</w:t>
      </w:r>
    </w:p>
    <w:p w14:paraId="74732587" w14:textId="77777777" w:rsidR="0050731B" w:rsidRPr="0050731B" w:rsidRDefault="0050731B" w:rsidP="001176D0">
      <w:pPr>
        <w:pStyle w:val="SingleTxtG"/>
        <w:numPr>
          <w:ilvl w:val="0"/>
          <w:numId w:val="25"/>
        </w:numPr>
        <w:ind w:left="1134" w:firstLine="0"/>
      </w:pPr>
      <w:r w:rsidRPr="0050731B">
        <w:t xml:space="preserve">One of Uganda’s commitments during the second Global Disability Summit 2022 is to disseminate various disability laws. Among those laws, some have been disseminated in braille, large </w:t>
      </w:r>
      <w:proofErr w:type="gramStart"/>
      <w:r w:rsidRPr="0050731B">
        <w:t>print</w:t>
      </w:r>
      <w:proofErr w:type="gramEnd"/>
      <w:r w:rsidRPr="0050731B">
        <w:t xml:space="preserve"> and easy read.  The National Council for Persons with Disabilities has developed awareness raising messages on participation of persons with disabilities in livelihood programs, participation in elections and rights protection in seven local languages and disseminated them to the public through radio jingles, </w:t>
      </w:r>
      <w:proofErr w:type="gramStart"/>
      <w:r w:rsidRPr="0050731B">
        <w:t>radio</w:t>
      </w:r>
      <w:proofErr w:type="gramEnd"/>
      <w:r w:rsidRPr="0050731B">
        <w:t xml:space="preserve"> and television talk shows among others. The NCPD has conducted awareness raising trainings in over 50 local governments on the rights of persons with disabilities. The Government pledged to disseminate the Persons with Disabilities Act, 2020.</w:t>
      </w:r>
      <w:r w:rsidRPr="0050731B">
        <w:rPr>
          <w:vertAlign w:val="superscript"/>
        </w:rPr>
        <w:footnoteReference w:id="15"/>
      </w:r>
      <w:r w:rsidRPr="0050731B">
        <w:t>, fast track the adoption of the revised National Policy on Disability.</w:t>
      </w:r>
    </w:p>
    <w:p w14:paraId="6E5C38CF" w14:textId="77777777" w:rsidR="0050731B" w:rsidRPr="0050731B" w:rsidRDefault="0050731B" w:rsidP="001176D0">
      <w:pPr>
        <w:pStyle w:val="SingleTxtG"/>
        <w:numPr>
          <w:ilvl w:val="0"/>
          <w:numId w:val="25"/>
        </w:numPr>
        <w:ind w:left="1134" w:firstLine="0"/>
      </w:pPr>
      <w:r w:rsidRPr="0050731B">
        <w:t xml:space="preserve">In December 2021, the Department of Special Needs Education, Ministry of Education &amp; Sports (MOES), in partnership with Norwegian Association of the Disabled, OPDs and several education actors organized the first annual symposium on inclusive education. Symposium is intended to provide a national platform for stakeholder meaningful engagement to reflect on inclusive education policy and practice </w:t>
      </w:r>
      <w:proofErr w:type="gramStart"/>
      <w:r w:rsidRPr="0050731B">
        <w:t>in light of</w:t>
      </w:r>
      <w:proofErr w:type="gramEnd"/>
      <w:r w:rsidRPr="0050731B">
        <w:t xml:space="preserve"> the CRPD obligations and SDG and Global Disability Summit commitments</w:t>
      </w:r>
      <w:r w:rsidRPr="0050731B">
        <w:rPr>
          <w:vertAlign w:val="superscript"/>
        </w:rPr>
        <w:footnoteReference w:id="16"/>
      </w:r>
      <w:r w:rsidRPr="0050731B">
        <w:rPr>
          <w:vertAlign w:val="superscript"/>
        </w:rPr>
        <w:t>.</w:t>
      </w:r>
    </w:p>
    <w:p w14:paraId="056A4336" w14:textId="77777777" w:rsidR="0050731B" w:rsidRPr="0050731B" w:rsidRDefault="0050731B" w:rsidP="001176D0">
      <w:pPr>
        <w:pStyle w:val="SingleTxtG"/>
        <w:numPr>
          <w:ilvl w:val="0"/>
          <w:numId w:val="25"/>
        </w:numPr>
        <w:ind w:left="1134" w:firstLine="0"/>
      </w:pPr>
      <w:r w:rsidRPr="0050731B">
        <w:t xml:space="preserve">The MGLSD issued a directive to all local government districts to designate a focal point officer for persons with disabilities at district level. All the local government districts have complied and appointed focal point persons for disability. One of the functions of the focal point officers is to rely information on disability inclusion in all government programs at District and lower local governments. </w:t>
      </w:r>
    </w:p>
    <w:p w14:paraId="3A07547C" w14:textId="77777777" w:rsidR="0050731B" w:rsidRPr="0050731B" w:rsidRDefault="0050731B" w:rsidP="001176D0">
      <w:pPr>
        <w:pStyle w:val="SingleTxtG"/>
        <w:numPr>
          <w:ilvl w:val="0"/>
          <w:numId w:val="25"/>
        </w:numPr>
        <w:ind w:left="1134" w:firstLine="0"/>
      </w:pPr>
      <w:r w:rsidRPr="0050731B">
        <w:t xml:space="preserve">The Uganda Human Rights Commission (UHRC) with support from the Office of the High Commissioner for Human Rights (OHCHR) trained MDAs on human rights indicators and the human </w:t>
      </w:r>
      <w:proofErr w:type="gramStart"/>
      <w:r w:rsidRPr="0050731B">
        <w:t>rights based</w:t>
      </w:r>
      <w:proofErr w:type="gramEnd"/>
      <w:r w:rsidRPr="0050731B">
        <w:t xml:space="preserve"> approach to data in March 2018. Following this training, in June 2019, the Office of the Prime Minister (OPM), National Planning Authority (NPA) and the Uganda Bureau of Statistics (UBOS) formally entered a Memorandum of Understanding (MoU) with the UHRC. The MoU among other things sets out a framework to help in developing and using statistical information to inform implementation and assessment of national policies and programmes.  This cooperation between the four entities is vital for collecting and analysing disability inclusive data within a human </w:t>
      </w:r>
      <w:proofErr w:type="gramStart"/>
      <w:r w:rsidRPr="0050731B">
        <w:t>rights based</w:t>
      </w:r>
      <w:proofErr w:type="gramEnd"/>
      <w:r w:rsidRPr="0050731B">
        <w:t xml:space="preserve"> approach.</w:t>
      </w:r>
    </w:p>
    <w:p w14:paraId="43682F02" w14:textId="51B97E59" w:rsidR="0050731B" w:rsidRPr="0050731B" w:rsidRDefault="001176D0" w:rsidP="001176D0">
      <w:pPr>
        <w:pStyle w:val="H1G"/>
      </w:pPr>
      <w:bookmarkStart w:id="22" w:name="_Toc120102305"/>
      <w:r>
        <w:tab/>
      </w:r>
      <w:r>
        <w:tab/>
      </w:r>
      <w:bookmarkStart w:id="23" w:name="_Toc133425367"/>
      <w:r w:rsidR="0050731B" w:rsidRPr="0050731B">
        <w:t>Accessibility (Article 9)</w:t>
      </w:r>
      <w:bookmarkEnd w:id="22"/>
      <w:bookmarkEnd w:id="23"/>
    </w:p>
    <w:p w14:paraId="4D044AB7" w14:textId="77777777" w:rsidR="0050731B" w:rsidRPr="001176D0" w:rsidRDefault="0050731B" w:rsidP="001176D0">
      <w:pPr>
        <w:pStyle w:val="SingleTxtG"/>
        <w:rPr>
          <w:i/>
          <w:iCs/>
        </w:rPr>
      </w:pPr>
      <w:r w:rsidRPr="001176D0">
        <w:rPr>
          <w:i/>
          <w:iCs/>
        </w:rPr>
        <w:t>Cf Concluding observation 17</w:t>
      </w:r>
    </w:p>
    <w:p w14:paraId="4D3576EA" w14:textId="77777777" w:rsidR="0050731B" w:rsidRPr="0050731B" w:rsidRDefault="0050731B" w:rsidP="001176D0">
      <w:pPr>
        <w:pStyle w:val="SingleTxtG"/>
        <w:numPr>
          <w:ilvl w:val="0"/>
          <w:numId w:val="25"/>
        </w:numPr>
        <w:ind w:left="1134" w:firstLine="0"/>
      </w:pPr>
      <w:r w:rsidRPr="0050731B">
        <w:t xml:space="preserve">Uganda has adopted a robust legal, policy and regulatory framework to ensure the accessibility of the built environment, public transportation, and information for persons with disabilities. For example, the Persons with Disabilities Act, 2020 prohibits any person owning or in charge of public transport from refusing to transport a person with a disability. Section 132 of the Uganda Traffic and Road Safety Act of 1998 provides for the use of bells, alarms, and direction indicators to enable persons with disabilities to access roads, </w:t>
      </w:r>
      <w:proofErr w:type="gramStart"/>
      <w:r w:rsidRPr="0050731B">
        <w:t>railways</w:t>
      </w:r>
      <w:proofErr w:type="gramEnd"/>
      <w:r w:rsidRPr="0050731B">
        <w:t xml:space="preserve"> and airports. Other important standards include the Non-motorised Transport Manual, </w:t>
      </w:r>
      <w:proofErr w:type="gramStart"/>
      <w:r w:rsidRPr="0050731B">
        <w:t>2020,  The</w:t>
      </w:r>
      <w:proofErr w:type="gramEnd"/>
      <w:r w:rsidRPr="0050731B">
        <w:t xml:space="preserve"> National Building (Structural Design) Code, 2019, the ICT for Disability Policy, 2017 and the Non-Motorised Transport Policy.</w:t>
      </w:r>
    </w:p>
    <w:p w14:paraId="3CAD78DF" w14:textId="77777777" w:rsidR="0050731B" w:rsidRPr="0050731B" w:rsidRDefault="0050731B" w:rsidP="001176D0">
      <w:pPr>
        <w:pStyle w:val="SingleTxtG"/>
        <w:numPr>
          <w:ilvl w:val="0"/>
          <w:numId w:val="25"/>
        </w:numPr>
        <w:ind w:left="1134" w:firstLine="0"/>
      </w:pPr>
      <w:r w:rsidRPr="0050731B">
        <w:t xml:space="preserve">The Government developed Mandatory National Accessibility Standards in partnership with the Uganda National Action for Persons with Physical Disabilities (UNAPD) </w:t>
      </w:r>
      <w:proofErr w:type="gramStart"/>
      <w:r w:rsidRPr="0050731B">
        <w:t>and also</w:t>
      </w:r>
      <w:proofErr w:type="gramEnd"/>
      <w:r w:rsidRPr="0050731B">
        <w:t xml:space="preserve"> has in place the National Accessibility Standards, 2010. The standards have been adopted by the Architecture Society to act as a practical guide to stakeholders in creating a barrier free environment. In recognition of Uganda’s efforts, in 2014 the United Nations, under the Zero Project awarded Uganda’s Accessibility Standards under the title ‘The Innovative Policy 2014’ for being an important start in enforcing an accessible environment for all persons, including persons with disabilities</w:t>
      </w:r>
      <w:r w:rsidRPr="0050731B">
        <w:rPr>
          <w:vertAlign w:val="superscript"/>
        </w:rPr>
        <w:footnoteReference w:id="17"/>
      </w:r>
      <w:r w:rsidRPr="0050731B">
        <w:rPr>
          <w:vertAlign w:val="superscript"/>
        </w:rPr>
        <w:t xml:space="preserve">. </w:t>
      </w:r>
    </w:p>
    <w:p w14:paraId="154FDAD9" w14:textId="77777777" w:rsidR="0050731B" w:rsidRPr="0050731B" w:rsidRDefault="0050731B" w:rsidP="001176D0">
      <w:pPr>
        <w:pStyle w:val="SingleTxtG"/>
        <w:numPr>
          <w:ilvl w:val="0"/>
          <w:numId w:val="25"/>
        </w:numPr>
        <w:ind w:left="1134" w:firstLine="0"/>
      </w:pPr>
      <w:r w:rsidRPr="0050731B">
        <w:t>The Persons with Disabilities Act, 2020 requires an owner or a person in charge of a television station to provide or cause to be provided sign language insets in all newscasts and for government to provide all public information such as government documents and publications in braille (and other accessible formats). To promote access to information and inclusivity, the Uganda Communication Commission (UCC) Act, 2013 provides for representation of a persons with disabilities on its Board. UCC has developed guidelines to enable television access for persons with disabilities.</w:t>
      </w:r>
      <w:r w:rsidRPr="0050731B">
        <w:rPr>
          <w:vertAlign w:val="superscript"/>
        </w:rPr>
        <w:footnoteReference w:id="18"/>
      </w:r>
      <w:r w:rsidRPr="0050731B">
        <w:t xml:space="preserve">In May 2012, UCC) issued a directive to all Television broadcasters to provide sign language translation or subtitles to promote access to information for persons with hearing impairments and several media companies </w:t>
      </w:r>
      <w:proofErr w:type="gramStart"/>
      <w:r w:rsidRPr="0050731B">
        <w:t>are in compliance with</w:t>
      </w:r>
      <w:proofErr w:type="gramEnd"/>
      <w:r w:rsidRPr="0050731B">
        <w:t xml:space="preserve"> this requirement.  Signs TV in Uganda is an online TV broadcasting entirely in sign language to include the deaf.</w:t>
      </w:r>
      <w:r w:rsidRPr="0050731B">
        <w:rPr>
          <w:vertAlign w:val="superscript"/>
        </w:rPr>
        <w:footnoteReference w:id="19"/>
      </w:r>
      <w:r w:rsidRPr="0050731B">
        <w:t xml:space="preserve"> </w:t>
      </w:r>
    </w:p>
    <w:p w14:paraId="06044FAD" w14:textId="77777777" w:rsidR="0050731B" w:rsidRPr="0050731B" w:rsidRDefault="0050731B" w:rsidP="001176D0">
      <w:pPr>
        <w:pStyle w:val="SingleTxtG"/>
        <w:numPr>
          <w:ilvl w:val="0"/>
          <w:numId w:val="25"/>
        </w:numPr>
        <w:ind w:left="1134" w:firstLine="0"/>
      </w:pPr>
      <w:r w:rsidRPr="0050731B">
        <w:t xml:space="preserve">One of the statutory functions of UCC is to stimulate research in the development and use of new communications techniques and technologies, including those which promote accessible communications services. In 2018, the UCC conducted a national level study aimed at collecting and analysing data on access and usage of ICTs by persons with disabilities in Uganda. The primary findings from the study revealed lower access to ICTs among persons with disabilities than persons without disabilities. Except for radio (70.1%) and mobile phone (69.4%), the use of laptops (3.9%), desktop computers (1%) Internet access (15%), and possession of a bank account (14%) were very low. Access to mobile money services was lower among persons with disabilities (33%) than the national average (55%). The study findings </w:t>
      </w:r>
      <w:proofErr w:type="gramStart"/>
      <w:r w:rsidRPr="0050731B">
        <w:t>has</w:t>
      </w:r>
      <w:proofErr w:type="gramEnd"/>
      <w:r w:rsidRPr="0050731B">
        <w:t xml:space="preserve"> informed decision making on how to improve ICTs access by persons with disabilities</w:t>
      </w:r>
      <w:r w:rsidRPr="0050731B">
        <w:rPr>
          <w:vertAlign w:val="superscript"/>
        </w:rPr>
        <w:footnoteReference w:id="20"/>
      </w:r>
      <w:r w:rsidRPr="0050731B">
        <w:t>.</w:t>
      </w:r>
    </w:p>
    <w:p w14:paraId="0ED82ED5" w14:textId="77777777" w:rsidR="0050731B" w:rsidRPr="0050731B" w:rsidRDefault="0050731B" w:rsidP="001176D0">
      <w:pPr>
        <w:pStyle w:val="SingleTxtG"/>
        <w:numPr>
          <w:ilvl w:val="0"/>
          <w:numId w:val="25"/>
        </w:numPr>
        <w:ind w:left="1134" w:firstLine="0"/>
      </w:pPr>
      <w:r w:rsidRPr="0050731B">
        <w:t>UCC has draft</w:t>
      </w:r>
      <w:r w:rsidRPr="0050731B">
        <w:rPr>
          <w:rFonts w:ascii="Cambria" w:hAnsi="Cambria"/>
        </w:rPr>
        <w:t>ed</w:t>
      </w:r>
      <w:r w:rsidRPr="0050731B">
        <w:t xml:space="preserve"> guidelines for enabling television access for Persons with Disabilities in Uganda to</w:t>
      </w:r>
      <w:r w:rsidRPr="0050731B">
        <w:rPr>
          <w:bCs/>
          <w:color w:val="626262"/>
          <w:bdr w:val="none" w:sz="0" w:space="0" w:color="auto" w:frame="1"/>
        </w:rPr>
        <w:t xml:space="preserve"> </w:t>
      </w:r>
      <w:r w:rsidRPr="0050731B">
        <w:t xml:space="preserve">make it mandatory to provide sign language or subtitles for the benefit of persons with disabilities in newscasts and in live telecasts of national events as provided for under the Persons with the Disabilities Act. Access to television may be offered to persons with disabilities (hearing impaired viewers) in three distinct forms, namely: Sign language interpreting, </w:t>
      </w:r>
      <w:proofErr w:type="gramStart"/>
      <w:r w:rsidRPr="0050731B">
        <w:t>Captioning</w:t>
      </w:r>
      <w:proofErr w:type="gramEnd"/>
      <w:r w:rsidRPr="0050731B">
        <w:t xml:space="preserve"> or subtitling and Audio Description.</w:t>
      </w:r>
      <w:r w:rsidRPr="0050731B">
        <w:rPr>
          <w:vertAlign w:val="superscript"/>
        </w:rPr>
        <w:footnoteReference w:id="21"/>
      </w:r>
    </w:p>
    <w:p w14:paraId="2FD38CD9" w14:textId="22A1A33E" w:rsidR="0050731B" w:rsidRPr="0050731B" w:rsidRDefault="0050731B" w:rsidP="001176D0">
      <w:pPr>
        <w:pStyle w:val="SingleTxtG"/>
        <w:numPr>
          <w:ilvl w:val="0"/>
          <w:numId w:val="25"/>
        </w:numPr>
        <w:ind w:left="1134" w:firstLine="0"/>
      </w:pPr>
      <w:r w:rsidRPr="0050731B">
        <w:t>Mbarara University of Science and Technology (MUST) is innovating an application to support communication and access to health services by the deaf community in Uganda. The</w:t>
      </w:r>
      <w:r w:rsidRPr="0050731B">
        <w:rPr>
          <w:shd w:val="clear" w:color="auto" w:fill="FFFFFF"/>
        </w:rPr>
        <w:t xml:space="preserve"> </w:t>
      </w:r>
      <w:proofErr w:type="spellStart"/>
      <w:r w:rsidRPr="0050731B">
        <w:rPr>
          <w:shd w:val="clear" w:color="auto" w:fill="FFFFFF"/>
        </w:rPr>
        <w:t>MobiCare</w:t>
      </w:r>
      <w:proofErr w:type="spellEnd"/>
      <w:r w:rsidRPr="0050731B">
        <w:rPr>
          <w:shd w:val="clear" w:color="auto" w:fill="FFFFFF"/>
        </w:rPr>
        <w:t xml:space="preserve"> app</w:t>
      </w:r>
      <w:r w:rsidRPr="0050731B">
        <w:t xml:space="preserve"> is in final stages to completion and launch for utilisation. </w:t>
      </w:r>
      <w:proofErr w:type="spellStart"/>
      <w:r w:rsidRPr="0050731B">
        <w:rPr>
          <w:shd w:val="clear" w:color="auto" w:fill="FFFFFF"/>
        </w:rPr>
        <w:t>Mobicare</w:t>
      </w:r>
      <w:proofErr w:type="spellEnd"/>
      <w:r w:rsidRPr="0050731B">
        <w:rPr>
          <w:shd w:val="clear" w:color="auto" w:fill="FFFFFF"/>
        </w:rPr>
        <w:t xml:space="preserve"> is a health mobile application that links patients to the right doctors for appropriate consultation and treatment through a convenient appointment scheduling system. The app has so far been deployed in six health facilities in Mbarara district, Western Uganda with about 1000 patients and over 70 doctors registered on the platform.</w:t>
      </w:r>
      <w:r w:rsidRPr="0050731B">
        <w:rPr>
          <w:shd w:val="clear" w:color="auto" w:fill="FFFFFF"/>
          <w:vertAlign w:val="superscript"/>
        </w:rPr>
        <w:footnoteReference w:id="22"/>
      </w:r>
    </w:p>
    <w:p w14:paraId="6677E53D" w14:textId="77777777" w:rsidR="0050731B" w:rsidRPr="0050731B" w:rsidRDefault="0050731B" w:rsidP="001176D0">
      <w:pPr>
        <w:pStyle w:val="SingleTxtG"/>
        <w:numPr>
          <w:ilvl w:val="0"/>
          <w:numId w:val="25"/>
        </w:numPr>
        <w:ind w:left="1134" w:firstLine="0"/>
      </w:pPr>
      <w:r w:rsidRPr="0050731B">
        <w:t xml:space="preserve">Although a national accessibility action plan is yet to be developed, there are adequate remedies and sanction mechanisms against noncompliance with accessibility standards, including denial </w:t>
      </w:r>
      <w:r w:rsidRPr="001176D0">
        <w:rPr>
          <w:shd w:val="clear" w:color="auto" w:fill="FFFFFF"/>
        </w:rPr>
        <w:t>of</w:t>
      </w:r>
      <w:r w:rsidRPr="0050731B">
        <w:t xml:space="preserve"> a building permit and stopping a building operation (Building Control Act, 2013) as well as fines and/or imprisonment as stipulated in the Building Control Act, 2013 and the Persons with Disabilities Act, 2020. </w:t>
      </w:r>
    </w:p>
    <w:p w14:paraId="0E27A8AB" w14:textId="77777777" w:rsidR="0050731B" w:rsidRPr="0050731B" w:rsidRDefault="0050731B" w:rsidP="001176D0">
      <w:pPr>
        <w:pStyle w:val="SingleTxtG"/>
        <w:numPr>
          <w:ilvl w:val="0"/>
          <w:numId w:val="25"/>
        </w:numPr>
        <w:ind w:left="1134" w:firstLine="0"/>
      </w:pPr>
      <w:r w:rsidRPr="0050731B">
        <w:t>The government established the National Building Review Board and District Building Control Committees with a representative of Persons with Disabilities to inspect and monitor all buildings and construction sites to ensure they are accessible to persons with disabilities</w:t>
      </w:r>
      <w:r w:rsidRPr="0050731B">
        <w:rPr>
          <w:vertAlign w:val="superscript"/>
        </w:rPr>
        <w:footnoteReference w:id="23"/>
      </w:r>
      <w:r w:rsidRPr="0050731B">
        <w:t xml:space="preserve">. The law requires an owner or a person in charge of a building to which the public is allowed access to provide appropriate access for persons with disabilities to the building. The role of the National Building Review Board is to ensure that the design and construction of buildings and utilities to which the public is allowed access also caters to persons with disabilities.  The Building Control Committee can issue an order to stop the operation of a public building that does not provide for access for persons with disabilities as provided for in the accessibility standards. At the local government level, the Building Control Act, 2013 mandates the District Service Commission (DSC) to appoint a Building Control Officer whose duty is to monitor and inspect the design, construction, demolition of any building within their jurisdiction, and report to the National Building Review Board. </w:t>
      </w:r>
    </w:p>
    <w:p w14:paraId="656184AF" w14:textId="77777777" w:rsidR="0050731B" w:rsidRPr="0050731B" w:rsidRDefault="0050731B" w:rsidP="002A18C2">
      <w:pPr>
        <w:pStyle w:val="SingleTxtG"/>
        <w:numPr>
          <w:ilvl w:val="0"/>
          <w:numId w:val="25"/>
        </w:numPr>
        <w:ind w:left="1134" w:firstLine="0"/>
        <w:rPr>
          <w:color w:val="000000"/>
        </w:rPr>
      </w:pPr>
      <w:r w:rsidRPr="0050731B">
        <w:t xml:space="preserve">The Persons with Disabilities Act 2020 requires Government to promote the use of assistive devices and technology and the provision of public information in braille and other accessible formats. The Government of Uganda is promoting usage of assistive and adaptable technology in partnership with OPDs. For instance, UCC is supporting National Union of Women with Disabilities (NUWODU) and National Union of Persons with Disabilities in Uganda (NUDIPU) to train Persons with disabilities in access and usage of </w:t>
      </w:r>
      <w:proofErr w:type="spellStart"/>
      <w:r w:rsidRPr="0050731B">
        <w:t>ICTs.UCC</w:t>
      </w:r>
      <w:proofErr w:type="spellEnd"/>
      <w:r w:rsidRPr="0050731B">
        <w:t xml:space="preserve"> developed Guidelines for Enabling Television Access for Persons with Disabilities in Uganda in terms of sign language, captioning or subtitling and audio description. </w:t>
      </w:r>
      <w:r w:rsidRPr="0050731B">
        <w:rPr>
          <w:color w:val="000000"/>
        </w:rPr>
        <w:t xml:space="preserve">In 2019/2020, the Ministry of Information, Technology and National guidance (MICT&amp;NG) together with National Information and Technology Authority Uganda (NITA-U) conducted trainings of MDAs, CSOs and OPDs on accessible web for purposes of including persons with disabilities in information technology. </w:t>
      </w:r>
    </w:p>
    <w:p w14:paraId="595EBC98" w14:textId="77777777" w:rsidR="0050731B" w:rsidRPr="0050731B" w:rsidRDefault="0050731B" w:rsidP="002A18C2">
      <w:pPr>
        <w:pStyle w:val="SingleTxtG"/>
        <w:numPr>
          <w:ilvl w:val="0"/>
          <w:numId w:val="25"/>
        </w:numPr>
        <w:ind w:left="1134" w:firstLine="0"/>
        <w:rPr>
          <w:color w:val="00B0F0"/>
        </w:rPr>
      </w:pPr>
      <w:r w:rsidRPr="0050731B">
        <w:t xml:space="preserve">The Government has provided for tax waivers on assistive devices for Persons with Disabilities. This has promoted access and usage of assistive devices as provided for in the Value Added Tax (Amendment) Act, 2022. This has enabled private investors and civil society to import assistive devices that are cost effective for persons with disabilities. The Government has established workshops at National and regional referral hospitals to manufacture assistive devices </w:t>
      </w:r>
      <w:proofErr w:type="gramStart"/>
      <w:r w:rsidRPr="0050731B">
        <w:t>i.e.</w:t>
      </w:r>
      <w:proofErr w:type="gramEnd"/>
      <w:r w:rsidRPr="0050731B">
        <w:t xml:space="preserve"> Mulago National referral hospital and 8 regional referral hospitals. Government established a manufacturing unit that produced and distributed white canes freely </w:t>
      </w:r>
      <w:proofErr w:type="gramStart"/>
      <w:r w:rsidRPr="0050731B">
        <w:t>and also</w:t>
      </w:r>
      <w:proofErr w:type="gramEnd"/>
      <w:r w:rsidRPr="0050731B">
        <w:t xml:space="preserve"> at a low cost although effective production was affected by resource constraints. There are </w:t>
      </w:r>
      <w:proofErr w:type="gramStart"/>
      <w:r w:rsidRPr="0050731B">
        <w:t>a number of</w:t>
      </w:r>
      <w:proofErr w:type="gramEnd"/>
      <w:r w:rsidRPr="0050731B">
        <w:t xml:space="preserve"> CSOs that are utilising the government enabling laws to procure and distribute assistive devices, including Fathers Heart, Comprehensive Rehabilitation Services Uganda (</w:t>
      </w:r>
      <w:proofErr w:type="spellStart"/>
      <w:r w:rsidRPr="0050731B">
        <w:t>CoRSU</w:t>
      </w:r>
      <w:proofErr w:type="spellEnd"/>
      <w:r w:rsidRPr="0050731B">
        <w:t xml:space="preserve">), Humanity and Inclusion (HI), </w:t>
      </w:r>
      <w:proofErr w:type="spellStart"/>
      <w:r w:rsidRPr="0050731B">
        <w:t>SightSavers</w:t>
      </w:r>
      <w:proofErr w:type="spellEnd"/>
      <w:r w:rsidRPr="0050731B">
        <w:t xml:space="preserve">, Uganda, National Association of the Blind and </w:t>
      </w:r>
      <w:proofErr w:type="spellStart"/>
      <w:r w:rsidRPr="0050731B">
        <w:t>Katalemwa</w:t>
      </w:r>
      <w:proofErr w:type="spellEnd"/>
      <w:r w:rsidRPr="0050731B">
        <w:t xml:space="preserve"> Cheshire Home.</w:t>
      </w:r>
    </w:p>
    <w:p w14:paraId="202874BA" w14:textId="4C9E402A" w:rsidR="0050731B" w:rsidRPr="0050731B" w:rsidRDefault="002A18C2" w:rsidP="002A18C2">
      <w:pPr>
        <w:pStyle w:val="H1G"/>
      </w:pPr>
      <w:bookmarkStart w:id="24" w:name="_Toc120102306"/>
      <w:r>
        <w:tab/>
      </w:r>
      <w:r>
        <w:tab/>
      </w:r>
      <w:bookmarkStart w:id="25" w:name="_Toc133425368"/>
      <w:r w:rsidR="0050731B" w:rsidRPr="0050731B">
        <w:t>Right to life (Article 10)</w:t>
      </w:r>
      <w:bookmarkEnd w:id="24"/>
      <w:bookmarkEnd w:id="25"/>
    </w:p>
    <w:p w14:paraId="4B12D59E" w14:textId="77777777" w:rsidR="0050731B" w:rsidRPr="002A18C2" w:rsidRDefault="0050731B" w:rsidP="002A18C2">
      <w:pPr>
        <w:pStyle w:val="SingleTxtG"/>
        <w:rPr>
          <w:i/>
          <w:iCs/>
        </w:rPr>
      </w:pPr>
      <w:r w:rsidRPr="002A18C2">
        <w:rPr>
          <w:i/>
          <w:iCs/>
        </w:rPr>
        <w:t>Cf Concluding Observation 19</w:t>
      </w:r>
    </w:p>
    <w:p w14:paraId="26D6E4B0" w14:textId="77777777" w:rsidR="0050731B" w:rsidRPr="0050731B" w:rsidRDefault="0050731B" w:rsidP="002A18C2">
      <w:pPr>
        <w:pStyle w:val="SingleTxtG"/>
        <w:numPr>
          <w:ilvl w:val="0"/>
          <w:numId w:val="25"/>
        </w:numPr>
        <w:ind w:left="1134" w:firstLine="0"/>
        <w:rPr>
          <w:rFonts w:ascii="Calibri" w:eastAsia="Calibri" w:hAnsi="Calibri"/>
        </w:rPr>
      </w:pPr>
      <w:r w:rsidRPr="0050731B">
        <w:rPr>
          <w:lang w:val="en-US"/>
        </w:rPr>
        <w:t xml:space="preserve">Children and adults with disabilities in some instances face abuse, exploitation and neglect due to </w:t>
      </w:r>
      <w:r w:rsidRPr="002A18C2">
        <w:t>stigmatization</w:t>
      </w:r>
      <w:r w:rsidRPr="0050731B">
        <w:rPr>
          <w:lang w:val="en-US"/>
        </w:rPr>
        <w:t xml:space="preserve"> and other negative and harmful myths around disability. Sometimes these circumstances can lead to death. A few instances of children living with albinism being kidnapped with the intention of being trafficked for rituals and child sacrifice have also placed the lives of persons with albinism at risk.</w:t>
      </w:r>
    </w:p>
    <w:p w14:paraId="0A18D20C" w14:textId="77777777" w:rsidR="0050731B" w:rsidRPr="0050731B" w:rsidRDefault="0050731B" w:rsidP="002A18C2">
      <w:pPr>
        <w:pStyle w:val="SingleTxtG"/>
        <w:numPr>
          <w:ilvl w:val="0"/>
          <w:numId w:val="25"/>
        </w:numPr>
        <w:ind w:left="1134" w:firstLine="0"/>
        <w:rPr>
          <w:rFonts w:ascii="Cambria" w:hAnsi="Cambria"/>
        </w:rPr>
      </w:pPr>
      <w:r w:rsidRPr="0050731B">
        <w:rPr>
          <w:lang w:val="en-US"/>
        </w:rPr>
        <w:t xml:space="preserve">The Uganda Human Rights Commission and MGLSD have put in place awareness raising </w:t>
      </w:r>
      <w:proofErr w:type="spellStart"/>
      <w:r w:rsidRPr="0050731B">
        <w:rPr>
          <w:lang w:val="en-US"/>
        </w:rPr>
        <w:t>programmes</w:t>
      </w:r>
      <w:proofErr w:type="spellEnd"/>
      <w:r w:rsidRPr="0050731B">
        <w:rPr>
          <w:lang w:val="en-US"/>
        </w:rPr>
        <w:t xml:space="preserve"> in various local languages to target communities on positive cultures of human rights respect for all, including persons with disabilities, and the right to life. The Justice, </w:t>
      </w:r>
      <w:proofErr w:type="gramStart"/>
      <w:r w:rsidRPr="0050731B">
        <w:rPr>
          <w:lang w:val="en-US"/>
        </w:rPr>
        <w:t>Law</w:t>
      </w:r>
      <w:proofErr w:type="gramEnd"/>
      <w:r w:rsidRPr="0050731B">
        <w:rPr>
          <w:lang w:val="en-US"/>
        </w:rPr>
        <w:t xml:space="preserve"> and Order Services (JLOS) implemented under the Governance and Security </w:t>
      </w:r>
      <w:proofErr w:type="spellStart"/>
      <w:r w:rsidRPr="0050731B">
        <w:rPr>
          <w:lang w:val="en-US"/>
        </w:rPr>
        <w:t>Programme</w:t>
      </w:r>
      <w:proofErr w:type="spellEnd"/>
      <w:r w:rsidRPr="0050731B">
        <w:rPr>
          <w:lang w:val="en-US"/>
        </w:rPr>
        <w:t xml:space="preserve"> are also </w:t>
      </w:r>
      <w:proofErr w:type="spellStart"/>
      <w:r w:rsidRPr="0050731B">
        <w:rPr>
          <w:lang w:val="en-US"/>
        </w:rPr>
        <w:t>prioritising</w:t>
      </w:r>
      <w:proofErr w:type="spellEnd"/>
      <w:r w:rsidRPr="0050731B">
        <w:rPr>
          <w:lang w:val="en-US"/>
        </w:rPr>
        <w:t xml:space="preserve"> the raising of awareness events at national and district level on various aspects of the law and justice mechanisms as a preventative and remedial measure. The Prevention and Prohibition of Human Sacrifice Act 2021 was passed to prevent ritualistic murders that may target people with albinism while the Penal Code Act </w:t>
      </w:r>
      <w:proofErr w:type="spellStart"/>
      <w:r w:rsidRPr="0050731B">
        <w:rPr>
          <w:lang w:val="en-US"/>
        </w:rPr>
        <w:t>criminalises</w:t>
      </w:r>
      <w:proofErr w:type="spellEnd"/>
      <w:r w:rsidRPr="0050731B">
        <w:rPr>
          <w:lang w:val="en-US"/>
        </w:rPr>
        <w:t xml:space="preserve"> any acts that lead to the loss of life of a person a </w:t>
      </w:r>
      <w:proofErr w:type="gramStart"/>
      <w:r w:rsidRPr="0050731B">
        <w:rPr>
          <w:lang w:val="en-US"/>
        </w:rPr>
        <w:t>persons</w:t>
      </w:r>
      <w:proofErr w:type="gramEnd"/>
      <w:r w:rsidRPr="0050731B">
        <w:rPr>
          <w:lang w:val="en-US"/>
        </w:rPr>
        <w:t>, including persons with disabilities</w:t>
      </w:r>
      <w:r w:rsidRPr="0050731B">
        <w:rPr>
          <w:rFonts w:ascii="Cambria" w:hAnsi="Cambria"/>
          <w:lang w:val="en-US"/>
        </w:rPr>
        <w:t>.  </w:t>
      </w:r>
    </w:p>
    <w:p w14:paraId="07AEE771" w14:textId="07B1DBB5" w:rsidR="002A18C2" w:rsidRDefault="0050731B" w:rsidP="002A18C2">
      <w:pPr>
        <w:pStyle w:val="SingleTxtG"/>
        <w:numPr>
          <w:ilvl w:val="0"/>
          <w:numId w:val="25"/>
        </w:numPr>
        <w:ind w:left="1134" w:firstLine="0"/>
      </w:pPr>
      <w:r w:rsidRPr="0050731B">
        <w:t xml:space="preserve">The </w:t>
      </w:r>
      <w:r w:rsidRPr="002A18C2">
        <w:rPr>
          <w:lang w:val="en-US"/>
        </w:rPr>
        <w:t>right</w:t>
      </w:r>
      <w:r w:rsidRPr="0050731B">
        <w:t xml:space="preserve"> to life is enshrined in Uganda’s Constitution 1995. Article 22 of the Constitution</w:t>
      </w:r>
      <w:r w:rsidRPr="0050731B">
        <w:rPr>
          <w:shd w:val="clear" w:color="auto" w:fill="FFFFFF"/>
        </w:rPr>
        <w:t xml:space="preserve"> prohibits any person from intentionally depriving another person of their life. The Persons with Disabilities Act, 2020 enjoins </w:t>
      </w:r>
      <w:r w:rsidRPr="0050731B">
        <w:t>all persons in Uganda to respect, uphold and promote the fundamental and other human rights and freedoms of persons with disabilities enshrined in the constitution and the CRPD and its optional protocols (Section 3(2)).</w:t>
      </w:r>
    </w:p>
    <w:p w14:paraId="3F2BA04F" w14:textId="1F58CCF0" w:rsidR="0050731B" w:rsidRPr="002A18C2" w:rsidRDefault="002A18C2" w:rsidP="002A18C2">
      <w:pPr>
        <w:suppressAutoHyphens w:val="0"/>
        <w:spacing w:after="200" w:line="276" w:lineRule="auto"/>
        <w:rPr>
          <w:rFonts w:eastAsiaTheme="minorHAnsi"/>
        </w:rPr>
      </w:pPr>
      <w:r>
        <w:br w:type="page"/>
      </w:r>
    </w:p>
    <w:p w14:paraId="5A092164" w14:textId="007BAB1F" w:rsidR="0050731B" w:rsidRPr="0050731B" w:rsidRDefault="002A18C2" w:rsidP="002A18C2">
      <w:pPr>
        <w:pStyle w:val="H1G"/>
      </w:pPr>
      <w:bookmarkStart w:id="26" w:name="_Toc120102307"/>
      <w:r>
        <w:tab/>
      </w:r>
      <w:r>
        <w:tab/>
      </w:r>
      <w:bookmarkStart w:id="27" w:name="_Toc133425369"/>
      <w:r w:rsidR="0050731B" w:rsidRPr="0050731B">
        <w:t>Situations of risk and humanitarian emergencies (Article 11)</w:t>
      </w:r>
      <w:bookmarkEnd w:id="26"/>
      <w:bookmarkEnd w:id="27"/>
    </w:p>
    <w:p w14:paraId="2B52ED78" w14:textId="77777777" w:rsidR="0050731B" w:rsidRPr="002A18C2" w:rsidRDefault="0050731B" w:rsidP="002A18C2">
      <w:pPr>
        <w:pStyle w:val="SingleTxtG"/>
        <w:rPr>
          <w:i/>
          <w:iCs/>
        </w:rPr>
      </w:pPr>
      <w:r w:rsidRPr="002A18C2">
        <w:rPr>
          <w:i/>
          <w:iCs/>
        </w:rPr>
        <w:t>Cf Concluding Observation 23</w:t>
      </w:r>
    </w:p>
    <w:p w14:paraId="276CDCE7" w14:textId="77777777" w:rsidR="0050731B" w:rsidRPr="0050731B" w:rsidRDefault="0050731B" w:rsidP="002A18C2">
      <w:pPr>
        <w:pStyle w:val="SingleTxtG"/>
        <w:numPr>
          <w:ilvl w:val="0"/>
          <w:numId w:val="25"/>
        </w:numPr>
        <w:ind w:left="1134" w:firstLine="0"/>
        <w:rPr>
          <w:color w:val="00B050"/>
        </w:rPr>
      </w:pPr>
      <w:r w:rsidRPr="0050731B">
        <w:t xml:space="preserve">The National Disaster Risk Reduction and Management Policy was passed in 2011. The National Policy for Disaster Preparedness and Management prioritises vulnerable groups including persons with mental and physical disabilities. The policy undertakes to integrate the concerns and needs of persons with disabilities in all ministries and strategies for risk reduction. Under the policy, national and district disaster plans must consider the needs of persons with disabilities.  During recovery after a disaster, Government ensures special assistance for the elderly and persons with disabilities. By law, Persons with Disabilities such as the deaf and the </w:t>
      </w:r>
      <w:r w:rsidRPr="002A18C2">
        <w:rPr>
          <w:shd w:val="clear" w:color="auto" w:fill="FFFFFF"/>
        </w:rPr>
        <w:t>blind</w:t>
      </w:r>
      <w:r w:rsidRPr="0050731B">
        <w:t xml:space="preserve"> are to be provided with relevant knowledge </w:t>
      </w:r>
      <w:proofErr w:type="gramStart"/>
      <w:r w:rsidRPr="0050731B">
        <w:t>of  the</w:t>
      </w:r>
      <w:proofErr w:type="gramEnd"/>
      <w:r w:rsidRPr="0050731B">
        <w:t xml:space="preserve"> risks in their surrounding areas and programmes are designed to involve and benefit them. Government has continually provided an enabling policy environment for CSOs and United Nations humanitarian agencies to support social services for persons with disabilities during disaster phenomenon.  For </w:t>
      </w:r>
      <w:proofErr w:type="gramStart"/>
      <w:r w:rsidRPr="0050731B">
        <w:t>instance</w:t>
      </w:r>
      <w:proofErr w:type="gramEnd"/>
      <w:r w:rsidRPr="0050731B">
        <w:t xml:space="preserve"> UNHCR develops annual plans for special needs technical working group that share information regarding Persons with Disabilities. </w:t>
      </w:r>
    </w:p>
    <w:p w14:paraId="16634843" w14:textId="77777777" w:rsidR="0050731B" w:rsidRPr="002A18C2" w:rsidRDefault="0050731B" w:rsidP="002A18C2">
      <w:pPr>
        <w:pStyle w:val="SingleTxtG"/>
        <w:numPr>
          <w:ilvl w:val="0"/>
          <w:numId w:val="25"/>
        </w:numPr>
        <w:ind w:left="1134" w:firstLine="0"/>
      </w:pPr>
      <w:r w:rsidRPr="0050731B">
        <w:t xml:space="preserve">All infrastructure developments in the Office of the Prime Minister (OPM) have institutionalized universal designs to ensure equality of access and utilization for all, including persons with disabilities. Disability inclusive design considerations include ramps, </w:t>
      </w:r>
      <w:proofErr w:type="gramStart"/>
      <w:r w:rsidRPr="0050731B">
        <w:t>guardrails</w:t>
      </w:r>
      <w:proofErr w:type="gramEnd"/>
      <w:r w:rsidRPr="0050731B">
        <w:t xml:space="preserve"> and pit latrines stances with holding bars designated for use by persons with disabilities</w:t>
      </w:r>
      <w:r w:rsidRPr="0050731B">
        <w:rPr>
          <w:color w:val="00B050"/>
        </w:rPr>
        <w:t>.</w:t>
      </w:r>
    </w:p>
    <w:p w14:paraId="79D7EA9C" w14:textId="77777777" w:rsidR="0050731B" w:rsidRPr="0050731B" w:rsidRDefault="0050731B" w:rsidP="002A18C2">
      <w:pPr>
        <w:pStyle w:val="SingleTxtG"/>
        <w:numPr>
          <w:ilvl w:val="0"/>
          <w:numId w:val="25"/>
        </w:numPr>
        <w:ind w:left="1134" w:firstLine="0"/>
      </w:pPr>
      <w:r w:rsidRPr="0050731B">
        <w:t>Uganda is the largest refugee hosting country in Africa. The provision of information in all languages including sign language remains a big challenge given the diverse language backgrounds of refugees from different countries. Over the years, Uganda’s Refugee response paradigm is shifting from that of care to inclusion and self-reliance.</w:t>
      </w:r>
      <w:r w:rsidRPr="0050731B">
        <w:rPr>
          <w:vertAlign w:val="superscript"/>
        </w:rPr>
        <w:footnoteReference w:id="24"/>
      </w:r>
      <w:r w:rsidRPr="0050731B">
        <w:t xml:space="preserve"> To the extent possible, the language uniqueness of refugees </w:t>
      </w:r>
      <w:proofErr w:type="gramStart"/>
      <w:r w:rsidRPr="0050731B">
        <w:t>are</w:t>
      </w:r>
      <w:proofErr w:type="gramEnd"/>
      <w:r w:rsidRPr="0050731B">
        <w:t xml:space="preserve"> addressed but there is room for improvement. </w:t>
      </w:r>
    </w:p>
    <w:p w14:paraId="028CC421" w14:textId="77777777" w:rsidR="0050731B" w:rsidRPr="0050731B" w:rsidRDefault="0050731B" w:rsidP="002A18C2">
      <w:pPr>
        <w:pStyle w:val="SingleTxtG"/>
        <w:numPr>
          <w:ilvl w:val="0"/>
          <w:numId w:val="25"/>
        </w:numPr>
        <w:ind w:left="1134" w:firstLine="0"/>
      </w:pPr>
      <w:r w:rsidRPr="0050731B">
        <w:t xml:space="preserve">To facilitate the recovery of the people in Northern Uganda, the Government of Uganda has implemented several recovery programs under Northern Uganda Social Action Fund (NUSAF I, II III), the Peace, Recovery and Development Plan for Northern Uganda (PRDP), and Northern Uganda Rehabilitation Program (NUREP). All these interventions embedded a strong component on vulnerable groups’ support under which the needs of persons with disabilities are addressed. Under NUSAF, the Improved Household Income Support Program targeted persons with disabilities among other vulnerable groups. A core component of NUSAF involved </w:t>
      </w:r>
      <w:proofErr w:type="gramStart"/>
      <w:r w:rsidRPr="0050731B">
        <w:t>mainstreaming  disability</w:t>
      </w:r>
      <w:proofErr w:type="gramEnd"/>
      <w:r w:rsidRPr="0050731B">
        <w:t xml:space="preserve"> issues including paying special attention to people with disabilities, promoting access to buildings through using a universal design approach and including a disability module as part of the Northern Uganda Surveys. </w:t>
      </w:r>
    </w:p>
    <w:p w14:paraId="6D4CCD79" w14:textId="6A92640C" w:rsidR="0050731B" w:rsidRPr="0050731B" w:rsidRDefault="002A18C2" w:rsidP="002A18C2">
      <w:pPr>
        <w:pStyle w:val="H1G"/>
      </w:pPr>
      <w:bookmarkStart w:id="28" w:name="_Toc120102308"/>
      <w:r>
        <w:tab/>
      </w:r>
      <w:r>
        <w:tab/>
      </w:r>
      <w:bookmarkStart w:id="29" w:name="_Toc133425370"/>
      <w:r w:rsidR="0050731B" w:rsidRPr="0050731B">
        <w:t>Equal recognition before the law (Article 12)</w:t>
      </w:r>
      <w:bookmarkEnd w:id="28"/>
      <w:bookmarkEnd w:id="29"/>
    </w:p>
    <w:p w14:paraId="36739099" w14:textId="77777777" w:rsidR="0050731B" w:rsidRPr="002A18C2" w:rsidRDefault="0050731B" w:rsidP="002A18C2">
      <w:pPr>
        <w:pStyle w:val="SingleTxtG"/>
        <w:rPr>
          <w:i/>
          <w:iCs/>
        </w:rPr>
      </w:pPr>
      <w:proofErr w:type="spellStart"/>
      <w:r w:rsidRPr="002A18C2">
        <w:rPr>
          <w:i/>
          <w:iCs/>
        </w:rPr>
        <w:t>cf</w:t>
      </w:r>
      <w:proofErr w:type="spellEnd"/>
      <w:r w:rsidRPr="002A18C2">
        <w:rPr>
          <w:i/>
          <w:iCs/>
        </w:rPr>
        <w:t xml:space="preserve"> Concluding observation 23</w:t>
      </w:r>
    </w:p>
    <w:p w14:paraId="476AAAA6" w14:textId="77777777" w:rsidR="0050731B" w:rsidRPr="0050731B" w:rsidRDefault="0050731B" w:rsidP="002A18C2">
      <w:pPr>
        <w:pStyle w:val="SingleTxtG"/>
        <w:numPr>
          <w:ilvl w:val="0"/>
          <w:numId w:val="25"/>
        </w:numPr>
        <w:ind w:left="1134" w:firstLine="0"/>
      </w:pPr>
      <w:r w:rsidRPr="0050731B">
        <w:t>Uganda has made positive reforms in certain laws that limited the enjoyment of the right of legal capacity by persons with mental disabilities such as the Mental Treatment Act, 1964 and the Administration of Estate of Persons of Unsound Mind Act, 1951.</w:t>
      </w:r>
    </w:p>
    <w:p w14:paraId="3AFD5998" w14:textId="237E2F2D" w:rsidR="0050731B" w:rsidRPr="0050731B" w:rsidRDefault="0050731B" w:rsidP="002A18C2">
      <w:pPr>
        <w:pStyle w:val="SingleTxtG"/>
        <w:numPr>
          <w:ilvl w:val="0"/>
          <w:numId w:val="25"/>
        </w:numPr>
        <w:ind w:left="1134" w:firstLine="0"/>
      </w:pPr>
      <w:r w:rsidRPr="0050731B">
        <w:t xml:space="preserve">The Constitutional Court in 2015 declared as derogatory the provisions in the Penal Code Act Cap 20 that referred to persons with mental disabilities as idiots and imbeciles and struck them out. The Court declared the terms as not permissible and justifiable since they contravene Articles 20, 21(1), (2) and (3), 23, 24, 28 and 35 of the Constitution. </w:t>
      </w:r>
      <w:r w:rsidRPr="0050731B">
        <w:rPr>
          <w:color w:val="000000"/>
        </w:rPr>
        <w:t xml:space="preserve"> The Court also nullified the practice of waiting for the minister’s orders as a precondition for releasing prisoners with mental disabilities and gave this power back to the judiciary.</w:t>
      </w:r>
      <w:r w:rsidRPr="0050731B">
        <w:rPr>
          <w:color w:val="000000"/>
          <w:vertAlign w:val="superscript"/>
        </w:rPr>
        <w:footnoteReference w:id="25"/>
      </w:r>
      <w:r w:rsidRPr="0050731B">
        <w:rPr>
          <w:color w:val="000000"/>
        </w:rPr>
        <w:t xml:space="preserve"> </w:t>
      </w:r>
      <w:r w:rsidRPr="0050731B">
        <w:rPr>
          <w:i/>
          <w:iCs/>
        </w:rPr>
        <w:t xml:space="preserve"> </w:t>
      </w:r>
      <w:r w:rsidRPr="0050731B">
        <w:t xml:space="preserve">The Court instructed the State to review the status of persons with mental disabilities so that they are removed from jails and prisons and taken for care and treatment in appropriate places and to provide clarity on how people with mental disabilities amounting to insanity should be handled. </w:t>
      </w:r>
      <w:r w:rsidRPr="0050731B">
        <w:rPr>
          <w:color w:val="000000"/>
        </w:rPr>
        <w:t xml:space="preserve">The Court also pronounced </w:t>
      </w:r>
      <w:r w:rsidRPr="0050731B">
        <w:rPr>
          <w:color w:val="000000"/>
          <w:lang w:eastAsia="en-GB"/>
        </w:rPr>
        <w:t>Section 45(5) of the Trial on Indictments Act unconstitutional in as far as it adjudges a person who is not proven guilty as a criminal by referring to him/her as a criminal lunatic contrary to Article 28(3) (a) of the Constitution</w:t>
      </w:r>
      <w:r w:rsidRPr="0050731B">
        <w:rPr>
          <w:color w:val="000000"/>
          <w:lang w:val="en-US" w:eastAsia="en-GB"/>
        </w:rPr>
        <w:t xml:space="preserve">. </w:t>
      </w:r>
      <w:r w:rsidRPr="0050731B">
        <w:t xml:space="preserve">Despite this, according to the UHRC Annual Report 2021, there were 24 remand prisoners with disabilities pending ministerial orders who had overstayed their time in prison for over five years. </w:t>
      </w:r>
    </w:p>
    <w:p w14:paraId="041628A9" w14:textId="77777777" w:rsidR="0050731B" w:rsidRPr="0050731B" w:rsidRDefault="0050731B" w:rsidP="002A18C2">
      <w:pPr>
        <w:pStyle w:val="SingleTxtG"/>
        <w:numPr>
          <w:ilvl w:val="0"/>
          <w:numId w:val="25"/>
        </w:numPr>
        <w:ind w:left="1134" w:firstLine="0"/>
      </w:pPr>
      <w:r w:rsidRPr="0050731B">
        <w:t>The Mental Treatment Act, 1964 and the Administration of Estates of Persons of Unsound Mind Act, Cap. 155 were repealed and replaced by the Mental Health Act, 2019, which comprehensively addresses issues of legal capacity for persons with mental disabilities.</w:t>
      </w:r>
      <w:r w:rsidRPr="0050731B">
        <w:rPr>
          <w:rFonts w:ascii="Cambria" w:hAnsi="Cambria"/>
        </w:rPr>
        <w:t xml:space="preserve"> </w:t>
      </w:r>
      <w:r w:rsidRPr="0050731B">
        <w:t>The Mental Health Act,</w:t>
      </w:r>
      <w:r w:rsidRPr="0050731B">
        <w:rPr>
          <w:rFonts w:ascii="Cambria" w:hAnsi="Cambria"/>
        </w:rPr>
        <w:t xml:space="preserve"> </w:t>
      </w:r>
      <w:r w:rsidRPr="0050731B">
        <w:t xml:space="preserve">2019 prescribes a relatively stringent process of denying a person with mental disability the right to manage their own affairs.  Person with mental disability has the right to enjoy legal capacity on an equal basis with others in all aspects of life, and to manage his or her affairs (S 60 (1-2). The Act grants a person with mental disability other rights including the right to withdraw consent after granting it and to appoint a personal representative to manage their estate. It also requires that consent for care, </w:t>
      </w:r>
      <w:proofErr w:type="gramStart"/>
      <w:r w:rsidRPr="0050731B">
        <w:t>treatment</w:t>
      </w:r>
      <w:proofErr w:type="gramEnd"/>
      <w:r w:rsidRPr="0050731B">
        <w:t xml:space="preserve"> and admission from a voluntary mental health patient after giving the person sufficient information about the mental health treatment in a language and format the person can easily understand. Where the person lacks capacity to consent, the law stipulates that consent can be got from the personal representative of that person or from a mental health practitioner, where the person does not have a personal representative (Article 42(10).</w:t>
      </w:r>
    </w:p>
    <w:p w14:paraId="039C6C09" w14:textId="77777777" w:rsidR="0050731B" w:rsidRPr="0050731B" w:rsidRDefault="0050731B" w:rsidP="002A18C2">
      <w:pPr>
        <w:pStyle w:val="SingleTxtG"/>
        <w:numPr>
          <w:ilvl w:val="0"/>
          <w:numId w:val="25"/>
        </w:numPr>
        <w:ind w:left="1134" w:firstLine="0"/>
      </w:pPr>
      <w:r w:rsidRPr="0050731B">
        <w:t>On September 22, 2022, the Chambers of the Principal Judge issued an Administrative Circular No. 3 of 2022 giving directives to guide courts on handling of cases involving accused persons pending Minister’s Orders. Registrars of the High Court and Magistrate’s courts were required to cause to be forwarded to their respective offices, all certified copies of proceedings of the files in which the Minister’s Orders were pending within 30 days effective September 26</w:t>
      </w:r>
      <w:proofErr w:type="gramStart"/>
      <w:r w:rsidRPr="0050731B">
        <w:t xml:space="preserve"> 2022</w:t>
      </w:r>
      <w:proofErr w:type="gramEnd"/>
      <w:r w:rsidRPr="0050731B">
        <w:t xml:space="preserve">. The directive generally specifies the timeframe within which cases involving persons pending the Minister’s order must be processed at the different levels of the High Court and Magistrates Affairs.  </w:t>
      </w:r>
    </w:p>
    <w:p w14:paraId="6AD7D636" w14:textId="77777777" w:rsidR="0050731B" w:rsidRPr="0050731B" w:rsidRDefault="0050731B" w:rsidP="002A18C2">
      <w:pPr>
        <w:pStyle w:val="SingleTxtG"/>
        <w:numPr>
          <w:ilvl w:val="0"/>
          <w:numId w:val="25"/>
        </w:numPr>
        <w:ind w:left="1134" w:firstLine="0"/>
      </w:pPr>
      <w:r w:rsidRPr="0050731B">
        <w:t xml:space="preserve">The Government organizes several high-level forums annually targeting members of parliament, the judiciary, OPDs, MDAs, civil </w:t>
      </w:r>
      <w:proofErr w:type="gramStart"/>
      <w:r w:rsidRPr="0050731B">
        <w:t>society</w:t>
      </w:r>
      <w:proofErr w:type="gramEnd"/>
      <w:r w:rsidRPr="0050731B">
        <w:t xml:space="preserve"> and persons with disabilities in general, where various issues are addressed directly or indirectly, including supported decision making and legal capacity. </w:t>
      </w:r>
    </w:p>
    <w:p w14:paraId="778CC3DD" w14:textId="189EEBBF" w:rsidR="0050731B" w:rsidRPr="0050731B" w:rsidRDefault="002A18C2" w:rsidP="002A18C2">
      <w:pPr>
        <w:pStyle w:val="H1G"/>
      </w:pPr>
      <w:bookmarkStart w:id="30" w:name="_Toc120102309"/>
      <w:r>
        <w:tab/>
      </w:r>
      <w:r>
        <w:tab/>
      </w:r>
      <w:bookmarkStart w:id="31" w:name="_Toc133425371"/>
      <w:r w:rsidR="0050731B" w:rsidRPr="0050731B">
        <w:t>Access to justice (Article 13)</w:t>
      </w:r>
      <w:bookmarkEnd w:id="30"/>
      <w:bookmarkEnd w:id="31"/>
    </w:p>
    <w:p w14:paraId="6E42EDB1" w14:textId="77777777" w:rsidR="0050731B" w:rsidRPr="002A18C2" w:rsidRDefault="0050731B" w:rsidP="002A18C2">
      <w:pPr>
        <w:pStyle w:val="SingleTxtG"/>
        <w:rPr>
          <w:i/>
          <w:iCs/>
        </w:rPr>
      </w:pPr>
      <w:r w:rsidRPr="002A18C2">
        <w:rPr>
          <w:i/>
          <w:iCs/>
        </w:rPr>
        <w:t>Cf Concluding Observation 25</w:t>
      </w:r>
    </w:p>
    <w:p w14:paraId="244F7056" w14:textId="77777777" w:rsidR="0050731B" w:rsidRPr="002A18C2" w:rsidRDefault="0050731B" w:rsidP="002A18C2">
      <w:pPr>
        <w:pStyle w:val="SingleTxtG"/>
        <w:numPr>
          <w:ilvl w:val="0"/>
          <w:numId w:val="25"/>
        </w:numPr>
        <w:ind w:left="1134" w:firstLine="0"/>
        <w:rPr>
          <w:lang w:val="en-US"/>
        </w:rPr>
      </w:pPr>
      <w:r w:rsidRPr="0050731B">
        <w:t xml:space="preserve">The Government of Uganda has put in place a program for free legal services for vulnerable persons including persons with disabilities, the Justice Centres Uganda. There are 13 justice centres in different regions of Uganda. </w:t>
      </w:r>
      <w:r w:rsidRPr="0050731B">
        <w:rPr>
          <w:bCs/>
          <w:lang w:val="en-US"/>
        </w:rPr>
        <w:t>294 persons with disabilities (147 males, females 147)</w:t>
      </w:r>
      <w:r w:rsidRPr="0050731B">
        <w:rPr>
          <w:lang w:val="en-US"/>
        </w:rPr>
        <w:t xml:space="preserve"> have so far received free legal aid from Justice Centers Uganda across the country</w:t>
      </w:r>
      <w:r w:rsidRPr="002A18C2">
        <w:rPr>
          <w:lang w:val="en-US"/>
        </w:rPr>
        <w:t xml:space="preserve">. </w:t>
      </w:r>
    </w:p>
    <w:p w14:paraId="7C1F4077" w14:textId="77777777" w:rsidR="0050731B" w:rsidRPr="0050731B" w:rsidRDefault="0050731B" w:rsidP="002A18C2">
      <w:pPr>
        <w:pStyle w:val="SingleTxtG"/>
        <w:numPr>
          <w:ilvl w:val="0"/>
          <w:numId w:val="25"/>
        </w:numPr>
        <w:ind w:left="1134" w:firstLine="0"/>
      </w:pPr>
      <w:r w:rsidRPr="0050731B">
        <w:t xml:space="preserve">In terms of legal aid services, the Advocates Act mandates legal practitioners to provide pro-bono legal services at least once a year. In addition, free legal aid services are provided by several non-state organizations including, Legal Action for Persons with Disabilities (LAPD), Centre for Human Rights Development, the Uganda Association of Women Lawyers (FIDA-Uganda) and Legal Aid Project of the Uganda law Society among others. However, some persons with disabilities may not easily access the available free legal aid services because of limited access to information and resources. The legal aid service providers also may not have adequate disability inclusive services such as sign language interpreters, braille material or disability accessible information and infrastructure. Legal aid services coverage </w:t>
      </w:r>
      <w:proofErr w:type="gramStart"/>
      <w:r w:rsidRPr="0050731B">
        <w:t>do</w:t>
      </w:r>
      <w:proofErr w:type="gramEnd"/>
      <w:r w:rsidRPr="0050731B">
        <w:t xml:space="preserve"> not always extend to the entire country and persons with disabilities in the rural areas may not easily access the services. The National Legal Aid Bill to regulate the legal aid services in Uganda is still pending and it seeks to fill some of the gaps in legal aid service delivery. </w:t>
      </w:r>
    </w:p>
    <w:p w14:paraId="4C5C9BAA" w14:textId="77777777" w:rsidR="0050731B" w:rsidRPr="0050731B" w:rsidRDefault="0050731B" w:rsidP="002A18C2">
      <w:pPr>
        <w:pStyle w:val="SingleTxtG"/>
        <w:numPr>
          <w:ilvl w:val="0"/>
          <w:numId w:val="25"/>
        </w:numPr>
        <w:ind w:left="1134" w:firstLine="0"/>
      </w:pPr>
      <w:r w:rsidRPr="0050731B">
        <w:t>The Governance and Security Programme is developing a Manual for Persons with Disabilities to guide the integration of interests and rights of persons with disabilities within the Programme’s services and it is also focusing more on the construction and renovation of premises to promote accessibility</w:t>
      </w:r>
      <w:r w:rsidRPr="0050731B">
        <w:rPr>
          <w:vertAlign w:val="superscript"/>
        </w:rPr>
        <w:footnoteReference w:id="26"/>
      </w:r>
      <w:r w:rsidRPr="0050731B">
        <w:t xml:space="preserve">. Court premises must be accessible for persons with disabilities under the Building Control Act, 2013 and the Persons with Disabilities Act, 2020.  In the Access to Justice Sub programme, </w:t>
      </w:r>
      <w:proofErr w:type="gramStart"/>
      <w:r w:rsidRPr="0050731B">
        <w:t>in order to</w:t>
      </w:r>
      <w:proofErr w:type="gramEnd"/>
      <w:r w:rsidRPr="0050731B">
        <w:t xml:space="preserve"> promote Justice, Law and Order services, there has been considerable construction and innovations to improve physical accessibility and reasonable accommodation for persons with disabilities in the courts and various detention facilities. Increasingly, more institutions are undertaking the adaptation of old infrastructure progressively, </w:t>
      </w:r>
      <w:proofErr w:type="gramStart"/>
      <w:r w:rsidRPr="0050731B">
        <w:t>in light of</w:t>
      </w:r>
      <w:proofErr w:type="gramEnd"/>
      <w:r w:rsidRPr="0050731B">
        <w:t xml:space="preserve"> the high financial costs involved. </w:t>
      </w:r>
    </w:p>
    <w:p w14:paraId="2124B225" w14:textId="77777777" w:rsidR="0050731B" w:rsidRPr="0050731B" w:rsidRDefault="0050731B" w:rsidP="002A18C2">
      <w:pPr>
        <w:pStyle w:val="SingleTxtG"/>
        <w:numPr>
          <w:ilvl w:val="0"/>
          <w:numId w:val="25"/>
        </w:numPr>
        <w:ind w:left="1134" w:firstLine="0"/>
      </w:pPr>
      <w:r w:rsidRPr="0050731B">
        <w:t xml:space="preserve">Sign language interpretation services are increasing in justice, </w:t>
      </w:r>
      <w:proofErr w:type="gramStart"/>
      <w:r w:rsidRPr="0050731B">
        <w:t>law</w:t>
      </w:r>
      <w:proofErr w:type="gramEnd"/>
      <w:r w:rsidRPr="0050731B">
        <w:t xml:space="preserve"> and order institutions. The Judicial Service Commission has trained legal officers in sign language </w:t>
      </w:r>
      <w:proofErr w:type="gramStart"/>
      <w:r w:rsidRPr="0050731B">
        <w:t>in order to</w:t>
      </w:r>
      <w:proofErr w:type="gramEnd"/>
      <w:r w:rsidRPr="0050731B">
        <w:t xml:space="preserve"> effectively communicate with the deaf persons. The Uganda police force has integrated sign language in its weekly press briefs. JLOS sub-program is developing an action plan on mainstreaming disability inclusive approaches </w:t>
      </w:r>
      <w:proofErr w:type="gramStart"/>
      <w:r w:rsidRPr="0050731B">
        <w:t>in order to</w:t>
      </w:r>
      <w:proofErr w:type="gramEnd"/>
      <w:r w:rsidRPr="0050731B">
        <w:t xml:space="preserve"> accommodate the rights and interests of Persons with Disabilities in access and administration of justice. The plan will identify areas of redress, necessary adaptations/changes in infrastructure and processes to accommodate persons with disabilities in service delivery.</w:t>
      </w:r>
      <w:r w:rsidRPr="0050731B">
        <w:rPr>
          <w:vertAlign w:val="superscript"/>
        </w:rPr>
        <w:footnoteReference w:id="27"/>
      </w:r>
      <w:r w:rsidRPr="0050731B">
        <w:t xml:space="preserve"> These innovations are important and requires scaling up to all other institutions across the country with adequate human and financial resources. </w:t>
      </w:r>
    </w:p>
    <w:p w14:paraId="11B42BBE" w14:textId="77777777" w:rsidR="0050731B" w:rsidRPr="0050731B" w:rsidRDefault="0050731B" w:rsidP="002A18C2">
      <w:pPr>
        <w:pStyle w:val="SingleTxtG"/>
        <w:numPr>
          <w:ilvl w:val="0"/>
          <w:numId w:val="25"/>
        </w:numPr>
        <w:ind w:left="1134" w:firstLine="0"/>
      </w:pPr>
      <w:r w:rsidRPr="0050731B">
        <w:t xml:space="preserve">Legal redress is one of the functions of the EOC and UHRC, which are providing alternative dispute resolution services that are cost free and mainly offered through outreaches such as legal clinics, tribunal hearings and pre-tribunal dialogues with the communities. The Uganda Law Reform Commission and NCPD transcribed the Constitution into braille and availed the brailed copies to public libraries. The UHRC transcribed and disseminated a brailed version of Chapter four of the Constitution and all annual reports on the state of human rights in the country. MGLSD transcribed Persons with Disabilities Act into braille. The EOC also produced two of their annual reports in braille.  </w:t>
      </w:r>
    </w:p>
    <w:p w14:paraId="182D3882" w14:textId="77777777" w:rsidR="0050731B" w:rsidRPr="0050731B" w:rsidRDefault="0050731B" w:rsidP="002A18C2">
      <w:pPr>
        <w:pStyle w:val="SingleTxtG"/>
        <w:numPr>
          <w:ilvl w:val="0"/>
          <w:numId w:val="25"/>
        </w:numPr>
        <w:ind w:left="1134" w:firstLine="0"/>
      </w:pPr>
      <w:r w:rsidRPr="0050731B">
        <w:t>Between 2016 and 2019, UHRC worked with NUDIPU, Network of Public Interest Lawyers (NETPIL) and the East African Centre of Disability Law to develop the Judicature Rules to guide court and judiciary officials on the handling of persons with disabilities in the justice system.  The Judicature Rules, which were submitted to the Chief Justice for adoption will address procedural accommodation as well as other access to justice issues for persons with disabilities.</w:t>
      </w:r>
    </w:p>
    <w:p w14:paraId="19DD81AF" w14:textId="77777777" w:rsidR="0050731B" w:rsidRPr="0050731B" w:rsidRDefault="0050731B" w:rsidP="002A18C2">
      <w:pPr>
        <w:pStyle w:val="SingleTxtG"/>
        <w:numPr>
          <w:ilvl w:val="0"/>
          <w:numId w:val="25"/>
        </w:numPr>
        <w:ind w:left="1134" w:firstLine="0"/>
      </w:pPr>
      <w:r w:rsidRPr="0050731B">
        <w:t xml:space="preserve">The Persons with Disabilities Act, 2020 requires the government to train judicial and law enforcement officers on matters concerning persons with disabilities including sign language, tactile </w:t>
      </w:r>
      <w:proofErr w:type="gramStart"/>
      <w:r w:rsidRPr="0050731B">
        <w:t>communication</w:t>
      </w:r>
      <w:proofErr w:type="gramEnd"/>
      <w:r w:rsidRPr="0050731B">
        <w:t xml:space="preserve"> and use of alternative format documents. This law recognizes voice, touch or other methods as acceptable ways for a complainant who is blind or has low vision to identify a suspect or an accused person. This will also have implications for the training of judicial officers, the police, </w:t>
      </w:r>
      <w:proofErr w:type="gramStart"/>
      <w:r w:rsidRPr="0050731B">
        <w:t>lawyers</w:t>
      </w:r>
      <w:proofErr w:type="gramEnd"/>
      <w:r w:rsidRPr="0050731B">
        <w:t xml:space="preserve"> and the Directorate of Public Prosecution. The UHRC has developed human rights advisories on health, education, </w:t>
      </w:r>
      <w:proofErr w:type="gramStart"/>
      <w:r w:rsidRPr="0050731B">
        <w:t>elections</w:t>
      </w:r>
      <w:proofErr w:type="gramEnd"/>
      <w:r w:rsidRPr="0050731B">
        <w:t xml:space="preserve"> and prisons to guide the Government on various human rights issues. UHRC specifically highlights the challenges and human rights concerns of persons with disabilities in the judicial systems and processes. </w:t>
      </w:r>
    </w:p>
    <w:p w14:paraId="59147D87" w14:textId="19A7BA3A" w:rsidR="0050731B" w:rsidRPr="0050731B" w:rsidRDefault="008C3EA5" w:rsidP="008C3EA5">
      <w:pPr>
        <w:pStyle w:val="H1G"/>
      </w:pPr>
      <w:bookmarkStart w:id="32" w:name="_Toc120102310"/>
      <w:r>
        <w:tab/>
      </w:r>
      <w:r>
        <w:tab/>
      </w:r>
      <w:bookmarkStart w:id="33" w:name="_Toc133425372"/>
      <w:r w:rsidR="0050731B" w:rsidRPr="0050731B">
        <w:t>Liberty and security of the person (Article 14)</w:t>
      </w:r>
      <w:bookmarkEnd w:id="32"/>
      <w:bookmarkEnd w:id="33"/>
    </w:p>
    <w:p w14:paraId="02207F89" w14:textId="77777777" w:rsidR="0050731B" w:rsidRPr="008C3EA5" w:rsidRDefault="0050731B" w:rsidP="008C3EA5">
      <w:pPr>
        <w:pStyle w:val="SingleTxtG"/>
        <w:rPr>
          <w:i/>
          <w:iCs/>
        </w:rPr>
      </w:pPr>
      <w:proofErr w:type="spellStart"/>
      <w:r w:rsidRPr="008C3EA5">
        <w:rPr>
          <w:i/>
          <w:iCs/>
        </w:rPr>
        <w:t>cf</w:t>
      </w:r>
      <w:proofErr w:type="spellEnd"/>
      <w:r w:rsidRPr="008C3EA5">
        <w:rPr>
          <w:i/>
          <w:iCs/>
        </w:rPr>
        <w:t xml:space="preserve"> Concluding observation 27</w:t>
      </w:r>
    </w:p>
    <w:p w14:paraId="4DF256EA" w14:textId="77777777" w:rsidR="0050731B" w:rsidRPr="0050731B" w:rsidRDefault="0050731B" w:rsidP="008C3EA5">
      <w:pPr>
        <w:pStyle w:val="SingleTxtG"/>
        <w:numPr>
          <w:ilvl w:val="0"/>
          <w:numId w:val="25"/>
        </w:numPr>
        <w:ind w:left="1134" w:firstLine="0"/>
      </w:pPr>
      <w:r w:rsidRPr="0050731B">
        <w:t xml:space="preserve">The Persons with Disabilities Act 2020 amended some provisions of the Trial on Indictment Act, 1971, including Section 49(1) and replaced it with the provision that reads “a person with disabilities shall not be taken as an insufficient surety on the basis of disability”. The Judiciary is bound to adhere to this amendment. </w:t>
      </w:r>
    </w:p>
    <w:p w14:paraId="6205FC9E" w14:textId="77777777" w:rsidR="0050731B" w:rsidRPr="0050731B" w:rsidRDefault="0050731B" w:rsidP="008C3EA5">
      <w:pPr>
        <w:pStyle w:val="SingleTxtG"/>
        <w:numPr>
          <w:ilvl w:val="0"/>
          <w:numId w:val="25"/>
        </w:numPr>
        <w:ind w:left="1134" w:firstLine="0"/>
      </w:pPr>
      <w:r w:rsidRPr="0050731B">
        <w:t>The constitutionality of Sections 45(5) and 86(2) of the Trial on Indictment Act, 1971 were annulled.</w:t>
      </w:r>
      <w:r w:rsidRPr="0050731B">
        <w:rPr>
          <w:vertAlign w:val="superscript"/>
        </w:rPr>
        <w:footnoteReference w:id="28"/>
      </w:r>
      <w:r w:rsidRPr="0050731B">
        <w:t xml:space="preserve"> The petitioners contended that section 45(5) violated the constitutional principle of presumption of innocence before trial by referring to a suspect with psychosocial disability as a criminal lunatic before trial. They also questioned the process and powers of the Minister to order the detention of a person with psychosocial disability based on insanity. Government agreed with the Court’s declarations and orders that nullify these provisions of the Trial on Indictment Act.  Section 45(5) of this law violates the constitutional principle of presumption of innocence as it prejudges a person with psychosocial disability as a criminal lunatic before trial. The Minister’s powers to order detention was quashed by the Court and the declaration modified Section 86(2) of the Trial on Indictment Act by specifying the purpose for which such a detention can be made </w:t>
      </w:r>
      <w:proofErr w:type="gramStart"/>
      <w:r w:rsidRPr="0050731B">
        <w:t>on the basis of</w:t>
      </w:r>
      <w:proofErr w:type="gramEnd"/>
      <w:r w:rsidRPr="0050731B">
        <w:t xml:space="preserve"> a determination by a qualified psychiatrist or medical officer. The State was ordered to review and amend the Trial on Indictment Act with the purpose of clarifying how persons with psychosocial disabilities amounting to insanity should be handled through the criminal justice system in compliance with the Constitution. </w:t>
      </w:r>
    </w:p>
    <w:p w14:paraId="4DFDA4F6" w14:textId="77777777" w:rsidR="0050731B" w:rsidRPr="0050731B" w:rsidRDefault="0050731B" w:rsidP="008C3EA5">
      <w:pPr>
        <w:pStyle w:val="SingleTxtG"/>
        <w:numPr>
          <w:ilvl w:val="0"/>
          <w:numId w:val="25"/>
        </w:numPr>
        <w:ind w:left="1134" w:firstLine="0"/>
      </w:pPr>
      <w:r w:rsidRPr="0050731B">
        <w:t>Involuntary admission and treatment of persons with mental disability is permitted under the Mental Health Act, 2019 upon a written request by an authorized person (husband, wife or relative), and shall not exceed three months. However, there are safeguards within the law to protect persons with disabilities.  The law emphasizes that a person can only be admitted as an involuntary patient where involuntary admission is the only means by which that person may be provided with care, treatment and rehabilitation that will benefit him or her (Article 24(11).</w:t>
      </w:r>
    </w:p>
    <w:p w14:paraId="3AE09B63" w14:textId="4E41EA75" w:rsidR="0050731B" w:rsidRPr="0050731B" w:rsidRDefault="008C3EA5" w:rsidP="008C3EA5">
      <w:pPr>
        <w:pStyle w:val="H1G"/>
      </w:pPr>
      <w:bookmarkStart w:id="34" w:name="_Toc120102311"/>
      <w:r>
        <w:tab/>
      </w:r>
      <w:r>
        <w:tab/>
      </w:r>
      <w:bookmarkStart w:id="35" w:name="_Toc133425373"/>
      <w:r w:rsidR="0050731B" w:rsidRPr="0050731B">
        <w:t xml:space="preserve">Freedom from torture and cruel, </w:t>
      </w:r>
      <w:proofErr w:type="gramStart"/>
      <w:r w:rsidR="0050731B" w:rsidRPr="0050731B">
        <w:t>inhuman</w:t>
      </w:r>
      <w:proofErr w:type="gramEnd"/>
      <w:r w:rsidR="0050731B" w:rsidRPr="0050731B">
        <w:t xml:space="preserve"> or degrading treatment or punishment (article 15)</w:t>
      </w:r>
      <w:bookmarkEnd w:id="34"/>
      <w:bookmarkEnd w:id="35"/>
    </w:p>
    <w:p w14:paraId="55B5FDE7" w14:textId="77777777" w:rsidR="0050731B" w:rsidRPr="008C3EA5" w:rsidRDefault="0050731B" w:rsidP="008C3EA5">
      <w:pPr>
        <w:pStyle w:val="SingleTxtG"/>
        <w:rPr>
          <w:i/>
          <w:iCs/>
        </w:rPr>
      </w:pPr>
      <w:r w:rsidRPr="008C3EA5">
        <w:rPr>
          <w:i/>
          <w:iCs/>
        </w:rPr>
        <w:t>Cf Concluding Observation 29</w:t>
      </w:r>
    </w:p>
    <w:p w14:paraId="753CBBED" w14:textId="6C1C74AB" w:rsidR="0050731B" w:rsidRPr="0050731B" w:rsidRDefault="0050731B" w:rsidP="008C3EA5">
      <w:pPr>
        <w:pStyle w:val="SingleTxtG"/>
        <w:numPr>
          <w:ilvl w:val="0"/>
          <w:numId w:val="25"/>
        </w:numPr>
        <w:ind w:left="1134" w:firstLine="0"/>
      </w:pPr>
      <w:r w:rsidRPr="0050731B">
        <w:t xml:space="preserve">The Persons with Disabilities Act, 2020 reinforces the constitutional prohibition of torture in respect to persons with disabilities by forbidding all forms of torture, cruel or degrading treatment of persons with disabilities (S5(1). </w:t>
      </w:r>
    </w:p>
    <w:p w14:paraId="14A41E74" w14:textId="77777777" w:rsidR="0050731B" w:rsidRPr="0050731B" w:rsidRDefault="0050731B" w:rsidP="008C3EA5">
      <w:pPr>
        <w:pStyle w:val="SingleTxtG"/>
        <w:numPr>
          <w:ilvl w:val="0"/>
          <w:numId w:val="25"/>
        </w:numPr>
        <w:ind w:left="1134" w:firstLine="0"/>
      </w:pPr>
      <w:r w:rsidRPr="0050731B">
        <w:t xml:space="preserve">There are adequate institutional and legal mechanisms for investigating cases of human rights abuses against persons with disabilities. The NCPD, EOC, UHRC, police are mandated to carry out inquiries and investigations on matters relating to torture, cruel, </w:t>
      </w:r>
      <w:proofErr w:type="gramStart"/>
      <w:r w:rsidRPr="0050731B">
        <w:t>inhuman</w:t>
      </w:r>
      <w:proofErr w:type="gramEnd"/>
      <w:r w:rsidRPr="0050731B">
        <w:t xml:space="preserve"> and degrading treatment of persons with disabilities by government, corporate bodies or private persons and advocate for corrective measures by the concerned party. The Children (Amendment) Act, 2016 mandates the National Children Authority to receive complaints from the public relating to torture or cruel, </w:t>
      </w:r>
      <w:proofErr w:type="gramStart"/>
      <w:r w:rsidRPr="0050731B">
        <w:t>inhuman</w:t>
      </w:r>
      <w:proofErr w:type="gramEnd"/>
      <w:r w:rsidRPr="0050731B">
        <w:t xml:space="preserve"> or degrading treatment and refer such complaints to the appropriate authorities. The Children (Amendment) Act requires members of the public such as medical practitioners, social workers, </w:t>
      </w:r>
      <w:proofErr w:type="gramStart"/>
      <w:r w:rsidRPr="0050731B">
        <w:t>teachers</w:t>
      </w:r>
      <w:proofErr w:type="gramEnd"/>
      <w:r w:rsidRPr="0050731B">
        <w:t xml:space="preserve"> or local councillors to report torture or cruel or inhuman and degrading treatment to the authorities. The MGLSD has a national </w:t>
      </w:r>
      <w:proofErr w:type="gramStart"/>
      <w:r w:rsidRPr="0050731B">
        <w:t>toll free</w:t>
      </w:r>
      <w:proofErr w:type="gramEnd"/>
      <w:r w:rsidRPr="0050731B">
        <w:t xml:space="preserve"> child helpline (SAUTI 116) that receives reports from public on maltreatment of children including children with disabilities.</w:t>
      </w:r>
    </w:p>
    <w:p w14:paraId="2DAD4883" w14:textId="77777777" w:rsidR="0050731B" w:rsidRPr="0050731B" w:rsidRDefault="0050731B" w:rsidP="008C3EA5">
      <w:pPr>
        <w:pStyle w:val="SingleTxtG"/>
        <w:numPr>
          <w:ilvl w:val="0"/>
          <w:numId w:val="25"/>
        </w:numPr>
        <w:ind w:left="1134" w:firstLine="0"/>
      </w:pPr>
      <w:r w:rsidRPr="0050731B">
        <w:t>In 2014, the Government of Uganda established District Action Centres to supplement the toll-free helpline (</w:t>
      </w:r>
      <w:proofErr w:type="spellStart"/>
      <w:r w:rsidRPr="0050731B">
        <w:t>Sauti</w:t>
      </w:r>
      <w:proofErr w:type="spellEnd"/>
      <w:r w:rsidRPr="0050731B">
        <w:t xml:space="preserve"> 116) where people can call directly or walk </w:t>
      </w:r>
      <w:proofErr w:type="gramStart"/>
      <w:r w:rsidRPr="0050731B">
        <w:t>in to</w:t>
      </w:r>
      <w:proofErr w:type="gramEnd"/>
      <w:r w:rsidRPr="0050731B">
        <w:t xml:space="preserve"> report cases of child abuse.  The MGLSD has established a national </w:t>
      </w:r>
      <w:proofErr w:type="gramStart"/>
      <w:r w:rsidRPr="0050731B">
        <w:t>toll free</w:t>
      </w:r>
      <w:proofErr w:type="gramEnd"/>
      <w:r w:rsidRPr="0050731B">
        <w:t xml:space="preserve"> child helpline and 68 District Action centres. The National call centre is a 24/7 service contact centre with counsellors who receive calls and provide online counselling and guidance as and when required. Each centre has fulltime police officers to handle cases that require police intervention. Cases related to children with disabilities abuse and torture are also handled. In 2021/2022, 113 cases on children with disabilities were reported through this system. The Action Centres are not in every district and citizens may not be aware of the services. The centres may also not adequately apply disability inclusive approaches.</w:t>
      </w:r>
    </w:p>
    <w:p w14:paraId="47C3EE47" w14:textId="77777777" w:rsidR="0050731B" w:rsidRPr="0050731B" w:rsidRDefault="0050731B" w:rsidP="008C3EA5">
      <w:pPr>
        <w:pStyle w:val="SingleTxtG"/>
        <w:numPr>
          <w:ilvl w:val="0"/>
          <w:numId w:val="25"/>
        </w:numPr>
        <w:ind w:left="1134" w:firstLine="0"/>
      </w:pPr>
      <w:r w:rsidRPr="0050731B">
        <w:t xml:space="preserve">Pursuant to the Constitution and the Equal Opportunities Commission Act, 2007, the EOC has conducted numerous investigations on complaints of violations of the rights of marginalized groups including persons with disabilities, in areas that also cover torture or cruel, </w:t>
      </w:r>
      <w:proofErr w:type="gramStart"/>
      <w:r w:rsidRPr="0050731B">
        <w:t>inhuman</w:t>
      </w:r>
      <w:proofErr w:type="gramEnd"/>
      <w:r w:rsidRPr="0050731B">
        <w:t xml:space="preserve"> or degrading treatment. The 2021 Annual Report on the State of Equal Opportunities shows that the EOC resolved up to 66% of the complaints regarding discrimination and marginalisation that it registered in FY 2020/2021 and referred 140 (24%) of the 590 complaints it registered to other institutions/courts where they were not within its mandate. Out of the 450 complaints that were registered, 42 (9.3%) are partially concluded, while 110 (24.4%) are still under investigation by the Commission.</w:t>
      </w:r>
      <w:r w:rsidRPr="0050731B">
        <w:rPr>
          <w:vertAlign w:val="superscript"/>
        </w:rPr>
        <w:footnoteReference w:id="29"/>
      </w:r>
      <w:r w:rsidRPr="0050731B">
        <w:t xml:space="preserve"> The data available on reported and tried cases on torture, cruel or inhuman or degrading treatment is however not often disability disaggregated. </w:t>
      </w:r>
    </w:p>
    <w:p w14:paraId="7E5A7B74" w14:textId="77777777" w:rsidR="0050731B" w:rsidRPr="0050731B" w:rsidRDefault="0050731B" w:rsidP="008C3EA5">
      <w:pPr>
        <w:pStyle w:val="SingleTxtG"/>
        <w:numPr>
          <w:ilvl w:val="0"/>
          <w:numId w:val="25"/>
        </w:numPr>
        <w:ind w:left="1134" w:firstLine="0"/>
      </w:pPr>
      <w:r w:rsidRPr="0050731B">
        <w:t>The Mental Health Act aligns with the CRPD’s provision on independent living in so far as it establishes community mental health services to be provided at primary health centres as an alternative to institutionalization. Availability of functional mental health facilities within the community is important to facilitate reintegration after discharge from hospitals and enhance access to medication, diagnostic and therapeutic equipment, and reduce the need for users to travel long distances seeking mental health services.</w:t>
      </w:r>
      <w:r w:rsidRPr="0050731B">
        <w:rPr>
          <w:vertAlign w:val="superscript"/>
        </w:rPr>
        <w:footnoteReference w:id="30"/>
      </w:r>
    </w:p>
    <w:p w14:paraId="3FA2E20B" w14:textId="77777777" w:rsidR="0050731B" w:rsidRPr="0050731B" w:rsidRDefault="0050731B" w:rsidP="008C3EA5">
      <w:pPr>
        <w:pStyle w:val="SingleTxtG"/>
        <w:numPr>
          <w:ilvl w:val="0"/>
          <w:numId w:val="25"/>
        </w:numPr>
        <w:ind w:left="1134" w:firstLine="0"/>
      </w:pPr>
      <w:r w:rsidRPr="0050731B">
        <w:t xml:space="preserve">Uganda repealed the outdated Mental Treatment Act and the Administration of estates of Persons of Unsound Mind Act, Cap. 155 through the Mental Health Act, 2019. The Act prohibits admission, </w:t>
      </w:r>
      <w:proofErr w:type="gramStart"/>
      <w:r w:rsidRPr="0050731B">
        <w:t>care</w:t>
      </w:r>
      <w:proofErr w:type="gramEnd"/>
      <w:r w:rsidRPr="0050731B">
        <w:t xml:space="preserve"> and treatment of a person with psychosocial disability at a health unit or a mental health unit except under conditions stipulated under the Act (S19). Treatment of a person with psychosocial disability can only happen in a mental health facility upon obtaining informed consent from that person (S20). The Act limits admission at a primary health centre to be voluntary except under emergency</w:t>
      </w:r>
      <w:r w:rsidRPr="0050731B">
        <w:rPr>
          <w:vertAlign w:val="superscript"/>
        </w:rPr>
        <w:footnoteReference w:id="31"/>
      </w:r>
      <w:r w:rsidRPr="0050731B">
        <w:t xml:space="preserve"> (S 21).</w:t>
      </w:r>
    </w:p>
    <w:p w14:paraId="69FD4FF3" w14:textId="77777777" w:rsidR="0050731B" w:rsidRPr="0050731B" w:rsidRDefault="0050731B" w:rsidP="008C3EA5">
      <w:pPr>
        <w:pStyle w:val="SingleTxtG"/>
        <w:numPr>
          <w:ilvl w:val="0"/>
          <w:numId w:val="25"/>
        </w:numPr>
        <w:ind w:left="1134" w:firstLine="0"/>
      </w:pPr>
      <w:r w:rsidRPr="0050731B">
        <w:t>The Constitution gives the UHRC the mandate to investigate cases of violation of any human right and to visit places of detention or related facilities with a view to assessing and inspecting the conditions of the inmates.</w:t>
      </w:r>
      <w:r w:rsidRPr="0050731B">
        <w:rPr>
          <w:vertAlign w:val="superscript"/>
        </w:rPr>
        <w:footnoteReference w:id="32"/>
      </w:r>
      <w:r w:rsidRPr="0050731B">
        <w:t xml:space="preserve"> UHRC has used this mandate to visit and inspect many detention facilities as reported previously. In 2014, UHRC engaged with the Principal Judge to have cases of inmates pending ministerial orders handled expeditiously and made various other recommendations. UHRC monitored COVID-19 isolation and treatment centres and highlighted the challenges persons with mental disabilities faced. UHRC designated a full chapter to highlight the situation of mental disabilities in its 23</w:t>
      </w:r>
      <w:r w:rsidRPr="0050731B">
        <w:rPr>
          <w:vertAlign w:val="superscript"/>
        </w:rPr>
        <w:t>rd</w:t>
      </w:r>
      <w:r w:rsidRPr="0050731B">
        <w:t xml:space="preserve"> Annual Report</w:t>
      </w:r>
      <w:r w:rsidRPr="0050731B">
        <w:rPr>
          <w:vertAlign w:val="superscript"/>
        </w:rPr>
        <w:footnoteReference w:id="33"/>
      </w:r>
      <w:r w:rsidRPr="0050731B">
        <w:t xml:space="preserve"> on the state of human rights in Uganda.</w:t>
      </w:r>
    </w:p>
    <w:p w14:paraId="7B5E67DF" w14:textId="0FCFDC1A" w:rsidR="0050731B" w:rsidRPr="0050731B" w:rsidRDefault="008C3EA5" w:rsidP="008C3EA5">
      <w:pPr>
        <w:pStyle w:val="H1G"/>
      </w:pPr>
      <w:bookmarkStart w:id="36" w:name="_Toc120102312"/>
      <w:r>
        <w:tab/>
      </w:r>
      <w:r>
        <w:tab/>
      </w:r>
      <w:bookmarkStart w:id="37" w:name="_Toc133425374"/>
      <w:r w:rsidR="0050731B" w:rsidRPr="0050731B">
        <w:t xml:space="preserve">Freedom from exploitation, </w:t>
      </w:r>
      <w:proofErr w:type="gramStart"/>
      <w:r w:rsidR="0050731B" w:rsidRPr="0050731B">
        <w:t>violence</w:t>
      </w:r>
      <w:proofErr w:type="gramEnd"/>
      <w:r w:rsidR="0050731B" w:rsidRPr="0050731B">
        <w:t xml:space="preserve"> and abuse (Article 16)</w:t>
      </w:r>
      <w:bookmarkEnd w:id="36"/>
      <w:bookmarkEnd w:id="37"/>
    </w:p>
    <w:p w14:paraId="6FC3E340" w14:textId="77777777" w:rsidR="0050731B" w:rsidRPr="008C3EA5" w:rsidRDefault="0050731B" w:rsidP="008C3EA5">
      <w:pPr>
        <w:pStyle w:val="SingleTxtG"/>
        <w:rPr>
          <w:i/>
          <w:iCs/>
        </w:rPr>
      </w:pPr>
      <w:r w:rsidRPr="008C3EA5">
        <w:rPr>
          <w:i/>
          <w:iCs/>
        </w:rPr>
        <w:t>Cf Concluding observation 31</w:t>
      </w:r>
    </w:p>
    <w:p w14:paraId="05A631FB" w14:textId="77777777" w:rsidR="0050731B" w:rsidRPr="0050731B" w:rsidRDefault="0050731B" w:rsidP="008C3EA5">
      <w:pPr>
        <w:pStyle w:val="SingleTxtG"/>
        <w:numPr>
          <w:ilvl w:val="0"/>
          <w:numId w:val="25"/>
        </w:numPr>
        <w:ind w:left="1134" w:firstLine="0"/>
      </w:pPr>
      <w:r w:rsidRPr="0050731B">
        <w:rPr>
          <w:lang w:val="en-US"/>
        </w:rPr>
        <w:t xml:space="preserve">Uganda has a legal and policy framework to prevent and address gender-based violence against men and women in general </w:t>
      </w:r>
      <w:proofErr w:type="gramStart"/>
      <w:r w:rsidRPr="0050731B">
        <w:rPr>
          <w:lang w:val="en-US"/>
        </w:rPr>
        <w:t>and also</w:t>
      </w:r>
      <w:proofErr w:type="gramEnd"/>
      <w:r w:rsidRPr="0050731B">
        <w:rPr>
          <w:lang w:val="en-US"/>
        </w:rPr>
        <w:t xml:space="preserve"> against specifically women and girls including those with disabilities. </w:t>
      </w:r>
      <w:r w:rsidRPr="0050731B">
        <w:t xml:space="preserve">The relevant laws on gender-based violence include the Penal Code Act, 2007, Children (Amendment) Act, 2016, The Domestic Violence Act, 2010 and its regulations (2011) and the Female Genital Mutilation Act, 2010 and its regulations. </w:t>
      </w:r>
    </w:p>
    <w:p w14:paraId="27AB6EE7" w14:textId="77777777" w:rsidR="0050731B" w:rsidRPr="0050731B" w:rsidRDefault="0050731B" w:rsidP="008C3EA5">
      <w:pPr>
        <w:pStyle w:val="SingleTxtG"/>
        <w:numPr>
          <w:ilvl w:val="0"/>
          <w:numId w:val="25"/>
        </w:numPr>
        <w:ind w:left="1134" w:firstLine="0"/>
        <w:rPr>
          <w:lang w:val="en-US"/>
        </w:rPr>
      </w:pPr>
      <w:r w:rsidRPr="0050731B">
        <w:t>In addition to these laws, the following policies exist: the National Male Involvement Strategy for the Prevention and Response to Gender Based Violence in Uganda 2017, the National Policy on Elimination of Gender Based Violence in Uganda 2016, the Guidelines for Establishment and Management of Gender Based Violence Shelters in Uganda and the Uganda Gender Policy 2007</w:t>
      </w:r>
      <w:r w:rsidRPr="0050731B">
        <w:rPr>
          <w:lang w:val="en-US"/>
        </w:rPr>
        <w:t>. The National Male Involvement Strategy Policy is based on a social norm change model of using male champions as a strategy for men to promote a gender-based violence free environment.</w:t>
      </w:r>
    </w:p>
    <w:p w14:paraId="49B458C4" w14:textId="77777777" w:rsidR="0050731B" w:rsidRPr="0050731B" w:rsidRDefault="0050731B" w:rsidP="008C3EA5">
      <w:pPr>
        <w:pStyle w:val="SingleTxtG"/>
        <w:numPr>
          <w:ilvl w:val="0"/>
          <w:numId w:val="25"/>
        </w:numPr>
        <w:ind w:left="1134" w:firstLine="0"/>
        <w:rPr>
          <w:lang w:val="en-US"/>
        </w:rPr>
      </w:pPr>
      <w:r w:rsidRPr="0050731B">
        <w:rPr>
          <w:lang w:val="en-US"/>
        </w:rPr>
        <w:t xml:space="preserve">There are 20 Gender-Based Violence (GBV) shelters across the country to provide a range of services including psychosocial, safety, medical, legal aid, </w:t>
      </w:r>
      <w:proofErr w:type="gramStart"/>
      <w:r w:rsidRPr="0050731B">
        <w:rPr>
          <w:lang w:val="en-US"/>
        </w:rPr>
        <w:t>resettlement</w:t>
      </w:r>
      <w:proofErr w:type="gramEnd"/>
      <w:r w:rsidRPr="0050731B">
        <w:rPr>
          <w:lang w:val="en-US"/>
        </w:rPr>
        <w:t xml:space="preserve"> and integration of </w:t>
      </w:r>
      <w:r w:rsidRPr="008C3EA5">
        <w:t>women</w:t>
      </w:r>
      <w:r w:rsidRPr="0050731B">
        <w:rPr>
          <w:lang w:val="en-US"/>
        </w:rPr>
        <w:t xml:space="preserve"> who experience violence. Furthermore, the MGLSD developed the National Guidelines for the Provision of Psychosocial Support for Gender Based Violence Victims/Survivors that emphasize the need for specific skills to handle victims/survivors with special needs, such as children and [persons with Disabilities. Some of the shelters have sign language interpreters to ease communication with deaf victims/survivors. These shelters work with police, probation officers, community development officers to provide responses to victims and survivors; </w:t>
      </w:r>
      <w:proofErr w:type="gramStart"/>
      <w:r w:rsidRPr="0050731B">
        <w:rPr>
          <w:lang w:val="en-US"/>
        </w:rPr>
        <w:t>however</w:t>
      </w:r>
      <w:proofErr w:type="gramEnd"/>
      <w:r w:rsidRPr="0050731B">
        <w:rPr>
          <w:lang w:val="en-US"/>
        </w:rPr>
        <w:t xml:space="preserve"> the services are not always disability inclusive and the data generated is not disability disaggregated. Some of these shelters lack adequate resources to support GBV victims/survivors including those with disabilities. Not all women and girls with disabilities have access to information in accessible formats in the GBV services offered in the shelters.</w:t>
      </w:r>
    </w:p>
    <w:p w14:paraId="6C5D62C8" w14:textId="77777777" w:rsidR="0050731B" w:rsidRPr="0050731B" w:rsidRDefault="0050731B" w:rsidP="008C3EA5">
      <w:pPr>
        <w:pStyle w:val="SingleTxtG"/>
        <w:numPr>
          <w:ilvl w:val="0"/>
          <w:numId w:val="25"/>
        </w:numPr>
        <w:ind w:left="1134" w:firstLine="0"/>
      </w:pPr>
      <w:r w:rsidRPr="0050731B">
        <w:t xml:space="preserve">The existing legal and institutional frameworks provide mechanisms for victims of </w:t>
      </w:r>
      <w:proofErr w:type="gramStart"/>
      <w:r w:rsidRPr="0050731B">
        <w:t>gender based</w:t>
      </w:r>
      <w:proofErr w:type="gramEnd"/>
      <w:r w:rsidRPr="0050731B">
        <w:t xml:space="preserve"> violence to </w:t>
      </w:r>
      <w:r w:rsidRPr="008C3EA5">
        <w:rPr>
          <w:lang w:val="en-US"/>
        </w:rPr>
        <w:t>report</w:t>
      </w:r>
      <w:r w:rsidRPr="0050731B">
        <w:t xml:space="preserve"> abuse and seek legal redress against perpetrators of violence. In addition to courts, victims of violence can report abuse to police stations located in every sub-county, to the UHRC, the National Child Authority and the </w:t>
      </w:r>
      <w:proofErr w:type="spellStart"/>
      <w:r w:rsidRPr="0050731B">
        <w:t>Sauti</w:t>
      </w:r>
      <w:proofErr w:type="spellEnd"/>
      <w:r w:rsidRPr="0050731B">
        <w:t xml:space="preserve"> Helpline. The Judiciary since 2018 established Special Court Sessions for GBV and 2704 cases have been disposed of. The National Council for Persons with Disabilities also receives complaints on GBV and refers the cases to the appropriate authorities. The services provided by these institutions extend to women with disabilities but may not be adapted to meet the needs of women and girls with disabilities.</w:t>
      </w:r>
    </w:p>
    <w:p w14:paraId="7E5FDE03" w14:textId="77777777" w:rsidR="0050731B" w:rsidRPr="0050731B" w:rsidRDefault="0050731B" w:rsidP="008C3EA5">
      <w:pPr>
        <w:pStyle w:val="SingleTxtG"/>
        <w:numPr>
          <w:ilvl w:val="0"/>
          <w:numId w:val="25"/>
        </w:numPr>
        <w:ind w:left="1134" w:firstLine="0"/>
      </w:pPr>
      <w:r w:rsidRPr="0050731B">
        <w:t>The COVID-19 pandemic leading to protracted lockdown and school closures in Uganda exacerbated the prevalence of violence in the general population and among persons with disabilities, and curtailed access to justice by some victims of violence. For example, 14,080 cases of defilement were not heard partly due to COVID-19 lockdown measures.</w:t>
      </w:r>
      <w:r w:rsidRPr="0050731B">
        <w:rPr>
          <w:vertAlign w:val="superscript"/>
        </w:rPr>
        <w:footnoteReference w:id="34"/>
      </w:r>
      <w:r w:rsidRPr="0050731B">
        <w:t xml:space="preserve"> The Special sessions of the High Court on GBV have helped to address the fast tracking of trials, however there is still case backlog that requires adequate human and financial resources to address outstanding cases. The government of Uganda is recruiting more judges to provide access to justice for GBV victims.</w:t>
      </w:r>
    </w:p>
    <w:p w14:paraId="0EDC53B8" w14:textId="77777777" w:rsidR="0050731B" w:rsidRPr="0050731B" w:rsidRDefault="0050731B" w:rsidP="008C3EA5">
      <w:pPr>
        <w:pStyle w:val="SingleTxtG"/>
        <w:numPr>
          <w:ilvl w:val="0"/>
          <w:numId w:val="25"/>
        </w:numPr>
        <w:ind w:left="1134" w:firstLine="0"/>
      </w:pPr>
      <w:r w:rsidRPr="0050731B">
        <w:t xml:space="preserve">Uganda follows a multi-sectorial approach to managing violence involving local leaders, the police, medial officers, probation and social welfare officers, the Judiciary and NGOs. In Oct 2021, the Government of Uganda trained 159 criminal investigations department police officers and 120 medical practitioners who were deployed to areas with the highest prevalence of violence against women and children. Because of the COVID-19 pandemic, courts did not hear over 14,080 cases of defilement involving female juveniles in 2020 and </w:t>
      </w:r>
      <w:proofErr w:type="gramStart"/>
      <w:r w:rsidRPr="0050731B">
        <w:t>so</w:t>
      </w:r>
      <w:proofErr w:type="gramEnd"/>
      <w:r w:rsidRPr="0050731B">
        <w:t xml:space="preserve"> the JLOS sub-programme provided audio-visual link technology to eight High Court sessions to help courts fast track hearing of GBV cases</w:t>
      </w:r>
      <w:r w:rsidRPr="0050731B">
        <w:rPr>
          <w:vertAlign w:val="superscript"/>
        </w:rPr>
        <w:footnoteReference w:id="35"/>
      </w:r>
      <w:r w:rsidRPr="0050731B">
        <w:t xml:space="preserve">. </w:t>
      </w:r>
    </w:p>
    <w:p w14:paraId="36653D50" w14:textId="77777777" w:rsidR="0050731B" w:rsidRPr="0050731B" w:rsidRDefault="0050731B" w:rsidP="008C3EA5">
      <w:pPr>
        <w:pStyle w:val="SingleTxtG"/>
        <w:numPr>
          <w:ilvl w:val="0"/>
          <w:numId w:val="25"/>
        </w:numPr>
        <w:ind w:left="1134" w:firstLine="0"/>
      </w:pPr>
      <w:r w:rsidRPr="0050731B">
        <w:t>The National Council for Persons with Disabilities has monitored detention facilities in the capital city and its surrounding districts; however, the Council is yet to reach the entire country due to resource constraints.</w:t>
      </w:r>
    </w:p>
    <w:p w14:paraId="181D8280" w14:textId="3268878F" w:rsidR="0050731B" w:rsidRPr="0050731B" w:rsidRDefault="008C3EA5" w:rsidP="008C3EA5">
      <w:pPr>
        <w:pStyle w:val="H1G"/>
      </w:pPr>
      <w:bookmarkStart w:id="38" w:name="_Toc120102313"/>
      <w:r>
        <w:tab/>
      </w:r>
      <w:r>
        <w:tab/>
      </w:r>
      <w:bookmarkStart w:id="39" w:name="_Toc133425375"/>
      <w:r w:rsidR="0050731B" w:rsidRPr="0050731B">
        <w:t>Protecting the integrity of the person (Article 17)</w:t>
      </w:r>
      <w:bookmarkEnd w:id="38"/>
      <w:bookmarkEnd w:id="39"/>
    </w:p>
    <w:p w14:paraId="687A2A2B" w14:textId="77777777" w:rsidR="0050731B" w:rsidRPr="008C3EA5" w:rsidRDefault="0050731B" w:rsidP="008C3EA5">
      <w:pPr>
        <w:pStyle w:val="SingleTxtG"/>
        <w:rPr>
          <w:i/>
          <w:iCs/>
        </w:rPr>
      </w:pPr>
      <w:proofErr w:type="spellStart"/>
      <w:r w:rsidRPr="008C3EA5">
        <w:rPr>
          <w:i/>
          <w:iCs/>
        </w:rPr>
        <w:t>cf</w:t>
      </w:r>
      <w:proofErr w:type="spellEnd"/>
      <w:r w:rsidRPr="008C3EA5">
        <w:rPr>
          <w:i/>
          <w:iCs/>
        </w:rPr>
        <w:t xml:space="preserve"> Concluding Observation 33</w:t>
      </w:r>
    </w:p>
    <w:p w14:paraId="627F5C5E" w14:textId="63F48728" w:rsidR="0050731B" w:rsidRPr="0050731B" w:rsidRDefault="0050731B" w:rsidP="008C3EA5">
      <w:pPr>
        <w:pStyle w:val="SingleTxtG"/>
        <w:numPr>
          <w:ilvl w:val="0"/>
          <w:numId w:val="25"/>
        </w:numPr>
        <w:ind w:left="1134" w:firstLine="0"/>
      </w:pPr>
      <w:r w:rsidRPr="0050731B">
        <w:t xml:space="preserve">Harmful practices are often originated and perpetuated under cultural, </w:t>
      </w:r>
      <w:proofErr w:type="gramStart"/>
      <w:r w:rsidRPr="0050731B">
        <w:t>societal</w:t>
      </w:r>
      <w:proofErr w:type="gramEnd"/>
      <w:r w:rsidRPr="0050731B">
        <w:t xml:space="preserve"> and sometimes religious norms that result in discrimination against women and girls, including those with disabilities. The Persons with Disabilities Act 2020 prohibits harmful traditional/ cultural practices and the Children (Amendment) Act too.  Women with disabilities are protected against harmful practices by laws such as the Female Genital Mutilation Act, 2010 and the Domestic Violence Act, 2010 and </w:t>
      </w:r>
      <w:proofErr w:type="gramStart"/>
      <w:r w:rsidRPr="0050731B">
        <w:t>it’s</w:t>
      </w:r>
      <w:proofErr w:type="gramEnd"/>
      <w:r w:rsidRPr="0050731B">
        <w:t xml:space="preserve"> Regulations of 2011.</w:t>
      </w:r>
    </w:p>
    <w:p w14:paraId="75665ECF" w14:textId="77777777" w:rsidR="0050731B" w:rsidRPr="0050731B" w:rsidRDefault="0050731B" w:rsidP="008C3EA5">
      <w:pPr>
        <w:pStyle w:val="SingleTxtG"/>
        <w:numPr>
          <w:ilvl w:val="0"/>
          <w:numId w:val="25"/>
        </w:numPr>
        <w:ind w:left="1134" w:firstLine="0"/>
      </w:pPr>
      <w:r w:rsidRPr="0050731B">
        <w:t xml:space="preserve">Government has put in place sensitisation programmes and policies to prohibit harmful practices. The National Strategy to End Child Marriage and Teenage Pregnancy (2014/15-2019/2020) emphasized awareness raising for Persons with Disabilities. The MGLSD developed a National Male Involvement Strategy for the Prevention and Response to Gender Based Violence in Uganda, 2017 provides strategies to combat harmful traditional practices such as FGM, early and forced marriage, and bride price related violence and widow inheritance. MGLSD has conducted extensive campaigns against FGM, child marriage and sexual abuse of women and girls including those with albinism in many communities in rural and urban areas. The EOC and the UHRC monitor violations of persons with disabilities, including women and girls, and promotes their protection too. In 2015, the UHRC flagged some of the myths and superstitions that perpetuate discrimination and violence against persons with disabilities dedicating a comprehensive situational analysis of persons living with </w:t>
      </w:r>
      <w:proofErr w:type="gramStart"/>
      <w:r w:rsidRPr="0050731B">
        <w:t>albinism in particular</w:t>
      </w:r>
      <w:proofErr w:type="gramEnd"/>
      <w:r w:rsidRPr="0050731B">
        <w:t>.</w:t>
      </w:r>
      <w:r w:rsidRPr="0050731B">
        <w:rPr>
          <w:vertAlign w:val="superscript"/>
        </w:rPr>
        <w:footnoteReference w:id="36"/>
      </w:r>
      <w:r w:rsidRPr="0050731B">
        <w:t xml:space="preserve"> Some of the women and girls with albinism faced subjection to violence and insecurity, insults, sexual assaults, child sacrifice and trafficking in body parts. </w:t>
      </w:r>
    </w:p>
    <w:p w14:paraId="66D731FE" w14:textId="77777777" w:rsidR="0050731B" w:rsidRPr="0050731B" w:rsidRDefault="0050731B" w:rsidP="008C3EA5">
      <w:pPr>
        <w:pStyle w:val="SingleTxtG"/>
        <w:numPr>
          <w:ilvl w:val="0"/>
          <w:numId w:val="25"/>
        </w:numPr>
        <w:ind w:left="1134" w:firstLine="0"/>
      </w:pPr>
      <w:r w:rsidRPr="0050731B">
        <w:t>The Children (Amendment) Act 2016 prohibits the exposure of children to harmful customary practices and crimes like child sacrifice that may inflict physical, mental, or emotional harm to the development of a child.  In 2021, the EOC successfully mediated in a case involving a child living with albinism who dropped out of school after being denied admission into the boarding section during preparations for the final examinations. Following mediation between the school and the family of the child with albinism, the complaint was resolved in favour of the child and the school was ordered to pay damages of twenty-three million Ugandan shillings (UGX 23 million shillings)</w:t>
      </w:r>
      <w:r w:rsidRPr="0050731B">
        <w:rPr>
          <w:vertAlign w:val="superscript"/>
        </w:rPr>
        <w:footnoteReference w:id="37"/>
      </w:r>
      <w:r w:rsidRPr="0050731B">
        <w:t xml:space="preserve">. </w:t>
      </w:r>
    </w:p>
    <w:p w14:paraId="3A0C9296" w14:textId="77777777" w:rsidR="0050731B" w:rsidRPr="0050731B" w:rsidRDefault="0050731B" w:rsidP="008C3EA5">
      <w:pPr>
        <w:pStyle w:val="SingleTxtG"/>
        <w:numPr>
          <w:ilvl w:val="0"/>
          <w:numId w:val="25"/>
        </w:numPr>
        <w:ind w:left="1134" w:firstLine="0"/>
        <w:rPr>
          <w:color w:val="353535"/>
          <w:lang w:val="en-US"/>
        </w:rPr>
      </w:pPr>
      <w:r w:rsidRPr="0050731B">
        <w:t>Uganda has created an enabling environment for partnerships that promote the rights of women with disabilities in collaboration with OPDs such as the National Union of Women with Disabilities in Uganda (NUWODU). NUWODU is currently implementing several advocacy projects aimed at combating violence against girls and women with disabilities in five districts. The project has empowered women and girls with disabilities with knowledge on gender-based violence and sexual reproductive health rights.</w:t>
      </w:r>
      <w:r w:rsidRPr="0050731B">
        <w:rPr>
          <w:vertAlign w:val="superscript"/>
        </w:rPr>
        <w:footnoteReference w:id="38"/>
      </w:r>
      <w:r w:rsidRPr="0050731B">
        <w:t xml:space="preserve">  </w:t>
      </w:r>
    </w:p>
    <w:p w14:paraId="7C4C945D" w14:textId="77777777" w:rsidR="0050731B" w:rsidRPr="0050731B" w:rsidRDefault="0050731B" w:rsidP="008C3EA5">
      <w:pPr>
        <w:pStyle w:val="SingleTxtG"/>
        <w:numPr>
          <w:ilvl w:val="0"/>
          <w:numId w:val="25"/>
        </w:numPr>
        <w:ind w:left="1134" w:firstLine="0"/>
      </w:pPr>
      <w:r w:rsidRPr="0050731B">
        <w:t xml:space="preserve">As an alternative to institutionalization, the Mental Health Act establishes community mental health services and prioritizes the treatment of mental health conditions at primary health centres that must be within the reach of the person with a mental health condition. The mental health law prohibits and restricts admission and treatment at a mental health unit to emergencies and after obtaining informed consent of the person. </w:t>
      </w:r>
    </w:p>
    <w:p w14:paraId="7D7B6974" w14:textId="1B184F09" w:rsidR="0050731B" w:rsidRPr="0050731B" w:rsidRDefault="008C3EA5" w:rsidP="008C3EA5">
      <w:pPr>
        <w:pStyle w:val="H1G"/>
      </w:pPr>
      <w:bookmarkStart w:id="40" w:name="_Toc120102314"/>
      <w:r>
        <w:tab/>
      </w:r>
      <w:r>
        <w:tab/>
      </w:r>
      <w:bookmarkStart w:id="41" w:name="_Toc133425376"/>
      <w:r w:rsidR="0050731B" w:rsidRPr="0050731B">
        <w:t>Liberty of movement and nationality (Article 18)</w:t>
      </w:r>
      <w:bookmarkEnd w:id="40"/>
      <w:bookmarkEnd w:id="41"/>
    </w:p>
    <w:p w14:paraId="02897032" w14:textId="77777777" w:rsidR="0050731B" w:rsidRPr="008C3EA5" w:rsidRDefault="0050731B" w:rsidP="008C3EA5">
      <w:pPr>
        <w:pStyle w:val="SingleTxtG"/>
        <w:rPr>
          <w:i/>
          <w:iCs/>
        </w:rPr>
      </w:pPr>
      <w:r w:rsidRPr="008C3EA5">
        <w:rPr>
          <w:i/>
          <w:iCs/>
        </w:rPr>
        <w:t>Cf Concluding observations 37</w:t>
      </w:r>
    </w:p>
    <w:p w14:paraId="746BB87E" w14:textId="77777777" w:rsidR="0050731B" w:rsidRPr="0050731B" w:rsidRDefault="0050731B" w:rsidP="008C3EA5">
      <w:pPr>
        <w:pStyle w:val="SingleTxtG"/>
        <w:numPr>
          <w:ilvl w:val="0"/>
          <w:numId w:val="25"/>
        </w:numPr>
        <w:ind w:left="1134" w:firstLine="0"/>
      </w:pPr>
      <w:r w:rsidRPr="0050731B">
        <w:t xml:space="preserve">Every Uganda has freedom of movement and a right to nationality, including Persons with Disabilities. The Uganda Citizenship and Immigration (Amendment) Act, 2009 regulates the exercise of this right. By law citizens can acquire dual citizenship on attaining age 18. </w:t>
      </w:r>
    </w:p>
    <w:p w14:paraId="68FA392B" w14:textId="77777777" w:rsidR="0050731B" w:rsidRPr="0050731B" w:rsidRDefault="0050731B" w:rsidP="008C3EA5">
      <w:pPr>
        <w:pStyle w:val="SingleTxtG"/>
        <w:numPr>
          <w:ilvl w:val="0"/>
          <w:numId w:val="25"/>
        </w:numPr>
        <w:ind w:left="1134" w:firstLine="0"/>
      </w:pPr>
      <w:r w:rsidRPr="0050731B">
        <w:t>Every child in Uganda has a right to be registered after birth under Children (Amendment) Act, 2016.  Registration of all persons in Uganda is the statutory responsibility of the National Identification and Registration Authority (NIRA), whose functions includes registering citizens of Uganda and registering births and deaths. This function includes registering the births of children with disabilities. To ease access to the services, NIRA decentralised the services of registration to sub-county level and held several outreaches at community level working with local council leaders and village health teams. However, it should be noted that stigma and stereotyping is still limiting registration of some persons with disabilities, whose parents or caregivers do not register them.</w:t>
      </w:r>
    </w:p>
    <w:p w14:paraId="00C83E46" w14:textId="77777777" w:rsidR="0050731B" w:rsidRPr="0050731B" w:rsidRDefault="0050731B" w:rsidP="008C3EA5">
      <w:pPr>
        <w:pStyle w:val="SingleTxtG"/>
        <w:numPr>
          <w:ilvl w:val="0"/>
          <w:numId w:val="25"/>
        </w:numPr>
        <w:ind w:left="1134" w:firstLine="0"/>
      </w:pPr>
      <w:r w:rsidRPr="0050731B">
        <w:t xml:space="preserve">Birth registration is free and compulsory. Birth registration is increasing due to innovations in technology used by government. Registration of children under 5 years increased from 30% in 2011 to 60% in 2017. There is increased use of electronic and mobile registration in de-concentrated registration services, registration at point of delivery in hospitals, at immunization centres and in health facilities.  </w:t>
      </w:r>
    </w:p>
    <w:p w14:paraId="15FA73A4" w14:textId="1DF7EF78" w:rsidR="0050731B" w:rsidRPr="0050731B" w:rsidRDefault="008C3EA5" w:rsidP="008C3EA5">
      <w:pPr>
        <w:pStyle w:val="H1G"/>
      </w:pPr>
      <w:bookmarkStart w:id="42" w:name="_Toc120102315"/>
      <w:r>
        <w:tab/>
      </w:r>
      <w:r>
        <w:tab/>
      </w:r>
      <w:bookmarkStart w:id="43" w:name="_Toc133425377"/>
      <w:r w:rsidR="0050731B" w:rsidRPr="0050731B">
        <w:t>Living independently and being included in the community (article 19)</w:t>
      </w:r>
      <w:bookmarkEnd w:id="42"/>
      <w:bookmarkEnd w:id="43"/>
    </w:p>
    <w:p w14:paraId="44332552" w14:textId="77777777" w:rsidR="0050731B" w:rsidRPr="008C3EA5" w:rsidRDefault="0050731B" w:rsidP="008C3EA5">
      <w:pPr>
        <w:pStyle w:val="SingleTxtG"/>
        <w:rPr>
          <w:i/>
          <w:iCs/>
        </w:rPr>
      </w:pPr>
      <w:r w:rsidRPr="008C3EA5">
        <w:rPr>
          <w:i/>
          <w:iCs/>
        </w:rPr>
        <w:t>Cf concluding observation 38</w:t>
      </w:r>
    </w:p>
    <w:p w14:paraId="16245AF5" w14:textId="77777777" w:rsidR="0050731B" w:rsidRPr="0050731B" w:rsidRDefault="0050731B" w:rsidP="008C3EA5">
      <w:pPr>
        <w:pStyle w:val="SingleTxtG"/>
        <w:numPr>
          <w:ilvl w:val="0"/>
          <w:numId w:val="25"/>
        </w:numPr>
        <w:ind w:left="1134" w:firstLine="0"/>
      </w:pPr>
      <w:r w:rsidRPr="0050731B">
        <w:t>The government is making steady progress toward reducing institutionalization of persons with mental and psycho-social challenges. The Mental Health Act, 2019 provides for community mental health services</w:t>
      </w:r>
      <w:r w:rsidRPr="0050731B">
        <w:rPr>
          <w:vertAlign w:val="superscript"/>
        </w:rPr>
        <w:footnoteReference w:id="39"/>
      </w:r>
      <w:r w:rsidRPr="0050731B">
        <w:t xml:space="preserve"> where persons with mental and psycho-social disabilities can be admitted at a primary health centre within their reach or neighbourhood. The Act also empowers community members, in collaboration with health workers to be the primary providers of mental health services to persons with mental or psychosocial disabilities. </w:t>
      </w:r>
    </w:p>
    <w:p w14:paraId="32A2D726" w14:textId="77777777" w:rsidR="0050731B" w:rsidRPr="0050731B" w:rsidRDefault="0050731B" w:rsidP="008C3EA5">
      <w:pPr>
        <w:pStyle w:val="SingleTxtG"/>
        <w:numPr>
          <w:ilvl w:val="0"/>
          <w:numId w:val="25"/>
        </w:numPr>
        <w:ind w:left="1134" w:firstLine="0"/>
      </w:pPr>
      <w:r w:rsidRPr="0050731B">
        <w:rPr>
          <w:color w:val="000000"/>
        </w:rPr>
        <w:t xml:space="preserve">Under the Community Based Rehabilitation Program, </w:t>
      </w:r>
      <w:r w:rsidRPr="0050731B">
        <w:t xml:space="preserve">community based mental health services are now an integral component of the mental health services ecosystem in Uganda. An objective of the Mental Health Act, 2019 is to ensure that community mental health services are integrated in the treatment and care of persons with mental disabilities. Community mental health services include primary health care services offered at all lower health facilities, and outreach mental health services provided at district hospitals and mental health units in regional referral hospitals. The Mental Health Act, 2019 establishes the position of a District Mental Health Focal Person whose duty is to co-ordinate mental health services and community mental health services at the district level (s </w:t>
      </w:r>
      <w:proofErr w:type="gramStart"/>
      <w:r w:rsidRPr="0050731B">
        <w:t>4.The</w:t>
      </w:r>
      <w:proofErr w:type="gramEnd"/>
      <w:r w:rsidRPr="0050731B">
        <w:t xml:space="preserve"> government is in the process of operationalising the Act’s requirement by putting in place the district mental health coordinators.</w:t>
      </w:r>
    </w:p>
    <w:p w14:paraId="117C4342" w14:textId="77777777" w:rsidR="0050731B" w:rsidRPr="0050731B" w:rsidRDefault="0050731B" w:rsidP="008C3EA5">
      <w:pPr>
        <w:pStyle w:val="SingleTxtG"/>
        <w:numPr>
          <w:ilvl w:val="0"/>
          <w:numId w:val="25"/>
        </w:numPr>
        <w:ind w:left="1134" w:firstLine="0"/>
      </w:pPr>
      <w:r w:rsidRPr="0050731B">
        <w:t xml:space="preserve">In 2021, Kyambogo University developed a six </w:t>
      </w:r>
      <w:proofErr w:type="gramStart"/>
      <w:r w:rsidRPr="0050731B">
        <w:t>months</w:t>
      </w:r>
      <w:proofErr w:type="gramEnd"/>
      <w:r w:rsidRPr="0050731B">
        <w:t xml:space="preserve"> Personal Assistance Course. In a bid to professionalise the care given to persons with disabilities, Kyambogo University in partnership with Light for the World Uganda is in the process of passing out Certified Professional Personal Assistants for Persons with Disabilities on 10th March 2022. The Certificate in Personal Assistant Services has so far seen 15 students graduate.</w:t>
      </w:r>
      <w:proofErr w:type="gramStart"/>
      <w:r w:rsidRPr="0050731B">
        <w:rPr>
          <w:vertAlign w:val="superscript"/>
        </w:rPr>
        <w:t xml:space="preserve">25 </w:t>
      </w:r>
      <w:r w:rsidRPr="0050731B">
        <w:t xml:space="preserve"> Arrangements</w:t>
      </w:r>
      <w:proofErr w:type="gramEnd"/>
      <w:r w:rsidRPr="0050731B">
        <w:t xml:space="preserve"> are in place to scale up the course, certify it through the MGLSD, and to request the Ministry of Public Service to include the role of personal assistants in the public service employment structure.</w:t>
      </w:r>
    </w:p>
    <w:p w14:paraId="321DD997" w14:textId="77777777" w:rsidR="0050731B" w:rsidRPr="0050731B" w:rsidRDefault="0050731B" w:rsidP="008C3EA5">
      <w:pPr>
        <w:pStyle w:val="SingleTxtG"/>
        <w:numPr>
          <w:ilvl w:val="0"/>
          <w:numId w:val="25"/>
        </w:numPr>
        <w:ind w:left="1134" w:firstLine="0"/>
      </w:pPr>
      <w:r w:rsidRPr="0050731B">
        <w:t xml:space="preserve">The Special Grant for Persons with Disabilities introduced in FY 2009/10 by the MGLSD provides persons with disabilities, as well as their family members and caregivers with start-up capital to start income generating projects. The grant can be accessed at National and District levels. A total of 16.6bn has been allocated to special grant for Persons with Disabilities with access to the National Special Grant increase from 1,445 in FY 2019/2020 to 13,615 in FY 2021/2022. Slightly more female (52%) than male (48%) persons with disabilities have accessed the grant. </w:t>
      </w:r>
    </w:p>
    <w:p w14:paraId="026CACA1" w14:textId="77777777" w:rsidR="0050731B" w:rsidRPr="0050731B" w:rsidRDefault="0050731B" w:rsidP="008C3EA5">
      <w:pPr>
        <w:pStyle w:val="SingleTxtG"/>
        <w:numPr>
          <w:ilvl w:val="0"/>
          <w:numId w:val="25"/>
        </w:numPr>
        <w:ind w:left="1134" w:firstLine="0"/>
      </w:pPr>
      <w:r w:rsidRPr="0050731B">
        <w:t xml:space="preserve">The Ministry of Gender, Labour and Social Development is running five rehabilitation </w:t>
      </w:r>
      <w:proofErr w:type="spellStart"/>
      <w:r w:rsidRPr="0050731B">
        <w:t>centers</w:t>
      </w:r>
      <w:proofErr w:type="spellEnd"/>
      <w:r w:rsidRPr="0050731B">
        <w:t xml:space="preserve"> that offer both rehabilitation and vocational skills to Youth with disabilities </w:t>
      </w:r>
      <w:proofErr w:type="gramStart"/>
      <w:r w:rsidRPr="0050731B">
        <w:t>so as to</w:t>
      </w:r>
      <w:proofErr w:type="gramEnd"/>
      <w:r w:rsidRPr="0050731B">
        <w:t xml:space="preserve"> live independently through acquisition of life and employability skills. On average 200 Youth with disabilities graduate per year. However, the Centres of Youth with disabilities require extra support from stakeholders to complement Government efforts in terms of start-up kits, assistive </w:t>
      </w:r>
      <w:proofErr w:type="gramStart"/>
      <w:r w:rsidRPr="0050731B">
        <w:t>technologies</w:t>
      </w:r>
      <w:proofErr w:type="gramEnd"/>
      <w:r w:rsidRPr="0050731B">
        <w:t xml:space="preserve"> and promotion of other disability inclusion services, including capacity building based on international best practices.</w:t>
      </w:r>
    </w:p>
    <w:p w14:paraId="6336BF4B" w14:textId="4E8CCF47" w:rsidR="0050731B" w:rsidRPr="0050731B" w:rsidRDefault="0050731B" w:rsidP="008C3EA5">
      <w:pPr>
        <w:pStyle w:val="SingleTxtG"/>
        <w:numPr>
          <w:ilvl w:val="0"/>
          <w:numId w:val="25"/>
        </w:numPr>
        <w:ind w:left="1134" w:firstLine="0"/>
      </w:pPr>
      <w:r w:rsidRPr="0050731B">
        <w:t xml:space="preserve">The Parish Development Model (PDM) is a multi-sectoral government strategy for delivery of services for increasing household income and improving the quality of life in Uganda in rural and urban settings, as well as poverty eradication and vulnerability in Uganda. 10% of the total funding allocated to a parish is designated for persons with disabilities for economic empowerment. Disability is a cross cutting issue in the 7 pillars of the PDM thus given special consideration in planning and implementation of the model. </w:t>
      </w:r>
    </w:p>
    <w:p w14:paraId="5B350C78" w14:textId="7F6EF86B" w:rsidR="0050731B" w:rsidRPr="0050731B" w:rsidRDefault="00385E11" w:rsidP="00385E11">
      <w:pPr>
        <w:pStyle w:val="H1G"/>
      </w:pPr>
      <w:bookmarkStart w:id="44" w:name="_Toc120102316"/>
      <w:r>
        <w:tab/>
      </w:r>
      <w:r>
        <w:tab/>
      </w:r>
      <w:bookmarkStart w:id="45" w:name="_Toc133425378"/>
      <w:r w:rsidR="0050731B" w:rsidRPr="0050731B">
        <w:t>Personal mobility (Article 20)</w:t>
      </w:r>
      <w:bookmarkEnd w:id="44"/>
      <w:bookmarkEnd w:id="45"/>
    </w:p>
    <w:p w14:paraId="1D2C4C7C" w14:textId="77777777" w:rsidR="0050731B" w:rsidRPr="00385E11" w:rsidRDefault="0050731B" w:rsidP="00385E11">
      <w:pPr>
        <w:pStyle w:val="SingleTxtG"/>
        <w:rPr>
          <w:i/>
          <w:iCs/>
        </w:rPr>
      </w:pPr>
      <w:r w:rsidRPr="00385E11">
        <w:rPr>
          <w:i/>
          <w:iCs/>
        </w:rPr>
        <w:t>Cf concluding observation 41</w:t>
      </w:r>
    </w:p>
    <w:p w14:paraId="6C22A28E" w14:textId="77777777" w:rsidR="0050731B" w:rsidRPr="0050731B" w:rsidRDefault="0050731B" w:rsidP="00385E11">
      <w:pPr>
        <w:pStyle w:val="SingleTxtG"/>
        <w:numPr>
          <w:ilvl w:val="0"/>
          <w:numId w:val="25"/>
        </w:numPr>
        <w:ind w:left="1134" w:firstLine="0"/>
      </w:pPr>
      <w:r w:rsidRPr="0050731B">
        <w:t xml:space="preserve">The process of drafting the Rehabilitation and Healthcare strategy on disability is ongoing. The Ministry of Health (MOH) is committed to finalizing this to streamline the delivery of rehabilitation and healthcare services to persons with disabilities. </w:t>
      </w:r>
    </w:p>
    <w:p w14:paraId="5F7C079A" w14:textId="77777777" w:rsidR="0050731B" w:rsidRPr="0050731B" w:rsidRDefault="0050731B" w:rsidP="00385E11">
      <w:pPr>
        <w:pStyle w:val="SingleTxtG"/>
        <w:numPr>
          <w:ilvl w:val="0"/>
          <w:numId w:val="25"/>
        </w:numPr>
        <w:ind w:left="1134" w:firstLine="0"/>
      </w:pPr>
      <w:r w:rsidRPr="0050731B">
        <w:t xml:space="preserve">To enable access to mobility and other assistive devices for Persons with Disabilities, Uganda allows tax exemption on all assistive devices for persons with disabilities. Furthermore, the MOH has instituted a multi-sectoral working committee to develop a comprehensive list of essential assistive technologies and devices including mobility devices. The government is working with none-state actors to rehabilitate persons with disabilities. Among those are CORSU, Sights savers, </w:t>
      </w:r>
      <w:proofErr w:type="spellStart"/>
      <w:r w:rsidRPr="0050731B">
        <w:t>Katelemwa</w:t>
      </w:r>
      <w:proofErr w:type="spellEnd"/>
      <w:r w:rsidRPr="0050731B">
        <w:t xml:space="preserve"> Cheshire Home, CURE-Uganda that conduct corrective surgeries, </w:t>
      </w:r>
      <w:proofErr w:type="gramStart"/>
      <w:r w:rsidRPr="0050731B">
        <w:t>physio-therapy</w:t>
      </w:r>
      <w:proofErr w:type="gramEnd"/>
      <w:r w:rsidRPr="0050731B">
        <w:t xml:space="preserve"> and occupational therapy. </w:t>
      </w:r>
    </w:p>
    <w:p w14:paraId="0E826DBD" w14:textId="77777777" w:rsidR="0050731B" w:rsidRPr="0050731B" w:rsidRDefault="0050731B" w:rsidP="00385E11">
      <w:pPr>
        <w:pStyle w:val="SingleTxtG"/>
        <w:numPr>
          <w:ilvl w:val="0"/>
          <w:numId w:val="25"/>
        </w:numPr>
        <w:ind w:left="1134" w:firstLine="0"/>
        <w:rPr>
          <w:lang w:val="en-US"/>
        </w:rPr>
      </w:pPr>
      <w:r w:rsidRPr="0050731B">
        <w:t>Access to assistive devices is still generally low. The Functional Difficulties Survey 2017 revealed that over 62% of Persons with Disabilities who needed assistive technology did not have the devices.</w:t>
      </w:r>
      <w:r w:rsidRPr="0050731B">
        <w:rPr>
          <w:rFonts w:ascii="Cambria" w:hAnsi="Cambria"/>
        </w:rPr>
        <w:t xml:space="preserve"> </w:t>
      </w:r>
      <w:r w:rsidRPr="0050731B">
        <w:t xml:space="preserve">The unmet need for eyeglasses or contact lenses is 75% among children and 76% among adults). Meanwhile, 90% of the adults with albinism and sight difficulties who needed </w:t>
      </w:r>
      <w:proofErr w:type="gramStart"/>
      <w:r w:rsidRPr="0050731B">
        <w:t>eye glasses</w:t>
      </w:r>
      <w:proofErr w:type="gramEnd"/>
      <w:r w:rsidRPr="0050731B">
        <w:t xml:space="preserve"> did not have them</w:t>
      </w:r>
      <w:r w:rsidRPr="0050731B">
        <w:rPr>
          <w:vertAlign w:val="superscript"/>
        </w:rPr>
        <w:footnoteReference w:id="40"/>
      </w:r>
      <w:r w:rsidRPr="0050731B">
        <w:t>. To address the unmet needs of assistive technology, the Government of Uganda made a commitment during the second Global Disability Summit 2022, to equip 40% of the orthopaedic workshops across the country to facilitate quality production of mobility and other assistive technology devices for all categories of persons with disabilities by 2024.</w:t>
      </w:r>
    </w:p>
    <w:p w14:paraId="12C3679F" w14:textId="31B50B32" w:rsidR="0050731B" w:rsidRPr="0050731B" w:rsidRDefault="00385E11" w:rsidP="00385E11">
      <w:pPr>
        <w:pStyle w:val="H1G"/>
      </w:pPr>
      <w:bookmarkStart w:id="46" w:name="_Toc120102317"/>
      <w:r>
        <w:tab/>
      </w:r>
      <w:r>
        <w:tab/>
      </w:r>
      <w:bookmarkStart w:id="47" w:name="_Toc133425379"/>
      <w:r w:rsidR="0050731B" w:rsidRPr="0050731B">
        <w:t>Freedom of expression and opinion, and access to information (article 21)</w:t>
      </w:r>
      <w:bookmarkEnd w:id="46"/>
      <w:bookmarkEnd w:id="47"/>
    </w:p>
    <w:p w14:paraId="3C1531BC" w14:textId="77777777" w:rsidR="0050731B" w:rsidRPr="00385E11" w:rsidRDefault="0050731B" w:rsidP="00385E11">
      <w:pPr>
        <w:pStyle w:val="SingleTxtG"/>
        <w:rPr>
          <w:i/>
          <w:iCs/>
        </w:rPr>
      </w:pPr>
      <w:r w:rsidRPr="00385E11">
        <w:rPr>
          <w:i/>
          <w:iCs/>
        </w:rPr>
        <w:t>Cf Concluding Observation 43</w:t>
      </w:r>
    </w:p>
    <w:p w14:paraId="724BA4C3" w14:textId="77777777" w:rsidR="0050731B" w:rsidRPr="0050731B" w:rsidRDefault="0050731B" w:rsidP="00385E11">
      <w:pPr>
        <w:pStyle w:val="SingleTxtG"/>
        <w:numPr>
          <w:ilvl w:val="0"/>
          <w:numId w:val="25"/>
        </w:numPr>
        <w:ind w:left="1134" w:firstLine="0"/>
      </w:pPr>
      <w:r w:rsidRPr="0050731B">
        <w:t>Uganda’s Constitution recognizes sign language as a language of the deaf.</w:t>
      </w:r>
      <w:r w:rsidRPr="0050731B">
        <w:rPr>
          <w:vertAlign w:val="superscript"/>
        </w:rPr>
        <w:footnoteReference w:id="41"/>
      </w:r>
      <w:r w:rsidRPr="0050731B">
        <w:t xml:space="preserve"> In the revised secondary curriculum, the MOES introduced Uganda sign language as one of the subjects to be taught under the competency based lower secondary curriculum. Kyambogo University is training sign language interpreters. However, this needs to be scaled up to meet the demand of sign language interpreters in secondary schools. Furthermore, the Ministry of Public Service is yet to include sign language interpreters in their human resource structure. </w:t>
      </w:r>
    </w:p>
    <w:p w14:paraId="2C8FD08F" w14:textId="77777777" w:rsidR="0050731B" w:rsidRPr="0050731B" w:rsidRDefault="0050731B" w:rsidP="00385E11">
      <w:pPr>
        <w:pStyle w:val="SingleTxtG"/>
        <w:numPr>
          <w:ilvl w:val="0"/>
          <w:numId w:val="25"/>
        </w:numPr>
        <w:ind w:left="1134" w:firstLine="0"/>
        <w:rPr>
          <w:rFonts w:ascii="Cambria" w:hAnsi="Cambria"/>
        </w:rPr>
      </w:pPr>
      <w:r w:rsidRPr="0050731B">
        <w:t xml:space="preserve">Sign language is among the reasonable accommodation requirements in the workplace, educational institutions and/or public events. For example, the Persons with Disabilities Act, 2020 requires any education institution that is either owned or aided by the government or privately to provide sign language services for learners with disabilities. All the special needs schools for deaf learners recruit sign language interpreters. </w:t>
      </w:r>
    </w:p>
    <w:p w14:paraId="64502CD3" w14:textId="77777777" w:rsidR="0050731B" w:rsidRPr="0050731B" w:rsidRDefault="0050731B" w:rsidP="00B12E12">
      <w:pPr>
        <w:pStyle w:val="SingleTxtG"/>
        <w:numPr>
          <w:ilvl w:val="0"/>
          <w:numId w:val="25"/>
        </w:numPr>
        <w:ind w:left="1134" w:firstLine="0"/>
        <w:rPr>
          <w:rFonts w:ascii="Cambria" w:eastAsia="MS Mincho" w:hAnsi="Cambria"/>
        </w:rPr>
      </w:pPr>
      <w:r w:rsidRPr="0050731B">
        <w:rPr>
          <w:rFonts w:eastAsia="MS Mincho"/>
        </w:rPr>
        <w:t xml:space="preserve">The Persons with Disabilities Act, 2020 requires </w:t>
      </w:r>
      <w:r w:rsidRPr="0050731B">
        <w:t>an owner or a person in charge of a television station to provide or ensure that sign language insets are provided in all newscasts (Section 12(4)).</w:t>
      </w:r>
      <w:r w:rsidRPr="0050731B">
        <w:rPr>
          <w:rFonts w:eastAsia="MS Mincho"/>
        </w:rPr>
        <w:t xml:space="preserve"> Furthermore, Section 15 1(a) of the Act requires the government to promote the development, training and use of sign language, and tactile sign language interpreters in all public institutions at all government functions. </w:t>
      </w:r>
    </w:p>
    <w:p w14:paraId="5CD06892" w14:textId="77777777" w:rsidR="0050731B" w:rsidRPr="0050731B" w:rsidRDefault="0050731B" w:rsidP="00B12E12">
      <w:pPr>
        <w:pStyle w:val="SingleTxtG"/>
        <w:numPr>
          <w:ilvl w:val="0"/>
          <w:numId w:val="25"/>
        </w:numPr>
        <w:ind w:left="1134" w:firstLine="0"/>
      </w:pPr>
      <w:r w:rsidRPr="0050731B">
        <w:t>To operationalize the constitutional and legal requirements on access to information for Deaf people, UCC has drafted comprehensive guidelines on enabling television access by persons with disabilities.</w:t>
      </w:r>
      <w:r w:rsidRPr="0050731B">
        <w:rPr>
          <w:vertAlign w:val="superscript"/>
        </w:rPr>
        <w:footnoteReference w:id="42"/>
      </w:r>
      <w:r w:rsidRPr="0050731B">
        <w:t xml:space="preserve"> In addition, in 2012, UCC directed all television stations to provide sign language interpretation during at least one newscast a day, and all programs of national </w:t>
      </w:r>
      <w:r w:rsidRPr="00B12E12">
        <w:rPr>
          <w:rFonts w:eastAsia="MS Mincho"/>
        </w:rPr>
        <w:t>importance</w:t>
      </w:r>
      <w:r w:rsidRPr="0050731B">
        <w:t xml:space="preserve"> (</w:t>
      </w:r>
      <w:proofErr w:type="gramStart"/>
      <w:r w:rsidRPr="0050731B">
        <w:t>e.g.</w:t>
      </w:r>
      <w:proofErr w:type="gramEnd"/>
      <w:r w:rsidRPr="0050731B">
        <w:t xml:space="preserve"> a presidential address or an event of national importance). The television stations that are so far complying with this directive include Uganda Broadcasting Corporation (UBC), Nation Television, Nile Broadcasting Services, TV, </w:t>
      </w:r>
      <w:proofErr w:type="spellStart"/>
      <w:r w:rsidRPr="0050731B">
        <w:t>Bukedde</w:t>
      </w:r>
      <w:proofErr w:type="spellEnd"/>
      <w:r w:rsidRPr="0050731B">
        <w:t xml:space="preserve"> TV, and Buganda Broadcasting Services (BBS). UCC will continue to take measures to require all televisions to comply.</w:t>
      </w:r>
    </w:p>
    <w:p w14:paraId="767AD93F" w14:textId="77777777" w:rsidR="0050731B" w:rsidRPr="0050731B" w:rsidRDefault="0050731B" w:rsidP="00B12E12">
      <w:pPr>
        <w:pStyle w:val="SingleTxtG"/>
        <w:numPr>
          <w:ilvl w:val="0"/>
          <w:numId w:val="25"/>
        </w:numPr>
        <w:ind w:left="1134" w:firstLine="0"/>
      </w:pPr>
      <w:r w:rsidRPr="0050731B">
        <w:t>The National Information Technology Authority (NITA-U) has developed guidelines for the development and management of government websites. The guidelines urge MDAs to follow the Web Content Accessibility Guidelines</w:t>
      </w:r>
      <w:r w:rsidRPr="0050731B">
        <w:rPr>
          <w:vertAlign w:val="superscript"/>
        </w:rPr>
        <w:footnoteReference w:id="43"/>
      </w:r>
      <w:r w:rsidRPr="0050731B">
        <w:t xml:space="preserve"> when developing their websites </w:t>
      </w:r>
      <w:proofErr w:type="gramStart"/>
      <w:r w:rsidRPr="0050731B">
        <w:t>in order to</w:t>
      </w:r>
      <w:proofErr w:type="gramEnd"/>
      <w:r w:rsidRPr="0050731B">
        <w:t xml:space="preserve"> ensure equitable access to these websites for persons with disabilities.</w:t>
      </w:r>
    </w:p>
    <w:p w14:paraId="6678B42B" w14:textId="77777777" w:rsidR="0050731B" w:rsidRPr="0050731B" w:rsidRDefault="0050731B" w:rsidP="00B12E12">
      <w:pPr>
        <w:pStyle w:val="SingleTxtG"/>
        <w:numPr>
          <w:ilvl w:val="0"/>
          <w:numId w:val="25"/>
        </w:numPr>
        <w:ind w:left="1134" w:firstLine="0"/>
      </w:pPr>
      <w:r w:rsidRPr="0050731B">
        <w:t xml:space="preserve">A total of 165 (108 female, 57 male) sign language interpreters have graduated from Kyambogo University between 2010 and 2022. Kyambogo University is a public university with a statutory mandate to train personnel in the disability, </w:t>
      </w:r>
      <w:proofErr w:type="gramStart"/>
      <w:r w:rsidRPr="0050731B">
        <w:t>rehabilitation</w:t>
      </w:r>
      <w:proofErr w:type="gramEnd"/>
      <w:r w:rsidRPr="0050731B">
        <w:t xml:space="preserve"> and special needs education fields. The university runs an ordinary diploma program in Uganda sign language and has also integrated sign language in its bachelor’s and graduate programs. In addition to Kyambogo University, OPDs such as Uganda National Association of the Deaf (UNAD) supplement the government’s efforts in sign language training. Kyambogo University developed the Uganda Sign language dictionary since 2006. The dictionary has been widely disseminated and is being used by various stakeholders in the training of sign language interpreters.</w:t>
      </w:r>
    </w:p>
    <w:p w14:paraId="3107F8B2" w14:textId="77777777" w:rsidR="0050731B" w:rsidRPr="0050731B" w:rsidRDefault="0050731B" w:rsidP="00B12E12">
      <w:pPr>
        <w:pStyle w:val="SingleTxtG"/>
        <w:numPr>
          <w:ilvl w:val="0"/>
          <w:numId w:val="25"/>
        </w:numPr>
        <w:ind w:left="1134" w:firstLine="0"/>
      </w:pPr>
      <w:r w:rsidRPr="0050731B">
        <w:t xml:space="preserve">Relatedly, Government has translated the Persons with Disabilities Act, 2020 into Uganda sign language to enhance access to the Act for persons with hearing impairment (deaf and hard of hearing). </w:t>
      </w:r>
    </w:p>
    <w:p w14:paraId="59FED0ED" w14:textId="5F92EF15" w:rsidR="0050731B" w:rsidRPr="0050731B" w:rsidRDefault="00B12E12" w:rsidP="00B12E12">
      <w:pPr>
        <w:pStyle w:val="H1G"/>
      </w:pPr>
      <w:bookmarkStart w:id="48" w:name="_Toc120102318"/>
      <w:r>
        <w:tab/>
      </w:r>
      <w:r>
        <w:tab/>
      </w:r>
      <w:bookmarkStart w:id="49" w:name="_Toc133425380"/>
      <w:r w:rsidR="0050731B" w:rsidRPr="0050731B">
        <w:t>Respect for privacy (article 22)</w:t>
      </w:r>
      <w:bookmarkEnd w:id="48"/>
      <w:bookmarkEnd w:id="49"/>
    </w:p>
    <w:p w14:paraId="23A7910D" w14:textId="77777777" w:rsidR="0050731B" w:rsidRPr="00B12E12" w:rsidRDefault="0050731B" w:rsidP="00B12E12">
      <w:pPr>
        <w:pStyle w:val="SingleTxtG"/>
        <w:rPr>
          <w:i/>
          <w:iCs/>
        </w:rPr>
      </w:pPr>
      <w:proofErr w:type="spellStart"/>
      <w:r w:rsidRPr="00B12E12">
        <w:rPr>
          <w:i/>
          <w:iCs/>
        </w:rPr>
        <w:t>cf</w:t>
      </w:r>
      <w:proofErr w:type="spellEnd"/>
      <w:r w:rsidRPr="00B12E12">
        <w:rPr>
          <w:i/>
          <w:iCs/>
        </w:rPr>
        <w:t xml:space="preserve"> Concluding Observation 45</w:t>
      </w:r>
    </w:p>
    <w:p w14:paraId="7FCB1BA5" w14:textId="77777777" w:rsidR="0050731B" w:rsidRPr="0050731B" w:rsidRDefault="0050731B" w:rsidP="00B12E12">
      <w:pPr>
        <w:pStyle w:val="SingleTxtG"/>
        <w:numPr>
          <w:ilvl w:val="0"/>
          <w:numId w:val="25"/>
        </w:numPr>
        <w:ind w:left="1134" w:firstLine="0"/>
      </w:pPr>
      <w:r w:rsidRPr="0050731B">
        <w:t xml:space="preserve">The personal data of all citizens of Uganda as well as the data of persons with disabilities are protected and regulated by the Data Protection and Privacy Act, 2019 that all entities, including banks and the health sectors, must comply with. The Act requires obtaining consent from the subject of data collection prior to data collection (Article 7). It also prohibits any person from collecting, </w:t>
      </w:r>
      <w:proofErr w:type="gramStart"/>
      <w:r w:rsidRPr="0050731B">
        <w:t>holding</w:t>
      </w:r>
      <w:proofErr w:type="gramEnd"/>
      <w:r w:rsidRPr="0050731B">
        <w:t xml:space="preserve"> or processing</w:t>
      </w:r>
      <w:r w:rsidRPr="0050731B">
        <w:rPr>
          <w:rFonts w:ascii="Cambria" w:hAnsi="Cambria"/>
        </w:rPr>
        <w:t xml:space="preserve"> </w:t>
      </w:r>
      <w:r w:rsidRPr="0050731B">
        <w:t xml:space="preserve">personal data in a manner that infringes on the privacy of a data subject (Article 10). </w:t>
      </w:r>
    </w:p>
    <w:p w14:paraId="7E1535D8" w14:textId="77777777" w:rsidR="0050731B" w:rsidRPr="0050731B" w:rsidRDefault="0050731B" w:rsidP="00B12E12">
      <w:pPr>
        <w:pStyle w:val="SingleTxtG"/>
        <w:numPr>
          <w:ilvl w:val="0"/>
          <w:numId w:val="25"/>
        </w:numPr>
        <w:ind w:left="1134" w:firstLine="0"/>
      </w:pPr>
      <w:r w:rsidRPr="0050731B">
        <w:t xml:space="preserve">All persons engaging in research are required to obtain ethical approval from Research Ethics Committees (RECs) as well as the National Council for Science and Technology. It is the duty of the Uganda National Council </w:t>
      </w:r>
      <w:proofErr w:type="gramStart"/>
      <w:r w:rsidRPr="0050731B">
        <w:t>For</w:t>
      </w:r>
      <w:proofErr w:type="gramEnd"/>
      <w:r w:rsidRPr="0050731B">
        <w:t xml:space="preserve"> Science And Technology (UNCST) and the RECs to ensure that researchers explicate in their research protocols and informed consent forms, how the privacy of human subjects including vulnerable categories are guaranteed in their research projects. </w:t>
      </w:r>
    </w:p>
    <w:p w14:paraId="657A9C8A" w14:textId="77777777" w:rsidR="0050731B" w:rsidRPr="0050731B" w:rsidRDefault="0050731B" w:rsidP="00651C3F">
      <w:pPr>
        <w:pStyle w:val="SingleTxtG"/>
        <w:numPr>
          <w:ilvl w:val="0"/>
          <w:numId w:val="25"/>
        </w:numPr>
        <w:ind w:left="1134" w:firstLine="0"/>
      </w:pPr>
      <w:r w:rsidRPr="0050731B">
        <w:t xml:space="preserve">Sectors which are mandated to protect the privacy of information for persons with disabilities are still facing challenges. The banking sector has made minimal progress in recruiting persons with disabilities or other professionals who provide services required by persons with disabilities. The Government has prioritised provision of guidance to MDAs to include sign language and other reasonable accommodation packages for meaningful inclusion of persons with different categories of disabilities. These include recruitment of sign language interpreters in the sectors of Health, Education, Social Development, Service Commission and JLOS by 2023. </w:t>
      </w:r>
    </w:p>
    <w:p w14:paraId="4F859B05" w14:textId="0392C514" w:rsidR="0050731B" w:rsidRPr="0050731B" w:rsidRDefault="00651C3F" w:rsidP="00651C3F">
      <w:pPr>
        <w:pStyle w:val="H1G"/>
      </w:pPr>
      <w:bookmarkStart w:id="50" w:name="_Toc120102319"/>
      <w:r>
        <w:tab/>
      </w:r>
      <w:r>
        <w:tab/>
      </w:r>
      <w:bookmarkStart w:id="51" w:name="_Toc133425381"/>
      <w:r w:rsidR="0050731B" w:rsidRPr="0050731B">
        <w:t>Respect for home and the family (Article 23)</w:t>
      </w:r>
      <w:bookmarkEnd w:id="50"/>
      <w:bookmarkEnd w:id="51"/>
    </w:p>
    <w:p w14:paraId="5398FE29" w14:textId="77777777" w:rsidR="0050731B" w:rsidRPr="00651C3F" w:rsidRDefault="0050731B" w:rsidP="00651C3F">
      <w:pPr>
        <w:pStyle w:val="SingleTxtG"/>
        <w:rPr>
          <w:i/>
          <w:iCs/>
        </w:rPr>
      </w:pPr>
      <w:r w:rsidRPr="00651C3F">
        <w:rPr>
          <w:i/>
          <w:iCs/>
        </w:rPr>
        <w:t>Cf Concluding observation 47</w:t>
      </w:r>
    </w:p>
    <w:p w14:paraId="5AEFF766" w14:textId="77777777" w:rsidR="0050731B" w:rsidRPr="0050731B" w:rsidRDefault="0050731B" w:rsidP="00651C3F">
      <w:pPr>
        <w:pStyle w:val="SingleTxtG"/>
        <w:numPr>
          <w:ilvl w:val="0"/>
          <w:numId w:val="25"/>
        </w:numPr>
        <w:ind w:left="1134" w:firstLine="0"/>
      </w:pPr>
      <w:r w:rsidRPr="0050731B">
        <w:t xml:space="preserve">Under the Constitution of Uganda, every man and woman aged 18 and above is entitled to equal rights at and in marriage, during marriage and at its dissolution and the right to </w:t>
      </w:r>
      <w:proofErr w:type="gramStart"/>
      <w:r w:rsidRPr="0050731B">
        <w:t>found</w:t>
      </w:r>
      <w:proofErr w:type="gramEnd"/>
      <w:r w:rsidRPr="0050731B">
        <w:t xml:space="preserve"> a family (Article 31). This law applies to all persons, including persons with disabilities. The Persons with Disabilities Act, 2020, (Section 4) reaffirms the constitutional entitlement of persons with disabilities to equal right to marriage. There is a draft Marriage Bill 2017 in place.</w:t>
      </w:r>
    </w:p>
    <w:p w14:paraId="7D174AC1" w14:textId="77777777" w:rsidR="0050731B" w:rsidRPr="0050731B" w:rsidRDefault="0050731B" w:rsidP="00651C3F">
      <w:pPr>
        <w:pStyle w:val="SingleTxtG"/>
        <w:numPr>
          <w:ilvl w:val="0"/>
          <w:numId w:val="25"/>
        </w:numPr>
        <w:ind w:left="1134" w:firstLine="0"/>
      </w:pPr>
      <w:r w:rsidRPr="0050731B">
        <w:t xml:space="preserve">Section 4 of the Children (Amendment) Act, 2016 states that every child has a right to live with his or her parent or guardian. The Persons with Disabilities Act, 2020 reinforces the same right, stating that every person with disability is entitled to raise a child and cannot be separated from his or her child except in accordance with the law and best interests of the child. </w:t>
      </w:r>
    </w:p>
    <w:p w14:paraId="4E55AD0E" w14:textId="77777777" w:rsidR="0050731B" w:rsidRPr="0050731B" w:rsidRDefault="0050731B" w:rsidP="00651C3F">
      <w:pPr>
        <w:pStyle w:val="SingleTxtG"/>
        <w:numPr>
          <w:ilvl w:val="0"/>
          <w:numId w:val="25"/>
        </w:numPr>
        <w:ind w:left="1134" w:firstLine="0"/>
        <w:rPr>
          <w:lang w:val="en-ZA"/>
        </w:rPr>
      </w:pPr>
      <w:r w:rsidRPr="0050731B">
        <w:t xml:space="preserve">Uganda has rolled out Community Based Rehabilitation (CBR) to all districts. CBR has a component for supporting persons with disabilities through provision of information on health, family planning, menstrual hygiene, among others.  </w:t>
      </w:r>
      <w:r w:rsidRPr="0050731B">
        <w:rPr>
          <w:lang w:val="en-ZA"/>
        </w:rPr>
        <w:t xml:space="preserve">The Ministry of Health Strategic Plan 2020/21 - 2024/25 is addressing the spatial distribution of health services and will scale up targeted availability and access to health care by persons with disabilities. The Ministry, under the National Policy Guidelines and Service Standards for Sexual and Reproductive Health and Rights, 2006, is targeting and prioritising women with disabilities of </w:t>
      </w:r>
      <w:proofErr w:type="gramStart"/>
      <w:r w:rsidRPr="0050731B">
        <w:rPr>
          <w:lang w:val="en-ZA"/>
        </w:rPr>
        <w:t>child bearing</w:t>
      </w:r>
      <w:proofErr w:type="gramEnd"/>
      <w:r w:rsidRPr="0050731B">
        <w:rPr>
          <w:lang w:val="en-ZA"/>
        </w:rPr>
        <w:t xml:space="preserve"> age for all maternal services. </w:t>
      </w:r>
    </w:p>
    <w:p w14:paraId="7E56EB69" w14:textId="1CD7C5A3" w:rsidR="0050731B" w:rsidRPr="0050731B" w:rsidRDefault="0050731B" w:rsidP="00651C3F">
      <w:pPr>
        <w:pStyle w:val="SingleTxtG"/>
        <w:numPr>
          <w:ilvl w:val="0"/>
          <w:numId w:val="25"/>
        </w:numPr>
        <w:ind w:left="1134" w:firstLine="0"/>
        <w:rPr>
          <w:lang w:val="en-ZA"/>
        </w:rPr>
      </w:pPr>
      <w:r w:rsidRPr="0050731B">
        <w:rPr>
          <w:lang w:val="en-ZA"/>
        </w:rPr>
        <w:t xml:space="preserve">The Persons with Disabilities Act, 2020 requires health units to </w:t>
      </w:r>
      <w:r w:rsidRPr="0050731B">
        <w:t xml:space="preserve">provide labour beds for expectant </w:t>
      </w:r>
      <w:r w:rsidRPr="00651C3F">
        <w:rPr>
          <w:lang w:val="en-ZA"/>
        </w:rPr>
        <w:t>women</w:t>
      </w:r>
      <w:r w:rsidRPr="0050731B">
        <w:t xml:space="preserve"> who are persons with disabilities. Failure to provide accessible labour beds for expectant women with disabilities constitutes an act of discrimination by a health unit.</w:t>
      </w:r>
      <w:r w:rsidRPr="0050731B">
        <w:rPr>
          <w:lang w:val="en-ZA"/>
        </w:rPr>
        <w:t xml:space="preserve">  From 2016-2019, hospitals and health centres nationwide received patient beds and mattresses; delivery beds were procured and distributed to Hospitals and Health Centres IVs of which 167 were normal delivery beds and 167 were adjustable for women with disabilities.</w:t>
      </w:r>
      <w:r w:rsidRPr="0050731B">
        <w:rPr>
          <w:vertAlign w:val="superscript"/>
          <w:lang w:val="en-ZA"/>
        </w:rPr>
        <w:footnoteReference w:id="44"/>
      </w:r>
      <w:r w:rsidRPr="0050731B">
        <w:rPr>
          <w:lang w:val="en-ZA"/>
        </w:rPr>
        <w:t xml:space="preserve"> </w:t>
      </w:r>
    </w:p>
    <w:p w14:paraId="68391938" w14:textId="1131B790" w:rsidR="0050731B" w:rsidRPr="0050731B" w:rsidRDefault="00651C3F" w:rsidP="00651C3F">
      <w:pPr>
        <w:pStyle w:val="H1G"/>
      </w:pPr>
      <w:bookmarkStart w:id="52" w:name="_Toc120102320"/>
      <w:r>
        <w:tab/>
      </w:r>
      <w:r>
        <w:tab/>
      </w:r>
      <w:bookmarkStart w:id="53" w:name="_Toc133425382"/>
      <w:r w:rsidR="0050731B" w:rsidRPr="0050731B">
        <w:t>Education (Article 24)</w:t>
      </w:r>
      <w:bookmarkEnd w:id="52"/>
      <w:bookmarkEnd w:id="53"/>
    </w:p>
    <w:p w14:paraId="7189677C" w14:textId="77777777" w:rsidR="0050731B" w:rsidRPr="00651C3F" w:rsidRDefault="0050731B" w:rsidP="00651C3F">
      <w:pPr>
        <w:pStyle w:val="SingleTxtG"/>
        <w:rPr>
          <w:rFonts w:ascii="Cambria" w:hAnsi="Cambria"/>
          <w:i/>
          <w:iCs/>
        </w:rPr>
      </w:pPr>
      <w:r w:rsidRPr="00651C3F">
        <w:rPr>
          <w:i/>
          <w:iCs/>
        </w:rPr>
        <w:t>Cf Concluding Observation 49</w:t>
      </w:r>
    </w:p>
    <w:p w14:paraId="14ABA839" w14:textId="77777777" w:rsidR="0050731B" w:rsidRPr="0050731B" w:rsidRDefault="0050731B" w:rsidP="00651C3F">
      <w:pPr>
        <w:pStyle w:val="SingleTxtG"/>
        <w:numPr>
          <w:ilvl w:val="0"/>
          <w:numId w:val="25"/>
        </w:numPr>
        <w:ind w:left="1134" w:firstLine="0"/>
      </w:pPr>
      <w:r w:rsidRPr="0050731B">
        <w:t xml:space="preserve">The Government of Uganda is committed to the principle and practice of inclusive education as an appropriate approach to the realization of quality and equitable education for all its citizens. In conformity with Article 24 of the CRPD, Uganda has undertaken legislative and policy measures toward ensuring an inclusive education system. </w:t>
      </w:r>
    </w:p>
    <w:p w14:paraId="69D387F5" w14:textId="77777777" w:rsidR="0050731B" w:rsidRPr="0050731B" w:rsidRDefault="0050731B" w:rsidP="00651C3F">
      <w:pPr>
        <w:pStyle w:val="SingleTxtG"/>
        <w:numPr>
          <w:ilvl w:val="0"/>
          <w:numId w:val="25"/>
        </w:numPr>
        <w:ind w:left="1134" w:firstLine="0"/>
      </w:pPr>
      <w:r w:rsidRPr="0050731B">
        <w:t xml:space="preserve">There are 113 special schools for children with disabilities in Uganda aimed at promoting enrolment, </w:t>
      </w:r>
      <w:proofErr w:type="gramStart"/>
      <w:r w:rsidRPr="0050731B">
        <w:t>retention</w:t>
      </w:r>
      <w:proofErr w:type="gramEnd"/>
      <w:r w:rsidRPr="0050731B">
        <w:t xml:space="preserve"> and completion of education for learners with disabilities. Annually, Government has continuously allocated funding to implement SNE activities. Funding for </w:t>
      </w:r>
    </w:p>
    <w:p w14:paraId="73139F5D" w14:textId="77777777" w:rsidR="0050731B" w:rsidRPr="0050731B" w:rsidRDefault="0050731B" w:rsidP="00651C3F">
      <w:pPr>
        <w:pStyle w:val="SingleTxtG"/>
        <w:numPr>
          <w:ilvl w:val="0"/>
          <w:numId w:val="25"/>
        </w:numPr>
        <w:ind w:left="1134" w:firstLine="0"/>
      </w:pPr>
      <w:r w:rsidRPr="0050731B">
        <w:t>For inclusive/special needs increased from 1,365,237,153 Uganda shillings in 2016/17 to 4, 472, 558, 218 Uganda shillings in 2021/2022. Primary schools were established in 6,167 parishes and according NCD (2019), Government constructed 233 inclusive classrooms in 34 schools.</w:t>
      </w:r>
    </w:p>
    <w:p w14:paraId="675DD267" w14:textId="77777777" w:rsidR="0050731B" w:rsidRPr="0050731B" w:rsidRDefault="0050731B" w:rsidP="00651C3F">
      <w:pPr>
        <w:pStyle w:val="SingleTxtG"/>
        <w:numPr>
          <w:ilvl w:val="0"/>
          <w:numId w:val="25"/>
        </w:numPr>
        <w:ind w:left="1134" w:firstLine="0"/>
        <w:rPr>
          <w:color w:val="000000"/>
        </w:rPr>
      </w:pPr>
      <w:r w:rsidRPr="0050731B">
        <w:t xml:space="preserve">The Persons with Disabilities Act, 2020 prohibits the denial of admission of a learner from the general education system </w:t>
      </w:r>
      <w:proofErr w:type="gramStart"/>
      <w:r w:rsidRPr="0050731B">
        <w:t>on the basis of</w:t>
      </w:r>
      <w:proofErr w:type="gramEnd"/>
      <w:r w:rsidRPr="0050731B">
        <w:t xml:space="preserve"> disability, except where a school is designated for the type of disability that the learner does not have. The Act requires any educational institution that admits a learner with disability to ensure an inclusive education</w:t>
      </w:r>
      <w:r w:rsidRPr="0050731B">
        <w:rPr>
          <w:vertAlign w:val="superscript"/>
        </w:rPr>
        <w:footnoteReference w:id="45"/>
      </w:r>
      <w:r w:rsidRPr="0050731B">
        <w:t xml:space="preserve"> system for the learner(s) and </w:t>
      </w:r>
      <w:proofErr w:type="gramStart"/>
      <w:r w:rsidRPr="0050731B">
        <w:t>make adjustments</w:t>
      </w:r>
      <w:proofErr w:type="gramEnd"/>
      <w:r w:rsidRPr="0050731B">
        <w:t xml:space="preserve"> in its premises to accommodate the learner with disability within three months of admitting the learner(s</w:t>
      </w:r>
      <w:r w:rsidRPr="0050731B">
        <w:rPr>
          <w:color w:val="000000"/>
        </w:rPr>
        <w:t>). The NCDC incorporated sign language as an elective subject at lower secondary and General Science as a subject for students with visual impairment or other disabilities.</w:t>
      </w:r>
    </w:p>
    <w:p w14:paraId="43D86646" w14:textId="77777777" w:rsidR="0050731B" w:rsidRPr="0050731B" w:rsidRDefault="0050731B" w:rsidP="00651C3F">
      <w:pPr>
        <w:pStyle w:val="SingleTxtG"/>
        <w:numPr>
          <w:ilvl w:val="0"/>
          <w:numId w:val="25"/>
        </w:numPr>
        <w:ind w:left="1134" w:firstLine="0"/>
      </w:pPr>
      <w:r w:rsidRPr="0050731B">
        <w:t xml:space="preserve">Certain measures have been taken to ensure the inclusion of persons with disabilities at all levels of education. These include representation of persons with disabilities on the Board of the Higher Education Loan scheme. Other education agencies have introduced disability desks and recruited specialized staff to guide, implement and oversee disability inclusion in different education programs, including the Uganda National Examinations Board (UNEB), National Curriculum Development Centre (NCDC), National Council for Higher Education (NCHE), and Directorate of Education Standards (DES), Business, Vocational and Technical Training (BTVET). </w:t>
      </w:r>
    </w:p>
    <w:p w14:paraId="0E04DEF9" w14:textId="77777777" w:rsidR="0050731B" w:rsidRPr="0050731B" w:rsidRDefault="0050731B" w:rsidP="00651C3F">
      <w:pPr>
        <w:pStyle w:val="SingleTxtG"/>
        <w:numPr>
          <w:ilvl w:val="0"/>
          <w:numId w:val="25"/>
        </w:numPr>
        <w:ind w:left="1134" w:firstLine="0"/>
      </w:pPr>
      <w:r w:rsidRPr="0050731B">
        <w:t>Government also established the higher education affirmative action scholarship scheme and from 2013 to 2022, a total of 576 students with disabilities have benefitted from enrolment; in 2022, government committed to increase the number from 64 to 320 annually</w:t>
      </w:r>
      <w:r w:rsidRPr="0050731B">
        <w:rPr>
          <w:vertAlign w:val="superscript"/>
        </w:rPr>
        <w:footnoteReference w:id="46"/>
      </w:r>
      <w:r w:rsidRPr="0050731B">
        <w:t xml:space="preserve">. </w:t>
      </w:r>
    </w:p>
    <w:p w14:paraId="0FEBE47D" w14:textId="77777777" w:rsidR="0050731B" w:rsidRPr="0050731B" w:rsidRDefault="0050731B" w:rsidP="00651C3F">
      <w:pPr>
        <w:pStyle w:val="SingleTxtG"/>
        <w:numPr>
          <w:ilvl w:val="0"/>
          <w:numId w:val="25"/>
        </w:numPr>
        <w:ind w:left="1134" w:firstLine="0"/>
      </w:pPr>
      <w:r w:rsidRPr="0050731B">
        <w:t>The Ministry of Education and Sports has developed the draft National Inclusive Education Policy (NIEP) with the support from, and in consultation with, key education stakeholders and development partners. The policy is pending Cabinet approval. The NIEP is intended to operationalize the implementation of inclusive education within a multi-sectoral framework.</w:t>
      </w:r>
    </w:p>
    <w:p w14:paraId="6723C5D8" w14:textId="77777777" w:rsidR="0050731B" w:rsidRPr="0050731B" w:rsidRDefault="0050731B" w:rsidP="00651C3F">
      <w:pPr>
        <w:pStyle w:val="SingleTxtG"/>
        <w:numPr>
          <w:ilvl w:val="0"/>
          <w:numId w:val="25"/>
        </w:numPr>
        <w:ind w:left="1134" w:firstLine="0"/>
        <w:rPr>
          <w:rFonts w:ascii="Cambria" w:hAnsi="Cambria"/>
        </w:rPr>
      </w:pPr>
      <w:r w:rsidRPr="0050731B">
        <w:t xml:space="preserve">The Persons with Disabilities Act, 2020 requires any education institution that admits a leaner with disability to </w:t>
      </w:r>
      <w:proofErr w:type="gramStart"/>
      <w:r w:rsidRPr="0050731B">
        <w:t>make adjustments to</w:t>
      </w:r>
      <w:proofErr w:type="gramEnd"/>
      <w:r w:rsidRPr="0050731B">
        <w:t xml:space="preserve"> their premises to make them accessible for the learner with disability within 3 months of admitting the learner (S 6). In addition, all the schools constructed under the school facility grant are required to adhere to the existing accessibility laws and standards. Despite the existing policy and regulatory frameworks to enforce and monitor accessibility of education infrastructure and other public facilities, accessibility remains a significant challenge in education institutions both government and private countrywide. This is largely due to weaknesses   in the implementation of the accessibility laws, policies and standards when designing, constructing and/or renovating educational infrastructure.</w:t>
      </w:r>
    </w:p>
    <w:p w14:paraId="14505457" w14:textId="77777777" w:rsidR="0050731B" w:rsidRPr="0050731B" w:rsidRDefault="0050731B" w:rsidP="00651C3F">
      <w:pPr>
        <w:pStyle w:val="SingleTxtG"/>
        <w:numPr>
          <w:ilvl w:val="0"/>
          <w:numId w:val="25"/>
        </w:numPr>
        <w:ind w:left="1134" w:firstLine="0"/>
      </w:pPr>
      <w:r w:rsidRPr="0050731B">
        <w:t>The Ministry of Education and Sports, in partnership with UNICEF implemented a pilot project on assistive technologies in education covering 16 districts</w:t>
      </w:r>
      <w:r w:rsidRPr="0050731B">
        <w:rPr>
          <w:vertAlign w:val="superscript"/>
        </w:rPr>
        <w:footnoteReference w:id="47"/>
      </w:r>
      <w:r w:rsidRPr="0050731B">
        <w:t xml:space="preserve"> selected from the four regions (central, eastern, </w:t>
      </w:r>
      <w:proofErr w:type="gramStart"/>
      <w:r w:rsidRPr="0050731B">
        <w:t>northern</w:t>
      </w:r>
      <w:proofErr w:type="gramEnd"/>
      <w:r w:rsidRPr="0050731B">
        <w:t xml:space="preserve"> and western). The project schools received assistive devices and their accessories such as victor readers, the classmate laptops, memory card, the </w:t>
      </w:r>
      <w:proofErr w:type="spellStart"/>
      <w:r w:rsidRPr="0050731B">
        <w:t>plextalk</w:t>
      </w:r>
      <w:proofErr w:type="spellEnd"/>
      <w:r w:rsidRPr="0050731B">
        <w:t xml:space="preserve"> and LCD projectors, among others. Kyambogo University is providing assistive technology for learners with visual impairments, schools in 18 districts of Uganda However, this requires expansion of the programs to cover the entire country.</w:t>
      </w:r>
    </w:p>
    <w:p w14:paraId="36170B90" w14:textId="77777777" w:rsidR="0050731B" w:rsidRPr="0050731B" w:rsidRDefault="0050731B" w:rsidP="00651C3F">
      <w:pPr>
        <w:pStyle w:val="SingleTxtG"/>
        <w:numPr>
          <w:ilvl w:val="0"/>
          <w:numId w:val="25"/>
        </w:numPr>
        <w:ind w:left="1134" w:firstLine="0"/>
      </w:pPr>
      <w:r w:rsidRPr="0050731B">
        <w:t>In December 2021, the MOES in partnership with United Nations Educational, Scientific and Cultural Organization (UNESCO) conducted a national sensitization workshop for teachers aimed at promoting the right to access to information for persons with disabilities within the inclusive education framework. Sense International in partnership with the MOES, supports children with deaf blind and complex disabilities to enrol in school and receive quality inclusive education.</w:t>
      </w:r>
      <w:r w:rsidRPr="0050731B">
        <w:rPr>
          <w:vertAlign w:val="superscript"/>
        </w:rPr>
        <w:t xml:space="preserve"> </w:t>
      </w:r>
      <w:r w:rsidRPr="0050731B">
        <w:rPr>
          <w:vertAlign w:val="superscript"/>
        </w:rPr>
        <w:footnoteReference w:id="48"/>
      </w:r>
      <w:r w:rsidRPr="0050731B">
        <w:t xml:space="preserve"> It also supports the training of teachers and parents of children with deaf blind disabilities to provide good, quality learning support. </w:t>
      </w:r>
    </w:p>
    <w:p w14:paraId="43FC98E2" w14:textId="77777777" w:rsidR="0050731B" w:rsidRPr="0050731B" w:rsidRDefault="0050731B" w:rsidP="00651C3F">
      <w:pPr>
        <w:pStyle w:val="SingleTxtG"/>
        <w:numPr>
          <w:ilvl w:val="0"/>
          <w:numId w:val="25"/>
        </w:numPr>
        <w:ind w:left="1134" w:firstLine="0"/>
      </w:pPr>
      <w:r w:rsidRPr="0050731B">
        <w:t xml:space="preserve">The </w:t>
      </w:r>
      <w:proofErr w:type="spellStart"/>
      <w:r w:rsidRPr="0050731B">
        <w:t>MoES</w:t>
      </w:r>
      <w:proofErr w:type="spellEnd"/>
      <w:r w:rsidRPr="0050731B">
        <w:t xml:space="preserve"> has undertaken a comprehensive teacher education reform; a specialized institute called Uganda National Institute of Teacher Education (UNITE) has been established and mandated to supervise all teacher education programs in higher education institutions. Under UNITE, special needs and inclusive education will be offered as a crosscutting component in all teacher education programs. Additionally, Kyambogo University has incorporated special needs education in its bachelor of teacher education, so that students who enrol for the program take special needs education courses and can choose special needs education as a specialization.</w:t>
      </w:r>
    </w:p>
    <w:p w14:paraId="2E3DF4FA" w14:textId="77777777" w:rsidR="0050731B" w:rsidRPr="00651C3F" w:rsidRDefault="0050731B" w:rsidP="00651C3F">
      <w:pPr>
        <w:pStyle w:val="SingleTxtG"/>
        <w:numPr>
          <w:ilvl w:val="0"/>
          <w:numId w:val="25"/>
        </w:numPr>
        <w:ind w:left="1134" w:firstLine="0"/>
      </w:pPr>
      <w:r w:rsidRPr="0050731B">
        <w:t xml:space="preserve">To ensure that pre- and in-service primary school teachers graduate with basic knowledge of inclusive education pedagogy, the curriculum of primary teachers’ colleges entails a component of inclusive education taught under a course called Professional Education Studies (PES). </w:t>
      </w:r>
      <w:proofErr w:type="gramStart"/>
      <w:r w:rsidRPr="0050731B">
        <w:t>In spite of</w:t>
      </w:r>
      <w:proofErr w:type="gramEnd"/>
      <w:r w:rsidRPr="0050731B">
        <w:t xml:space="preserve"> these positive efforts however, the number of special needs education teacher’s remains inadequate at all levels, and those who are trained are not deployed in all schools since </w:t>
      </w:r>
      <w:r w:rsidRPr="00651C3F">
        <w:t xml:space="preserve">the decentralization policy limits the transfer of schools beyond the districts that employed them. </w:t>
      </w:r>
    </w:p>
    <w:p w14:paraId="0994C5E9" w14:textId="77777777" w:rsidR="0050731B" w:rsidRPr="0050731B" w:rsidRDefault="0050731B" w:rsidP="00651C3F">
      <w:pPr>
        <w:pStyle w:val="SingleTxtG"/>
        <w:numPr>
          <w:ilvl w:val="0"/>
          <w:numId w:val="25"/>
        </w:numPr>
        <w:ind w:left="1134" w:firstLine="0"/>
      </w:pPr>
      <w:r w:rsidRPr="0050731B">
        <w:t xml:space="preserve">In partnership with </w:t>
      </w:r>
      <w:proofErr w:type="spellStart"/>
      <w:r w:rsidRPr="0050731B">
        <w:t>Sightsavers</w:t>
      </w:r>
      <w:proofErr w:type="spellEnd"/>
      <w:r w:rsidRPr="0050731B">
        <w:t xml:space="preserve"> Uganda and Kyambogo University, the </w:t>
      </w:r>
      <w:proofErr w:type="spellStart"/>
      <w:r w:rsidRPr="0050731B">
        <w:t>MoES</w:t>
      </w:r>
      <w:proofErr w:type="spellEnd"/>
      <w:r w:rsidRPr="0050731B">
        <w:t xml:space="preserve"> developed a certificate short course on special needs and inclusive education aimed at equipping tutors of primary teachers’ colleges (PTCs) with the basics of inclusive education pedagogy. The program benefited all the 57 primary teachers’ colleges in the country (44 government owned, 13 private). A total 98 tutors were trained as Trainers of Trainers, and the course was rolled out to 1,312 tutors from the 57 PTCs.</w:t>
      </w:r>
    </w:p>
    <w:p w14:paraId="62BE2DAF" w14:textId="77777777" w:rsidR="0050731B" w:rsidRPr="0050731B" w:rsidRDefault="0050731B" w:rsidP="00651C3F">
      <w:pPr>
        <w:pStyle w:val="SingleTxtG"/>
        <w:numPr>
          <w:ilvl w:val="0"/>
          <w:numId w:val="25"/>
        </w:numPr>
        <w:ind w:left="1134" w:firstLine="0"/>
      </w:pPr>
      <w:r w:rsidRPr="0050731B">
        <w:t xml:space="preserve">Kyambogo University in partnership with Sense International and MOES conducted the first ever Certificate in Deaf blindness training for primary school teachers. The one-year certificate course attracted 30 teachers of whom 26 graduated, while the second cohort enrolled 40 teachers. The teachers’ course covered 14 learning areas while the Trainer of Trainers’ course package comprised of four learning areas to prepare the course facilitators.  </w:t>
      </w:r>
    </w:p>
    <w:p w14:paraId="47434953" w14:textId="77777777" w:rsidR="0050731B" w:rsidRPr="0050731B" w:rsidRDefault="0050731B" w:rsidP="00651C3F">
      <w:pPr>
        <w:pStyle w:val="SingleTxtG"/>
        <w:numPr>
          <w:ilvl w:val="0"/>
          <w:numId w:val="25"/>
        </w:numPr>
        <w:ind w:left="1134" w:firstLine="0"/>
        <w:rPr>
          <w:lang w:val="en-US"/>
        </w:rPr>
      </w:pPr>
      <w:r w:rsidRPr="0050731B">
        <w:rPr>
          <w:lang w:val="en-US"/>
        </w:rPr>
        <w:t>In 2014, a situational analysis of children with disabilities undertaken by UNICEF revealed that only 9% of the primary school going-aged children with disabilities were enrolled in primary school.</w:t>
      </w:r>
      <w:r w:rsidRPr="0050731B">
        <w:rPr>
          <w:rFonts w:eastAsia="MS Mincho"/>
        </w:rPr>
        <w:t xml:space="preserve"> In the last four years (2018, 2019, 2021 and 2022), 95 students with disabilities graduated from Kyambogo University. The </w:t>
      </w:r>
      <w:proofErr w:type="spellStart"/>
      <w:r w:rsidRPr="0050731B">
        <w:rPr>
          <w:rFonts w:eastAsia="MS Mincho"/>
        </w:rPr>
        <w:t>MoES</w:t>
      </w:r>
      <w:proofErr w:type="spellEnd"/>
      <w:r w:rsidRPr="0050731B">
        <w:rPr>
          <w:rFonts w:eastAsia="MS Mincho"/>
        </w:rPr>
        <w:t xml:space="preserve"> has enhanced a digital Education Information Management System (EMIS) to collect, process and manage data from all levels of education. The Department of Special Needs Education in the </w:t>
      </w:r>
      <w:proofErr w:type="spellStart"/>
      <w:r w:rsidRPr="0050731B">
        <w:rPr>
          <w:rFonts w:eastAsia="MS Mincho"/>
        </w:rPr>
        <w:t>MoES</w:t>
      </w:r>
      <w:proofErr w:type="spellEnd"/>
      <w:r w:rsidRPr="0050731B">
        <w:rPr>
          <w:rFonts w:eastAsia="MS Mincho"/>
        </w:rPr>
        <w:t xml:space="preserve"> is ensuring that disability data is an integral component of the EMIS system. EMIS is expected to capture information on current gaps in the enrolment, </w:t>
      </w:r>
      <w:proofErr w:type="gramStart"/>
      <w:r w:rsidRPr="0050731B">
        <w:rPr>
          <w:rFonts w:eastAsia="MS Mincho"/>
        </w:rPr>
        <w:t>retention</w:t>
      </w:r>
      <w:proofErr w:type="gramEnd"/>
      <w:r w:rsidRPr="0050731B">
        <w:rPr>
          <w:rFonts w:eastAsia="MS Mincho"/>
        </w:rPr>
        <w:t xml:space="preserve"> and completion rates of persons with disabilities.  Civil Society and Development Partners have been called up to join MGLSD to trace and support over 80% of school going-aged children with Disabilities, </w:t>
      </w:r>
      <w:proofErr w:type="gramStart"/>
      <w:r w:rsidRPr="0050731B">
        <w:rPr>
          <w:rFonts w:eastAsia="MS Mincho"/>
        </w:rPr>
        <w:t>so as to</w:t>
      </w:r>
      <w:proofErr w:type="gramEnd"/>
      <w:r w:rsidRPr="0050731B">
        <w:rPr>
          <w:rFonts w:eastAsia="MS Mincho"/>
        </w:rPr>
        <w:t xml:space="preserve"> habilitate, rehabilitate and attach them to relevant training institutions based on periodic assessments. MGLSD has also been engaging partners to revive CBR so as to equip district and sub-county community development officers with child disability assessment skills and information on therapies, using locally available materials for sustainable and affordable </w:t>
      </w:r>
      <w:proofErr w:type="gramStart"/>
      <w:r w:rsidRPr="0050731B">
        <w:rPr>
          <w:rFonts w:eastAsia="MS Mincho"/>
        </w:rPr>
        <w:t>community based</w:t>
      </w:r>
      <w:proofErr w:type="gramEnd"/>
      <w:r w:rsidRPr="0050731B">
        <w:rPr>
          <w:rFonts w:eastAsia="MS Mincho"/>
        </w:rPr>
        <w:t xml:space="preserve"> rehabilitation services.</w:t>
      </w:r>
    </w:p>
    <w:p w14:paraId="4DA3C46B" w14:textId="77777777" w:rsidR="0050731B" w:rsidRPr="0050731B" w:rsidRDefault="0050731B" w:rsidP="00651C3F">
      <w:pPr>
        <w:pStyle w:val="SingleTxtG"/>
        <w:numPr>
          <w:ilvl w:val="0"/>
          <w:numId w:val="25"/>
        </w:numPr>
        <w:ind w:left="1134" w:firstLine="0"/>
        <w:rPr>
          <w:shd w:val="clear" w:color="auto" w:fill="FFFFFF"/>
        </w:rPr>
      </w:pPr>
      <w:r w:rsidRPr="0050731B">
        <w:rPr>
          <w:shd w:val="clear" w:color="auto" w:fill="FFFFFF"/>
        </w:rPr>
        <w:t xml:space="preserve">In response to SDG target 4.5, government has come up with </w:t>
      </w:r>
      <w:proofErr w:type="gramStart"/>
      <w:r w:rsidRPr="0050731B">
        <w:rPr>
          <w:shd w:val="clear" w:color="auto" w:fill="FFFFFF"/>
        </w:rPr>
        <w:t>a number of</w:t>
      </w:r>
      <w:proofErr w:type="gramEnd"/>
      <w:r w:rsidRPr="0050731B">
        <w:rPr>
          <w:shd w:val="clear" w:color="auto" w:fill="FFFFFF"/>
        </w:rPr>
        <w:t xml:space="preserve"> policies and programs to eliminate gender disparities in Education access through affirmative action. Affirmative action measures in education include Universal Primary and Secondary education which has seen an increase in enrolment of girls in education including girls with disabilities. Kampala Capital City Authority (KCCA) is implementing a program “Girls empowering Girls “to promote retention of girls in </w:t>
      </w:r>
      <w:proofErr w:type="gramStart"/>
      <w:r w:rsidRPr="0050731B">
        <w:rPr>
          <w:shd w:val="clear" w:color="auto" w:fill="FFFFFF"/>
        </w:rPr>
        <w:t>schools  and</w:t>
      </w:r>
      <w:proofErr w:type="gramEnd"/>
      <w:r w:rsidRPr="0050731B">
        <w:rPr>
          <w:shd w:val="clear" w:color="auto" w:fill="FFFFFF"/>
        </w:rPr>
        <w:t xml:space="preserve"> the program  deliberately target girls with disabilities to access social protection funding on monthly basis to cover their basic needs.  The girls are provided with mentorship sessions to promote enrolment and completion in schools. The </w:t>
      </w:r>
      <w:proofErr w:type="spellStart"/>
      <w:r w:rsidRPr="0050731B">
        <w:rPr>
          <w:shd w:val="clear" w:color="auto" w:fill="FFFFFF"/>
        </w:rPr>
        <w:t>MoES</w:t>
      </w:r>
      <w:proofErr w:type="spellEnd"/>
      <w:r w:rsidRPr="0050731B">
        <w:rPr>
          <w:shd w:val="clear" w:color="auto" w:fill="FFFFFF"/>
        </w:rPr>
        <w:t xml:space="preserve"> (2012) noted that Uganda achieved gender parity in education; this was achieved </w:t>
      </w:r>
      <w:r w:rsidRPr="0050731B">
        <w:t>through promotion of Girls’ Education (PGE) and the Equity in classroom Program (EIC) which was aimed at facilitating equal participation of girls and boys in the classroom. The various strategies contributed to the attainment of gender parity at 50/50 for boys and girls by 2011.</w:t>
      </w:r>
    </w:p>
    <w:p w14:paraId="5627E50C" w14:textId="1D5218C9" w:rsidR="0050731B" w:rsidRPr="0050731B" w:rsidRDefault="0050731B" w:rsidP="009A139F">
      <w:pPr>
        <w:pStyle w:val="SingleTxtG"/>
        <w:numPr>
          <w:ilvl w:val="0"/>
          <w:numId w:val="25"/>
        </w:numPr>
        <w:ind w:left="1134" w:firstLine="0"/>
        <w:rPr>
          <w:shd w:val="clear" w:color="auto" w:fill="FFFFFF"/>
        </w:rPr>
      </w:pPr>
      <w:r w:rsidRPr="0050731B">
        <w:rPr>
          <w:shd w:val="clear" w:color="auto" w:fill="FFFFFF"/>
        </w:rPr>
        <w:t xml:space="preserve">Under the National Strategy for Girls Education in Uganda (2014-2019), government recognised the need for sanitary facilities as been critical for girls with disabilities and increased Water Sanitation and Hygiene (WASH) facilities in schools for girls with physical </w:t>
      </w:r>
      <w:proofErr w:type="spellStart"/>
      <w:r w:rsidRPr="0050731B">
        <w:rPr>
          <w:shd w:val="clear" w:color="auto" w:fill="FFFFFF"/>
        </w:rPr>
        <w:t>disabilties</w:t>
      </w:r>
      <w:proofErr w:type="spellEnd"/>
      <w:r w:rsidRPr="0050731B">
        <w:rPr>
          <w:shd w:val="clear" w:color="auto" w:fill="FFFFFF"/>
        </w:rPr>
        <w:t>.</w:t>
      </w:r>
      <w:r w:rsidR="009A139F">
        <w:rPr>
          <w:shd w:val="clear" w:color="auto" w:fill="FFFFFF"/>
        </w:rPr>
        <w:t xml:space="preserve"> </w:t>
      </w:r>
      <w:proofErr w:type="gramStart"/>
      <w:r w:rsidRPr="0050731B">
        <w:rPr>
          <w:shd w:val="clear" w:color="auto" w:fill="FFFFFF"/>
        </w:rPr>
        <w:t>The</w:t>
      </w:r>
      <w:proofErr w:type="gramEnd"/>
      <w:r w:rsidRPr="0050731B">
        <w:rPr>
          <w:shd w:val="clear" w:color="auto" w:fill="FFFFFF"/>
        </w:rPr>
        <w:t xml:space="preserve"> Ministry developed three-star Guidelines for WASH in schools and the Guidelines are promoting inclusion of children with disabilities in schools.</w:t>
      </w:r>
      <w:r w:rsidRPr="0050731B">
        <w:rPr>
          <w:shd w:val="clear" w:color="auto" w:fill="FFFFFF"/>
          <w:vertAlign w:val="superscript"/>
        </w:rPr>
        <w:footnoteReference w:id="49"/>
      </w:r>
      <w:r w:rsidRPr="0050731B">
        <w:rPr>
          <w:shd w:val="clear" w:color="auto" w:fill="FFFFFF"/>
        </w:rPr>
        <w:t xml:space="preserve">. </w:t>
      </w:r>
    </w:p>
    <w:p w14:paraId="143FE53B" w14:textId="77777777" w:rsidR="0050731B" w:rsidRPr="0050731B" w:rsidRDefault="0050731B" w:rsidP="009A139F">
      <w:pPr>
        <w:pStyle w:val="SingleTxtG"/>
        <w:numPr>
          <w:ilvl w:val="0"/>
          <w:numId w:val="25"/>
        </w:numPr>
        <w:ind w:left="1134" w:firstLine="0"/>
      </w:pPr>
      <w:r w:rsidRPr="0050731B">
        <w:t xml:space="preserve">Though Government has </w:t>
      </w:r>
      <w:r w:rsidRPr="009A139F">
        <w:rPr>
          <w:shd w:val="clear" w:color="auto" w:fill="FFFFFF"/>
        </w:rPr>
        <w:t>taken</w:t>
      </w:r>
      <w:r w:rsidRPr="0050731B">
        <w:t xml:space="preserve"> significant strides in promoting enrolment of learners with disabilities in schools, there are still societal and attitudinal challenges that limit their access to enrolment and retention in schools. </w:t>
      </w:r>
      <w:r w:rsidRPr="0050731B">
        <w:rPr>
          <w:rFonts w:eastAsia="MS Mincho"/>
        </w:rPr>
        <w:t xml:space="preserve">The 2014 census report indicates that </w:t>
      </w:r>
      <w:r w:rsidRPr="0050731B">
        <w:t xml:space="preserve">out of the 370,380 (182,870 males and, 187,510 females) persons with disabilities aged 13-18 years who were supposed to enrol in secondary education, only 8,945 (4,440 males and, 4,505 females) enrolled. </w:t>
      </w:r>
    </w:p>
    <w:p w14:paraId="1466CC8A" w14:textId="5733B07D" w:rsidR="0050731B" w:rsidRPr="0050731B" w:rsidRDefault="009A139F" w:rsidP="009A139F">
      <w:pPr>
        <w:pStyle w:val="H1G"/>
      </w:pPr>
      <w:bookmarkStart w:id="54" w:name="_Toc120102321"/>
      <w:r>
        <w:tab/>
      </w:r>
      <w:r>
        <w:tab/>
      </w:r>
      <w:bookmarkStart w:id="55" w:name="_Toc133425383"/>
      <w:r w:rsidR="0050731B" w:rsidRPr="0050731B">
        <w:t>Health (Article 25)</w:t>
      </w:r>
      <w:bookmarkEnd w:id="54"/>
      <w:bookmarkEnd w:id="55"/>
    </w:p>
    <w:p w14:paraId="46C18DCB" w14:textId="77777777" w:rsidR="0050731B" w:rsidRPr="009A139F" w:rsidRDefault="0050731B" w:rsidP="009A139F">
      <w:pPr>
        <w:pStyle w:val="SingleTxtG"/>
        <w:rPr>
          <w:i/>
          <w:iCs/>
        </w:rPr>
      </w:pPr>
      <w:r w:rsidRPr="009A139F">
        <w:rPr>
          <w:i/>
          <w:iCs/>
        </w:rPr>
        <w:t>Cf Concluding observation 51</w:t>
      </w:r>
    </w:p>
    <w:p w14:paraId="0C49B0BF" w14:textId="77777777" w:rsidR="0050731B" w:rsidRPr="0050731B" w:rsidRDefault="0050731B" w:rsidP="009A139F">
      <w:pPr>
        <w:pStyle w:val="SingleTxtG"/>
        <w:numPr>
          <w:ilvl w:val="0"/>
          <w:numId w:val="25"/>
        </w:numPr>
        <w:ind w:left="1134" w:firstLine="0"/>
        <w:rPr>
          <w:rFonts w:ascii="Tahoma" w:hAnsi="Tahoma" w:cs="Tahoma"/>
          <w:color w:val="000000"/>
        </w:rPr>
      </w:pPr>
      <w:r w:rsidRPr="0050731B">
        <w:t xml:space="preserve">The (MOH has been conducting awareness raising meetings on disability and rehabilitation health services. Health and medical students are sensitized through internship placement opportunities in communities and participation in events such as mental health day, white </w:t>
      </w:r>
      <w:proofErr w:type="gramStart"/>
      <w:r w:rsidRPr="0050731B">
        <w:t>cane</w:t>
      </w:r>
      <w:proofErr w:type="gramEnd"/>
      <w:r w:rsidRPr="0050731B">
        <w:t xml:space="preserve"> and the international day for persons with albinism. The Interventions in Early Childhood (IDEC) Program implementation strategy is emphasising capacity building of government workers closely working with persons with disabilities, </w:t>
      </w:r>
      <w:r w:rsidRPr="0050731B">
        <w:rPr>
          <w:color w:val="000000"/>
        </w:rPr>
        <w:t xml:space="preserve">the program trained 16 National Master Trainers of whom 12 were further trained in CST and Mortar Development. This training was replicated in five districts of </w:t>
      </w:r>
      <w:proofErr w:type="spellStart"/>
      <w:r w:rsidRPr="0050731B">
        <w:rPr>
          <w:color w:val="000000"/>
        </w:rPr>
        <w:t>Mubende</w:t>
      </w:r>
      <w:proofErr w:type="spellEnd"/>
      <w:r w:rsidRPr="0050731B">
        <w:rPr>
          <w:color w:val="000000"/>
        </w:rPr>
        <w:t xml:space="preserve">, </w:t>
      </w:r>
      <w:proofErr w:type="spellStart"/>
      <w:r w:rsidRPr="0050731B">
        <w:rPr>
          <w:color w:val="000000"/>
        </w:rPr>
        <w:t>Kassanda</w:t>
      </w:r>
      <w:proofErr w:type="spellEnd"/>
      <w:r w:rsidRPr="0050731B">
        <w:rPr>
          <w:color w:val="000000"/>
        </w:rPr>
        <w:t xml:space="preserve">, Kyegegwa, Kabarole and </w:t>
      </w:r>
      <w:proofErr w:type="spellStart"/>
      <w:r w:rsidRPr="0050731B">
        <w:rPr>
          <w:color w:val="000000"/>
        </w:rPr>
        <w:t>Kibuube</w:t>
      </w:r>
      <w:proofErr w:type="spellEnd"/>
      <w:r w:rsidRPr="0050731B">
        <w:rPr>
          <w:color w:val="000000"/>
        </w:rPr>
        <w:t xml:space="preserve">. The program trained   health workers, VHTs, ECD staff to screen children at community, </w:t>
      </w:r>
      <w:proofErr w:type="gramStart"/>
      <w:r w:rsidRPr="0050731B">
        <w:rPr>
          <w:color w:val="000000"/>
        </w:rPr>
        <w:t>school</w:t>
      </w:r>
      <w:proofErr w:type="gramEnd"/>
      <w:r w:rsidRPr="0050731B">
        <w:rPr>
          <w:color w:val="000000"/>
        </w:rPr>
        <w:t xml:space="preserve"> and health Centre levels.  Staff of MOH, MGLSD, </w:t>
      </w:r>
      <w:proofErr w:type="spellStart"/>
      <w:r w:rsidRPr="0050731B">
        <w:rPr>
          <w:color w:val="000000"/>
        </w:rPr>
        <w:t>MoES</w:t>
      </w:r>
      <w:proofErr w:type="spellEnd"/>
      <w:r w:rsidRPr="0050731B">
        <w:rPr>
          <w:color w:val="000000"/>
        </w:rPr>
        <w:t xml:space="preserve">, NCPD and selected staff of CSOs and OPDs were trained to build capacity for identification, assessment, </w:t>
      </w:r>
      <w:proofErr w:type="spellStart"/>
      <w:r w:rsidRPr="0050731B">
        <w:rPr>
          <w:color w:val="000000"/>
        </w:rPr>
        <w:t>sreening</w:t>
      </w:r>
      <w:proofErr w:type="spellEnd"/>
      <w:r w:rsidRPr="0050731B">
        <w:rPr>
          <w:color w:val="000000"/>
        </w:rPr>
        <w:t xml:space="preserve"> and referral of children with disabilities for further management and education.</w:t>
      </w:r>
    </w:p>
    <w:p w14:paraId="770B56C2" w14:textId="77777777" w:rsidR="0050731B" w:rsidRPr="0050731B" w:rsidRDefault="0050731B" w:rsidP="009A139F">
      <w:pPr>
        <w:pStyle w:val="SingleTxtG"/>
        <w:numPr>
          <w:ilvl w:val="0"/>
          <w:numId w:val="25"/>
        </w:numPr>
        <w:ind w:left="1134" w:firstLine="0"/>
      </w:pPr>
      <w:r w:rsidRPr="0050731B">
        <w:t xml:space="preserve">The MOH Strategic Plan 2020-2025 has prioritised the distribution of health services and their scaling up to persons with disabilities, this is being achieved through ensuring high quality safe and patient centred pre-hospital and hospital medical services that meet their needs. The community development officers and village health teams through </w:t>
      </w:r>
      <w:proofErr w:type="gramStart"/>
      <w:r w:rsidRPr="0050731B">
        <w:t>community based</w:t>
      </w:r>
      <w:proofErr w:type="gramEnd"/>
      <w:r w:rsidRPr="0050731B">
        <w:t xml:space="preserve"> rehabilitation programs are mobilising, identifying and referring persons with disabilities for further management at health centres. The Government is implementing an inter-ministerial program ‘Interventions for Childhood Disability’ (IDEC) to training health workers, Teachers, Village Health Teams (VHT) and community. IDEC interventions have promoted </w:t>
      </w:r>
      <w:r w:rsidRPr="0050731B">
        <w:rPr>
          <w:color w:val="000000"/>
        </w:rPr>
        <w:t xml:space="preserve">child screening and identification and since the program began a total of </w:t>
      </w:r>
      <w:r w:rsidRPr="0050731B">
        <w:rPr>
          <w:lang w:eastAsia="en-GB"/>
        </w:rPr>
        <w:t>720</w:t>
      </w:r>
      <w:r w:rsidRPr="0050731B">
        <w:rPr>
          <w:color w:val="000000"/>
          <w:lang w:eastAsia="en-GB"/>
        </w:rPr>
        <w:t xml:space="preserve"> Children with disabilities or developmental delays were targeted in each District and the target was achieved. </w:t>
      </w:r>
    </w:p>
    <w:p w14:paraId="365544EC" w14:textId="77777777" w:rsidR="0050731B" w:rsidRPr="0050731B" w:rsidRDefault="0050731B" w:rsidP="009A139F">
      <w:pPr>
        <w:pStyle w:val="SingleTxtG"/>
        <w:numPr>
          <w:ilvl w:val="0"/>
          <w:numId w:val="25"/>
        </w:numPr>
        <w:ind w:left="1134" w:firstLine="0"/>
      </w:pPr>
      <w:r w:rsidRPr="0050731B">
        <w:t xml:space="preserve">The MOH has a Disability and Rehabilitation Section that provides rehabilitation and promotes access to health care services for persons with disabilities. The Government rolled out CBR County wide and through the program, persons with disabilities are access the services at community level where Community development Officers and Village Health Teams (VHTs) identification, assessment, counselling, refer and follow up on persons with disabilities. </w:t>
      </w:r>
    </w:p>
    <w:p w14:paraId="0041DEC4" w14:textId="77777777" w:rsidR="0050731B" w:rsidRPr="0050731B" w:rsidRDefault="0050731B" w:rsidP="009A139F">
      <w:pPr>
        <w:pStyle w:val="SingleTxtG"/>
        <w:numPr>
          <w:ilvl w:val="0"/>
          <w:numId w:val="25"/>
        </w:numPr>
        <w:ind w:left="1134" w:firstLine="0"/>
        <w:rPr>
          <w:rFonts w:ascii="Cambria" w:hAnsi="Cambria"/>
        </w:rPr>
      </w:pPr>
      <w:r w:rsidRPr="0050731B">
        <w:t>During the second Global Summit on Disability 2022, Uganda committed to review the in-service training package for health workers in the management of health conditions of persons with disabilities, giving priority to support persons with severe disabilities, catering for sign language, and other adjustments for better treatment outcomes. The key line ministries reached a common agreement on the recruitment structure for sign language interpreters that is awaiting budgetary approval and advertisement. The MOH recognizes the need for and commits to making the necessary budgetary and policy reforms to accommodate the recruitment of professional guides and sign language interpreters in health centres by 2024</w:t>
      </w:r>
      <w:r w:rsidRPr="0050731B">
        <w:rPr>
          <w:rFonts w:ascii="Cambria" w:hAnsi="Cambria"/>
        </w:rPr>
        <w:t>.</w:t>
      </w:r>
    </w:p>
    <w:p w14:paraId="7A0BAE30" w14:textId="77777777" w:rsidR="0050731B" w:rsidRPr="0050731B" w:rsidRDefault="0050731B" w:rsidP="009A139F">
      <w:pPr>
        <w:pStyle w:val="SingleTxtG"/>
        <w:numPr>
          <w:ilvl w:val="0"/>
          <w:numId w:val="25"/>
        </w:numPr>
        <w:ind w:left="1134" w:firstLine="0"/>
      </w:pPr>
      <w:r w:rsidRPr="0050731B">
        <w:t xml:space="preserve">The MOH established a semi-autonomous Cancer Institute at the National Referral Hospital Mulago. The Cancer Institute is working with OPDs including the Uganda Association of Persons with Albinism, Albinism Umbrella, and Source of the Nile Union of Persons with Albinism, to develop the Cancer Policy. To this end, the MOH and the Albinism Umbrella Association signed a memorandum of understanding that provides a mechanism for continuous engagement </w:t>
      </w:r>
      <w:proofErr w:type="gramStart"/>
      <w:r w:rsidRPr="0050731B">
        <w:t>with, and</w:t>
      </w:r>
      <w:proofErr w:type="gramEnd"/>
      <w:r w:rsidRPr="0050731B">
        <w:t xml:space="preserve"> eliciting the inputs of the albinism community on the cancer policy.</w:t>
      </w:r>
    </w:p>
    <w:p w14:paraId="2D264EFE" w14:textId="77777777" w:rsidR="0050731B" w:rsidRPr="0050731B" w:rsidRDefault="0050731B" w:rsidP="009A139F">
      <w:pPr>
        <w:pStyle w:val="SingleTxtG"/>
        <w:numPr>
          <w:ilvl w:val="0"/>
          <w:numId w:val="25"/>
        </w:numPr>
        <w:ind w:left="1134" w:firstLine="0"/>
      </w:pPr>
      <w:r w:rsidRPr="0050731B">
        <w:t xml:space="preserve">Government is providing essential drugs for persons with mental health conditions in all health facilities through the National Medical Stores. The essential drugs are supplied to all government National, regional hospitals, Health Centre II-IV to improve access to the services by Persons with mental disabilities. </w:t>
      </w:r>
    </w:p>
    <w:p w14:paraId="31B12930" w14:textId="77777777" w:rsidR="0050731B" w:rsidRPr="0050731B" w:rsidRDefault="0050731B" w:rsidP="009A139F">
      <w:pPr>
        <w:pStyle w:val="SingleTxtG"/>
        <w:numPr>
          <w:ilvl w:val="0"/>
          <w:numId w:val="25"/>
        </w:numPr>
        <w:ind w:left="1134" w:firstLine="0"/>
      </w:pPr>
      <w:r w:rsidRPr="0050731B">
        <w:t>The MOH has undertaken strategies to develop tools and handbooks on disability inclusive capacity building guide for leaders of persons with disabilities and sexual and reproductive skills, health skills development and rights protection for women and girls by 2023.  In 2020 during the COVID-19 pandemic, the MOH provided information and other IEC materials for persons with disabilities among which was video messages on COVID-19 with captions and sign language interpreters.</w:t>
      </w:r>
    </w:p>
    <w:p w14:paraId="4CCDBA1A" w14:textId="3DADC635" w:rsidR="0050731B" w:rsidRPr="0050731B" w:rsidRDefault="009A139F" w:rsidP="009A139F">
      <w:pPr>
        <w:pStyle w:val="H1G"/>
      </w:pPr>
      <w:bookmarkStart w:id="56" w:name="_Toc120102322"/>
      <w:r>
        <w:tab/>
      </w:r>
      <w:r>
        <w:tab/>
      </w:r>
      <w:bookmarkStart w:id="57" w:name="_Toc133425384"/>
      <w:r w:rsidR="0050731B" w:rsidRPr="0050731B">
        <w:t>Work and employment (Article 27)</w:t>
      </w:r>
      <w:bookmarkEnd w:id="56"/>
      <w:bookmarkEnd w:id="57"/>
    </w:p>
    <w:p w14:paraId="0B694633" w14:textId="77777777" w:rsidR="0050731B" w:rsidRPr="009A139F" w:rsidRDefault="0050731B" w:rsidP="009A139F">
      <w:pPr>
        <w:pStyle w:val="SingleTxtG"/>
        <w:rPr>
          <w:i/>
          <w:iCs/>
        </w:rPr>
      </w:pPr>
      <w:r w:rsidRPr="009A139F">
        <w:rPr>
          <w:i/>
          <w:iCs/>
        </w:rPr>
        <w:t>Cf Concluding Observation 53</w:t>
      </w:r>
    </w:p>
    <w:p w14:paraId="5E4A0C5F" w14:textId="77777777" w:rsidR="0050731B" w:rsidRPr="0050731B" w:rsidRDefault="0050731B" w:rsidP="009A139F">
      <w:pPr>
        <w:pStyle w:val="SingleTxtG"/>
        <w:numPr>
          <w:ilvl w:val="0"/>
          <w:numId w:val="25"/>
        </w:numPr>
        <w:ind w:left="1134" w:firstLine="0"/>
      </w:pPr>
      <w:r w:rsidRPr="0050731B">
        <w:t xml:space="preserve">Uganda’s approaches to employment of persons with disabilities include affirmative action, quota employment and equality of opportunity and non-discrimination. The Persons with Disabilities Act, 2020 and the Income Tax (Amendment) Act, 2010 allow employers who hire persons with disabilities a tax incentive reduction of up to 10% on the chargeable income (S9). This law requires government to employ persons with disabilities in the public service as part of affirmative action. The Minister of State for Disability Affairs is required to report to the Parliament of Uganda on the status of affirmative action policies, including employment policies of persons with disabilities every two years. </w:t>
      </w:r>
    </w:p>
    <w:p w14:paraId="21A787B0" w14:textId="77777777" w:rsidR="0050731B" w:rsidRPr="0050731B" w:rsidRDefault="0050731B" w:rsidP="009A139F">
      <w:pPr>
        <w:pStyle w:val="SingleTxtG"/>
        <w:numPr>
          <w:ilvl w:val="0"/>
          <w:numId w:val="25"/>
        </w:numPr>
        <w:ind w:left="1134" w:firstLine="0"/>
      </w:pPr>
      <w:r w:rsidRPr="0050731B">
        <w:t xml:space="preserve">The Disability law establishes an employment quota system for persons with disabilities. In addition to affirmative action and the quota system, qualified persons with disabilities can compete for jobs </w:t>
      </w:r>
      <w:proofErr w:type="gramStart"/>
      <w:r w:rsidRPr="0050731B">
        <w:t>on the basis of</w:t>
      </w:r>
      <w:proofErr w:type="gramEnd"/>
      <w:r w:rsidRPr="0050731B">
        <w:t xml:space="preserve"> equal opportunities. The Act prohibits employers from discriminating against any person from the employment process based on disability (S7). This law requires employers to where appropriate include a statement in job advertisements encouraging persons with disabilities to apply. It requires employers to provide reasonable accommodation for applicants with disabilities throughout the employment process including during application, interview time and job performance.</w:t>
      </w:r>
      <w:r w:rsidRPr="0050731B">
        <w:rPr>
          <w:vertAlign w:val="superscript"/>
        </w:rPr>
        <w:footnoteReference w:id="50"/>
      </w:r>
      <w:r w:rsidRPr="0050731B">
        <w:t xml:space="preserve"> The government at District level has provided for a slot for one person with disability on each District Service Commission who guides the commission to provide reasonable accommodation and affirmative action for persons with disabilities who apply for jobs.</w:t>
      </w:r>
    </w:p>
    <w:p w14:paraId="1A153184" w14:textId="77777777" w:rsidR="0050731B" w:rsidRPr="0050731B" w:rsidRDefault="0050731B" w:rsidP="006A7F44">
      <w:pPr>
        <w:pStyle w:val="SingleTxtG"/>
        <w:numPr>
          <w:ilvl w:val="0"/>
          <w:numId w:val="25"/>
        </w:numPr>
        <w:ind w:left="1134" w:firstLine="0"/>
      </w:pPr>
      <w:r w:rsidRPr="0050731B">
        <w:t xml:space="preserve">Persons with disabilities are entitled to equal remuneration or benefits as any other citizen. This is adhered to in the public sector, however there are pay wage gaps in the private sector. To ensure the persons with disabilities attain equal pay for equal work, the Persons with Disabilities Act (S 9) states that it is discriminatory for an employer to pay an employee with a disability less than what is paid to another employee who performs the same or similar task. Under a public-private partnership arrangement with Federation of Uganda Employers, NUDIPU and Light for the World, a campaign to increase the workforce entry of persons with disabilities called Make 12.4% work was launched in 2018. 151 organizations signed up to make their workplaces accessible and disability inclusive, signalling commitment to employing persons with disabilities and to ensure their accommodation at the workplace. </w:t>
      </w:r>
    </w:p>
    <w:p w14:paraId="7B88A141" w14:textId="77777777" w:rsidR="0050731B" w:rsidRPr="0050731B" w:rsidRDefault="0050731B" w:rsidP="006A7F44">
      <w:pPr>
        <w:pStyle w:val="SingleTxtG"/>
        <w:numPr>
          <w:ilvl w:val="0"/>
          <w:numId w:val="25"/>
        </w:numPr>
        <w:ind w:left="1134" w:firstLine="0"/>
      </w:pPr>
      <w:r w:rsidRPr="0050731B">
        <w:t>Government notes that only 34% young men and 30% young women with disabilities are employed</w:t>
      </w:r>
      <w:r w:rsidRPr="0050731B">
        <w:rPr>
          <w:vertAlign w:val="superscript"/>
        </w:rPr>
        <w:footnoteReference w:id="51"/>
      </w:r>
      <w:r w:rsidRPr="0050731B">
        <w:t>. To enhance self-employment, Government established the Special Grant for Persons with Disabilities in the F/Y 2009/10 for economic empowerment of Persons with Disabilities through groups. Money was sent under the consolidated funds to Local governments and persons with disabilities would form groups through which they would access funding for a common economic activity. In the F/Y 2019/2020, Government gave additional funding towards this grant but this time with a different modality whereby money is being directly disbursed form the central Government onto accounts of groups of persons with disabilities.  Since the introduction of this new modality and increased funding from 2019 to date, there have been drastic improvements in income levels, asset acquisition, and access to services by many Persons with Disabilities that have accessed the Grant.</w:t>
      </w:r>
    </w:p>
    <w:p w14:paraId="4BA67805" w14:textId="77777777" w:rsidR="0050731B" w:rsidRPr="0050731B" w:rsidRDefault="0050731B" w:rsidP="006A7F44">
      <w:pPr>
        <w:pStyle w:val="SingleTxtG"/>
        <w:numPr>
          <w:ilvl w:val="0"/>
          <w:numId w:val="25"/>
        </w:numPr>
        <w:ind w:left="1134" w:firstLine="0"/>
        <w:rPr>
          <w:color w:val="212529"/>
          <w:shd w:val="clear" w:color="auto" w:fill="FFFFFF"/>
        </w:rPr>
      </w:pPr>
      <w:r w:rsidRPr="0050731B">
        <w:t>A review of the labour force survey report of 2018/19 revealed no difference in employment to population ratio between persons with disabilities (52.3%, 59.5% male, female 46.6%) and persons without disabilities (51.1%, male 62.5%, female 40.2%). Unemployment among persons with disabilities of working age (16-64 years) is almost twice (6.8%) lower than persons without disabilities (13.1%)</w:t>
      </w:r>
      <w:r w:rsidRPr="0050731B">
        <w:rPr>
          <w:vertAlign w:val="superscript"/>
        </w:rPr>
        <w:footnoteReference w:id="52"/>
      </w:r>
      <w:r w:rsidRPr="0050731B">
        <w:t xml:space="preserve">. In the annual </w:t>
      </w:r>
      <w:proofErr w:type="spellStart"/>
      <w:r w:rsidRPr="0050731B">
        <w:t>labor</w:t>
      </w:r>
      <w:proofErr w:type="spellEnd"/>
      <w:r w:rsidRPr="0050731B">
        <w:t xml:space="preserve"> force survey 2018/19, employment refers to any activities performed by persons to produce goods or to provide services for use by others or for own use (page 32). Although the </w:t>
      </w:r>
      <w:proofErr w:type="spellStart"/>
      <w:r w:rsidRPr="0050731B">
        <w:t>labor</w:t>
      </w:r>
      <w:proofErr w:type="spellEnd"/>
      <w:r w:rsidRPr="0050731B">
        <w:t xml:space="preserve"> force survey 2018/19 does not report on formal employment, the Man power survey of 2016/17 shows that access to formal employment by persons with disabilities is still significantly low (1.3%)</w:t>
      </w:r>
      <w:r w:rsidRPr="0050731B">
        <w:rPr>
          <w:vertAlign w:val="superscript"/>
        </w:rPr>
        <w:footnoteReference w:id="53"/>
      </w:r>
      <w:r w:rsidRPr="0050731B">
        <w:t>, and persons with disabilities are generally less likely to be employed than persons without disabilities, especially youth and women.</w:t>
      </w:r>
      <w:r w:rsidRPr="0050731B">
        <w:rPr>
          <w:vertAlign w:val="superscript"/>
        </w:rPr>
        <w:footnoteReference w:id="54"/>
      </w:r>
      <w:r w:rsidRPr="0050731B">
        <w:rPr>
          <w:vertAlign w:val="superscript"/>
        </w:rPr>
        <w:footnoteReference w:id="55"/>
      </w:r>
      <w:r w:rsidRPr="0050731B">
        <w:rPr>
          <w:vertAlign w:val="superscript"/>
        </w:rPr>
        <w:footnoteReference w:id="56"/>
      </w:r>
      <w:r w:rsidRPr="0050731B">
        <w:t xml:space="preserve"> This is partly due to inaccessible workplace conditions, low expectations of the work capacity of persons with disabilities and the weak enforcement of existing employment laws, policies and regulations.</w:t>
      </w:r>
    </w:p>
    <w:p w14:paraId="470D77BB" w14:textId="5C65C4A0" w:rsidR="0050731B" w:rsidRPr="0050731B" w:rsidRDefault="006A7F44" w:rsidP="006A7F44">
      <w:pPr>
        <w:pStyle w:val="H1G"/>
      </w:pPr>
      <w:bookmarkStart w:id="58" w:name="_Toc120102323"/>
      <w:r>
        <w:tab/>
      </w:r>
      <w:r>
        <w:tab/>
      </w:r>
      <w:bookmarkStart w:id="59" w:name="_Toc133425385"/>
      <w:r w:rsidR="0050731B" w:rsidRPr="0050731B">
        <w:t>Adequate standard of living and social protection (Article 28)</w:t>
      </w:r>
      <w:bookmarkEnd w:id="58"/>
      <w:bookmarkEnd w:id="59"/>
    </w:p>
    <w:p w14:paraId="6AB719F2" w14:textId="77777777" w:rsidR="0050731B" w:rsidRPr="006A7F44" w:rsidRDefault="0050731B" w:rsidP="006A7F44">
      <w:pPr>
        <w:pStyle w:val="SingleTxtG"/>
        <w:rPr>
          <w:i/>
          <w:iCs/>
        </w:rPr>
      </w:pPr>
      <w:r w:rsidRPr="006A7F44">
        <w:rPr>
          <w:i/>
          <w:iCs/>
        </w:rPr>
        <w:t>Cf Concluding Observation 55</w:t>
      </w:r>
    </w:p>
    <w:p w14:paraId="69103389" w14:textId="77777777" w:rsidR="0050731B" w:rsidRPr="0050731B" w:rsidRDefault="0050731B" w:rsidP="006A7F44">
      <w:pPr>
        <w:pStyle w:val="SingleTxtG"/>
        <w:numPr>
          <w:ilvl w:val="0"/>
          <w:numId w:val="25"/>
        </w:numPr>
        <w:ind w:left="1134" w:firstLine="0"/>
      </w:pPr>
      <w:r w:rsidRPr="0050731B">
        <w:t>To promote social protection, Uganda adopted the Social Protection Policy in 2015 and other such as the National Social Security Fund (Amendment) Act 2022 and its regulations and the Pension Act. Under the post COVID-19 recovery strategies, the government provided for mid-term access of social security fund by all Ugandans, and persons with disabilities were provided access to 50% of their savings at the age 40.</w:t>
      </w:r>
    </w:p>
    <w:p w14:paraId="6E6D9349" w14:textId="77777777" w:rsidR="0050731B" w:rsidRPr="0050731B" w:rsidRDefault="0050731B" w:rsidP="006A7F44">
      <w:pPr>
        <w:pStyle w:val="SingleTxtG"/>
        <w:numPr>
          <w:ilvl w:val="0"/>
          <w:numId w:val="25"/>
        </w:numPr>
        <w:ind w:left="1134" w:firstLine="0"/>
      </w:pPr>
      <w:r w:rsidRPr="0050731B">
        <w:t xml:space="preserve">To improve the standards of living persons for Persons with Disabilities, the government has progressively improved the funding for the special grant steadily from 2.1 billion Uganda shillings when it was established in 2019. The grant was </w:t>
      </w:r>
      <w:proofErr w:type="gramStart"/>
      <w:r w:rsidRPr="0050731B">
        <w:t>later on</w:t>
      </w:r>
      <w:proofErr w:type="gramEnd"/>
      <w:r w:rsidRPr="0050731B">
        <w:t xml:space="preserve"> increased to 5 billion Uganda shillings and rolled out to the entire country. In FY 2019/2020, the grant was increased to 9 .6 billion Uganda shillings and in the FY 2022/23, to 16.6 billion Uganda shillings. The progressive increment in the special grant’s funding reflects a strong commitment on the part of the government to reduce household poverty among persons with disabilities. The grant enterprises increased from 168 enterprises in FY 2019/20 to 816 in FY 2020/21 and 1,612 enterprises in FY 2021/2022</w:t>
      </w:r>
      <w:r w:rsidRPr="0050731B">
        <w:rPr>
          <w:vertAlign w:val="superscript"/>
        </w:rPr>
        <w:footnoteReference w:id="57"/>
      </w:r>
      <w:r w:rsidRPr="0050731B">
        <w:t>. The number of persons with disabilities who benefitted from the funded enterprises increased tremendously from 1,445 in FY 2019/20, to 7,780 in FY 2020/21 and 13, 615 in FY 2021/22. The Special Grant for persons with disabilities Guidelines were reviewed in the FY 2019/2022 to include care givers and parents of children with disabilities among the grant beneficiaries.</w:t>
      </w:r>
      <w:r w:rsidRPr="0050731B">
        <w:rPr>
          <w:vertAlign w:val="superscript"/>
        </w:rPr>
        <w:footnoteReference w:id="58"/>
      </w:r>
      <w:r w:rsidRPr="0050731B">
        <w:t xml:space="preserve">  However, the disability fraternity was concerned about the planned merger of the special grant with the </w:t>
      </w:r>
      <w:proofErr w:type="gramStart"/>
      <w:r w:rsidRPr="0050731B">
        <w:t>loan based</w:t>
      </w:r>
      <w:proofErr w:type="gramEnd"/>
      <w:r w:rsidRPr="0050731B">
        <w:t xml:space="preserve"> parish model in 2024, which will negatively affect access by Persons with Disabilities due to their unique needs compared to others.</w:t>
      </w:r>
    </w:p>
    <w:p w14:paraId="446F43F5" w14:textId="77777777" w:rsidR="0050731B" w:rsidRPr="0050731B" w:rsidRDefault="0050731B" w:rsidP="006A7F44">
      <w:pPr>
        <w:pStyle w:val="SingleTxtG"/>
        <w:numPr>
          <w:ilvl w:val="0"/>
          <w:numId w:val="25"/>
        </w:numPr>
        <w:ind w:left="1134" w:firstLine="0"/>
        <w:rPr>
          <w:lang w:val="en-US"/>
        </w:rPr>
      </w:pPr>
      <w:r w:rsidRPr="0050731B">
        <w:rPr>
          <w:lang w:val="en-US"/>
        </w:rPr>
        <w:t>The SAGE program was recently rolled out to cover the entire country and expanded its access to older persons aged 80 or older. Older Persons with Disabilities constitute over 75% of the 368,420 beneficiaries of the SAGE program. In August 2022, parliament recommended reducing the age of beneficiaries of the Social Assistance Grant Empowerment (SAGE) from 80 years to 70 years.  This was reflected in the report of the Committee on Equal Opportunities on the state of equal opportunities in select sectors and affirmative actions. The Committee further adopted the report’s recommendation to offer affirmative action for women by reducing the age of the beneficiaries of SAGE from 80 years to 65 years.</w:t>
      </w:r>
      <w:r w:rsidRPr="0050731B">
        <w:rPr>
          <w:vertAlign w:val="superscript"/>
          <w:lang w:val="en-US"/>
        </w:rPr>
        <w:footnoteReference w:id="59"/>
      </w:r>
      <w:r w:rsidRPr="0050731B">
        <w:rPr>
          <w:lang w:val="en-US"/>
        </w:rPr>
        <w:t xml:space="preserve"> The recommendations </w:t>
      </w:r>
      <w:proofErr w:type="gramStart"/>
      <w:r w:rsidRPr="0050731B">
        <w:rPr>
          <w:lang w:val="en-US"/>
        </w:rPr>
        <w:t>awaits</w:t>
      </w:r>
      <w:proofErr w:type="gramEnd"/>
      <w:r w:rsidRPr="0050731B">
        <w:rPr>
          <w:lang w:val="en-US"/>
        </w:rPr>
        <w:t xml:space="preserve"> cabinet’s approval.</w:t>
      </w:r>
    </w:p>
    <w:p w14:paraId="34EB14EF" w14:textId="77777777" w:rsidR="0050731B" w:rsidRPr="0050731B" w:rsidRDefault="0050731B" w:rsidP="006A7F44">
      <w:pPr>
        <w:pStyle w:val="SingleTxtG"/>
        <w:numPr>
          <w:ilvl w:val="0"/>
          <w:numId w:val="25"/>
        </w:numPr>
        <w:ind w:left="1134" w:firstLine="0"/>
      </w:pPr>
      <w:r w:rsidRPr="0050731B">
        <w:t>Government recognizes the need for a national social health insurance scheme to protect poor and vulnerable population groups such as persons with disabilities. The MOH is in the process of establishing a National Health Insurance Scheme to be funded through a combination of employee and government contributions, with an overarching aim of expanding health coverage to all Ugandans. On March 31</w:t>
      </w:r>
      <w:proofErr w:type="gramStart"/>
      <w:r w:rsidRPr="0050731B">
        <w:t xml:space="preserve"> 2021</w:t>
      </w:r>
      <w:proofErr w:type="gramEnd"/>
      <w:r w:rsidRPr="0050731B">
        <w:t>, the Parliament of Uganda passed the National Health Insurance bill which is awaiting presidential assent.</w:t>
      </w:r>
      <w:r w:rsidRPr="0050731B">
        <w:rPr>
          <w:vertAlign w:val="superscript"/>
        </w:rPr>
        <w:footnoteReference w:id="60"/>
      </w:r>
      <w:r w:rsidRPr="0050731B">
        <w:t xml:space="preserve"> The bill will operationalize the first ever-social health insurance scheme in Uganda.</w:t>
      </w:r>
    </w:p>
    <w:p w14:paraId="3A754C4B" w14:textId="5E1382CC" w:rsidR="0050731B" w:rsidRPr="0050731B" w:rsidRDefault="006A7F44" w:rsidP="006A7F44">
      <w:pPr>
        <w:pStyle w:val="H1G"/>
      </w:pPr>
      <w:bookmarkStart w:id="60" w:name="_Toc120102324"/>
      <w:r>
        <w:tab/>
      </w:r>
      <w:r>
        <w:tab/>
      </w:r>
      <w:bookmarkStart w:id="61" w:name="_Toc133425386"/>
      <w:r w:rsidR="0050731B" w:rsidRPr="0050731B">
        <w:t>Participation in political and public life (Article 29)</w:t>
      </w:r>
      <w:bookmarkEnd w:id="60"/>
      <w:bookmarkEnd w:id="61"/>
    </w:p>
    <w:p w14:paraId="40FCB389" w14:textId="77777777" w:rsidR="0050731B" w:rsidRPr="006A7F44" w:rsidRDefault="0050731B" w:rsidP="006A7F44">
      <w:pPr>
        <w:pStyle w:val="SingleTxtG"/>
        <w:rPr>
          <w:i/>
          <w:iCs/>
        </w:rPr>
      </w:pPr>
      <w:r w:rsidRPr="006A7F44">
        <w:rPr>
          <w:i/>
          <w:iCs/>
        </w:rPr>
        <w:t>Cf Concluding Observation 57</w:t>
      </w:r>
    </w:p>
    <w:p w14:paraId="0D84E27F" w14:textId="77777777" w:rsidR="0050731B" w:rsidRPr="0050731B" w:rsidRDefault="0050731B" w:rsidP="006A7F44">
      <w:pPr>
        <w:pStyle w:val="SingleTxtG"/>
        <w:numPr>
          <w:ilvl w:val="0"/>
          <w:numId w:val="25"/>
        </w:numPr>
        <w:ind w:left="1134" w:firstLine="0"/>
        <w:rPr>
          <w:rFonts w:ascii="Cambria" w:hAnsi="Cambria"/>
        </w:rPr>
      </w:pPr>
      <w:r w:rsidRPr="0050731B">
        <w:t xml:space="preserve">The Persons with Disabilities Act, 2020 guarantees any person with a disability who meets the national standard for elections a right to contest for any elective office to represent persons with disabilities. </w:t>
      </w:r>
    </w:p>
    <w:p w14:paraId="003569E0" w14:textId="77777777" w:rsidR="0050731B" w:rsidRPr="0050731B" w:rsidRDefault="0050731B" w:rsidP="006A7F44">
      <w:pPr>
        <w:pStyle w:val="SingleTxtG"/>
        <w:numPr>
          <w:ilvl w:val="0"/>
          <w:numId w:val="25"/>
        </w:numPr>
        <w:ind w:left="1134" w:firstLine="0"/>
      </w:pPr>
      <w:r w:rsidRPr="0050731B">
        <w:t>The Constitution of the Republic of Uganda mandates the parliament to make laws to provide for the facilitation of citizens with disabilities to register and vote (Article 59). Accordingly, the Electoral Commission (EC) has a designated desk for special interest groups and recruited a senior election officer to coordinate all election matters of special interest groups who include persons with disabilities. Through stakeholder meetings, the Commission invites all Special Interest Groups (SIGs) including persons with disabilities to participate in election activities using the SIG desk and its public relations Office.</w:t>
      </w:r>
    </w:p>
    <w:p w14:paraId="4AECE652" w14:textId="77777777" w:rsidR="0050731B" w:rsidRPr="0050731B" w:rsidRDefault="0050731B" w:rsidP="006A7F44">
      <w:pPr>
        <w:pStyle w:val="SingleTxtG"/>
        <w:numPr>
          <w:ilvl w:val="0"/>
          <w:numId w:val="25"/>
        </w:numPr>
        <w:ind w:left="1134" w:firstLine="0"/>
      </w:pPr>
      <w:r w:rsidRPr="0050731B">
        <w:t xml:space="preserve">The Electoral Commission (EC) provides persons with disabilities with personal assistants, guides and sign language interpreters to enable them </w:t>
      </w:r>
      <w:proofErr w:type="gramStart"/>
      <w:r w:rsidRPr="0050731B">
        <w:t>exercise</w:t>
      </w:r>
      <w:proofErr w:type="gramEnd"/>
      <w:r w:rsidRPr="0050731B">
        <w:t xml:space="preserve"> their right to vote for their leaders at polling stations. The EC ensures that polling centres are located in </w:t>
      </w:r>
      <w:proofErr w:type="gramStart"/>
      <w:r w:rsidRPr="0050731B">
        <w:t>play grounds</w:t>
      </w:r>
      <w:proofErr w:type="gramEnd"/>
      <w:r w:rsidRPr="0050731B">
        <w:t xml:space="preserve"> for easy access to persons with disabilities; nevertheless, certain areas where polling takes place may not be accessible. Under pre-election and post-election activities, the EC provides information at community levels using megaphones and through local council systems to provide door-to-door information for easy access to persons with disabilities. The EC also use national televisions to provide information with captions and sign language interpreters, </w:t>
      </w:r>
      <w:proofErr w:type="gramStart"/>
      <w:r w:rsidRPr="0050731B">
        <w:t>radios</w:t>
      </w:r>
      <w:proofErr w:type="gramEnd"/>
      <w:r w:rsidRPr="0050731B">
        <w:t xml:space="preserve"> and newspapers to increase information flow to persons with disabilities. </w:t>
      </w:r>
    </w:p>
    <w:p w14:paraId="050D3F38" w14:textId="77777777" w:rsidR="0050731B" w:rsidRPr="0050731B" w:rsidRDefault="0050731B" w:rsidP="006A7F44">
      <w:pPr>
        <w:pStyle w:val="SingleTxtG"/>
        <w:numPr>
          <w:ilvl w:val="0"/>
          <w:numId w:val="25"/>
        </w:numPr>
        <w:ind w:left="1134" w:firstLine="0"/>
      </w:pPr>
      <w:r w:rsidRPr="0050731B">
        <w:t xml:space="preserve">Section 43(2) of the Persons with Disabilities Act, 2020 requires the EC to facilitate the formation of electoral colleges of persons with disabilities at different levels of governance. The EC has executed this mandate by fully financing the processes of electing representatives of persons with disabilities in electoral colleges at different levels and facilitating elections of councillors at district level as well as election of members of parliament to represent persons with disabilities specifically. </w:t>
      </w:r>
    </w:p>
    <w:p w14:paraId="55C9BDB3" w14:textId="7B40E9FD" w:rsidR="0050731B" w:rsidRPr="0050731B" w:rsidRDefault="006A7F44" w:rsidP="006A7F44">
      <w:pPr>
        <w:pStyle w:val="H1G"/>
      </w:pPr>
      <w:bookmarkStart w:id="62" w:name="_Toc120102325"/>
      <w:r>
        <w:tab/>
      </w:r>
      <w:r>
        <w:tab/>
      </w:r>
      <w:bookmarkStart w:id="63" w:name="_Toc133425387"/>
      <w:r w:rsidR="0050731B" w:rsidRPr="0050731B">
        <w:t xml:space="preserve">Participation in cultural life, recreation, </w:t>
      </w:r>
      <w:proofErr w:type="gramStart"/>
      <w:r w:rsidR="0050731B" w:rsidRPr="0050731B">
        <w:t>leisure</w:t>
      </w:r>
      <w:proofErr w:type="gramEnd"/>
      <w:r w:rsidR="0050731B" w:rsidRPr="0050731B">
        <w:t xml:space="preserve"> and sport (art. 30)</w:t>
      </w:r>
      <w:bookmarkEnd w:id="62"/>
      <w:bookmarkEnd w:id="63"/>
      <w:r w:rsidR="0050731B" w:rsidRPr="0050731B">
        <w:t xml:space="preserve"> </w:t>
      </w:r>
    </w:p>
    <w:p w14:paraId="2A338127" w14:textId="77777777" w:rsidR="0050731B" w:rsidRPr="006A7F44" w:rsidRDefault="0050731B" w:rsidP="006A7F44">
      <w:pPr>
        <w:pStyle w:val="SingleTxtG"/>
        <w:rPr>
          <w:rFonts w:ascii="Cambria" w:hAnsi="Cambria"/>
          <w:i/>
          <w:iCs/>
        </w:rPr>
      </w:pPr>
      <w:r w:rsidRPr="006A7F44">
        <w:rPr>
          <w:i/>
          <w:iCs/>
        </w:rPr>
        <w:t>Concluding Observation 59</w:t>
      </w:r>
    </w:p>
    <w:p w14:paraId="14EE6E7E" w14:textId="77777777" w:rsidR="0050731B" w:rsidRPr="0050731B" w:rsidRDefault="0050731B" w:rsidP="006A7F44">
      <w:pPr>
        <w:pStyle w:val="SingleTxtG"/>
        <w:numPr>
          <w:ilvl w:val="0"/>
          <w:numId w:val="25"/>
        </w:numPr>
        <w:ind w:left="1134" w:firstLine="0"/>
      </w:pPr>
      <w:r w:rsidRPr="0050731B">
        <w:t>The Republic of Uganda ratified the Marrakesh Treaty to Facilitate Access to Published Works for Persons Who Are Blind, Visually Impaired, or Otherwise Print Disabled, on April 23, 2018. The Treaty came into force in Uganda on July 23, 2018.</w:t>
      </w:r>
      <w:r w:rsidRPr="0050731B">
        <w:rPr>
          <w:vertAlign w:val="superscript"/>
        </w:rPr>
        <w:footnoteReference w:id="61"/>
      </w:r>
      <w:r w:rsidRPr="0050731B">
        <w:t xml:space="preserve"> Uganda is in the process of domesticating the Marrakesh Treaty provisions into its relevant laws including the on-going amendment of the Copyright and Other Neighbouring Rights Act, 2006. Following the ratification of the Marrakesh Treaty, a national sensitization on the Treaty was conducted with key regional and national level stakeholders in partnership with UNESCO regional office for Eastern Africa, UNICEF, MOES and the NCPD.</w:t>
      </w:r>
    </w:p>
    <w:p w14:paraId="1A118987" w14:textId="08AC0500" w:rsidR="0050731B" w:rsidRPr="0050731B" w:rsidRDefault="006A7F44" w:rsidP="006A7F44">
      <w:pPr>
        <w:pStyle w:val="HChG"/>
      </w:pPr>
      <w:bookmarkStart w:id="64" w:name="_Toc120102326"/>
      <w:r>
        <w:tab/>
      </w:r>
      <w:bookmarkStart w:id="65" w:name="_Toc133425388"/>
      <w:r w:rsidR="0050731B" w:rsidRPr="0050731B">
        <w:t>C.</w:t>
      </w:r>
      <w:r>
        <w:tab/>
      </w:r>
      <w:r w:rsidR="0050731B" w:rsidRPr="0050731B">
        <w:t>Specific Obligations (Article 31-33)</w:t>
      </w:r>
      <w:bookmarkEnd w:id="64"/>
      <w:bookmarkEnd w:id="65"/>
      <w:r w:rsidR="0050731B" w:rsidRPr="0050731B">
        <w:t xml:space="preserve"> </w:t>
      </w:r>
    </w:p>
    <w:p w14:paraId="2DD5CAE6" w14:textId="17C076A8" w:rsidR="0050731B" w:rsidRPr="0050731B" w:rsidRDefault="006A7F44" w:rsidP="006A7F44">
      <w:pPr>
        <w:pStyle w:val="H1G"/>
      </w:pPr>
      <w:bookmarkStart w:id="66" w:name="_Toc120102327"/>
      <w:r>
        <w:tab/>
      </w:r>
      <w:r>
        <w:tab/>
      </w:r>
      <w:bookmarkStart w:id="67" w:name="_Toc133425389"/>
      <w:r w:rsidR="0050731B" w:rsidRPr="0050731B">
        <w:t>Statistics and data collection (Article 31)</w:t>
      </w:r>
      <w:bookmarkEnd w:id="66"/>
      <w:bookmarkEnd w:id="67"/>
    </w:p>
    <w:p w14:paraId="0733BF31" w14:textId="77777777" w:rsidR="0050731B" w:rsidRPr="006A7F44" w:rsidRDefault="0050731B" w:rsidP="006A7F44">
      <w:pPr>
        <w:pStyle w:val="SingleTxtG"/>
        <w:rPr>
          <w:i/>
          <w:iCs/>
        </w:rPr>
      </w:pPr>
      <w:r w:rsidRPr="006A7F44">
        <w:rPr>
          <w:i/>
          <w:iCs/>
        </w:rPr>
        <w:t>Cf Concluding Observation 61</w:t>
      </w:r>
    </w:p>
    <w:p w14:paraId="462FBC47" w14:textId="77777777" w:rsidR="0050731B" w:rsidRPr="0050731B" w:rsidRDefault="0050731B" w:rsidP="006A7F44">
      <w:pPr>
        <w:pStyle w:val="SingleTxtG"/>
        <w:numPr>
          <w:ilvl w:val="0"/>
          <w:numId w:val="25"/>
        </w:numPr>
        <w:ind w:left="1134" w:firstLine="0"/>
      </w:pPr>
      <w:r w:rsidRPr="0050731B">
        <w:t xml:space="preserve">Uganda collects both mainstream and disability disaggregated data through the Uganda Bureau of Statistics (UBOS). In 2019, UBOS published a thematic report on disability based on the national population and housing census of 2014, and the Uganda Functional Difficulties Survey 2017. The reports contain disability specific and gender disaggregated data on educational attainment. The mandate to collect different types of data needed by the government of Uganda, including disability data, is vested in UBOS. The UBOS’ department of population and social statistics mentions disability as one of the data collection domains for which it is responsible. </w:t>
      </w:r>
    </w:p>
    <w:p w14:paraId="0C3D20A1" w14:textId="77777777" w:rsidR="0050731B" w:rsidRPr="0050731B" w:rsidRDefault="0050731B" w:rsidP="006A7F44">
      <w:pPr>
        <w:pStyle w:val="SingleTxtG"/>
        <w:numPr>
          <w:ilvl w:val="0"/>
          <w:numId w:val="25"/>
        </w:numPr>
        <w:ind w:left="1134" w:firstLine="0"/>
      </w:pPr>
      <w:r w:rsidRPr="0050731B">
        <w:t>In addition to collecting disability specific data, UBOS integrates disability in other national data sets like demographic and health surveys, manpower survey 2016/17, the national panel surveys and national labour force survey.</w:t>
      </w:r>
      <w:r w:rsidRPr="0050731B">
        <w:rPr>
          <w:vertAlign w:val="superscript"/>
        </w:rPr>
        <w:footnoteReference w:id="62"/>
      </w:r>
      <w:r w:rsidRPr="0050731B">
        <w:t xml:space="preserve"> In 2020/21, UBOS conducted Violence against children (VAC) and Violence against Women and Girls (VAWG) surveys where the Washington six set of questions were added to capture disability disaggregated data.</w:t>
      </w:r>
    </w:p>
    <w:p w14:paraId="0EC436E7" w14:textId="77777777" w:rsidR="0050731B" w:rsidRPr="0050731B" w:rsidRDefault="0050731B" w:rsidP="006A7F44">
      <w:pPr>
        <w:pStyle w:val="SingleTxtG"/>
        <w:numPr>
          <w:ilvl w:val="0"/>
          <w:numId w:val="25"/>
        </w:numPr>
        <w:ind w:left="1134" w:firstLine="0"/>
      </w:pPr>
      <w:r w:rsidRPr="0050731B">
        <w:t xml:space="preserve">In addition to UBOS, other institutional frameworks for collecting disability data include but are not limited to the MGLSD, </w:t>
      </w:r>
      <w:proofErr w:type="spellStart"/>
      <w:r w:rsidRPr="0050731B">
        <w:t>MoES</w:t>
      </w:r>
      <w:proofErr w:type="spellEnd"/>
      <w:r w:rsidRPr="0050731B">
        <w:t>, NPA, EOC, academic institutions, UHRC and the NCPD and UN agencies such as UNICEF and United Nations Population Fund (UNFPA). To mainstream disability in national data sets, the government has developed strategies of generating disability disaggregated data through data management systems like Health management information system (HMIS), Education Management Information System (EMIS), Disability management information system, Single registry at MGLSD.</w:t>
      </w:r>
    </w:p>
    <w:p w14:paraId="3E4D523A" w14:textId="77777777" w:rsidR="0050731B" w:rsidRPr="0050731B" w:rsidRDefault="0050731B" w:rsidP="006A7F44">
      <w:pPr>
        <w:pStyle w:val="SingleTxtG"/>
        <w:numPr>
          <w:ilvl w:val="0"/>
          <w:numId w:val="25"/>
        </w:numPr>
        <w:ind w:left="1134" w:firstLine="0"/>
      </w:pPr>
      <w:r w:rsidRPr="0050731B">
        <w:t xml:space="preserve">Disability was integrated in Uganda’s SDG report and will continue to form an integral component of national data sets. While UBOS is mandated to collect all types of data needed by the Government of Uganda, there is need to also strengthen the capacity of other MDAs, OPDs and NGOs to collect, analyse, </w:t>
      </w:r>
      <w:proofErr w:type="gramStart"/>
      <w:r w:rsidRPr="0050731B">
        <w:t>disseminate</w:t>
      </w:r>
      <w:proofErr w:type="gramEnd"/>
      <w:r w:rsidRPr="0050731B">
        <w:t xml:space="preserve"> and store high quality nationally comparable disability data on a regular basis.</w:t>
      </w:r>
    </w:p>
    <w:p w14:paraId="52CF7F8A" w14:textId="2B74DD1B" w:rsidR="0050731B" w:rsidRPr="0050731B" w:rsidRDefault="006A7F44" w:rsidP="006A7F44">
      <w:pPr>
        <w:pStyle w:val="H1G"/>
      </w:pPr>
      <w:bookmarkStart w:id="68" w:name="_Toc120102328"/>
      <w:r>
        <w:tab/>
      </w:r>
      <w:r>
        <w:tab/>
      </w:r>
      <w:bookmarkStart w:id="69" w:name="_Toc133425390"/>
      <w:r w:rsidR="0050731B" w:rsidRPr="0050731B">
        <w:t>International cooperation (Article 32)</w:t>
      </w:r>
      <w:bookmarkEnd w:id="68"/>
      <w:bookmarkEnd w:id="69"/>
    </w:p>
    <w:p w14:paraId="6911CD5E" w14:textId="77777777" w:rsidR="0050731B" w:rsidRPr="006A7F44" w:rsidRDefault="0050731B" w:rsidP="006A7F44">
      <w:pPr>
        <w:pStyle w:val="SingleTxtG"/>
        <w:rPr>
          <w:i/>
          <w:iCs/>
        </w:rPr>
      </w:pPr>
      <w:r w:rsidRPr="006A7F44">
        <w:rPr>
          <w:i/>
          <w:iCs/>
        </w:rPr>
        <w:t>Cf Concluding Observation 63</w:t>
      </w:r>
    </w:p>
    <w:p w14:paraId="0A46FDE5" w14:textId="77777777" w:rsidR="0050731B" w:rsidRPr="0050731B" w:rsidRDefault="0050731B" w:rsidP="006A7F44">
      <w:pPr>
        <w:pStyle w:val="SingleTxtG"/>
        <w:numPr>
          <w:ilvl w:val="0"/>
          <w:numId w:val="25"/>
        </w:numPr>
        <w:ind w:left="1134" w:firstLine="0"/>
      </w:pPr>
      <w:r w:rsidRPr="0050731B">
        <w:t xml:space="preserve">All MDAs and local government districts are required to include disability in their policies, programs, </w:t>
      </w:r>
      <w:proofErr w:type="gramStart"/>
      <w:r w:rsidRPr="0050731B">
        <w:t>planning</w:t>
      </w:r>
      <w:proofErr w:type="gramEnd"/>
      <w:r w:rsidRPr="0050731B">
        <w:t xml:space="preserve"> and budgeting processes using the two twin-track approach where disability is recognized as a crosscutting and stand-alone issue. The Government developed an action plan for the implementation of the CRPD in consultation with OPDs. </w:t>
      </w:r>
    </w:p>
    <w:p w14:paraId="34DF7935" w14:textId="77777777" w:rsidR="0050731B" w:rsidRPr="0050731B" w:rsidRDefault="0050731B" w:rsidP="006A7F44">
      <w:pPr>
        <w:pStyle w:val="SingleTxtG"/>
        <w:numPr>
          <w:ilvl w:val="0"/>
          <w:numId w:val="25"/>
        </w:numPr>
        <w:ind w:left="1134" w:firstLine="0"/>
      </w:pPr>
      <w:r w:rsidRPr="0050731B">
        <w:t xml:space="preserve">The National Planning Authority Act, 2002 mandates the NPA to ensure that all national plans are gender and disability responsive. Accordingly, NPA integrates disability issues into all national development plans as a crosscutting issue, and disability constituted one of the parameters for the mid-term evaluation of NDP III.  In 2017, the NPA issued the National Disability Inclusive Planning Guidelines to provide direction for planning, budgeting, </w:t>
      </w:r>
      <w:proofErr w:type="gramStart"/>
      <w:r w:rsidRPr="0050731B">
        <w:t>implementing</w:t>
      </w:r>
      <w:proofErr w:type="gramEnd"/>
      <w:r w:rsidRPr="0050731B">
        <w:t xml:space="preserve"> and monitoring of harmonised interventions for persons with disabilities in Uganda. The NPA is in the process of re-aligning the National Disability Inclusive Planning Guidelines with the National NDP III that operates through programs not sectors, as was the case with NDP II. The mid-term review of NDPIII report will be completed and disseminated by December 2022, this review is purposely monitoring disability inclusion in the implementation of the plan to inform strategies for implementing the remaining years of the plan and inform development of NDPIV and re-development of National Disability Planning Guidelines. To effectively implement the NDPIII, NCPD and MGLSD requested MDAs to nominate disability focal persons within their institutions and 30 of them appointed Disability focal persons to ease coordination for inclusive planning and program implementation.</w:t>
      </w:r>
    </w:p>
    <w:p w14:paraId="4AF91384" w14:textId="7D8283E1" w:rsidR="0050731B" w:rsidRPr="0050731B" w:rsidRDefault="006A7F44" w:rsidP="006A7F44">
      <w:pPr>
        <w:pStyle w:val="H1G"/>
      </w:pPr>
      <w:bookmarkStart w:id="70" w:name="_Toc120102329"/>
      <w:r>
        <w:tab/>
      </w:r>
      <w:r>
        <w:tab/>
      </w:r>
      <w:bookmarkStart w:id="71" w:name="_Toc133425391"/>
      <w:r w:rsidR="0050731B" w:rsidRPr="0050731B">
        <w:t>National implementation and monitoring (Article 33)</w:t>
      </w:r>
      <w:bookmarkEnd w:id="70"/>
      <w:bookmarkEnd w:id="71"/>
    </w:p>
    <w:p w14:paraId="506E8E7C" w14:textId="77777777" w:rsidR="0050731B" w:rsidRPr="006A7F44" w:rsidRDefault="0050731B" w:rsidP="006A7F44">
      <w:pPr>
        <w:pStyle w:val="SingleTxtG"/>
        <w:rPr>
          <w:i/>
          <w:iCs/>
        </w:rPr>
      </w:pPr>
      <w:r w:rsidRPr="006A7F44">
        <w:rPr>
          <w:i/>
          <w:iCs/>
        </w:rPr>
        <w:t>Cf Concluding Observation 65</w:t>
      </w:r>
    </w:p>
    <w:p w14:paraId="5AF842F3" w14:textId="77777777" w:rsidR="0050731B" w:rsidRPr="0050731B" w:rsidRDefault="0050731B" w:rsidP="006A7F44">
      <w:pPr>
        <w:pStyle w:val="SingleTxtG"/>
        <w:numPr>
          <w:ilvl w:val="0"/>
          <w:numId w:val="25"/>
        </w:numPr>
        <w:ind w:left="1134" w:firstLine="0"/>
      </w:pPr>
      <w:r w:rsidRPr="0050731B">
        <w:t>Uganda recognizes the centrality of MDAs and local governments in the effective coordination of the implementation of the CRPD. Four government ministries (MOES, MOH, Ministry of ICT and National Guidance), and MGLSD) and some Agencies (</w:t>
      </w:r>
      <w:proofErr w:type="gramStart"/>
      <w:r w:rsidRPr="0050731B">
        <w:t>i.e.</w:t>
      </w:r>
      <w:proofErr w:type="gramEnd"/>
      <w:r w:rsidRPr="0050731B">
        <w:t xml:space="preserve"> UNEB), NCDC, NPA, EOC, UHRC) designated focal point persons/departments/disability desks. Additionally, all local government districts have appointed focal point persons for disability in compliance with a directive issued by the MGLSD.</w:t>
      </w:r>
    </w:p>
    <w:p w14:paraId="423B9979" w14:textId="77777777" w:rsidR="0050731B" w:rsidRPr="0050731B" w:rsidRDefault="0050731B" w:rsidP="006A7F44">
      <w:pPr>
        <w:pStyle w:val="SingleTxtG"/>
        <w:numPr>
          <w:ilvl w:val="0"/>
          <w:numId w:val="25"/>
        </w:numPr>
        <w:ind w:left="1134" w:firstLine="0"/>
      </w:pPr>
      <w:r w:rsidRPr="0050731B">
        <w:t>Persons with disabilities are represented in many Boards and Commissions such as the UCC, National Building Review Board, District Service Commissions, National Council for Higher Education (NCHE), University Councils, Higher Education Financing Scheme, and others. In FY 2021/2022, the MGLSD established a National Disability Coordination Committee comprising of MDAs and OPDs, DPOs that convenes quarterly. The following government ministries are represented in the National Council for Persons with Disabilities: Ministry of Education &amp; Sports, Health, ICT, Works and Transport, Public Service, Finance, Justice &amp; Constitutional Affairs, Gender &amp; Local Government. Representation in the Council for NCPD extends up to the district local government level.</w:t>
      </w:r>
    </w:p>
    <w:p w14:paraId="35636B46" w14:textId="77777777" w:rsidR="0050731B" w:rsidRPr="0050731B" w:rsidRDefault="0050731B" w:rsidP="006A7F44">
      <w:pPr>
        <w:pStyle w:val="SingleTxtG"/>
        <w:numPr>
          <w:ilvl w:val="0"/>
          <w:numId w:val="25"/>
        </w:numPr>
        <w:ind w:left="1134" w:firstLine="0"/>
        <w:rPr>
          <w:rFonts w:ascii="Cambria" w:hAnsi="Cambria"/>
        </w:rPr>
      </w:pPr>
      <w:r w:rsidRPr="0050731B">
        <w:t>The UHRC is an independent, self-accounting body corporate with quasi-judiciary powers established by the Constitution. All expenses of UHRC are charged on the consolidated fund to cover administrative expenses and remuneration of its staff (Article 55 of the Constitution, 1995 as amended</w:t>
      </w:r>
      <w:proofErr w:type="gramStart"/>
      <w:r w:rsidRPr="0050731B">
        <w:t>).Pursuant</w:t>
      </w:r>
      <w:proofErr w:type="gramEnd"/>
      <w:r w:rsidRPr="0050731B">
        <w:t xml:space="preserve"> to the Constitution of 1995, as amended, the UHRC prepares and issues an annual report to the Parliament on the state of human rights and freedoms in the country (Article 52(2)). The Commission engages all key stakeholders including OPDs in the entire process of preparing the report and at its launch. The Commission’s reports are disability inclusive in that disability forms an integral unit of analyses across thematic areas. In 2021, the Commission dedicated a chapter on its annual report to Parliament to the education rights of persons with disabilities. Individuals with disabilities and their representative organizations were actively involved in the process of gathering this information. </w:t>
      </w:r>
    </w:p>
    <w:p w14:paraId="42172D6D" w14:textId="7D32E33E" w:rsidR="0050731B" w:rsidRPr="0050731B" w:rsidRDefault="006A7F44" w:rsidP="006A7F44">
      <w:pPr>
        <w:pStyle w:val="H1G"/>
      </w:pPr>
      <w:bookmarkStart w:id="72" w:name="_Toc120102330"/>
      <w:r>
        <w:tab/>
      </w:r>
      <w:r>
        <w:tab/>
      </w:r>
      <w:bookmarkStart w:id="73" w:name="_Toc133425392"/>
      <w:r w:rsidR="0050731B" w:rsidRPr="0050731B">
        <w:t>Cooperation and technical assistance (Article 37)</w:t>
      </w:r>
      <w:bookmarkEnd w:id="72"/>
      <w:bookmarkEnd w:id="73"/>
    </w:p>
    <w:p w14:paraId="5F254AF3" w14:textId="77777777" w:rsidR="0050731B" w:rsidRPr="0050731B" w:rsidRDefault="0050731B" w:rsidP="006A7F44">
      <w:pPr>
        <w:pStyle w:val="SingleTxtG"/>
        <w:numPr>
          <w:ilvl w:val="0"/>
          <w:numId w:val="25"/>
        </w:numPr>
        <w:ind w:left="1134" w:firstLine="0"/>
      </w:pPr>
      <w:r w:rsidRPr="0050731B">
        <w:t>Uganda works closely with all UN Agencies (</w:t>
      </w:r>
      <w:proofErr w:type="gramStart"/>
      <w:r w:rsidRPr="0050731B">
        <w:t>e.g.</w:t>
      </w:r>
      <w:proofErr w:type="gramEnd"/>
      <w:r w:rsidRPr="0050731B">
        <w:t xml:space="preserve"> UNICEF, UNFPA, UNOHCR, UNHR, UNDP, UN Women) on matters of disability inclusion. Twelve of the UN Agencies in the country were consulted and provided their input during the development of the current report. Specifically, UN Human Rights partnered with the MGLSD and NCPD to facilitate the development of this report.  </w:t>
      </w:r>
    </w:p>
    <w:p w14:paraId="120A7256" w14:textId="1BB7FA81" w:rsidR="00AF434B" w:rsidRPr="0050731B" w:rsidRDefault="0050731B" w:rsidP="0050731B">
      <w:pPr>
        <w:spacing w:before="240"/>
        <w:ind w:left="1134" w:right="1134"/>
        <w:jc w:val="center"/>
        <w:rPr>
          <w:u w:val="single"/>
        </w:rPr>
      </w:pPr>
      <w:r>
        <w:rPr>
          <w:u w:val="single"/>
        </w:rPr>
        <w:tab/>
      </w:r>
      <w:r>
        <w:rPr>
          <w:u w:val="single"/>
        </w:rPr>
        <w:tab/>
      </w:r>
      <w:r>
        <w:rPr>
          <w:u w:val="single"/>
        </w:rPr>
        <w:tab/>
      </w:r>
      <w:r>
        <w:rPr>
          <w:u w:val="single"/>
        </w:rPr>
        <w:tab/>
      </w:r>
    </w:p>
    <w:sectPr w:rsidR="00AF434B" w:rsidRPr="0050731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82DD9" w14:textId="77777777" w:rsidR="008C6371" w:rsidRDefault="008C6371"/>
  </w:endnote>
  <w:endnote w:type="continuationSeparator" w:id="0">
    <w:p w14:paraId="6C9E5982" w14:textId="77777777" w:rsidR="008C6371" w:rsidRDefault="008C6371">
      <w:pPr>
        <w:pStyle w:val="Footer"/>
      </w:pPr>
    </w:p>
  </w:endnote>
  <w:endnote w:type="continuationNotice" w:id="1">
    <w:p w14:paraId="5BE7C3BA" w14:textId="77777777" w:rsidR="008C6371" w:rsidRDefault="008C6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36132" w14:textId="77777777" w:rsidR="00AF434B" w:rsidRDefault="00372C86">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92115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B7C6A" w14:textId="77777777" w:rsidR="00AF434B" w:rsidRDefault="005B7CEF">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678D2" w14:textId="195E32B2" w:rsidR="00AF434B" w:rsidRDefault="00372C86">
    <w:pPr>
      <w:pStyle w:val="Footer"/>
      <w:spacing w:before="120"/>
      <w:rPr>
        <w:noProof/>
        <w:sz w:val="20"/>
        <w:lang w:eastAsia="fr-FR"/>
      </w:rPr>
    </w:pPr>
    <w:r>
      <w:rPr>
        <w:noProof/>
        <w:sz w:val="20"/>
        <w:lang w:val="fr-CH" w:eastAsia="fr-CH"/>
      </w:rPr>
      <w:drawing>
        <wp:anchor distT="0" distB="0" distL="114300" distR="114300" simplePos="0" relativeHeight="251658240" behindDoc="0" locked="1" layoutInCell="1" allowOverlap="1" wp14:anchorId="5688D2DB" wp14:editId="5A0E10D2">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sidR="00940871">
      <w:rPr>
        <w:sz w:val="20"/>
      </w:rPr>
      <w:t>23-</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D9529C" w14:paraId="3AED0588" w14:textId="77777777">
      <w:tc>
        <w:tcPr>
          <w:tcW w:w="1848" w:type="dxa"/>
          <w:vAlign w:val="bottom"/>
        </w:tcPr>
        <w:p w14:paraId="6906149C" w14:textId="77777777" w:rsidR="00AF434B" w:rsidRDefault="00372C86">
          <w:pPr>
            <w:pStyle w:val="Footer"/>
            <w:spacing w:before="120" w:after="120"/>
            <w:jc w:val="right"/>
          </w:pPr>
          <w:r>
            <w:rPr>
              <w:noProof/>
              <w:sz w:val="20"/>
              <w:lang w:val="fr-CH" w:eastAsia="fr-CH"/>
            </w:rPr>
            <w:drawing>
              <wp:inline distT="0" distB="0" distL="0" distR="0" wp14:anchorId="68A82C64" wp14:editId="16BBEBF2">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29519C7C" w14:textId="77777777" w:rsidR="00AF434B" w:rsidRDefault="00AF434B">
          <w:pPr>
            <w:pStyle w:val="Footer"/>
            <w:jc w:val="right"/>
          </w:pPr>
        </w:p>
      </w:tc>
    </w:tr>
  </w:tbl>
  <w:p w14:paraId="31FA0CFF" w14:textId="77777777" w:rsidR="00AF434B" w:rsidRDefault="00AF4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9E9C0" w14:textId="77777777" w:rsidR="008C6371" w:rsidRDefault="00372C86">
      <w:pPr>
        <w:pStyle w:val="Footer"/>
        <w:tabs>
          <w:tab w:val="right" w:pos="2155"/>
        </w:tabs>
        <w:spacing w:after="80" w:line="240" w:lineRule="atLeast"/>
        <w:ind w:left="680"/>
        <w:rPr>
          <w:u w:val="single"/>
        </w:rPr>
      </w:pPr>
      <w:r>
        <w:rPr>
          <w:u w:val="single"/>
        </w:rPr>
        <w:tab/>
      </w:r>
    </w:p>
  </w:footnote>
  <w:footnote w:type="continuationSeparator" w:id="0">
    <w:p w14:paraId="39F667C4" w14:textId="77777777" w:rsidR="008C6371" w:rsidRDefault="00372C86">
      <w:pPr>
        <w:pStyle w:val="Footer"/>
        <w:tabs>
          <w:tab w:val="right" w:pos="2155"/>
        </w:tabs>
        <w:spacing w:after="80" w:line="240" w:lineRule="atLeast"/>
        <w:ind w:left="680"/>
        <w:rPr>
          <w:u w:val="single"/>
        </w:rPr>
      </w:pPr>
      <w:r>
        <w:rPr>
          <w:u w:val="single"/>
        </w:rPr>
        <w:tab/>
      </w:r>
    </w:p>
  </w:footnote>
  <w:footnote w:type="continuationNotice" w:id="1">
    <w:p w14:paraId="010A0671" w14:textId="77777777" w:rsidR="008C6371" w:rsidRDefault="008C6371">
      <w:pPr>
        <w:rPr>
          <w:sz w:val="2"/>
          <w:szCs w:val="2"/>
        </w:rPr>
      </w:pPr>
    </w:p>
  </w:footnote>
  <w:footnote w:id="2">
    <w:p w14:paraId="425760CE" w14:textId="77777777" w:rsidR="00AF434B" w:rsidRDefault="00372C86">
      <w:pPr>
        <w:pStyle w:val="FootnoteText"/>
        <w:rPr>
          <w:sz w:val="20"/>
        </w:rPr>
      </w:pPr>
      <w:r>
        <w:tab/>
      </w:r>
      <w:r>
        <w:rPr>
          <w:rStyle w:val="FootnoteReference"/>
          <w:sz w:val="20"/>
          <w:vertAlign w:val="baseline"/>
        </w:rPr>
        <w:t>*</w:t>
      </w:r>
      <w:r>
        <w:rPr>
          <w:sz w:val="20"/>
        </w:rPr>
        <w:tab/>
      </w:r>
      <w:r>
        <w:rPr>
          <w:szCs w:val="18"/>
        </w:rPr>
        <w:t>The present document is being issued without formal editing.</w:t>
      </w:r>
    </w:p>
  </w:footnote>
  <w:footnote w:id="3">
    <w:p w14:paraId="411A1A7D" w14:textId="30D308DA" w:rsidR="0050731B" w:rsidRDefault="00C82B37" w:rsidP="0050731B">
      <w:pPr>
        <w:pStyle w:val="FootnoteText"/>
      </w:pPr>
      <w:r>
        <w:tab/>
      </w:r>
      <w:r w:rsidR="0050731B">
        <w:rPr>
          <w:rStyle w:val="FootnoteReference"/>
        </w:rPr>
        <w:footnoteRef/>
      </w:r>
      <w:r>
        <w:tab/>
      </w:r>
      <w:r w:rsidR="0050731B" w:rsidRPr="003D3787">
        <w:t>CRPD/C/UGA/CO/1</w:t>
      </w:r>
    </w:p>
  </w:footnote>
  <w:footnote w:id="4">
    <w:p w14:paraId="217707ED" w14:textId="22FC6102" w:rsidR="0050731B" w:rsidRDefault="00303E6C" w:rsidP="0050731B">
      <w:pPr>
        <w:pStyle w:val="FootnoteText"/>
        <w:rPr>
          <w:szCs w:val="18"/>
        </w:rPr>
      </w:pPr>
      <w:r>
        <w:rPr>
          <w:szCs w:val="18"/>
        </w:rPr>
        <w:tab/>
      </w:r>
      <w:r w:rsidR="0050731B">
        <w:rPr>
          <w:rStyle w:val="FootnoteReference"/>
          <w:szCs w:val="18"/>
        </w:rPr>
        <w:footnoteRef/>
      </w:r>
      <w:r>
        <w:rPr>
          <w:szCs w:val="18"/>
        </w:rPr>
        <w:tab/>
      </w:r>
      <w:r w:rsidR="0050731B">
        <w:rPr>
          <w:szCs w:val="18"/>
        </w:rPr>
        <w:t>Persons with Disabilities Act, 2020, Part 9, Section 1(b-c)</w:t>
      </w:r>
    </w:p>
  </w:footnote>
  <w:footnote w:id="5">
    <w:p w14:paraId="6E77D2C1" w14:textId="0C20B4CE" w:rsidR="0050731B" w:rsidRPr="001176D0"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Persons with Disabilities Act, 2020, Part 9, section 3(g).</w:t>
      </w:r>
    </w:p>
  </w:footnote>
  <w:footnote w:id="6">
    <w:p w14:paraId="05DD3725" w14:textId="22EC1442" w:rsidR="0050731B" w:rsidRPr="001176D0"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 xml:space="preserve">Women, </w:t>
      </w:r>
      <w:proofErr w:type="gramStart"/>
      <w:r w:rsidR="0050731B" w:rsidRPr="001176D0">
        <w:rPr>
          <w:szCs w:val="18"/>
        </w:rPr>
        <w:t>Business</w:t>
      </w:r>
      <w:proofErr w:type="gramEnd"/>
      <w:r w:rsidR="0050731B" w:rsidRPr="001176D0">
        <w:rPr>
          <w:szCs w:val="18"/>
        </w:rPr>
        <w:t xml:space="preserve"> and the Law (2020). The rights of women with disabilities: </w:t>
      </w:r>
      <w:proofErr w:type="gramStart"/>
      <w:r w:rsidR="0050731B" w:rsidRPr="001176D0">
        <w:rPr>
          <w:szCs w:val="18"/>
        </w:rPr>
        <w:t>a pilot research</w:t>
      </w:r>
      <w:proofErr w:type="gramEnd"/>
      <w:r w:rsidR="0050731B" w:rsidRPr="001176D0">
        <w:rPr>
          <w:szCs w:val="18"/>
        </w:rPr>
        <w:t xml:space="preserve"> by Women, Business and the Law 2020. Retrieved from: </w:t>
      </w:r>
      <w:hyperlink r:id="rId1" w:history="1">
        <w:r w:rsidR="0050731B" w:rsidRPr="001176D0">
          <w:rPr>
            <w:rStyle w:val="Hyperlink"/>
            <w:szCs w:val="18"/>
          </w:rPr>
          <w:t>https://thedocs.worldbank.org/en/doc/517421606767152867-0050022020/original/WBL2020DisabilityTopicNote.pdf</w:t>
        </w:r>
      </w:hyperlink>
      <w:r w:rsidR="0050731B" w:rsidRPr="001176D0">
        <w:rPr>
          <w:szCs w:val="18"/>
        </w:rPr>
        <w:t xml:space="preserve"> </w:t>
      </w:r>
    </w:p>
  </w:footnote>
  <w:footnote w:id="7">
    <w:p w14:paraId="129931D4" w14:textId="7A41F6BA" w:rsidR="0050731B" w:rsidRPr="001176D0"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Equal Opportunities Act, 2007, Part III, Section 14(1).</w:t>
      </w:r>
    </w:p>
  </w:footnote>
  <w:footnote w:id="8">
    <w:p w14:paraId="1A194C03" w14:textId="6C3CD0C3" w:rsidR="0050731B" w:rsidRPr="001176D0"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 xml:space="preserve">See Ministry of Gender, </w:t>
      </w:r>
      <w:proofErr w:type="spellStart"/>
      <w:proofErr w:type="gramStart"/>
      <w:r w:rsidR="0050731B" w:rsidRPr="001176D0">
        <w:rPr>
          <w:szCs w:val="18"/>
        </w:rPr>
        <w:t>Labor</w:t>
      </w:r>
      <w:proofErr w:type="spellEnd"/>
      <w:proofErr w:type="gramEnd"/>
      <w:r w:rsidR="0050731B" w:rsidRPr="001176D0">
        <w:rPr>
          <w:szCs w:val="18"/>
        </w:rPr>
        <w:t xml:space="preserve"> and Social Development: </w:t>
      </w:r>
      <w:hyperlink r:id="rId2" w:history="1">
        <w:r w:rsidR="0050731B" w:rsidRPr="001176D0">
          <w:rPr>
            <w:rStyle w:val="Hyperlink"/>
            <w:szCs w:val="18"/>
          </w:rPr>
          <w:t>https://mglsd.go.ug/uwep/</w:t>
        </w:r>
      </w:hyperlink>
      <w:r w:rsidR="0050731B" w:rsidRPr="001176D0">
        <w:rPr>
          <w:szCs w:val="18"/>
        </w:rPr>
        <w:t xml:space="preserve"> </w:t>
      </w:r>
    </w:p>
  </w:footnote>
  <w:footnote w:id="9">
    <w:p w14:paraId="5785D931" w14:textId="3088DC3A" w:rsidR="0050731B" w:rsidRPr="001176D0"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 xml:space="preserve">The UWEP individual beneficiary form contains questions asking for the disability status of individuals: </w:t>
      </w:r>
      <w:hyperlink r:id="rId3" w:history="1">
        <w:r w:rsidR="0050731B" w:rsidRPr="001176D0">
          <w:rPr>
            <w:rStyle w:val="Hyperlink"/>
            <w:szCs w:val="18"/>
          </w:rPr>
          <w:t>https://kamuli.go.ug/sites/files/UWEP%20Individual%20Form.pdf</w:t>
        </w:r>
      </w:hyperlink>
      <w:r w:rsidR="0050731B" w:rsidRPr="001176D0">
        <w:rPr>
          <w:szCs w:val="18"/>
        </w:rPr>
        <w:t xml:space="preserve"> </w:t>
      </w:r>
    </w:p>
  </w:footnote>
  <w:footnote w:id="10">
    <w:p w14:paraId="44EA1F4B" w14:textId="3BA73383" w:rsidR="0050731B"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 xml:space="preserve">EOC (2022). Annual report on the state of equal opportunities in Uganda for FY 2020/2021. Retrieved from: </w:t>
      </w:r>
      <w:hyperlink r:id="rId4" w:history="1">
        <w:r w:rsidR="0050731B" w:rsidRPr="001176D0">
          <w:rPr>
            <w:rStyle w:val="Hyperlink"/>
            <w:szCs w:val="18"/>
          </w:rPr>
          <w:t>https://eoc.go.ug/eoc/wp-content/uploads/2021/10/The-8th-Annual-Report-on-the-State-of-Equal-Opportunities-in-Uganda.pdf</w:t>
        </w:r>
      </w:hyperlink>
      <w:r w:rsidR="0050731B">
        <w:rPr>
          <w:szCs w:val="18"/>
        </w:rPr>
        <w:t xml:space="preserve"> </w:t>
      </w:r>
    </w:p>
  </w:footnote>
  <w:footnote w:id="11">
    <w:p w14:paraId="64BF48B3" w14:textId="274AC19D" w:rsidR="0050731B" w:rsidRPr="001176D0"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 xml:space="preserve">Their World “The theme of our event was Break the Barriers – Play Together” Retrieved from </w:t>
      </w:r>
      <w:hyperlink r:id="rId5" w:history="1">
        <w:r w:rsidR="0050731B" w:rsidRPr="001176D0">
          <w:rPr>
            <w:rStyle w:val="Hyperlink"/>
            <w:szCs w:val="18"/>
          </w:rPr>
          <w:t>https://theirworld.org/news/uganda-children-disabilities-sports-event/</w:t>
        </w:r>
      </w:hyperlink>
      <w:r w:rsidR="0050731B" w:rsidRPr="001176D0">
        <w:rPr>
          <w:szCs w:val="18"/>
        </w:rPr>
        <w:t xml:space="preserve"> </w:t>
      </w:r>
    </w:p>
  </w:footnote>
  <w:footnote w:id="12">
    <w:p w14:paraId="1954EDAC" w14:textId="6B0E72E1" w:rsidR="0050731B" w:rsidRPr="001176D0"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 xml:space="preserve">New Vision ‘Special Olympics Uganda Launch ‘Athletics for Development in Schools’ 4 June 2022. Retrieved from </w:t>
      </w:r>
      <w:hyperlink r:id="rId6" w:history="1">
        <w:r w:rsidR="0050731B" w:rsidRPr="001176D0">
          <w:rPr>
            <w:rStyle w:val="Hyperlink"/>
            <w:szCs w:val="18"/>
          </w:rPr>
          <w:t>https://www.newvision.co.ug/category/news/special-olympics-uganda-launch-athletics-for-135399</w:t>
        </w:r>
      </w:hyperlink>
      <w:r w:rsidR="0050731B" w:rsidRPr="001176D0">
        <w:rPr>
          <w:szCs w:val="18"/>
        </w:rPr>
        <w:t xml:space="preserve"> </w:t>
      </w:r>
    </w:p>
  </w:footnote>
  <w:footnote w:id="13">
    <w:p w14:paraId="6A2E8F83" w14:textId="19344772" w:rsidR="0050731B" w:rsidRDefault="001176D0" w:rsidP="0050731B">
      <w:pPr>
        <w:pStyle w:val="FootnoteText"/>
        <w:rPr>
          <w:szCs w:val="18"/>
        </w:rPr>
      </w:pPr>
      <w:r>
        <w:rPr>
          <w:szCs w:val="18"/>
        </w:rPr>
        <w:tab/>
      </w:r>
      <w:r w:rsidR="0050731B" w:rsidRPr="001176D0">
        <w:rPr>
          <w:rStyle w:val="FootnoteReference"/>
          <w:szCs w:val="18"/>
        </w:rPr>
        <w:footnoteRef/>
      </w:r>
      <w:r>
        <w:rPr>
          <w:szCs w:val="18"/>
        </w:rPr>
        <w:tab/>
      </w:r>
      <w:r w:rsidR="0050731B" w:rsidRPr="001176D0">
        <w:rPr>
          <w:szCs w:val="18"/>
        </w:rPr>
        <w:t xml:space="preserve">MGLSD (2018). Uganda National Parenting Guidelines 2018. Retrieved from: </w:t>
      </w:r>
      <w:hyperlink r:id="rId7" w:history="1">
        <w:r w:rsidR="0050731B" w:rsidRPr="001176D0">
          <w:rPr>
            <w:rStyle w:val="Hyperlink"/>
            <w:szCs w:val="18"/>
          </w:rPr>
          <w:t>https://mglsd.go.ug/wp-content/uploads/2021/05/The-Uganda-National-Parenting-Guideline.pdf</w:t>
        </w:r>
      </w:hyperlink>
      <w:r w:rsidR="0050731B">
        <w:rPr>
          <w:szCs w:val="18"/>
        </w:rPr>
        <w:t xml:space="preserve"> </w:t>
      </w:r>
    </w:p>
  </w:footnote>
  <w:footnote w:id="14">
    <w:p w14:paraId="17447EFE" w14:textId="32027406" w:rsidR="0050731B" w:rsidRDefault="001176D0" w:rsidP="0050731B">
      <w:pPr>
        <w:pStyle w:val="FootnoteText"/>
      </w:pPr>
      <w:r>
        <w:tab/>
      </w:r>
      <w:r w:rsidR="0050731B">
        <w:rPr>
          <w:rStyle w:val="FootnoteReference"/>
        </w:rPr>
        <w:footnoteRef/>
      </w:r>
      <w:r>
        <w:tab/>
      </w:r>
      <w:r w:rsidR="0050731B">
        <w:t>The 18</w:t>
      </w:r>
      <w:r w:rsidR="0050731B" w:rsidRPr="00D27FA5">
        <w:rPr>
          <w:vertAlign w:val="superscript"/>
        </w:rPr>
        <w:t>th</w:t>
      </w:r>
      <w:r w:rsidR="0050731B">
        <w:t xml:space="preserve"> report of the Uganda Human Rights Report,2015</w:t>
      </w:r>
    </w:p>
  </w:footnote>
  <w:footnote w:id="15">
    <w:p w14:paraId="39C8870D" w14:textId="4D1CDA55" w:rsidR="0050731B" w:rsidRDefault="001176D0"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Ministry of Gender, </w:t>
      </w:r>
      <w:proofErr w:type="spellStart"/>
      <w:proofErr w:type="gramStart"/>
      <w:r w:rsidR="0050731B">
        <w:rPr>
          <w:szCs w:val="18"/>
        </w:rPr>
        <w:t>Labor</w:t>
      </w:r>
      <w:proofErr w:type="spellEnd"/>
      <w:proofErr w:type="gramEnd"/>
      <w:r w:rsidR="0050731B">
        <w:rPr>
          <w:szCs w:val="18"/>
        </w:rPr>
        <w:t xml:space="preserve"> and Social Development (2022). Second Global Disability Summit. Uganda’s commitment to Disability Summit February 2022. Retrieved from: </w:t>
      </w:r>
      <w:hyperlink r:id="rId8" w:history="1">
        <w:r w:rsidR="0050731B">
          <w:rPr>
            <w:rStyle w:val="Hyperlink"/>
            <w:szCs w:val="18"/>
          </w:rPr>
          <w:t>https://mglsd.go.ug/wp-content/uploads/2022/04/Disability-Summit-commitments-2022-1.pdf</w:t>
        </w:r>
      </w:hyperlink>
      <w:r w:rsidR="0050731B">
        <w:rPr>
          <w:szCs w:val="18"/>
        </w:rPr>
        <w:t xml:space="preserve"> </w:t>
      </w:r>
    </w:p>
  </w:footnote>
  <w:footnote w:id="16">
    <w:p w14:paraId="5CF1E113" w14:textId="7F164D95" w:rsidR="0050731B" w:rsidRPr="00F80295" w:rsidRDefault="001176D0" w:rsidP="0050731B">
      <w:pPr>
        <w:pStyle w:val="FootnoteText"/>
        <w:rPr>
          <w:szCs w:val="18"/>
        </w:rPr>
      </w:pPr>
      <w:r>
        <w:rPr>
          <w:szCs w:val="18"/>
        </w:rPr>
        <w:tab/>
      </w:r>
      <w:r w:rsidR="0050731B" w:rsidRPr="00F80295">
        <w:rPr>
          <w:rStyle w:val="FootnoteReference"/>
          <w:szCs w:val="18"/>
        </w:rPr>
        <w:footnoteRef/>
      </w:r>
      <w:r>
        <w:rPr>
          <w:szCs w:val="18"/>
        </w:rPr>
        <w:tab/>
      </w:r>
      <w:r w:rsidR="0050731B" w:rsidRPr="00F80295">
        <w:rPr>
          <w:szCs w:val="18"/>
        </w:rPr>
        <w:t>https://law.mak.ac.ug/call-for-papers-second-national-inclusive-education-symposium-2022/</w:t>
      </w:r>
    </w:p>
  </w:footnote>
  <w:footnote w:id="17">
    <w:p w14:paraId="4654908F" w14:textId="6A3DC999" w:rsidR="0050731B" w:rsidRDefault="001176D0" w:rsidP="0050731B">
      <w:pPr>
        <w:pStyle w:val="FootnoteText"/>
      </w:pPr>
      <w:r>
        <w:tab/>
      </w:r>
      <w:r w:rsidR="0050731B">
        <w:rPr>
          <w:rStyle w:val="FootnoteReference"/>
        </w:rPr>
        <w:footnoteRef/>
      </w:r>
      <w:r>
        <w:tab/>
      </w:r>
      <w:r w:rsidR="0050731B">
        <w:t xml:space="preserve">UNAPD (2014). UN Awards UNAPD Accessibility Standards. Retrieved from: </w:t>
      </w:r>
      <w:hyperlink w:history="1">
        <w:r w:rsidR="0050731B" w:rsidRPr="005153FE">
          <w:rPr>
            <w:rStyle w:val="Hyperlink"/>
          </w:rPr>
          <w:t>https://unap d.org/un-awards-</w:t>
        </w:r>
        <w:proofErr w:type="spellStart"/>
        <w:r w:rsidR="0050731B" w:rsidRPr="005153FE">
          <w:rPr>
            <w:rStyle w:val="Hyperlink"/>
          </w:rPr>
          <w:t>unapds</w:t>
        </w:r>
        <w:proofErr w:type="spellEnd"/>
        <w:r w:rsidR="0050731B" w:rsidRPr="005153FE">
          <w:rPr>
            <w:rStyle w:val="Hyperlink"/>
          </w:rPr>
          <w:t>-accessibility-standards/</w:t>
        </w:r>
      </w:hyperlink>
      <w:r w:rsidR="0050731B">
        <w:t xml:space="preserve"> </w:t>
      </w:r>
    </w:p>
  </w:footnote>
  <w:footnote w:id="18">
    <w:p w14:paraId="353AA50D" w14:textId="19F1A6FD" w:rsidR="0050731B" w:rsidRPr="00E56A6D" w:rsidRDefault="001176D0" w:rsidP="0050731B">
      <w:pPr>
        <w:pStyle w:val="FootnoteText"/>
        <w:rPr>
          <w:szCs w:val="18"/>
        </w:rPr>
      </w:pPr>
      <w:r>
        <w:rPr>
          <w:szCs w:val="18"/>
        </w:rPr>
        <w:tab/>
      </w:r>
      <w:r w:rsidR="0050731B" w:rsidRPr="00E56A6D">
        <w:rPr>
          <w:rStyle w:val="FootnoteReference"/>
          <w:szCs w:val="18"/>
        </w:rPr>
        <w:footnoteRef/>
      </w:r>
      <w:r w:rsidR="002A18C2">
        <w:rPr>
          <w:szCs w:val="18"/>
        </w:rPr>
        <w:tab/>
      </w:r>
      <w:hyperlink r:id="rId9" w:history="1">
        <w:r w:rsidR="002A18C2" w:rsidRPr="0007142F">
          <w:rPr>
            <w:rStyle w:val="Hyperlink"/>
            <w:szCs w:val="18"/>
          </w:rPr>
          <w:t>https://t.co/pGebKiVvoN</w:t>
        </w:r>
      </w:hyperlink>
      <w:r w:rsidR="0050731B" w:rsidRPr="00E56A6D">
        <w:rPr>
          <w:szCs w:val="18"/>
        </w:rPr>
        <w:t xml:space="preserve"> </w:t>
      </w:r>
    </w:p>
  </w:footnote>
  <w:footnote w:id="19">
    <w:p w14:paraId="25DABB2A" w14:textId="76439E7E" w:rsidR="0050731B" w:rsidRPr="00E56A6D" w:rsidRDefault="002A18C2" w:rsidP="0050731B">
      <w:pPr>
        <w:pStyle w:val="FootnoteText"/>
        <w:rPr>
          <w:szCs w:val="18"/>
        </w:rPr>
      </w:pPr>
      <w:r>
        <w:rPr>
          <w:szCs w:val="18"/>
        </w:rPr>
        <w:tab/>
      </w:r>
      <w:r w:rsidR="0050731B" w:rsidRPr="00E56A6D">
        <w:rPr>
          <w:rStyle w:val="FootnoteReference"/>
          <w:szCs w:val="18"/>
        </w:rPr>
        <w:footnoteRef/>
      </w:r>
      <w:r>
        <w:rPr>
          <w:szCs w:val="18"/>
        </w:rPr>
        <w:tab/>
      </w:r>
      <w:proofErr w:type="spellStart"/>
      <w:r w:rsidR="0050731B" w:rsidRPr="00E56A6D">
        <w:rPr>
          <w:szCs w:val="18"/>
        </w:rPr>
        <w:t>Chijioke</w:t>
      </w:r>
      <w:proofErr w:type="spellEnd"/>
      <w:r w:rsidR="0050731B" w:rsidRPr="00E56A6D">
        <w:rPr>
          <w:szCs w:val="18"/>
        </w:rPr>
        <w:t xml:space="preserve"> J ‘A new TV station in Uganda is creating content for deaf audiences.’ </w:t>
      </w:r>
      <w:r w:rsidR="0050731B" w:rsidRPr="00E56A6D">
        <w:rPr>
          <w:rStyle w:val="FootnoteReference"/>
          <w:szCs w:val="18"/>
        </w:rPr>
        <w:footnoteRef/>
      </w:r>
      <w:r w:rsidR="0050731B" w:rsidRPr="00E56A6D">
        <w:rPr>
          <w:szCs w:val="18"/>
        </w:rPr>
        <w:t xml:space="preserve"> International Journalists Network Jul 28, 2022. Retrieved from </w:t>
      </w:r>
      <w:hyperlink r:id="rId10" w:history="1">
        <w:r w:rsidR="0050731B" w:rsidRPr="00E56A6D">
          <w:rPr>
            <w:rStyle w:val="Hyperlink"/>
            <w:szCs w:val="18"/>
          </w:rPr>
          <w:t>https://ijnet.org/en/story/new-tv-station-uganda-creating-content-deaf-audiences</w:t>
        </w:r>
      </w:hyperlink>
    </w:p>
  </w:footnote>
  <w:footnote w:id="20">
    <w:p w14:paraId="534B131F" w14:textId="6AC778C6" w:rsidR="0050731B" w:rsidRPr="00E56A6D" w:rsidRDefault="002A18C2" w:rsidP="0050731B">
      <w:pPr>
        <w:pStyle w:val="FootnoteText"/>
        <w:rPr>
          <w:szCs w:val="18"/>
        </w:rPr>
      </w:pPr>
      <w:r>
        <w:rPr>
          <w:szCs w:val="18"/>
        </w:rPr>
        <w:tab/>
      </w:r>
      <w:r w:rsidR="0050731B" w:rsidRPr="00E56A6D">
        <w:rPr>
          <w:rStyle w:val="FootnoteReference"/>
          <w:szCs w:val="18"/>
        </w:rPr>
        <w:footnoteRef/>
      </w:r>
      <w:r>
        <w:rPr>
          <w:szCs w:val="18"/>
        </w:rPr>
        <w:tab/>
      </w:r>
      <w:r w:rsidR="0050731B" w:rsidRPr="00E56A6D">
        <w:rPr>
          <w:szCs w:val="18"/>
        </w:rPr>
        <w:t xml:space="preserve">UCC (2018). Access and usage of information and communications technologies by people with disabilities in Uganda. Retrieved from: </w:t>
      </w:r>
      <w:hyperlink r:id="rId11" w:history="1">
        <w:r w:rsidR="0050731B" w:rsidRPr="00E56A6D">
          <w:rPr>
            <w:rStyle w:val="Hyperlink"/>
            <w:szCs w:val="18"/>
          </w:rPr>
          <w:t>https://www.ucc.co.ug/wp-content/uploads/2017/09/Final-Report-on-Access-and-Usage-of-ICTs-by-PWDs_Public-Dissemination.pdf</w:t>
        </w:r>
      </w:hyperlink>
      <w:r w:rsidR="0050731B" w:rsidRPr="00E56A6D">
        <w:rPr>
          <w:szCs w:val="18"/>
        </w:rPr>
        <w:t>.</w:t>
      </w:r>
    </w:p>
  </w:footnote>
  <w:footnote w:id="21">
    <w:p w14:paraId="02297670" w14:textId="669C2921" w:rsidR="0050731B" w:rsidRPr="00E56A6D" w:rsidRDefault="002A18C2" w:rsidP="0050731B">
      <w:pPr>
        <w:pStyle w:val="FootnoteText"/>
        <w:rPr>
          <w:szCs w:val="18"/>
        </w:rPr>
      </w:pPr>
      <w:r>
        <w:rPr>
          <w:szCs w:val="18"/>
        </w:rPr>
        <w:tab/>
      </w:r>
      <w:r w:rsidR="0050731B" w:rsidRPr="00E56A6D">
        <w:rPr>
          <w:rStyle w:val="FootnoteReference"/>
          <w:szCs w:val="18"/>
        </w:rPr>
        <w:footnoteRef/>
      </w:r>
      <w:r>
        <w:rPr>
          <w:szCs w:val="18"/>
        </w:rPr>
        <w:tab/>
      </w:r>
      <w:hyperlink r:id="rId12" w:history="1">
        <w:r w:rsidRPr="0007142F">
          <w:rPr>
            <w:rStyle w:val="Hyperlink"/>
            <w:szCs w:val="18"/>
          </w:rPr>
          <w:t>https://www.ucc.co.ug/draft-guidelines-for-enabling-television-access-for-persons-with-disabilities-in-uganda/</w:t>
        </w:r>
      </w:hyperlink>
      <w:r w:rsidR="0050731B">
        <w:rPr>
          <w:szCs w:val="18"/>
        </w:rPr>
        <w:t xml:space="preserve"> </w:t>
      </w:r>
    </w:p>
  </w:footnote>
  <w:footnote w:id="22">
    <w:p w14:paraId="0BB168ED" w14:textId="739EFF3F" w:rsidR="0050731B" w:rsidRDefault="002A18C2" w:rsidP="0050731B">
      <w:pPr>
        <w:pStyle w:val="FootnoteText"/>
      </w:pPr>
      <w:r>
        <w:rPr>
          <w:szCs w:val="18"/>
        </w:rPr>
        <w:tab/>
      </w:r>
      <w:r w:rsidR="0050731B" w:rsidRPr="00E56A6D">
        <w:rPr>
          <w:rStyle w:val="FootnoteReference"/>
          <w:szCs w:val="18"/>
        </w:rPr>
        <w:footnoteRef/>
      </w:r>
      <w:r>
        <w:rPr>
          <w:szCs w:val="18"/>
        </w:rPr>
        <w:tab/>
      </w:r>
      <w:hyperlink r:id="rId13" w:history="1">
        <w:r w:rsidRPr="0007142F">
          <w:rPr>
            <w:rStyle w:val="Hyperlink"/>
            <w:szCs w:val="18"/>
          </w:rPr>
          <w:t>https://glimug.com/a-touch-of-a-button-away-nuriat-nambogos-innovation-allows-patients-to-schedule-appointments-with-doctors/</w:t>
        </w:r>
      </w:hyperlink>
      <w:r w:rsidR="0050731B">
        <w:rPr>
          <w:szCs w:val="18"/>
        </w:rPr>
        <w:t xml:space="preserve"> </w:t>
      </w:r>
    </w:p>
  </w:footnote>
  <w:footnote w:id="23">
    <w:p w14:paraId="30131575" w14:textId="104EA417" w:rsidR="0050731B" w:rsidRDefault="002A18C2" w:rsidP="0050731B">
      <w:pPr>
        <w:pStyle w:val="FootnoteText"/>
      </w:pPr>
      <w:r>
        <w:tab/>
      </w:r>
      <w:r w:rsidR="0050731B">
        <w:rPr>
          <w:rStyle w:val="FootnoteReference"/>
        </w:rPr>
        <w:footnoteRef/>
      </w:r>
      <w:r>
        <w:tab/>
      </w:r>
      <w:r w:rsidR="0050731B">
        <w:rPr>
          <w:szCs w:val="18"/>
        </w:rPr>
        <w:t>The Building Control Act, 2013, Part II, Section 9(b).</w:t>
      </w:r>
    </w:p>
  </w:footnote>
  <w:footnote w:id="24">
    <w:p w14:paraId="672AED4D" w14:textId="0F19936C" w:rsidR="0050731B" w:rsidRDefault="002A18C2"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UNHCR (2020). Uganda Country Refugee Response Plan. Retrieved from: </w:t>
      </w:r>
      <w:hyperlink r:id="rId14" w:history="1">
        <w:r w:rsidRPr="0007142F">
          <w:rPr>
            <w:rStyle w:val="Hyperlink"/>
            <w:szCs w:val="18"/>
          </w:rPr>
          <w:t>https://reporting.unhcr.org/sites/default/files/Uganda%20Country%20RRP%202019-20%20%28January%202019%29.pdf</w:t>
        </w:r>
      </w:hyperlink>
      <w:r>
        <w:rPr>
          <w:szCs w:val="18"/>
        </w:rPr>
        <w:t xml:space="preserve"> </w:t>
      </w:r>
    </w:p>
  </w:footnote>
  <w:footnote w:id="25">
    <w:p w14:paraId="1C1417E6" w14:textId="0830F4F8" w:rsidR="0050731B" w:rsidRDefault="002A18C2" w:rsidP="002A18C2">
      <w:pPr>
        <w:pStyle w:val="FootnoteText"/>
      </w:pPr>
      <w:r>
        <w:rPr>
          <w:szCs w:val="18"/>
        </w:rPr>
        <w:tab/>
      </w:r>
      <w:r w:rsidR="0050731B" w:rsidRPr="002A18C2">
        <w:rPr>
          <w:rStyle w:val="FootnoteReference"/>
          <w:szCs w:val="18"/>
        </w:rPr>
        <w:footnoteRef/>
      </w:r>
      <w:r>
        <w:rPr>
          <w:szCs w:val="18"/>
        </w:rPr>
        <w:tab/>
      </w:r>
      <w:r w:rsidR="0050731B" w:rsidRPr="002A18C2">
        <w:rPr>
          <w:color w:val="333333"/>
          <w:szCs w:val="18"/>
        </w:rPr>
        <w:t xml:space="preserve">The Daily Monitor (2016). PWDs petition </w:t>
      </w:r>
      <w:proofErr w:type="spellStart"/>
      <w:r w:rsidR="0050731B" w:rsidRPr="002A18C2">
        <w:rPr>
          <w:color w:val="333333"/>
          <w:szCs w:val="18"/>
        </w:rPr>
        <w:t>Katureebe</w:t>
      </w:r>
      <w:proofErr w:type="spellEnd"/>
      <w:r w:rsidR="0050731B" w:rsidRPr="002A18C2">
        <w:rPr>
          <w:color w:val="333333"/>
          <w:szCs w:val="18"/>
        </w:rPr>
        <w:t xml:space="preserve"> over access to justice. </w:t>
      </w:r>
      <w:hyperlink r:id="rId15" w:history="1">
        <w:r w:rsidRPr="0007142F">
          <w:rPr>
            <w:rStyle w:val="Hyperlink"/>
            <w:szCs w:val="18"/>
          </w:rPr>
          <w:t>https://www.monitor.co.ug/News/National/PWDs-petition-Katureebe-over-access-to-justice/688334-3288228-105bh1xz/index.html</w:t>
        </w:r>
      </w:hyperlink>
    </w:p>
  </w:footnote>
  <w:footnote w:id="26">
    <w:p w14:paraId="49E5A400" w14:textId="5D5F4F0E" w:rsidR="0050731B" w:rsidRDefault="008C3EA5" w:rsidP="0050731B">
      <w:pPr>
        <w:pStyle w:val="FootnoteText"/>
      </w:pPr>
      <w:r>
        <w:tab/>
      </w:r>
      <w:r w:rsidR="0050731B">
        <w:rPr>
          <w:rStyle w:val="FootnoteReference"/>
        </w:rPr>
        <w:footnoteRef/>
      </w:r>
      <w:r>
        <w:tab/>
      </w:r>
      <w:r w:rsidR="0050731B" w:rsidRPr="00B355A3">
        <w:rPr>
          <w:sz w:val="16"/>
          <w:szCs w:val="16"/>
        </w:rPr>
        <w:t xml:space="preserve">Annual Report on The State </w:t>
      </w:r>
      <w:proofErr w:type="gramStart"/>
      <w:r w:rsidR="0050731B" w:rsidRPr="00B355A3">
        <w:rPr>
          <w:sz w:val="16"/>
          <w:szCs w:val="16"/>
        </w:rPr>
        <w:t>Of</w:t>
      </w:r>
      <w:proofErr w:type="gramEnd"/>
      <w:r w:rsidR="0050731B" w:rsidRPr="00B355A3">
        <w:rPr>
          <w:sz w:val="16"/>
          <w:szCs w:val="16"/>
        </w:rPr>
        <w:t xml:space="preserve"> Equal Opportunities In Uganda FY 2020/2021</w:t>
      </w:r>
    </w:p>
  </w:footnote>
  <w:footnote w:id="27">
    <w:p w14:paraId="09D17EDA" w14:textId="21A3AC49" w:rsidR="0050731B" w:rsidRPr="004842CD" w:rsidRDefault="008C3EA5" w:rsidP="0050731B">
      <w:pPr>
        <w:pStyle w:val="FootnoteText"/>
        <w:rPr>
          <w:szCs w:val="18"/>
        </w:rPr>
      </w:pPr>
      <w:r>
        <w:rPr>
          <w:szCs w:val="18"/>
        </w:rPr>
        <w:tab/>
      </w:r>
      <w:r w:rsidR="0050731B" w:rsidRPr="004842CD">
        <w:rPr>
          <w:rStyle w:val="FootnoteReference"/>
          <w:szCs w:val="18"/>
        </w:rPr>
        <w:footnoteRef/>
      </w:r>
      <w:r>
        <w:rPr>
          <w:szCs w:val="18"/>
        </w:rPr>
        <w:tab/>
      </w:r>
      <w:r w:rsidR="0050731B" w:rsidRPr="004842CD">
        <w:rPr>
          <w:szCs w:val="18"/>
        </w:rPr>
        <w:t xml:space="preserve">JLOS </w:t>
      </w:r>
      <w:r w:rsidR="0050731B">
        <w:rPr>
          <w:szCs w:val="18"/>
        </w:rPr>
        <w:t>A</w:t>
      </w:r>
      <w:r w:rsidR="0050731B" w:rsidRPr="004842CD">
        <w:rPr>
          <w:szCs w:val="18"/>
        </w:rPr>
        <w:t xml:space="preserve">nnual </w:t>
      </w:r>
      <w:r w:rsidR="0050731B">
        <w:rPr>
          <w:szCs w:val="18"/>
        </w:rPr>
        <w:t>R</w:t>
      </w:r>
      <w:r w:rsidR="0050731B" w:rsidRPr="004842CD">
        <w:rPr>
          <w:szCs w:val="18"/>
        </w:rPr>
        <w:t>eport 2021/2022</w:t>
      </w:r>
    </w:p>
  </w:footnote>
  <w:footnote w:id="28">
    <w:p w14:paraId="44FC256C" w14:textId="00CFDCA3"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Republic of Uganda (2015). Constitutional Petition No. 64 of 2011. Center for Health, Human Rights and Development and </w:t>
      </w:r>
      <w:proofErr w:type="spellStart"/>
      <w:r w:rsidR="0050731B">
        <w:rPr>
          <w:szCs w:val="18"/>
        </w:rPr>
        <w:t>Iga</w:t>
      </w:r>
      <w:proofErr w:type="spellEnd"/>
      <w:r w:rsidR="0050731B">
        <w:rPr>
          <w:szCs w:val="18"/>
        </w:rPr>
        <w:t xml:space="preserve"> Daniel vs Attorney General. </w:t>
      </w:r>
    </w:p>
  </w:footnote>
  <w:footnote w:id="29">
    <w:p w14:paraId="18346ADE" w14:textId="45BF8F91"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EOC (2022). Annual report on the state of equal opportunities in Uganda for FY 2020/2021. Retrieved from: </w:t>
      </w:r>
      <w:hyperlink r:id="rId16" w:history="1">
        <w:r w:rsidR="0050731B">
          <w:rPr>
            <w:rStyle w:val="Hyperlink"/>
            <w:szCs w:val="18"/>
          </w:rPr>
          <w:t>https://eoc.go.ug/eoc/wp-content/uploads/2021/10/The-8th-Annual-Report-on-the-State-of-Equal-Opportunities-in-Uganda.pdf</w:t>
        </w:r>
      </w:hyperlink>
      <w:r w:rsidR="0050731B">
        <w:rPr>
          <w:szCs w:val="18"/>
        </w:rPr>
        <w:t xml:space="preserve"> </w:t>
      </w:r>
    </w:p>
  </w:footnote>
  <w:footnote w:id="30">
    <w:p w14:paraId="2DF476D4" w14:textId="10A23B3F"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Initiative for Social and Economic Rights (2014). Analysis of the Mental Health Bill, 2014: Submission to the Health Committee of the Parliament of Uganda on February 8, 2018. Policy Brief No. 7. Retrieved from: </w:t>
      </w:r>
      <w:hyperlink r:id="rId17" w:history="1">
        <w:r w:rsidR="0050731B">
          <w:rPr>
            <w:rStyle w:val="Hyperlink"/>
            <w:szCs w:val="18"/>
          </w:rPr>
          <w:t>https://iser-uganda.org/images/downloads/ISER_Analysis_of_the_Mental_Health_Bill_2014.pdf</w:t>
        </w:r>
      </w:hyperlink>
      <w:r w:rsidR="0050731B">
        <w:rPr>
          <w:szCs w:val="18"/>
        </w:rPr>
        <w:t xml:space="preserve"> </w:t>
      </w:r>
    </w:p>
  </w:footnote>
  <w:footnote w:id="31">
    <w:p w14:paraId="167F74FD" w14:textId="4D01C954"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A person with psychosocial disability qualifies for emergency treatment where the person is likely to inflict serious harm on himself or herself or on another person, or their </w:t>
      </w:r>
      <w:proofErr w:type="spellStart"/>
      <w:r w:rsidR="0050731B">
        <w:rPr>
          <w:szCs w:val="18"/>
        </w:rPr>
        <w:t>behavior</w:t>
      </w:r>
      <w:proofErr w:type="spellEnd"/>
      <w:r w:rsidR="0050731B">
        <w:rPr>
          <w:szCs w:val="18"/>
        </w:rPr>
        <w:t xml:space="preserve"> may result in a serious financial loss to himself or herself, damage to property or irreparable harm to an important personal relationship held with another person </w:t>
      </w:r>
      <w:proofErr w:type="gramStart"/>
      <w:r w:rsidR="0050731B">
        <w:rPr>
          <w:szCs w:val="18"/>
        </w:rPr>
        <w:t>as a result of</w:t>
      </w:r>
      <w:proofErr w:type="gramEnd"/>
      <w:r w:rsidR="0050731B">
        <w:rPr>
          <w:szCs w:val="18"/>
        </w:rPr>
        <w:t xml:space="preserve"> damage to the reputation of the person (Article 22).</w:t>
      </w:r>
    </w:p>
  </w:footnote>
  <w:footnote w:id="32">
    <w:p w14:paraId="32B7DCD0" w14:textId="6363E876"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Article 52 (1) (a-b) of the Constitution of the Republic of Uganda, 1995 as amended.</w:t>
      </w:r>
    </w:p>
  </w:footnote>
  <w:footnote w:id="33">
    <w:p w14:paraId="529ED54D" w14:textId="2C19B371"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UHRC (2020). The 23</w:t>
      </w:r>
      <w:r w:rsidR="0050731B">
        <w:rPr>
          <w:szCs w:val="18"/>
          <w:vertAlign w:val="superscript"/>
        </w:rPr>
        <w:t>rd</w:t>
      </w:r>
      <w:r w:rsidR="0050731B">
        <w:rPr>
          <w:szCs w:val="18"/>
        </w:rPr>
        <w:t xml:space="preserve"> Annual Report on the State of Human Rights and Freedoms in Uganda 2020. Retrieved from: </w:t>
      </w:r>
      <w:hyperlink r:id="rId18" w:history="1">
        <w:r w:rsidR="0050731B">
          <w:rPr>
            <w:rStyle w:val="Hyperlink"/>
            <w:szCs w:val="18"/>
          </w:rPr>
          <w:t>https://www.uhrc.ug/download/23rd-annual-report/?wpdmdl=1654&amp;refresh=633c015f49d131664876895</w:t>
        </w:r>
      </w:hyperlink>
      <w:r w:rsidR="0050731B">
        <w:rPr>
          <w:szCs w:val="18"/>
        </w:rPr>
        <w:t xml:space="preserve"> </w:t>
      </w:r>
    </w:p>
  </w:footnote>
  <w:footnote w:id="34">
    <w:p w14:paraId="3269DE97" w14:textId="18877E35" w:rsidR="0050731B" w:rsidRPr="008C3EA5" w:rsidRDefault="008C3EA5" w:rsidP="008C3EA5">
      <w:pPr>
        <w:pStyle w:val="FootnoteText"/>
        <w:rPr>
          <w:rFonts w:eastAsia="Times New Roman"/>
          <w:color w:val="333333"/>
          <w:kern w:val="36"/>
          <w:szCs w:val="18"/>
          <w:lang w:eastAsia="en-GB"/>
        </w:rPr>
      </w:pPr>
      <w:r>
        <w:rPr>
          <w:szCs w:val="18"/>
        </w:rPr>
        <w:tab/>
      </w:r>
      <w:r w:rsidR="0050731B" w:rsidRPr="008C3EA5">
        <w:rPr>
          <w:rStyle w:val="FootnoteReference"/>
          <w:szCs w:val="18"/>
        </w:rPr>
        <w:footnoteRef/>
      </w:r>
      <w:r>
        <w:rPr>
          <w:szCs w:val="18"/>
        </w:rPr>
        <w:tab/>
      </w:r>
      <w:r w:rsidR="0050731B" w:rsidRPr="008C3EA5">
        <w:rPr>
          <w:szCs w:val="18"/>
        </w:rPr>
        <w:t>UNICEF:</w:t>
      </w:r>
      <w:r w:rsidR="0050731B" w:rsidRPr="008C3EA5">
        <w:rPr>
          <w:rFonts w:eastAsia="Times New Roman"/>
          <w:color w:val="333333"/>
          <w:kern w:val="36"/>
          <w:szCs w:val="18"/>
          <w:lang w:eastAsia="en-GB"/>
        </w:rPr>
        <w:t xml:space="preserve"> UNICEF and partners train 279 police officers and medical workers. Retrieved from:</w:t>
      </w:r>
      <w:r w:rsidR="0050731B" w:rsidRPr="008C3EA5">
        <w:rPr>
          <w:szCs w:val="18"/>
        </w:rPr>
        <w:t xml:space="preserve"> </w:t>
      </w:r>
      <w:hyperlink r:id="rId19" w:history="1">
        <w:r w:rsidR="0050731B" w:rsidRPr="008C3EA5">
          <w:rPr>
            <w:rStyle w:val="Hyperlink"/>
            <w:szCs w:val="18"/>
          </w:rPr>
          <w:t>https://www.unicef.org/uganda/stories/unicef-and-partners-train-279-police-officers-and-medical-workers</w:t>
        </w:r>
      </w:hyperlink>
    </w:p>
  </w:footnote>
  <w:footnote w:id="35">
    <w:p w14:paraId="228D04C0" w14:textId="53186025"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Ibid</w:t>
      </w:r>
    </w:p>
  </w:footnote>
  <w:footnote w:id="36">
    <w:p w14:paraId="16FBEE94" w14:textId="6520148D" w:rsidR="0050731B" w:rsidRDefault="008C3EA5" w:rsidP="0050731B">
      <w:pPr>
        <w:pStyle w:val="FootnoteText"/>
      </w:pPr>
      <w:r>
        <w:tab/>
      </w:r>
      <w:r w:rsidR="0050731B">
        <w:rPr>
          <w:rStyle w:val="FootnoteReference"/>
        </w:rPr>
        <w:footnoteRef/>
      </w:r>
      <w:r>
        <w:tab/>
      </w:r>
      <w:r w:rsidR="0050731B" w:rsidRPr="00B355A3">
        <w:rPr>
          <w:sz w:val="16"/>
          <w:szCs w:val="16"/>
        </w:rPr>
        <w:t xml:space="preserve">The 18th Annual Report of the Uganda Human Rights Commission </w:t>
      </w:r>
      <w:proofErr w:type="gramStart"/>
      <w:r w:rsidR="0050731B" w:rsidRPr="00B355A3">
        <w:rPr>
          <w:sz w:val="16"/>
          <w:szCs w:val="16"/>
        </w:rPr>
        <w:t>To</w:t>
      </w:r>
      <w:proofErr w:type="gramEnd"/>
      <w:r w:rsidR="0050731B" w:rsidRPr="00B355A3">
        <w:rPr>
          <w:sz w:val="16"/>
          <w:szCs w:val="16"/>
        </w:rPr>
        <w:t xml:space="preserve"> the Parliament of the Republic of Uganda</w:t>
      </w:r>
    </w:p>
  </w:footnote>
  <w:footnote w:id="37">
    <w:p w14:paraId="40FF1372" w14:textId="4EB222AD" w:rsidR="0050731B" w:rsidRDefault="008C3EA5" w:rsidP="0050731B">
      <w:pPr>
        <w:pStyle w:val="FootnoteText"/>
      </w:pPr>
      <w:r>
        <w:tab/>
      </w:r>
      <w:r w:rsidR="0050731B">
        <w:rPr>
          <w:rStyle w:val="FootnoteReference"/>
        </w:rPr>
        <w:footnoteRef/>
      </w:r>
      <w:r>
        <w:tab/>
      </w:r>
      <w:r w:rsidR="0050731B">
        <w:t xml:space="preserve">EOC (2021) Annual </w:t>
      </w:r>
      <w:proofErr w:type="gramStart"/>
      <w:r w:rsidR="0050731B">
        <w:t>Report</w:t>
      </w:r>
      <w:r w:rsidR="0050731B" w:rsidRPr="00846695">
        <w:t xml:space="preserve"> </w:t>
      </w:r>
      <w:r w:rsidR="0050731B">
        <w:t xml:space="preserve"> on</w:t>
      </w:r>
      <w:proofErr w:type="gramEnd"/>
      <w:r w:rsidR="0050731B">
        <w:t xml:space="preserve"> the state of Equal Opportunities in Uganda FY 2020/2021</w:t>
      </w:r>
    </w:p>
  </w:footnote>
  <w:footnote w:id="38">
    <w:p w14:paraId="1499D163" w14:textId="7063B633"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Retrieved from NUWODU website: </w:t>
      </w:r>
      <w:hyperlink r:id="rId20" w:history="1">
        <w:r w:rsidR="0050731B">
          <w:rPr>
            <w:rStyle w:val="Hyperlink"/>
            <w:szCs w:val="18"/>
          </w:rPr>
          <w:t>https://nuwoduganda.org/gender-and-women-empowerment/</w:t>
        </w:r>
      </w:hyperlink>
    </w:p>
  </w:footnote>
  <w:footnote w:id="39">
    <w:p w14:paraId="6C0275B0" w14:textId="3EF8BE12" w:rsidR="0050731B" w:rsidRDefault="008C3EA5" w:rsidP="0050731B">
      <w:pPr>
        <w:pStyle w:val="FootnoteText"/>
        <w:rPr>
          <w:szCs w:val="18"/>
        </w:rPr>
      </w:pPr>
      <w:r>
        <w:rPr>
          <w:szCs w:val="18"/>
        </w:rPr>
        <w:tab/>
      </w:r>
      <w:r w:rsidR="0050731B">
        <w:rPr>
          <w:rStyle w:val="FootnoteReference"/>
          <w:szCs w:val="18"/>
        </w:rPr>
        <w:footnoteRef/>
      </w:r>
      <w:r>
        <w:rPr>
          <w:szCs w:val="18"/>
        </w:rPr>
        <w:tab/>
      </w:r>
      <w:r w:rsidR="0050731B">
        <w:rPr>
          <w:szCs w:val="18"/>
        </w:rPr>
        <w:t>Community mental health services refer to a system of care in which the community members of a person with mental illness, in collaboration with health workers are the primary providers of the interventions to promote mental wellbeing of a person with mental illness.</w:t>
      </w:r>
    </w:p>
  </w:footnote>
  <w:footnote w:id="40">
    <w:p w14:paraId="3569E004" w14:textId="13D48F40" w:rsidR="0050731B" w:rsidRPr="0020349B" w:rsidRDefault="00385E11" w:rsidP="0050731B">
      <w:pPr>
        <w:pStyle w:val="FootnoteText"/>
      </w:pPr>
      <w:r>
        <w:tab/>
      </w:r>
      <w:r w:rsidR="0050731B" w:rsidRPr="0020349B">
        <w:rPr>
          <w:rStyle w:val="FootnoteReference"/>
        </w:rPr>
        <w:footnoteRef/>
      </w:r>
      <w:r>
        <w:tab/>
      </w:r>
      <w:r w:rsidR="0050731B">
        <w:t xml:space="preserve">UBOS (2018). Uganda </w:t>
      </w:r>
      <w:proofErr w:type="spellStart"/>
      <w:r w:rsidR="0050731B">
        <w:t>Funtional</w:t>
      </w:r>
      <w:proofErr w:type="spellEnd"/>
      <w:r w:rsidR="0050731B" w:rsidRPr="0020349B">
        <w:t xml:space="preserve"> </w:t>
      </w:r>
      <w:proofErr w:type="spellStart"/>
      <w:r w:rsidR="0050731B" w:rsidRPr="0020349B">
        <w:t>Difficuty</w:t>
      </w:r>
      <w:proofErr w:type="spellEnd"/>
      <w:r w:rsidR="0050731B" w:rsidRPr="0020349B">
        <w:t xml:space="preserve"> Survey 2017.</w:t>
      </w:r>
    </w:p>
  </w:footnote>
  <w:footnote w:id="41">
    <w:p w14:paraId="39C3D5B1" w14:textId="24289BAD" w:rsidR="0050731B" w:rsidRDefault="00385E11" w:rsidP="0050731B">
      <w:pPr>
        <w:pStyle w:val="FootnoteText"/>
        <w:rPr>
          <w:szCs w:val="18"/>
        </w:rPr>
      </w:pPr>
      <w:r>
        <w:rPr>
          <w:szCs w:val="18"/>
        </w:rPr>
        <w:tab/>
      </w:r>
      <w:r w:rsidR="0050731B">
        <w:rPr>
          <w:rStyle w:val="FootnoteReference"/>
          <w:szCs w:val="18"/>
        </w:rPr>
        <w:footnoteRef/>
      </w:r>
      <w:r>
        <w:rPr>
          <w:szCs w:val="18"/>
        </w:rPr>
        <w:tab/>
      </w:r>
      <w:r w:rsidR="0050731B">
        <w:rPr>
          <w:szCs w:val="18"/>
        </w:rPr>
        <w:t>National Objective XXIV states: The state shall promote the development of sign language for the deaf.</w:t>
      </w:r>
    </w:p>
  </w:footnote>
  <w:footnote w:id="42">
    <w:p w14:paraId="28E9B1C8" w14:textId="294937ED" w:rsidR="0050731B" w:rsidRDefault="00B12E12"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UCC, (2022). Draft guidelines for enabling television access for persons with disabilities in Uganda. Retrieved from: </w:t>
      </w:r>
      <w:hyperlink r:id="rId21" w:history="1">
        <w:r w:rsidR="0050731B">
          <w:rPr>
            <w:rStyle w:val="Hyperlink"/>
            <w:szCs w:val="18"/>
          </w:rPr>
          <w:t>https://www.ucc.co.ug/draft-guidelines-for-enabling-television-access-for-persons-with-disabilities-in-uganda/</w:t>
        </w:r>
      </w:hyperlink>
      <w:r w:rsidR="0050731B">
        <w:rPr>
          <w:szCs w:val="18"/>
        </w:rPr>
        <w:t xml:space="preserve"> </w:t>
      </w:r>
    </w:p>
  </w:footnote>
  <w:footnote w:id="43">
    <w:p w14:paraId="28560E43" w14:textId="6156849D" w:rsidR="0050731B" w:rsidRDefault="00B12E12" w:rsidP="0050731B">
      <w:pPr>
        <w:pStyle w:val="FootnoteText"/>
        <w:rPr>
          <w:szCs w:val="18"/>
        </w:rPr>
      </w:pPr>
      <w:r>
        <w:rPr>
          <w:szCs w:val="18"/>
        </w:rPr>
        <w:tab/>
      </w:r>
      <w:r w:rsidR="0050731B">
        <w:rPr>
          <w:rStyle w:val="FootnoteReference"/>
          <w:szCs w:val="18"/>
        </w:rPr>
        <w:footnoteRef/>
      </w:r>
      <w:r>
        <w:rPr>
          <w:szCs w:val="18"/>
        </w:rPr>
        <w:tab/>
      </w:r>
      <w:r w:rsidR="0050731B">
        <w:rPr>
          <w:szCs w:val="18"/>
        </w:rPr>
        <w:t>NITA Uganda. Guidelines for the Development of Government Websites. Retrieved from: https://ict.go.ug/wp-content/uploads/2019/12/GOU-Website-Standards-2014-06-11-Ver-final.pdf</w:t>
      </w:r>
    </w:p>
  </w:footnote>
  <w:footnote w:id="44">
    <w:p w14:paraId="086DFA8F" w14:textId="70BBBBB1" w:rsidR="0050731B" w:rsidRDefault="00651C3F" w:rsidP="0050731B">
      <w:pPr>
        <w:pStyle w:val="FootnoteText"/>
      </w:pPr>
      <w:r>
        <w:rPr>
          <w:sz w:val="16"/>
          <w:szCs w:val="16"/>
        </w:rPr>
        <w:tab/>
      </w:r>
      <w:r w:rsidR="0050731B" w:rsidRPr="0086313B">
        <w:rPr>
          <w:rStyle w:val="FootnoteReference"/>
          <w:sz w:val="16"/>
          <w:szCs w:val="16"/>
        </w:rPr>
        <w:footnoteRef/>
      </w:r>
      <w:r>
        <w:rPr>
          <w:sz w:val="16"/>
          <w:szCs w:val="16"/>
        </w:rPr>
        <w:tab/>
      </w:r>
      <w:r w:rsidR="0050731B" w:rsidRPr="0086313B">
        <w:rPr>
          <w:sz w:val="16"/>
          <w:szCs w:val="16"/>
        </w:rPr>
        <w:t>Ministry Of Health Strategic Plan 2020/21 - 2024/25</w:t>
      </w:r>
    </w:p>
  </w:footnote>
  <w:footnote w:id="45">
    <w:p w14:paraId="7E31E7BC" w14:textId="7BC31CBD" w:rsidR="0050731B" w:rsidRDefault="00651C3F" w:rsidP="00651C3F">
      <w:pPr>
        <w:pStyle w:val="FootnoteText"/>
        <w:rPr>
          <w:rFonts w:eastAsia="Calibri"/>
          <w:szCs w:val="18"/>
        </w:rPr>
      </w:pPr>
      <w:r>
        <w:rPr>
          <w:szCs w:val="18"/>
        </w:rPr>
        <w:tab/>
      </w:r>
      <w:r w:rsidR="0050731B">
        <w:rPr>
          <w:rStyle w:val="FootnoteReference"/>
          <w:szCs w:val="18"/>
        </w:rPr>
        <w:footnoteRef/>
      </w:r>
      <w:r>
        <w:rPr>
          <w:szCs w:val="18"/>
        </w:rPr>
        <w:tab/>
      </w:r>
      <w:r w:rsidR="0050731B">
        <w:rPr>
          <w:szCs w:val="18"/>
        </w:rPr>
        <w:t xml:space="preserve">According to the Persons with Disabilities Act, 2020, inclusive education means </w:t>
      </w:r>
      <w:r w:rsidR="0050731B">
        <w:rPr>
          <w:rFonts w:eastAsia="Calibri"/>
          <w:szCs w:val="18"/>
        </w:rPr>
        <w:t>a system where a learner with a disability is taught together with the other leaners, in the same environment, and where, if required, extra support is given to the leaner with a disability.</w:t>
      </w:r>
    </w:p>
  </w:footnote>
  <w:footnote w:id="46">
    <w:p w14:paraId="5B940271" w14:textId="0954BAEC" w:rsidR="0050731B" w:rsidRDefault="00651C3F" w:rsidP="0050731B">
      <w:pPr>
        <w:pStyle w:val="FootnoteText"/>
      </w:pPr>
      <w:r>
        <w:tab/>
      </w:r>
      <w:r w:rsidR="0050731B">
        <w:rPr>
          <w:rStyle w:val="FootnoteReference"/>
        </w:rPr>
        <w:footnoteRef/>
      </w:r>
      <w:r>
        <w:tab/>
      </w:r>
      <w:r w:rsidR="0050731B" w:rsidRPr="00000E27">
        <w:rPr>
          <w:szCs w:val="18"/>
        </w:rPr>
        <w:t xml:space="preserve">Uganda Global </w:t>
      </w:r>
      <w:proofErr w:type="gramStart"/>
      <w:r w:rsidR="0050731B" w:rsidRPr="00000E27">
        <w:rPr>
          <w:szCs w:val="18"/>
        </w:rPr>
        <w:t xml:space="preserve">Disability  </w:t>
      </w:r>
      <w:r w:rsidR="0050731B">
        <w:rPr>
          <w:szCs w:val="18"/>
        </w:rPr>
        <w:t>S</w:t>
      </w:r>
      <w:r w:rsidR="0050731B" w:rsidRPr="00000E27">
        <w:rPr>
          <w:szCs w:val="18"/>
        </w:rPr>
        <w:t>ummit</w:t>
      </w:r>
      <w:proofErr w:type="gramEnd"/>
      <w:r w:rsidR="0050731B" w:rsidRPr="00000E27">
        <w:rPr>
          <w:szCs w:val="18"/>
        </w:rPr>
        <w:t xml:space="preserve"> </w:t>
      </w:r>
      <w:r w:rsidR="0050731B">
        <w:rPr>
          <w:szCs w:val="18"/>
        </w:rPr>
        <w:t>C</w:t>
      </w:r>
      <w:r w:rsidR="0050731B" w:rsidRPr="00000E27">
        <w:rPr>
          <w:szCs w:val="18"/>
        </w:rPr>
        <w:t>ommitments,</w:t>
      </w:r>
      <w:r w:rsidR="0050731B">
        <w:rPr>
          <w:szCs w:val="18"/>
        </w:rPr>
        <w:t xml:space="preserve"> </w:t>
      </w:r>
      <w:r w:rsidR="0050731B" w:rsidRPr="00000E27">
        <w:rPr>
          <w:szCs w:val="18"/>
        </w:rPr>
        <w:t>2022</w:t>
      </w:r>
    </w:p>
  </w:footnote>
  <w:footnote w:id="47">
    <w:p w14:paraId="582E9FA9" w14:textId="6626DBF0" w:rsidR="0050731B" w:rsidRDefault="00651C3F"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The project was implemented in 16 districts: </w:t>
      </w:r>
      <w:proofErr w:type="spellStart"/>
      <w:r w:rsidR="0050731B">
        <w:rPr>
          <w:szCs w:val="18"/>
        </w:rPr>
        <w:t>Bugiri</w:t>
      </w:r>
      <w:proofErr w:type="spellEnd"/>
      <w:r w:rsidR="0050731B">
        <w:rPr>
          <w:szCs w:val="18"/>
        </w:rPr>
        <w:t xml:space="preserve">, Bukomansimbi, </w:t>
      </w:r>
      <w:proofErr w:type="spellStart"/>
      <w:r w:rsidR="0050731B">
        <w:rPr>
          <w:szCs w:val="18"/>
        </w:rPr>
        <w:t>Gulu</w:t>
      </w:r>
      <w:proofErr w:type="spellEnd"/>
      <w:r w:rsidR="0050731B">
        <w:rPr>
          <w:szCs w:val="18"/>
        </w:rPr>
        <w:t xml:space="preserve">, Hoima, Iganga, Jinja, </w:t>
      </w:r>
      <w:proofErr w:type="spellStart"/>
      <w:r w:rsidR="0050731B">
        <w:rPr>
          <w:szCs w:val="18"/>
        </w:rPr>
        <w:t>Kagadi</w:t>
      </w:r>
      <w:proofErr w:type="spellEnd"/>
      <w:r w:rsidR="0050731B">
        <w:rPr>
          <w:szCs w:val="18"/>
        </w:rPr>
        <w:t xml:space="preserve">, Kamuli, </w:t>
      </w:r>
      <w:proofErr w:type="spellStart"/>
      <w:r w:rsidR="0050731B">
        <w:rPr>
          <w:szCs w:val="18"/>
        </w:rPr>
        <w:t>Kibale</w:t>
      </w:r>
      <w:proofErr w:type="spellEnd"/>
      <w:r w:rsidR="0050731B">
        <w:rPr>
          <w:szCs w:val="18"/>
        </w:rPr>
        <w:t xml:space="preserve">, </w:t>
      </w:r>
      <w:proofErr w:type="spellStart"/>
      <w:r w:rsidR="0050731B">
        <w:rPr>
          <w:szCs w:val="18"/>
        </w:rPr>
        <w:t>Manafwa</w:t>
      </w:r>
      <w:proofErr w:type="spellEnd"/>
      <w:r w:rsidR="0050731B">
        <w:rPr>
          <w:szCs w:val="18"/>
        </w:rPr>
        <w:t xml:space="preserve">, Masindi, </w:t>
      </w:r>
      <w:proofErr w:type="spellStart"/>
      <w:r w:rsidR="0050731B">
        <w:rPr>
          <w:szCs w:val="18"/>
        </w:rPr>
        <w:t>Mubende</w:t>
      </w:r>
      <w:proofErr w:type="spellEnd"/>
      <w:r w:rsidR="0050731B">
        <w:rPr>
          <w:szCs w:val="18"/>
        </w:rPr>
        <w:t xml:space="preserve">, Mukono, </w:t>
      </w:r>
      <w:proofErr w:type="spellStart"/>
      <w:r w:rsidR="0050731B">
        <w:rPr>
          <w:szCs w:val="18"/>
        </w:rPr>
        <w:t>Nebbi</w:t>
      </w:r>
      <w:proofErr w:type="spellEnd"/>
      <w:r w:rsidR="0050731B">
        <w:rPr>
          <w:szCs w:val="18"/>
        </w:rPr>
        <w:t xml:space="preserve">, </w:t>
      </w:r>
      <w:proofErr w:type="spellStart"/>
      <w:r w:rsidR="0050731B">
        <w:rPr>
          <w:szCs w:val="18"/>
        </w:rPr>
        <w:t>Arua</w:t>
      </w:r>
      <w:proofErr w:type="spellEnd"/>
      <w:r w:rsidR="0050731B">
        <w:rPr>
          <w:szCs w:val="18"/>
        </w:rPr>
        <w:t xml:space="preserve"> and Soroti.</w:t>
      </w:r>
    </w:p>
  </w:footnote>
  <w:footnote w:id="48">
    <w:p w14:paraId="0FB004D8" w14:textId="6FC5BC43" w:rsidR="0050731B" w:rsidRDefault="00651C3F"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Refer to:  </w:t>
      </w:r>
      <w:hyperlink r:id="rId22" w:history="1">
        <w:r w:rsidR="0050731B">
          <w:rPr>
            <w:rStyle w:val="Hyperlink"/>
            <w:szCs w:val="18"/>
          </w:rPr>
          <w:t>https://www.senseinternational.org.uk/what-we-do/where-we-work/uganda/</w:t>
        </w:r>
      </w:hyperlink>
      <w:r w:rsidR="0050731B">
        <w:rPr>
          <w:szCs w:val="18"/>
        </w:rPr>
        <w:t xml:space="preserve"> </w:t>
      </w:r>
    </w:p>
  </w:footnote>
  <w:footnote w:id="49">
    <w:p w14:paraId="6EB67BE7" w14:textId="1E5ADD3B" w:rsidR="0050731B" w:rsidRDefault="009A139F" w:rsidP="0050731B">
      <w:pPr>
        <w:pStyle w:val="FootnoteText"/>
      </w:pPr>
      <w:r>
        <w:tab/>
      </w:r>
      <w:r w:rsidR="0050731B">
        <w:rPr>
          <w:rStyle w:val="FootnoteReference"/>
        </w:rPr>
        <w:footnoteRef/>
      </w:r>
      <w:r>
        <w:tab/>
      </w:r>
      <w:r w:rsidR="0050731B">
        <w:t>MOES (2017</w:t>
      </w:r>
      <w:proofErr w:type="gramStart"/>
      <w:r w:rsidR="0050731B">
        <w:t>),</w:t>
      </w:r>
      <w:proofErr w:type="spellStart"/>
      <w:r w:rsidR="0050731B">
        <w:t>Gudeline</w:t>
      </w:r>
      <w:proofErr w:type="spellEnd"/>
      <w:proofErr w:type="gramEnd"/>
      <w:r w:rsidR="0050731B">
        <w:t xml:space="preserve"> for Three Star Approach for Planning and Implementation of WASH in Schools.</w:t>
      </w:r>
    </w:p>
  </w:footnote>
  <w:footnote w:id="50">
    <w:p w14:paraId="69BC37EA" w14:textId="2AAA2F4E" w:rsidR="0050731B" w:rsidRPr="009A139F" w:rsidRDefault="003E362A" w:rsidP="0050731B">
      <w:pPr>
        <w:pStyle w:val="FootnoteText"/>
        <w:rPr>
          <w:szCs w:val="18"/>
        </w:rPr>
      </w:pPr>
      <w:r>
        <w:rPr>
          <w:szCs w:val="18"/>
        </w:rPr>
        <w:tab/>
      </w:r>
      <w:r w:rsidR="0050731B" w:rsidRPr="009A139F">
        <w:rPr>
          <w:rStyle w:val="FootnoteReference"/>
          <w:szCs w:val="18"/>
        </w:rPr>
        <w:footnoteRef/>
      </w:r>
      <w:r>
        <w:rPr>
          <w:szCs w:val="18"/>
        </w:rPr>
        <w:tab/>
      </w:r>
      <w:r w:rsidR="0050731B" w:rsidRPr="009A139F">
        <w:rPr>
          <w:szCs w:val="18"/>
        </w:rPr>
        <w:t>Section 9(2)(c) of the Persons with Disabilities Act, 2020 states: the employer shall provide an employee with a disability reasonable accommodation in the performance of the job or task</w:t>
      </w:r>
    </w:p>
  </w:footnote>
  <w:footnote w:id="51">
    <w:p w14:paraId="74B9F488" w14:textId="2B5EDC70" w:rsidR="0050731B" w:rsidRPr="006A7F44" w:rsidRDefault="006A7F44" w:rsidP="0050731B">
      <w:pPr>
        <w:pStyle w:val="FootnoteText"/>
      </w:pPr>
      <w:r>
        <w:rPr>
          <w:szCs w:val="18"/>
        </w:rPr>
        <w:tab/>
      </w:r>
      <w:r w:rsidR="0050731B" w:rsidRPr="006A7F44">
        <w:rPr>
          <w:rStyle w:val="FootnoteReference"/>
          <w:szCs w:val="18"/>
        </w:rPr>
        <w:footnoteRef/>
      </w:r>
      <w:r>
        <w:rPr>
          <w:szCs w:val="18"/>
        </w:rPr>
        <w:tab/>
      </w:r>
      <w:r w:rsidR="0050731B" w:rsidRPr="006A7F44">
        <w:rPr>
          <w:szCs w:val="18"/>
        </w:rPr>
        <w:t>MGLSD (Sept,2020) Situation Analysis of Persons with Disabilities in Uganda</w:t>
      </w:r>
    </w:p>
  </w:footnote>
  <w:footnote w:id="52">
    <w:p w14:paraId="1CE6EE29" w14:textId="45309B37" w:rsidR="0050731B" w:rsidRPr="006A7F44" w:rsidRDefault="006A7F44" w:rsidP="0050731B">
      <w:pPr>
        <w:pStyle w:val="FootnoteText"/>
        <w:rPr>
          <w:szCs w:val="18"/>
        </w:rPr>
      </w:pPr>
      <w:r>
        <w:tab/>
      </w:r>
      <w:r w:rsidR="0050731B" w:rsidRPr="006A7F44">
        <w:rPr>
          <w:rStyle w:val="FootnoteReference"/>
        </w:rPr>
        <w:footnoteRef/>
      </w:r>
      <w:r>
        <w:tab/>
      </w:r>
      <w:r w:rsidR="0050731B" w:rsidRPr="006A7F44">
        <w:rPr>
          <w:szCs w:val="18"/>
        </w:rPr>
        <w:t xml:space="preserve">UBOS (2020). Annual </w:t>
      </w:r>
      <w:proofErr w:type="spellStart"/>
      <w:r w:rsidR="0050731B" w:rsidRPr="006A7F44">
        <w:rPr>
          <w:szCs w:val="18"/>
        </w:rPr>
        <w:t>Labor</w:t>
      </w:r>
      <w:proofErr w:type="spellEnd"/>
      <w:r w:rsidR="0050731B" w:rsidRPr="006A7F44">
        <w:rPr>
          <w:szCs w:val="18"/>
        </w:rPr>
        <w:t xml:space="preserve"> Force Survey 2018/2019. Retrieved from: https://www.ubos.org/wp-content/uploads/publications/05_20212018-19_ALFS_Report_FINAL.pdf</w:t>
      </w:r>
    </w:p>
  </w:footnote>
  <w:footnote w:id="53">
    <w:p w14:paraId="624B4BF9" w14:textId="47519D80" w:rsidR="0050731B" w:rsidRPr="006A7F44" w:rsidRDefault="006A7F44" w:rsidP="0050731B">
      <w:pPr>
        <w:pStyle w:val="FootnoteText"/>
        <w:rPr>
          <w:szCs w:val="18"/>
        </w:rPr>
      </w:pPr>
      <w:r>
        <w:rPr>
          <w:szCs w:val="18"/>
        </w:rPr>
        <w:tab/>
      </w:r>
      <w:r w:rsidR="0050731B" w:rsidRPr="006A7F44">
        <w:rPr>
          <w:rStyle w:val="FootnoteReference"/>
          <w:szCs w:val="18"/>
        </w:rPr>
        <w:footnoteRef/>
      </w:r>
      <w:r>
        <w:rPr>
          <w:szCs w:val="18"/>
        </w:rPr>
        <w:tab/>
      </w:r>
      <w:r w:rsidR="0050731B" w:rsidRPr="006A7F44">
        <w:rPr>
          <w:szCs w:val="18"/>
        </w:rPr>
        <w:t>UBOS (2017). Uganda Manpower Survey 2016/2017.</w:t>
      </w:r>
    </w:p>
  </w:footnote>
  <w:footnote w:id="54">
    <w:p w14:paraId="7DAE6852" w14:textId="4E706C35" w:rsidR="0050731B" w:rsidRPr="006A7F44" w:rsidRDefault="006A7F44" w:rsidP="0050731B">
      <w:pPr>
        <w:pStyle w:val="FootnoteText"/>
        <w:rPr>
          <w:szCs w:val="18"/>
        </w:rPr>
      </w:pPr>
      <w:r>
        <w:rPr>
          <w:szCs w:val="18"/>
        </w:rPr>
        <w:tab/>
      </w:r>
      <w:r w:rsidR="0050731B" w:rsidRPr="006A7F44">
        <w:rPr>
          <w:rStyle w:val="FootnoteReference"/>
          <w:szCs w:val="18"/>
        </w:rPr>
        <w:footnoteRef/>
      </w:r>
      <w:r>
        <w:rPr>
          <w:szCs w:val="18"/>
        </w:rPr>
        <w:tab/>
      </w:r>
      <w:r w:rsidR="0050731B" w:rsidRPr="006A7F44">
        <w:rPr>
          <w:szCs w:val="18"/>
        </w:rPr>
        <w:t xml:space="preserve">Institute of Development Studies (2020). Inclusion Works: Uganda Situation analysis June 2020 update.  </w:t>
      </w:r>
    </w:p>
  </w:footnote>
  <w:footnote w:id="55">
    <w:p w14:paraId="26E4FBF7" w14:textId="644C6CD3" w:rsidR="0050731B" w:rsidRPr="006A7F44" w:rsidRDefault="006A7F44" w:rsidP="0050731B">
      <w:pPr>
        <w:pStyle w:val="FootnoteText"/>
        <w:rPr>
          <w:szCs w:val="18"/>
        </w:rPr>
      </w:pPr>
      <w:r>
        <w:rPr>
          <w:szCs w:val="18"/>
        </w:rPr>
        <w:tab/>
      </w:r>
      <w:r w:rsidR="0050731B" w:rsidRPr="006A7F44">
        <w:rPr>
          <w:rStyle w:val="FootnoteReference"/>
          <w:szCs w:val="18"/>
        </w:rPr>
        <w:footnoteRef/>
      </w:r>
      <w:r>
        <w:rPr>
          <w:szCs w:val="18"/>
        </w:rPr>
        <w:tab/>
      </w:r>
      <w:proofErr w:type="spellStart"/>
      <w:r w:rsidR="0050731B" w:rsidRPr="006A7F44">
        <w:rPr>
          <w:szCs w:val="18"/>
        </w:rPr>
        <w:t>Ojok</w:t>
      </w:r>
      <w:proofErr w:type="spellEnd"/>
      <w:r w:rsidR="0050731B" w:rsidRPr="006A7F44">
        <w:rPr>
          <w:szCs w:val="18"/>
        </w:rPr>
        <w:t xml:space="preserve">, P., </w:t>
      </w:r>
      <w:proofErr w:type="spellStart"/>
      <w:r w:rsidR="0050731B" w:rsidRPr="006A7F44">
        <w:rPr>
          <w:szCs w:val="18"/>
        </w:rPr>
        <w:t>Oryema</w:t>
      </w:r>
      <w:proofErr w:type="spellEnd"/>
      <w:r w:rsidR="0050731B" w:rsidRPr="006A7F44">
        <w:rPr>
          <w:szCs w:val="18"/>
        </w:rPr>
        <w:t xml:space="preserve">, JB &amp; Were, D. (2019). Employment Situation of persons with disabilities and the prospects of a quota employment policy for persons with disabilities in Uganda. </w:t>
      </w:r>
    </w:p>
  </w:footnote>
  <w:footnote w:id="56">
    <w:p w14:paraId="39A2F50B" w14:textId="2B65E352" w:rsidR="0050731B" w:rsidRDefault="006A7F44" w:rsidP="0050731B">
      <w:pPr>
        <w:pStyle w:val="FootnoteText"/>
        <w:rPr>
          <w:szCs w:val="18"/>
        </w:rPr>
      </w:pPr>
      <w:r>
        <w:rPr>
          <w:szCs w:val="18"/>
        </w:rPr>
        <w:tab/>
      </w:r>
      <w:r w:rsidR="0050731B" w:rsidRPr="006A7F44">
        <w:rPr>
          <w:rStyle w:val="FootnoteReference"/>
          <w:szCs w:val="18"/>
        </w:rPr>
        <w:footnoteRef/>
      </w:r>
      <w:r>
        <w:rPr>
          <w:szCs w:val="18"/>
        </w:rPr>
        <w:tab/>
      </w:r>
      <w:r w:rsidR="0050731B" w:rsidRPr="006A7F44">
        <w:rPr>
          <w:szCs w:val="18"/>
        </w:rPr>
        <w:t>Ibid, n 50.</w:t>
      </w:r>
      <w:r w:rsidR="0050731B">
        <w:rPr>
          <w:szCs w:val="18"/>
        </w:rPr>
        <w:t xml:space="preserve">  </w:t>
      </w:r>
    </w:p>
  </w:footnote>
  <w:footnote w:id="57">
    <w:p w14:paraId="3B9F7752" w14:textId="53CA3032" w:rsidR="0050731B" w:rsidRDefault="006A7F44"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Ministry of Gender, </w:t>
      </w:r>
      <w:proofErr w:type="gramStart"/>
      <w:r w:rsidR="0050731B">
        <w:rPr>
          <w:szCs w:val="18"/>
        </w:rPr>
        <w:t>Labour</w:t>
      </w:r>
      <w:proofErr w:type="gramEnd"/>
      <w:r w:rsidR="0050731B">
        <w:rPr>
          <w:szCs w:val="18"/>
        </w:rPr>
        <w:t xml:space="preserve"> and Social Development (2022). </w:t>
      </w:r>
    </w:p>
  </w:footnote>
  <w:footnote w:id="58">
    <w:p w14:paraId="6FB153D6" w14:textId="15082664" w:rsidR="0050731B" w:rsidRDefault="006A7F44"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Ministry of Gender, </w:t>
      </w:r>
      <w:proofErr w:type="spellStart"/>
      <w:proofErr w:type="gramStart"/>
      <w:r w:rsidR="0050731B">
        <w:rPr>
          <w:szCs w:val="18"/>
        </w:rPr>
        <w:t>Labor</w:t>
      </w:r>
      <w:proofErr w:type="spellEnd"/>
      <w:proofErr w:type="gramEnd"/>
      <w:r w:rsidR="0050731B">
        <w:rPr>
          <w:szCs w:val="18"/>
        </w:rPr>
        <w:t xml:space="preserve"> and Social Development (2022). Revised Guidelines for the Special grant for Persons with Disabilities. </w:t>
      </w:r>
    </w:p>
  </w:footnote>
  <w:footnote w:id="59">
    <w:p w14:paraId="00EA2ACA" w14:textId="1FECDF3D" w:rsidR="0050731B" w:rsidRPr="00D6252C" w:rsidRDefault="006A7F44" w:rsidP="0050731B">
      <w:pPr>
        <w:pStyle w:val="FootnoteText"/>
        <w:rPr>
          <w:szCs w:val="18"/>
        </w:rPr>
      </w:pPr>
      <w:r>
        <w:rPr>
          <w:szCs w:val="18"/>
        </w:rPr>
        <w:tab/>
      </w:r>
      <w:r w:rsidR="0050731B" w:rsidRPr="00D6252C">
        <w:rPr>
          <w:rStyle w:val="FootnoteReference"/>
          <w:szCs w:val="18"/>
        </w:rPr>
        <w:footnoteRef/>
      </w:r>
      <w:r>
        <w:rPr>
          <w:szCs w:val="18"/>
        </w:rPr>
        <w:tab/>
      </w:r>
      <w:r w:rsidR="0050731B" w:rsidRPr="00D6252C">
        <w:rPr>
          <w:szCs w:val="18"/>
        </w:rPr>
        <w:t>https://www.parliament.go.ug/news/6111/%E2%80%98reduce-age-sage-beneficiaries%E2%80%99</w:t>
      </w:r>
    </w:p>
  </w:footnote>
  <w:footnote w:id="60">
    <w:p w14:paraId="3278262E" w14:textId="6FCB6643" w:rsidR="0050731B" w:rsidRDefault="006A7F44" w:rsidP="0050731B">
      <w:pPr>
        <w:pStyle w:val="FootnoteText"/>
        <w:rPr>
          <w:szCs w:val="18"/>
        </w:rPr>
      </w:pPr>
      <w:r>
        <w:rPr>
          <w:szCs w:val="18"/>
        </w:rPr>
        <w:tab/>
      </w:r>
      <w:r w:rsidR="0050731B" w:rsidRPr="00D6252C">
        <w:rPr>
          <w:rStyle w:val="FootnoteReference"/>
          <w:szCs w:val="18"/>
        </w:rPr>
        <w:footnoteRef/>
      </w:r>
      <w:r>
        <w:rPr>
          <w:szCs w:val="18"/>
        </w:rPr>
        <w:tab/>
      </w:r>
      <w:r w:rsidR="0050731B" w:rsidRPr="00D6252C">
        <w:rPr>
          <w:szCs w:val="18"/>
        </w:rPr>
        <w:t xml:space="preserve">Refer to: </w:t>
      </w:r>
      <w:hyperlink r:id="rId23" w:history="1">
        <w:r w:rsidR="0050731B" w:rsidRPr="005153FE">
          <w:rPr>
            <w:rStyle w:val="Hyperlink"/>
            <w:szCs w:val="18"/>
          </w:rPr>
          <w:t>https://www.advancefamilyplanning.org/parliament-uganda-passes-national-health-insurance-scheme-bill</w:t>
        </w:r>
      </w:hyperlink>
      <w:r w:rsidR="0050731B">
        <w:rPr>
          <w:szCs w:val="18"/>
        </w:rPr>
        <w:t xml:space="preserve"> </w:t>
      </w:r>
    </w:p>
  </w:footnote>
  <w:footnote w:id="61">
    <w:p w14:paraId="465D7F4A" w14:textId="70AB96CD" w:rsidR="0050731B" w:rsidRDefault="006A7F44"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WIPO (2018). Marrakesh Treaty Notification No. 38. Available at: </w:t>
      </w:r>
      <w:hyperlink r:id="rId24" w:history="1">
        <w:r w:rsidR="0050731B">
          <w:rPr>
            <w:rStyle w:val="Hyperlink"/>
            <w:szCs w:val="18"/>
          </w:rPr>
          <w:t>https://www.wipo.int/treaties/en/notifications/marrakesh/treaty_marrakesh_38.html</w:t>
        </w:r>
      </w:hyperlink>
      <w:r w:rsidR="0050731B">
        <w:rPr>
          <w:szCs w:val="18"/>
        </w:rPr>
        <w:t xml:space="preserve">  </w:t>
      </w:r>
    </w:p>
  </w:footnote>
  <w:footnote w:id="62">
    <w:p w14:paraId="0BE9114A" w14:textId="3C61FAB8" w:rsidR="0050731B" w:rsidRDefault="006A7F44" w:rsidP="0050731B">
      <w:pPr>
        <w:pStyle w:val="FootnoteText"/>
        <w:rPr>
          <w:szCs w:val="18"/>
        </w:rPr>
      </w:pPr>
      <w:r>
        <w:rPr>
          <w:szCs w:val="18"/>
        </w:rPr>
        <w:tab/>
      </w:r>
      <w:r w:rsidR="0050731B">
        <w:rPr>
          <w:rStyle w:val="FootnoteReference"/>
          <w:szCs w:val="18"/>
        </w:rPr>
        <w:footnoteRef/>
      </w:r>
      <w:r>
        <w:rPr>
          <w:szCs w:val="18"/>
        </w:rPr>
        <w:tab/>
      </w:r>
      <w:r w:rsidR="0050731B">
        <w:rPr>
          <w:szCs w:val="18"/>
        </w:rPr>
        <w:t xml:space="preserve">Development Pathways (2020). Uganda's disability data landscape and the economic inclusion of persons with disabilities. Retrieved from: </w:t>
      </w:r>
      <w:hyperlink r:id="rId25" w:history="1">
        <w:r w:rsidR="0050731B">
          <w:rPr>
            <w:rStyle w:val="Hyperlink"/>
            <w:szCs w:val="18"/>
          </w:rPr>
          <w:t>https://devinit.org/documents/849/Uganda-disability-data-landscape_IF.pdf</w:t>
        </w:r>
      </w:hyperlink>
      <w:r w:rsidR="0050731B">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F8C07" w14:textId="77777777" w:rsidR="00AF434B" w:rsidRDefault="005B7CEF">
    <w:pPr>
      <w:pStyle w:val="Header"/>
    </w:pPr>
    <w:r>
      <w:t>CRPD/C/UGA/2-4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DB3B8" w14:textId="77777777" w:rsidR="00AF434B" w:rsidRDefault="005B7CEF">
    <w:pPr>
      <w:pStyle w:val="Header"/>
      <w:jc w:val="right"/>
    </w:pPr>
    <w:r>
      <w:t>CRPD/C/UGA/2-4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0B2FA" w14:textId="77777777" w:rsidR="00AF434B" w:rsidRDefault="00AF434B">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4F6D2F0">
      <w:start w:val="1"/>
      <w:numFmt w:val="decimal"/>
      <w:lvlText w:val="%1."/>
      <w:lvlJc w:val="left"/>
      <w:pPr>
        <w:tabs>
          <w:tab w:val="num" w:pos="0"/>
        </w:tabs>
        <w:ind w:left="1134" w:firstLine="0"/>
      </w:pPr>
      <w:rPr>
        <w:rFonts w:ascii="Times New Roman" w:hAnsi="Times New Roman" w:hint="default"/>
        <w:b w:val="0"/>
        <w:i w:val="0"/>
        <w:sz w:val="20"/>
      </w:rPr>
    </w:lvl>
    <w:lvl w:ilvl="1" w:tplc="EE246A62" w:tentative="1">
      <w:start w:val="1"/>
      <w:numFmt w:val="lowerLetter"/>
      <w:lvlText w:val="%2."/>
      <w:lvlJc w:val="left"/>
      <w:pPr>
        <w:tabs>
          <w:tab w:val="num" w:pos="1440"/>
        </w:tabs>
        <w:ind w:left="1440" w:hanging="360"/>
      </w:pPr>
    </w:lvl>
    <w:lvl w:ilvl="2" w:tplc="C106A7B0" w:tentative="1">
      <w:start w:val="1"/>
      <w:numFmt w:val="lowerRoman"/>
      <w:lvlText w:val="%3."/>
      <w:lvlJc w:val="right"/>
      <w:pPr>
        <w:tabs>
          <w:tab w:val="num" w:pos="2160"/>
        </w:tabs>
        <w:ind w:left="2160" w:hanging="180"/>
      </w:pPr>
    </w:lvl>
    <w:lvl w:ilvl="3" w:tplc="B9D6F044" w:tentative="1">
      <w:start w:val="1"/>
      <w:numFmt w:val="decimal"/>
      <w:lvlText w:val="%4."/>
      <w:lvlJc w:val="left"/>
      <w:pPr>
        <w:tabs>
          <w:tab w:val="num" w:pos="2880"/>
        </w:tabs>
        <w:ind w:left="2880" w:hanging="360"/>
      </w:pPr>
    </w:lvl>
    <w:lvl w:ilvl="4" w:tplc="F11203C0" w:tentative="1">
      <w:start w:val="1"/>
      <w:numFmt w:val="lowerLetter"/>
      <w:lvlText w:val="%5."/>
      <w:lvlJc w:val="left"/>
      <w:pPr>
        <w:tabs>
          <w:tab w:val="num" w:pos="3600"/>
        </w:tabs>
        <w:ind w:left="3600" w:hanging="360"/>
      </w:pPr>
    </w:lvl>
    <w:lvl w:ilvl="5" w:tplc="3A787308" w:tentative="1">
      <w:start w:val="1"/>
      <w:numFmt w:val="lowerRoman"/>
      <w:lvlText w:val="%6."/>
      <w:lvlJc w:val="right"/>
      <w:pPr>
        <w:tabs>
          <w:tab w:val="num" w:pos="4320"/>
        </w:tabs>
        <w:ind w:left="4320" w:hanging="180"/>
      </w:pPr>
    </w:lvl>
    <w:lvl w:ilvl="6" w:tplc="91E0A03E" w:tentative="1">
      <w:start w:val="1"/>
      <w:numFmt w:val="decimal"/>
      <w:lvlText w:val="%7."/>
      <w:lvlJc w:val="left"/>
      <w:pPr>
        <w:tabs>
          <w:tab w:val="num" w:pos="5040"/>
        </w:tabs>
        <w:ind w:left="5040" w:hanging="360"/>
      </w:pPr>
    </w:lvl>
    <w:lvl w:ilvl="7" w:tplc="D716F264" w:tentative="1">
      <w:start w:val="1"/>
      <w:numFmt w:val="lowerLetter"/>
      <w:lvlText w:val="%8."/>
      <w:lvlJc w:val="left"/>
      <w:pPr>
        <w:tabs>
          <w:tab w:val="num" w:pos="5760"/>
        </w:tabs>
        <w:ind w:left="5760" w:hanging="360"/>
      </w:pPr>
    </w:lvl>
    <w:lvl w:ilvl="8" w:tplc="751638F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554F84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81C7434" w:tentative="1">
      <w:start w:val="1"/>
      <w:numFmt w:val="lowerLetter"/>
      <w:lvlText w:val="%2."/>
      <w:lvlJc w:val="left"/>
      <w:pPr>
        <w:tabs>
          <w:tab w:val="num" w:pos="1440"/>
        </w:tabs>
        <w:ind w:left="1440" w:hanging="360"/>
      </w:pPr>
    </w:lvl>
    <w:lvl w:ilvl="2" w:tplc="9030F8A8" w:tentative="1">
      <w:start w:val="1"/>
      <w:numFmt w:val="lowerRoman"/>
      <w:lvlText w:val="%3."/>
      <w:lvlJc w:val="right"/>
      <w:pPr>
        <w:tabs>
          <w:tab w:val="num" w:pos="2160"/>
        </w:tabs>
        <w:ind w:left="2160" w:hanging="180"/>
      </w:pPr>
    </w:lvl>
    <w:lvl w:ilvl="3" w:tplc="0C38174A" w:tentative="1">
      <w:start w:val="1"/>
      <w:numFmt w:val="decimal"/>
      <w:lvlText w:val="%4."/>
      <w:lvlJc w:val="left"/>
      <w:pPr>
        <w:tabs>
          <w:tab w:val="num" w:pos="2880"/>
        </w:tabs>
        <w:ind w:left="2880" w:hanging="360"/>
      </w:pPr>
    </w:lvl>
    <w:lvl w:ilvl="4" w:tplc="BE3A3C0C" w:tentative="1">
      <w:start w:val="1"/>
      <w:numFmt w:val="lowerLetter"/>
      <w:lvlText w:val="%5."/>
      <w:lvlJc w:val="left"/>
      <w:pPr>
        <w:tabs>
          <w:tab w:val="num" w:pos="3600"/>
        </w:tabs>
        <w:ind w:left="3600" w:hanging="360"/>
      </w:pPr>
    </w:lvl>
    <w:lvl w:ilvl="5" w:tplc="F904CB52" w:tentative="1">
      <w:start w:val="1"/>
      <w:numFmt w:val="lowerRoman"/>
      <w:lvlText w:val="%6."/>
      <w:lvlJc w:val="right"/>
      <w:pPr>
        <w:tabs>
          <w:tab w:val="num" w:pos="4320"/>
        </w:tabs>
        <w:ind w:left="4320" w:hanging="180"/>
      </w:pPr>
    </w:lvl>
    <w:lvl w:ilvl="6" w:tplc="AEDE0AE2" w:tentative="1">
      <w:start w:val="1"/>
      <w:numFmt w:val="decimal"/>
      <w:lvlText w:val="%7."/>
      <w:lvlJc w:val="left"/>
      <w:pPr>
        <w:tabs>
          <w:tab w:val="num" w:pos="5040"/>
        </w:tabs>
        <w:ind w:left="5040" w:hanging="360"/>
      </w:pPr>
    </w:lvl>
    <w:lvl w:ilvl="7" w:tplc="FACE77AA" w:tentative="1">
      <w:start w:val="1"/>
      <w:numFmt w:val="lowerLetter"/>
      <w:lvlText w:val="%8."/>
      <w:lvlJc w:val="left"/>
      <w:pPr>
        <w:tabs>
          <w:tab w:val="num" w:pos="5760"/>
        </w:tabs>
        <w:ind w:left="5760" w:hanging="360"/>
      </w:pPr>
    </w:lvl>
    <w:lvl w:ilvl="8" w:tplc="427C0E4A" w:tentative="1">
      <w:start w:val="1"/>
      <w:numFmt w:val="lowerRoman"/>
      <w:lvlText w:val="%9."/>
      <w:lvlJc w:val="right"/>
      <w:pPr>
        <w:tabs>
          <w:tab w:val="num" w:pos="6480"/>
        </w:tabs>
        <w:ind w:left="6480" w:hanging="180"/>
      </w:pPr>
    </w:lvl>
  </w:abstractNum>
  <w:abstractNum w:abstractNumId="12" w15:restartNumberingAfterBreak="0">
    <w:nsid w:val="0FE92015"/>
    <w:multiLevelType w:val="hybridMultilevel"/>
    <w:tmpl w:val="0A3633D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E253887"/>
    <w:multiLevelType w:val="hybridMultilevel"/>
    <w:tmpl w:val="497EC7CC"/>
    <w:lvl w:ilvl="0" w:tplc="D88855E2">
      <w:start w:val="1"/>
      <w:numFmt w:val="bullet"/>
      <w:lvlText w:val="•"/>
      <w:lvlJc w:val="left"/>
      <w:pPr>
        <w:tabs>
          <w:tab w:val="num" w:pos="2268"/>
        </w:tabs>
        <w:ind w:left="2268" w:hanging="170"/>
      </w:pPr>
      <w:rPr>
        <w:rFonts w:ascii="Times New Roman" w:hAnsi="Times New Roman" w:cs="Times New Roman" w:hint="default"/>
      </w:rPr>
    </w:lvl>
    <w:lvl w:ilvl="1" w:tplc="34120A9C" w:tentative="1">
      <w:start w:val="1"/>
      <w:numFmt w:val="bullet"/>
      <w:lvlText w:val="o"/>
      <w:lvlJc w:val="left"/>
      <w:pPr>
        <w:tabs>
          <w:tab w:val="num" w:pos="1440"/>
        </w:tabs>
        <w:ind w:left="1440" w:hanging="360"/>
      </w:pPr>
      <w:rPr>
        <w:rFonts w:ascii="Courier New" w:hAnsi="Courier New" w:hint="default"/>
      </w:rPr>
    </w:lvl>
    <w:lvl w:ilvl="2" w:tplc="6972C0EA" w:tentative="1">
      <w:start w:val="1"/>
      <w:numFmt w:val="bullet"/>
      <w:lvlText w:val=""/>
      <w:lvlJc w:val="left"/>
      <w:pPr>
        <w:tabs>
          <w:tab w:val="num" w:pos="2160"/>
        </w:tabs>
        <w:ind w:left="2160" w:hanging="360"/>
      </w:pPr>
      <w:rPr>
        <w:rFonts w:ascii="Wingdings" w:hAnsi="Wingdings" w:hint="default"/>
      </w:rPr>
    </w:lvl>
    <w:lvl w:ilvl="3" w:tplc="5BC273A4" w:tentative="1">
      <w:start w:val="1"/>
      <w:numFmt w:val="bullet"/>
      <w:lvlText w:val=""/>
      <w:lvlJc w:val="left"/>
      <w:pPr>
        <w:tabs>
          <w:tab w:val="num" w:pos="2880"/>
        </w:tabs>
        <w:ind w:left="2880" w:hanging="360"/>
      </w:pPr>
      <w:rPr>
        <w:rFonts w:ascii="Symbol" w:hAnsi="Symbol" w:hint="default"/>
      </w:rPr>
    </w:lvl>
    <w:lvl w:ilvl="4" w:tplc="CFC2CBA4" w:tentative="1">
      <w:start w:val="1"/>
      <w:numFmt w:val="bullet"/>
      <w:lvlText w:val="o"/>
      <w:lvlJc w:val="left"/>
      <w:pPr>
        <w:tabs>
          <w:tab w:val="num" w:pos="3600"/>
        </w:tabs>
        <w:ind w:left="3600" w:hanging="360"/>
      </w:pPr>
      <w:rPr>
        <w:rFonts w:ascii="Courier New" w:hAnsi="Courier New" w:hint="default"/>
      </w:rPr>
    </w:lvl>
    <w:lvl w:ilvl="5" w:tplc="CBD8C4DE" w:tentative="1">
      <w:start w:val="1"/>
      <w:numFmt w:val="bullet"/>
      <w:lvlText w:val=""/>
      <w:lvlJc w:val="left"/>
      <w:pPr>
        <w:tabs>
          <w:tab w:val="num" w:pos="4320"/>
        </w:tabs>
        <w:ind w:left="4320" w:hanging="360"/>
      </w:pPr>
      <w:rPr>
        <w:rFonts w:ascii="Wingdings" w:hAnsi="Wingdings" w:hint="default"/>
      </w:rPr>
    </w:lvl>
    <w:lvl w:ilvl="6" w:tplc="097641FE" w:tentative="1">
      <w:start w:val="1"/>
      <w:numFmt w:val="bullet"/>
      <w:lvlText w:val=""/>
      <w:lvlJc w:val="left"/>
      <w:pPr>
        <w:tabs>
          <w:tab w:val="num" w:pos="5040"/>
        </w:tabs>
        <w:ind w:left="5040" w:hanging="360"/>
      </w:pPr>
      <w:rPr>
        <w:rFonts w:ascii="Symbol" w:hAnsi="Symbol" w:hint="default"/>
      </w:rPr>
    </w:lvl>
    <w:lvl w:ilvl="7" w:tplc="200A8A7A" w:tentative="1">
      <w:start w:val="1"/>
      <w:numFmt w:val="bullet"/>
      <w:lvlText w:val="o"/>
      <w:lvlJc w:val="left"/>
      <w:pPr>
        <w:tabs>
          <w:tab w:val="num" w:pos="5760"/>
        </w:tabs>
        <w:ind w:left="5760" w:hanging="360"/>
      </w:pPr>
      <w:rPr>
        <w:rFonts w:ascii="Courier New" w:hAnsi="Courier New" w:hint="default"/>
      </w:rPr>
    </w:lvl>
    <w:lvl w:ilvl="8" w:tplc="F2B6C1A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50844F2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3F36513A" w:tentative="1">
      <w:start w:val="1"/>
      <w:numFmt w:val="bullet"/>
      <w:lvlText w:val="o"/>
      <w:lvlJc w:val="left"/>
      <w:pPr>
        <w:tabs>
          <w:tab w:val="num" w:pos="1440"/>
        </w:tabs>
        <w:ind w:left="1440" w:hanging="360"/>
      </w:pPr>
      <w:rPr>
        <w:rFonts w:ascii="Courier New" w:hAnsi="Courier New" w:hint="default"/>
      </w:rPr>
    </w:lvl>
    <w:lvl w:ilvl="2" w:tplc="82208592" w:tentative="1">
      <w:start w:val="1"/>
      <w:numFmt w:val="bullet"/>
      <w:lvlText w:val=""/>
      <w:lvlJc w:val="left"/>
      <w:pPr>
        <w:tabs>
          <w:tab w:val="num" w:pos="2160"/>
        </w:tabs>
        <w:ind w:left="2160" w:hanging="360"/>
      </w:pPr>
      <w:rPr>
        <w:rFonts w:ascii="Wingdings" w:hAnsi="Wingdings" w:hint="default"/>
      </w:rPr>
    </w:lvl>
    <w:lvl w:ilvl="3" w:tplc="90347F50" w:tentative="1">
      <w:start w:val="1"/>
      <w:numFmt w:val="bullet"/>
      <w:lvlText w:val=""/>
      <w:lvlJc w:val="left"/>
      <w:pPr>
        <w:tabs>
          <w:tab w:val="num" w:pos="2880"/>
        </w:tabs>
        <w:ind w:left="2880" w:hanging="360"/>
      </w:pPr>
      <w:rPr>
        <w:rFonts w:ascii="Symbol" w:hAnsi="Symbol" w:hint="default"/>
      </w:rPr>
    </w:lvl>
    <w:lvl w:ilvl="4" w:tplc="B942D20E" w:tentative="1">
      <w:start w:val="1"/>
      <w:numFmt w:val="bullet"/>
      <w:lvlText w:val="o"/>
      <w:lvlJc w:val="left"/>
      <w:pPr>
        <w:tabs>
          <w:tab w:val="num" w:pos="3600"/>
        </w:tabs>
        <w:ind w:left="3600" w:hanging="360"/>
      </w:pPr>
      <w:rPr>
        <w:rFonts w:ascii="Courier New" w:hAnsi="Courier New" w:hint="default"/>
      </w:rPr>
    </w:lvl>
    <w:lvl w:ilvl="5" w:tplc="0D8E44C6" w:tentative="1">
      <w:start w:val="1"/>
      <w:numFmt w:val="bullet"/>
      <w:lvlText w:val=""/>
      <w:lvlJc w:val="left"/>
      <w:pPr>
        <w:tabs>
          <w:tab w:val="num" w:pos="4320"/>
        </w:tabs>
        <w:ind w:left="4320" w:hanging="360"/>
      </w:pPr>
      <w:rPr>
        <w:rFonts w:ascii="Wingdings" w:hAnsi="Wingdings" w:hint="default"/>
      </w:rPr>
    </w:lvl>
    <w:lvl w:ilvl="6" w:tplc="CD502AB8" w:tentative="1">
      <w:start w:val="1"/>
      <w:numFmt w:val="bullet"/>
      <w:lvlText w:val=""/>
      <w:lvlJc w:val="left"/>
      <w:pPr>
        <w:tabs>
          <w:tab w:val="num" w:pos="5040"/>
        </w:tabs>
        <w:ind w:left="5040" w:hanging="360"/>
      </w:pPr>
      <w:rPr>
        <w:rFonts w:ascii="Symbol" w:hAnsi="Symbol" w:hint="default"/>
      </w:rPr>
    </w:lvl>
    <w:lvl w:ilvl="7" w:tplc="31281CE0" w:tentative="1">
      <w:start w:val="1"/>
      <w:numFmt w:val="bullet"/>
      <w:lvlText w:val="o"/>
      <w:lvlJc w:val="left"/>
      <w:pPr>
        <w:tabs>
          <w:tab w:val="num" w:pos="5760"/>
        </w:tabs>
        <w:ind w:left="5760" w:hanging="360"/>
      </w:pPr>
      <w:rPr>
        <w:rFonts w:ascii="Courier New" w:hAnsi="Courier New" w:hint="default"/>
      </w:rPr>
    </w:lvl>
    <w:lvl w:ilvl="8" w:tplc="2F761BD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BD7CB55E">
      <w:start w:val="1"/>
      <w:numFmt w:val="bullet"/>
      <w:pStyle w:val="Bullet2G"/>
      <w:lvlText w:val="•"/>
      <w:lvlJc w:val="left"/>
      <w:pPr>
        <w:tabs>
          <w:tab w:val="num" w:pos="2268"/>
        </w:tabs>
        <w:ind w:left="2268" w:hanging="170"/>
      </w:pPr>
      <w:rPr>
        <w:rFonts w:ascii="Times New Roman" w:hAnsi="Times New Roman" w:cs="Times New Roman" w:hint="default"/>
      </w:rPr>
    </w:lvl>
    <w:lvl w:ilvl="1" w:tplc="8C646FC4" w:tentative="1">
      <w:start w:val="1"/>
      <w:numFmt w:val="bullet"/>
      <w:lvlText w:val="o"/>
      <w:lvlJc w:val="left"/>
      <w:pPr>
        <w:tabs>
          <w:tab w:val="num" w:pos="3708"/>
        </w:tabs>
        <w:ind w:left="3708" w:hanging="360"/>
      </w:pPr>
      <w:rPr>
        <w:rFonts w:ascii="Courier New" w:hAnsi="Courier New" w:hint="default"/>
      </w:rPr>
    </w:lvl>
    <w:lvl w:ilvl="2" w:tplc="27A09F54" w:tentative="1">
      <w:start w:val="1"/>
      <w:numFmt w:val="bullet"/>
      <w:lvlText w:val=""/>
      <w:lvlJc w:val="left"/>
      <w:pPr>
        <w:tabs>
          <w:tab w:val="num" w:pos="4428"/>
        </w:tabs>
        <w:ind w:left="4428" w:hanging="360"/>
      </w:pPr>
      <w:rPr>
        <w:rFonts w:ascii="Wingdings" w:hAnsi="Wingdings" w:hint="default"/>
      </w:rPr>
    </w:lvl>
    <w:lvl w:ilvl="3" w:tplc="D3CCCB7C" w:tentative="1">
      <w:start w:val="1"/>
      <w:numFmt w:val="bullet"/>
      <w:lvlText w:val=""/>
      <w:lvlJc w:val="left"/>
      <w:pPr>
        <w:tabs>
          <w:tab w:val="num" w:pos="5148"/>
        </w:tabs>
        <w:ind w:left="5148" w:hanging="360"/>
      </w:pPr>
      <w:rPr>
        <w:rFonts w:ascii="Symbol" w:hAnsi="Symbol" w:hint="default"/>
      </w:rPr>
    </w:lvl>
    <w:lvl w:ilvl="4" w:tplc="FF342092" w:tentative="1">
      <w:start w:val="1"/>
      <w:numFmt w:val="bullet"/>
      <w:lvlText w:val="o"/>
      <w:lvlJc w:val="left"/>
      <w:pPr>
        <w:tabs>
          <w:tab w:val="num" w:pos="5868"/>
        </w:tabs>
        <w:ind w:left="5868" w:hanging="360"/>
      </w:pPr>
      <w:rPr>
        <w:rFonts w:ascii="Courier New" w:hAnsi="Courier New" w:hint="default"/>
      </w:rPr>
    </w:lvl>
    <w:lvl w:ilvl="5" w:tplc="EE90C838" w:tentative="1">
      <w:start w:val="1"/>
      <w:numFmt w:val="bullet"/>
      <w:lvlText w:val=""/>
      <w:lvlJc w:val="left"/>
      <w:pPr>
        <w:tabs>
          <w:tab w:val="num" w:pos="6588"/>
        </w:tabs>
        <w:ind w:left="6588" w:hanging="360"/>
      </w:pPr>
      <w:rPr>
        <w:rFonts w:ascii="Wingdings" w:hAnsi="Wingdings" w:hint="default"/>
      </w:rPr>
    </w:lvl>
    <w:lvl w:ilvl="6" w:tplc="A9C8DBA6" w:tentative="1">
      <w:start w:val="1"/>
      <w:numFmt w:val="bullet"/>
      <w:lvlText w:val=""/>
      <w:lvlJc w:val="left"/>
      <w:pPr>
        <w:tabs>
          <w:tab w:val="num" w:pos="7308"/>
        </w:tabs>
        <w:ind w:left="7308" w:hanging="360"/>
      </w:pPr>
      <w:rPr>
        <w:rFonts w:ascii="Symbol" w:hAnsi="Symbol" w:hint="default"/>
      </w:rPr>
    </w:lvl>
    <w:lvl w:ilvl="7" w:tplc="2C1485B4" w:tentative="1">
      <w:start w:val="1"/>
      <w:numFmt w:val="bullet"/>
      <w:lvlText w:val="o"/>
      <w:lvlJc w:val="left"/>
      <w:pPr>
        <w:tabs>
          <w:tab w:val="num" w:pos="8028"/>
        </w:tabs>
        <w:ind w:left="8028" w:hanging="360"/>
      </w:pPr>
      <w:rPr>
        <w:rFonts w:ascii="Courier New" w:hAnsi="Courier New" w:hint="default"/>
      </w:rPr>
    </w:lvl>
    <w:lvl w:ilvl="8" w:tplc="E10C11A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6B0B0A"/>
    <w:multiLevelType w:val="hybridMultilevel"/>
    <w:tmpl w:val="FACAB956"/>
    <w:lvl w:ilvl="0" w:tplc="08090015">
      <w:start w:val="1"/>
      <w:numFmt w:val="upp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900732"/>
    <w:multiLevelType w:val="hybridMultilevel"/>
    <w:tmpl w:val="3A9E084E"/>
    <w:lvl w:ilvl="0" w:tplc="1348EE6C">
      <w:start w:val="1"/>
      <w:numFmt w:val="decimal"/>
      <w:lvlText w:val="%1."/>
      <w:lvlJc w:val="left"/>
      <w:pPr>
        <w:ind w:left="1854" w:hanging="360"/>
      </w:pPr>
      <w:rPr>
        <w:rFonts w:ascii="Times New Roman" w:hAnsi="Times New Roman" w:cs="Times New Roman" w:hint="default"/>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E7A663B4">
      <w:start w:val="1"/>
      <w:numFmt w:val="bullet"/>
      <w:pStyle w:val="Bullet1G"/>
      <w:lvlText w:val="•"/>
      <w:lvlJc w:val="left"/>
      <w:pPr>
        <w:tabs>
          <w:tab w:val="num" w:pos="1701"/>
        </w:tabs>
        <w:ind w:left="1701" w:hanging="170"/>
      </w:pPr>
      <w:rPr>
        <w:rFonts w:ascii="Times New Roman" w:hAnsi="Times New Roman" w:cs="Times New Roman" w:hint="default"/>
      </w:rPr>
    </w:lvl>
    <w:lvl w:ilvl="1" w:tplc="5B66BA46" w:tentative="1">
      <w:start w:val="1"/>
      <w:numFmt w:val="bullet"/>
      <w:lvlText w:val="o"/>
      <w:lvlJc w:val="left"/>
      <w:pPr>
        <w:tabs>
          <w:tab w:val="num" w:pos="3141"/>
        </w:tabs>
        <w:ind w:left="3141" w:hanging="360"/>
      </w:pPr>
      <w:rPr>
        <w:rFonts w:ascii="Courier New" w:hAnsi="Courier New" w:hint="default"/>
      </w:rPr>
    </w:lvl>
    <w:lvl w:ilvl="2" w:tplc="C66A5E4A" w:tentative="1">
      <w:start w:val="1"/>
      <w:numFmt w:val="bullet"/>
      <w:lvlText w:val=""/>
      <w:lvlJc w:val="left"/>
      <w:pPr>
        <w:tabs>
          <w:tab w:val="num" w:pos="3861"/>
        </w:tabs>
        <w:ind w:left="3861" w:hanging="360"/>
      </w:pPr>
      <w:rPr>
        <w:rFonts w:ascii="Wingdings" w:hAnsi="Wingdings" w:hint="default"/>
      </w:rPr>
    </w:lvl>
    <w:lvl w:ilvl="3" w:tplc="CADE5C82" w:tentative="1">
      <w:start w:val="1"/>
      <w:numFmt w:val="bullet"/>
      <w:lvlText w:val=""/>
      <w:lvlJc w:val="left"/>
      <w:pPr>
        <w:tabs>
          <w:tab w:val="num" w:pos="4581"/>
        </w:tabs>
        <w:ind w:left="4581" w:hanging="360"/>
      </w:pPr>
      <w:rPr>
        <w:rFonts w:ascii="Symbol" w:hAnsi="Symbol" w:hint="default"/>
      </w:rPr>
    </w:lvl>
    <w:lvl w:ilvl="4" w:tplc="6B6226F0" w:tentative="1">
      <w:start w:val="1"/>
      <w:numFmt w:val="bullet"/>
      <w:lvlText w:val="o"/>
      <w:lvlJc w:val="left"/>
      <w:pPr>
        <w:tabs>
          <w:tab w:val="num" w:pos="5301"/>
        </w:tabs>
        <w:ind w:left="5301" w:hanging="360"/>
      </w:pPr>
      <w:rPr>
        <w:rFonts w:ascii="Courier New" w:hAnsi="Courier New" w:hint="default"/>
      </w:rPr>
    </w:lvl>
    <w:lvl w:ilvl="5" w:tplc="33943BEA" w:tentative="1">
      <w:start w:val="1"/>
      <w:numFmt w:val="bullet"/>
      <w:lvlText w:val=""/>
      <w:lvlJc w:val="left"/>
      <w:pPr>
        <w:tabs>
          <w:tab w:val="num" w:pos="6021"/>
        </w:tabs>
        <w:ind w:left="6021" w:hanging="360"/>
      </w:pPr>
      <w:rPr>
        <w:rFonts w:ascii="Wingdings" w:hAnsi="Wingdings" w:hint="default"/>
      </w:rPr>
    </w:lvl>
    <w:lvl w:ilvl="6" w:tplc="DBF4C1FC" w:tentative="1">
      <w:start w:val="1"/>
      <w:numFmt w:val="bullet"/>
      <w:lvlText w:val=""/>
      <w:lvlJc w:val="left"/>
      <w:pPr>
        <w:tabs>
          <w:tab w:val="num" w:pos="6741"/>
        </w:tabs>
        <w:ind w:left="6741" w:hanging="360"/>
      </w:pPr>
      <w:rPr>
        <w:rFonts w:ascii="Symbol" w:hAnsi="Symbol" w:hint="default"/>
      </w:rPr>
    </w:lvl>
    <w:lvl w:ilvl="7" w:tplc="9990A2BE" w:tentative="1">
      <w:start w:val="1"/>
      <w:numFmt w:val="bullet"/>
      <w:lvlText w:val="o"/>
      <w:lvlJc w:val="left"/>
      <w:pPr>
        <w:tabs>
          <w:tab w:val="num" w:pos="7461"/>
        </w:tabs>
        <w:ind w:left="7461" w:hanging="360"/>
      </w:pPr>
      <w:rPr>
        <w:rFonts w:ascii="Courier New" w:hAnsi="Courier New" w:hint="default"/>
      </w:rPr>
    </w:lvl>
    <w:lvl w:ilvl="8" w:tplc="03763DC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C316C16"/>
    <w:multiLevelType w:val="hybridMultilevel"/>
    <w:tmpl w:val="CE729F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AE37E9"/>
    <w:multiLevelType w:val="hybridMultilevel"/>
    <w:tmpl w:val="91748366"/>
    <w:lvl w:ilvl="0" w:tplc="FFFFFFFF">
      <w:start w:val="1"/>
      <w:numFmt w:val="decimal"/>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5227901">
    <w:abstractNumId w:val="21"/>
  </w:num>
  <w:num w:numId="2" w16cid:durableId="3871367">
    <w:abstractNumId w:val="15"/>
  </w:num>
  <w:num w:numId="3" w16cid:durableId="291526153">
    <w:abstractNumId w:val="11"/>
  </w:num>
  <w:num w:numId="4" w16cid:durableId="368382667">
    <w:abstractNumId w:val="8"/>
  </w:num>
  <w:num w:numId="5" w16cid:durableId="1629122508">
    <w:abstractNumId w:val="3"/>
  </w:num>
  <w:num w:numId="6" w16cid:durableId="625895362">
    <w:abstractNumId w:val="2"/>
  </w:num>
  <w:num w:numId="7" w16cid:durableId="124324084">
    <w:abstractNumId w:val="1"/>
  </w:num>
  <w:num w:numId="8" w16cid:durableId="919750341">
    <w:abstractNumId w:val="0"/>
  </w:num>
  <w:num w:numId="9" w16cid:durableId="1527331660">
    <w:abstractNumId w:val="9"/>
  </w:num>
  <w:num w:numId="10" w16cid:durableId="1771311246">
    <w:abstractNumId w:val="7"/>
  </w:num>
  <w:num w:numId="11" w16cid:durableId="1186868386">
    <w:abstractNumId w:val="6"/>
  </w:num>
  <w:num w:numId="12" w16cid:durableId="1973364429">
    <w:abstractNumId w:val="5"/>
  </w:num>
  <w:num w:numId="13" w16cid:durableId="69890017">
    <w:abstractNumId w:val="4"/>
  </w:num>
  <w:num w:numId="14" w16cid:durableId="2107995483">
    <w:abstractNumId w:val="14"/>
  </w:num>
  <w:num w:numId="15" w16cid:durableId="1338996173">
    <w:abstractNumId w:val="13"/>
  </w:num>
  <w:num w:numId="16" w16cid:durableId="1461656355">
    <w:abstractNumId w:val="10"/>
  </w:num>
  <w:num w:numId="17" w16cid:durableId="299111900">
    <w:abstractNumId w:val="19"/>
  </w:num>
  <w:num w:numId="18" w16cid:durableId="436213553">
    <w:abstractNumId w:val="20"/>
  </w:num>
  <w:num w:numId="19" w16cid:durableId="1548222580">
    <w:abstractNumId w:val="18"/>
  </w:num>
  <w:num w:numId="20" w16cid:durableId="1674839851">
    <w:abstractNumId w:val="24"/>
  </w:num>
  <w:num w:numId="21" w16cid:durableId="361975723">
    <w:abstractNumId w:val="21"/>
  </w:num>
  <w:num w:numId="22" w16cid:durableId="1235431645">
    <w:abstractNumId w:val="15"/>
  </w:num>
  <w:num w:numId="23" w16cid:durableId="410740638">
    <w:abstractNumId w:val="11"/>
  </w:num>
  <w:num w:numId="24" w16cid:durableId="382755624">
    <w:abstractNumId w:val="16"/>
  </w:num>
  <w:num w:numId="25" w16cid:durableId="1714962771">
    <w:abstractNumId w:val="17"/>
  </w:num>
  <w:num w:numId="26" w16cid:durableId="1696347048">
    <w:abstractNumId w:val="22"/>
  </w:num>
  <w:num w:numId="27" w16cid:durableId="1819032089">
    <w:abstractNumId w:val="12"/>
  </w:num>
  <w:num w:numId="28" w16cid:durableId="78539341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34B"/>
    <w:rsid w:val="001176D0"/>
    <w:rsid w:val="00127974"/>
    <w:rsid w:val="00252149"/>
    <w:rsid w:val="002844C7"/>
    <w:rsid w:val="002A18C2"/>
    <w:rsid w:val="00303E6C"/>
    <w:rsid w:val="00372C86"/>
    <w:rsid w:val="00385E11"/>
    <w:rsid w:val="003E362A"/>
    <w:rsid w:val="003E4888"/>
    <w:rsid w:val="00492D27"/>
    <w:rsid w:val="0050731B"/>
    <w:rsid w:val="005B7CEF"/>
    <w:rsid w:val="00651C3F"/>
    <w:rsid w:val="006A7F44"/>
    <w:rsid w:val="006C23FA"/>
    <w:rsid w:val="00750C90"/>
    <w:rsid w:val="007A2056"/>
    <w:rsid w:val="008446AA"/>
    <w:rsid w:val="008C3EA5"/>
    <w:rsid w:val="008C6371"/>
    <w:rsid w:val="00921159"/>
    <w:rsid w:val="009333A7"/>
    <w:rsid w:val="00940871"/>
    <w:rsid w:val="00962003"/>
    <w:rsid w:val="009A139F"/>
    <w:rsid w:val="00A63FB7"/>
    <w:rsid w:val="00AF434B"/>
    <w:rsid w:val="00B12E12"/>
    <w:rsid w:val="00C82B37"/>
    <w:rsid w:val="00CF61A7"/>
    <w:rsid w:val="00D9529C"/>
    <w:rsid w:val="00F27CE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B97BE"/>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4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tref,BVI fnr,Знак сноски 1,(NECG) Footnote Reference,16 Point,Superscript 6 Point,fr,Footnote + Arial,10 pt,Black,Fußnotenzeichen DISS,Superscript 6 Point + 11 pt,Footnote Ref in FtNote,FnR-ANZDEC,de nota al pie,Ref,SUPERS,ftref1"/>
    <w:basedOn w:val="DefaultParagraphFont"/>
    <w:link w:val="Char2"/>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FOOTNOTES,fn,single space,KN Footnote Text - Country Study,Footnote Text Char1,Footnote Text Char Char,ft,Footnote Text Char Char Char Char Char Char Char Char Char Char,Footnote Text2,ft2,footnote text,Footnote text,single spacing,f"/>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S Char,fn Char,single space Char,KN Footnote Text - Country Study Char,Footnote Text Char1 Char,Footnote Text Char Char Char,ft Char,Footnote Text Char Char Char Char Char Char Char Char Char Char Char"/>
    <w:basedOn w:val="DefaultParagraphFont"/>
    <w:link w:val="FootnoteText"/>
    <w:uiPriority w:val="99"/>
    <w:qForma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OCHeading">
    <w:name w:val="TOC Heading"/>
    <w:basedOn w:val="Heading1"/>
    <w:next w:val="Normal"/>
    <w:uiPriority w:val="39"/>
    <w:unhideWhenUsed/>
    <w:qFormat/>
    <w:rsid w:val="0050731B"/>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50731B"/>
    <w:pPr>
      <w:spacing w:after="100"/>
    </w:pPr>
  </w:style>
  <w:style w:type="numbering" w:customStyle="1" w:styleId="NoList1">
    <w:name w:val="No List1"/>
    <w:next w:val="NoList"/>
    <w:uiPriority w:val="99"/>
    <w:semiHidden/>
    <w:unhideWhenUsed/>
    <w:rsid w:val="0050731B"/>
  </w:style>
  <w:style w:type="paragraph" w:styleId="TOC2">
    <w:name w:val="toc 2"/>
    <w:basedOn w:val="Normal"/>
    <w:next w:val="Normal"/>
    <w:uiPriority w:val="39"/>
    <w:rsid w:val="0050731B"/>
    <w:pPr>
      <w:suppressAutoHyphens w:val="0"/>
      <w:spacing w:after="100" w:line="240" w:lineRule="auto"/>
      <w:ind w:left="240"/>
    </w:pPr>
    <w:rPr>
      <w:rFonts w:ascii="Cambria" w:eastAsia="MS Mincho" w:hAnsi="Cambria"/>
      <w:sz w:val="24"/>
      <w:szCs w:val="24"/>
    </w:rPr>
  </w:style>
  <w:style w:type="paragraph" w:styleId="ListParagraph">
    <w:name w:val="List Paragraph"/>
    <w:basedOn w:val="Normal"/>
    <w:link w:val="ListParagraphChar"/>
    <w:uiPriority w:val="34"/>
    <w:qFormat/>
    <w:rsid w:val="0050731B"/>
    <w:pPr>
      <w:suppressAutoHyphens w:val="0"/>
      <w:spacing w:line="240" w:lineRule="auto"/>
      <w:ind w:left="720"/>
      <w:contextualSpacing/>
    </w:pPr>
    <w:rPr>
      <w:rFonts w:ascii="Cambria" w:eastAsia="MS Mincho" w:hAnsi="Cambria"/>
      <w:sz w:val="24"/>
      <w:szCs w:val="24"/>
    </w:rPr>
  </w:style>
  <w:style w:type="character" w:customStyle="1" w:styleId="ListParagraphChar">
    <w:name w:val="List Paragraph Char"/>
    <w:basedOn w:val="DefaultParagraphFont"/>
    <w:link w:val="ListParagraph"/>
    <w:uiPriority w:val="34"/>
    <w:rsid w:val="0050731B"/>
    <w:rPr>
      <w:rFonts w:ascii="Cambria" w:eastAsia="MS Mincho" w:hAnsi="Cambria" w:cs="Times New Roman"/>
      <w:sz w:val="24"/>
      <w:szCs w:val="24"/>
      <w:lang w:val="en-GB"/>
    </w:rPr>
  </w:style>
  <w:style w:type="paragraph" w:styleId="NormalWeb">
    <w:name w:val="Normal (Web)"/>
    <w:basedOn w:val="Normal"/>
    <w:uiPriority w:val="99"/>
    <w:rsid w:val="0050731B"/>
    <w:pPr>
      <w:suppressAutoHyphens w:val="0"/>
      <w:spacing w:before="100" w:beforeAutospacing="1" w:after="100" w:afterAutospacing="1" w:line="240" w:lineRule="auto"/>
    </w:pPr>
    <w:rPr>
      <w:sz w:val="24"/>
      <w:szCs w:val="24"/>
      <w:lang w:val="en-US"/>
    </w:rPr>
  </w:style>
  <w:style w:type="character" w:styleId="CommentReference">
    <w:name w:val="annotation reference"/>
    <w:basedOn w:val="DefaultParagraphFont"/>
    <w:uiPriority w:val="99"/>
    <w:rsid w:val="0050731B"/>
    <w:rPr>
      <w:sz w:val="16"/>
      <w:szCs w:val="16"/>
    </w:rPr>
  </w:style>
  <w:style w:type="paragraph" w:styleId="CommentText">
    <w:name w:val="annotation text"/>
    <w:basedOn w:val="Normal"/>
    <w:link w:val="CommentTextChar"/>
    <w:uiPriority w:val="99"/>
    <w:rsid w:val="0050731B"/>
    <w:pPr>
      <w:suppressAutoHyphens w:val="0"/>
      <w:spacing w:line="240" w:lineRule="auto"/>
    </w:pPr>
    <w:rPr>
      <w:rFonts w:ascii="Cambria" w:eastAsia="MS Mincho" w:hAnsi="Cambria"/>
    </w:rPr>
  </w:style>
  <w:style w:type="character" w:customStyle="1" w:styleId="CommentTextChar">
    <w:name w:val="Comment Text Char"/>
    <w:basedOn w:val="DefaultParagraphFont"/>
    <w:link w:val="CommentText"/>
    <w:uiPriority w:val="99"/>
    <w:rsid w:val="0050731B"/>
    <w:rPr>
      <w:rFonts w:ascii="Cambria" w:eastAsia="MS Mincho" w:hAnsi="Cambria" w:cs="Times New Roman"/>
      <w:sz w:val="20"/>
      <w:szCs w:val="20"/>
      <w:lang w:val="en-GB"/>
    </w:rPr>
  </w:style>
  <w:style w:type="paragraph" w:styleId="CommentSubject">
    <w:name w:val="annotation subject"/>
    <w:basedOn w:val="CommentText"/>
    <w:next w:val="CommentText"/>
    <w:link w:val="CommentSubjectChar"/>
    <w:uiPriority w:val="99"/>
    <w:rsid w:val="0050731B"/>
    <w:rPr>
      <w:b/>
      <w:bCs/>
    </w:rPr>
  </w:style>
  <w:style w:type="character" w:customStyle="1" w:styleId="CommentSubjectChar">
    <w:name w:val="Comment Subject Char"/>
    <w:basedOn w:val="CommentTextChar"/>
    <w:link w:val="CommentSubject"/>
    <w:uiPriority w:val="99"/>
    <w:rsid w:val="0050731B"/>
    <w:rPr>
      <w:rFonts w:ascii="Cambria" w:eastAsia="MS Mincho" w:hAnsi="Cambria" w:cs="Times New Roman"/>
      <w:b/>
      <w:bCs/>
      <w:sz w:val="20"/>
      <w:szCs w:val="20"/>
      <w:lang w:val="en-GB"/>
    </w:rPr>
  </w:style>
  <w:style w:type="paragraph" w:styleId="Caption">
    <w:name w:val="caption"/>
    <w:basedOn w:val="Normal"/>
    <w:next w:val="Normal"/>
    <w:uiPriority w:val="35"/>
    <w:qFormat/>
    <w:rsid w:val="0050731B"/>
    <w:pPr>
      <w:suppressAutoHyphens w:val="0"/>
      <w:spacing w:after="200" w:line="240" w:lineRule="auto"/>
    </w:pPr>
    <w:rPr>
      <w:rFonts w:ascii="Cambria" w:eastAsia="MS Mincho" w:hAnsi="Cambria"/>
      <w:i/>
      <w:iCs/>
      <w:color w:val="44546A"/>
      <w:sz w:val="18"/>
      <w:szCs w:val="18"/>
    </w:rPr>
  </w:style>
  <w:style w:type="character" w:customStyle="1" w:styleId="hgkelc">
    <w:name w:val="hgkelc"/>
    <w:basedOn w:val="DefaultParagraphFont"/>
    <w:rsid w:val="0050731B"/>
  </w:style>
  <w:style w:type="paragraph" w:styleId="TableofFigures">
    <w:name w:val="table of figures"/>
    <w:basedOn w:val="Normal"/>
    <w:next w:val="Normal"/>
    <w:uiPriority w:val="99"/>
    <w:rsid w:val="0050731B"/>
    <w:pPr>
      <w:suppressAutoHyphens w:val="0"/>
      <w:spacing w:line="240" w:lineRule="auto"/>
    </w:pPr>
    <w:rPr>
      <w:rFonts w:ascii="Cambria" w:eastAsia="MS Mincho" w:hAnsi="Cambria"/>
      <w:sz w:val="24"/>
      <w:szCs w:val="24"/>
    </w:rPr>
  </w:style>
  <w:style w:type="paragraph" w:customStyle="1" w:styleId="Char2">
    <w:name w:val="Char2"/>
    <w:basedOn w:val="Normal"/>
    <w:link w:val="FootnoteReference"/>
    <w:uiPriority w:val="99"/>
    <w:rsid w:val="0050731B"/>
    <w:pPr>
      <w:suppressAutoHyphens w:val="0"/>
      <w:spacing w:after="160" w:line="240" w:lineRule="exact"/>
    </w:pPr>
    <w:rPr>
      <w:rFonts w:eastAsiaTheme="minorHAnsi" w:cstheme="minorBidi"/>
      <w:sz w:val="18"/>
      <w:szCs w:val="22"/>
      <w:vertAlign w:val="superscript"/>
    </w:rPr>
  </w:style>
  <w:style w:type="character" w:styleId="Strong">
    <w:name w:val="Strong"/>
    <w:basedOn w:val="DefaultParagraphFont"/>
    <w:uiPriority w:val="22"/>
    <w:qFormat/>
    <w:rsid w:val="0050731B"/>
    <w:rPr>
      <w:b/>
      <w:bCs/>
    </w:rPr>
  </w:style>
  <w:style w:type="character" w:customStyle="1" w:styleId="authors">
    <w:name w:val="authors"/>
    <w:basedOn w:val="DefaultParagraphFont"/>
    <w:rsid w:val="0050731B"/>
  </w:style>
  <w:style w:type="character" w:customStyle="1" w:styleId="Date1">
    <w:name w:val="Date1"/>
    <w:basedOn w:val="DefaultParagraphFont"/>
    <w:rsid w:val="0050731B"/>
  </w:style>
  <w:style w:type="character" w:customStyle="1" w:styleId="arttitle">
    <w:name w:val="art_title"/>
    <w:basedOn w:val="DefaultParagraphFont"/>
    <w:rsid w:val="0050731B"/>
  </w:style>
  <w:style w:type="character" w:customStyle="1" w:styleId="serialtitle">
    <w:name w:val="serial_title"/>
    <w:basedOn w:val="DefaultParagraphFont"/>
    <w:rsid w:val="0050731B"/>
  </w:style>
  <w:style w:type="character" w:customStyle="1" w:styleId="volumeissue">
    <w:name w:val="volume_issue"/>
    <w:basedOn w:val="DefaultParagraphFont"/>
    <w:rsid w:val="0050731B"/>
  </w:style>
  <w:style w:type="character" w:customStyle="1" w:styleId="pagerange">
    <w:name w:val="page_range"/>
    <w:basedOn w:val="DefaultParagraphFont"/>
    <w:rsid w:val="0050731B"/>
  </w:style>
  <w:style w:type="character" w:customStyle="1" w:styleId="doilink">
    <w:name w:val="doi_link"/>
    <w:basedOn w:val="DefaultParagraphFont"/>
    <w:rsid w:val="0050731B"/>
  </w:style>
  <w:style w:type="paragraph" w:styleId="Revision">
    <w:name w:val="Revision"/>
    <w:uiPriority w:val="99"/>
    <w:rsid w:val="0050731B"/>
    <w:pPr>
      <w:spacing w:after="0" w:line="240" w:lineRule="auto"/>
    </w:pPr>
    <w:rPr>
      <w:rFonts w:ascii="Cambria" w:eastAsia="MS Mincho" w:hAnsi="Cambria" w:cs="Times New Roman"/>
      <w:sz w:val="24"/>
      <w:szCs w:val="24"/>
      <w:lang w:val="en-GB"/>
    </w:rPr>
  </w:style>
  <w:style w:type="character" w:customStyle="1" w:styleId="UnresolvedMention1">
    <w:name w:val="Unresolved Mention1"/>
    <w:basedOn w:val="DefaultParagraphFont"/>
    <w:uiPriority w:val="99"/>
    <w:rsid w:val="0050731B"/>
    <w:rPr>
      <w:color w:val="605E5C"/>
      <w:shd w:val="clear" w:color="auto" w:fill="E1DFDD"/>
    </w:rPr>
  </w:style>
  <w:style w:type="character" w:customStyle="1" w:styleId="UnresolvedMention2">
    <w:name w:val="Unresolved Mention2"/>
    <w:basedOn w:val="DefaultParagraphFont"/>
    <w:uiPriority w:val="99"/>
    <w:semiHidden/>
    <w:unhideWhenUsed/>
    <w:rsid w:val="0050731B"/>
    <w:rPr>
      <w:color w:val="605E5C"/>
      <w:shd w:val="clear" w:color="auto" w:fill="E1DFDD"/>
    </w:rPr>
  </w:style>
  <w:style w:type="paragraph" w:styleId="NoSpacing">
    <w:name w:val="No Spacing"/>
    <w:uiPriority w:val="1"/>
    <w:qFormat/>
    <w:rsid w:val="0050731B"/>
    <w:pPr>
      <w:spacing w:after="0" w:line="240" w:lineRule="auto"/>
    </w:pPr>
    <w:rPr>
      <w:rFonts w:ascii="Cambria" w:eastAsia="MS Mincho" w:hAnsi="Cambria" w:cs="Times New Roman"/>
      <w:sz w:val="24"/>
      <w:szCs w:val="24"/>
      <w:lang w:val="en-GB"/>
    </w:rPr>
  </w:style>
  <w:style w:type="character" w:styleId="Emphasis">
    <w:name w:val="Emphasis"/>
    <w:basedOn w:val="DefaultParagraphFont"/>
    <w:uiPriority w:val="20"/>
    <w:qFormat/>
    <w:rsid w:val="0050731B"/>
    <w:rPr>
      <w:i/>
      <w:iCs/>
    </w:rPr>
  </w:style>
  <w:style w:type="table" w:customStyle="1" w:styleId="TableGrid2">
    <w:name w:val="Table Grid2"/>
    <w:basedOn w:val="TableNormal"/>
    <w:next w:val="TableGrid"/>
    <w:uiPriority w:val="39"/>
    <w:rsid w:val="0050731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50731B"/>
    <w:rPr>
      <w:color w:val="605E5C"/>
      <w:shd w:val="clear" w:color="auto" w:fill="E1DFDD"/>
    </w:rPr>
  </w:style>
  <w:style w:type="paragraph" w:styleId="TOC3">
    <w:name w:val="toc 3"/>
    <w:basedOn w:val="Normal"/>
    <w:next w:val="Normal"/>
    <w:autoRedefine/>
    <w:uiPriority w:val="39"/>
    <w:unhideWhenUsed/>
    <w:rsid w:val="00C82B37"/>
    <w:pPr>
      <w:spacing w:after="100"/>
      <w:ind w:left="400"/>
    </w:pPr>
  </w:style>
  <w:style w:type="character" w:styleId="UnresolvedMention">
    <w:name w:val="Unresolved Mention"/>
    <w:basedOn w:val="DefaultParagraphFont"/>
    <w:uiPriority w:val="99"/>
    <w:semiHidden/>
    <w:unhideWhenUsed/>
    <w:rsid w:val="002A18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mglsd.go.ug/wp-content/uploads/2022/04/Disability-Summit-commitments-2022-1.pdf" TargetMode="External"/><Relationship Id="rId13" Type="http://schemas.openxmlformats.org/officeDocument/2006/relationships/hyperlink" Target="https://glimug.com/a-touch-of-a-button-away-nuriat-nambogos-innovation-allows-patients-to-schedule-appointments-with-doctors/" TargetMode="External"/><Relationship Id="rId18" Type="http://schemas.openxmlformats.org/officeDocument/2006/relationships/hyperlink" Target="https://www.uhrc.ug/download/23rd-annual-report/?wpdmdl=1654&amp;refresh=633c015f49d131664876895" TargetMode="External"/><Relationship Id="rId3" Type="http://schemas.openxmlformats.org/officeDocument/2006/relationships/hyperlink" Target="https://kamuli.go.ug/sites/files/UWEP%20Individual%20Form.pdf" TargetMode="External"/><Relationship Id="rId21" Type="http://schemas.openxmlformats.org/officeDocument/2006/relationships/hyperlink" Target="https://www.ucc.co.ug/draft-guidelines-for-enabling-television-access-for-persons-with-disabilities-in-uganda/" TargetMode="External"/><Relationship Id="rId7" Type="http://schemas.openxmlformats.org/officeDocument/2006/relationships/hyperlink" Target="https://mglsd.go.ug/wp-content/uploads/2021/05/The-Uganda-National-Parenting-Guideline.pdf" TargetMode="External"/><Relationship Id="rId12" Type="http://schemas.openxmlformats.org/officeDocument/2006/relationships/hyperlink" Target="https://www.ucc.co.ug/draft-guidelines-for-enabling-television-access-for-persons-with-disabilities-in-uganda/" TargetMode="External"/><Relationship Id="rId17" Type="http://schemas.openxmlformats.org/officeDocument/2006/relationships/hyperlink" Target="https://iser-uganda.org/images/downloads/ISER_Analysis_of_the_Mental_Health_Bill_2014.pdf" TargetMode="External"/><Relationship Id="rId25" Type="http://schemas.openxmlformats.org/officeDocument/2006/relationships/hyperlink" Target="https://devinit.org/documents/849/Uganda-disability-data-landscape_IF.pdf" TargetMode="External"/><Relationship Id="rId2" Type="http://schemas.openxmlformats.org/officeDocument/2006/relationships/hyperlink" Target="https://mglsd.go.ug/uwep/" TargetMode="External"/><Relationship Id="rId16" Type="http://schemas.openxmlformats.org/officeDocument/2006/relationships/hyperlink" Target="https://eoc.go.ug/eoc/wp-content/uploads/2021/10/The-8th-Annual-Report-on-the-State-of-Equal-Opportunities-in-Uganda.pdf" TargetMode="External"/><Relationship Id="rId20" Type="http://schemas.openxmlformats.org/officeDocument/2006/relationships/hyperlink" Target="https://nuwoduganda.org/gender-and-women-empowerment/" TargetMode="External"/><Relationship Id="rId1" Type="http://schemas.openxmlformats.org/officeDocument/2006/relationships/hyperlink" Target="https://thedocs.worldbank.org/en/doc/517421606767152867-0050022020/original/WBL2020DisabilityTopicNote.pdf" TargetMode="External"/><Relationship Id="rId6" Type="http://schemas.openxmlformats.org/officeDocument/2006/relationships/hyperlink" Target="https://www.newvision.co.ug/category/news/special-olympics-uganda-launch-athletics-for-135399" TargetMode="External"/><Relationship Id="rId11" Type="http://schemas.openxmlformats.org/officeDocument/2006/relationships/hyperlink" Target="https://www.ucc.co.ug/wp-content/uploads/2017/09/Final-Report-on-Access-and-Usage-of-ICTs-by-PWDs_Public-Dissemination.pdf" TargetMode="External"/><Relationship Id="rId24" Type="http://schemas.openxmlformats.org/officeDocument/2006/relationships/hyperlink" Target="https://www.wipo.int/treaties/en/notifications/marrakesh/treaty_marrakesh_38.html" TargetMode="External"/><Relationship Id="rId5" Type="http://schemas.openxmlformats.org/officeDocument/2006/relationships/hyperlink" Target="https://theirworld.org/news/uganda-children-disabilities-sports-event/" TargetMode="External"/><Relationship Id="rId15" Type="http://schemas.openxmlformats.org/officeDocument/2006/relationships/hyperlink" Target="https://www.monitor.co.ug/News/National/PWDs-petition-Katureebe-over-access-to-justice/688334-3288228-105bh1xz/index.html" TargetMode="External"/><Relationship Id="rId23" Type="http://schemas.openxmlformats.org/officeDocument/2006/relationships/hyperlink" Target="https://www.advancefamilyplanning.org/parliament-uganda-passes-national-health-insurance-scheme-bill" TargetMode="External"/><Relationship Id="rId10" Type="http://schemas.openxmlformats.org/officeDocument/2006/relationships/hyperlink" Target="https://ijnet.org/en/story/new-tv-station-uganda-creating-content-deaf-audiences" TargetMode="External"/><Relationship Id="rId19" Type="http://schemas.openxmlformats.org/officeDocument/2006/relationships/hyperlink" Target="https://www.unicef.org/uganda/stories/unicef-and-partners-train-279-police-officers-and-medical-workers" TargetMode="External"/><Relationship Id="rId4" Type="http://schemas.openxmlformats.org/officeDocument/2006/relationships/hyperlink" Target="https://eoc.go.ug/eoc/wp-content/uploads/2021/10/The-8th-Annual-Report-on-the-State-of-Equal-Opportunities-in-Uganda.pdf" TargetMode="External"/><Relationship Id="rId9" Type="http://schemas.openxmlformats.org/officeDocument/2006/relationships/hyperlink" Target="https://t.co/pGebKiVvoN" TargetMode="External"/><Relationship Id="rId14" Type="http://schemas.openxmlformats.org/officeDocument/2006/relationships/hyperlink" Target="https://reporting.unhcr.org/sites/default/files/Uganda%20Country%20RRP%202019-20%20%28January%202019%29.pdf" TargetMode="External"/><Relationship Id="rId22" Type="http://schemas.openxmlformats.org/officeDocument/2006/relationships/hyperlink" Target="https://www.senseinternational.org.uk/what-we-do/where-we-work/uga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A4F2F-7EE9-471B-B16D-1F2078F966EF}">
  <ds:schemaRefs>
    <ds:schemaRef ds:uri="http://schemas.microsoft.com/sharepoint/v3/contenttype/forms"/>
  </ds:schemaRefs>
</ds:datastoreItem>
</file>

<file path=customXml/itemProps2.xml><?xml version="1.0" encoding="utf-8"?>
<ds:datastoreItem xmlns:ds="http://schemas.openxmlformats.org/officeDocument/2006/customXml" ds:itemID="{147D30AD-675C-4FE3-A82F-7F67BF25FBB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792D8C-18E9-4229-B656-D1A6DAAB23BC}">
  <ds:schemaRefs/>
</ds:datastoreItem>
</file>

<file path=customXml/itemProps4.xml><?xml version="1.0" encoding="utf-8"?>
<ds:datastoreItem xmlns:ds="http://schemas.openxmlformats.org/officeDocument/2006/customXml" ds:itemID="{3608056E-A8C9-4908-A5CC-19836C1D1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17693</Words>
  <Characters>100851</Characters>
  <Application>Microsoft Office Word</Application>
  <DocSecurity>0</DocSecurity>
  <Lines>840</Lines>
  <Paragraphs>236</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
      <vt:lpstr/>
      <vt:lpstr/>
    </vt:vector>
  </TitlesOfParts>
  <Company>DCM</Company>
  <LinksUpToDate>false</LinksUpToDate>
  <CharactersWithSpaces>118308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Gloria</dc:creator>
  <cp:lastModifiedBy>Robert</cp:lastModifiedBy>
  <cp:revision>2</cp:revision>
  <cp:lastPrinted>2017-10-25T12:09:00Z</cp:lastPrinted>
  <dcterms:created xsi:type="dcterms:W3CDTF">2023-04-26T16:18:00Z</dcterms:created>
  <dcterms:modified xsi:type="dcterms:W3CDTF">2023-04-26T16:18:00Z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Uganda</vt:lpwstr>
  </property>
  <property fmtid="{D5CDD505-2E9C-101B-9397-08002B2CF9AE}" pid="9" name="countw">
    <vt:lpwstr>Uganda</vt:lpwstr>
  </property>
  <property fmtid="{D5CDD505-2E9C-101B-9397-08002B2CF9AE}" pid="10" name="countwd">
    <vt:lpwstr>Uganda</vt:lpwstr>
  </property>
  <property fmtid="{D5CDD505-2E9C-101B-9397-08002B2CF9AE}" pid="11" name="date">
    <vt:lpwstr>26 April 2023</vt:lpwstr>
  </property>
  <property fmtid="{D5CDD505-2E9C-101B-9397-08002B2CF9AE}" pid="12" name="Date-Generated">
    <vt:filetime>2023-04-26T14:23:26Z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173600</vt:r8>
  </property>
  <property fmtid="{D5CDD505-2E9C-101B-9397-08002B2CF9AE}" pid="22" name="Org">
    <vt:lpwstr>OHCHR</vt:lpwstr>
  </property>
  <property fmtid="{D5CDD505-2E9C-101B-9397-08002B2CF9AE}" pid="23" name="prep">
    <vt:lpwstr> combined second to fourth reports of Uganda</vt:lpwstr>
  </property>
  <property fmtid="{D5CDD505-2E9C-101B-9397-08002B2CF9AE}" pid="24" name="preps">
    <vt:lpwstr> combined second to fourth reports of Uganda</vt:lpwstr>
  </property>
  <property fmtid="{D5CDD505-2E9C-101B-9397-08002B2CF9AE}" pid="25" name="prepw">
    <vt:lpwstr> combined second to fourth reports</vt:lpwstr>
  </property>
  <property fmtid="{D5CDD505-2E9C-101B-9397-08002B2CF9AE}" pid="26" name="prepwc">
    <vt:lpwstr>Combined second to fourth reports </vt:lpwstr>
  </property>
  <property fmtid="{D5CDD505-2E9C-101B-9397-08002B2CF9AE}" pid="27" name="prepws">
    <vt:lpwstr>Combined second to fourth reports </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C/UGA/2-4</vt:lpwstr>
  </property>
  <property fmtid="{D5CDD505-2E9C-101B-9397-08002B2CF9AE}" pid="32" name="symh">
    <vt:lpwstr>CRPD/C/UGA/2-4</vt:lpwstr>
  </property>
  <property fmtid="{D5CDD505-2E9C-101B-9397-08002B2CF9AE}" pid="33" name="Title">
    <vt:lpwstr>CRPD/C/UGA/2-4</vt:lpwstr>
  </property>
  <property fmtid="{D5CDD505-2E9C-101B-9397-08002B2CF9AE}" pid="34" name="tlang">
    <vt:lpwstr/>
  </property>
  <property fmtid="{D5CDD505-2E9C-101B-9397-08002B2CF9AE}" pid="35" name="virs">
    <vt:lpwstr>Arabic, English, French and Spanish only</vt:lpwstr>
  </property>
</Properties>
</file>