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95FA8" w14:textId="77777777" w:rsidR="00CB19F8" w:rsidRDefault="00CB19F8" w:rsidP="00CB19F8">
      <w:pPr>
        <w:pStyle w:val="Title"/>
      </w:pPr>
      <w:r>
        <w:t xml:space="preserve">Action Canada for Sexual Health and Rights </w:t>
      </w:r>
    </w:p>
    <w:p w14:paraId="4C876980" w14:textId="77777777" w:rsidR="006F5C09" w:rsidRDefault="00CB19F8" w:rsidP="006F5C09">
      <w:pPr>
        <w:pStyle w:val="Subtitle"/>
      </w:pPr>
      <w:r>
        <w:t>Submission to</w:t>
      </w:r>
      <w:r w:rsidR="00DE1346">
        <w:t xml:space="preserve"> the UN</w:t>
      </w:r>
      <w:r>
        <w:t xml:space="preserve"> Committee on Econo</w:t>
      </w:r>
      <w:r w:rsidR="006F5C09">
        <w:t xml:space="preserve">mic, Social and Cultural Rights, February – March 2015 </w:t>
      </w:r>
    </w:p>
    <w:p w14:paraId="3258880C" w14:textId="182789E2" w:rsidR="00312D11" w:rsidRPr="00312D11" w:rsidRDefault="00312D11" w:rsidP="00312D11">
      <w:pPr>
        <w:pStyle w:val="Subtitle"/>
      </w:pPr>
      <w:r>
        <w:t>55</w:t>
      </w:r>
      <w:r w:rsidRPr="00312D11">
        <w:rPr>
          <w:vertAlign w:val="superscript"/>
        </w:rPr>
        <w:t>th</w:t>
      </w:r>
      <w:r>
        <w:t xml:space="preserve"> Pre-Sessional Working Group (9-13 March 2015) </w:t>
      </w:r>
    </w:p>
    <w:p w14:paraId="2D781578" w14:textId="77777777" w:rsidR="00973043" w:rsidRDefault="00973043" w:rsidP="00CB19F8">
      <w:pPr>
        <w:rPr>
          <w:b/>
        </w:rPr>
      </w:pPr>
    </w:p>
    <w:p w14:paraId="1E97BF33" w14:textId="161EB9FC" w:rsidR="00391063" w:rsidRDefault="00940C02" w:rsidP="00CB19F8">
      <w:r w:rsidRPr="00EC13F0">
        <w:rPr>
          <w:b/>
        </w:rPr>
        <w:t>Key words:</w:t>
      </w:r>
      <w:r>
        <w:t xml:space="preserve"> </w:t>
      </w:r>
      <w:r w:rsidR="0013168C">
        <w:t xml:space="preserve">access to abortion services, </w:t>
      </w:r>
      <w:r w:rsidR="00391063">
        <w:t xml:space="preserve">comprehensive sexuality education, </w:t>
      </w:r>
      <w:r w:rsidR="00AC61FC">
        <w:t>conscientious objection</w:t>
      </w:r>
    </w:p>
    <w:p w14:paraId="36A68639" w14:textId="65033522" w:rsidR="00973043" w:rsidRDefault="00973043" w:rsidP="00CB19F8"/>
    <w:p w14:paraId="07693E5B" w14:textId="1DE8E936" w:rsidR="003E7861" w:rsidRDefault="0057313C" w:rsidP="00D26804">
      <w:pPr>
        <w:pStyle w:val="ListParagraph"/>
        <w:numPr>
          <w:ilvl w:val="0"/>
          <w:numId w:val="1"/>
        </w:numPr>
      </w:pPr>
      <w:r>
        <w:t xml:space="preserve">This report is submitted by Action Canada for Sexual Health and Rights in advance </w:t>
      </w:r>
      <w:r w:rsidR="00312D11">
        <w:t>of Canada’s review during the 55</w:t>
      </w:r>
      <w:r w:rsidRPr="000C567C">
        <w:rPr>
          <w:vertAlign w:val="superscript"/>
        </w:rPr>
        <w:t>th</w:t>
      </w:r>
      <w:r w:rsidR="00312D11">
        <w:t xml:space="preserve"> Pre-Sessional working group </w:t>
      </w:r>
      <w:r>
        <w:t xml:space="preserve">of the UN Committee on </w:t>
      </w:r>
      <w:r w:rsidR="00145581">
        <w:t>Economic, Social and Cultural</w:t>
      </w:r>
      <w:r>
        <w:t xml:space="preserve">, taking place from </w:t>
      </w:r>
      <w:r w:rsidR="00312D11">
        <w:t>March 9 to 13</w:t>
      </w:r>
      <w:r>
        <w:t xml:space="preserve"> </w:t>
      </w:r>
      <w:r w:rsidR="00312D11">
        <w:t>2015</w:t>
      </w:r>
      <w:r w:rsidR="00362210">
        <w:t xml:space="preserve">, during which the list of issues will be adopted. </w:t>
      </w:r>
      <w:r>
        <w:t xml:space="preserve">The </w:t>
      </w:r>
      <w:r w:rsidR="00940C02" w:rsidRPr="00940C02">
        <w:t>report</w:t>
      </w:r>
      <w:r w:rsidR="00940C02">
        <w:t xml:space="preserve"> </w:t>
      </w:r>
      <w:r w:rsidR="00130B31">
        <w:t xml:space="preserve">examines </w:t>
      </w:r>
      <w:r w:rsidR="004E2EB8">
        <w:t xml:space="preserve">violations of articles 12 and 13 </w:t>
      </w:r>
      <w:r w:rsidR="008864AC">
        <w:t xml:space="preserve">of the International Covenant on Economic, Social and Cultural Rights </w:t>
      </w:r>
      <w:r w:rsidR="004E2EB8">
        <w:t>with respect to ensuring</w:t>
      </w:r>
      <w:r w:rsidR="00940C02">
        <w:t xml:space="preserve"> </w:t>
      </w:r>
      <w:r w:rsidR="00940C02" w:rsidRPr="00940C02">
        <w:t>access</w:t>
      </w:r>
      <w:r w:rsidR="00940C02">
        <w:t xml:space="preserve"> </w:t>
      </w:r>
      <w:r w:rsidR="00940C02" w:rsidRPr="00940C02">
        <w:t>to</w:t>
      </w:r>
      <w:r w:rsidR="00940C02">
        <w:t xml:space="preserve"> </w:t>
      </w:r>
      <w:r w:rsidR="00940C02" w:rsidRPr="00940C02">
        <w:t>safe</w:t>
      </w:r>
      <w:r w:rsidR="00940C02">
        <w:t xml:space="preserve"> </w:t>
      </w:r>
      <w:r w:rsidR="00940C02" w:rsidRPr="00940C02">
        <w:t>a</w:t>
      </w:r>
      <w:r w:rsidR="00940C02" w:rsidRPr="000C567C">
        <w:t>b</w:t>
      </w:r>
      <w:r w:rsidR="00940C02" w:rsidRPr="00940C02">
        <w:t>ortion</w:t>
      </w:r>
      <w:r w:rsidR="00940C02">
        <w:t xml:space="preserve"> </w:t>
      </w:r>
      <w:r w:rsidR="00940C02" w:rsidRPr="00940C02">
        <w:t>services</w:t>
      </w:r>
      <w:r w:rsidR="00940C02">
        <w:t xml:space="preserve"> </w:t>
      </w:r>
      <w:r w:rsidR="00940C02" w:rsidRPr="00940C02">
        <w:t>without</w:t>
      </w:r>
      <w:r w:rsidR="00940C02">
        <w:t xml:space="preserve"> </w:t>
      </w:r>
      <w:r w:rsidR="004E2EB8">
        <w:t>discrimination, providing</w:t>
      </w:r>
      <w:r w:rsidR="00A053BD">
        <w:t xml:space="preserve"> young people with access to accurate, evidence-based sexuality education, </w:t>
      </w:r>
      <w:r w:rsidR="002A5E34">
        <w:t xml:space="preserve">and </w:t>
      </w:r>
      <w:r w:rsidR="004E2EB8">
        <w:t xml:space="preserve">the </w:t>
      </w:r>
      <w:r w:rsidR="002A5E34">
        <w:t xml:space="preserve">denial of sexual and reproductive health care on </w:t>
      </w:r>
      <w:r w:rsidR="003E7861">
        <w:t xml:space="preserve">moral or religious </w:t>
      </w:r>
      <w:r w:rsidR="008D18BF">
        <w:t>grounds</w:t>
      </w:r>
      <w:r w:rsidR="00F544E8">
        <w:t>.</w:t>
      </w:r>
      <w:r w:rsidR="001D1FA9">
        <w:t xml:space="preserve"> </w:t>
      </w:r>
      <w:r w:rsidR="008D18BF">
        <w:t xml:space="preserve"> </w:t>
      </w:r>
    </w:p>
    <w:p w14:paraId="1AC5A7AE" w14:textId="26FAD568" w:rsidR="00175D90" w:rsidRDefault="00175D90" w:rsidP="007C28D9">
      <w:pPr>
        <w:pStyle w:val="Heading1"/>
      </w:pPr>
      <w:r>
        <w:t xml:space="preserve">Article 12 – Right to health </w:t>
      </w:r>
    </w:p>
    <w:p w14:paraId="652AAD2A" w14:textId="77777777" w:rsidR="00256756" w:rsidRPr="00256756" w:rsidRDefault="00256756" w:rsidP="00175D90">
      <w:pPr>
        <w:pStyle w:val="Heading2"/>
      </w:pPr>
      <w:r w:rsidRPr="00256756">
        <w:t>Access to abortion</w:t>
      </w:r>
    </w:p>
    <w:p w14:paraId="02B29E94" w14:textId="76E6D86A" w:rsidR="003243CE" w:rsidRPr="000753B7" w:rsidRDefault="005C1218" w:rsidP="00D42506">
      <w:pPr>
        <w:pStyle w:val="ListParagraph"/>
        <w:numPr>
          <w:ilvl w:val="0"/>
          <w:numId w:val="1"/>
        </w:numPr>
      </w:pPr>
      <w:r w:rsidRPr="000753B7">
        <w:t>The Committee on Economic, Social and Cultural Rights (herein referred to as “</w:t>
      </w:r>
      <w:r w:rsidR="000753B7">
        <w:t>t</w:t>
      </w:r>
      <w:r w:rsidRPr="000753B7">
        <w:t>he C</w:t>
      </w:r>
      <w:r w:rsidR="000831AF" w:rsidRPr="000753B7">
        <w:t>o</w:t>
      </w:r>
      <w:r w:rsidRPr="000753B7">
        <w:t>mmit</w:t>
      </w:r>
      <w:r w:rsidR="00DF3F5C" w:rsidRPr="000753B7">
        <w:t>t</w:t>
      </w:r>
      <w:r w:rsidRPr="000753B7">
        <w:t>ee</w:t>
      </w:r>
      <w:r w:rsidR="00DF3F5C" w:rsidRPr="000753B7">
        <w:t>”</w:t>
      </w:r>
      <w:r w:rsidRPr="000753B7">
        <w:t xml:space="preserve">) </w:t>
      </w:r>
      <w:r w:rsidR="003243CE" w:rsidRPr="000753B7">
        <w:t xml:space="preserve">The </w:t>
      </w:r>
      <w:r w:rsidR="00D4288D" w:rsidRPr="000753B7">
        <w:t xml:space="preserve">Committee </w:t>
      </w:r>
      <w:r w:rsidR="003243CE" w:rsidRPr="000753B7">
        <w:t>has, on numerous occasions, outlined governments’ obligation to ensure access to safe abortion services, as part of the right to health. In its concluding observations to state parties, the Committee has called for “affordable access for everyone, including adolescents, to…safe abortion services, especially in rural and deprived urban areas, by eliminating formal and informal user fees for public and private family planning services, adequately funding the free distribution of contraceptives, raising public awareness and strengthening school education on sexual and reproductive health…,”</w:t>
      </w:r>
      <w:r w:rsidR="003243CE" w:rsidRPr="000753B7">
        <w:rPr>
          <w:rStyle w:val="FootnoteReference"/>
        </w:rPr>
        <w:footnoteReference w:id="1"/>
      </w:r>
      <w:r w:rsidR="003243CE" w:rsidRPr="000753B7">
        <w:t> “take all effective measures to ensure that women enjoy their right to sexual and reproductive health, including by enforcing the legislation on abortion and implementing a mechanism of timely and systematic referral in the event of conscientious objection.”</w:t>
      </w:r>
      <w:r w:rsidR="003243CE" w:rsidRPr="000753B7">
        <w:rPr>
          <w:rStyle w:val="FootnoteReference"/>
        </w:rPr>
        <w:footnoteReference w:id="2"/>
      </w:r>
      <w:r w:rsidR="003243CE" w:rsidRPr="000753B7">
        <w:t> </w:t>
      </w:r>
    </w:p>
    <w:p w14:paraId="197A4EE3" w14:textId="77777777" w:rsidR="003243CE" w:rsidRPr="003243CE" w:rsidRDefault="003243CE" w:rsidP="003243CE">
      <w:pPr>
        <w:pStyle w:val="ListParagraph"/>
        <w:rPr>
          <w:highlight w:val="yellow"/>
        </w:rPr>
      </w:pPr>
    </w:p>
    <w:p w14:paraId="04311A03" w14:textId="39D5C6BF" w:rsidR="003243CE" w:rsidRPr="000753B7" w:rsidRDefault="003243CE" w:rsidP="00D42506">
      <w:pPr>
        <w:pStyle w:val="ListParagraph"/>
        <w:numPr>
          <w:ilvl w:val="0"/>
          <w:numId w:val="1"/>
        </w:numPr>
        <w:rPr>
          <w:lang w:val="en-GB"/>
        </w:rPr>
      </w:pPr>
      <w:r w:rsidRPr="000753B7">
        <w:t>In General Comment 14, the Committee explicitly defined the right to health to include “</w:t>
      </w:r>
      <w:r w:rsidRPr="000753B7">
        <w:rPr>
          <w:lang w:val="en-GB"/>
        </w:rPr>
        <w:t>the right to control one’s health and body, including sexual and reproductive freedoms.”</w:t>
      </w:r>
      <w:r w:rsidRPr="000753B7">
        <w:rPr>
          <w:rStyle w:val="FootnoteReference"/>
          <w:lang w:val="en-GB"/>
        </w:rPr>
        <w:footnoteReference w:id="3"/>
      </w:r>
      <w:r w:rsidRPr="000753B7">
        <w:rPr>
          <w:lang w:val="en-GB"/>
        </w:rPr>
        <w:t xml:space="preserve"> It calls on state parties to implement “measures to improve…</w:t>
      </w:r>
      <w:r w:rsidRPr="000753B7">
        <w:t>maternal health, sexual and reproductive health services, including access to family planning, pre- and post-natal care, emergency obstetric services and access to information, as well as to resources necessary to act on that information,”</w:t>
      </w:r>
      <w:r w:rsidRPr="000753B7">
        <w:rPr>
          <w:rStyle w:val="FootnoteReference"/>
        </w:rPr>
        <w:footnoteReference w:id="4"/>
      </w:r>
      <w:r w:rsidRPr="000753B7">
        <w:t xml:space="preserve"> and that the “</w:t>
      </w:r>
      <w:r w:rsidRPr="000753B7">
        <w:rPr>
          <w:lang w:val="en-GB"/>
        </w:rPr>
        <w:t>realization of women’s right to health requires the removal of all barriers interfering with access to health services, education and information, including in the area of sexual and reproductive health.”</w:t>
      </w:r>
      <w:r w:rsidRPr="000753B7">
        <w:rPr>
          <w:rStyle w:val="FootnoteReference"/>
          <w:lang w:val="en-GB"/>
        </w:rPr>
        <w:footnoteReference w:id="5"/>
      </w:r>
      <w:r w:rsidRPr="000753B7">
        <w:rPr>
          <w:lang w:val="en-GB"/>
        </w:rPr>
        <w:t xml:space="preserve"> </w:t>
      </w:r>
      <w:r w:rsidR="003F2D53">
        <w:rPr>
          <w:lang w:val="en-GB"/>
        </w:rPr>
        <w:t>The Committee’s</w:t>
      </w:r>
      <w:r w:rsidRPr="000753B7">
        <w:rPr>
          <w:lang w:val="en-GB"/>
        </w:rPr>
        <w:t xml:space="preserve"> General Comment 16, in reference to article 12 of the Covenant, requires that state parties, “at a minimum… [remove] legal and other obstacles that prevent men and women from accessing and benefiting from </w:t>
      </w:r>
      <w:r w:rsidRPr="000753B7">
        <w:rPr>
          <w:lang w:val="en-GB"/>
        </w:rPr>
        <w:lastRenderedPageBreak/>
        <w:t>health care on a basis of equality. This includes, inter alia,…the removal of legal restrictions on reproductive health provisions.”</w:t>
      </w:r>
      <w:r w:rsidRPr="000753B7">
        <w:rPr>
          <w:rStyle w:val="FootnoteReference"/>
          <w:lang w:val="en-GB"/>
        </w:rPr>
        <w:footnoteReference w:id="6"/>
      </w:r>
    </w:p>
    <w:p w14:paraId="46FADE2A" w14:textId="77777777" w:rsidR="00D42506" w:rsidRPr="00D42506" w:rsidRDefault="00D42506" w:rsidP="00D42506">
      <w:pPr>
        <w:pStyle w:val="ListParagraph"/>
        <w:rPr>
          <w:highlight w:val="yellow"/>
          <w:lang w:val="en-GB"/>
        </w:rPr>
      </w:pPr>
    </w:p>
    <w:p w14:paraId="2DD106B3" w14:textId="1477BD85" w:rsidR="00D42506" w:rsidRPr="003B2203" w:rsidRDefault="005D1E2F" w:rsidP="00D42506">
      <w:pPr>
        <w:pStyle w:val="ListParagraph"/>
        <w:numPr>
          <w:ilvl w:val="0"/>
          <w:numId w:val="1"/>
        </w:numPr>
        <w:rPr>
          <w:lang w:val="en-GB"/>
        </w:rPr>
      </w:pPr>
      <w:r w:rsidRPr="003B2203">
        <w:rPr>
          <w:lang w:val="en-GB"/>
        </w:rPr>
        <w:t xml:space="preserve">The barriers that exist to safe abortion services in Canada represent violations of article 12 as interpreted within this cited work of the Committee. </w:t>
      </w:r>
      <w:r w:rsidR="005B2A8B" w:rsidRPr="003B2203">
        <w:rPr>
          <w:lang w:val="en-GB"/>
        </w:rPr>
        <w:t xml:space="preserve">The Government of Canada, despite having the responsibility and authority to address these barriers, has failed to </w:t>
      </w:r>
      <w:r w:rsidR="005B2A8B" w:rsidRPr="003B2203">
        <w:t>action to address discriminatory policies</w:t>
      </w:r>
      <w:r w:rsidR="00FF5389" w:rsidRPr="003B2203">
        <w:t xml:space="preserve"> and the barriers that </w:t>
      </w:r>
      <w:r w:rsidR="001678FB" w:rsidRPr="003B2203">
        <w:t>are created as a result</w:t>
      </w:r>
      <w:r w:rsidR="005B2A8B" w:rsidRPr="003B2203">
        <w:t>.</w:t>
      </w:r>
    </w:p>
    <w:p w14:paraId="639F3925" w14:textId="77777777" w:rsidR="00D42506" w:rsidRDefault="00D42506" w:rsidP="00D42506">
      <w:pPr>
        <w:pStyle w:val="ListParagraph"/>
      </w:pPr>
    </w:p>
    <w:p w14:paraId="0664157E" w14:textId="1B77A1C9" w:rsidR="00A95C5E" w:rsidRDefault="00D60918" w:rsidP="008B1E88">
      <w:pPr>
        <w:pStyle w:val="ListParagraph"/>
        <w:numPr>
          <w:ilvl w:val="0"/>
          <w:numId w:val="1"/>
        </w:numPr>
      </w:pPr>
      <w:r w:rsidRPr="00B7410B">
        <w:t>In accordance with the 1988 Supreme Court of Canada decision R. v. Morgentaler, there are no criminal laws restricting access to abortion in Canada.</w:t>
      </w:r>
      <w:r>
        <w:t xml:space="preserve"> </w:t>
      </w:r>
      <w:r w:rsidR="009160B0">
        <w:t xml:space="preserve">In Canada, the </w:t>
      </w:r>
      <w:r w:rsidR="000D3B8D" w:rsidRPr="00B7410B">
        <w:t>provincial governments are responsible for the administration, organization and delivery of health care. The federal government has constitutional “spending power,” which enables it to fund the health systems under provincial jurisdiction, subject to provincial compliance with certain requirements set ou</w:t>
      </w:r>
      <w:r w:rsidR="001F521B">
        <w:t>t in the 1984 Canada Health Act (</w:t>
      </w:r>
      <w:r w:rsidR="003245FB">
        <w:t>herein the Act</w:t>
      </w:r>
      <w:r w:rsidR="001F521B">
        <w:t>).</w:t>
      </w:r>
      <w:r w:rsidR="0088524B">
        <w:t xml:space="preserve"> It </w:t>
      </w:r>
      <w:r w:rsidR="000D3B8D" w:rsidRPr="00B7410B">
        <w:t>regulates the conditions to which provincial and territorial health insurance programs must adhere in order to receive the full amount of the Canada Health Transfer</w:t>
      </w:r>
      <w:r w:rsidR="003245FB">
        <w:t xml:space="preserve"> (herein CHT) cash contribution</w:t>
      </w:r>
      <w:r w:rsidR="000D3B8D" w:rsidRPr="00B7410B">
        <w:t xml:space="preserve">. If any of the provinces or territories fails to meet any one of the criteria set out in section 13 of the Act, or if the province allows extra billing by medical practitioners or permits user charges for insured health services, the province will face as the penalty a reduction or withholding of the cash contribution. </w:t>
      </w:r>
      <w:r w:rsidR="00F81AC5">
        <w:t>T</w:t>
      </w:r>
      <w:r w:rsidR="00D85C53" w:rsidRPr="00B7410B">
        <w:t>he</w:t>
      </w:r>
      <w:r w:rsidR="00D85C53">
        <w:t xml:space="preserve"> </w:t>
      </w:r>
      <w:r w:rsidR="000D3B8D" w:rsidRPr="00B7410B">
        <w:t>Act states that provinces and territories must provide universal coverage for all insured persons for all medically necessary h</w:t>
      </w:r>
      <w:r w:rsidR="00F81AC5">
        <w:t>ospital and physician services</w:t>
      </w:r>
      <w:r w:rsidR="0045287C">
        <w:t>, which abortion is considered to be</w:t>
      </w:r>
      <w:r w:rsidR="00500C64">
        <w:t>.</w:t>
      </w:r>
    </w:p>
    <w:p w14:paraId="5AB954E4" w14:textId="77777777" w:rsidR="00F81AC5" w:rsidRDefault="00F81AC5" w:rsidP="00F81AC5">
      <w:pPr>
        <w:pStyle w:val="ListParagraph"/>
      </w:pPr>
    </w:p>
    <w:p w14:paraId="21F59EBD" w14:textId="51ECED4A" w:rsidR="000D3B8D" w:rsidRDefault="0004565D" w:rsidP="003603E7">
      <w:pPr>
        <w:pStyle w:val="ListParagraph"/>
        <w:numPr>
          <w:ilvl w:val="0"/>
          <w:numId w:val="1"/>
        </w:numPr>
      </w:pPr>
      <w:r>
        <w:t>L</w:t>
      </w:r>
      <w:r w:rsidR="000D3B8D" w:rsidRPr="00B7410B">
        <w:t xml:space="preserve">ack of </w:t>
      </w:r>
      <w:r>
        <w:t xml:space="preserve">access to safe abortion services </w:t>
      </w:r>
      <w:r w:rsidR="000D3B8D" w:rsidRPr="00B7410B">
        <w:t xml:space="preserve">continues to be an obstacle and a barrier for women who choose to terminate their </w:t>
      </w:r>
      <w:r w:rsidR="001B6506">
        <w:t xml:space="preserve">pregnancies, </w:t>
      </w:r>
      <w:r w:rsidR="005E61CA" w:rsidRPr="00256756">
        <w:t>particularly for women living in rural or remote regions.</w:t>
      </w:r>
      <w:r w:rsidR="005E61CA" w:rsidRPr="00256756">
        <w:rPr>
          <w:vertAlign w:val="superscript"/>
        </w:rPr>
        <w:footnoteReference w:id="7"/>
      </w:r>
      <w:r w:rsidR="005E61CA" w:rsidRPr="00256756">
        <w:t xml:space="preserve"> A 2006 study found that only 1/6 of hosp</w:t>
      </w:r>
      <w:r w:rsidR="00BC0E93">
        <w:t>itals provide abortion services,</w:t>
      </w:r>
      <w:r w:rsidR="005E61CA" w:rsidRPr="00256756">
        <w:rPr>
          <w:vertAlign w:val="superscript"/>
        </w:rPr>
        <w:footnoteReference w:id="8"/>
      </w:r>
      <w:r w:rsidR="005E61CA" w:rsidRPr="001B6506">
        <w:rPr>
          <w:vertAlign w:val="superscript"/>
        </w:rPr>
        <w:t xml:space="preserve"> </w:t>
      </w:r>
      <w:r w:rsidR="00BC0E93">
        <w:t>th</w:t>
      </w:r>
      <w:r w:rsidR="005E61CA" w:rsidRPr="00256756">
        <w:t xml:space="preserve">e majority </w:t>
      </w:r>
      <w:r w:rsidR="00BC0E93">
        <w:t>of which</w:t>
      </w:r>
      <w:r w:rsidR="005E61CA" w:rsidRPr="00256756">
        <w:t>, both hospitals and free standing sexual health clinics, are disproportionately dispersed across Canada, with most located in urban areas. The overall limited availability to abortion services through clinics and hospitals is compounded by other barriers including significant wait times, age, financial</w:t>
      </w:r>
      <w:r w:rsidR="005E61CA">
        <w:t xml:space="preserve"> and geographic location.</w:t>
      </w:r>
      <w:r w:rsidR="000D3B8D" w:rsidRPr="00B7410B">
        <w:t xml:space="preserve"> Unexpected travel time is a factor since some of the abortion providers put a gestational limit to the termination of the pregnancy, delaying a woman’s right to abortion. In addition, these women face unforeseen monetary expenses such as travel, accommodation, lost wages, childcare, eldercare, and possibly procedural costs (in the case where there is a lack of reciprocal billing within their provincial or territorial health systems), disproportionately impacting low‐income women.</w:t>
      </w:r>
    </w:p>
    <w:p w14:paraId="66D77C52" w14:textId="77777777" w:rsidR="00A95C5E" w:rsidRDefault="00A95C5E" w:rsidP="00A95C5E">
      <w:pPr>
        <w:pStyle w:val="ListParagraph"/>
      </w:pPr>
    </w:p>
    <w:p w14:paraId="73C93073" w14:textId="2A77357C" w:rsidR="000D3B8D" w:rsidRDefault="000D3B8D" w:rsidP="00D42506">
      <w:pPr>
        <w:pStyle w:val="ListParagraph"/>
        <w:numPr>
          <w:ilvl w:val="0"/>
          <w:numId w:val="1"/>
        </w:numPr>
      </w:pPr>
      <w:r w:rsidRPr="00B7410B">
        <w:t xml:space="preserve">Reciprocal Billing states that individuals who are not present (either travelling or changing their residence) within their province or territory of residence at the time of needing a specific medically necessary service or procedure are to be either covered or reimbursed in full of the monetary costs by their provincial or territorial health system. In the case that an individual decides to change their provincial or territorial residence, reciprocal billing will cover their costs for up to three months before bureaucratic changes have been completed and the new provincial or territorial healthcare plan comes into function. </w:t>
      </w:r>
      <w:r w:rsidR="006F70AC">
        <w:t>C</w:t>
      </w:r>
      <w:r w:rsidRPr="00B7410B">
        <w:t xml:space="preserve">urrently five provinces and one territory have not yet removed abortion from their lists of services to be excluded from reciprocal billing. As a result, </w:t>
      </w:r>
      <w:r w:rsidR="000B246E">
        <w:t xml:space="preserve">women coming </w:t>
      </w:r>
      <w:r w:rsidRPr="00B7410B">
        <w:t>from such</w:t>
      </w:r>
      <w:r>
        <w:t xml:space="preserve"> </w:t>
      </w:r>
      <w:r w:rsidRPr="00B7410B">
        <w:t>province</w:t>
      </w:r>
      <w:r w:rsidR="000B246E">
        <w:t>s or territories</w:t>
      </w:r>
      <w:r w:rsidRPr="00B7410B">
        <w:t xml:space="preserve"> </w:t>
      </w:r>
      <w:r w:rsidR="00ED78E7">
        <w:t>and are</w:t>
      </w:r>
      <w:r w:rsidRPr="00B7410B">
        <w:t xml:space="preserve"> in need of an abortion, will have to incur the expense of paying up-­‐front for the procedure, without an opportunity of being reimbursed. This disproportionately impacts women on low incomes.</w:t>
      </w:r>
    </w:p>
    <w:p w14:paraId="0854A3BE" w14:textId="77777777" w:rsidR="00A95C5E" w:rsidRDefault="00A95C5E" w:rsidP="00A95C5E">
      <w:pPr>
        <w:pStyle w:val="ListParagraph"/>
      </w:pPr>
    </w:p>
    <w:p w14:paraId="4C559809" w14:textId="6B089C7D" w:rsidR="00D91CFD" w:rsidRPr="00B7410B" w:rsidRDefault="007E261B" w:rsidP="007E261B">
      <w:pPr>
        <w:pStyle w:val="ListParagraph"/>
        <w:numPr>
          <w:ilvl w:val="0"/>
          <w:numId w:val="1"/>
        </w:numPr>
      </w:pPr>
      <w:r>
        <w:lastRenderedPageBreak/>
        <w:t xml:space="preserve">Despite having the necessary power and authority to </w:t>
      </w:r>
      <w:r w:rsidRPr="00B7410B">
        <w:t xml:space="preserve">ensure that abortion services are provided without financial or other </w:t>
      </w:r>
      <w:r>
        <w:t>barriers, t</w:t>
      </w:r>
      <w:r w:rsidR="00D91CFD" w:rsidRPr="00B7410B">
        <w:t xml:space="preserve">he Government of Canada has not taken any actions to address the discriminatory abortion policies of provinces that contravene the </w:t>
      </w:r>
      <w:r w:rsidR="00BC39D5">
        <w:t>Act</w:t>
      </w:r>
      <w:r w:rsidR="00D91CFD" w:rsidRPr="00B7410B">
        <w:t>.</w:t>
      </w:r>
      <w:r w:rsidR="003A33C3">
        <w:rPr>
          <w:rStyle w:val="FootnoteReference"/>
        </w:rPr>
        <w:footnoteReference w:id="9"/>
      </w:r>
      <w:r>
        <w:t xml:space="preserve"> </w:t>
      </w:r>
      <w:r w:rsidR="00D91CFD" w:rsidRPr="00B7410B">
        <w:t>No other medically necessary service faces these administrative restrictions.</w:t>
      </w:r>
    </w:p>
    <w:p w14:paraId="41221D68" w14:textId="77777777" w:rsidR="00280649" w:rsidRDefault="00280649" w:rsidP="00280649">
      <w:pPr>
        <w:pStyle w:val="ListParagraph"/>
      </w:pPr>
    </w:p>
    <w:p w14:paraId="78875FBC" w14:textId="21B4FEAB" w:rsidR="000D3B8D" w:rsidRDefault="0005783B" w:rsidP="00E72123">
      <w:pPr>
        <w:pStyle w:val="ListParagraph"/>
        <w:numPr>
          <w:ilvl w:val="0"/>
          <w:numId w:val="1"/>
        </w:numPr>
      </w:pPr>
      <w:r w:rsidRPr="00256756">
        <w:t>In the province of Prince Edward Island</w:t>
      </w:r>
      <w:r w:rsidR="00A95C5E">
        <w:t xml:space="preserve"> </w:t>
      </w:r>
      <w:r w:rsidRPr="00256756">
        <w:t xml:space="preserve">there are no abortion providers. </w:t>
      </w:r>
      <w:r w:rsidR="00A95C5E">
        <w:t>T</w:t>
      </w:r>
      <w:r w:rsidR="000D3B8D" w:rsidRPr="00B7410B">
        <w:t xml:space="preserve">his is the only province in Canada that is still refusing to offer abortion services, therefore violating the obligations set by the </w:t>
      </w:r>
      <w:r w:rsidR="00BC39D5">
        <w:t>Act</w:t>
      </w:r>
      <w:r w:rsidR="000D3B8D" w:rsidRPr="00B7410B">
        <w:t>.</w:t>
      </w:r>
      <w:r w:rsidR="00C85EC1">
        <w:t xml:space="preserve"> </w:t>
      </w:r>
      <w:r w:rsidR="000D3B8D" w:rsidRPr="00B7410B">
        <w:t xml:space="preserve">The only province to which they can travel, funded by their provincial government, is Nova Scotia. In order to access a funded abortion the woman </w:t>
      </w:r>
      <w:r w:rsidR="0018319F">
        <w:t>must be referred by both a Prince Edward Island</w:t>
      </w:r>
      <w:r w:rsidR="000D3B8D" w:rsidRPr="00B7410B">
        <w:t xml:space="preserve"> doctor and the Department of Health and Social Services, and the abortion procedure must be done in a hospital. Clinic abortion services are not eligible for</w:t>
      </w:r>
      <w:r w:rsidR="000D3B8D">
        <w:t xml:space="preserve"> </w:t>
      </w:r>
      <w:r w:rsidR="000D3B8D" w:rsidRPr="00B7410B">
        <w:t>funding by P</w:t>
      </w:r>
      <w:r w:rsidR="0018319F">
        <w:t>rince Edward Island</w:t>
      </w:r>
      <w:r w:rsidR="000D3B8D" w:rsidRPr="00B7410B">
        <w:t>. The doctor must first submit a referral to the Department of Health and</w:t>
      </w:r>
      <w:r w:rsidR="000D3B8D">
        <w:t xml:space="preserve"> </w:t>
      </w:r>
      <w:r w:rsidR="000D3B8D" w:rsidRPr="00B7410B">
        <w:t>Social Services deeming the termination of the pregnancy as medically necessary.</w:t>
      </w:r>
      <w:r w:rsidR="00543778">
        <w:t xml:space="preserve"> </w:t>
      </w:r>
      <w:r w:rsidR="00543778" w:rsidRPr="00A95C5E">
        <w:t>This process must be completed within 16 gestational weeks</w:t>
      </w:r>
      <w:r w:rsidR="00543778">
        <w:t>.</w:t>
      </w:r>
      <w:r w:rsidR="005B33D5">
        <w:t xml:space="preserve"> </w:t>
      </w:r>
      <w:r w:rsidR="000D3B8D" w:rsidRPr="00B7410B">
        <w:t>Due to stigma related to abortion, t</w:t>
      </w:r>
      <w:r w:rsidR="0012563C">
        <w:t>here is a lack of doctors on Prince Edward Island</w:t>
      </w:r>
      <w:r w:rsidR="000D3B8D" w:rsidRPr="00B7410B">
        <w:t xml:space="preserve"> who are willing to make the required referrals and requests for funding. In addition, healthcare providers are unwilling to provide accurate information to women who are seeking information on the procedure itself, where to obtain referrals for an abortion, as well as where they can obtain this medical service.</w:t>
      </w:r>
    </w:p>
    <w:p w14:paraId="7C70A395" w14:textId="77777777" w:rsidR="00A95C5E" w:rsidRDefault="00A95C5E" w:rsidP="00A95C5E">
      <w:pPr>
        <w:pStyle w:val="ListParagraph"/>
      </w:pPr>
    </w:p>
    <w:p w14:paraId="6604B7C3" w14:textId="24FE6AF2" w:rsidR="00EF2988" w:rsidRDefault="00F67B09" w:rsidP="001D6679">
      <w:pPr>
        <w:pStyle w:val="ListParagraph"/>
        <w:numPr>
          <w:ilvl w:val="0"/>
          <w:numId w:val="1"/>
        </w:numPr>
      </w:pPr>
      <w:r w:rsidRPr="008E2706">
        <w:rPr>
          <w:noProof/>
          <w:lang w:eastAsia="en-CA"/>
        </w:rPr>
        <mc:AlternateContent>
          <mc:Choice Requires="wps">
            <w:drawing>
              <wp:anchor distT="45720" distB="45720" distL="114300" distR="114300" simplePos="0" relativeHeight="251655680" behindDoc="0" locked="0" layoutInCell="1" allowOverlap="1" wp14:anchorId="7CB056D4" wp14:editId="0C832583">
                <wp:simplePos x="0" y="0"/>
                <wp:positionH relativeFrom="margin">
                  <wp:posOffset>-7951</wp:posOffset>
                </wp:positionH>
                <wp:positionV relativeFrom="paragraph">
                  <wp:posOffset>2495495</wp:posOffset>
                </wp:positionV>
                <wp:extent cx="6838950" cy="1404620"/>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404620"/>
                        </a:xfrm>
                        <a:prstGeom prst="rect">
                          <a:avLst/>
                        </a:prstGeom>
                        <a:solidFill>
                          <a:srgbClr val="FFFFFF"/>
                        </a:solidFill>
                        <a:ln w="9525">
                          <a:solidFill>
                            <a:srgbClr val="000000"/>
                          </a:solidFill>
                          <a:miter lim="800000"/>
                          <a:headEnd/>
                          <a:tailEnd/>
                        </a:ln>
                      </wps:spPr>
                      <wps:txbx>
                        <w:txbxContent>
                          <w:p w14:paraId="02705027" w14:textId="77777777" w:rsidR="00E4146D" w:rsidRDefault="00E4146D" w:rsidP="00E4146D">
                            <w:pPr>
                              <w:pStyle w:val="Heading3"/>
                              <w:rPr>
                                <w:lang w:val="en-GB"/>
                              </w:rPr>
                            </w:pPr>
                            <w:r>
                              <w:rPr>
                                <w:lang w:val="en-GB"/>
                              </w:rPr>
                              <w:t>Recommended Questions to be included in the List of Issues</w:t>
                            </w:r>
                          </w:p>
                          <w:p w14:paraId="3B5AB0F8" w14:textId="29BF94C1" w:rsidR="00B8534F" w:rsidRPr="00B8534F" w:rsidRDefault="00B8534F" w:rsidP="00B8534F">
                            <w:pPr>
                              <w:rPr>
                                <w:lang w:val="en-GB"/>
                              </w:rPr>
                            </w:pPr>
                            <w:r w:rsidRPr="00BC22A7">
                              <w:t>Recognizing the</w:t>
                            </w:r>
                            <w:r w:rsidR="00BC22A7" w:rsidRPr="00BC22A7">
                              <w:t xml:space="preserve"> existence of discriminatory policies and barriers that prevent individuals in Canada from accessing safe abortion services: </w:t>
                            </w:r>
                          </w:p>
                          <w:p w14:paraId="3C276F7D" w14:textId="4E7E5085" w:rsidR="008E2706" w:rsidRPr="00941E10" w:rsidRDefault="008E2706" w:rsidP="00247ED6">
                            <w:pPr>
                              <w:pStyle w:val="ListParagraph"/>
                              <w:numPr>
                                <w:ilvl w:val="0"/>
                                <w:numId w:val="17"/>
                              </w:numPr>
                              <w:rPr>
                                <w:lang w:val="en-GB"/>
                              </w:rPr>
                            </w:pPr>
                            <w:r w:rsidRPr="00941E10">
                              <w:t xml:space="preserve">What steps can the Government of Canada </w:t>
                            </w:r>
                            <w:r w:rsidR="00CE2B9E">
                              <w:t xml:space="preserve">take to </w:t>
                            </w:r>
                            <w:r w:rsidRPr="00941E10">
                              <w:t xml:space="preserve">enact penalties against provinces to ensure that they uphold the criteria set out in section 13 of the Canada Health Act? </w:t>
                            </w:r>
                          </w:p>
                          <w:p w14:paraId="4D2101BC" w14:textId="4B1E2C1F" w:rsidR="008E2706" w:rsidRPr="00941E10" w:rsidRDefault="008E2706" w:rsidP="00247ED6">
                            <w:pPr>
                              <w:pStyle w:val="ListParagraph"/>
                              <w:numPr>
                                <w:ilvl w:val="0"/>
                                <w:numId w:val="17"/>
                              </w:numPr>
                              <w:rPr>
                                <w:lang w:val="en-GB"/>
                              </w:rPr>
                            </w:pPr>
                            <w:r w:rsidRPr="00941E10">
                              <w:t xml:space="preserve">What steps can the Government of Canada </w:t>
                            </w:r>
                            <w:r w:rsidR="007040ED">
                              <w:t xml:space="preserve">take to </w:t>
                            </w:r>
                            <w:r w:rsidRPr="00941E10">
                              <w:t>initiate the Dispute Avoidance and Resolution process provided for by the Canada Health Act with provincial governments that contravene the Canada Health Act with respect to the availability and accessibility of abortion services?</w:t>
                            </w:r>
                          </w:p>
                          <w:p w14:paraId="74ECD154" w14:textId="7367049D" w:rsidR="008E2706" w:rsidRPr="00941E10" w:rsidRDefault="008E2706" w:rsidP="00090740">
                            <w:pPr>
                              <w:pStyle w:val="ListParagraph"/>
                              <w:numPr>
                                <w:ilvl w:val="0"/>
                                <w:numId w:val="17"/>
                              </w:numPr>
                              <w:rPr>
                                <w:lang w:val="en-GB"/>
                              </w:rPr>
                            </w:pPr>
                            <w:r w:rsidRPr="00941E10">
                              <w:t xml:space="preserve">What steps is the Government of Canada taking to ensure that all women have access to accessible, available, acceptable and quality sexual and reproductive health services, including abortion services?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B056D4" id="_x0000_t202" coordsize="21600,21600" o:spt="202" path="m,l,21600r21600,l21600,xe">
                <v:stroke joinstyle="miter"/>
                <v:path gradientshapeok="t" o:connecttype="rect"/>
              </v:shapetype>
              <v:shape id="Text Box 2" o:spid="_x0000_s1026" type="#_x0000_t202" style="position:absolute;left:0;text-align:left;margin-left:-.65pt;margin-top:196.5pt;width:538.5pt;height:110.6pt;z-index:2516556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">
                <v:textbox style="mso-fit-shape-to-text:t">
                  <w:txbxContent>
                    <w:p w14:paraId="02705027" w14:textId="77777777" w:rsidR="00E4146D" w:rsidRDefault="00E4146D" w:rsidP="00E4146D">
                      <w:pPr>
                        <w:pStyle w:val="Heading3"/>
                        <w:rPr>
                          <w:lang w:val="en-GB"/>
                        </w:rPr>
                      </w:pPr>
                      <w:r>
                        <w:rPr>
                          <w:lang w:val="en-GB"/>
                        </w:rPr>
                        <w:t>Recommended Questions to be included in the List of Issues</w:t>
                      </w:r>
                    </w:p>
                    <w:p w14:paraId="3B5AB0F8" w14:textId="29BF94C1" w:rsidR="00B8534F" w:rsidRPr="00B8534F" w:rsidRDefault="00B8534F" w:rsidP="00B8534F">
                      <w:pPr>
                        <w:rPr>
                          <w:lang w:val="en-GB"/>
                        </w:rPr>
                      </w:pPr>
                      <w:r w:rsidRPr="00BC22A7">
                        <w:t>Recognizing the</w:t>
                      </w:r>
                      <w:r w:rsidR="00BC22A7" w:rsidRPr="00BC22A7">
                        <w:t xml:space="preserve"> existence of discriminatory policies and barriers that prevent individuals in Canada from accessing safe abortion services: </w:t>
                      </w:r>
                    </w:p>
                    <w:p w14:paraId="3C276F7D" w14:textId="4E7E5085" w:rsidR="008E2706" w:rsidRPr="00941E10" w:rsidRDefault="008E2706" w:rsidP="00247ED6">
                      <w:pPr>
                        <w:pStyle w:val="ListParagraph"/>
                        <w:numPr>
                          <w:ilvl w:val="0"/>
                          <w:numId w:val="17"/>
                        </w:numPr>
                        <w:rPr>
                          <w:lang w:val="en-GB"/>
                        </w:rPr>
                      </w:pPr>
                      <w:r w:rsidRPr="00941E10">
                        <w:t xml:space="preserve">What steps can the Government of Canada </w:t>
                      </w:r>
                      <w:r w:rsidR="00CE2B9E">
                        <w:t xml:space="preserve">take to </w:t>
                      </w:r>
                      <w:r w:rsidRPr="00941E10">
                        <w:t xml:space="preserve">enact penalties against provinces to ensure that they uphold the criteria set out in section 13 of the Canada Health Act? </w:t>
                      </w:r>
                    </w:p>
                    <w:p w14:paraId="4D2101BC" w14:textId="4B1E2C1F" w:rsidR="008E2706" w:rsidRPr="00941E10" w:rsidRDefault="008E2706" w:rsidP="00247ED6">
                      <w:pPr>
                        <w:pStyle w:val="ListParagraph"/>
                        <w:numPr>
                          <w:ilvl w:val="0"/>
                          <w:numId w:val="17"/>
                        </w:numPr>
                        <w:rPr>
                          <w:lang w:val="en-GB"/>
                        </w:rPr>
                      </w:pPr>
                      <w:r w:rsidRPr="00941E10">
                        <w:t xml:space="preserve">What steps can the Government of Canada </w:t>
                      </w:r>
                      <w:r w:rsidR="007040ED">
                        <w:t xml:space="preserve">take to </w:t>
                      </w:r>
                      <w:r w:rsidRPr="00941E10">
                        <w:t>initiate the Dispute Avoidance and Resolution process provided for by the Canada Health Act with provincial governments that contravene the Canada Health Act with respect to the availability and accessibility of abortion services?</w:t>
                      </w:r>
                    </w:p>
                    <w:p w14:paraId="74ECD154" w14:textId="7367049D" w:rsidR="008E2706" w:rsidRPr="00941E10" w:rsidRDefault="008E2706" w:rsidP="00090740">
                      <w:pPr>
                        <w:pStyle w:val="ListParagraph"/>
                        <w:numPr>
                          <w:ilvl w:val="0"/>
                          <w:numId w:val="17"/>
                        </w:numPr>
                        <w:rPr>
                          <w:lang w:val="en-GB"/>
                        </w:rPr>
                      </w:pPr>
                      <w:r w:rsidRPr="00941E10">
                        <w:t xml:space="preserve">What steps is the Government of Canada taking to ensure that all women have access to accessible, available, acceptable and quality sexual and reproductive health services, including abortion services?   </w:t>
                      </w:r>
                    </w:p>
                  </w:txbxContent>
                </v:textbox>
                <w10:wrap type="square" anchorx="margin"/>
              </v:shape>
            </w:pict>
          </mc:Fallback>
        </mc:AlternateContent>
      </w:r>
      <w:r w:rsidR="0005783B" w:rsidRPr="00256756">
        <w:t xml:space="preserve">In 2014, </w:t>
      </w:r>
      <w:r w:rsidR="005B33D5">
        <w:t xml:space="preserve">New Brunswick </w:t>
      </w:r>
      <w:r w:rsidR="00C84198">
        <w:t>reverse</w:t>
      </w:r>
      <w:r w:rsidR="005B33D5">
        <w:t>d</w:t>
      </w:r>
      <w:r w:rsidR="00C84198">
        <w:t xml:space="preserve"> </w:t>
      </w:r>
      <w:r w:rsidR="00F3303B">
        <w:t xml:space="preserve">a </w:t>
      </w:r>
      <w:r w:rsidR="00C84198">
        <w:t>regulation</w:t>
      </w:r>
      <w:r w:rsidR="00BC39D5">
        <w:rPr>
          <w:rStyle w:val="FootnoteReference"/>
        </w:rPr>
        <w:footnoteReference w:id="10"/>
      </w:r>
      <w:r w:rsidR="00B76CC1">
        <w:t xml:space="preserve"> </w:t>
      </w:r>
      <w:r w:rsidR="00C84198">
        <w:t xml:space="preserve">requiring women to obtain the </w:t>
      </w:r>
      <w:r w:rsidR="00C84198" w:rsidRPr="00C84198">
        <w:t xml:space="preserve">authorization of two doctors </w:t>
      </w:r>
      <w:r w:rsidR="00C84198">
        <w:t xml:space="preserve">and </w:t>
      </w:r>
      <w:r w:rsidR="00C84198" w:rsidRPr="00C84198">
        <w:t>consent of the gynaecologist who will accept to perform the procedure</w:t>
      </w:r>
      <w:r w:rsidR="007A024F">
        <w:t xml:space="preserve"> (in order for the procedure to be fully funded).</w:t>
      </w:r>
      <w:r w:rsidR="00E0324A">
        <w:t xml:space="preserve"> </w:t>
      </w:r>
      <w:r w:rsidR="00ED4BF7">
        <w:t xml:space="preserve">Despite this, </w:t>
      </w:r>
      <w:r w:rsidR="0012563C">
        <w:t>New Brunswick</w:t>
      </w:r>
      <w:r w:rsidR="00BF3EB4">
        <w:t xml:space="preserve"> only has </w:t>
      </w:r>
      <w:r w:rsidR="00BF3EB4" w:rsidRPr="00B7410B">
        <w:t>an 8% access rate with only two hospitals in the entire province that provide abortion services.</w:t>
      </w:r>
      <w:r w:rsidR="00BF3EB4" w:rsidRPr="002067DE">
        <w:rPr>
          <w:vertAlign w:val="superscript"/>
        </w:rPr>
        <w:t xml:space="preserve">9 </w:t>
      </w:r>
      <w:r w:rsidR="001A6853" w:rsidRPr="00B7410B">
        <w:t xml:space="preserve">In contravention to the </w:t>
      </w:r>
      <w:r w:rsidR="001D6679">
        <w:t>Act</w:t>
      </w:r>
      <w:r w:rsidR="001A6853" w:rsidRPr="00B7410B">
        <w:t xml:space="preserve">, </w:t>
      </w:r>
      <w:r w:rsidR="001A6853">
        <w:t>N</w:t>
      </w:r>
      <w:r w:rsidR="0012563C">
        <w:t xml:space="preserve">ew Brunswick </w:t>
      </w:r>
      <w:r w:rsidR="001A6853" w:rsidRPr="00B7410B">
        <w:t xml:space="preserve">is the only province that refuses to pay for, or reimburse women for, abortion services performed outside of hospitals; hence, this province refuses to fund clinic abortions. </w:t>
      </w:r>
      <w:r w:rsidR="00F22DAF">
        <w:t xml:space="preserve">The province </w:t>
      </w:r>
      <w:r w:rsidR="000D3B8D" w:rsidRPr="00B7410B">
        <w:t>also refuses to provide reciprocal billing for women that require abortion services outside of the province.</w:t>
      </w:r>
      <w:r w:rsidR="00195EC5">
        <w:t xml:space="preserve"> </w:t>
      </w:r>
      <w:r w:rsidR="000D3B8D" w:rsidRPr="00B7410B">
        <w:t xml:space="preserve">This policy can be especially difficult for women in small towns and for women who do not have a family doctor. If a woman </w:t>
      </w:r>
      <w:r w:rsidR="006E1AA0">
        <w:t xml:space="preserve">in unable to travel to one of the two hospitals, or fears stigma and discrimination in accessing services in such environments, </w:t>
      </w:r>
      <w:r w:rsidR="000D3B8D" w:rsidRPr="00B7410B">
        <w:t xml:space="preserve">she may either be forced to travel out-­‐of-­‐province in order to obtain abortion care, pay over $700 to have the abortion </w:t>
      </w:r>
      <w:r w:rsidR="006E1AA0">
        <w:t xml:space="preserve">out of province </w:t>
      </w:r>
      <w:r w:rsidR="000D3B8D" w:rsidRPr="00B7410B">
        <w:t>or continue with the pregnancy and birth against her will.</w:t>
      </w:r>
      <w:r w:rsidR="00280E04">
        <w:t xml:space="preserve"> </w:t>
      </w:r>
      <w:r w:rsidR="00781B67">
        <w:t xml:space="preserve">With such limited access, it has been reported that women are increasingly seeking abortion services </w:t>
      </w:r>
      <w:r w:rsidR="00781B67" w:rsidRPr="00256756">
        <w:t>out of country</w:t>
      </w:r>
      <w:r w:rsidR="00781B67">
        <w:t>, and in some cases, engaging in unsafe practices to terminate unwanted pregnancies</w:t>
      </w:r>
      <w:r w:rsidR="00781B67" w:rsidRPr="00256756">
        <w:t>.</w:t>
      </w:r>
      <w:r w:rsidR="00781B67" w:rsidRPr="00256756">
        <w:rPr>
          <w:rStyle w:val="FootnoteReference"/>
        </w:rPr>
        <w:footnoteReference w:id="11"/>
      </w:r>
    </w:p>
    <w:p w14:paraId="3771B951" w14:textId="37BECE4B" w:rsidR="001D6679" w:rsidRDefault="001D6679" w:rsidP="009112E9">
      <w:pPr>
        <w:pStyle w:val="Heading2"/>
      </w:pPr>
    </w:p>
    <w:p w14:paraId="5AA23916" w14:textId="0A6C20EF" w:rsidR="009112E9" w:rsidRPr="00AD7149" w:rsidRDefault="003320CF" w:rsidP="009112E9">
      <w:pPr>
        <w:pStyle w:val="Heading2"/>
        <w:rPr>
          <w:color w:val="7030A0"/>
        </w:rPr>
      </w:pPr>
      <w:r>
        <w:t>Conscientious objection</w:t>
      </w:r>
    </w:p>
    <w:p w14:paraId="00FEDD2A" w14:textId="379AB0C0" w:rsidR="00B428C3" w:rsidRDefault="003243CE" w:rsidP="00A269CE">
      <w:pPr>
        <w:pStyle w:val="ListParagraph"/>
        <w:numPr>
          <w:ilvl w:val="0"/>
          <w:numId w:val="1"/>
        </w:numPr>
      </w:pPr>
      <w:r w:rsidRPr="00BC16E6">
        <w:t xml:space="preserve">In 2009, in its concluding observations to Poland, the </w:t>
      </w:r>
      <w:r w:rsidR="00B75706" w:rsidRPr="00BC16E6">
        <w:t>Committee</w:t>
      </w:r>
      <w:r w:rsidRPr="00BC16E6">
        <w:t xml:space="preserve"> recommended that the government “take all effective measures to ensure that women enjoy their right to sexual and reproductive health, including by…implementing a mechanism of timely and systematic referral in the event of conscientious objection.”</w:t>
      </w:r>
      <w:r w:rsidRPr="00BC16E6">
        <w:rPr>
          <w:rStyle w:val="FootnoteReference"/>
        </w:rPr>
        <w:footnoteReference w:id="12"/>
      </w:r>
      <w:r w:rsidR="00755279">
        <w:t xml:space="preserve"> </w:t>
      </w:r>
      <w:r w:rsidR="00FF4B35">
        <w:t xml:space="preserve">Similarly, the Committee on the Elimination of Discrimination Against Women, in its Concluding Observations to Hungary raised concern regarding health professionals increasingly resorting to </w:t>
      </w:r>
      <w:r w:rsidR="00FF4B35" w:rsidRPr="00FF4B35">
        <w:t xml:space="preserve">conscientious objection </w:t>
      </w:r>
      <w:r w:rsidR="00FF4B35">
        <w:t xml:space="preserve">without an </w:t>
      </w:r>
      <w:r w:rsidR="00FF4B35" w:rsidRPr="00FF4B35">
        <w:t xml:space="preserve">adequate regulatory framework. </w:t>
      </w:r>
      <w:r w:rsidR="00A269CE">
        <w:t xml:space="preserve">In response, the Committee on the Elimination of Discrimination Against Women urged Hungary to “establish </w:t>
      </w:r>
      <w:r w:rsidR="00FF4B35" w:rsidRPr="00FF4B35">
        <w:t>an adequate regulatory framework and a mechanism for</w:t>
      </w:r>
      <w:r w:rsidR="00FF4B35">
        <w:t xml:space="preserve"> </w:t>
      </w:r>
      <w:r w:rsidR="00FF4B35" w:rsidRPr="00FF4B35">
        <w:t>monitoring of the practice of conscientious objection by health professionals and</w:t>
      </w:r>
      <w:r w:rsidR="00FF4B35">
        <w:t xml:space="preserve"> </w:t>
      </w:r>
      <w:r w:rsidR="00FF4B35" w:rsidRPr="00FF4B35">
        <w:t>ensure that conscientious objection is accompanied by information to women about</w:t>
      </w:r>
      <w:r w:rsidR="00FF4B35">
        <w:t xml:space="preserve"> </w:t>
      </w:r>
      <w:r w:rsidR="00FF4B35" w:rsidRPr="00FF4B35">
        <w:t>existing alternatives and that it remains a personal decision rather than an</w:t>
      </w:r>
      <w:r w:rsidR="00FF4B35">
        <w:t xml:space="preserve"> </w:t>
      </w:r>
      <w:r w:rsidR="00A269CE">
        <w:t>institutionalized practice.”</w:t>
      </w:r>
      <w:r w:rsidR="0018319F">
        <w:rPr>
          <w:rStyle w:val="FootnoteReference"/>
        </w:rPr>
        <w:footnoteReference w:id="13"/>
      </w:r>
      <w:r w:rsidR="00A269CE">
        <w:t xml:space="preserve"> E</w:t>
      </w:r>
      <w:r w:rsidRPr="00BC16E6">
        <w:t>xplored within the context of women’s access to abortion services, the 2011 Report of the UN Special Rapporteur in the Right to Health recognizes conscientious objection as a legal restriction which creates a barrier to access to sexual and reproductive health services and information.</w:t>
      </w:r>
      <w:r w:rsidRPr="00BC16E6">
        <w:rPr>
          <w:rStyle w:val="FootnoteReference"/>
        </w:rPr>
        <w:footnoteReference w:id="14"/>
      </w:r>
      <w:r w:rsidRPr="00BC16E6">
        <w:t xml:space="preserve"> </w:t>
      </w:r>
    </w:p>
    <w:p w14:paraId="159D9945" w14:textId="77777777" w:rsidR="00B428C3" w:rsidRDefault="00B428C3" w:rsidP="00B428C3">
      <w:pPr>
        <w:pStyle w:val="ListParagraph"/>
      </w:pPr>
    </w:p>
    <w:p w14:paraId="4165AA22" w14:textId="0EE5AE72" w:rsidR="003E5E8F" w:rsidRDefault="004A0703" w:rsidP="003F2AA0">
      <w:pPr>
        <w:pStyle w:val="ListParagraph"/>
        <w:numPr>
          <w:ilvl w:val="0"/>
          <w:numId w:val="1"/>
        </w:numPr>
      </w:pPr>
      <w:r>
        <w:t xml:space="preserve">Restricting individuals’ right to access sexual and reproductive health information and services, including </w:t>
      </w:r>
      <w:r w:rsidR="00F36558">
        <w:t xml:space="preserve">through </w:t>
      </w:r>
      <w:r>
        <w:t xml:space="preserve">conscientious objection </w:t>
      </w:r>
      <w:r w:rsidR="00F36558">
        <w:t>without timely referral</w:t>
      </w:r>
      <w:r w:rsidR="00EE3463">
        <w:t>,</w:t>
      </w:r>
      <w:r w:rsidR="00F36558">
        <w:t xml:space="preserve"> </w:t>
      </w:r>
      <w:r w:rsidR="003E5E8F">
        <w:t>represent</w:t>
      </w:r>
      <w:r w:rsidR="00786A97">
        <w:t>s</w:t>
      </w:r>
      <w:r w:rsidR="003E5E8F">
        <w:t xml:space="preserve"> violations of article 12 as interpreted within this cited work of the Committee</w:t>
      </w:r>
      <w:r w:rsidR="003331AC">
        <w:t xml:space="preserve"> and that of the Committee on the Elimination of Discrimination Against Women</w:t>
      </w:r>
      <w:r w:rsidR="003E5E8F">
        <w:t>, as well as the work of the Special Rapporteur on the Right to health.</w:t>
      </w:r>
    </w:p>
    <w:p w14:paraId="55EE0396" w14:textId="77777777" w:rsidR="003E5E8F" w:rsidRDefault="003E5E8F" w:rsidP="003E5E8F">
      <w:pPr>
        <w:pStyle w:val="ListParagraph"/>
      </w:pPr>
    </w:p>
    <w:p w14:paraId="1F02A4C0" w14:textId="743CA760" w:rsidR="00164FAE" w:rsidRDefault="00164FAE" w:rsidP="00D42506">
      <w:pPr>
        <w:pStyle w:val="ListParagraph"/>
        <w:numPr>
          <w:ilvl w:val="0"/>
          <w:numId w:val="1"/>
        </w:numPr>
      </w:pPr>
      <w:r>
        <w:t>The Code of Ethics of the Canadian Medial Association (CMA) requires physicians to “</w:t>
      </w:r>
      <w:r w:rsidRPr="00A9504D">
        <w:t>Inform your patient when your personal values would influence the recommendation or practice of any medical procedure that the patient needs or wants</w:t>
      </w:r>
      <w:r>
        <w:t xml:space="preserve">,” but does not require physicians to provide timely referrals. While the Code does include an anti-discrimination clause, including on the grounds of sex, arguing violations on such grounds have not been successful. Following the news that Ottawa-based doctors were refusing to provide sexual and reproductive health services and information on moral and religious grounds, the </w:t>
      </w:r>
      <w:r w:rsidRPr="00256756">
        <w:t>Ontario College of Physicians and Surgeons is reviewing its policy on the issue.</w:t>
      </w:r>
    </w:p>
    <w:p w14:paraId="4E568149" w14:textId="77777777" w:rsidR="00164FAE" w:rsidRDefault="00164FAE" w:rsidP="00164FAE">
      <w:pPr>
        <w:pStyle w:val="ListParagraph"/>
      </w:pPr>
    </w:p>
    <w:p w14:paraId="64024052" w14:textId="0EFF5DF7" w:rsidR="003243CE" w:rsidRDefault="003E5E8F" w:rsidP="00D42506">
      <w:pPr>
        <w:pStyle w:val="ListParagraph"/>
        <w:numPr>
          <w:ilvl w:val="0"/>
          <w:numId w:val="1"/>
        </w:numPr>
      </w:pPr>
      <w:r w:rsidRPr="00BC16E6">
        <w:t xml:space="preserve">Communities of global medical experts have also established policies and guidelines on this topic. </w:t>
      </w:r>
      <w:r w:rsidR="004D7139">
        <w:t>The</w:t>
      </w:r>
      <w:r w:rsidRPr="00BC16E6">
        <w:t xml:space="preserve"> 2012 World Health Organization Safe Abortion Guidelines seeks to ensure that conscientious objection does not prevent individuals from accessing services to which they are legally entitled.</w:t>
      </w:r>
      <w:r>
        <w:t xml:space="preserve"> </w:t>
      </w:r>
      <w:r w:rsidR="003243CE">
        <w:t>In 2005, the International Federation of Gynecologists and Obstetricians (FIGO) developed its Ethical Guidelines on Conscientious Objection which states that practitioners have a “duty to abide by scientifically and professionally determined definitions of reproductive health services and to exercise care and integrity not to misrepresent or mischaracterise them on the basis of personal beliefs.” The Guidelines state that “the primary conscientious duty of [practitioners] is at all times to treat, or provide benefit and prevent harm to, the patients for whose care they are responsible. Any conscientious objection to treating a patient is secondary to this primary duty.” Practitioners must also “provide timely care to their patients when referral to other practitioners is not possible and delay would jeopardise patients’ health and well-being, such as by patients experiencing unwanted pregnancy.” Moreover, “In emergency situations, to preserve life or physical or mental health, practitioners must provide the medically indicated care of their patients’ choice regardless of the practitioners' personal objections.”</w:t>
      </w:r>
      <w:r w:rsidR="003243CE">
        <w:rPr>
          <w:rStyle w:val="FootnoteReference"/>
        </w:rPr>
        <w:footnoteReference w:id="15"/>
      </w:r>
      <w:r w:rsidR="003243CE">
        <w:t xml:space="preserve"> The CMA Code of Ethics is in contravention with not only the FIGO guidelines, but also Committee </w:t>
      </w:r>
      <w:r w:rsidR="003243CE">
        <w:lastRenderedPageBreak/>
        <w:t xml:space="preserve">jurisprudence on the issue in that it does not require practitioners to provide timely referrals and therefore does not appropriately safeguard the right to health in the face of purported conscientious objection. </w:t>
      </w:r>
    </w:p>
    <w:p w14:paraId="256F87B2" w14:textId="77777777" w:rsidR="00B251B7" w:rsidRDefault="00B251B7" w:rsidP="00B251B7">
      <w:pPr>
        <w:pStyle w:val="ListParagraph"/>
        <w:rPr>
          <w:b/>
        </w:rPr>
      </w:pPr>
    </w:p>
    <w:p w14:paraId="75FA6BD0" w14:textId="1B2C6FD7" w:rsidR="009112E9" w:rsidRPr="003E5E8F" w:rsidRDefault="00F67B09" w:rsidP="003E5E8F">
      <w:pPr>
        <w:pStyle w:val="ListParagraph"/>
        <w:numPr>
          <w:ilvl w:val="0"/>
          <w:numId w:val="1"/>
        </w:numPr>
        <w:rPr>
          <w:b/>
        </w:rPr>
      </w:pPr>
      <w:r w:rsidRPr="008E2706">
        <w:rPr>
          <w:noProof/>
          <w:lang w:eastAsia="en-CA"/>
        </w:rPr>
        <mc:AlternateContent>
          <mc:Choice Requires="wps">
            <w:drawing>
              <wp:anchor distT="45720" distB="45720" distL="114300" distR="114300" simplePos="0" relativeHeight="251659776" behindDoc="0" locked="0" layoutInCell="1" allowOverlap="1" wp14:anchorId="23885770" wp14:editId="12CF77C0">
                <wp:simplePos x="0" y="0"/>
                <wp:positionH relativeFrom="margin">
                  <wp:align>right</wp:align>
                </wp:positionH>
                <wp:positionV relativeFrom="paragraph">
                  <wp:posOffset>1417265</wp:posOffset>
                </wp:positionV>
                <wp:extent cx="6838950" cy="1404620"/>
                <wp:effectExtent l="0" t="0" r="19050"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404620"/>
                        </a:xfrm>
                        <a:prstGeom prst="rect">
                          <a:avLst/>
                        </a:prstGeom>
                        <a:solidFill>
                          <a:srgbClr val="FFFFFF"/>
                        </a:solidFill>
                        <a:ln w="9525">
                          <a:solidFill>
                            <a:srgbClr val="000000"/>
                          </a:solidFill>
                          <a:miter lim="800000"/>
                          <a:headEnd/>
                          <a:tailEnd/>
                        </a:ln>
                      </wps:spPr>
                      <wps:txbx>
                        <w:txbxContent>
                          <w:p w14:paraId="7A47AB6A" w14:textId="77777777" w:rsidR="0080618D" w:rsidRDefault="0080618D" w:rsidP="0080618D">
                            <w:pPr>
                              <w:pStyle w:val="Heading3"/>
                              <w:rPr>
                                <w:lang w:val="en-GB"/>
                              </w:rPr>
                            </w:pPr>
                            <w:bookmarkStart w:id="0" w:name="_GoBack"/>
                            <w:r>
                              <w:rPr>
                                <w:lang w:val="en-GB"/>
                              </w:rPr>
                              <w:t>Recommended Questions to be included in the List of Issues</w:t>
                            </w:r>
                          </w:p>
                          <w:p w14:paraId="3F92B995" w14:textId="6F987355" w:rsidR="001759B2" w:rsidRPr="002F6BBF" w:rsidRDefault="001759B2" w:rsidP="001759B2">
                            <w:r w:rsidRPr="001759B2">
                              <w:t>Taking stock of recent instances of health professional</w:t>
                            </w:r>
                            <w:r w:rsidR="00C73AC5">
                              <w:t xml:space="preserve">’s </w:t>
                            </w:r>
                            <w:r w:rsidRPr="001759B2">
                              <w:t>refusal</w:t>
                            </w:r>
                            <w:r w:rsidR="00C73AC5">
                              <w:t xml:space="preserve">, on moral or religious grounds, </w:t>
                            </w:r>
                            <w:r w:rsidRPr="001759B2">
                              <w:t>to provide individuals with a</w:t>
                            </w:r>
                            <w:r w:rsidRPr="002F6BBF">
                              <w:t>ccess to information about their sexual and reproductive health</w:t>
                            </w:r>
                            <w:r w:rsidR="00882D20" w:rsidRPr="002F6BBF">
                              <w:t>,</w:t>
                            </w:r>
                            <w:r w:rsidR="00C73AC5" w:rsidRPr="002F6BBF">
                              <w:t xml:space="preserve"> </w:t>
                            </w:r>
                          </w:p>
                          <w:p w14:paraId="7BA9DD92" w14:textId="0A652BA5" w:rsidR="008E2706" w:rsidRPr="002F6BBF" w:rsidRDefault="00B13EE7" w:rsidP="00247ED6">
                            <w:pPr>
                              <w:pStyle w:val="ListParagraph"/>
                              <w:numPr>
                                <w:ilvl w:val="0"/>
                                <w:numId w:val="16"/>
                              </w:numPr>
                            </w:pPr>
                            <w:r w:rsidRPr="002F6BBF">
                              <w:t xml:space="preserve">What </w:t>
                            </w:r>
                            <w:r w:rsidR="003943AC" w:rsidRPr="002F6BBF">
                              <w:t xml:space="preserve">measures </w:t>
                            </w:r>
                            <w:r w:rsidRPr="002F6BBF">
                              <w:t xml:space="preserve">can </w:t>
                            </w:r>
                            <w:r w:rsidR="008E2706" w:rsidRPr="002F6BBF">
                              <w:t>the Government of Canada take to ensure that all individuals are able to exercise their right to sexual and reproductive health, free from all barriers, including “implementing a mechanism of timely and systematic referral in the event of conscientious objection”</w:t>
                            </w:r>
                            <w:r w:rsidR="00556CF7">
                              <w:t>?</w:t>
                            </w:r>
                            <w:r w:rsidR="008E2706" w:rsidRPr="002F6BBF">
                              <w:rPr>
                                <w:rStyle w:val="FootnoteReference"/>
                              </w:rPr>
                              <w:footnoteRef/>
                            </w:r>
                          </w:p>
                          <w:p w14:paraId="4503E67B" w14:textId="3AF44BCD" w:rsidR="008E2706" w:rsidRPr="002F6BBF" w:rsidRDefault="008E2706" w:rsidP="00247ED6">
                            <w:pPr>
                              <w:pStyle w:val="ListParagraph"/>
                              <w:numPr>
                                <w:ilvl w:val="0"/>
                                <w:numId w:val="16"/>
                              </w:numPr>
                            </w:pPr>
                            <w:r w:rsidRPr="002F6BBF">
                              <w:t>How can the Government of Canada take steps to ensure that conscientious objection exemptions are well-defined in scope and well-regulated in use and that referrals and alternative services are available in cases where the objection is raised by a service provider</w:t>
                            </w:r>
                            <w:r w:rsidR="00556CF7">
                              <w:t>?</w:t>
                            </w:r>
                            <w:r w:rsidRPr="002F6BBF">
                              <w:rPr>
                                <w:rStyle w:val="FootnoteReference"/>
                              </w:rPr>
                              <w:footnoteRef/>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885770" id="_x0000_s1027" type="#_x0000_t202" style="position:absolute;left:0;text-align:left;margin-left:487.3pt;margin-top:111.6pt;width:538.5pt;height:110.6pt;z-index:2516597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">
                <v:textbox style="mso-fit-shape-to-text:t">
                  <w:txbxContent>
                    <w:p w14:paraId="7A47AB6A" w14:textId="77777777" w:rsidR="0080618D" w:rsidRDefault="0080618D" w:rsidP="0080618D">
                      <w:pPr>
                        <w:pStyle w:val="Heading3"/>
                        <w:rPr>
                          <w:lang w:val="en-GB"/>
                        </w:rPr>
                      </w:pPr>
                      <w:bookmarkStart w:id="1" w:name="_GoBack"/>
                      <w:r>
                        <w:rPr>
                          <w:lang w:val="en-GB"/>
                        </w:rPr>
                        <w:t>Recommended Questions to be included in the List of Issues</w:t>
                      </w:r>
                    </w:p>
                    <w:p w14:paraId="3F92B995" w14:textId="6F987355" w:rsidR="001759B2" w:rsidRPr="002F6BBF" w:rsidRDefault="001759B2" w:rsidP="001759B2">
                      <w:r w:rsidRPr="001759B2">
                        <w:t>Taking stock of recent instances of health professional</w:t>
                      </w:r>
                      <w:r w:rsidR="00C73AC5">
                        <w:t xml:space="preserve">’s </w:t>
                      </w:r>
                      <w:r w:rsidRPr="001759B2">
                        <w:t>refusal</w:t>
                      </w:r>
                      <w:r w:rsidR="00C73AC5">
                        <w:t xml:space="preserve">, on moral or religious grounds, </w:t>
                      </w:r>
                      <w:r w:rsidRPr="001759B2">
                        <w:t>to provide individuals with a</w:t>
                      </w:r>
                      <w:r w:rsidRPr="002F6BBF">
                        <w:t>ccess to information about their sexual and reproductive health</w:t>
                      </w:r>
                      <w:r w:rsidR="00882D20" w:rsidRPr="002F6BBF">
                        <w:t>,</w:t>
                      </w:r>
                      <w:r w:rsidR="00C73AC5" w:rsidRPr="002F6BBF">
                        <w:t xml:space="preserve"> </w:t>
                      </w:r>
                    </w:p>
                    <w:p w14:paraId="7BA9DD92" w14:textId="0A652BA5" w:rsidR="008E2706" w:rsidRPr="002F6BBF" w:rsidRDefault="00B13EE7" w:rsidP="00247ED6">
                      <w:pPr>
                        <w:pStyle w:val="ListParagraph"/>
                        <w:numPr>
                          <w:ilvl w:val="0"/>
                          <w:numId w:val="16"/>
                        </w:numPr>
                      </w:pPr>
                      <w:r w:rsidRPr="002F6BBF">
                        <w:t xml:space="preserve">What </w:t>
                      </w:r>
                      <w:r w:rsidR="003943AC" w:rsidRPr="002F6BBF">
                        <w:t xml:space="preserve">measures </w:t>
                      </w:r>
                      <w:r w:rsidRPr="002F6BBF">
                        <w:t xml:space="preserve">can </w:t>
                      </w:r>
                      <w:r w:rsidR="008E2706" w:rsidRPr="002F6BBF">
                        <w:t>the Government of Canada take to ensure that all individuals are able to exercise their right to sexual and reproductive health, free from all barriers, including “implementing a mechanism of timely and systematic referral in the event of conscientious objection”</w:t>
                      </w:r>
                      <w:r w:rsidR="00556CF7">
                        <w:t>?</w:t>
                      </w:r>
                      <w:r w:rsidR="008E2706" w:rsidRPr="002F6BBF">
                        <w:rPr>
                          <w:rStyle w:val="FootnoteReference"/>
                        </w:rPr>
                        <w:footnoteRef/>
                      </w:r>
                    </w:p>
                    <w:p w14:paraId="4503E67B" w14:textId="3AF44BCD" w:rsidR="008E2706" w:rsidRPr="002F6BBF" w:rsidRDefault="008E2706" w:rsidP="00247ED6">
                      <w:pPr>
                        <w:pStyle w:val="ListParagraph"/>
                        <w:numPr>
                          <w:ilvl w:val="0"/>
                          <w:numId w:val="16"/>
                        </w:numPr>
                      </w:pPr>
                      <w:r w:rsidRPr="002F6BBF">
                        <w:t>How can the Government of Canada take steps to ensure that conscientious objection exemptions are well-defined in scope and well-regulated in use and that referrals and alternative services are available in cases where the objection is raised by a service provider</w:t>
                      </w:r>
                      <w:r w:rsidR="00556CF7">
                        <w:t>?</w:t>
                      </w:r>
                      <w:r w:rsidRPr="002F6BBF">
                        <w:rPr>
                          <w:rStyle w:val="FootnoteReference"/>
                        </w:rPr>
                        <w:footnoteRef/>
                      </w:r>
                      <w:bookmarkEnd w:id="1"/>
                    </w:p>
                  </w:txbxContent>
                </v:textbox>
                <w10:wrap type="square" anchorx="margin"/>
              </v:shape>
            </w:pict>
          </mc:Fallback>
        </mc:AlternateContent>
      </w:r>
      <w:r w:rsidR="009112E9" w:rsidRPr="00256756">
        <w:t>Over the past year, there have been several reported incidents in which wom</w:t>
      </w:r>
      <w:r w:rsidR="00E41E47">
        <w:t xml:space="preserve">en have been refused sexual and </w:t>
      </w:r>
      <w:r w:rsidR="009112E9" w:rsidRPr="00256756">
        <w:t>reproductive health information and services as a result of doctors’ conscientious objection on moral or religious grounds. In January 2014, when attempting to access contraceptive services, an Ottawa resident received a letter explaining the doctor’s decision to refuse to provide “</w:t>
      </w:r>
      <w:r w:rsidR="009112E9" w:rsidRPr="003E5E8F">
        <w:rPr>
          <w:highlight w:val="white"/>
        </w:rPr>
        <w:t>vasectomies, abortions, the morning after pill and any artificial contraception,” on the grounds of “medical judgement as well as professional ethical concerns and religious values.”</w:t>
      </w:r>
      <w:r w:rsidR="009112E9" w:rsidRPr="00256756">
        <w:rPr>
          <w:highlight w:val="white"/>
          <w:vertAlign w:val="superscript"/>
        </w:rPr>
        <w:footnoteReference w:id="16"/>
      </w:r>
      <w:r w:rsidR="009112E9" w:rsidRPr="003E5E8F">
        <w:rPr>
          <w:highlight w:val="white"/>
          <w:vertAlign w:val="superscript"/>
        </w:rPr>
        <w:t xml:space="preserve"> </w:t>
      </w:r>
      <w:r w:rsidR="009112E9" w:rsidRPr="00256756">
        <w:t>This incident resulted in the emergence of evidence of other doctors in the province refusing to provide women with conceptive services.</w:t>
      </w:r>
      <w:r w:rsidR="009112E9" w:rsidRPr="00256756">
        <w:rPr>
          <w:highlight w:val="white"/>
          <w:vertAlign w:val="superscript"/>
        </w:rPr>
        <w:footnoteReference w:id="17"/>
      </w:r>
      <w:r w:rsidR="009112E9" w:rsidRPr="003E5E8F">
        <w:rPr>
          <w:highlight w:val="white"/>
          <w:vertAlign w:val="superscript"/>
        </w:rPr>
        <w:t xml:space="preserve"> </w:t>
      </w:r>
    </w:p>
    <w:p w14:paraId="2112606B" w14:textId="441CAD2D" w:rsidR="00476F21" w:rsidRDefault="00476F21" w:rsidP="00196727"/>
    <w:p w14:paraId="78897EBC" w14:textId="11EE8F3A" w:rsidR="00CB0B7F" w:rsidRDefault="00CB0B7F" w:rsidP="00CB0B7F">
      <w:pPr>
        <w:pStyle w:val="Heading1"/>
      </w:pPr>
      <w:r>
        <w:t xml:space="preserve">Article 13 – Right to education </w:t>
      </w:r>
    </w:p>
    <w:p w14:paraId="21DF2A3A" w14:textId="64AAFE19" w:rsidR="000D3B8D" w:rsidRPr="00AD7149" w:rsidRDefault="000D3B8D" w:rsidP="00CB0B7F">
      <w:pPr>
        <w:pStyle w:val="Heading2"/>
      </w:pPr>
      <w:r w:rsidRPr="00AD7149">
        <w:t>Com</w:t>
      </w:r>
      <w:r w:rsidR="00CB0B7F">
        <w:t>prehensive sexuality education</w:t>
      </w:r>
    </w:p>
    <w:p w14:paraId="34D4F09D" w14:textId="7E1D993B" w:rsidR="00D4566D" w:rsidRPr="00621454" w:rsidRDefault="00D4566D" w:rsidP="00D42506">
      <w:pPr>
        <w:pStyle w:val="ListParagraph"/>
        <w:numPr>
          <w:ilvl w:val="0"/>
          <w:numId w:val="1"/>
        </w:numPr>
      </w:pPr>
      <w:r w:rsidRPr="00621454">
        <w:t xml:space="preserve">The </w:t>
      </w:r>
      <w:r w:rsidR="005C2A8E" w:rsidRPr="00621454">
        <w:t xml:space="preserve">Committee </w:t>
      </w:r>
      <w:r w:rsidRPr="00621454">
        <w:t xml:space="preserve">has, on numerous occasions, recognized governments’ obligation to provide sexuality education. </w:t>
      </w:r>
      <w:r w:rsidR="006D6749" w:rsidRPr="00621454">
        <w:t xml:space="preserve">The Committee’s </w:t>
      </w:r>
      <w:r w:rsidRPr="00621454">
        <w:t>General Comment 14 stated that the right to health includes “access to health-related education and information, including on sexual and reproductive health.”</w:t>
      </w:r>
      <w:r w:rsidRPr="00621454">
        <w:rPr>
          <w:rStyle w:val="FootnoteReference"/>
        </w:rPr>
        <w:footnoteReference w:id="18"/>
      </w:r>
      <w:r w:rsidRPr="00621454">
        <w:t xml:space="preserve"> It its concluding observations to governments, it has called on governments to: </w:t>
      </w:r>
    </w:p>
    <w:p w14:paraId="681F7FCA" w14:textId="77777777" w:rsidR="00D4566D" w:rsidRPr="00621454" w:rsidRDefault="00D4566D" w:rsidP="00D4566D">
      <w:pPr>
        <w:pStyle w:val="ListParagraph"/>
        <w:numPr>
          <w:ilvl w:val="1"/>
          <w:numId w:val="7"/>
        </w:numPr>
      </w:pPr>
      <w:r w:rsidRPr="00621454">
        <w:t>implement “adequate programmes in sexual and reproductive education in national school curricula,”</w:t>
      </w:r>
      <w:r w:rsidRPr="00621454">
        <w:rPr>
          <w:rStyle w:val="FootnoteReference"/>
        </w:rPr>
        <w:footnoteReference w:id="19"/>
      </w:r>
      <w:r w:rsidRPr="00621454">
        <w:t xml:space="preserve"> </w:t>
      </w:r>
    </w:p>
    <w:p w14:paraId="1B765089" w14:textId="77777777" w:rsidR="00D4566D" w:rsidRPr="00621454" w:rsidRDefault="00D4566D" w:rsidP="00D4566D">
      <w:pPr>
        <w:pStyle w:val="ListParagraph"/>
        <w:numPr>
          <w:ilvl w:val="1"/>
          <w:numId w:val="7"/>
        </w:numPr>
      </w:pPr>
      <w:r w:rsidRPr="00621454">
        <w:t>include “sexual and reproductive health education programmes in schools,”</w:t>
      </w:r>
      <w:r w:rsidRPr="00621454">
        <w:rPr>
          <w:rStyle w:val="FootnoteReference"/>
        </w:rPr>
        <w:footnoteReference w:id="20"/>
      </w:r>
      <w:r w:rsidRPr="00621454">
        <w:t xml:space="preserve"> </w:t>
      </w:r>
    </w:p>
    <w:p w14:paraId="24FC5DAE" w14:textId="77777777" w:rsidR="00D4566D" w:rsidRPr="00621454" w:rsidRDefault="00D4566D" w:rsidP="00D4566D">
      <w:pPr>
        <w:pStyle w:val="ListParagraph"/>
        <w:numPr>
          <w:ilvl w:val="1"/>
          <w:numId w:val="7"/>
        </w:numPr>
      </w:pPr>
      <w:r w:rsidRPr="00621454">
        <w:t>establish “comprehensive educational programmes on sexual and reproductive health, including public awareness-raising campaigns about safe contraceptive methods programmes and inclusion of appropriate information on sexual and reproductive health in the curricula,”</w:t>
      </w:r>
      <w:r w:rsidRPr="00621454">
        <w:rPr>
          <w:rStyle w:val="FootnoteReference"/>
        </w:rPr>
        <w:t xml:space="preserve"> </w:t>
      </w:r>
      <w:r w:rsidRPr="00621454">
        <w:rPr>
          <w:rStyle w:val="FootnoteReference"/>
        </w:rPr>
        <w:footnoteReference w:id="21"/>
      </w:r>
      <w:r w:rsidRPr="00621454">
        <w:t xml:space="preserve"> and </w:t>
      </w:r>
    </w:p>
    <w:p w14:paraId="00A2A1C0" w14:textId="77777777" w:rsidR="00D4566D" w:rsidRPr="00621454" w:rsidRDefault="00D4566D" w:rsidP="00D4566D">
      <w:pPr>
        <w:pStyle w:val="ListParagraph"/>
        <w:numPr>
          <w:ilvl w:val="1"/>
          <w:numId w:val="7"/>
        </w:numPr>
        <w:ind w:left="1434" w:hanging="357"/>
      </w:pPr>
      <w:r w:rsidRPr="00621454">
        <w:t>provide “comprehensive age-appropriate sexual and reproductive health education.”</w:t>
      </w:r>
      <w:r w:rsidRPr="00621454">
        <w:rPr>
          <w:rStyle w:val="FootnoteReference"/>
        </w:rPr>
        <w:t xml:space="preserve"> </w:t>
      </w:r>
      <w:r w:rsidRPr="00621454">
        <w:rPr>
          <w:rStyle w:val="FootnoteReference"/>
        </w:rPr>
        <w:footnoteReference w:id="22"/>
      </w:r>
    </w:p>
    <w:p w14:paraId="115334E3" w14:textId="0C3AEFA7" w:rsidR="00D4566D" w:rsidRPr="00D4566D" w:rsidRDefault="00D4566D" w:rsidP="00EF60B0">
      <w:pPr>
        <w:pStyle w:val="ListParagraph"/>
        <w:tabs>
          <w:tab w:val="left" w:pos="2790"/>
          <w:tab w:val="left" w:pos="3750"/>
        </w:tabs>
        <w:rPr>
          <w:highlight w:val="yellow"/>
        </w:rPr>
      </w:pPr>
    </w:p>
    <w:p w14:paraId="6FC613F9" w14:textId="547C9974" w:rsidR="00D4566D" w:rsidRPr="00246B7E" w:rsidRDefault="00D4566D" w:rsidP="00D42506">
      <w:pPr>
        <w:pStyle w:val="ListParagraph"/>
        <w:numPr>
          <w:ilvl w:val="0"/>
          <w:numId w:val="1"/>
        </w:numPr>
      </w:pPr>
      <w:r w:rsidRPr="00246B7E">
        <w:lastRenderedPageBreak/>
        <w:t xml:space="preserve">Sexuality education is recognized as a basic human right of all children and youth in both the annual report of Special Rapporteur on the right to education to the UN General Assembly in 2010 and General Comment No. 4 of the Committee on the Rights of the Child. </w:t>
      </w:r>
      <w:r w:rsidRPr="00246B7E">
        <w:rPr>
          <w:rFonts w:cs="Calibri"/>
        </w:rPr>
        <w:t xml:space="preserve">Effective sexuality education must go beyond biology. It must educate children and youth about gender equality, sexual and reproductive health, relationships, gender-based and sexual violence, sexual and gender diversity, healthy emotive processes, informed consent and human rights, and should promote empowerment and autonomy. </w:t>
      </w:r>
      <w:r w:rsidRPr="00246B7E">
        <w:t>Such education must be free of and aim to eliminate stereotypes, discrimination, and stigma; respect the evolving capacities of children and youth; and be tailored to meet the specific needs of particular groups e.g. young people with disabilities and those living on the streets.</w:t>
      </w:r>
    </w:p>
    <w:p w14:paraId="0AD8DBAC" w14:textId="77777777" w:rsidR="00F273A4" w:rsidRDefault="00F273A4" w:rsidP="00F273A4">
      <w:pPr>
        <w:pStyle w:val="ListParagraph"/>
        <w:rPr>
          <w:highlight w:val="yellow"/>
          <w:lang w:val="en-GB"/>
        </w:rPr>
      </w:pPr>
    </w:p>
    <w:p w14:paraId="06ABE0B9" w14:textId="7BFB434B" w:rsidR="00F273A4" w:rsidRPr="00082D21" w:rsidRDefault="00082D21" w:rsidP="00127CCB">
      <w:pPr>
        <w:pStyle w:val="ListParagraph"/>
        <w:numPr>
          <w:ilvl w:val="0"/>
          <w:numId w:val="1"/>
        </w:numPr>
        <w:rPr>
          <w:lang w:val="en-GB"/>
        </w:rPr>
      </w:pPr>
      <w:r w:rsidRPr="00082D21">
        <w:rPr>
          <w:lang w:val="en-GB"/>
        </w:rPr>
        <w:t>Documented</w:t>
      </w:r>
      <w:r w:rsidR="00826CCC" w:rsidRPr="00082D21">
        <w:rPr>
          <w:lang w:val="en-GB"/>
        </w:rPr>
        <w:t xml:space="preserve"> d</w:t>
      </w:r>
      <w:r w:rsidR="00CD4465" w:rsidRPr="00082D21">
        <w:rPr>
          <w:lang w:val="en-GB"/>
        </w:rPr>
        <w:t xml:space="preserve">iscrepancies in the quality and delivery of </w:t>
      </w:r>
      <w:r w:rsidR="00206988" w:rsidRPr="00082D21">
        <w:rPr>
          <w:lang w:val="en-GB"/>
        </w:rPr>
        <w:t xml:space="preserve">comprehensive </w:t>
      </w:r>
      <w:r w:rsidR="00CD4465" w:rsidRPr="00082D21">
        <w:rPr>
          <w:lang w:val="en-GB"/>
        </w:rPr>
        <w:t xml:space="preserve">sexuality education curriculums </w:t>
      </w:r>
      <w:r w:rsidR="00826CCC" w:rsidRPr="00082D21">
        <w:rPr>
          <w:lang w:val="en-GB"/>
        </w:rPr>
        <w:t>in Canada</w:t>
      </w:r>
      <w:r w:rsidR="00F273A4" w:rsidRPr="00082D21">
        <w:rPr>
          <w:lang w:val="en-GB"/>
        </w:rPr>
        <w:t xml:space="preserve"> represent violations of article 1</w:t>
      </w:r>
      <w:r w:rsidR="00826CCC" w:rsidRPr="00082D21">
        <w:rPr>
          <w:lang w:val="en-GB"/>
        </w:rPr>
        <w:t>3</w:t>
      </w:r>
      <w:r w:rsidR="00F273A4" w:rsidRPr="00082D21">
        <w:rPr>
          <w:lang w:val="en-GB"/>
        </w:rPr>
        <w:t xml:space="preserve"> as interpreted within this cited work of the Committee. </w:t>
      </w:r>
      <w:r w:rsidR="00316F8B">
        <w:rPr>
          <w:lang w:val="en-GB"/>
        </w:rPr>
        <w:t xml:space="preserve">Specifically, the Government of Canada has failed to </w:t>
      </w:r>
      <w:r w:rsidR="001C6478">
        <w:rPr>
          <w:lang w:val="en-GB"/>
        </w:rPr>
        <w:t xml:space="preserve">implement </w:t>
      </w:r>
      <w:r w:rsidR="00EC677D">
        <w:rPr>
          <w:lang w:val="en-GB"/>
        </w:rPr>
        <w:t xml:space="preserve">a comprehensive set of national guidelines for sexual health education resulting in severe discrepancies between provinces in related curriculum. </w:t>
      </w:r>
    </w:p>
    <w:p w14:paraId="3EAC36FB" w14:textId="104D7E2B" w:rsidR="00D4566D" w:rsidRDefault="00D4566D" w:rsidP="00D4566D">
      <w:pPr>
        <w:pStyle w:val="ListParagraph"/>
      </w:pPr>
    </w:p>
    <w:p w14:paraId="0963B383" w14:textId="7599D11E" w:rsidR="000D3B8D" w:rsidRPr="00256756" w:rsidRDefault="00756EB7" w:rsidP="007E68CA">
      <w:pPr>
        <w:pStyle w:val="ListParagraph"/>
        <w:numPr>
          <w:ilvl w:val="0"/>
          <w:numId w:val="1"/>
        </w:numPr>
      </w:pPr>
      <w:r>
        <w:t>In 2008</w:t>
      </w:r>
      <w:r w:rsidR="000D3B8D" w:rsidRPr="00256756">
        <w:t xml:space="preserve">, the Public Health Agency of Canada </w:t>
      </w:r>
      <w:r>
        <w:t xml:space="preserve">revised its </w:t>
      </w:r>
      <w:r w:rsidR="000D3B8D" w:rsidRPr="00256756">
        <w:t>guideli</w:t>
      </w:r>
      <w:r w:rsidR="009F6500">
        <w:t>nes for sexual health education</w:t>
      </w:r>
      <w:r w:rsidR="00E93757">
        <w:t>,</w:t>
      </w:r>
      <w:r w:rsidR="00F8306F">
        <w:t xml:space="preserve"> </w:t>
      </w:r>
      <w:r w:rsidR="0077768A">
        <w:t xml:space="preserve">developed to </w:t>
      </w:r>
      <w:r w:rsidR="009F6500">
        <w:t xml:space="preserve">provide </w:t>
      </w:r>
      <w:r w:rsidR="00AF5E6A">
        <w:t xml:space="preserve">a </w:t>
      </w:r>
      <w:r w:rsidR="009F6500">
        <w:t>“framework that outlines principles for the development and evaluation of comprehensive evidence-based sexual health education. Guideline statements support each principle and provide the context for effective and inclusive sexual health education programs and policies in Canada.”</w:t>
      </w:r>
      <w:r w:rsidR="00F8306F" w:rsidRPr="00256756">
        <w:rPr>
          <w:vertAlign w:val="superscript"/>
        </w:rPr>
        <w:footnoteReference w:id="23"/>
      </w:r>
      <w:r w:rsidR="00E93757">
        <w:t xml:space="preserve"> </w:t>
      </w:r>
      <w:r w:rsidR="000D3B8D" w:rsidRPr="00256756">
        <w:t>Due to the division of power between federal and provincial jurisdictions, the guidelines have not been consistently implemented across Canada, nor are there standards through which sexual health education curriculums can be monitored and evaluated. In Ontario, critics claim the sexuality education curriculum is the most outdated in the country.</w:t>
      </w:r>
      <w:r w:rsidR="000D3B8D" w:rsidRPr="00256756">
        <w:rPr>
          <w:vertAlign w:val="superscript"/>
        </w:rPr>
        <w:footnoteReference w:id="24"/>
      </w:r>
      <w:r w:rsidR="000D3B8D" w:rsidRPr="00E93757">
        <w:rPr>
          <w:vertAlign w:val="superscript"/>
        </w:rPr>
        <w:t xml:space="preserve">  </w:t>
      </w:r>
      <w:r w:rsidR="000D3B8D" w:rsidRPr="00256756">
        <w:t xml:space="preserve">The current curriculum </w:t>
      </w:r>
      <w:r w:rsidR="000D3B8D" w:rsidRPr="00E93757">
        <w:rPr>
          <w:highlight w:val="white"/>
        </w:rPr>
        <w:t>“does not include references to sexual orientation, gender identity, homophobia or families with same-sex parents and is not in alignment with a number of existing provincial policies (i.e. the Accepting Schools Act and the Equity and Inclusive Education policy).”</w:t>
      </w:r>
      <w:r w:rsidR="000D3B8D" w:rsidRPr="00256756">
        <w:rPr>
          <w:highlight w:val="white"/>
          <w:vertAlign w:val="superscript"/>
        </w:rPr>
        <w:footnoteReference w:id="25"/>
      </w:r>
      <w:r w:rsidR="000D3B8D" w:rsidRPr="00E93757">
        <w:rPr>
          <w:highlight w:val="white"/>
        </w:rPr>
        <w:t xml:space="preserve"> </w:t>
      </w:r>
      <w:r w:rsidR="000D3B8D" w:rsidRPr="00256756">
        <w:t xml:space="preserve">In response, in 2010, the Ontario Ministry of Education released a revised </w:t>
      </w:r>
      <w:r w:rsidR="000D3B8D" w:rsidRPr="00E93757">
        <w:rPr>
          <w:i/>
        </w:rPr>
        <w:t>Health and physical education</w:t>
      </w:r>
      <w:r w:rsidR="000D3B8D" w:rsidRPr="00256756">
        <w:t xml:space="preserve"> curriculum covering a range of issues related to health, </w:t>
      </w:r>
      <w:r w:rsidR="000D3B8D" w:rsidRPr="00E93757">
        <w:rPr>
          <w:highlight w:val="white"/>
        </w:rPr>
        <w:t xml:space="preserve">physical activity and sexual health based on the gathering of evidence and best practices and in consultation with relevant stakeholders. </w:t>
      </w:r>
      <w:r w:rsidR="000D3B8D" w:rsidRPr="00256756">
        <w:t>Four years later, the government has yet to approve the curriculum, leaving students and teachers with an out-dated curriculum developed in the 1990s.</w:t>
      </w:r>
    </w:p>
    <w:p w14:paraId="50EA6428" w14:textId="58FDF74B" w:rsidR="00D91CFD" w:rsidRDefault="00D91CFD" w:rsidP="00D91CFD">
      <w:pPr>
        <w:pStyle w:val="ListParagraph"/>
      </w:pPr>
    </w:p>
    <w:p w14:paraId="3661FE67" w14:textId="799A2E40" w:rsidR="007F10AB" w:rsidRPr="00401A90" w:rsidRDefault="000D3B8D" w:rsidP="008E2706">
      <w:pPr>
        <w:pStyle w:val="ListParagraph"/>
        <w:numPr>
          <w:ilvl w:val="0"/>
          <w:numId w:val="1"/>
        </w:numPr>
      </w:pPr>
      <w:r w:rsidRPr="00256756">
        <w:t>In Alberta, some school boards allow religious groups to deliver sexuality education, which can contain inaccurate and misleading information regarding sexual and reproductive health, diverse family formations and scientific evidence.</w:t>
      </w:r>
      <w:r w:rsidRPr="00256756">
        <w:rPr>
          <w:vertAlign w:val="superscript"/>
        </w:rPr>
        <w:footnoteReference w:id="26"/>
      </w:r>
      <w:r w:rsidRPr="00256756">
        <w:rPr>
          <w:vertAlign w:val="superscript"/>
        </w:rPr>
        <w:t xml:space="preserve"> </w:t>
      </w:r>
      <w:r w:rsidRPr="00256756">
        <w:t xml:space="preserve">In 2014, an Edmonton student launched a human rights complaint with the Alberta Human Rights Commission providing evidence that religious groups were delivering misleading information to students on issues related to contraception and sexually transmitted infections (STIs), within an </w:t>
      </w:r>
      <w:r w:rsidRPr="00256756">
        <w:rPr>
          <w:i/>
        </w:rPr>
        <w:t>abstinence</w:t>
      </w:r>
      <w:r w:rsidRPr="00256756">
        <w:t xml:space="preserve">-based approach. Such an approach has the potential to increase the prevalence of STIs, unwanted pregnancies and negative health outcomes, as it limits </w:t>
      </w:r>
      <w:r w:rsidRPr="00256756">
        <w:lastRenderedPageBreak/>
        <w:t xml:space="preserve">young people’s access to comprehensive, evidence-based and scientific information related to </w:t>
      </w:r>
      <w:r w:rsidR="008E2706">
        <w:t xml:space="preserve">sexual and reproductive </w:t>
      </w:r>
      <w:r w:rsidR="009F19C9" w:rsidRPr="008E2706">
        <w:rPr>
          <w:noProof/>
          <w:lang w:eastAsia="en-CA"/>
        </w:rPr>
        <mc:AlternateContent>
          <mc:Choice Requires="wps">
            <w:drawing>
              <wp:anchor distT="45720" distB="45720" distL="114300" distR="114300" simplePos="0" relativeHeight="251663360" behindDoc="0" locked="0" layoutInCell="1" allowOverlap="1" wp14:anchorId="755E2C4F" wp14:editId="0B07AC78">
                <wp:simplePos x="0" y="0"/>
                <wp:positionH relativeFrom="margin">
                  <wp:posOffset>135090</wp:posOffset>
                </wp:positionH>
                <wp:positionV relativeFrom="paragraph">
                  <wp:posOffset>489695</wp:posOffset>
                </wp:positionV>
                <wp:extent cx="6838950" cy="1404620"/>
                <wp:effectExtent l="0" t="0" r="19050"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404620"/>
                        </a:xfrm>
                        <a:prstGeom prst="rect">
                          <a:avLst/>
                        </a:prstGeom>
                        <a:solidFill>
                          <a:srgbClr val="FFFFFF"/>
                        </a:solidFill>
                        <a:ln w="9525">
                          <a:solidFill>
                            <a:srgbClr val="000000"/>
                          </a:solidFill>
                          <a:miter lim="800000"/>
                          <a:headEnd/>
                          <a:tailEnd/>
                        </a:ln>
                      </wps:spPr>
                      <wps:txbx>
                        <w:txbxContent>
                          <w:p w14:paraId="2A880409" w14:textId="77777777" w:rsidR="0080618D" w:rsidRDefault="0080618D" w:rsidP="0080618D">
                            <w:pPr>
                              <w:pStyle w:val="Heading3"/>
                              <w:rPr>
                                <w:lang w:val="en-GB"/>
                              </w:rPr>
                            </w:pPr>
                            <w:r>
                              <w:rPr>
                                <w:lang w:val="en-GB"/>
                              </w:rPr>
                              <w:t>Recommended Questions to be included in the List of Issues</w:t>
                            </w:r>
                          </w:p>
                          <w:p w14:paraId="3EC4031B" w14:textId="60D4151C" w:rsidR="0035226F" w:rsidRPr="002F6BBF" w:rsidRDefault="00AA2B2B" w:rsidP="0035226F">
                            <w:r>
                              <w:t xml:space="preserve">Recognizing the division of powers outlined in the Constitution of Canada as it relates to </w:t>
                            </w:r>
                            <w:r w:rsidR="00685D4C">
                              <w:t xml:space="preserve">legislation respecting education, </w:t>
                            </w:r>
                          </w:p>
                          <w:p w14:paraId="03D8CF8B" w14:textId="3B8768CD" w:rsidR="008E2706" w:rsidRPr="0035226F" w:rsidRDefault="0035226F" w:rsidP="00247ED6">
                            <w:pPr>
                              <w:pStyle w:val="ListParagraph"/>
                              <w:numPr>
                                <w:ilvl w:val="0"/>
                                <w:numId w:val="15"/>
                              </w:numPr>
                              <w:spacing w:before="120"/>
                            </w:pPr>
                            <w:r>
                              <w:t xml:space="preserve">What steps can the </w:t>
                            </w:r>
                            <w:r w:rsidR="008E2706" w:rsidRPr="0035226F">
                              <w:t xml:space="preserve">Government of Canada </w:t>
                            </w:r>
                            <w:r>
                              <w:t xml:space="preserve">take to </w:t>
                            </w:r>
                            <w:r w:rsidR="008E2706" w:rsidRPr="0035226F">
                              <w:t>systematically offer comprehensive, evidence-based, and scientifically accurate sexuality education at all levels of education?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5E2C4F" id="_x0000_s1028" type="#_x0000_t202" style="position:absolute;left:0;text-align:left;margin-left:10.65pt;margin-top:38.55pt;width:53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">
                <v:textbox style="mso-fit-shape-to-text:t">
                  <w:txbxContent>
                    <w:p w14:paraId="2A880409" w14:textId="77777777" w:rsidR="0080618D" w:rsidRDefault="0080618D" w:rsidP="0080618D">
                      <w:pPr>
                        <w:pStyle w:val="Heading3"/>
                        <w:rPr>
                          <w:lang w:val="en-GB"/>
                        </w:rPr>
                      </w:pPr>
                      <w:r>
                        <w:rPr>
                          <w:lang w:val="en-GB"/>
                        </w:rPr>
                        <w:t>Recommended Questions to be included in the List of Issues</w:t>
                      </w:r>
                    </w:p>
                    <w:p w14:paraId="3EC4031B" w14:textId="60D4151C" w:rsidR="0035226F" w:rsidRPr="002F6BBF" w:rsidRDefault="00AA2B2B" w:rsidP="0035226F">
                      <w:r>
                        <w:t xml:space="preserve">Recognizing the division of powers outlined in the Constitution of Canada as it relates to </w:t>
                      </w:r>
                      <w:r w:rsidR="00685D4C">
                        <w:t xml:space="preserve">legislation respecting education, </w:t>
                      </w:r>
                    </w:p>
                    <w:p w14:paraId="03D8CF8B" w14:textId="3B8768CD" w:rsidR="008E2706" w:rsidRPr="0035226F" w:rsidRDefault="0035226F" w:rsidP="00247ED6">
                      <w:pPr>
                        <w:pStyle w:val="ListParagraph"/>
                        <w:numPr>
                          <w:ilvl w:val="0"/>
                          <w:numId w:val="15"/>
                        </w:numPr>
                        <w:spacing w:before="120"/>
                      </w:pPr>
                      <w:r>
                        <w:t xml:space="preserve">What steps can the </w:t>
                      </w:r>
                      <w:r w:rsidR="008E2706" w:rsidRPr="0035226F">
                        <w:t xml:space="preserve">Government of Canada </w:t>
                      </w:r>
                      <w:r>
                        <w:t xml:space="preserve">take to </w:t>
                      </w:r>
                      <w:r w:rsidR="008E2706" w:rsidRPr="0035226F">
                        <w:t>systematically offer comprehensive, evidence-based, and scientifically accurate sexuality education at all levels of education?</w:t>
                      </w:r>
                    </w:p>
                  </w:txbxContent>
                </v:textbox>
                <w10:wrap type="square" anchorx="margin"/>
              </v:shape>
            </w:pict>
          </mc:Fallback>
        </mc:AlternateContent>
      </w:r>
      <w:r w:rsidR="008E2706">
        <w:t>health.</w:t>
      </w:r>
      <w:r w:rsidR="00400577">
        <w:t xml:space="preserve"> </w:t>
      </w:r>
    </w:p>
    <w:sectPr w:rsidR="007F10AB" w:rsidRPr="00401A90" w:rsidSect="0075788B">
      <w:footerReference w:type="default" r:id="rI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56AF8" w14:textId="77777777" w:rsidR="00D46F2E" w:rsidRDefault="00D46F2E" w:rsidP="00AD7149">
      <w:pPr>
        <w:spacing w:after="0" w:line="240" w:lineRule="auto"/>
      </w:pPr>
      <w:r>
        <w:separator/>
      </w:r>
    </w:p>
  </w:endnote>
  <w:endnote w:type="continuationSeparator" w:id="0">
    <w:p w14:paraId="5C4EC4D3" w14:textId="77777777" w:rsidR="00D46F2E" w:rsidRDefault="00D46F2E" w:rsidP="00AD7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Garamond Pro">
    <w:panose1 w:val="02020502060506020403"/>
    <w:charset w:val="00"/>
    <w:family w:val="roman"/>
    <w:notTrueType/>
    <w:pitch w:val="variable"/>
    <w:sig w:usb0="00000007" w:usb1="00000001" w:usb2="00000000" w:usb3="00000000" w:csb0="00000093"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29825"/>
      <w:docPartObj>
        <w:docPartGallery w:val="Page Numbers (Bottom of Page)"/>
        <w:docPartUnique/>
      </w:docPartObj>
    </w:sdtPr>
    <w:sdtEndPr>
      <w:rPr>
        <w:noProof/>
      </w:rPr>
    </w:sdtEndPr>
    <w:sdtContent>
      <w:p w14:paraId="746F9E82" w14:textId="77777777" w:rsidR="0062457E" w:rsidRDefault="0062457E">
        <w:pPr>
          <w:pStyle w:val="Footer"/>
          <w:jc w:val="right"/>
        </w:pPr>
        <w:r>
          <w:fldChar w:fldCharType="begin"/>
        </w:r>
        <w:r>
          <w:instrText xml:space="preserve"> PAGE   \* MERGEFORMAT </w:instrText>
        </w:r>
        <w:r>
          <w:fldChar w:fldCharType="separate"/>
        </w:r>
        <w:r w:rsidR="00D764A1">
          <w:rPr>
            <w:noProof/>
          </w:rPr>
          <w:t>7</w:t>
        </w:r>
        <w:r>
          <w:rPr>
            <w:noProof/>
          </w:rPr>
          <w:fldChar w:fldCharType="end"/>
        </w:r>
      </w:p>
    </w:sdtContent>
  </w:sdt>
  <w:p w14:paraId="7920E672" w14:textId="77777777" w:rsidR="00BE71D0" w:rsidRDefault="00BE71D0">
    <w:pPr>
      <w:spacing w:after="0"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9F7E0" w14:textId="77777777" w:rsidR="00D46F2E" w:rsidRDefault="00D46F2E" w:rsidP="00AD7149">
      <w:pPr>
        <w:spacing w:after="0" w:line="240" w:lineRule="auto"/>
      </w:pPr>
      <w:r>
        <w:separator/>
      </w:r>
    </w:p>
  </w:footnote>
  <w:footnote w:type="continuationSeparator" w:id="0">
    <w:p w14:paraId="37F1B40B" w14:textId="77777777" w:rsidR="00D46F2E" w:rsidRDefault="00D46F2E" w:rsidP="00AD7149">
      <w:pPr>
        <w:spacing w:after="0" w:line="240" w:lineRule="auto"/>
      </w:pPr>
      <w:r>
        <w:continuationSeparator/>
      </w:r>
    </w:p>
  </w:footnote>
  <w:footnote w:id="1">
    <w:p w14:paraId="6ABF8A67"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Committee on Economic, Social and Cultural Rights (CESCR). 2008. E/C.12/KEN/CO/1.</w:t>
      </w:r>
    </w:p>
  </w:footnote>
  <w:footnote w:id="2">
    <w:p w14:paraId="512D7CCA"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2009. E/C.12/POL/CO/5.</w:t>
      </w:r>
    </w:p>
  </w:footnote>
  <w:footnote w:id="3">
    <w:p w14:paraId="59193663"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2000. General Comment No. 14. “The right to the highest attainable standard of health (article 12 of the International Covenant on Economic, Social and Cultural Rights), para 8. </w:t>
      </w:r>
    </w:p>
  </w:footnote>
  <w:footnote w:id="4">
    <w:p w14:paraId="3748481C"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2000. General Comment No. 14. “The right to the highest attainable standard of health (article 12 of the International Covenant on Economic, Social and Cultural Rights), para 14.</w:t>
      </w:r>
    </w:p>
  </w:footnote>
  <w:footnote w:id="5">
    <w:p w14:paraId="6B033356"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2000. General Comment No. 14. “The right to the highest attainable standard of health (article 12 of the International Covenant on Economic, Social and Cultural Rights), para 21.</w:t>
      </w:r>
    </w:p>
  </w:footnote>
  <w:footnote w:id="6">
    <w:p w14:paraId="74D549EC"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2005. General Comment No. 16. “The equal right of men and women to the enjoyment of all economic, social and cultural rights (art. 3 of the International Covenant on Economic, Social and Cultural Rights), para 29.</w:t>
      </w:r>
    </w:p>
  </w:footnote>
  <w:footnote w:id="7">
    <w:p w14:paraId="13224410" w14:textId="77777777" w:rsidR="005E61CA" w:rsidRPr="0018319F" w:rsidRDefault="005E61CA" w:rsidP="00F81AC5">
      <w:pPr>
        <w:spacing w:after="0" w:line="240" w:lineRule="auto"/>
        <w:rPr>
          <w:sz w:val="16"/>
          <w:szCs w:val="16"/>
          <w:lang w:val="en-US"/>
        </w:rPr>
      </w:pPr>
      <w:r w:rsidRPr="0018319F">
        <w:rPr>
          <w:rStyle w:val="FootnoteReference"/>
          <w:sz w:val="16"/>
          <w:szCs w:val="16"/>
        </w:rPr>
        <w:footnoteRef/>
      </w:r>
      <w:r w:rsidRPr="0018319F">
        <w:rPr>
          <w:sz w:val="16"/>
          <w:szCs w:val="16"/>
        </w:rPr>
        <w:t xml:space="preserve"> Norman WV, Soon JA, Maughn N, Dressler J (2013). </w:t>
      </w:r>
      <w:r w:rsidRPr="0018319F">
        <w:rPr>
          <w:i/>
          <w:sz w:val="16"/>
          <w:szCs w:val="16"/>
        </w:rPr>
        <w:t>Barriers to Rural Induced Abortion Services in Canada: Findings of the British Columbia Abortion Providers Survey (BCAPS)</w:t>
      </w:r>
      <w:r w:rsidRPr="0018319F">
        <w:rPr>
          <w:sz w:val="16"/>
          <w:szCs w:val="16"/>
        </w:rPr>
        <w:t>. PLoS ONE 8(6).</w:t>
      </w:r>
    </w:p>
  </w:footnote>
  <w:footnote w:id="8">
    <w:p w14:paraId="2499E365" w14:textId="77777777" w:rsidR="005E61CA" w:rsidRPr="0018319F" w:rsidRDefault="005E61CA" w:rsidP="00F81AC5">
      <w:pPr>
        <w:spacing w:after="0" w:line="240" w:lineRule="auto"/>
        <w:rPr>
          <w:sz w:val="16"/>
          <w:szCs w:val="16"/>
          <w:lang w:val="en-US"/>
        </w:rPr>
      </w:pPr>
      <w:r w:rsidRPr="0018319F">
        <w:rPr>
          <w:rStyle w:val="FootnoteReference"/>
          <w:sz w:val="16"/>
          <w:szCs w:val="16"/>
        </w:rPr>
        <w:footnoteRef/>
      </w:r>
      <w:r w:rsidRPr="0018319F">
        <w:rPr>
          <w:sz w:val="16"/>
          <w:szCs w:val="16"/>
        </w:rPr>
        <w:t xml:space="preserve"> Shaw, Jessica (2006). </w:t>
      </w:r>
      <w:r w:rsidRPr="0018319F">
        <w:rPr>
          <w:i/>
          <w:sz w:val="16"/>
          <w:szCs w:val="16"/>
        </w:rPr>
        <w:t>Reality Check: A Close Look At Accessing Hospital Abortion Services In Canada</w:t>
      </w:r>
      <w:r w:rsidRPr="0018319F">
        <w:rPr>
          <w:sz w:val="16"/>
          <w:szCs w:val="16"/>
        </w:rPr>
        <w:t>. Ottawa: Canadians for Choice. [This qualitative study has not been updated thus this data has not been validated since 2006 –but to our knowledge, a number of hospitals have ceased offering abortion services since that time, and as a result we would expect the current picture to reflect an even more significant disparity.]</w:t>
      </w:r>
    </w:p>
  </w:footnote>
  <w:footnote w:id="9">
    <w:p w14:paraId="7EFD1A99" w14:textId="02FFA328" w:rsidR="003A33C3" w:rsidRPr="0018319F" w:rsidRDefault="003A33C3">
      <w:pPr>
        <w:pStyle w:val="FootnoteText"/>
        <w:rPr>
          <w:sz w:val="16"/>
          <w:szCs w:val="16"/>
        </w:rPr>
      </w:pPr>
      <w:r w:rsidRPr="0018319F">
        <w:rPr>
          <w:rStyle w:val="FootnoteReference"/>
          <w:sz w:val="16"/>
          <w:szCs w:val="16"/>
        </w:rPr>
        <w:footnoteRef/>
      </w:r>
      <w:r w:rsidRPr="0018319F">
        <w:rPr>
          <w:sz w:val="16"/>
          <w:szCs w:val="16"/>
        </w:rPr>
        <w:t xml:space="preserve"> In 2001, the Federal Health Minister warned four provinces: Quebec, Manitoba, New Brunswick and Prince Edward Island, that their failure to cover fees charged at private abortion clinics constituted violation of the Act. In August 2006, the Superior Court of Quebec ordered Quebec to refund fees paid by women for abortions in private clinics between 1999 and 2006. Deductions have been made from cash contributions to Newfoundland and Labrador in 1998 and to Nova Scotia in 2003 based on charges made to patients for facility fees at private abortion clinics.</w:t>
      </w:r>
    </w:p>
  </w:footnote>
  <w:footnote w:id="10">
    <w:p w14:paraId="71A5BFBE" w14:textId="0E11DC22" w:rsidR="00BC39D5" w:rsidRPr="0018319F" w:rsidRDefault="00BC39D5" w:rsidP="00F81AC5">
      <w:pPr>
        <w:pStyle w:val="FootnoteText"/>
        <w:rPr>
          <w:sz w:val="16"/>
          <w:szCs w:val="16"/>
        </w:rPr>
      </w:pPr>
      <w:r w:rsidRPr="0018319F">
        <w:rPr>
          <w:rStyle w:val="FootnoteReference"/>
          <w:sz w:val="16"/>
          <w:szCs w:val="16"/>
        </w:rPr>
        <w:footnoteRef/>
      </w:r>
      <w:r w:rsidRPr="0018319F">
        <w:rPr>
          <w:sz w:val="16"/>
          <w:szCs w:val="16"/>
        </w:rPr>
        <w:t xml:space="preserve"> 84-20 of the Medical Services Payment Act.</w:t>
      </w:r>
    </w:p>
  </w:footnote>
  <w:footnote w:id="11">
    <w:p w14:paraId="3466BE85" w14:textId="77777777" w:rsidR="00781B67" w:rsidRPr="0018319F" w:rsidRDefault="00781B67" w:rsidP="00F81AC5">
      <w:pPr>
        <w:pStyle w:val="FootnoteText"/>
        <w:rPr>
          <w:sz w:val="16"/>
          <w:szCs w:val="16"/>
        </w:rPr>
      </w:pPr>
      <w:r w:rsidRPr="0018319F">
        <w:rPr>
          <w:rStyle w:val="FootnoteReference"/>
          <w:sz w:val="16"/>
          <w:szCs w:val="16"/>
        </w:rPr>
        <w:footnoteRef/>
      </w:r>
      <w:r w:rsidRPr="0018319F">
        <w:rPr>
          <w:sz w:val="16"/>
          <w:szCs w:val="16"/>
        </w:rPr>
        <w:t xml:space="preserve"> Allen, Tess. October 20 2014. ‘Lacking access to abortion access, New Brunswick women head to Main abortion clinics.’ </w:t>
      </w:r>
      <w:hyperlink r:id="rId1" w:history="1">
        <w:r w:rsidRPr="0018319F">
          <w:rPr>
            <w:rStyle w:val="Hyperlink"/>
            <w:sz w:val="16"/>
            <w:szCs w:val="16"/>
          </w:rPr>
          <w:t>http://rabble.ca/news/2014/10/lacking-abortion-access-new-brunswick-women-head-maine-abortion-clinics</w:t>
        </w:r>
      </w:hyperlink>
      <w:r w:rsidRPr="0018319F">
        <w:rPr>
          <w:sz w:val="16"/>
          <w:szCs w:val="16"/>
        </w:rPr>
        <w:t xml:space="preserve"> and </w:t>
      </w:r>
      <w:hyperlink r:id="rId2" w:history="1">
        <w:r w:rsidRPr="0018319F">
          <w:rPr>
            <w:rStyle w:val="Hyperlink"/>
            <w:sz w:val="16"/>
            <w:szCs w:val="16"/>
          </w:rPr>
          <w:t>http://rabble.ca/columnists/2014/05/new-brunswick-invites-return-unsafe-abortions</w:t>
        </w:r>
      </w:hyperlink>
      <w:r w:rsidRPr="0018319F">
        <w:rPr>
          <w:sz w:val="16"/>
          <w:szCs w:val="16"/>
        </w:rPr>
        <w:t xml:space="preserve"> </w:t>
      </w:r>
    </w:p>
  </w:footnote>
  <w:footnote w:id="12">
    <w:p w14:paraId="2DD50220"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CESCR. 2009. E/C.12/POL/CO/5. </w:t>
      </w:r>
    </w:p>
  </w:footnote>
  <w:footnote w:id="13">
    <w:p w14:paraId="447B8C4B" w14:textId="56188EAF" w:rsidR="0018319F" w:rsidRPr="0018319F" w:rsidRDefault="0018319F">
      <w:pPr>
        <w:pStyle w:val="FootnoteText"/>
        <w:rPr>
          <w:sz w:val="16"/>
          <w:szCs w:val="16"/>
        </w:rPr>
      </w:pPr>
      <w:r w:rsidRPr="0018319F">
        <w:rPr>
          <w:rStyle w:val="FootnoteReference"/>
          <w:sz w:val="16"/>
          <w:szCs w:val="16"/>
        </w:rPr>
        <w:footnoteRef/>
      </w:r>
      <w:r w:rsidRPr="0018319F">
        <w:rPr>
          <w:sz w:val="16"/>
          <w:szCs w:val="16"/>
        </w:rPr>
        <w:t xml:space="preserve"> Committee on the Elimination of Discrimination Against Women. 2013. CEDAW/C/HUN/CO/7-8.</w:t>
      </w:r>
    </w:p>
  </w:footnote>
  <w:footnote w:id="14">
    <w:p w14:paraId="456A808D" w14:textId="77777777"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United Nations. 2011. Interim report of the Special Rapporteur on the right of everyone to the enjoyment of the highest attainable standard of physical and mental health. A/66/254. New York, UN General Assembly; para 24 and para 65 (m). </w:t>
      </w:r>
    </w:p>
  </w:footnote>
  <w:footnote w:id="15">
    <w:p w14:paraId="21D2773E" w14:textId="0B223365" w:rsidR="003243CE" w:rsidRPr="0018319F" w:rsidRDefault="003243CE" w:rsidP="00F81AC5">
      <w:pPr>
        <w:pStyle w:val="FootnoteText"/>
        <w:rPr>
          <w:sz w:val="16"/>
          <w:szCs w:val="16"/>
        </w:rPr>
      </w:pPr>
      <w:r w:rsidRPr="0018319F">
        <w:rPr>
          <w:rStyle w:val="FootnoteReference"/>
          <w:sz w:val="16"/>
          <w:szCs w:val="16"/>
        </w:rPr>
        <w:footnoteRef/>
      </w:r>
      <w:r w:rsidRPr="0018319F">
        <w:rPr>
          <w:sz w:val="16"/>
          <w:szCs w:val="16"/>
        </w:rPr>
        <w:t xml:space="preserve"> </w:t>
      </w:r>
      <w:r w:rsidR="009D4B4D" w:rsidRPr="0018319F">
        <w:rPr>
          <w:sz w:val="16"/>
          <w:szCs w:val="16"/>
        </w:rPr>
        <w:t>International Federation of Gynecology and Obstetricts. 2005. Ethical Guidelines on Conscientious Objection, p.</w:t>
      </w:r>
      <w:r w:rsidRPr="0018319F">
        <w:rPr>
          <w:sz w:val="16"/>
          <w:szCs w:val="16"/>
        </w:rPr>
        <w:t xml:space="preserve"> 25-27. </w:t>
      </w:r>
    </w:p>
  </w:footnote>
  <w:footnote w:id="16">
    <w:p w14:paraId="62CD596D" w14:textId="77777777" w:rsidR="009112E9" w:rsidRPr="0018319F" w:rsidRDefault="009112E9" w:rsidP="00F81AC5">
      <w:pPr>
        <w:spacing w:after="0" w:line="240" w:lineRule="auto"/>
        <w:rPr>
          <w:sz w:val="16"/>
          <w:szCs w:val="16"/>
        </w:rPr>
      </w:pPr>
      <w:r w:rsidRPr="0018319F">
        <w:rPr>
          <w:rStyle w:val="FootnoteReference"/>
          <w:sz w:val="16"/>
          <w:szCs w:val="16"/>
        </w:rPr>
        <w:footnoteRef/>
      </w:r>
      <w:r w:rsidRPr="0018319F">
        <w:rPr>
          <w:sz w:val="16"/>
          <w:szCs w:val="16"/>
        </w:rPr>
        <w:t xml:space="preserve"> “It Happened To Me: I Asked For Birth Control And Got A Form Letter Saying ‘No.’” </w:t>
      </w:r>
      <w:r w:rsidRPr="0018319F">
        <w:rPr>
          <w:i/>
          <w:sz w:val="16"/>
          <w:szCs w:val="16"/>
        </w:rPr>
        <w:t>XO Jane</w:t>
      </w:r>
      <w:r w:rsidRPr="0018319F">
        <w:rPr>
          <w:sz w:val="16"/>
          <w:szCs w:val="16"/>
        </w:rPr>
        <w:t xml:space="preserve">, </w:t>
      </w:r>
      <w:r w:rsidRPr="0018319F">
        <w:rPr>
          <w:rStyle w:val="relative-date"/>
          <w:rFonts w:eastAsia="Times New Roman"/>
          <w:sz w:val="16"/>
          <w:szCs w:val="16"/>
        </w:rPr>
        <w:t xml:space="preserve">February 4, 2014. </w:t>
      </w:r>
      <w:hyperlink r:id="rId3" w:history="1">
        <w:r w:rsidRPr="0018319F">
          <w:rPr>
            <w:rStyle w:val="Hyperlink"/>
            <w:rFonts w:eastAsia="Times New Roman"/>
            <w:sz w:val="16"/>
            <w:szCs w:val="16"/>
          </w:rPr>
          <w:t>http://www.xojane.com/it-happened-to-me/it-happened-to-me-my-doctor-refused-to-refill-my-birth-control</w:t>
        </w:r>
      </w:hyperlink>
      <w:r w:rsidRPr="0018319F">
        <w:rPr>
          <w:rStyle w:val="relative-date"/>
          <w:rFonts w:eastAsia="Times New Roman"/>
          <w:sz w:val="16"/>
          <w:szCs w:val="16"/>
        </w:rPr>
        <w:t xml:space="preserve"> </w:t>
      </w:r>
    </w:p>
  </w:footnote>
  <w:footnote w:id="17">
    <w:p w14:paraId="7AEC9451" w14:textId="77777777" w:rsidR="009112E9" w:rsidRPr="0018319F" w:rsidRDefault="009112E9" w:rsidP="00F81AC5">
      <w:pPr>
        <w:spacing w:after="0" w:line="240" w:lineRule="auto"/>
        <w:ind w:left="284" w:hanging="284"/>
        <w:rPr>
          <w:sz w:val="16"/>
          <w:szCs w:val="16"/>
        </w:rPr>
      </w:pPr>
      <w:r w:rsidRPr="0018319F">
        <w:rPr>
          <w:rStyle w:val="FootnoteReference"/>
          <w:sz w:val="16"/>
          <w:szCs w:val="16"/>
        </w:rPr>
        <w:footnoteRef/>
      </w:r>
      <w:r w:rsidRPr="0018319F">
        <w:rPr>
          <w:sz w:val="16"/>
          <w:szCs w:val="16"/>
        </w:rPr>
        <w:t xml:space="preserve"> Grant, Kelly. “Policy allowing doctors to deny treatment on moral or religious grounds under review.” </w:t>
      </w:r>
      <w:r w:rsidRPr="0018319F">
        <w:rPr>
          <w:i/>
          <w:sz w:val="16"/>
          <w:szCs w:val="16"/>
        </w:rPr>
        <w:t>The Globe and Mail</w:t>
      </w:r>
      <w:r w:rsidRPr="0018319F">
        <w:rPr>
          <w:sz w:val="16"/>
          <w:szCs w:val="16"/>
        </w:rPr>
        <w:t>, July 02, 2014.</w:t>
      </w:r>
    </w:p>
  </w:footnote>
  <w:footnote w:id="18">
    <w:p w14:paraId="7A23E570" w14:textId="77777777" w:rsidR="00D4566D" w:rsidRPr="0018319F" w:rsidRDefault="00D4566D" w:rsidP="00F81AC5">
      <w:pPr>
        <w:pStyle w:val="FootnoteText"/>
        <w:rPr>
          <w:sz w:val="16"/>
          <w:szCs w:val="16"/>
        </w:rPr>
      </w:pPr>
      <w:r w:rsidRPr="0018319F">
        <w:rPr>
          <w:rStyle w:val="FootnoteReference"/>
          <w:sz w:val="16"/>
          <w:szCs w:val="16"/>
        </w:rPr>
        <w:footnoteRef/>
      </w:r>
      <w:r w:rsidRPr="0018319F">
        <w:rPr>
          <w:sz w:val="16"/>
          <w:szCs w:val="16"/>
        </w:rPr>
        <w:t xml:space="preserve"> CESCR. 2000. General Comment No. 14, supra note 2, para. 11.</w:t>
      </w:r>
    </w:p>
  </w:footnote>
  <w:footnote w:id="19">
    <w:p w14:paraId="4E25FDB6" w14:textId="77777777" w:rsidR="00D4566D" w:rsidRPr="0018319F" w:rsidRDefault="00D4566D" w:rsidP="00F81AC5">
      <w:pPr>
        <w:pStyle w:val="FootnoteText"/>
        <w:rPr>
          <w:sz w:val="16"/>
          <w:szCs w:val="16"/>
        </w:rPr>
      </w:pPr>
      <w:r w:rsidRPr="0018319F">
        <w:rPr>
          <w:rStyle w:val="FootnoteReference"/>
          <w:sz w:val="16"/>
          <w:szCs w:val="16"/>
        </w:rPr>
        <w:footnoteRef/>
      </w:r>
      <w:r w:rsidRPr="0018319F">
        <w:rPr>
          <w:sz w:val="16"/>
          <w:szCs w:val="16"/>
        </w:rPr>
        <w:t xml:space="preserve"> CESCR, Concluding Observations: Poland, para. 31, U.N. Doc. E/C.12/POL/CO/5 (2009). See also, e.g., CESCR, Concluding Observations: Bolivia, para. 43, U.N. Doc. E/C.12/1/Add.60 (2001); China, para. 100, U.N. Doc. E/C.12/1/Add.107 (2005); Poland, paras. 28, 50, U.N. Doc. E/C.12/1/Add.82 (2002); Senegal, para. 47, U.N. Doc. E/C.12/1/Add.62 (2001); Ukraine, para. 31, U.N. Doc. E/C.12/1/Add.65 (2001). </w:t>
      </w:r>
      <w:hyperlink r:id="rId4" w:history="1">
        <w:r w:rsidRPr="0018319F">
          <w:rPr>
            <w:rStyle w:val="Hyperlink"/>
            <w:sz w:val="16"/>
            <w:szCs w:val="16"/>
          </w:rPr>
          <w:t>http://reproductiverights.org/sites/crr.civicactions.net/files/documents/CESCR_shadowletter_Russia_FINAL_web%20version.pdf</w:t>
        </w:r>
      </w:hyperlink>
      <w:r w:rsidRPr="0018319F">
        <w:rPr>
          <w:sz w:val="16"/>
          <w:szCs w:val="16"/>
        </w:rPr>
        <w:t xml:space="preserve"> </w:t>
      </w:r>
    </w:p>
  </w:footnote>
  <w:footnote w:id="20">
    <w:p w14:paraId="22831672" w14:textId="77777777" w:rsidR="00D4566D" w:rsidRPr="0018319F" w:rsidRDefault="00D4566D" w:rsidP="00F81AC5">
      <w:pPr>
        <w:pStyle w:val="FootnoteText"/>
        <w:rPr>
          <w:sz w:val="16"/>
          <w:szCs w:val="16"/>
        </w:rPr>
      </w:pPr>
      <w:r w:rsidRPr="0018319F">
        <w:rPr>
          <w:rStyle w:val="FootnoteReference"/>
          <w:sz w:val="16"/>
          <w:szCs w:val="16"/>
        </w:rPr>
        <w:footnoteRef/>
      </w:r>
      <w:r w:rsidRPr="0018319F">
        <w:rPr>
          <w:sz w:val="16"/>
          <w:szCs w:val="16"/>
        </w:rPr>
        <w:t xml:space="preserve"> CESCR. 2010. Concluding observations, Kazakhstan. E/C.12/KAZ/CO/1. </w:t>
      </w:r>
    </w:p>
  </w:footnote>
  <w:footnote w:id="21">
    <w:p w14:paraId="1A00D966" w14:textId="77777777" w:rsidR="00D4566D" w:rsidRPr="0018319F" w:rsidRDefault="00D4566D" w:rsidP="00F81AC5">
      <w:pPr>
        <w:pStyle w:val="FootnoteText"/>
        <w:rPr>
          <w:sz w:val="16"/>
          <w:szCs w:val="16"/>
        </w:rPr>
      </w:pPr>
      <w:r w:rsidRPr="0018319F">
        <w:rPr>
          <w:rStyle w:val="FootnoteReference"/>
          <w:sz w:val="16"/>
          <w:szCs w:val="16"/>
        </w:rPr>
        <w:footnoteRef/>
      </w:r>
      <w:r w:rsidRPr="0018319F">
        <w:rPr>
          <w:sz w:val="16"/>
          <w:szCs w:val="16"/>
        </w:rPr>
        <w:t xml:space="preserve"> CESCR. 2010. Concluding observations, Sri Lanka. E/C.12/LKA/CO/2-4. </w:t>
      </w:r>
    </w:p>
  </w:footnote>
  <w:footnote w:id="22">
    <w:p w14:paraId="2DA0EA8F" w14:textId="77777777" w:rsidR="00D4566D" w:rsidRPr="0018319F" w:rsidRDefault="00D4566D" w:rsidP="00F81AC5">
      <w:pPr>
        <w:pStyle w:val="FootnoteText"/>
        <w:rPr>
          <w:sz w:val="16"/>
          <w:szCs w:val="16"/>
        </w:rPr>
      </w:pPr>
      <w:r w:rsidRPr="0018319F">
        <w:rPr>
          <w:rStyle w:val="FootnoteReference"/>
          <w:sz w:val="16"/>
          <w:szCs w:val="16"/>
        </w:rPr>
        <w:footnoteRef/>
      </w:r>
      <w:r w:rsidRPr="0018319F">
        <w:rPr>
          <w:sz w:val="16"/>
          <w:szCs w:val="16"/>
        </w:rPr>
        <w:t xml:space="preserve"> CESCR. 2014. Concluding observations, Armenia. E/C.12/ARM/CO/2-3 </w:t>
      </w:r>
    </w:p>
  </w:footnote>
  <w:footnote w:id="23">
    <w:p w14:paraId="51C959BD" w14:textId="77777777" w:rsidR="00F8306F" w:rsidRPr="0018319F" w:rsidRDefault="00F8306F" w:rsidP="00F8306F">
      <w:pPr>
        <w:spacing w:after="0" w:line="240" w:lineRule="auto"/>
        <w:ind w:left="284" w:hanging="284"/>
        <w:rPr>
          <w:b/>
          <w:sz w:val="16"/>
          <w:szCs w:val="16"/>
          <w:lang w:val="en-US"/>
        </w:rPr>
      </w:pPr>
      <w:r w:rsidRPr="0018319F">
        <w:rPr>
          <w:rStyle w:val="FootnoteReference"/>
          <w:sz w:val="16"/>
          <w:szCs w:val="16"/>
        </w:rPr>
        <w:footnoteRef/>
      </w:r>
      <w:r w:rsidRPr="0018319F">
        <w:rPr>
          <w:sz w:val="16"/>
          <w:szCs w:val="16"/>
        </w:rPr>
        <w:t xml:space="preserve"> </w:t>
      </w:r>
      <w:r w:rsidRPr="0018319F">
        <w:rPr>
          <w:i/>
          <w:sz w:val="16"/>
          <w:szCs w:val="16"/>
          <w:lang w:val="en-US"/>
        </w:rPr>
        <w:t>Canadian Guidelines for Sexual Health Education</w:t>
      </w:r>
      <w:r w:rsidRPr="0018319F">
        <w:rPr>
          <w:sz w:val="16"/>
          <w:szCs w:val="16"/>
          <w:lang w:val="en-US"/>
        </w:rPr>
        <w:t>. Ottawa: Public Health Agency of Canada, 2003.</w:t>
      </w:r>
    </w:p>
  </w:footnote>
  <w:footnote w:id="24">
    <w:p w14:paraId="4515DBF7" w14:textId="77777777" w:rsidR="00BE71D0" w:rsidRPr="0018319F" w:rsidRDefault="00BE71D0" w:rsidP="00F81AC5">
      <w:pPr>
        <w:spacing w:after="0" w:line="240" w:lineRule="auto"/>
        <w:ind w:left="284" w:hanging="284"/>
        <w:rPr>
          <w:sz w:val="16"/>
          <w:szCs w:val="16"/>
        </w:rPr>
      </w:pPr>
      <w:r w:rsidRPr="0018319F">
        <w:rPr>
          <w:rStyle w:val="FootnoteReference"/>
          <w:sz w:val="16"/>
          <w:szCs w:val="16"/>
        </w:rPr>
        <w:footnoteRef/>
      </w:r>
      <w:r w:rsidRPr="0018319F">
        <w:rPr>
          <w:sz w:val="16"/>
          <w:szCs w:val="16"/>
        </w:rPr>
        <w:t xml:space="preserve"> Rushowy, Kristin. “Sex education in Ontario schools outdated, teachers say.” </w:t>
      </w:r>
      <w:r w:rsidRPr="0018319F">
        <w:rPr>
          <w:i/>
          <w:sz w:val="16"/>
          <w:szCs w:val="16"/>
        </w:rPr>
        <w:t>The Toronto Star</w:t>
      </w:r>
      <w:r w:rsidRPr="0018319F">
        <w:rPr>
          <w:sz w:val="16"/>
          <w:szCs w:val="16"/>
        </w:rPr>
        <w:t xml:space="preserve">, </w:t>
      </w:r>
      <w:r w:rsidRPr="0018319F">
        <w:rPr>
          <w:rStyle w:val="published-date"/>
          <w:rFonts w:eastAsia="Times New Roman"/>
          <w:sz w:val="16"/>
          <w:szCs w:val="16"/>
        </w:rPr>
        <w:t>October 10, 2013.</w:t>
      </w:r>
    </w:p>
  </w:footnote>
  <w:footnote w:id="25">
    <w:p w14:paraId="72A473E9" w14:textId="58B2E3A0" w:rsidR="00BE71D0" w:rsidRPr="0018319F" w:rsidRDefault="00BE71D0" w:rsidP="00F81AC5">
      <w:pPr>
        <w:spacing w:after="0" w:line="240" w:lineRule="auto"/>
        <w:rPr>
          <w:sz w:val="16"/>
          <w:szCs w:val="16"/>
          <w:lang w:val="en-US"/>
        </w:rPr>
      </w:pPr>
      <w:r w:rsidRPr="0018319F">
        <w:rPr>
          <w:rStyle w:val="FootnoteReference"/>
          <w:sz w:val="16"/>
          <w:szCs w:val="16"/>
        </w:rPr>
        <w:footnoteRef/>
      </w:r>
      <w:r w:rsidRPr="0018319F">
        <w:rPr>
          <w:sz w:val="16"/>
          <w:szCs w:val="16"/>
        </w:rPr>
        <w:t xml:space="preserve"> </w:t>
      </w:r>
      <w:r w:rsidRPr="0018319F">
        <w:rPr>
          <w:i/>
          <w:sz w:val="16"/>
          <w:szCs w:val="16"/>
          <w:lang w:val="en-US"/>
        </w:rPr>
        <w:t>Sexual Health Education in Schools Across Canada</w:t>
      </w:r>
      <w:r w:rsidR="00B3651B" w:rsidRPr="0018319F">
        <w:rPr>
          <w:sz w:val="16"/>
          <w:szCs w:val="16"/>
          <w:lang w:val="en-US"/>
        </w:rPr>
        <w:t xml:space="preserve">. Toronto: Ophea, 2013. </w:t>
      </w:r>
      <w:hyperlink r:id="rId5" w:history="1">
        <w:r w:rsidRPr="0018319F">
          <w:rPr>
            <w:rStyle w:val="Hyperlink"/>
            <w:sz w:val="16"/>
            <w:szCs w:val="16"/>
            <w:lang w:val="en-US"/>
          </w:rPr>
          <w:t>https://www.ophea.net/sites/default/files/pdfs/advocacy/ADV_SexEdReportFINAL_31MY13.pdf</w:t>
        </w:r>
      </w:hyperlink>
      <w:r w:rsidRPr="0018319F">
        <w:rPr>
          <w:sz w:val="16"/>
          <w:szCs w:val="16"/>
          <w:lang w:val="en-US"/>
        </w:rPr>
        <w:t xml:space="preserve"> </w:t>
      </w:r>
    </w:p>
  </w:footnote>
  <w:footnote w:id="26">
    <w:p w14:paraId="29FFA20A" w14:textId="77777777" w:rsidR="00BE71D0" w:rsidRPr="0018319F" w:rsidRDefault="00BE71D0" w:rsidP="00F81AC5">
      <w:pPr>
        <w:spacing w:after="0" w:line="240" w:lineRule="auto"/>
        <w:ind w:left="284" w:hanging="284"/>
        <w:rPr>
          <w:sz w:val="16"/>
          <w:szCs w:val="16"/>
        </w:rPr>
      </w:pPr>
      <w:r w:rsidRPr="0018319F">
        <w:rPr>
          <w:rStyle w:val="FootnoteReference"/>
          <w:sz w:val="16"/>
          <w:szCs w:val="16"/>
        </w:rPr>
        <w:footnoteRef/>
      </w:r>
      <w:r w:rsidRPr="0018319F">
        <w:rPr>
          <w:sz w:val="16"/>
          <w:szCs w:val="16"/>
        </w:rPr>
        <w:t xml:space="preserve"> “Teen, mother launch complaint against abstinence-based sex ed.” CBC News, July 10, 2014.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259C6"/>
    <w:multiLevelType w:val="hybridMultilevel"/>
    <w:tmpl w:val="44E0D5E2"/>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A06690"/>
    <w:multiLevelType w:val="hybridMultilevel"/>
    <w:tmpl w:val="8E389BA0"/>
    <w:lvl w:ilvl="0" w:tplc="A8B0F740">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B0419A7"/>
    <w:multiLevelType w:val="hybridMultilevel"/>
    <w:tmpl w:val="B4247680"/>
    <w:lvl w:ilvl="0" w:tplc="A8B0F740">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C826CB"/>
    <w:multiLevelType w:val="hybridMultilevel"/>
    <w:tmpl w:val="44E0D5E2"/>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22D62DA"/>
    <w:multiLevelType w:val="hybridMultilevel"/>
    <w:tmpl w:val="64C67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E463E8"/>
    <w:multiLevelType w:val="hybridMultilevel"/>
    <w:tmpl w:val="9CAAD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187EC5"/>
    <w:multiLevelType w:val="hybridMultilevel"/>
    <w:tmpl w:val="B1CA1E58"/>
    <w:lvl w:ilvl="0" w:tplc="A8B0F740">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7CB4474"/>
    <w:multiLevelType w:val="hybridMultilevel"/>
    <w:tmpl w:val="79B81326"/>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B547ADF"/>
    <w:multiLevelType w:val="hybridMultilevel"/>
    <w:tmpl w:val="02ACD18E"/>
    <w:lvl w:ilvl="0" w:tplc="10090001">
      <w:start w:val="1"/>
      <w:numFmt w:val="bullet"/>
      <w:lvlText w:val=""/>
      <w:lvlJc w:val="left"/>
      <w:pPr>
        <w:ind w:left="720" w:hanging="360"/>
      </w:pPr>
      <w:rPr>
        <w:rFonts w:ascii="Symbol" w:hAnsi="Symbol"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58152AC"/>
    <w:multiLevelType w:val="hybridMultilevel"/>
    <w:tmpl w:val="085E45EA"/>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66B6D1B"/>
    <w:multiLevelType w:val="hybridMultilevel"/>
    <w:tmpl w:val="FB883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17C6E68"/>
    <w:multiLevelType w:val="hybridMultilevel"/>
    <w:tmpl w:val="31B20544"/>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4E83CFE"/>
    <w:multiLevelType w:val="hybridMultilevel"/>
    <w:tmpl w:val="9DE29114"/>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ABD79B6"/>
    <w:multiLevelType w:val="hybridMultilevel"/>
    <w:tmpl w:val="86EE033E"/>
    <w:lvl w:ilvl="0" w:tplc="A8B0F740">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FBE46FA"/>
    <w:multiLevelType w:val="hybridMultilevel"/>
    <w:tmpl w:val="A158194E"/>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AA769DB"/>
    <w:multiLevelType w:val="hybridMultilevel"/>
    <w:tmpl w:val="80BC135C"/>
    <w:lvl w:ilvl="0" w:tplc="10090001">
      <w:start w:val="1"/>
      <w:numFmt w:val="bullet"/>
      <w:lvlText w:val=""/>
      <w:lvlJc w:val="left"/>
      <w:pPr>
        <w:ind w:left="720" w:hanging="360"/>
      </w:pPr>
      <w:rPr>
        <w:rFonts w:ascii="Symbol" w:hAnsi="Symbol"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C3C195A"/>
    <w:multiLevelType w:val="hybridMultilevel"/>
    <w:tmpl w:val="9CA29336"/>
    <w:lvl w:ilvl="0" w:tplc="A8B0F740">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6"/>
  </w:num>
  <w:num w:numId="3">
    <w:abstractNumId w:val="13"/>
  </w:num>
  <w:num w:numId="4">
    <w:abstractNumId w:val="2"/>
  </w:num>
  <w:num w:numId="5">
    <w:abstractNumId w:val="16"/>
  </w:num>
  <w:num w:numId="6">
    <w:abstractNumId w:val="1"/>
  </w:num>
  <w:num w:numId="7">
    <w:abstractNumId w:val="7"/>
  </w:num>
  <w:num w:numId="8">
    <w:abstractNumId w:val="5"/>
  </w:num>
  <w:num w:numId="9">
    <w:abstractNumId w:val="4"/>
  </w:num>
  <w:num w:numId="10">
    <w:abstractNumId w:val="12"/>
  </w:num>
  <w:num w:numId="11">
    <w:abstractNumId w:val="11"/>
  </w:num>
  <w:num w:numId="12">
    <w:abstractNumId w:val="9"/>
  </w:num>
  <w:num w:numId="13">
    <w:abstractNumId w:val="14"/>
  </w:num>
  <w:num w:numId="14">
    <w:abstractNumId w:val="0"/>
  </w:num>
  <w:num w:numId="15">
    <w:abstractNumId w:val="10"/>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9F8"/>
    <w:rsid w:val="00002A6E"/>
    <w:rsid w:val="00002A82"/>
    <w:rsid w:val="0000545A"/>
    <w:rsid w:val="000116EF"/>
    <w:rsid w:val="0003086C"/>
    <w:rsid w:val="000309D7"/>
    <w:rsid w:val="00030E8C"/>
    <w:rsid w:val="000346CF"/>
    <w:rsid w:val="0004565D"/>
    <w:rsid w:val="00047B47"/>
    <w:rsid w:val="0005783B"/>
    <w:rsid w:val="0006407D"/>
    <w:rsid w:val="00064389"/>
    <w:rsid w:val="000753B7"/>
    <w:rsid w:val="000819A4"/>
    <w:rsid w:val="00082D21"/>
    <w:rsid w:val="000831AF"/>
    <w:rsid w:val="00090740"/>
    <w:rsid w:val="000937E6"/>
    <w:rsid w:val="00094D81"/>
    <w:rsid w:val="000B246E"/>
    <w:rsid w:val="000B3202"/>
    <w:rsid w:val="000C567C"/>
    <w:rsid w:val="000D3B8D"/>
    <w:rsid w:val="000E01FA"/>
    <w:rsid w:val="000F0687"/>
    <w:rsid w:val="0010378B"/>
    <w:rsid w:val="00103E82"/>
    <w:rsid w:val="00113329"/>
    <w:rsid w:val="00121DFA"/>
    <w:rsid w:val="0012468B"/>
    <w:rsid w:val="0012563C"/>
    <w:rsid w:val="00127CEF"/>
    <w:rsid w:val="00130B31"/>
    <w:rsid w:val="0013168C"/>
    <w:rsid w:val="00136BB2"/>
    <w:rsid w:val="00145581"/>
    <w:rsid w:val="00146569"/>
    <w:rsid w:val="001612B5"/>
    <w:rsid w:val="00164FAE"/>
    <w:rsid w:val="001678FB"/>
    <w:rsid w:val="00170E8D"/>
    <w:rsid w:val="001759B2"/>
    <w:rsid w:val="00175D90"/>
    <w:rsid w:val="0018319F"/>
    <w:rsid w:val="00195EC5"/>
    <w:rsid w:val="00196720"/>
    <w:rsid w:val="00196727"/>
    <w:rsid w:val="001A6853"/>
    <w:rsid w:val="001B0780"/>
    <w:rsid w:val="001B6506"/>
    <w:rsid w:val="001C0434"/>
    <w:rsid w:val="001C5B34"/>
    <w:rsid w:val="001C6478"/>
    <w:rsid w:val="001C7E9C"/>
    <w:rsid w:val="001D1FA9"/>
    <w:rsid w:val="001D300D"/>
    <w:rsid w:val="001D6679"/>
    <w:rsid w:val="001E7413"/>
    <w:rsid w:val="001F34D2"/>
    <w:rsid w:val="001F521B"/>
    <w:rsid w:val="001F560F"/>
    <w:rsid w:val="00204D86"/>
    <w:rsid w:val="002067DE"/>
    <w:rsid w:val="00206988"/>
    <w:rsid w:val="00211B07"/>
    <w:rsid w:val="00213248"/>
    <w:rsid w:val="0021742E"/>
    <w:rsid w:val="00230CD3"/>
    <w:rsid w:val="00246B7E"/>
    <w:rsid w:val="00247ED6"/>
    <w:rsid w:val="002521ED"/>
    <w:rsid w:val="00256756"/>
    <w:rsid w:val="0025727B"/>
    <w:rsid w:val="00273BA7"/>
    <w:rsid w:val="00275FA4"/>
    <w:rsid w:val="00280649"/>
    <w:rsid w:val="00280E04"/>
    <w:rsid w:val="002812BB"/>
    <w:rsid w:val="00282456"/>
    <w:rsid w:val="00282890"/>
    <w:rsid w:val="002A5E34"/>
    <w:rsid w:val="002A601E"/>
    <w:rsid w:val="002C0828"/>
    <w:rsid w:val="002C1D32"/>
    <w:rsid w:val="002D0E13"/>
    <w:rsid w:val="002E3D95"/>
    <w:rsid w:val="002F3747"/>
    <w:rsid w:val="002F4EDD"/>
    <w:rsid w:val="002F60B3"/>
    <w:rsid w:val="002F6BBF"/>
    <w:rsid w:val="00312D11"/>
    <w:rsid w:val="00316F8B"/>
    <w:rsid w:val="0032298F"/>
    <w:rsid w:val="003243CE"/>
    <w:rsid w:val="003245FB"/>
    <w:rsid w:val="00326A79"/>
    <w:rsid w:val="003320CF"/>
    <w:rsid w:val="0033224A"/>
    <w:rsid w:val="003331AC"/>
    <w:rsid w:val="003336E9"/>
    <w:rsid w:val="00342E15"/>
    <w:rsid w:val="0035226F"/>
    <w:rsid w:val="0035669C"/>
    <w:rsid w:val="00360EB4"/>
    <w:rsid w:val="00362210"/>
    <w:rsid w:val="00365719"/>
    <w:rsid w:val="003662CE"/>
    <w:rsid w:val="00372C6C"/>
    <w:rsid w:val="00391063"/>
    <w:rsid w:val="003943AC"/>
    <w:rsid w:val="003A33C3"/>
    <w:rsid w:val="003A3B22"/>
    <w:rsid w:val="003A5DBB"/>
    <w:rsid w:val="003B2203"/>
    <w:rsid w:val="003C2F39"/>
    <w:rsid w:val="003C418F"/>
    <w:rsid w:val="003D1205"/>
    <w:rsid w:val="003E177D"/>
    <w:rsid w:val="003E5E8F"/>
    <w:rsid w:val="003E7861"/>
    <w:rsid w:val="003F1037"/>
    <w:rsid w:val="003F2D53"/>
    <w:rsid w:val="00400577"/>
    <w:rsid w:val="00401A90"/>
    <w:rsid w:val="004055AD"/>
    <w:rsid w:val="0042720C"/>
    <w:rsid w:val="004274BB"/>
    <w:rsid w:val="00435F1A"/>
    <w:rsid w:val="00443FFA"/>
    <w:rsid w:val="0045287C"/>
    <w:rsid w:val="004543C7"/>
    <w:rsid w:val="00461210"/>
    <w:rsid w:val="00461A13"/>
    <w:rsid w:val="004715B4"/>
    <w:rsid w:val="00476F21"/>
    <w:rsid w:val="00491344"/>
    <w:rsid w:val="00491D67"/>
    <w:rsid w:val="004A0703"/>
    <w:rsid w:val="004A48E0"/>
    <w:rsid w:val="004C31BC"/>
    <w:rsid w:val="004C656B"/>
    <w:rsid w:val="004C79E0"/>
    <w:rsid w:val="004D7139"/>
    <w:rsid w:val="004E0CED"/>
    <w:rsid w:val="004E2EB8"/>
    <w:rsid w:val="004F3C51"/>
    <w:rsid w:val="004F63D9"/>
    <w:rsid w:val="00500C64"/>
    <w:rsid w:val="00520D6E"/>
    <w:rsid w:val="00523861"/>
    <w:rsid w:val="005250FC"/>
    <w:rsid w:val="00534375"/>
    <w:rsid w:val="005343C9"/>
    <w:rsid w:val="00543778"/>
    <w:rsid w:val="00551CFC"/>
    <w:rsid w:val="00551F30"/>
    <w:rsid w:val="00556CF7"/>
    <w:rsid w:val="00557391"/>
    <w:rsid w:val="005714AC"/>
    <w:rsid w:val="0057313C"/>
    <w:rsid w:val="0057319F"/>
    <w:rsid w:val="00592947"/>
    <w:rsid w:val="005B2A8B"/>
    <w:rsid w:val="005B33D5"/>
    <w:rsid w:val="005C1218"/>
    <w:rsid w:val="005C2A8E"/>
    <w:rsid w:val="005D1E2F"/>
    <w:rsid w:val="005E61CA"/>
    <w:rsid w:val="005F1F3C"/>
    <w:rsid w:val="005F5BBD"/>
    <w:rsid w:val="006024F1"/>
    <w:rsid w:val="00607C5E"/>
    <w:rsid w:val="00616666"/>
    <w:rsid w:val="00621454"/>
    <w:rsid w:val="0062457E"/>
    <w:rsid w:val="006415F4"/>
    <w:rsid w:val="0064353E"/>
    <w:rsid w:val="00646DE5"/>
    <w:rsid w:val="00654DBD"/>
    <w:rsid w:val="0067783D"/>
    <w:rsid w:val="00684B60"/>
    <w:rsid w:val="00685D4C"/>
    <w:rsid w:val="00686069"/>
    <w:rsid w:val="00696156"/>
    <w:rsid w:val="006A019C"/>
    <w:rsid w:val="006A0205"/>
    <w:rsid w:val="006A2CD7"/>
    <w:rsid w:val="006B468C"/>
    <w:rsid w:val="006B7ADC"/>
    <w:rsid w:val="006C2895"/>
    <w:rsid w:val="006C3EF2"/>
    <w:rsid w:val="006D205E"/>
    <w:rsid w:val="006D6749"/>
    <w:rsid w:val="006E1AA0"/>
    <w:rsid w:val="006E2984"/>
    <w:rsid w:val="006F3BAB"/>
    <w:rsid w:val="006F3DD3"/>
    <w:rsid w:val="006F5C09"/>
    <w:rsid w:val="006F70AC"/>
    <w:rsid w:val="0070312C"/>
    <w:rsid w:val="007040ED"/>
    <w:rsid w:val="00707BAA"/>
    <w:rsid w:val="0072623E"/>
    <w:rsid w:val="007302DC"/>
    <w:rsid w:val="00730BB1"/>
    <w:rsid w:val="0074362E"/>
    <w:rsid w:val="00744D6B"/>
    <w:rsid w:val="007471D1"/>
    <w:rsid w:val="00755279"/>
    <w:rsid w:val="00755512"/>
    <w:rsid w:val="007562A9"/>
    <w:rsid w:val="00756EB7"/>
    <w:rsid w:val="0075788B"/>
    <w:rsid w:val="00757B6A"/>
    <w:rsid w:val="00764225"/>
    <w:rsid w:val="0077768A"/>
    <w:rsid w:val="00781B67"/>
    <w:rsid w:val="00786A97"/>
    <w:rsid w:val="007953E0"/>
    <w:rsid w:val="007A024F"/>
    <w:rsid w:val="007A3081"/>
    <w:rsid w:val="007B1D80"/>
    <w:rsid w:val="007B4E4C"/>
    <w:rsid w:val="007C28D9"/>
    <w:rsid w:val="007D26C0"/>
    <w:rsid w:val="007E24BB"/>
    <w:rsid w:val="007E261B"/>
    <w:rsid w:val="007E3B6A"/>
    <w:rsid w:val="007E4D34"/>
    <w:rsid w:val="007E7187"/>
    <w:rsid w:val="007F02CD"/>
    <w:rsid w:val="007F1083"/>
    <w:rsid w:val="007F10AB"/>
    <w:rsid w:val="007F366A"/>
    <w:rsid w:val="007F3D2F"/>
    <w:rsid w:val="007F3E02"/>
    <w:rsid w:val="00802431"/>
    <w:rsid w:val="008036AF"/>
    <w:rsid w:val="0080618D"/>
    <w:rsid w:val="008104A7"/>
    <w:rsid w:val="0082660A"/>
    <w:rsid w:val="00826CCC"/>
    <w:rsid w:val="00835A2A"/>
    <w:rsid w:val="00836A14"/>
    <w:rsid w:val="008407C8"/>
    <w:rsid w:val="00841B26"/>
    <w:rsid w:val="008513FF"/>
    <w:rsid w:val="00881C48"/>
    <w:rsid w:val="00882D20"/>
    <w:rsid w:val="0088524B"/>
    <w:rsid w:val="008862CA"/>
    <w:rsid w:val="008864AC"/>
    <w:rsid w:val="008A4F52"/>
    <w:rsid w:val="008C4AB6"/>
    <w:rsid w:val="008D18BF"/>
    <w:rsid w:val="008D5909"/>
    <w:rsid w:val="008E1214"/>
    <w:rsid w:val="008E2706"/>
    <w:rsid w:val="008F5031"/>
    <w:rsid w:val="008F634D"/>
    <w:rsid w:val="009112E9"/>
    <w:rsid w:val="009160B0"/>
    <w:rsid w:val="00916680"/>
    <w:rsid w:val="00932D4A"/>
    <w:rsid w:val="00935E07"/>
    <w:rsid w:val="00940C02"/>
    <w:rsid w:val="00941E10"/>
    <w:rsid w:val="00950354"/>
    <w:rsid w:val="009506C8"/>
    <w:rsid w:val="00953FEC"/>
    <w:rsid w:val="009607FF"/>
    <w:rsid w:val="00973043"/>
    <w:rsid w:val="009846CC"/>
    <w:rsid w:val="00997300"/>
    <w:rsid w:val="009B2E0B"/>
    <w:rsid w:val="009C211E"/>
    <w:rsid w:val="009C589A"/>
    <w:rsid w:val="009D03C5"/>
    <w:rsid w:val="009D0E4E"/>
    <w:rsid w:val="009D4B4D"/>
    <w:rsid w:val="009E077B"/>
    <w:rsid w:val="009E26F0"/>
    <w:rsid w:val="009F19C9"/>
    <w:rsid w:val="009F6500"/>
    <w:rsid w:val="009F7E75"/>
    <w:rsid w:val="00A053BD"/>
    <w:rsid w:val="00A07EC1"/>
    <w:rsid w:val="00A11D13"/>
    <w:rsid w:val="00A269CE"/>
    <w:rsid w:val="00A3279F"/>
    <w:rsid w:val="00A52D15"/>
    <w:rsid w:val="00A52E72"/>
    <w:rsid w:val="00A7067C"/>
    <w:rsid w:val="00A90018"/>
    <w:rsid w:val="00A90142"/>
    <w:rsid w:val="00A9504D"/>
    <w:rsid w:val="00A95C5E"/>
    <w:rsid w:val="00AA1300"/>
    <w:rsid w:val="00AA2B2B"/>
    <w:rsid w:val="00AA6C77"/>
    <w:rsid w:val="00AB1B77"/>
    <w:rsid w:val="00AB5634"/>
    <w:rsid w:val="00AB7F62"/>
    <w:rsid w:val="00AC1065"/>
    <w:rsid w:val="00AC5080"/>
    <w:rsid w:val="00AC5543"/>
    <w:rsid w:val="00AC61FC"/>
    <w:rsid w:val="00AD231E"/>
    <w:rsid w:val="00AD7149"/>
    <w:rsid w:val="00AE1CD0"/>
    <w:rsid w:val="00AE483E"/>
    <w:rsid w:val="00AF4F99"/>
    <w:rsid w:val="00AF5E6A"/>
    <w:rsid w:val="00B018CB"/>
    <w:rsid w:val="00B04707"/>
    <w:rsid w:val="00B13EE7"/>
    <w:rsid w:val="00B14DCB"/>
    <w:rsid w:val="00B1658E"/>
    <w:rsid w:val="00B251B7"/>
    <w:rsid w:val="00B32973"/>
    <w:rsid w:val="00B33DE1"/>
    <w:rsid w:val="00B362DA"/>
    <w:rsid w:val="00B3651B"/>
    <w:rsid w:val="00B37309"/>
    <w:rsid w:val="00B3788D"/>
    <w:rsid w:val="00B428C3"/>
    <w:rsid w:val="00B438C7"/>
    <w:rsid w:val="00B522DC"/>
    <w:rsid w:val="00B66433"/>
    <w:rsid w:val="00B70D9E"/>
    <w:rsid w:val="00B7410B"/>
    <w:rsid w:val="00B75706"/>
    <w:rsid w:val="00B76CC1"/>
    <w:rsid w:val="00B7773C"/>
    <w:rsid w:val="00B8534F"/>
    <w:rsid w:val="00B86130"/>
    <w:rsid w:val="00B87197"/>
    <w:rsid w:val="00B92BC3"/>
    <w:rsid w:val="00B93AF3"/>
    <w:rsid w:val="00BC0597"/>
    <w:rsid w:val="00BC0E93"/>
    <w:rsid w:val="00BC16E6"/>
    <w:rsid w:val="00BC22A7"/>
    <w:rsid w:val="00BC39D5"/>
    <w:rsid w:val="00BE71D0"/>
    <w:rsid w:val="00BF3EB4"/>
    <w:rsid w:val="00C17432"/>
    <w:rsid w:val="00C24BC1"/>
    <w:rsid w:val="00C31818"/>
    <w:rsid w:val="00C62B65"/>
    <w:rsid w:val="00C63B66"/>
    <w:rsid w:val="00C6732D"/>
    <w:rsid w:val="00C7160D"/>
    <w:rsid w:val="00C73AC5"/>
    <w:rsid w:val="00C84198"/>
    <w:rsid w:val="00C85EC1"/>
    <w:rsid w:val="00C915C7"/>
    <w:rsid w:val="00C96364"/>
    <w:rsid w:val="00CB0B7F"/>
    <w:rsid w:val="00CB19F8"/>
    <w:rsid w:val="00CC6318"/>
    <w:rsid w:val="00CD4465"/>
    <w:rsid w:val="00CD5BF2"/>
    <w:rsid w:val="00CD6CE2"/>
    <w:rsid w:val="00CE1492"/>
    <w:rsid w:val="00CE2B9E"/>
    <w:rsid w:val="00CF1943"/>
    <w:rsid w:val="00D010AB"/>
    <w:rsid w:val="00D20DCB"/>
    <w:rsid w:val="00D21DDA"/>
    <w:rsid w:val="00D239B9"/>
    <w:rsid w:val="00D325D0"/>
    <w:rsid w:val="00D40A00"/>
    <w:rsid w:val="00D42506"/>
    <w:rsid w:val="00D4288D"/>
    <w:rsid w:val="00D4566D"/>
    <w:rsid w:val="00D46F2E"/>
    <w:rsid w:val="00D47FE1"/>
    <w:rsid w:val="00D53560"/>
    <w:rsid w:val="00D55DD2"/>
    <w:rsid w:val="00D57B69"/>
    <w:rsid w:val="00D60918"/>
    <w:rsid w:val="00D7267C"/>
    <w:rsid w:val="00D73D80"/>
    <w:rsid w:val="00D764A1"/>
    <w:rsid w:val="00D85C53"/>
    <w:rsid w:val="00D90FAC"/>
    <w:rsid w:val="00D91CFD"/>
    <w:rsid w:val="00D92C65"/>
    <w:rsid w:val="00DA07C9"/>
    <w:rsid w:val="00DA58C2"/>
    <w:rsid w:val="00DA7B22"/>
    <w:rsid w:val="00DB4030"/>
    <w:rsid w:val="00DB6EAC"/>
    <w:rsid w:val="00DE0413"/>
    <w:rsid w:val="00DE1346"/>
    <w:rsid w:val="00DE3008"/>
    <w:rsid w:val="00DE39D3"/>
    <w:rsid w:val="00DF3F5C"/>
    <w:rsid w:val="00DF6D0B"/>
    <w:rsid w:val="00DF78AB"/>
    <w:rsid w:val="00E02DB1"/>
    <w:rsid w:val="00E0324A"/>
    <w:rsid w:val="00E1612F"/>
    <w:rsid w:val="00E252EF"/>
    <w:rsid w:val="00E27B31"/>
    <w:rsid w:val="00E27F6F"/>
    <w:rsid w:val="00E3595A"/>
    <w:rsid w:val="00E35B14"/>
    <w:rsid w:val="00E37CF9"/>
    <w:rsid w:val="00E4146D"/>
    <w:rsid w:val="00E41E47"/>
    <w:rsid w:val="00E42F83"/>
    <w:rsid w:val="00E43DDE"/>
    <w:rsid w:val="00E55AF4"/>
    <w:rsid w:val="00E55BED"/>
    <w:rsid w:val="00E72C7A"/>
    <w:rsid w:val="00E87920"/>
    <w:rsid w:val="00E909D0"/>
    <w:rsid w:val="00E93757"/>
    <w:rsid w:val="00E9389D"/>
    <w:rsid w:val="00E946E9"/>
    <w:rsid w:val="00EA2F9A"/>
    <w:rsid w:val="00EC13F0"/>
    <w:rsid w:val="00EC677D"/>
    <w:rsid w:val="00ED09C7"/>
    <w:rsid w:val="00ED0D9A"/>
    <w:rsid w:val="00ED4BF7"/>
    <w:rsid w:val="00ED514D"/>
    <w:rsid w:val="00ED78E7"/>
    <w:rsid w:val="00EE3463"/>
    <w:rsid w:val="00EE538B"/>
    <w:rsid w:val="00EF2988"/>
    <w:rsid w:val="00EF60B0"/>
    <w:rsid w:val="00F07819"/>
    <w:rsid w:val="00F222BC"/>
    <w:rsid w:val="00F22DAF"/>
    <w:rsid w:val="00F268B9"/>
    <w:rsid w:val="00F273A4"/>
    <w:rsid w:val="00F27FE5"/>
    <w:rsid w:val="00F3303B"/>
    <w:rsid w:val="00F36558"/>
    <w:rsid w:val="00F4151B"/>
    <w:rsid w:val="00F4211A"/>
    <w:rsid w:val="00F53EB7"/>
    <w:rsid w:val="00F544E8"/>
    <w:rsid w:val="00F61A17"/>
    <w:rsid w:val="00F62090"/>
    <w:rsid w:val="00F632D3"/>
    <w:rsid w:val="00F63578"/>
    <w:rsid w:val="00F67B09"/>
    <w:rsid w:val="00F81AC5"/>
    <w:rsid w:val="00F8306F"/>
    <w:rsid w:val="00F85894"/>
    <w:rsid w:val="00FA2602"/>
    <w:rsid w:val="00FA5B28"/>
    <w:rsid w:val="00FA744A"/>
    <w:rsid w:val="00FB5E9B"/>
    <w:rsid w:val="00FC0015"/>
    <w:rsid w:val="00FD309D"/>
    <w:rsid w:val="00FE25E5"/>
    <w:rsid w:val="00FE6B2B"/>
    <w:rsid w:val="00FF2BE3"/>
    <w:rsid w:val="00FF4B35"/>
    <w:rsid w:val="00FF53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7E73F"/>
  <w15:docId w15:val="{8FC5B6C3-0C63-4835-8AFD-5F9784B37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dobe Garamond Pro" w:eastAsiaTheme="minorHAnsi" w:hAnsi="Adobe Garamond Pro"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0B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0B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414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19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1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9F8"/>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CB19F8"/>
    <w:rPr>
      <w:rFonts w:asciiTheme="minorHAnsi" w:eastAsiaTheme="minorEastAsia" w:hAnsiTheme="minorHAnsi"/>
      <w:color w:val="5A5A5A" w:themeColor="text1" w:themeTint="A5"/>
      <w:spacing w:val="15"/>
    </w:rPr>
  </w:style>
  <w:style w:type="character" w:styleId="SubtleEmphasis">
    <w:name w:val="Subtle Emphasis"/>
    <w:basedOn w:val="DefaultParagraphFont"/>
    <w:uiPriority w:val="19"/>
    <w:qFormat/>
    <w:rsid w:val="0075788B"/>
    <w:rPr>
      <w:i/>
      <w:iCs/>
      <w:color w:val="404040" w:themeColor="text1" w:themeTint="BF"/>
    </w:rPr>
  </w:style>
  <w:style w:type="paragraph" w:styleId="ListParagraph">
    <w:name w:val="List Paragraph"/>
    <w:basedOn w:val="Normal"/>
    <w:uiPriority w:val="34"/>
    <w:qFormat/>
    <w:rsid w:val="00EC13F0"/>
    <w:pPr>
      <w:ind w:left="720"/>
      <w:contextualSpacing/>
    </w:pPr>
  </w:style>
  <w:style w:type="character" w:styleId="EndnoteReference">
    <w:name w:val="endnote reference"/>
    <w:basedOn w:val="DefaultParagraphFont"/>
    <w:uiPriority w:val="99"/>
    <w:unhideWhenUsed/>
    <w:rsid w:val="00AD7149"/>
    <w:rPr>
      <w:vertAlign w:val="superscript"/>
    </w:rPr>
  </w:style>
  <w:style w:type="character" w:styleId="Hyperlink">
    <w:name w:val="Hyperlink"/>
    <w:basedOn w:val="DefaultParagraphFont"/>
    <w:uiPriority w:val="99"/>
    <w:unhideWhenUsed/>
    <w:rsid w:val="00AD7149"/>
    <w:rPr>
      <w:color w:val="0000FF"/>
      <w:u w:val="single"/>
    </w:rPr>
  </w:style>
  <w:style w:type="character" w:customStyle="1" w:styleId="relative-date">
    <w:name w:val="relative-date"/>
    <w:basedOn w:val="DefaultParagraphFont"/>
    <w:rsid w:val="00AD7149"/>
  </w:style>
  <w:style w:type="character" w:customStyle="1" w:styleId="published-date">
    <w:name w:val="published-date"/>
    <w:basedOn w:val="DefaultParagraphFont"/>
    <w:rsid w:val="00AD7149"/>
  </w:style>
  <w:style w:type="paragraph" w:styleId="EndnoteText">
    <w:name w:val="endnote text"/>
    <w:basedOn w:val="Normal"/>
    <w:link w:val="EndnoteTextChar"/>
    <w:uiPriority w:val="99"/>
    <w:semiHidden/>
    <w:unhideWhenUsed/>
    <w:rsid w:val="00AD7149"/>
    <w:pPr>
      <w:spacing w:after="0" w:line="240" w:lineRule="auto"/>
    </w:pPr>
    <w:rPr>
      <w:rFonts w:asciiTheme="minorHAnsi" w:hAnsiTheme="minorHAnsi"/>
      <w:sz w:val="20"/>
      <w:szCs w:val="20"/>
    </w:rPr>
  </w:style>
  <w:style w:type="character" w:customStyle="1" w:styleId="EndnoteTextChar">
    <w:name w:val="Endnote Text Char"/>
    <w:basedOn w:val="DefaultParagraphFont"/>
    <w:link w:val="EndnoteText"/>
    <w:uiPriority w:val="99"/>
    <w:semiHidden/>
    <w:rsid w:val="00AD7149"/>
    <w:rPr>
      <w:rFonts w:asciiTheme="minorHAnsi" w:hAnsiTheme="minorHAnsi"/>
      <w:sz w:val="20"/>
      <w:szCs w:val="20"/>
    </w:rPr>
  </w:style>
  <w:style w:type="paragraph" w:styleId="Header">
    <w:name w:val="header"/>
    <w:basedOn w:val="Normal"/>
    <w:link w:val="HeaderChar"/>
    <w:uiPriority w:val="99"/>
    <w:unhideWhenUsed/>
    <w:rsid w:val="000D3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B8D"/>
  </w:style>
  <w:style w:type="paragraph" w:styleId="Footer">
    <w:name w:val="footer"/>
    <w:basedOn w:val="Normal"/>
    <w:link w:val="FooterChar"/>
    <w:uiPriority w:val="99"/>
    <w:unhideWhenUsed/>
    <w:rsid w:val="000D3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B8D"/>
  </w:style>
  <w:style w:type="paragraph" w:styleId="FootnoteText">
    <w:name w:val="footnote text"/>
    <w:basedOn w:val="Normal"/>
    <w:link w:val="FootnoteTextChar"/>
    <w:uiPriority w:val="99"/>
    <w:semiHidden/>
    <w:unhideWhenUsed/>
    <w:rsid w:val="000D3B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3B8D"/>
    <w:rPr>
      <w:sz w:val="20"/>
      <w:szCs w:val="20"/>
    </w:rPr>
  </w:style>
  <w:style w:type="character" w:styleId="FootnoteReference">
    <w:name w:val="footnote reference"/>
    <w:basedOn w:val="DefaultParagraphFont"/>
    <w:semiHidden/>
    <w:unhideWhenUsed/>
    <w:rsid w:val="000D3B8D"/>
    <w:rPr>
      <w:vertAlign w:val="superscript"/>
    </w:rPr>
  </w:style>
  <w:style w:type="character" w:customStyle="1" w:styleId="apple-converted-space">
    <w:name w:val="apple-converted-space"/>
    <w:basedOn w:val="DefaultParagraphFont"/>
    <w:rsid w:val="009C211E"/>
  </w:style>
  <w:style w:type="paragraph" w:styleId="NormalWeb">
    <w:name w:val="Normal (Web)"/>
    <w:basedOn w:val="Normal"/>
    <w:uiPriority w:val="99"/>
    <w:unhideWhenUsed/>
    <w:rsid w:val="007B4E4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BF3EB4"/>
    <w:rPr>
      <w:color w:val="954F72" w:themeColor="followedHyperlink"/>
      <w:u w:val="single"/>
    </w:rPr>
  </w:style>
  <w:style w:type="paragraph" w:customStyle="1" w:styleId="SingleTxtG">
    <w:name w:val="_ Single Txt_G"/>
    <w:basedOn w:val="Normal"/>
    <w:rsid w:val="0011332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DB6EAC"/>
    <w:rPr>
      <w:sz w:val="16"/>
      <w:szCs w:val="16"/>
    </w:rPr>
  </w:style>
  <w:style w:type="paragraph" w:styleId="CommentText">
    <w:name w:val="annotation text"/>
    <w:basedOn w:val="Normal"/>
    <w:link w:val="CommentTextChar"/>
    <w:uiPriority w:val="99"/>
    <w:semiHidden/>
    <w:unhideWhenUsed/>
    <w:rsid w:val="00DB6EAC"/>
    <w:pPr>
      <w:spacing w:line="240" w:lineRule="auto"/>
    </w:pPr>
    <w:rPr>
      <w:sz w:val="20"/>
      <w:szCs w:val="20"/>
    </w:rPr>
  </w:style>
  <w:style w:type="character" w:customStyle="1" w:styleId="CommentTextChar">
    <w:name w:val="Comment Text Char"/>
    <w:basedOn w:val="DefaultParagraphFont"/>
    <w:link w:val="CommentText"/>
    <w:uiPriority w:val="99"/>
    <w:semiHidden/>
    <w:rsid w:val="00DB6EAC"/>
    <w:rPr>
      <w:sz w:val="20"/>
      <w:szCs w:val="20"/>
    </w:rPr>
  </w:style>
  <w:style w:type="paragraph" w:styleId="CommentSubject">
    <w:name w:val="annotation subject"/>
    <w:basedOn w:val="CommentText"/>
    <w:next w:val="CommentText"/>
    <w:link w:val="CommentSubjectChar"/>
    <w:uiPriority w:val="99"/>
    <w:semiHidden/>
    <w:unhideWhenUsed/>
    <w:rsid w:val="00DB6EAC"/>
    <w:rPr>
      <w:b/>
      <w:bCs/>
    </w:rPr>
  </w:style>
  <w:style w:type="character" w:customStyle="1" w:styleId="CommentSubjectChar">
    <w:name w:val="Comment Subject Char"/>
    <w:basedOn w:val="CommentTextChar"/>
    <w:link w:val="CommentSubject"/>
    <w:uiPriority w:val="99"/>
    <w:semiHidden/>
    <w:rsid w:val="00DB6EAC"/>
    <w:rPr>
      <w:b/>
      <w:bCs/>
      <w:sz w:val="20"/>
      <w:szCs w:val="20"/>
    </w:rPr>
  </w:style>
  <w:style w:type="paragraph" w:styleId="BalloonText">
    <w:name w:val="Balloon Text"/>
    <w:basedOn w:val="Normal"/>
    <w:link w:val="BalloonTextChar"/>
    <w:uiPriority w:val="99"/>
    <w:semiHidden/>
    <w:unhideWhenUsed/>
    <w:rsid w:val="00DB6E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EAC"/>
    <w:rPr>
      <w:rFonts w:ascii="Segoe UI" w:hAnsi="Segoe UI" w:cs="Segoe UI"/>
      <w:sz w:val="18"/>
      <w:szCs w:val="18"/>
    </w:rPr>
  </w:style>
  <w:style w:type="character" w:styleId="Emphasis">
    <w:name w:val="Emphasis"/>
    <w:basedOn w:val="DefaultParagraphFont"/>
    <w:uiPriority w:val="20"/>
    <w:qFormat/>
    <w:rsid w:val="00A9504D"/>
    <w:rPr>
      <w:i/>
      <w:iCs/>
    </w:rPr>
  </w:style>
  <w:style w:type="character" w:customStyle="1" w:styleId="highlight">
    <w:name w:val="highlight"/>
    <w:basedOn w:val="DefaultParagraphFont"/>
    <w:rsid w:val="001D1FA9"/>
  </w:style>
  <w:style w:type="character" w:customStyle="1" w:styleId="Heading1Char">
    <w:name w:val="Heading 1 Char"/>
    <w:basedOn w:val="DefaultParagraphFont"/>
    <w:link w:val="Heading1"/>
    <w:uiPriority w:val="9"/>
    <w:rsid w:val="00CB0B7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B0B7F"/>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D7139"/>
    <w:pPr>
      <w:spacing w:after="0" w:line="240" w:lineRule="auto"/>
    </w:pPr>
  </w:style>
  <w:style w:type="character" w:customStyle="1" w:styleId="Heading3Char">
    <w:name w:val="Heading 3 Char"/>
    <w:basedOn w:val="DefaultParagraphFont"/>
    <w:link w:val="Heading3"/>
    <w:uiPriority w:val="9"/>
    <w:rsid w:val="00E4146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86555">
      <w:bodyDiv w:val="1"/>
      <w:marLeft w:val="0"/>
      <w:marRight w:val="0"/>
      <w:marTop w:val="0"/>
      <w:marBottom w:val="0"/>
      <w:divBdr>
        <w:top w:val="none" w:sz="0" w:space="0" w:color="auto"/>
        <w:left w:val="none" w:sz="0" w:space="0" w:color="auto"/>
        <w:bottom w:val="none" w:sz="0" w:space="0" w:color="auto"/>
        <w:right w:val="none" w:sz="0" w:space="0" w:color="auto"/>
      </w:divBdr>
    </w:div>
    <w:div w:id="501942528">
      <w:bodyDiv w:val="1"/>
      <w:marLeft w:val="0"/>
      <w:marRight w:val="0"/>
      <w:marTop w:val="0"/>
      <w:marBottom w:val="0"/>
      <w:divBdr>
        <w:top w:val="none" w:sz="0" w:space="0" w:color="auto"/>
        <w:left w:val="none" w:sz="0" w:space="0" w:color="auto"/>
        <w:bottom w:val="none" w:sz="0" w:space="0" w:color="auto"/>
        <w:right w:val="none" w:sz="0" w:space="0" w:color="auto"/>
      </w:divBdr>
    </w:div>
    <w:div w:id="650838928">
      <w:bodyDiv w:val="1"/>
      <w:marLeft w:val="0"/>
      <w:marRight w:val="0"/>
      <w:marTop w:val="0"/>
      <w:marBottom w:val="0"/>
      <w:divBdr>
        <w:top w:val="none" w:sz="0" w:space="0" w:color="auto"/>
        <w:left w:val="none" w:sz="0" w:space="0" w:color="auto"/>
        <w:bottom w:val="none" w:sz="0" w:space="0" w:color="auto"/>
        <w:right w:val="none" w:sz="0" w:space="0" w:color="auto"/>
      </w:divBdr>
    </w:div>
    <w:div w:id="1269192475">
      <w:bodyDiv w:val="1"/>
      <w:marLeft w:val="0"/>
      <w:marRight w:val="0"/>
      <w:marTop w:val="0"/>
      <w:marBottom w:val="0"/>
      <w:divBdr>
        <w:top w:val="none" w:sz="0" w:space="0" w:color="auto"/>
        <w:left w:val="none" w:sz="0" w:space="0" w:color="auto"/>
        <w:bottom w:val="none" w:sz="0" w:space="0" w:color="auto"/>
        <w:right w:val="none" w:sz="0" w:space="0" w:color="auto"/>
      </w:divBdr>
    </w:div>
    <w:div w:id="1284652816">
      <w:bodyDiv w:val="1"/>
      <w:marLeft w:val="0"/>
      <w:marRight w:val="0"/>
      <w:marTop w:val="0"/>
      <w:marBottom w:val="0"/>
      <w:divBdr>
        <w:top w:val="none" w:sz="0" w:space="0" w:color="auto"/>
        <w:left w:val="none" w:sz="0" w:space="0" w:color="auto"/>
        <w:bottom w:val="none" w:sz="0" w:space="0" w:color="auto"/>
        <w:right w:val="none" w:sz="0" w:space="0" w:color="auto"/>
      </w:divBdr>
    </w:div>
    <w:div w:id="1410225725">
      <w:bodyDiv w:val="1"/>
      <w:marLeft w:val="0"/>
      <w:marRight w:val="0"/>
      <w:marTop w:val="0"/>
      <w:marBottom w:val="0"/>
      <w:divBdr>
        <w:top w:val="none" w:sz="0" w:space="0" w:color="auto"/>
        <w:left w:val="none" w:sz="0" w:space="0" w:color="auto"/>
        <w:bottom w:val="none" w:sz="0" w:space="0" w:color="auto"/>
        <w:right w:val="none" w:sz="0" w:space="0" w:color="auto"/>
      </w:divBdr>
    </w:div>
    <w:div w:id="146677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xojane.com/it-happened-to-me/it-happened-to-me-my-doctor-refused-to-refill-my-birth-control" TargetMode="External"/><Relationship Id="rId2" Type="http://schemas.openxmlformats.org/officeDocument/2006/relationships/hyperlink" Target="http://rabble.ca/columnists/2014/05/new-brunswick-invites-return-unsafe-abortions" TargetMode="External"/><Relationship Id="rId1" Type="http://schemas.openxmlformats.org/officeDocument/2006/relationships/hyperlink" Target="http://rabble.ca/news/2014/10/lacking-abortion-access-new-brunswick-women-head-maine-abortion-clinics" TargetMode="External"/><Relationship Id="rId5" Type="http://schemas.openxmlformats.org/officeDocument/2006/relationships/hyperlink" Target="https://www.ophea.net/sites/default/files/pdfs/advocacy/ADV_SexEdReportFINAL_31MY13.pdf" TargetMode="External"/><Relationship Id="rId4" Type="http://schemas.openxmlformats.org/officeDocument/2006/relationships/hyperlink" Target="http://reproductiverights.org/sites/crr.civicactions.net/files/documents/CESCR_shadowletter_Russia_FINAL_web%20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207A8E-D526-437F-AE34-5F7571D48D67}"/>
</file>

<file path=customXml/itemProps2.xml><?xml version="1.0" encoding="utf-8"?>
<ds:datastoreItem xmlns:ds="http://schemas.openxmlformats.org/officeDocument/2006/customXml" ds:itemID="{5A780473-3430-428A-8CFB-D0FC895492F5}"/>
</file>

<file path=customXml/itemProps3.xml><?xml version="1.0" encoding="utf-8"?>
<ds:datastoreItem xmlns:ds="http://schemas.openxmlformats.org/officeDocument/2006/customXml" ds:itemID="{09E2D533-3FBA-4087-9616-A67C66DE5538}"/>
</file>

<file path=customXml/itemProps4.xml><?xml version="1.0" encoding="utf-8"?>
<ds:datastoreItem xmlns:ds="http://schemas.openxmlformats.org/officeDocument/2006/customXml" ds:itemID="{CBC70051-5371-4214-8A60-E21233025357}"/>
</file>

<file path=docProps/app.xml><?xml version="1.0" encoding="utf-8"?>
<Properties xmlns="http://schemas.openxmlformats.org/officeDocument/2006/extended-properties" xmlns:vt="http://schemas.openxmlformats.org/officeDocument/2006/docPropsVTypes">
  <Template>Normal</Template>
  <TotalTime>19</TotalTime>
  <Pages>7</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Kennell</dc:creator>
  <cp:lastModifiedBy>Sarah Kennell</cp:lastModifiedBy>
  <cp:revision>16</cp:revision>
  <cp:lastPrinted>2015-01-09T14:22:00Z</cp:lastPrinted>
  <dcterms:created xsi:type="dcterms:W3CDTF">2015-01-20T18:28:00Z</dcterms:created>
  <dcterms:modified xsi:type="dcterms:W3CDTF">2015-01-20T18:42:00Z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