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F8767">
      <w:pPr>
        <w:spacing w:after="0" w:line="360" w:lineRule="auto"/>
        <w:jc w:val="center"/>
        <w:rPr>
          <w:rFonts w:ascii="Times New Roman" w:hAnsi="Times New Roman" w:cs="Times New Roman"/>
          <w:sz w:val="24"/>
        </w:rPr>
      </w:pPr>
      <w:r>
        <w:rPr>
          <w:rFonts w:ascii="Times New Roman" w:hAnsi="Times New Roman" w:cs="Times New Roman"/>
          <w:sz w:val="24"/>
          <w:lang w:eastAsia="es-ES"/>
        </w:rPr>
        <w:drawing>
          <wp:inline distT="0" distB="0" distL="0" distR="0">
            <wp:extent cx="3171190" cy="107696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6" cstate="print">
                      <a:extLst>
                        <a:ext uri="{28A0092B-C50C-407E-A947-70E740481C1C}">
                          <a14:useLocalDpi xmlns:a14="http://schemas.microsoft.com/office/drawing/2010/main" val="0"/>
                        </a:ext>
                      </a:extLst>
                    </a:blip>
                    <a:srcRect l="12347" t="20705" r="12336" b="23696"/>
                    <a:stretch>
                      <a:fillRect/>
                    </a:stretch>
                  </pic:blipFill>
                  <pic:spPr>
                    <a:xfrm>
                      <a:off x="0" y="0"/>
                      <a:ext cx="3171190" cy="1076960"/>
                    </a:xfrm>
                    <a:prstGeom prst="rect">
                      <a:avLst/>
                    </a:prstGeom>
                    <a:ln>
                      <a:noFill/>
                    </a:ln>
                  </pic:spPr>
                </pic:pic>
              </a:graphicData>
            </a:graphic>
          </wp:inline>
        </w:drawing>
      </w:r>
    </w:p>
    <w:p w14:paraId="3BAAAB21">
      <w:pPr>
        <w:spacing w:after="0" w:line="360" w:lineRule="auto"/>
        <w:jc w:val="center"/>
        <w:rPr>
          <w:rFonts w:ascii="Times New Roman" w:hAnsi="Times New Roman" w:cs="Times New Roman"/>
          <w:b/>
          <w:sz w:val="28"/>
        </w:rPr>
      </w:pPr>
    </w:p>
    <w:p w14:paraId="6ED34CF3">
      <w:pPr>
        <w:spacing w:after="0" w:line="360" w:lineRule="auto"/>
        <w:jc w:val="center"/>
        <w:rPr>
          <w:rFonts w:ascii="Times New Roman" w:hAnsi="Times New Roman" w:cs="Times New Roman"/>
          <w:b/>
          <w:sz w:val="28"/>
        </w:rPr>
      </w:pPr>
      <w:r>
        <w:rPr>
          <w:rFonts w:ascii="Times New Roman" w:hAnsi="Times New Roman" w:cs="Times New Roman"/>
          <w:b/>
          <w:sz w:val="28"/>
        </w:rPr>
        <w:t>Informe alternativo sobre la aplicación de la Convención Internacional sobre la Eliminación de todas las Formas de Discriminación Racial en la República Bolivariana de Venezuela</w:t>
      </w:r>
    </w:p>
    <w:p w14:paraId="76145817">
      <w:pPr>
        <w:spacing w:after="0" w:line="360" w:lineRule="auto"/>
        <w:jc w:val="center"/>
        <w:rPr>
          <w:rFonts w:ascii="Times New Roman" w:hAnsi="Times New Roman" w:cs="Times New Roman"/>
          <w:b/>
          <w:sz w:val="28"/>
        </w:rPr>
      </w:pPr>
      <w:r>
        <w:rPr>
          <w:rFonts w:ascii="Times New Roman" w:hAnsi="Times New Roman" w:cs="Times New Roman"/>
          <w:b/>
          <w:sz w:val="28"/>
        </w:rPr>
        <w:t>Asociación Venezolana de Juristas</w:t>
      </w:r>
    </w:p>
    <w:p w14:paraId="5A655B9A">
      <w:pPr>
        <w:spacing w:after="0" w:line="360" w:lineRule="auto"/>
        <w:jc w:val="both"/>
        <w:rPr>
          <w:rFonts w:ascii="Times New Roman" w:hAnsi="Times New Roman" w:cs="Times New Roman"/>
          <w:b/>
          <w:sz w:val="24"/>
        </w:rPr>
      </w:pPr>
    </w:p>
    <w:p w14:paraId="52773EAD">
      <w:pPr>
        <w:spacing w:after="0" w:line="360" w:lineRule="auto"/>
        <w:jc w:val="both"/>
        <w:rPr>
          <w:rFonts w:ascii="Times New Roman" w:hAnsi="Times New Roman" w:cs="Times New Roman"/>
          <w:sz w:val="24"/>
        </w:rPr>
      </w:pPr>
    </w:p>
    <w:p w14:paraId="479476F9">
      <w:pPr>
        <w:spacing w:after="0" w:line="360" w:lineRule="auto"/>
        <w:jc w:val="both"/>
        <w:rPr>
          <w:rFonts w:ascii="Times New Roman" w:hAnsi="Times New Roman" w:cs="Times New Roman"/>
          <w:sz w:val="24"/>
        </w:rPr>
      </w:pPr>
      <w:r>
        <w:rPr>
          <w:rFonts w:ascii="Times New Roman" w:hAnsi="Times New Roman" w:cs="Times New Roman"/>
          <w:sz w:val="24"/>
        </w:rPr>
        <w:t xml:space="preserve">La </w:t>
      </w:r>
      <w:r>
        <w:rPr>
          <w:rFonts w:ascii="Times New Roman" w:hAnsi="Times New Roman" w:cs="Times New Roman"/>
          <w:i/>
          <w:sz w:val="24"/>
        </w:rPr>
        <w:t>Asociación Venezolana de Juristas (AVJ),</w:t>
      </w:r>
      <w:r>
        <w:rPr>
          <w:rFonts w:ascii="Times New Roman" w:hAnsi="Times New Roman" w:cs="Times New Roman"/>
          <w:sz w:val="24"/>
        </w:rPr>
        <w:t xml:space="preserve"> es una asociación civil venezolana, constituida por juristas de reconocida trayectoria, con amplia experiencia en investigación académica, docencia universitaria y ejercicio de la abogacía, en el sector público, privado y comunal, que tiene por objeto la defensa de los derechos humanos, la democracia social y el Estado de Derecho. La </w:t>
      </w:r>
      <w:r>
        <w:rPr>
          <w:rFonts w:ascii="Times New Roman" w:hAnsi="Times New Roman" w:cs="Times New Roman"/>
          <w:i/>
          <w:sz w:val="24"/>
        </w:rPr>
        <w:t>Asociación Venezolana de Juristas</w:t>
      </w:r>
      <w:r>
        <w:rPr>
          <w:rFonts w:ascii="Times New Roman" w:hAnsi="Times New Roman" w:cs="Times New Roman"/>
          <w:sz w:val="24"/>
        </w:rPr>
        <w:t xml:space="preserve"> es integrante de la Asociación Internacional de Juristas Demócratas y la Asociación Americana de Juristas, que tienen estatus consultivo en la Organización de las Naciones Unidas.</w:t>
      </w:r>
    </w:p>
    <w:p w14:paraId="645FE202">
      <w:pPr>
        <w:spacing w:after="0" w:line="360" w:lineRule="auto"/>
        <w:jc w:val="both"/>
        <w:rPr>
          <w:rFonts w:ascii="Times New Roman" w:hAnsi="Times New Roman" w:cs="Times New Roman"/>
          <w:sz w:val="24"/>
        </w:rPr>
      </w:pPr>
    </w:p>
    <w:p w14:paraId="33469EF1">
      <w:pPr>
        <w:spacing w:after="0" w:line="360" w:lineRule="auto"/>
        <w:jc w:val="both"/>
        <w:rPr>
          <w:rFonts w:ascii="Times New Roman" w:hAnsi="Times New Roman" w:cs="Times New Roman"/>
          <w:sz w:val="24"/>
        </w:rPr>
      </w:pPr>
      <w:r>
        <w:rPr>
          <w:rFonts w:ascii="Times New Roman" w:hAnsi="Times New Roman" w:cs="Times New Roman"/>
          <w:sz w:val="24"/>
        </w:rPr>
        <w:t>Considerando que durante el 113º</w:t>
      </w:r>
      <w:r>
        <w:rPr>
          <w:rFonts w:ascii="Times New Roman" w:hAnsi="Times New Roman" w:eastAsia="SimSun" w:cs="Times New Roman"/>
          <w:bCs/>
          <w:sz w:val="24"/>
          <w:szCs w:val="24"/>
          <w:lang w:eastAsia="zh-CN"/>
        </w:rPr>
        <w:t xml:space="preserve"> período de sesiones del Comité para la Eliminación de la Discriminación Racial, se revisará a la República Bolivariana de Venezuela, tenemos a bien hacer </w:t>
      </w:r>
      <w:r>
        <w:rPr>
          <w:rFonts w:ascii="Times New Roman" w:hAnsi="Times New Roman" w:cs="Times New Roman"/>
          <w:sz w:val="24"/>
        </w:rPr>
        <w:t>entrega formal del informe alternativo</w:t>
      </w:r>
      <w:r>
        <w:rPr>
          <w:rStyle w:val="6"/>
          <w:rFonts w:ascii="Times New Roman" w:hAnsi="Times New Roman" w:cs="Times New Roman"/>
          <w:sz w:val="24"/>
        </w:rPr>
        <w:footnoteReference w:id="0"/>
      </w:r>
      <w:r>
        <w:rPr>
          <w:rFonts w:ascii="Times New Roman" w:hAnsi="Times New Roman" w:cs="Times New Roman"/>
          <w:sz w:val="24"/>
        </w:rPr>
        <w:t xml:space="preserve"> realizado por nuestra organización sobre la aplicación de la Convención. </w:t>
      </w:r>
    </w:p>
    <w:p w14:paraId="1BEFA29E">
      <w:pPr>
        <w:spacing w:after="0" w:line="360" w:lineRule="auto"/>
        <w:jc w:val="both"/>
        <w:rPr>
          <w:rFonts w:ascii="Times New Roman" w:hAnsi="Times New Roman" w:cs="Times New Roman"/>
          <w:sz w:val="24"/>
        </w:rPr>
      </w:pPr>
    </w:p>
    <w:p w14:paraId="67012B53">
      <w:pPr>
        <w:rPr>
          <w:rFonts w:ascii="Times New Roman" w:hAnsi="Times New Roman" w:cs="Times New Roman"/>
          <w:sz w:val="24"/>
        </w:rPr>
      </w:pPr>
      <w:r>
        <w:rPr>
          <w:rFonts w:ascii="Times New Roman" w:hAnsi="Times New Roman" w:cs="Times New Roman"/>
          <w:sz w:val="24"/>
        </w:rPr>
        <w:br w:type="page"/>
      </w:r>
    </w:p>
    <w:p w14:paraId="4A3D94FA">
      <w:pPr>
        <w:pStyle w:val="12"/>
        <w:numPr>
          <w:ilvl w:val="0"/>
          <w:numId w:val="1"/>
        </w:numPr>
        <w:spacing w:after="0" w:line="360" w:lineRule="auto"/>
        <w:ind w:left="567" w:hanging="567"/>
        <w:jc w:val="both"/>
        <w:rPr>
          <w:rFonts w:ascii="Times New Roman" w:hAnsi="Times New Roman" w:cs="Times New Roman"/>
          <w:b/>
          <w:sz w:val="24"/>
        </w:rPr>
      </w:pPr>
      <w:r>
        <w:rPr>
          <w:rFonts w:ascii="Times New Roman" w:hAnsi="Times New Roman" w:cs="Times New Roman"/>
          <w:b/>
          <w:sz w:val="24"/>
        </w:rPr>
        <w:t>Introducción</w:t>
      </w:r>
    </w:p>
    <w:p w14:paraId="21FD585A">
      <w:pPr>
        <w:pStyle w:val="12"/>
        <w:numPr>
          <w:ilvl w:val="0"/>
          <w:numId w:val="0"/>
        </w:numPr>
        <w:spacing w:after="0" w:line="360" w:lineRule="auto"/>
        <w:ind w:leftChars="0"/>
        <w:jc w:val="both"/>
        <w:rPr>
          <w:rFonts w:ascii="Times New Roman" w:hAnsi="Times New Roman" w:cs="Times New Roman"/>
          <w:b/>
          <w:sz w:val="24"/>
        </w:rPr>
      </w:pPr>
    </w:p>
    <w:p w14:paraId="66B240C8">
      <w:pPr>
        <w:spacing w:after="0" w:line="360" w:lineRule="auto"/>
        <w:jc w:val="both"/>
        <w:rPr>
          <w:rFonts w:ascii="Times New Roman" w:hAnsi="Times New Roman" w:cs="Times New Roman"/>
          <w:sz w:val="24"/>
        </w:rPr>
      </w:pPr>
      <w:r>
        <w:rPr>
          <w:rFonts w:ascii="Times New Roman" w:hAnsi="Times New Roman" w:cs="Times New Roman"/>
          <w:sz w:val="24"/>
        </w:rPr>
        <w:t>1. Desde diciembre de 2014, los Estados Unidos de América ha impuesto medidas coercitivas unilaterales contra la República Bolivariana de Venezuela; las cuales han sido secundadas por otros países de Europa y el continente americano. La Ley Pública de Defensa de los Derechos Humanos y la Sociedad Civil</w:t>
      </w:r>
      <w:r>
        <w:rPr>
          <w:rStyle w:val="6"/>
          <w:rFonts w:ascii="Times New Roman" w:hAnsi="Times New Roman" w:cs="Times New Roman"/>
          <w:sz w:val="24"/>
        </w:rPr>
        <w:footnoteReference w:id="1"/>
      </w:r>
      <w:r>
        <w:rPr>
          <w:rFonts w:ascii="Times New Roman" w:hAnsi="Times New Roman" w:cs="Times New Roman"/>
          <w:sz w:val="24"/>
        </w:rPr>
        <w:t xml:space="preserve"> da inicio formal al régimen sancionatorio contra Venezuela, estableciendo el bloqueo de activos y la prohibición de importación de bienes. El próximo año se cumplirá una década desde la emisión de la primera Orden Ejecutiva que supuestamente afirma que Venezuela es una amenaza inusual y extraordinaria contra la seguridad nacional y política exterior de EE.UU. </w:t>
      </w:r>
    </w:p>
    <w:p w14:paraId="2C62CB1D">
      <w:pPr>
        <w:spacing w:after="0" w:line="360" w:lineRule="auto"/>
        <w:jc w:val="both"/>
        <w:rPr>
          <w:rFonts w:ascii="Times New Roman" w:hAnsi="Times New Roman" w:cs="Times New Roman"/>
          <w:sz w:val="24"/>
        </w:rPr>
      </w:pPr>
    </w:p>
    <w:p w14:paraId="5A95A2AC">
      <w:pPr>
        <w:spacing w:after="0" w:line="360" w:lineRule="auto"/>
        <w:jc w:val="both"/>
        <w:rPr>
          <w:rFonts w:ascii="Times New Roman" w:hAnsi="Times New Roman" w:cs="Times New Roman"/>
          <w:sz w:val="24"/>
        </w:rPr>
      </w:pPr>
      <w:r>
        <w:rPr>
          <w:rFonts w:ascii="Times New Roman" w:hAnsi="Times New Roman" w:cs="Times New Roman"/>
          <w:sz w:val="24"/>
        </w:rPr>
        <w:t>2. La situación económica generada por la caída de los precios del petróleo, las medidas coercitivas unilaterales, los obstáculos encontrados por el Estado venezolano para la adquisición de bienes y servicios, aunado a la intensa polarización política, han producido una serie de fenómenos de diversa índole. Un claro ejemplo de ello trata sobre la emigración desde Venezuela hacia otras partes del mundo. De acuerdo al Informe de la Relatora Especial sobre las repercusiones negativas de las medidas coercitivas unilaterales en el disfrute de los derechos humanos tras su visita al país, “la emigración se aceleró con el endurecimiento de las sanciones.”</w:t>
      </w:r>
      <w:r>
        <w:rPr>
          <w:rStyle w:val="6"/>
          <w:rFonts w:ascii="Times New Roman" w:hAnsi="Times New Roman" w:cs="Times New Roman"/>
          <w:sz w:val="24"/>
        </w:rPr>
        <w:footnoteReference w:id="2"/>
      </w:r>
      <w:r>
        <w:rPr>
          <w:rFonts w:ascii="Times New Roman" w:hAnsi="Times New Roman" w:cs="Times New Roman"/>
          <w:sz w:val="24"/>
        </w:rPr>
        <w:t xml:space="preserve"> En consecuencia, se ha producido una fuga de recursos y talento humano altamente calificado en el sector de los servicios públicos, jueces, policías y personal técnico.</w:t>
      </w:r>
      <w:r>
        <w:rPr>
          <w:rStyle w:val="6"/>
          <w:rFonts w:ascii="Times New Roman" w:hAnsi="Times New Roman" w:cs="Times New Roman"/>
          <w:sz w:val="24"/>
        </w:rPr>
        <w:footnoteReference w:id="3"/>
      </w:r>
      <w:r>
        <w:rPr>
          <w:rFonts w:ascii="Times New Roman" w:hAnsi="Times New Roman" w:cs="Times New Roman"/>
          <w:sz w:val="24"/>
        </w:rPr>
        <w:t xml:space="preserve"> Sin embargo, desde nuestra organización consideramos que la emigración amenaza a las comunidades afrodescendientes debido a que sus poblaciones van mermando, incidiendo sobre la diversidad cultural del país.</w:t>
      </w:r>
    </w:p>
    <w:p w14:paraId="5A1590A5">
      <w:pPr>
        <w:spacing w:after="0" w:line="360" w:lineRule="auto"/>
        <w:jc w:val="both"/>
        <w:rPr>
          <w:rFonts w:ascii="Times New Roman" w:hAnsi="Times New Roman" w:cs="Times New Roman"/>
          <w:sz w:val="24"/>
        </w:rPr>
      </w:pPr>
    </w:p>
    <w:p w14:paraId="6C47FEA3">
      <w:pPr>
        <w:pStyle w:val="12"/>
        <w:numPr>
          <w:ilvl w:val="0"/>
          <w:numId w:val="1"/>
        </w:numPr>
        <w:spacing w:after="0" w:line="360" w:lineRule="auto"/>
        <w:ind w:left="567" w:hanging="567"/>
        <w:jc w:val="both"/>
        <w:rPr>
          <w:rFonts w:ascii="Times New Roman" w:hAnsi="Times New Roman" w:cs="Times New Roman"/>
          <w:b/>
          <w:sz w:val="24"/>
        </w:rPr>
      </w:pPr>
      <w:r>
        <w:rPr>
          <w:rFonts w:ascii="Times New Roman" w:hAnsi="Times New Roman" w:cs="Times New Roman"/>
          <w:b/>
          <w:sz w:val="24"/>
        </w:rPr>
        <w:t>Marco normativo</w:t>
      </w:r>
    </w:p>
    <w:p w14:paraId="32674925">
      <w:pPr>
        <w:pStyle w:val="12"/>
        <w:numPr>
          <w:ilvl w:val="0"/>
          <w:numId w:val="0"/>
        </w:numPr>
        <w:spacing w:after="0" w:line="360" w:lineRule="auto"/>
        <w:ind w:leftChars="0"/>
        <w:jc w:val="both"/>
        <w:rPr>
          <w:rFonts w:ascii="Times New Roman" w:hAnsi="Times New Roman" w:cs="Times New Roman"/>
          <w:b/>
          <w:sz w:val="24"/>
        </w:rPr>
      </w:pPr>
    </w:p>
    <w:p w14:paraId="0673E414">
      <w:pPr>
        <w:spacing w:after="0" w:line="360" w:lineRule="auto"/>
        <w:jc w:val="both"/>
        <w:rPr>
          <w:rFonts w:ascii="Times New Roman" w:hAnsi="Times New Roman" w:cs="Times New Roman"/>
          <w:i/>
          <w:sz w:val="24"/>
        </w:rPr>
      </w:pPr>
      <w:r>
        <w:rPr>
          <w:rFonts w:ascii="Times New Roman" w:hAnsi="Times New Roman" w:cs="Times New Roman"/>
          <w:i/>
          <w:sz w:val="24"/>
        </w:rPr>
        <w:t>Artículo 1</w:t>
      </w:r>
    </w:p>
    <w:p w14:paraId="1E569D90">
      <w:pPr>
        <w:spacing w:after="0" w:line="360" w:lineRule="auto"/>
        <w:jc w:val="both"/>
        <w:rPr>
          <w:rFonts w:ascii="Times New Roman" w:hAnsi="Times New Roman" w:cs="Times New Roman"/>
          <w:sz w:val="24"/>
        </w:rPr>
      </w:pPr>
      <w:r>
        <w:rPr>
          <w:rFonts w:ascii="Times New Roman" w:hAnsi="Times New Roman" w:cs="Times New Roman"/>
          <w:sz w:val="24"/>
        </w:rPr>
        <w:t>3. El principio de no discriminación es fundamental para garantizar el respeto de los derechos humanos. La Constitución de la República Bolivariana de Venezuela (CRBV) se basa en este principio para así garantizar la igualdad y dignidad de toda la población, siendo que todas las personas deben ser tratadas por igual, sin importar su raza, sexo, credo o condición social. La CRBV establece medidas para prevenir y sancionar la discriminación para evitar cualquier forma de exclusión o desigualdad que pueda afectar el ejercicio pleno de los derechos fundamentales. En este sentido, se contempla una igualdad tanto formal, con la exigencia de criterios para prohibir tratos diferenciados; y, la igualdad material, basada en la promoción de medidas especiales a favor de personas o grupos que puedan ser discriminados, marginados o vulnerables, o comunidades que se encuentren en condiciones de debilidad manifiesta (Artículo 21, CRBV).</w:t>
      </w:r>
      <w:r>
        <w:rPr>
          <w:rStyle w:val="6"/>
          <w:rFonts w:ascii="Times New Roman" w:hAnsi="Times New Roman" w:cs="Times New Roman"/>
          <w:sz w:val="24"/>
        </w:rPr>
        <w:footnoteReference w:id="4"/>
      </w:r>
    </w:p>
    <w:p w14:paraId="7B7598FD">
      <w:pPr>
        <w:spacing w:after="0" w:line="360" w:lineRule="auto"/>
        <w:jc w:val="both"/>
        <w:rPr>
          <w:rFonts w:ascii="Times New Roman" w:hAnsi="Times New Roman" w:cs="Times New Roman"/>
          <w:sz w:val="24"/>
        </w:rPr>
      </w:pPr>
    </w:p>
    <w:p w14:paraId="693A7C1B">
      <w:pPr>
        <w:spacing w:after="0" w:line="360" w:lineRule="auto"/>
        <w:jc w:val="both"/>
        <w:rPr>
          <w:rFonts w:ascii="Times New Roman" w:hAnsi="Times New Roman" w:cs="Times New Roman"/>
          <w:sz w:val="24"/>
        </w:rPr>
      </w:pPr>
      <w:r>
        <w:rPr>
          <w:rFonts w:ascii="Times New Roman" w:hAnsi="Times New Roman" w:cs="Times New Roman"/>
          <w:sz w:val="24"/>
        </w:rPr>
        <w:t>4. En atención a las Observaciones Finales sobre los informes periódicos 19º a 21º de la República Bolivariana de Venezuela, aprobadas por el Comité en su 83º período de sesiones, el Estado venezolano realizó una reforma de la Ley Orgánica contra la Discriminación Racial en octubre del año 2021.</w:t>
      </w:r>
      <w:r>
        <w:rPr>
          <w:rStyle w:val="6"/>
          <w:rFonts w:ascii="Times New Roman" w:hAnsi="Times New Roman" w:cs="Times New Roman"/>
          <w:sz w:val="24"/>
        </w:rPr>
        <w:footnoteReference w:id="5"/>
      </w:r>
      <w:r>
        <w:rPr>
          <w:rFonts w:ascii="Times New Roman" w:hAnsi="Times New Roman" w:cs="Times New Roman"/>
          <w:sz w:val="24"/>
        </w:rPr>
        <w:t xml:space="preserve"> En esta reforma se armoniza la definición de discriminación racial y la tipificación del delito de discriminación racial con la definición establecida en el artículo 1 de la Convención. La Asociación Venezolana de Juristas considera que la actual definición contiene todos los elementos que establece la Convención. Acogemos con beneplácito que la reforma contemple un enfoque interseccional. La intersección de factores como como el género, la edad, el origen nacional, la orientación sexual, la condición migratoria y la situación socioeconómica, producen desigualdades sociales que conllevan a la discriminación.</w:t>
      </w:r>
    </w:p>
    <w:p w14:paraId="22904B0C">
      <w:pPr>
        <w:spacing w:after="0" w:line="360" w:lineRule="auto"/>
        <w:jc w:val="both"/>
        <w:rPr>
          <w:rFonts w:ascii="Times New Roman" w:hAnsi="Times New Roman" w:cs="Times New Roman"/>
          <w:sz w:val="24"/>
        </w:rPr>
      </w:pPr>
    </w:p>
    <w:p w14:paraId="504FDE35">
      <w:pPr>
        <w:spacing w:after="0" w:line="360" w:lineRule="auto"/>
        <w:jc w:val="both"/>
        <w:rPr>
          <w:rFonts w:ascii="Times New Roman" w:hAnsi="Times New Roman" w:cs="Times New Roman"/>
          <w:i/>
          <w:sz w:val="24"/>
        </w:rPr>
      </w:pPr>
      <w:r>
        <w:rPr>
          <w:rFonts w:ascii="Times New Roman" w:hAnsi="Times New Roman" w:cs="Times New Roman"/>
          <w:i/>
          <w:sz w:val="24"/>
        </w:rPr>
        <w:t>Artículo 2</w:t>
      </w:r>
    </w:p>
    <w:p w14:paraId="4AC09D18">
      <w:pPr>
        <w:spacing w:after="0" w:line="360" w:lineRule="auto"/>
        <w:jc w:val="both"/>
        <w:rPr>
          <w:rFonts w:ascii="Times New Roman" w:hAnsi="Times New Roman" w:cs="Times New Roman"/>
          <w:sz w:val="24"/>
        </w:rPr>
      </w:pPr>
      <w:r>
        <w:rPr>
          <w:rFonts w:ascii="Times New Roman" w:hAnsi="Times New Roman" w:cs="Times New Roman"/>
          <w:sz w:val="24"/>
        </w:rPr>
        <w:t>5. El Estado venezolano debe realizar una revisión exhaustiva del ordenamiento jurídico para derogar o anular las leyes y las disposiciones legales que tengan contenido discriminatorio o que tengan como consecuencia crear la discriminación racial o perpetuarla donde ya exista. Asimismo, el Estado debe abstenerse de expedir leyes con lenguaje discriminatorio; combatir esquemas y creencias discriminatorias, e implementar acciones positivas a favor de los pueblos indígenas y comunidades afrodescendientes.</w:t>
      </w:r>
    </w:p>
    <w:p w14:paraId="55D22E5F">
      <w:pPr>
        <w:spacing w:after="0" w:line="360" w:lineRule="auto"/>
        <w:jc w:val="both"/>
        <w:rPr>
          <w:rFonts w:ascii="Times New Roman" w:hAnsi="Times New Roman" w:cs="Times New Roman"/>
          <w:sz w:val="24"/>
        </w:rPr>
      </w:pPr>
    </w:p>
    <w:p w14:paraId="167B51D0">
      <w:pPr>
        <w:spacing w:after="0" w:line="360" w:lineRule="auto"/>
        <w:jc w:val="both"/>
        <w:rPr>
          <w:rFonts w:ascii="Times New Roman" w:hAnsi="Times New Roman" w:cs="Times New Roman"/>
          <w:sz w:val="24"/>
        </w:rPr>
      </w:pPr>
      <w:r>
        <w:rPr>
          <w:rFonts w:ascii="Times New Roman" w:hAnsi="Times New Roman" w:cs="Times New Roman"/>
          <w:sz w:val="24"/>
        </w:rPr>
        <w:t>6. Teniendo en cuenta lo anterior, desde la AVJ consideramos que, cualquier medida afirmativa las esferas social, económica, cultural y política, debe estar basada en información empírica. El Estado venezolano no ha hecho públicos en su totalidad, los datos oficiales sobre los pueblos y comunidades de origen étnico o racial, específicamente la población afrovenezolana, en el 14º Censo de Población y Vivienda de 2011 ni los resultados del empadronamiento de 2021. Por ende, la atención por parte del Estado, así como procesos de investigación y respuesta realizados por organizaciones sociales, son mucho más complejos si hay carencias de datos e información confiable, verificable y oportuna.</w:t>
      </w:r>
    </w:p>
    <w:p w14:paraId="6835F7F8">
      <w:pPr>
        <w:spacing w:after="0" w:line="360" w:lineRule="auto"/>
        <w:jc w:val="both"/>
        <w:rPr>
          <w:rFonts w:ascii="Times New Roman" w:hAnsi="Times New Roman" w:cs="Times New Roman"/>
          <w:sz w:val="24"/>
        </w:rPr>
      </w:pPr>
    </w:p>
    <w:p w14:paraId="35901230">
      <w:pPr>
        <w:spacing w:after="0" w:line="360" w:lineRule="auto"/>
        <w:jc w:val="both"/>
        <w:rPr>
          <w:rFonts w:ascii="Times New Roman" w:hAnsi="Times New Roman" w:cs="Times New Roman"/>
          <w:i/>
          <w:sz w:val="24"/>
        </w:rPr>
      </w:pPr>
      <w:r>
        <w:rPr>
          <w:rFonts w:ascii="Times New Roman" w:hAnsi="Times New Roman" w:cs="Times New Roman"/>
          <w:i/>
          <w:sz w:val="24"/>
        </w:rPr>
        <w:t>Artículo 4</w:t>
      </w:r>
    </w:p>
    <w:p w14:paraId="1BDE9D04">
      <w:pPr>
        <w:spacing w:after="0" w:line="360" w:lineRule="auto"/>
        <w:jc w:val="both"/>
        <w:rPr>
          <w:rFonts w:ascii="Times New Roman" w:hAnsi="Times New Roman" w:cs="Times New Roman"/>
          <w:sz w:val="24"/>
        </w:rPr>
      </w:pPr>
      <w:r>
        <w:rPr>
          <w:rFonts w:ascii="Times New Roman" w:hAnsi="Times New Roman" w:cs="Times New Roman"/>
          <w:sz w:val="24"/>
        </w:rPr>
        <w:t>7. El 8 de noviembre de 2017 la Asamblea Nacional Constituyente aprobó la Ley Constitucional contra el Odio, por la Convivencia Pacífica y la Tolerancia</w:t>
      </w:r>
      <w:r>
        <w:rPr>
          <w:rStyle w:val="6"/>
          <w:rFonts w:ascii="Times New Roman" w:hAnsi="Times New Roman" w:cs="Times New Roman"/>
          <w:sz w:val="24"/>
        </w:rPr>
        <w:footnoteReference w:id="6"/>
      </w:r>
      <w:r>
        <w:rPr>
          <w:rFonts w:ascii="Times New Roman" w:hAnsi="Times New Roman" w:cs="Times New Roman"/>
          <w:sz w:val="24"/>
        </w:rPr>
        <w:t xml:space="preserve"> para promover y garantizar el reconocimiento de la diversidad, la tolerancia y el respeto recíproco, así como para prevenir y erradicar toda forma de odio, desprecio, hostigamiento, discriminación y violencia. La Ley Constitucional contra el Odio establece explícitamente en el Artículo 13 la prohibición de propaganda de guerra y mensajes de intolerancia y odio de diversa índole: odio nacional, racial, étnico, religioso, político, social, ideológico, de género, orientación sexual, identidad de género, expresión de género y de cualquier otra naturaleza que constituya incitación a la discriminación, la intolerancia o la violencia. Dicha ley también prevé consecuencias para aquellos que propaguen mensajes de odio en servicios de radio o televisión; en estos casos, se puede revocar la concesión de los medios que incurran en este tipo de actos. Además, se contempla la posibilidad de sancionar a quienes difundan ideas basadas en la superioridad o en el odio racial, provoquen discriminación, violencia o formas conexas de intolerancia.</w:t>
      </w:r>
    </w:p>
    <w:p w14:paraId="11ACCEFE">
      <w:pPr>
        <w:spacing w:after="0" w:line="360" w:lineRule="auto"/>
        <w:jc w:val="both"/>
        <w:rPr>
          <w:rFonts w:ascii="Times New Roman" w:hAnsi="Times New Roman" w:cs="Times New Roman"/>
          <w:sz w:val="24"/>
        </w:rPr>
      </w:pPr>
    </w:p>
    <w:p w14:paraId="4656AC6F">
      <w:pPr>
        <w:spacing w:after="0" w:line="360" w:lineRule="auto"/>
        <w:jc w:val="both"/>
        <w:rPr>
          <w:rFonts w:ascii="Times New Roman" w:hAnsi="Times New Roman" w:cs="Times New Roman"/>
          <w:sz w:val="24"/>
        </w:rPr>
      </w:pPr>
      <w:r>
        <w:rPr>
          <w:rFonts w:ascii="Times New Roman" w:hAnsi="Times New Roman" w:cs="Times New Roman"/>
          <w:sz w:val="24"/>
        </w:rPr>
        <w:t xml:space="preserve">8. La Ley Orgánica contra la Discriminación Racial prevé una serie de mecanismos para la prevención y erradicación de la discriminación por motivo de raza, color, linaje u origen nacional o étnico que incluyen a los órganos y entes de la Administración Pública y del Sistema de Justicia. En este sentido estipula en el delito por discriminación racial, los agravantes si se cometiere un acto discriminatorio por parte de policías, funcionarios públicos o autoridades, y en el desarrollo de actividades de investigación policial, penal o criminalística. Otro avance importante en materia de derechos humanos y Sistema de Justicia </w:t>
      </w:r>
      <w:r>
        <w:rPr>
          <w:rFonts w:hint="default" w:ascii="Times New Roman" w:hAnsi="Times New Roman" w:cs="Times New Roman"/>
          <w:sz w:val="24"/>
          <w:lang w:val="es-ES"/>
        </w:rPr>
        <w:t>se refiere a</w:t>
      </w:r>
      <w:r>
        <w:rPr>
          <w:rFonts w:ascii="Times New Roman" w:hAnsi="Times New Roman" w:cs="Times New Roman"/>
          <w:sz w:val="24"/>
        </w:rPr>
        <w:t xml:space="preserve"> la creación en la Ley de Reforma del Decreto con Rango, Valor y Fuerza de Ley del Estatuto de la Función Policial</w:t>
      </w:r>
      <w:r>
        <w:rPr>
          <w:rStyle w:val="6"/>
          <w:rFonts w:ascii="Times New Roman" w:hAnsi="Times New Roman" w:cs="Times New Roman"/>
          <w:sz w:val="24"/>
        </w:rPr>
        <w:footnoteReference w:id="7"/>
      </w:r>
      <w:r>
        <w:rPr>
          <w:rFonts w:ascii="Times New Roman" w:hAnsi="Times New Roman" w:cs="Times New Roman"/>
          <w:sz w:val="24"/>
        </w:rPr>
        <w:t xml:space="preserve"> de la Comisionaduría Nacional de Derechos Humanos, como una unidad con carácter nacional, encargada de recibir e investigar las denuncias de violación de derechos humanos cometidos por funcionarios que forman parte del sistema de policía y de seguridad ciudadana (artículos 88, 89 y 90).</w:t>
      </w:r>
    </w:p>
    <w:p w14:paraId="1447CAFC">
      <w:pPr>
        <w:spacing w:after="0" w:line="360" w:lineRule="auto"/>
        <w:jc w:val="both"/>
        <w:rPr>
          <w:rFonts w:ascii="Times New Roman" w:hAnsi="Times New Roman" w:cs="Times New Roman"/>
          <w:sz w:val="24"/>
        </w:rPr>
      </w:pPr>
    </w:p>
    <w:p w14:paraId="72903228">
      <w:pPr>
        <w:spacing w:after="0" w:line="360" w:lineRule="auto"/>
        <w:jc w:val="both"/>
        <w:rPr>
          <w:rFonts w:ascii="Times New Roman" w:hAnsi="Times New Roman" w:cs="Times New Roman"/>
          <w:i/>
          <w:sz w:val="24"/>
        </w:rPr>
      </w:pPr>
      <w:r>
        <w:rPr>
          <w:rFonts w:ascii="Times New Roman" w:hAnsi="Times New Roman" w:cs="Times New Roman"/>
          <w:i/>
          <w:sz w:val="24"/>
        </w:rPr>
        <w:t>Artículo 6</w:t>
      </w:r>
    </w:p>
    <w:p w14:paraId="39EEA403">
      <w:pPr>
        <w:spacing w:after="0" w:line="360" w:lineRule="auto"/>
        <w:jc w:val="both"/>
        <w:rPr>
          <w:rFonts w:ascii="Times New Roman" w:hAnsi="Times New Roman" w:cs="Times New Roman"/>
          <w:sz w:val="24"/>
        </w:rPr>
      </w:pPr>
      <w:r>
        <w:rPr>
          <w:rFonts w:ascii="Times New Roman" w:hAnsi="Times New Roman" w:cs="Times New Roman"/>
          <w:sz w:val="24"/>
        </w:rPr>
        <w:t>9. De conformidad con el Artículo 6 de la Convención, observamos con buenos ojos que el Estado venezolano haya establecido la indemnización para las víctimas del delito de discriminación racial, como una forma de reparación justa y adecuada por todo daño de que puedan ser víctimas. Sin embargo, es importante contar con información sobre los mecanismos que se emplean para garantizar este derecho y las medidas que se disponen en caso de que la persona victimaria o quienes hayan cometido este delito, no cuenten con los recursos para indemnizar a las víctimas de forma efectiva.</w:t>
      </w:r>
    </w:p>
    <w:p w14:paraId="2518E7F3">
      <w:pPr>
        <w:spacing w:after="0" w:line="360" w:lineRule="auto"/>
        <w:jc w:val="both"/>
        <w:rPr>
          <w:rFonts w:ascii="Times New Roman" w:hAnsi="Times New Roman" w:cs="Times New Roman"/>
          <w:sz w:val="24"/>
        </w:rPr>
      </w:pPr>
    </w:p>
    <w:p w14:paraId="1CD69061">
      <w:pPr>
        <w:spacing w:after="0" w:line="360" w:lineRule="auto"/>
        <w:jc w:val="both"/>
        <w:rPr>
          <w:rFonts w:ascii="Times New Roman" w:hAnsi="Times New Roman" w:cs="Times New Roman"/>
          <w:sz w:val="24"/>
        </w:rPr>
      </w:pPr>
      <w:r>
        <w:rPr>
          <w:rFonts w:ascii="Times New Roman" w:hAnsi="Times New Roman" w:cs="Times New Roman"/>
          <w:sz w:val="24"/>
        </w:rPr>
        <w:t>10. El Estado ha realizado una serie de reformas normativas que han sido llevadas a cabo por el Poder Legislativo a partir de la constitución de la Asamblea Nacional en 2021. Durante este período se han reformado un importante número de leyes, aunado al proceso de reforma del Sistema de Justicia, por lo que consideramos que la misma debe ser integral para fortalecer la eficiencia y la transparencia en la administración de justicia. Es necesario una amplia participación de la sociedad civil, por lo que hacemos un llamado a una consulta pública, que abarque a todos los sectores de la sociedad, para abordar cuestiones ligadas al funcionamiento, accesibilidad y eficacia de la misma.</w:t>
      </w:r>
    </w:p>
    <w:p w14:paraId="6997B4B6">
      <w:pPr>
        <w:spacing w:after="0" w:line="360" w:lineRule="auto"/>
        <w:jc w:val="both"/>
        <w:rPr>
          <w:rFonts w:ascii="Times New Roman" w:hAnsi="Times New Roman" w:cs="Times New Roman"/>
          <w:sz w:val="24"/>
        </w:rPr>
      </w:pPr>
    </w:p>
    <w:p w14:paraId="6DE9EAE8">
      <w:pPr>
        <w:spacing w:after="0" w:line="360" w:lineRule="auto"/>
        <w:jc w:val="both"/>
        <w:rPr>
          <w:rFonts w:ascii="Times New Roman" w:hAnsi="Times New Roman" w:cs="Times New Roman"/>
          <w:sz w:val="24"/>
        </w:rPr>
      </w:pPr>
      <w:r>
        <w:rPr>
          <w:rFonts w:ascii="Times New Roman" w:hAnsi="Times New Roman" w:cs="Times New Roman"/>
          <w:sz w:val="24"/>
        </w:rPr>
        <w:t>11. Cabe destacar que recientemente se ha decretado una nueva ley para fortalecer la seguridad jurídica y velar por los derechos y garantías de las personas en trámites, procedimientos administrativos y judiciales del Estado, así como en documentos o cualquier otro medio que sea requerido en los mismos, de esta manera el Estado venezolano garantiza la asistencia gratuita por un intérprete, si la persona no comprende o no habla el idioma empleado en el tribunal. La Ley de Reforma Parcial de la Ley de Idiomas Indígenas fue publicada en septiembre de 2021, después de una reforma normativa que actualizó las competencias del Instituto Nacional de Idiomas Indígenas.</w:t>
      </w:r>
    </w:p>
    <w:p w14:paraId="5AEB7360">
      <w:pPr>
        <w:spacing w:after="0" w:line="360" w:lineRule="auto"/>
        <w:jc w:val="both"/>
        <w:rPr>
          <w:rFonts w:ascii="Times New Roman" w:hAnsi="Times New Roman" w:cs="Times New Roman"/>
          <w:sz w:val="24"/>
        </w:rPr>
      </w:pPr>
    </w:p>
    <w:p w14:paraId="5E5BF8B5">
      <w:pPr>
        <w:numPr>
          <w:ilvl w:val="0"/>
          <w:numId w:val="1"/>
        </w:numPr>
        <w:spacing w:after="0" w:line="360" w:lineRule="auto"/>
        <w:ind w:left="567" w:leftChars="0" w:hanging="567" w:firstLineChars="0"/>
        <w:jc w:val="both"/>
        <w:rPr>
          <w:rFonts w:ascii="Times New Roman" w:hAnsi="Times New Roman" w:cs="Times New Roman"/>
          <w:b/>
          <w:sz w:val="24"/>
        </w:rPr>
      </w:pPr>
      <w:r>
        <w:rPr>
          <w:rFonts w:ascii="Times New Roman" w:hAnsi="Times New Roman" w:cs="Times New Roman"/>
          <w:b/>
          <w:sz w:val="24"/>
        </w:rPr>
        <w:t>Declaración y programa de Durban</w:t>
      </w:r>
    </w:p>
    <w:p w14:paraId="1623B07D">
      <w:pPr>
        <w:numPr>
          <w:ilvl w:val="0"/>
          <w:numId w:val="0"/>
        </w:numPr>
        <w:spacing w:after="0" w:line="360" w:lineRule="auto"/>
        <w:ind w:leftChars="0"/>
        <w:jc w:val="both"/>
        <w:rPr>
          <w:rFonts w:ascii="Times New Roman" w:hAnsi="Times New Roman" w:cs="Times New Roman"/>
          <w:b/>
          <w:sz w:val="24"/>
        </w:rPr>
      </w:pPr>
    </w:p>
    <w:p w14:paraId="05F6D994">
      <w:pPr>
        <w:spacing w:after="0" w:line="360" w:lineRule="auto"/>
        <w:jc w:val="both"/>
        <w:rPr>
          <w:rFonts w:ascii="Times New Roman" w:hAnsi="Times New Roman" w:cs="Times New Roman"/>
          <w:sz w:val="24"/>
        </w:rPr>
      </w:pPr>
      <w:r>
        <w:rPr>
          <w:rFonts w:ascii="Times New Roman" w:hAnsi="Times New Roman" w:cs="Times New Roman"/>
          <w:sz w:val="24"/>
        </w:rPr>
        <w:t xml:space="preserve">12. Resulta necesario que el Estado venezolano desarrolle estrategias para realizar  acciones que permitan avanzar en el tema de las </w:t>
      </w:r>
      <w:r>
        <w:rPr>
          <w:rFonts w:hint="default" w:ascii="Times New Roman" w:hAnsi="Times New Roman" w:cs="Times New Roman"/>
          <w:sz w:val="24"/>
          <w:lang w:val="es-ES"/>
        </w:rPr>
        <w:t>r</w:t>
      </w:r>
      <w:r>
        <w:rPr>
          <w:rFonts w:ascii="Times New Roman" w:hAnsi="Times New Roman" w:cs="Times New Roman"/>
          <w:sz w:val="24"/>
        </w:rPr>
        <w:t>eparaciones de la esclavitud y la colonización, en el marco del programa de la Conferencia Mundial Contra el Racismo, la Discriminación Racial, la Xenofobia y las Formas Conexas de Intolerancia (Durban 2001)</w:t>
      </w:r>
    </w:p>
    <w:p w14:paraId="0BAE32D1">
      <w:pPr>
        <w:spacing w:after="0" w:line="360" w:lineRule="auto"/>
        <w:jc w:val="both"/>
        <w:rPr>
          <w:rFonts w:ascii="Times New Roman" w:hAnsi="Times New Roman" w:cs="Times New Roman"/>
          <w:sz w:val="24"/>
        </w:rPr>
      </w:pPr>
    </w:p>
    <w:p w14:paraId="4C9ABA6D">
      <w:pPr>
        <w:numPr>
          <w:ilvl w:val="0"/>
          <w:numId w:val="1"/>
        </w:numPr>
        <w:spacing w:after="0" w:line="360" w:lineRule="auto"/>
        <w:ind w:left="567" w:leftChars="0" w:hanging="567" w:firstLineChars="0"/>
        <w:jc w:val="both"/>
        <w:rPr>
          <w:rFonts w:ascii="Times New Roman" w:hAnsi="Times New Roman" w:cs="Times New Roman"/>
          <w:b/>
          <w:sz w:val="24"/>
        </w:rPr>
      </w:pPr>
      <w:r>
        <w:rPr>
          <w:rFonts w:ascii="Times New Roman" w:hAnsi="Times New Roman" w:cs="Times New Roman"/>
          <w:b/>
          <w:sz w:val="24"/>
        </w:rPr>
        <w:t>Xenofobia</w:t>
      </w:r>
    </w:p>
    <w:p w14:paraId="7306ACCF">
      <w:pPr>
        <w:numPr>
          <w:ilvl w:val="0"/>
          <w:numId w:val="0"/>
        </w:numPr>
        <w:spacing w:after="0" w:line="360" w:lineRule="auto"/>
        <w:ind w:leftChars="0"/>
        <w:jc w:val="both"/>
        <w:rPr>
          <w:rFonts w:ascii="Times New Roman" w:hAnsi="Times New Roman" w:cs="Times New Roman"/>
          <w:b/>
          <w:sz w:val="24"/>
        </w:rPr>
      </w:pPr>
    </w:p>
    <w:p w14:paraId="5EA1BAE7">
      <w:pPr>
        <w:spacing w:after="0" w:line="360" w:lineRule="auto"/>
        <w:jc w:val="both"/>
        <w:rPr>
          <w:rFonts w:ascii="Times New Roman" w:hAnsi="Times New Roman" w:cs="Times New Roman"/>
          <w:sz w:val="24"/>
        </w:rPr>
      </w:pPr>
      <w:r>
        <w:rPr>
          <w:rFonts w:ascii="Times New Roman" w:hAnsi="Times New Roman" w:cs="Times New Roman"/>
          <w:sz w:val="24"/>
        </w:rPr>
        <w:t>13. Observamos con preocupación las tendencias represivas y punitivas en el ámbito migratorio y fronterizo, las cuales promueven una serie de circunstancias que van en detrimento de los derechos humanos, especialmente, los derechos económicos y sociales de los migrantes venezolanos en países del continente. Estas situaciones propician la explotación laboral, baja remuneración y obstáculos para alcanzar un nivel de vida adecuado; por ello, instamos a que Estados Partes cooperen con el Estado venezolano para garantizar el regreso al país de origen de los migrantes venezolanos y sus familiares que han sido víctimas de discriminación racial por origen nacional, intolerancias y violencias en los países de tránsito y destino. Resulta imperativo desarrollar políticas de acogida y regularización de los trabajadores migratorios y sus familiares en situación irregular, y exigir a las autoridades de inmigración y control fronterizo en los países de tránsito y destino el respeto de los derechos humanos de todas las personas sin distinción alguna.</w:t>
      </w:r>
    </w:p>
    <w:p w14:paraId="403B0876">
      <w:pPr>
        <w:spacing w:after="0" w:line="360" w:lineRule="auto"/>
        <w:jc w:val="both"/>
        <w:rPr>
          <w:rFonts w:ascii="Times New Roman" w:hAnsi="Times New Roman" w:cs="Times New Roman"/>
          <w:sz w:val="24"/>
        </w:rPr>
      </w:pPr>
    </w:p>
    <w:p w14:paraId="3D8EFE48">
      <w:pPr>
        <w:pStyle w:val="12"/>
        <w:numPr>
          <w:ilvl w:val="0"/>
          <w:numId w:val="1"/>
        </w:numPr>
        <w:spacing w:after="0" w:line="360" w:lineRule="auto"/>
        <w:ind w:left="567" w:hanging="567"/>
        <w:jc w:val="both"/>
        <w:rPr>
          <w:rFonts w:ascii="Times New Roman" w:hAnsi="Times New Roman" w:cs="Times New Roman"/>
          <w:b/>
          <w:sz w:val="24"/>
        </w:rPr>
      </w:pPr>
      <w:r>
        <w:rPr>
          <w:rFonts w:ascii="Times New Roman" w:hAnsi="Times New Roman" w:cs="Times New Roman"/>
          <w:b/>
          <w:sz w:val="24"/>
        </w:rPr>
        <w:t>Recomendaciones</w:t>
      </w:r>
    </w:p>
    <w:p w14:paraId="4A2E62A5">
      <w:pPr>
        <w:pStyle w:val="12"/>
        <w:numPr>
          <w:ilvl w:val="0"/>
          <w:numId w:val="0"/>
        </w:numPr>
        <w:spacing w:after="0" w:line="360" w:lineRule="auto"/>
        <w:ind w:leftChars="0"/>
        <w:jc w:val="both"/>
        <w:rPr>
          <w:rFonts w:ascii="Times New Roman" w:hAnsi="Times New Roman" w:cs="Times New Roman"/>
          <w:b/>
          <w:sz w:val="24"/>
        </w:rPr>
      </w:pPr>
    </w:p>
    <w:p w14:paraId="74454D7A">
      <w:pPr>
        <w:spacing w:after="0" w:line="360" w:lineRule="auto"/>
        <w:jc w:val="both"/>
        <w:rPr>
          <w:rFonts w:ascii="Times New Roman" w:hAnsi="Times New Roman" w:cs="Times New Roman"/>
          <w:sz w:val="24"/>
        </w:rPr>
      </w:pPr>
      <w:r>
        <w:rPr>
          <w:rFonts w:ascii="Times New Roman" w:hAnsi="Times New Roman" w:cs="Times New Roman"/>
          <w:sz w:val="24"/>
        </w:rPr>
        <w:t>En atención a lo anterior, respetuosamente recomendamos al Comité:</w:t>
      </w:r>
    </w:p>
    <w:p w14:paraId="10D11DCC">
      <w:pPr>
        <w:pStyle w:val="12"/>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Considerar el impacto de las medidas coercitivas unilaterales sobre los derechos humanos del pueblo venezolano, así como el derecho a la libre determinación y derecho al desarrollo, con particular interés en las repercusiones negativas de éstas sobre los pueblos indígenas y afrodescendientes.</w:t>
      </w:r>
    </w:p>
    <w:p w14:paraId="657DD682">
      <w:pPr>
        <w:pStyle w:val="12"/>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Urge que el Estado revise y actualice el marco normativo en materia de movilidad humana, ciudadanía y migración, e incluya definiciones y disposiciones armonizadas con la Convención, así como otros Comentarios Generales del Comité sobre la xenofobia, la intolerancia y sus formas conexas.</w:t>
      </w:r>
    </w:p>
    <w:p w14:paraId="1624231F">
      <w:pPr>
        <w:pStyle w:val="12"/>
        <w:numPr>
          <w:ilvl w:val="0"/>
          <w:numId w:val="0"/>
        </w:numPr>
        <w:spacing w:after="0" w:line="360" w:lineRule="auto"/>
        <w:ind w:left="360" w:leftChars="0"/>
        <w:jc w:val="both"/>
        <w:rPr>
          <w:rFonts w:ascii="Times New Roman" w:hAnsi="Times New Roman" w:cs="Times New Roman"/>
          <w:sz w:val="24"/>
        </w:rPr>
      </w:pPr>
    </w:p>
    <w:p w14:paraId="4779DE05">
      <w:pPr>
        <w:spacing w:after="0" w:line="360" w:lineRule="auto"/>
        <w:jc w:val="both"/>
        <w:rPr>
          <w:rFonts w:ascii="Times New Roman" w:hAnsi="Times New Roman" w:cs="Times New Roman"/>
          <w:sz w:val="24"/>
        </w:rPr>
      </w:pPr>
      <w:r>
        <w:rPr>
          <w:rFonts w:ascii="Times New Roman" w:hAnsi="Times New Roman" w:cs="Times New Roman"/>
          <w:sz w:val="24"/>
        </w:rPr>
        <w:t>22. Igualmente, solicitamos al Comité que evalúe recomendar a otros Estados Partes:</w:t>
      </w:r>
    </w:p>
    <w:p w14:paraId="218464A0">
      <w:pPr>
        <w:pStyle w:val="12"/>
        <w:numPr>
          <w:ilvl w:val="0"/>
          <w:numId w:val="3"/>
        </w:numPr>
        <w:spacing w:after="0" w:line="360" w:lineRule="auto"/>
        <w:jc w:val="both"/>
        <w:rPr>
          <w:rFonts w:ascii="Times New Roman" w:hAnsi="Times New Roman" w:cs="Times New Roman"/>
          <w:sz w:val="24"/>
        </w:rPr>
      </w:pPr>
      <w:r>
        <w:rPr>
          <w:rFonts w:ascii="Times New Roman" w:hAnsi="Times New Roman" w:cs="Times New Roman"/>
          <w:sz w:val="24"/>
        </w:rPr>
        <w:t>Garantizar los derechos de los migrantes de Venezuela en sus respectivos territorios e investigar las violaciones de los derechos humanos o los abusos cometidos contra ellos, en especial los actos de discriminación por origen nacional, xenofobia, trata de personas, trabajos forzosos, otras formas contemporáneas de esclavitud y formas conexas de intolerancia.</w:t>
      </w:r>
    </w:p>
    <w:p w14:paraId="02D61AC9">
      <w:pPr>
        <w:pStyle w:val="12"/>
        <w:numPr>
          <w:numId w:val="0"/>
        </w:numPr>
        <w:spacing w:after="0" w:line="360" w:lineRule="auto"/>
        <w:ind w:left="360" w:leftChars="0"/>
        <w:jc w:val="both"/>
        <w:rPr>
          <w:rFonts w:ascii="Times New Roman" w:hAnsi="Times New Roman" w:cs="Times New Roman"/>
          <w:sz w:val="24"/>
        </w:rPr>
      </w:pPr>
    </w:p>
    <w:p w14:paraId="7E840B30">
      <w:pPr>
        <w:pStyle w:val="12"/>
        <w:numPr>
          <w:ilvl w:val="0"/>
          <w:numId w:val="4"/>
        </w:numPr>
        <w:spacing w:after="0" w:line="360" w:lineRule="auto"/>
        <w:ind w:left="720" w:leftChars="0" w:hanging="720" w:hangingChars="300"/>
        <w:jc w:val="both"/>
        <w:rPr>
          <w:rFonts w:hint="default" w:ascii="Times New Roman" w:hAnsi="Times New Roman" w:cs="Times New Roman"/>
          <w:sz w:val="24"/>
          <w:lang w:val="es-ES"/>
        </w:rPr>
      </w:pPr>
      <w:r>
        <w:rPr>
          <w:rFonts w:hint="default" w:ascii="Times New Roman" w:hAnsi="Times New Roman" w:cs="Times New Roman"/>
          <w:sz w:val="24"/>
          <w:lang w:val="es-ES"/>
        </w:rPr>
        <w:t>Al Estado venezolano le requerimos:</w:t>
      </w:r>
    </w:p>
    <w:p w14:paraId="24BB6B11">
      <w:pPr>
        <w:pStyle w:val="12"/>
        <w:numPr>
          <w:ilvl w:val="0"/>
          <w:numId w:val="2"/>
        </w:numPr>
        <w:spacing w:after="0" w:line="360" w:lineRule="auto"/>
        <w:jc w:val="both"/>
        <w:rPr>
          <w:rFonts w:ascii="Times New Roman" w:hAnsi="Times New Roman" w:cs="Times New Roman"/>
          <w:sz w:val="24"/>
        </w:rPr>
      </w:pPr>
      <w:r>
        <w:rPr>
          <w:rFonts w:hint="default" w:ascii="Times New Roman" w:hAnsi="Times New Roman" w:cs="Times New Roman"/>
          <w:sz w:val="24"/>
          <w:lang w:val="es-ES"/>
        </w:rPr>
        <w:t xml:space="preserve">Continuar con el proceso de reforma del sistema de justicia a fin de garantizar el acceso a la justicia sin discriminación y de manera expedida a todas y todos en Venezuela. </w:t>
      </w:r>
    </w:p>
    <w:p w14:paraId="22062FC8">
      <w:pPr>
        <w:pStyle w:val="12"/>
        <w:numPr>
          <w:ilvl w:val="0"/>
          <w:numId w:val="2"/>
        </w:numPr>
        <w:spacing w:after="0" w:line="360" w:lineRule="auto"/>
        <w:jc w:val="both"/>
        <w:rPr>
          <w:rFonts w:ascii="Times New Roman" w:hAnsi="Times New Roman" w:cs="Times New Roman"/>
          <w:sz w:val="24"/>
        </w:rPr>
      </w:pPr>
      <w:r>
        <w:rPr>
          <w:rFonts w:hint="default" w:ascii="Times New Roman" w:hAnsi="Times New Roman" w:cs="Times New Roman"/>
          <w:sz w:val="24"/>
          <w:lang w:val="es-ES"/>
        </w:rPr>
        <w:t>Elaborar el segundo Plan Nacional de Derechos Humanos a fin de contar con un plan de acción integral en esta materia, donde la lucha contra la discriminación sea un eje transversal en el mismo.</w:t>
      </w:r>
    </w:p>
    <w:p w14:paraId="2527CC95">
      <w:pPr>
        <w:pStyle w:val="12"/>
        <w:numPr>
          <w:ilvl w:val="0"/>
          <w:numId w:val="2"/>
        </w:numPr>
        <w:spacing w:after="0" w:line="360" w:lineRule="auto"/>
        <w:jc w:val="both"/>
        <w:rPr>
          <w:rFonts w:ascii="Times New Roman" w:hAnsi="Times New Roman" w:cs="Times New Roman"/>
          <w:sz w:val="24"/>
        </w:rPr>
      </w:pPr>
      <w:r>
        <w:rPr>
          <w:rFonts w:hint="default" w:ascii="Times New Roman" w:hAnsi="Times New Roman" w:cs="Times New Roman"/>
          <w:sz w:val="24"/>
          <w:lang w:val="es-ES"/>
        </w:rPr>
        <w:t xml:space="preserve">Destinar mayor presupuesto a la lucha contra la discriminación en todas sus formas, con especial atención en el tema migratorio tanto fuera como dentro del país. </w:t>
      </w:r>
      <w:bookmarkStart w:id="0" w:name="_GoBack"/>
      <w:bookmarkEnd w:id="0"/>
    </w:p>
    <w:p w14:paraId="0FAEA17E">
      <w:pPr>
        <w:pStyle w:val="12"/>
        <w:numPr>
          <w:numId w:val="0"/>
        </w:numPr>
        <w:spacing w:after="0" w:line="360" w:lineRule="auto"/>
        <w:jc w:val="both"/>
        <w:rPr>
          <w:rFonts w:hint="default" w:ascii="Times New Roman" w:hAnsi="Times New Roman" w:cs="Times New Roman"/>
          <w:sz w:val="24"/>
          <w:lang w:val="es-ES"/>
        </w:rPr>
      </w:pPr>
    </w:p>
    <w:p w14:paraId="1A621CCA">
      <w:pPr>
        <w:spacing w:after="0" w:line="360" w:lineRule="auto"/>
        <w:jc w:val="both"/>
        <w:rPr>
          <w:rFonts w:ascii="Times New Roman" w:hAnsi="Times New Roman" w:cs="Times New Roman"/>
          <w:sz w:val="24"/>
        </w:rPr>
      </w:pPr>
    </w:p>
    <w:p w14:paraId="3FC393BE">
      <w:pPr>
        <w:spacing w:after="0" w:line="360" w:lineRule="auto"/>
        <w:jc w:val="both"/>
        <w:rPr>
          <w:rFonts w:ascii="Times New Roman" w:hAnsi="Times New Roman" w:cs="Times New Roman"/>
          <w:sz w:val="24"/>
        </w:rPr>
      </w:pPr>
    </w:p>
    <w:sectPr>
      <w:pgSz w:w="11906" w:h="16838"/>
      <w:pgMar w:top="1417" w:right="1701" w:bottom="1417" w:left="1701" w:header="283"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pPr>
        <w:spacing w:before="0" w:after="0" w:line="259" w:lineRule="auto"/>
      </w:pPr>
      <w:r>
        <w:separator/>
      </w:r>
    </w:p>
  </w:footnote>
  <w:footnote w:type="continuationSeparator" w:id="17">
    <w:p>
      <w:pPr>
        <w:spacing w:before="0" w:after="0" w:line="259" w:lineRule="auto"/>
      </w:pPr>
      <w:r>
        <w:continuationSeparator/>
      </w:r>
    </w:p>
  </w:footnote>
  <w:footnote w:id="0">
    <w:p w14:paraId="7F93A7D0">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La Asociación Venezolana de Juristas autoriza la publicación de este documento en la página web del Comité.</w:t>
      </w:r>
    </w:p>
  </w:footnote>
  <w:footnote w:id="1">
    <w:p w14:paraId="3BF109A7">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También conocida como Ley Pública 113-278 del 18 de diciembre de 2014, véase: </w:t>
      </w:r>
      <w:r>
        <w:fldChar w:fldCharType="begin"/>
      </w:r>
      <w:r>
        <w:instrText xml:space="preserve"> HYPERLINK "https://home.treasury.gov/system/files/126/venezuela_publ_113_278.pdf" </w:instrText>
      </w:r>
      <w:r>
        <w:fldChar w:fldCharType="separate"/>
      </w:r>
      <w:r>
        <w:rPr>
          <w:rStyle w:val="9"/>
          <w:rFonts w:ascii="Times New Roman" w:hAnsi="Times New Roman" w:cs="Times New Roman"/>
        </w:rPr>
        <w:t>https://home.treasury.gov/system/files/126/venezuela_publ_113_278.pdf</w:t>
      </w:r>
      <w:r>
        <w:rPr>
          <w:rStyle w:val="9"/>
          <w:rFonts w:ascii="Times New Roman" w:hAnsi="Times New Roman" w:cs="Times New Roman"/>
        </w:rPr>
        <w:fldChar w:fldCharType="end"/>
      </w:r>
      <w:r>
        <w:rPr>
          <w:rFonts w:ascii="Times New Roman" w:hAnsi="Times New Roman" w:cs="Times New Roman"/>
        </w:rPr>
        <w:t xml:space="preserve"> </w:t>
      </w:r>
    </w:p>
  </w:footnote>
  <w:footnote w:id="2">
    <w:p w14:paraId="642D8503">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Informe de la Relatora Especial sobre las repercusiones negativas de las medidas coercitivas unilaterales en el disfrute de los derechos humanos. Véase A/HRC/48/59/Add.2. Disponible en: </w:t>
      </w:r>
      <w:r>
        <w:fldChar w:fldCharType="begin"/>
      </w:r>
      <w:r>
        <w:instrText xml:space="preserve"> HYPERLINK "https://documents-dds-ny.un.org/doc/UNDOC/GEN/G21/269/56/PDF/G2126956.pdf?OpenElement" </w:instrText>
      </w:r>
      <w:r>
        <w:fldChar w:fldCharType="separate"/>
      </w:r>
      <w:r>
        <w:rPr>
          <w:rStyle w:val="9"/>
          <w:rFonts w:ascii="Times New Roman" w:hAnsi="Times New Roman" w:cs="Times New Roman"/>
        </w:rPr>
        <w:t>https://documents-dds-ny.un.org/doc/UNDOC/GEN/G21/269/56/PDF/G2126956.pdf?OpenElement</w:t>
      </w:r>
      <w:r>
        <w:rPr>
          <w:rStyle w:val="9"/>
          <w:rFonts w:ascii="Times New Roman" w:hAnsi="Times New Roman" w:cs="Times New Roman"/>
        </w:rPr>
        <w:fldChar w:fldCharType="end"/>
      </w:r>
      <w:r>
        <w:rPr>
          <w:rFonts w:ascii="Times New Roman" w:hAnsi="Times New Roman" w:cs="Times New Roman"/>
        </w:rPr>
        <w:t xml:space="preserve"> </w:t>
      </w:r>
    </w:p>
  </w:footnote>
  <w:footnote w:id="3">
    <w:p w14:paraId="5CBF37A4">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Idem.</w:t>
      </w:r>
    </w:p>
  </w:footnote>
  <w:footnote w:id="4">
    <w:p w14:paraId="4E11A717">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CRBV, consultar: </w:t>
      </w:r>
      <w:r>
        <w:fldChar w:fldCharType="begin"/>
      </w:r>
      <w:r>
        <w:instrText xml:space="preserve"> HYPERLINK "http://www.cne.gob.ve/web/normativa_electoral/constitucion/indice.php/" </w:instrText>
      </w:r>
      <w:r>
        <w:fldChar w:fldCharType="separate"/>
      </w:r>
      <w:r>
        <w:rPr>
          <w:rStyle w:val="9"/>
          <w:rFonts w:ascii="Times New Roman" w:hAnsi="Times New Roman" w:cs="Times New Roman"/>
        </w:rPr>
        <w:t>http://www.cne.gob.ve/web/normativa_electoral/constitucion/indice.php/</w:t>
      </w:r>
      <w:r>
        <w:rPr>
          <w:rStyle w:val="9"/>
          <w:rFonts w:ascii="Times New Roman" w:hAnsi="Times New Roman" w:cs="Times New Roman"/>
        </w:rPr>
        <w:fldChar w:fldCharType="end"/>
      </w:r>
      <w:r>
        <w:rPr>
          <w:rFonts w:ascii="Times New Roman" w:hAnsi="Times New Roman" w:cs="Times New Roman"/>
        </w:rPr>
        <w:t xml:space="preserve"> </w:t>
      </w:r>
    </w:p>
  </w:footnote>
  <w:footnote w:id="5">
    <w:p w14:paraId="08C8F339">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Ley Orgánica de Reforma Parcial de la Ley Orgánica contra la Discriminación Racial publicada en Gaceta Oficial N°6657 Extraordinario el 28/10/2021.</w:t>
      </w:r>
    </w:p>
  </w:footnote>
  <w:footnote w:id="6">
    <w:p w14:paraId="0B2253A6">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Ley Constitucional Contra el Odio, por la Convivencia Pacífica y la Tolerancia, publicada en la Gaceta Oficial.N°41.274 de fecha 8/11/2017.</w:t>
      </w:r>
    </w:p>
  </w:footnote>
  <w:footnote w:id="7">
    <w:p w14:paraId="798BE27A">
      <w:pPr>
        <w:pStyle w:val="7"/>
        <w:jc w:val="both"/>
        <w:rPr>
          <w:rFonts w:ascii="Times New Roman" w:hAnsi="Times New Roman" w:cs="Times New Roman"/>
        </w:rPr>
      </w:pPr>
      <w:r>
        <w:rPr>
          <w:rStyle w:val="6"/>
          <w:rFonts w:ascii="Times New Roman" w:hAnsi="Times New Roman" w:cs="Times New Roman"/>
        </w:rPr>
        <w:footnoteRef/>
      </w:r>
      <w:r>
        <w:rPr>
          <w:rFonts w:ascii="Times New Roman" w:hAnsi="Times New Roman" w:cs="Times New Roman"/>
        </w:rPr>
        <w:t xml:space="preserve"> Ley de Reforma del Decreto con Rango, Valor y Fuerza de Ley del Estatuto de la Función Policial, publicada en la Gaceta Oficial Nº6650 Extraordinario de fecha 22/09/2021.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3330B"/>
    <w:multiLevelType w:val="multilevel"/>
    <w:tmpl w:val="1E43330B"/>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8EB706B"/>
    <w:multiLevelType w:val="multilevel"/>
    <w:tmpl w:val="58EB706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2EFBC19"/>
    <w:multiLevelType w:val="singleLevel"/>
    <w:tmpl w:val="72EFBC19"/>
    <w:lvl w:ilvl="0" w:tentative="0">
      <w:start w:val="23"/>
      <w:numFmt w:val="decimal"/>
      <w:suff w:val="space"/>
      <w:lvlText w:val="%1."/>
      <w:lvlJc w:val="left"/>
    </w:lvl>
  </w:abstractNum>
  <w:abstractNum w:abstractNumId="3">
    <w:nsid w:val="73210173"/>
    <w:multiLevelType w:val="multilevel"/>
    <w:tmpl w:val="7321017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16"/>
    <w:footnote w:id="17"/>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C58"/>
    <w:rsid w:val="000256F0"/>
    <w:rsid w:val="000911B0"/>
    <w:rsid w:val="000937AE"/>
    <w:rsid w:val="000A1732"/>
    <w:rsid w:val="000C62AD"/>
    <w:rsid w:val="000C6B9C"/>
    <w:rsid w:val="000E1FA4"/>
    <w:rsid w:val="000E31FC"/>
    <w:rsid w:val="001342F7"/>
    <w:rsid w:val="00156179"/>
    <w:rsid w:val="0015696E"/>
    <w:rsid w:val="001641F0"/>
    <w:rsid w:val="00165943"/>
    <w:rsid w:val="001735D4"/>
    <w:rsid w:val="001B0272"/>
    <w:rsid w:val="001D3565"/>
    <w:rsid w:val="001E603E"/>
    <w:rsid w:val="00214F14"/>
    <w:rsid w:val="00216789"/>
    <w:rsid w:val="00227DA7"/>
    <w:rsid w:val="00237A8C"/>
    <w:rsid w:val="00263FB9"/>
    <w:rsid w:val="002C3D71"/>
    <w:rsid w:val="002C7268"/>
    <w:rsid w:val="002D63D9"/>
    <w:rsid w:val="002F5F60"/>
    <w:rsid w:val="00302CB2"/>
    <w:rsid w:val="00315878"/>
    <w:rsid w:val="00351D1C"/>
    <w:rsid w:val="00395048"/>
    <w:rsid w:val="0041696D"/>
    <w:rsid w:val="00425977"/>
    <w:rsid w:val="00444B02"/>
    <w:rsid w:val="00453C1E"/>
    <w:rsid w:val="00473BBC"/>
    <w:rsid w:val="00484F62"/>
    <w:rsid w:val="004C1ED2"/>
    <w:rsid w:val="00505FCB"/>
    <w:rsid w:val="00514BAC"/>
    <w:rsid w:val="00520003"/>
    <w:rsid w:val="0053562B"/>
    <w:rsid w:val="0054425D"/>
    <w:rsid w:val="00572E71"/>
    <w:rsid w:val="005A7C58"/>
    <w:rsid w:val="005E70AE"/>
    <w:rsid w:val="005F03A3"/>
    <w:rsid w:val="005F7AFE"/>
    <w:rsid w:val="00612BAA"/>
    <w:rsid w:val="006439D3"/>
    <w:rsid w:val="00666910"/>
    <w:rsid w:val="00692E65"/>
    <w:rsid w:val="006E5253"/>
    <w:rsid w:val="00724EAB"/>
    <w:rsid w:val="00737118"/>
    <w:rsid w:val="007452E8"/>
    <w:rsid w:val="00747D3D"/>
    <w:rsid w:val="007531CB"/>
    <w:rsid w:val="00797841"/>
    <w:rsid w:val="007E1F58"/>
    <w:rsid w:val="007F3256"/>
    <w:rsid w:val="007F4D89"/>
    <w:rsid w:val="007F6AF6"/>
    <w:rsid w:val="008004F6"/>
    <w:rsid w:val="00805BC7"/>
    <w:rsid w:val="00812901"/>
    <w:rsid w:val="00832906"/>
    <w:rsid w:val="00833CA5"/>
    <w:rsid w:val="008472A9"/>
    <w:rsid w:val="00872D74"/>
    <w:rsid w:val="00882180"/>
    <w:rsid w:val="00894FC9"/>
    <w:rsid w:val="008C02FA"/>
    <w:rsid w:val="008E42A2"/>
    <w:rsid w:val="008E4728"/>
    <w:rsid w:val="009126FF"/>
    <w:rsid w:val="009278C7"/>
    <w:rsid w:val="0096389C"/>
    <w:rsid w:val="00971D30"/>
    <w:rsid w:val="0097396D"/>
    <w:rsid w:val="00977BDE"/>
    <w:rsid w:val="00980509"/>
    <w:rsid w:val="009C3FC8"/>
    <w:rsid w:val="009F3AB0"/>
    <w:rsid w:val="00A41DF3"/>
    <w:rsid w:val="00A478A2"/>
    <w:rsid w:val="00A61DF8"/>
    <w:rsid w:val="00A70839"/>
    <w:rsid w:val="00A74A9F"/>
    <w:rsid w:val="00AA05EB"/>
    <w:rsid w:val="00AA5F30"/>
    <w:rsid w:val="00AC0ADB"/>
    <w:rsid w:val="00B12A89"/>
    <w:rsid w:val="00BC682E"/>
    <w:rsid w:val="00BD79A7"/>
    <w:rsid w:val="00BF1542"/>
    <w:rsid w:val="00C11F6B"/>
    <w:rsid w:val="00C409AB"/>
    <w:rsid w:val="00C75B7F"/>
    <w:rsid w:val="00CA45CF"/>
    <w:rsid w:val="00CF4E96"/>
    <w:rsid w:val="00D11933"/>
    <w:rsid w:val="00D3101D"/>
    <w:rsid w:val="00D673A6"/>
    <w:rsid w:val="00DB46DA"/>
    <w:rsid w:val="00DC5408"/>
    <w:rsid w:val="00E248C3"/>
    <w:rsid w:val="00E36B17"/>
    <w:rsid w:val="00E75DEA"/>
    <w:rsid w:val="00E91071"/>
    <w:rsid w:val="00EF2AD5"/>
    <w:rsid w:val="00EF7264"/>
    <w:rsid w:val="00F4009E"/>
    <w:rsid w:val="00F57B12"/>
    <w:rsid w:val="00F61289"/>
    <w:rsid w:val="00F8308F"/>
    <w:rsid w:val="00FC139D"/>
    <w:rsid w:val="13C11EAB"/>
    <w:rsid w:val="1D045516"/>
    <w:rsid w:val="1F8B3313"/>
    <w:rsid w:val="2E797722"/>
    <w:rsid w:val="5D9F6029"/>
    <w:rsid w:val="6928339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E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4"/>
    <w:semiHidden/>
    <w:unhideWhenUsed/>
    <w:qFormat/>
    <w:uiPriority w:val="99"/>
    <w:pPr>
      <w:spacing w:after="0" w:line="240" w:lineRule="auto"/>
    </w:pPr>
    <w:rPr>
      <w:rFonts w:ascii="Segoe UI" w:hAnsi="Segoe UI" w:cs="Segoe UI"/>
      <w:sz w:val="18"/>
      <w:szCs w:val="18"/>
    </w:rPr>
  </w:style>
  <w:style w:type="paragraph" w:styleId="5">
    <w:name w:val="footer"/>
    <w:basedOn w:val="1"/>
    <w:link w:val="11"/>
    <w:unhideWhenUsed/>
    <w:qFormat/>
    <w:uiPriority w:val="99"/>
    <w:pPr>
      <w:tabs>
        <w:tab w:val="center" w:pos="4252"/>
        <w:tab w:val="right" w:pos="8504"/>
      </w:tabs>
      <w:spacing w:after="0" w:line="240" w:lineRule="auto"/>
    </w:pPr>
  </w:style>
  <w:style w:type="character" w:styleId="6">
    <w:name w:val="footnote reference"/>
    <w:basedOn w:val="2"/>
    <w:semiHidden/>
    <w:unhideWhenUsed/>
    <w:qFormat/>
    <w:uiPriority w:val="99"/>
    <w:rPr>
      <w:vertAlign w:val="superscript"/>
    </w:rPr>
  </w:style>
  <w:style w:type="paragraph" w:styleId="7">
    <w:name w:val="footnote text"/>
    <w:basedOn w:val="1"/>
    <w:link w:val="13"/>
    <w:semiHidden/>
    <w:unhideWhenUsed/>
    <w:qFormat/>
    <w:uiPriority w:val="99"/>
    <w:pPr>
      <w:spacing w:after="0" w:line="240" w:lineRule="auto"/>
    </w:pPr>
    <w:rPr>
      <w:sz w:val="20"/>
      <w:szCs w:val="20"/>
    </w:rPr>
  </w:style>
  <w:style w:type="paragraph" w:styleId="8">
    <w:name w:val="header"/>
    <w:basedOn w:val="1"/>
    <w:link w:val="10"/>
    <w:unhideWhenUsed/>
    <w:uiPriority w:val="99"/>
    <w:pPr>
      <w:tabs>
        <w:tab w:val="center" w:pos="4252"/>
        <w:tab w:val="right" w:pos="8504"/>
      </w:tabs>
      <w:spacing w:after="0" w:line="240" w:lineRule="auto"/>
    </w:pPr>
  </w:style>
  <w:style w:type="character" w:styleId="9">
    <w:name w:val="Hyperlink"/>
    <w:basedOn w:val="2"/>
    <w:unhideWhenUsed/>
    <w:qFormat/>
    <w:uiPriority w:val="99"/>
    <w:rPr>
      <w:color w:val="0563C1" w:themeColor="hyperlink"/>
      <w:u w:val="single"/>
      <w14:textFill>
        <w14:solidFill>
          <w14:schemeClr w14:val="hlink"/>
        </w14:solidFill>
      </w14:textFill>
    </w:rPr>
  </w:style>
  <w:style w:type="character" w:customStyle="1" w:styleId="10">
    <w:name w:val="Encabezado Car"/>
    <w:basedOn w:val="2"/>
    <w:link w:val="8"/>
    <w:qFormat/>
    <w:uiPriority w:val="99"/>
  </w:style>
  <w:style w:type="character" w:customStyle="1" w:styleId="11">
    <w:name w:val="Pie de página Car"/>
    <w:basedOn w:val="2"/>
    <w:link w:val="5"/>
    <w:qFormat/>
    <w:uiPriority w:val="99"/>
  </w:style>
  <w:style w:type="paragraph" w:styleId="12">
    <w:name w:val="List Paragraph"/>
    <w:basedOn w:val="1"/>
    <w:qFormat/>
    <w:uiPriority w:val="34"/>
    <w:pPr>
      <w:ind w:left="720"/>
      <w:contextualSpacing/>
    </w:pPr>
  </w:style>
  <w:style w:type="character" w:customStyle="1" w:styleId="13">
    <w:name w:val="Texto nota pie Car"/>
    <w:basedOn w:val="2"/>
    <w:link w:val="7"/>
    <w:semiHidden/>
    <w:qFormat/>
    <w:uiPriority w:val="99"/>
    <w:rPr>
      <w:sz w:val="20"/>
      <w:szCs w:val="20"/>
    </w:rPr>
  </w:style>
  <w:style w:type="character" w:customStyle="1" w:styleId="14">
    <w:name w:val="Texto de globo Car"/>
    <w:basedOn w:val="2"/>
    <w:link w:val="4"/>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otnotes" Target="footnotes.xml"/><Relationship Id="rId7" Type="http://schemas.openxmlformats.org/officeDocument/2006/relationships/numbering" Target="numbering.xml"/><Relationship Id="rId2" Type="http://schemas.openxmlformats.org/officeDocument/2006/relationships/settings" Target="settings.xml"/><Relationship Id="rId6" Type="http://schemas.openxmlformats.org/officeDocument/2006/relationships/image" Target="media/image1.png"/><Relationship Id="rId1"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theme" Target="theme/theme1.xml"/><Relationship Id="rId10" Type="http://schemas.openxmlformats.org/officeDocument/2006/relationships/customXml" Target="../customXml/item2.xml"/><Relationship Id="rId9" Type="http://schemas.openxmlformats.org/officeDocument/2006/relationships/fontTable" Target="fontTable.xml"/><Relationship Id="rId4"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2561CF-36BF-4B70-8A52-40D010D32023}">
  <ds:schemaRefs/>
</ds:datastoreItem>
</file>

<file path=customXml/itemProps2.xml><?xml version="1.0" encoding="utf-8"?>
<ds:datastoreItem xmlns:ds="http://schemas.openxmlformats.org/officeDocument/2006/customXml" ds:itemID="{A3703B6B-4F04-4AAA-9C4A-8F5567526DDC}"/>
</file>

<file path=customXml/itemProps3.xml><?xml version="1.0" encoding="utf-8"?>
<ds:datastoreItem xmlns:ds="http://schemas.openxmlformats.org/officeDocument/2006/customXml" ds:itemID="{6CF9C797-F9EF-4A26-9EBA-8A74ACFA87C2}"/>
</file>

<file path=docProps/app.xml><?xml version="1.0" encoding="utf-8"?>
<Properties xmlns="http://schemas.openxmlformats.org/officeDocument/2006/extended-properties" xmlns:vt="http://schemas.openxmlformats.org/officeDocument/2006/docPropsVTypes">
  <Template>Normal</Template>
  <Pages>7</Pages>
  <Words>1955</Words>
  <Characters>10753</Characters>
  <Lines>89</Lines>
  <Paragraphs>25</Paragraphs>
  <TotalTime>3</TotalTime>
  <ScaleCrop>false</ScaleCrop>
  <LinksUpToDate>false</LinksUpToDate>
  <CharactersWithSpaces>12683</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2022-08-20T02:16:00Z</dcterms:created>
  <dc:creator>usuario</dc:creator>
  <cp:lastModifiedBy>Asociación Venezolana de Juri</cp:lastModifiedBy>
  <cp:lastPrinted>2024-07-02T16:15:00Z</cp:lastPrinted>
  <dcterms:modified xsi:type="dcterms:W3CDTF">2024-07-03T15:24:18Z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99012C57A1AB41CB9C5123AB1DB845F3_13</vt:lpwstr>
  </property>
</Properties>
</file>