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00" w:before="200" w:lineRule="auto"/>
        <w:ind w:left="-283.46456692913375" w:right="-430.8661417322827" w:firstLine="0"/>
        <w:rPr>
          <w:rFonts w:ascii="Lato Black" w:cs="Lato Black" w:eastAsia="Lato Black" w:hAnsi="Lato Black"/>
          <w:b w:val="1"/>
          <w:color w:val="434343"/>
          <w:sz w:val="44"/>
          <w:szCs w:val="44"/>
        </w:rPr>
      </w:pPr>
      <w:r w:rsidDel="00000000" w:rsidR="00000000" w:rsidRPr="00000000">
        <w:rPr>
          <w:rtl w:val="0"/>
        </w:rPr>
      </w:r>
    </w:p>
    <w:p w:rsidR="00000000" w:rsidDel="00000000" w:rsidP="00000000" w:rsidRDefault="00000000" w:rsidRPr="00000000" w14:paraId="00000002">
      <w:pPr>
        <w:spacing w:after="200" w:before="200" w:lineRule="auto"/>
        <w:ind w:left="-283.46456692913375" w:right="-430.8661417322827" w:firstLine="0"/>
        <w:jc w:val="center"/>
        <w:rPr>
          <w:rFonts w:ascii="Lato Black" w:cs="Lato Black" w:eastAsia="Lato Black" w:hAnsi="Lato Black"/>
          <w:b w:val="1"/>
          <w:color w:val="434343"/>
          <w:sz w:val="44"/>
          <w:szCs w:val="44"/>
        </w:rPr>
      </w:pPr>
      <w:r w:rsidDel="00000000" w:rsidR="00000000" w:rsidRPr="00000000">
        <w:rPr>
          <w:rFonts w:ascii="Lato Black" w:cs="Lato Black" w:eastAsia="Lato Black" w:hAnsi="Lato Black"/>
          <w:b w:val="1"/>
          <w:color w:val="434343"/>
          <w:sz w:val="44"/>
          <w:szCs w:val="44"/>
          <w:rtl w:val="0"/>
        </w:rPr>
        <w:t xml:space="preserve">Joint alternative report to the United Nations Committee on Economic, Social and Cultural Rights</w:t>
      </w:r>
    </w:p>
    <w:p w:rsidR="00000000" w:rsidDel="00000000" w:rsidP="00000000" w:rsidRDefault="00000000" w:rsidRPr="00000000" w14:paraId="00000003">
      <w:pPr>
        <w:spacing w:after="200" w:before="200" w:lineRule="auto"/>
        <w:ind w:left="-283.46456692913375" w:right="-430.8661417322827" w:firstLine="0"/>
        <w:jc w:val="center"/>
        <w:rPr>
          <w:rFonts w:ascii="Lato Black" w:cs="Lato Black" w:eastAsia="Lato Black" w:hAnsi="Lato Black"/>
          <w:i w:val="1"/>
          <w:color w:val="434343"/>
          <w:sz w:val="38"/>
          <w:szCs w:val="38"/>
        </w:rPr>
      </w:pPr>
      <w:r w:rsidDel="00000000" w:rsidR="00000000" w:rsidRPr="00000000">
        <w:rPr>
          <w:rFonts w:ascii="Lato Black" w:cs="Lato Black" w:eastAsia="Lato Black" w:hAnsi="Lato Black"/>
          <w:b w:val="1"/>
          <w:color w:val="434343"/>
          <w:sz w:val="36"/>
          <w:szCs w:val="36"/>
          <w:rtl w:val="0"/>
        </w:rPr>
        <w:t xml:space="preserve">(Fifth Periodic Report of the State of Chile)</w:t>
      </w:r>
      <w:r w:rsidDel="00000000" w:rsidR="00000000" w:rsidRPr="00000000">
        <w:rPr>
          <w:rtl w:val="0"/>
        </w:rPr>
      </w:r>
    </w:p>
    <w:p w:rsidR="00000000" w:rsidDel="00000000" w:rsidP="00000000" w:rsidRDefault="00000000" w:rsidRPr="00000000" w14:paraId="00000004">
      <w:pPr>
        <w:spacing w:after="200" w:before="200" w:lineRule="auto"/>
        <w:ind w:left="-283.46456692913375" w:right="-430.8661417322827" w:firstLine="0"/>
        <w:jc w:val="center"/>
        <w:rPr>
          <w:rFonts w:ascii="Lato Black" w:cs="Lato Black" w:eastAsia="Lato Black" w:hAnsi="Lato Black"/>
          <w:i w:val="1"/>
          <w:color w:val="434343"/>
          <w:sz w:val="38"/>
          <w:szCs w:val="38"/>
        </w:rPr>
      </w:pPr>
      <w:r w:rsidDel="00000000" w:rsidR="00000000" w:rsidRPr="00000000">
        <w:rPr>
          <w:rFonts w:ascii="Lato Black" w:cs="Lato Black" w:eastAsia="Lato Black" w:hAnsi="Lato Black"/>
          <w:i w:val="1"/>
          <w:color w:val="434343"/>
          <w:sz w:val="38"/>
          <w:szCs w:val="38"/>
          <w:rtl w:val="0"/>
        </w:rPr>
        <w:t xml:space="preserve">Corporación Miles</w:t>
      </w:r>
    </w:p>
    <w:p w:rsidR="00000000" w:rsidDel="00000000" w:rsidP="00000000" w:rsidRDefault="00000000" w:rsidRPr="00000000" w14:paraId="00000005">
      <w:pPr>
        <w:spacing w:after="200" w:before="200" w:lineRule="auto"/>
        <w:ind w:left="-283.46456692913375" w:right="-430.8661417322827" w:firstLine="0"/>
        <w:jc w:val="center"/>
        <w:rPr>
          <w:rFonts w:ascii="Lato Black" w:cs="Lato Black" w:eastAsia="Lato Black" w:hAnsi="Lato Black"/>
          <w:i w:val="1"/>
          <w:color w:val="434343"/>
          <w:sz w:val="38"/>
          <w:szCs w:val="38"/>
        </w:rPr>
      </w:pPr>
      <w:r w:rsidDel="00000000" w:rsidR="00000000" w:rsidRPr="00000000">
        <w:rPr>
          <w:rFonts w:ascii="Lato Black" w:cs="Lato Black" w:eastAsia="Lato Black" w:hAnsi="Lato Black"/>
          <w:i w:val="1"/>
          <w:color w:val="434343"/>
          <w:sz w:val="38"/>
          <w:szCs w:val="38"/>
          <w:rtl w:val="0"/>
        </w:rPr>
        <w:t xml:space="preserve">Women’s Link Worldwide</w:t>
      </w:r>
    </w:p>
    <w:p w:rsidR="00000000" w:rsidDel="00000000" w:rsidP="00000000" w:rsidRDefault="00000000" w:rsidRPr="00000000" w14:paraId="00000006">
      <w:pPr>
        <w:spacing w:after="200" w:before="200" w:lineRule="auto"/>
        <w:ind w:left="-283.46456692913375" w:right="-430.8661417322827" w:firstLine="0"/>
        <w:jc w:val="center"/>
        <w:rPr>
          <w:rFonts w:ascii="Lato" w:cs="Lato" w:eastAsia="Lato" w:hAnsi="Lato"/>
          <w:color w:val="434343"/>
          <w:sz w:val="38"/>
          <w:szCs w:val="38"/>
        </w:rPr>
      </w:pPr>
      <w:r w:rsidDel="00000000" w:rsidR="00000000" w:rsidRPr="00000000">
        <w:rPr>
          <w:rFonts w:ascii="Lato Black" w:cs="Lato Black" w:eastAsia="Lato Black" w:hAnsi="Lato Black"/>
          <w:i w:val="1"/>
          <w:color w:val="434343"/>
          <w:sz w:val="38"/>
          <w:szCs w:val="38"/>
          <w:rtl w:val="0"/>
        </w:rPr>
        <w:t xml:space="preserve">Chile necesita ESI</w:t>
      </w:r>
      <w:r w:rsidDel="00000000" w:rsidR="00000000" w:rsidRPr="00000000">
        <w:rPr>
          <w:rtl w:val="0"/>
        </w:rPr>
      </w:r>
    </w:p>
    <w:p w:rsidR="00000000" w:rsidDel="00000000" w:rsidP="00000000" w:rsidRDefault="00000000" w:rsidRPr="00000000" w14:paraId="00000007">
      <w:pPr>
        <w:spacing w:after="200" w:before="200" w:lineRule="auto"/>
        <w:ind w:left="-283.46456692913375" w:right="-430.8661417322827" w:firstLine="0"/>
        <w:rPr>
          <w:rFonts w:ascii="Lato" w:cs="Lato" w:eastAsia="Lato" w:hAnsi="Lato"/>
          <w:color w:val="434343"/>
          <w:sz w:val="38"/>
          <w:szCs w:val="38"/>
        </w:rPr>
      </w:pPr>
      <w:r w:rsidDel="00000000" w:rsidR="00000000" w:rsidRPr="00000000">
        <w:rPr>
          <w:rtl w:val="0"/>
        </w:rPr>
      </w:r>
    </w:p>
    <w:p w:rsidR="00000000" w:rsidDel="00000000" w:rsidP="00000000" w:rsidRDefault="00000000" w:rsidRPr="00000000" w14:paraId="00000008">
      <w:pPr>
        <w:spacing w:after="200" w:before="200" w:lineRule="auto"/>
        <w:ind w:left="-283.46456692913375" w:right="-430.8661417322827" w:firstLine="0"/>
        <w:jc w:val="center"/>
        <w:rPr>
          <w:rFonts w:ascii="Lato" w:cs="Lato" w:eastAsia="Lato" w:hAnsi="Lato"/>
          <w:color w:val="434343"/>
          <w:sz w:val="30"/>
          <w:szCs w:val="30"/>
        </w:rPr>
      </w:pPr>
      <w:bookmarkStart w:colFirst="0" w:colLast="0" w:name="_heading=h.eotu915ztqoi" w:id="0"/>
      <w:bookmarkEnd w:id="0"/>
      <w:r w:rsidDel="00000000" w:rsidR="00000000" w:rsidRPr="00000000">
        <w:rPr>
          <w:rFonts w:ascii="Lato" w:cs="Lato" w:eastAsia="Lato" w:hAnsi="Lato"/>
          <w:color w:val="434343"/>
          <w:sz w:val="30"/>
          <w:szCs w:val="30"/>
          <w:rtl w:val="0"/>
        </w:rPr>
        <w:t xml:space="preserve">August 2025</w:t>
      </w:r>
    </w:p>
    <w:p w:rsidR="00000000" w:rsidDel="00000000" w:rsidP="00000000" w:rsidRDefault="00000000" w:rsidRPr="00000000" w14:paraId="00000009">
      <w:pPr>
        <w:spacing w:after="200" w:before="200" w:lineRule="auto"/>
        <w:ind w:left="-283.46456692913375" w:right="-430.8661417322827" w:firstLine="0"/>
        <w:jc w:val="left"/>
        <w:rPr>
          <w:rFonts w:ascii="Lato" w:cs="Lato" w:eastAsia="Lato" w:hAnsi="Lato"/>
          <w:color w:val="434343"/>
          <w:sz w:val="30"/>
          <w:szCs w:val="30"/>
        </w:rPr>
      </w:pPr>
      <w:bookmarkStart w:colFirst="0" w:colLast="0" w:name="_heading=h.g0p34u1ea941" w:id="1"/>
      <w:bookmarkEnd w:id="1"/>
      <w:r w:rsidDel="00000000" w:rsidR="00000000" w:rsidRPr="00000000">
        <w:rPr>
          <w:rtl w:val="0"/>
        </w:rPr>
      </w:r>
    </w:p>
    <w:p w:rsidR="00000000" w:rsidDel="00000000" w:rsidP="00000000" w:rsidRDefault="00000000" w:rsidRPr="00000000" w14:paraId="0000000A">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283.46456692913375" w:right="-430.8661417322827" w:firstLine="0"/>
        <w:jc w:val="left"/>
        <w:rPr>
          <w:rFonts w:ascii="Lato Black" w:cs="Lato Black" w:eastAsia="Lato Black" w:hAnsi="Lato Black"/>
          <w:b w:val="1"/>
          <w:color w:val="434343"/>
          <w:sz w:val="22"/>
          <w:szCs w:val="22"/>
        </w:rPr>
      </w:pPr>
      <w:r w:rsidDel="00000000" w:rsidR="00000000" w:rsidRPr="00000000">
        <w:rPr>
          <w:rFonts w:ascii="Lato Black" w:cs="Lato Black" w:eastAsia="Lato Black" w:hAnsi="Lato Black"/>
          <w:b w:val="1"/>
          <w:i w:val="0"/>
          <w:smallCaps w:val="0"/>
          <w:strike w:val="0"/>
          <w:color w:val="434343"/>
          <w:sz w:val="22"/>
          <w:szCs w:val="22"/>
          <w:u w:val="none"/>
          <w:shd w:fill="auto" w:val="clear"/>
          <w:vertAlign w:val="baseline"/>
          <w:rtl w:val="0"/>
        </w:rPr>
        <w:t xml:space="preserve">Table of Contents</w:t>
      </w:r>
      <w:r w:rsidDel="00000000" w:rsidR="00000000" w:rsidRPr="00000000">
        <w:rPr>
          <w:rtl w:val="0"/>
        </w:rPr>
      </w:r>
    </w:p>
    <w:sdt>
      <w:sdtPr>
        <w:id w:val="2104715503"/>
        <w:docPartObj>
          <w:docPartGallery w:val="Table of Contents"/>
          <w:docPartUnique w:val="1"/>
        </w:docPartObj>
      </w:sdtPr>
      <w:sdtContent>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8630"/>
            </w:tabs>
            <w:spacing w:after="0" w:before="0" w:line="276" w:lineRule="auto"/>
            <w:ind w:left="-283.46456692913375" w:right="-430.8661417322827" w:firstLine="0"/>
            <w:jc w:val="left"/>
            <w:rPr>
              <w:rFonts w:ascii="Lato" w:cs="Lato" w:eastAsia="Lato" w:hAnsi="Lato"/>
              <w:b w:val="0"/>
              <w:i w:val="0"/>
              <w:smallCaps w:val="0"/>
              <w:strike w:val="0"/>
              <w:color w:val="434343"/>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eo8za55x12n7">
            <w:r w:rsidDel="00000000" w:rsidR="00000000" w:rsidRPr="00000000">
              <w:rPr>
                <w:rFonts w:ascii="Lato" w:cs="Lato" w:eastAsia="Lato" w:hAnsi="Lato"/>
                <w:b w:val="0"/>
                <w:i w:val="0"/>
                <w:smallCaps w:val="0"/>
                <w:strike w:val="0"/>
                <w:color w:val="434343"/>
                <w:sz w:val="22"/>
                <w:szCs w:val="22"/>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8630"/>
            </w:tabs>
            <w:spacing w:after="0" w:before="0" w:line="276" w:lineRule="auto"/>
            <w:ind w:left="-283.46456692913375" w:right="-430.8661417322827" w:firstLine="0"/>
            <w:jc w:val="left"/>
            <w:rPr>
              <w:rFonts w:ascii="Lato" w:cs="Lato" w:eastAsia="Lato" w:hAnsi="Lato"/>
              <w:b w:val="0"/>
              <w:i w:val="0"/>
              <w:smallCaps w:val="0"/>
              <w:strike w:val="0"/>
              <w:color w:val="434343"/>
              <w:sz w:val="22"/>
              <w:szCs w:val="22"/>
              <w:u w:val="none"/>
              <w:shd w:fill="auto" w:val="clear"/>
              <w:vertAlign w:val="baseline"/>
            </w:rPr>
          </w:pPr>
          <w:hyperlink w:anchor="_heading=h.yew4zfm5lm5t">
            <w:r w:rsidDel="00000000" w:rsidR="00000000" w:rsidRPr="00000000">
              <w:rPr>
                <w:rFonts w:ascii="Lato" w:cs="Lato" w:eastAsia="Lato" w:hAnsi="Lato"/>
                <w:b w:val="0"/>
                <w:i w:val="0"/>
                <w:smallCaps w:val="0"/>
                <w:strike w:val="0"/>
                <w:color w:val="434343"/>
                <w:sz w:val="22"/>
                <w:szCs w:val="22"/>
                <w:u w:val="none"/>
                <w:shd w:fill="auto" w:val="clear"/>
                <w:vertAlign w:val="baseline"/>
                <w:rtl w:val="0"/>
              </w:rPr>
              <w:t xml:space="preserve">Article 12 – Right to Health: Access to Justice</w:t>
              <w:tab/>
              <w:t xml:space="preserve">5</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8630"/>
            </w:tabs>
            <w:spacing w:after="0" w:before="0" w:line="276" w:lineRule="auto"/>
            <w:ind w:left="-283.46456692913375" w:right="-430.8661417322827" w:firstLine="0"/>
            <w:jc w:val="left"/>
            <w:rPr>
              <w:rFonts w:ascii="Lato" w:cs="Lato" w:eastAsia="Lato" w:hAnsi="Lato"/>
              <w:b w:val="0"/>
              <w:i w:val="0"/>
              <w:smallCaps w:val="0"/>
              <w:strike w:val="0"/>
              <w:color w:val="434343"/>
              <w:sz w:val="22"/>
              <w:szCs w:val="22"/>
              <w:u w:val="none"/>
              <w:shd w:fill="auto" w:val="clear"/>
              <w:vertAlign w:val="baseline"/>
            </w:rPr>
          </w:pPr>
          <w:hyperlink w:anchor="_heading=h.sa21quaaw34r">
            <w:r w:rsidDel="00000000" w:rsidR="00000000" w:rsidRPr="00000000">
              <w:rPr>
                <w:rFonts w:ascii="Lato" w:cs="Lato" w:eastAsia="Lato" w:hAnsi="Lato"/>
                <w:b w:val="0"/>
                <w:i w:val="0"/>
                <w:smallCaps w:val="0"/>
                <w:strike w:val="0"/>
                <w:color w:val="434343"/>
                <w:sz w:val="22"/>
                <w:szCs w:val="22"/>
                <w:u w:val="none"/>
                <w:shd w:fill="auto" w:val="clear"/>
                <w:vertAlign w:val="baseline"/>
                <w:rtl w:val="0"/>
              </w:rPr>
              <w:t xml:space="preserve">Article 12 – Right to Health: HIV and STIs</w:t>
              <w:tab/>
              <w:t xml:space="preserve">7</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8630"/>
            </w:tabs>
            <w:spacing w:after="0" w:before="0" w:line="276" w:lineRule="auto"/>
            <w:ind w:left="-283.46456692913375" w:right="-430.8661417322827" w:firstLine="0"/>
            <w:jc w:val="left"/>
            <w:rPr>
              <w:rFonts w:ascii="Lato" w:cs="Lato" w:eastAsia="Lato" w:hAnsi="Lato"/>
              <w:b w:val="0"/>
              <w:i w:val="0"/>
              <w:smallCaps w:val="0"/>
              <w:strike w:val="0"/>
              <w:color w:val="434343"/>
              <w:sz w:val="22"/>
              <w:szCs w:val="22"/>
              <w:u w:val="none"/>
              <w:shd w:fill="auto" w:val="clear"/>
              <w:vertAlign w:val="baseline"/>
            </w:rPr>
          </w:pPr>
          <w:hyperlink w:anchor="_heading=h.4yars7f2c37q">
            <w:r w:rsidDel="00000000" w:rsidR="00000000" w:rsidRPr="00000000">
              <w:rPr>
                <w:rFonts w:ascii="Lato" w:cs="Lato" w:eastAsia="Lato" w:hAnsi="Lato"/>
                <w:b w:val="0"/>
                <w:i w:val="0"/>
                <w:smallCaps w:val="0"/>
                <w:strike w:val="0"/>
                <w:color w:val="434343"/>
                <w:sz w:val="22"/>
                <w:szCs w:val="22"/>
                <w:u w:val="none"/>
                <w:shd w:fill="auto" w:val="clear"/>
                <w:vertAlign w:val="baseline"/>
                <w:rtl w:val="0"/>
              </w:rPr>
              <w:t xml:space="preserve">Article 12 – Right to Health: Women with Disabilities</w:t>
              <w:tab/>
              <w:t xml:space="preserve">9</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8630"/>
            </w:tabs>
            <w:spacing w:after="0" w:before="0" w:line="276" w:lineRule="auto"/>
            <w:ind w:left="-283.46456692913375" w:right="-430.8661417322827" w:firstLine="0"/>
            <w:jc w:val="left"/>
            <w:rPr>
              <w:rFonts w:ascii="Lato" w:cs="Lato" w:eastAsia="Lato" w:hAnsi="Lato"/>
              <w:b w:val="0"/>
              <w:i w:val="0"/>
              <w:smallCaps w:val="0"/>
              <w:strike w:val="0"/>
              <w:color w:val="434343"/>
              <w:sz w:val="22"/>
              <w:szCs w:val="22"/>
              <w:u w:val="none"/>
              <w:shd w:fill="auto" w:val="clear"/>
              <w:vertAlign w:val="baseline"/>
            </w:rPr>
          </w:pPr>
          <w:hyperlink w:anchor="_heading=h.u75abqrvgsqb">
            <w:r w:rsidDel="00000000" w:rsidR="00000000" w:rsidRPr="00000000">
              <w:rPr>
                <w:rFonts w:ascii="Lato" w:cs="Lato" w:eastAsia="Lato" w:hAnsi="Lato"/>
                <w:b w:val="0"/>
                <w:i w:val="0"/>
                <w:smallCaps w:val="0"/>
                <w:strike w:val="0"/>
                <w:color w:val="434343"/>
                <w:sz w:val="22"/>
                <w:szCs w:val="22"/>
                <w:u w:val="none"/>
                <w:shd w:fill="auto" w:val="clear"/>
                <w:vertAlign w:val="baseline"/>
                <w:rtl w:val="0"/>
              </w:rPr>
              <w:t xml:space="preserve">Article 12 – Right to Health: On contraception</w:t>
              <w:tab/>
              <w:t xml:space="preserve">11</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8630"/>
            </w:tabs>
            <w:spacing w:after="0" w:before="0" w:line="276" w:lineRule="auto"/>
            <w:ind w:left="-283.46456692913375" w:right="-430.8661417322827" w:firstLine="0"/>
            <w:jc w:val="left"/>
            <w:rPr>
              <w:rFonts w:ascii="Lato" w:cs="Lato" w:eastAsia="Lato" w:hAnsi="Lato"/>
              <w:b w:val="0"/>
              <w:i w:val="0"/>
              <w:smallCaps w:val="0"/>
              <w:strike w:val="0"/>
              <w:color w:val="434343"/>
              <w:sz w:val="22"/>
              <w:szCs w:val="22"/>
              <w:u w:val="none"/>
              <w:shd w:fill="auto" w:val="clear"/>
              <w:vertAlign w:val="baseline"/>
            </w:rPr>
          </w:pPr>
          <w:hyperlink w:anchor="_heading=h.wgv5x0icofez">
            <w:r w:rsidDel="00000000" w:rsidR="00000000" w:rsidRPr="00000000">
              <w:rPr>
                <w:rFonts w:ascii="Lato" w:cs="Lato" w:eastAsia="Lato" w:hAnsi="Lato"/>
                <w:b w:val="0"/>
                <w:i w:val="0"/>
                <w:smallCaps w:val="0"/>
                <w:strike w:val="0"/>
                <w:color w:val="434343"/>
                <w:sz w:val="22"/>
                <w:szCs w:val="22"/>
                <w:u w:val="none"/>
                <w:shd w:fill="auto" w:val="clear"/>
                <w:vertAlign w:val="baseline"/>
                <w:rtl w:val="0"/>
              </w:rPr>
              <w:t xml:space="preserve">Article 12 – Right to Health: On the implementation of the IVE Law</w:t>
              <w:tab/>
              <w:t xml:space="preserve">13</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8630"/>
            </w:tabs>
            <w:spacing w:after="0" w:before="0" w:line="276" w:lineRule="auto"/>
            <w:ind w:left="-283.46456692913375" w:right="-430.8661417322827" w:firstLine="0"/>
            <w:jc w:val="left"/>
            <w:rPr>
              <w:color w:val="434343"/>
              <w:sz w:val="22"/>
              <w:szCs w:val="22"/>
            </w:rPr>
          </w:pPr>
          <w:hyperlink w:anchor="_heading=h.f1w86wz0aivz">
            <w:r w:rsidDel="00000000" w:rsidR="00000000" w:rsidRPr="00000000">
              <w:rPr>
                <w:rFonts w:ascii="Lato" w:cs="Lato" w:eastAsia="Lato" w:hAnsi="Lato"/>
                <w:b w:val="0"/>
                <w:i w:val="0"/>
                <w:smallCaps w:val="0"/>
                <w:strike w:val="0"/>
                <w:color w:val="434343"/>
                <w:sz w:val="22"/>
                <w:szCs w:val="22"/>
                <w:u w:val="none"/>
                <w:shd w:fill="auto" w:val="clear"/>
                <w:vertAlign w:val="baseline"/>
                <w:rtl w:val="0"/>
              </w:rPr>
              <w:t xml:space="preserve">Article 13 – Right to Education: On comprehensive sex education</w:t>
              <w:tab/>
              <w:t xml:space="preserve">15</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283.46456692913375" w:right="-430.8661417322827" w:firstLine="0"/>
        <w:jc w:val="both"/>
        <w:rPr>
          <w:rFonts w:ascii="Lato" w:cs="Lato" w:eastAsia="Lato" w:hAnsi="Lato"/>
          <w:color w:val="434343"/>
          <w:sz w:val="22"/>
          <w:szCs w:val="22"/>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color w:val="434343"/>
          <w:sz w:val="22"/>
          <w:szCs w:val="22"/>
        </w:rPr>
      </w:pPr>
      <w:r w:rsidDel="00000000" w:rsidR="00000000" w:rsidRPr="00000000">
        <w:rPr>
          <w:rFonts w:ascii="Lato" w:cs="Lato" w:eastAsia="Lato" w:hAnsi="Lato"/>
          <w:b w:val="1"/>
          <w:color w:val="434343"/>
          <w:sz w:val="22"/>
          <w:szCs w:val="22"/>
          <w:rtl w:val="0"/>
        </w:rPr>
        <w:t xml:space="preserve">Corporación Miles Chile </w:t>
      </w:r>
      <w:r w:rsidDel="00000000" w:rsidR="00000000" w:rsidRPr="00000000">
        <w:rPr>
          <w:rFonts w:ascii="Lato" w:cs="Lato" w:eastAsia="Lato" w:hAnsi="Lato"/>
          <w:color w:val="434343"/>
          <w:sz w:val="22"/>
          <w:szCs w:val="22"/>
          <w:rtl w:val="0"/>
        </w:rPr>
        <w:t xml:space="preserve">is a private, non-profit, non-governmental organization whose mission is to promote and protect the sexual and reproductive rights of women in all their diversity and throughout their life cycle. It currently offers free legal, psychosocial, and sexual and reproductive health services via telemedicine nationwide. It also works on social and political advocacy, promoting social, legislative, and public policy changes to guarantee sexual and reproductive rights.</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color w:val="434343"/>
          <w:sz w:val="22"/>
          <w:szCs w:val="22"/>
        </w:rPr>
      </w:pPr>
      <w:r w:rsidDel="00000000" w:rsidR="00000000" w:rsidRPr="00000000">
        <w:rPr>
          <w:rFonts w:ascii="Lato" w:cs="Lato" w:eastAsia="Lato" w:hAnsi="Lato"/>
          <w:b w:val="1"/>
          <w:color w:val="434343"/>
          <w:sz w:val="22"/>
          <w:szCs w:val="22"/>
          <w:rtl w:val="0"/>
        </w:rPr>
        <w:t xml:space="preserve">Women's Link Worldwide </w:t>
      </w:r>
      <w:r w:rsidDel="00000000" w:rsidR="00000000" w:rsidRPr="00000000">
        <w:rPr>
          <w:rFonts w:ascii="Lato" w:cs="Lato" w:eastAsia="Lato" w:hAnsi="Lato"/>
          <w:color w:val="434343"/>
          <w:sz w:val="22"/>
          <w:szCs w:val="22"/>
          <w:rtl w:val="0"/>
        </w:rPr>
        <w:t xml:space="preserve">is a transregional, intersectional, anti-racist, anti-ableist, and anti-colonialist feminist human rights organization led from the Global South and working in Latin America and the Caribbean, East Africa, and Europe. In collaboration with other allies, they strive to bring justice to women, girls, and gender-diverse people by dismantling the structural barriers that hinder their rights. Women's Link takes a visionary approach to promoting gender justice. Recognizing the complex web of oppressions faced by women and girls around the world, it uses strategic litigation, legal advocacy, and strategic communications to challenge discriminatory laws and practices.</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color w:val="434343"/>
          <w:sz w:val="26"/>
          <w:szCs w:val="26"/>
        </w:rPr>
      </w:pPr>
      <w:r w:rsidDel="00000000" w:rsidR="00000000" w:rsidRPr="00000000">
        <w:rPr>
          <w:rFonts w:ascii="Lato" w:cs="Lato" w:eastAsia="Lato" w:hAnsi="Lato"/>
          <w:b w:val="1"/>
          <w:color w:val="434343"/>
          <w:sz w:val="22"/>
          <w:szCs w:val="22"/>
          <w:rtl w:val="0"/>
        </w:rPr>
        <w:t xml:space="preserve">Chile necesita ESI (</w:t>
      </w:r>
      <w:r w:rsidDel="00000000" w:rsidR="00000000" w:rsidRPr="00000000">
        <w:rPr>
          <w:rFonts w:ascii="Lato" w:cs="Lato" w:eastAsia="Lato" w:hAnsi="Lato"/>
          <w:color w:val="434343"/>
          <w:sz w:val="22"/>
          <w:szCs w:val="22"/>
          <w:rtl w:val="0"/>
        </w:rPr>
        <w:t xml:space="preserve">Chile Needs CSE) is a non-profit foundation that promotes comprehensive sexual education throughout the life cycle. They work in an interdisciplinary manner along three strategic lines: comprehensive sexual education as a perspective, comprehensive sexual education as a discipline, and comprehensive sexual education as a right. Its team studies and proposes programs and projects to make comprehensive sexuality and affectivity education a reality, incorporating the social and subjective aspects of people's experiences and understanding all individuals as developing subjects who, by their autonomy, seek the satisfaction of their affections, desires, and needs in this constitutive dimension of humanity.</w:t>
      </w:r>
      <w:r w:rsidDel="00000000" w:rsidR="00000000" w:rsidRPr="00000000">
        <w:rPr>
          <w:rtl w:val="0"/>
        </w:rPr>
      </w:r>
    </w:p>
    <w:p w:rsidR="00000000" w:rsidDel="00000000" w:rsidP="00000000" w:rsidRDefault="00000000" w:rsidRPr="00000000" w14:paraId="00000016">
      <w:pPr>
        <w:pStyle w:val="Heading1"/>
        <w:spacing w:after="200" w:before="200" w:lineRule="auto"/>
        <w:ind w:left="-283.46456692913375" w:right="-430.8661417322827" w:firstLine="0"/>
        <w:rPr>
          <w:rFonts w:ascii="Lato" w:cs="Lato" w:eastAsia="Lato" w:hAnsi="Lato"/>
          <w:color w:val="434343"/>
          <w:sz w:val="26"/>
          <w:szCs w:val="26"/>
        </w:rPr>
      </w:pPr>
      <w:bookmarkStart w:colFirst="0" w:colLast="0" w:name="_heading=h.eo8za55x12n7" w:id="2"/>
      <w:bookmarkEnd w:id="2"/>
      <w:r w:rsidDel="00000000" w:rsidR="00000000" w:rsidRPr="00000000">
        <w:rPr>
          <w:rFonts w:ascii="Lato" w:cs="Lato" w:eastAsia="Lato" w:hAnsi="Lato"/>
          <w:color w:val="434343"/>
          <w:sz w:val="26"/>
          <w:szCs w:val="26"/>
          <w:rtl w:val="0"/>
        </w:rPr>
        <w:t xml:space="preserve">Introduction</w:t>
      </w:r>
    </w:p>
    <w:p w:rsidR="00000000" w:rsidDel="00000000" w:rsidP="00000000" w:rsidRDefault="00000000" w:rsidRPr="00000000" w14:paraId="0000001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color w:val="434343"/>
          <w:sz w:val="22"/>
          <w:szCs w:val="22"/>
          <w:u w:val="none"/>
        </w:rPr>
      </w:pPr>
      <w:r w:rsidDel="00000000" w:rsidR="00000000" w:rsidRPr="00000000">
        <w:rPr>
          <w:rFonts w:ascii="Lato" w:cs="Lato" w:eastAsia="Lato" w:hAnsi="Lato"/>
          <w:b w:val="0"/>
          <w:i w:val="0"/>
          <w:smallCaps w:val="0"/>
          <w:strike w:val="0"/>
          <w:color w:val="434343"/>
          <w:sz w:val="22"/>
          <w:szCs w:val="22"/>
          <w:u w:val="none"/>
          <w:shd w:fill="auto" w:val="clear"/>
          <w:vertAlign w:val="baseline"/>
          <w:rtl w:val="0"/>
        </w:rPr>
        <w:t xml:space="preserve">This report has been prepared with the aim of providing substantive background information on the current situation in Chile </w:t>
      </w:r>
      <w:r w:rsidDel="00000000" w:rsidR="00000000" w:rsidRPr="00000000">
        <w:rPr>
          <w:rFonts w:ascii="Lato" w:cs="Lato" w:eastAsia="Lato" w:hAnsi="Lato"/>
          <w:color w:val="434343"/>
          <w:sz w:val="22"/>
          <w:szCs w:val="22"/>
          <w:rtl w:val="0"/>
        </w:rPr>
        <w:t xml:space="preserve">concerning</w:t>
      </w:r>
      <w:r w:rsidDel="00000000" w:rsidR="00000000" w:rsidRPr="00000000">
        <w:rPr>
          <w:rFonts w:ascii="Lato" w:cs="Lato" w:eastAsia="Lato" w:hAnsi="Lato"/>
          <w:b w:val="0"/>
          <w:i w:val="0"/>
          <w:smallCaps w:val="0"/>
          <w:strike w:val="0"/>
          <w:color w:val="434343"/>
          <w:sz w:val="22"/>
          <w:szCs w:val="22"/>
          <w:u w:val="none"/>
          <w:shd w:fill="auto" w:val="clear"/>
          <w:vertAlign w:val="baseline"/>
          <w:rtl w:val="0"/>
        </w:rPr>
        <w:t xml:space="preserve"> its international obligations in the area of sexual and reproductive rights, within the framework </w:t>
      </w:r>
      <w:r w:rsidDel="00000000" w:rsidR="00000000" w:rsidRPr="00000000">
        <w:rPr>
          <w:rFonts w:ascii="Lato" w:cs="Lato" w:eastAsia="Lato" w:hAnsi="Lato"/>
          <w:color w:val="434343"/>
          <w:sz w:val="22"/>
          <w:szCs w:val="22"/>
          <w:rtl w:val="0"/>
        </w:rPr>
        <w:t xml:space="preserve">of </w:t>
      </w:r>
      <w:r w:rsidDel="00000000" w:rsidR="00000000" w:rsidRPr="00000000">
        <w:rPr>
          <w:rFonts w:ascii="Lato" w:cs="Lato" w:eastAsia="Lato" w:hAnsi="Lato"/>
          <w:b w:val="0"/>
          <w:i w:val="0"/>
          <w:smallCaps w:val="0"/>
          <w:strike w:val="0"/>
          <w:color w:val="434343"/>
          <w:sz w:val="22"/>
          <w:szCs w:val="22"/>
          <w:u w:val="none"/>
          <w:shd w:fill="auto" w:val="clear"/>
          <w:vertAlign w:val="baseline"/>
          <w:rtl w:val="0"/>
        </w:rPr>
        <w:t xml:space="preserve">Article 12 of the International Covenant on Economic, Social</w:t>
      </w:r>
      <w:r w:rsidDel="00000000" w:rsidR="00000000" w:rsidRPr="00000000">
        <w:rPr>
          <w:rFonts w:ascii="Lato" w:cs="Lato" w:eastAsia="Lato" w:hAnsi="Lato"/>
          <w:color w:val="434343"/>
          <w:sz w:val="22"/>
          <w:szCs w:val="22"/>
          <w:rtl w:val="0"/>
        </w:rPr>
        <w:t xml:space="preserve">,</w:t>
      </w:r>
      <w:r w:rsidDel="00000000" w:rsidR="00000000" w:rsidRPr="00000000">
        <w:rPr>
          <w:rFonts w:ascii="Lato" w:cs="Lato" w:eastAsia="Lato" w:hAnsi="Lato"/>
          <w:b w:val="0"/>
          <w:i w:val="0"/>
          <w:smallCaps w:val="0"/>
          <w:strike w:val="0"/>
          <w:color w:val="434343"/>
          <w:sz w:val="22"/>
          <w:szCs w:val="22"/>
          <w:u w:val="none"/>
          <w:shd w:fill="auto" w:val="clear"/>
          <w:vertAlign w:val="baseline"/>
          <w:rtl w:val="0"/>
        </w:rPr>
        <w:t xml:space="preserve"> and Cultural Rights (ICESCR) and other complementary articles</w:t>
      </w:r>
      <w:r w:rsidDel="00000000" w:rsidR="00000000" w:rsidRPr="00000000">
        <w:rPr>
          <w:rFonts w:ascii="Lato" w:cs="Lato" w:eastAsia="Lato" w:hAnsi="Lato"/>
          <w:color w:val="434343"/>
          <w:sz w:val="22"/>
          <w:szCs w:val="22"/>
          <w:rtl w:val="0"/>
        </w:rPr>
        <w:t xml:space="preserve">,</w:t>
      </w:r>
      <w:r w:rsidDel="00000000" w:rsidR="00000000" w:rsidRPr="00000000">
        <w:rPr>
          <w:rFonts w:ascii="Lato" w:cs="Lato" w:eastAsia="Lato" w:hAnsi="Lato"/>
          <w:b w:val="0"/>
          <w:i w:val="0"/>
          <w:smallCaps w:val="0"/>
          <w:strike w:val="0"/>
          <w:color w:val="434343"/>
          <w:sz w:val="22"/>
          <w:szCs w:val="22"/>
          <w:u w:val="none"/>
          <w:shd w:fill="auto" w:val="clear"/>
          <w:vertAlign w:val="baseline"/>
          <w:rtl w:val="0"/>
        </w:rPr>
        <w:t xml:space="preserve"> according to each dimension addressed. Its objective is to inform the Committee on Economic, Social</w:t>
      </w:r>
      <w:r w:rsidDel="00000000" w:rsidR="00000000" w:rsidRPr="00000000">
        <w:rPr>
          <w:rFonts w:ascii="Lato" w:cs="Lato" w:eastAsia="Lato" w:hAnsi="Lato"/>
          <w:color w:val="434343"/>
          <w:sz w:val="22"/>
          <w:szCs w:val="22"/>
          <w:rtl w:val="0"/>
        </w:rPr>
        <w:t xml:space="preserve">,</w:t>
      </w:r>
      <w:r w:rsidDel="00000000" w:rsidR="00000000" w:rsidRPr="00000000">
        <w:rPr>
          <w:rFonts w:ascii="Lato" w:cs="Lato" w:eastAsia="Lato" w:hAnsi="Lato"/>
          <w:b w:val="0"/>
          <w:i w:val="0"/>
          <w:smallCaps w:val="0"/>
          <w:strike w:val="0"/>
          <w:color w:val="434343"/>
          <w:sz w:val="22"/>
          <w:szCs w:val="22"/>
          <w:u w:val="none"/>
          <w:shd w:fill="auto" w:val="clear"/>
          <w:vertAlign w:val="baseline"/>
          <w:rtl w:val="0"/>
        </w:rPr>
        <w:t xml:space="preserve"> and Cultural Rights (CESCR) about the progress, gaps, obstacles, and challenges that persist in guaranteeing these rights, as well as to make specific recommendations to the State, based on empirical, regulatory, and testimonial evidence.</w:t>
      </w:r>
      <w:r w:rsidDel="00000000" w:rsidR="00000000" w:rsidRPr="00000000">
        <w:rPr>
          <w:rtl w:val="0"/>
        </w:rPr>
      </w:r>
    </w:p>
    <w:p w:rsidR="00000000" w:rsidDel="00000000" w:rsidP="00000000" w:rsidRDefault="00000000" w:rsidRPr="00000000" w14:paraId="0000001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u w:val="none"/>
          <w:shd w:fill="auto" w:val="clear"/>
          <w:vertAlign w:val="baseline"/>
        </w:rPr>
      </w:pPr>
      <w:r w:rsidDel="00000000" w:rsidR="00000000" w:rsidRPr="00000000">
        <w:rPr>
          <w:rFonts w:ascii="Lato" w:cs="Lato" w:eastAsia="Lato" w:hAnsi="Lato"/>
          <w:b w:val="0"/>
          <w:i w:val="0"/>
          <w:smallCaps w:val="0"/>
          <w:strike w:val="0"/>
          <w:color w:val="434343"/>
          <w:sz w:val="22"/>
          <w:szCs w:val="22"/>
          <w:u w:val="none"/>
          <w:shd w:fill="auto" w:val="clear"/>
          <w:vertAlign w:val="baseline"/>
          <w:rtl w:val="0"/>
        </w:rPr>
        <w:t xml:space="preserve">The document addresses in depth different dimensions that affect the effective exercise of sexual and reproductive rights in Chile: access to sexual and reproductive health services, including HIV/STI care, contraception, and voluntary termination of pregnancy; comprehensive sexuality education; the situation of historically excluded groups such as women with disabilities, girls, and adolescents; and the institutional and legal barriers that hinder access to reproductive justice. It also examines the effects of the COVID-19 pandemic on the continuity of services, the criminalization of abortion outside the three grounds permitted by law, and deficiencies in the provision of public information on reproductive matters.</w:t>
      </w:r>
    </w:p>
    <w:p w:rsidR="00000000" w:rsidDel="00000000" w:rsidP="00000000" w:rsidRDefault="00000000" w:rsidRPr="00000000" w14:paraId="0000001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u w:val="none"/>
          <w:shd w:fill="auto" w:val="clear"/>
          <w:vertAlign w:val="baseline"/>
        </w:rPr>
      </w:pPr>
      <w:r w:rsidDel="00000000" w:rsidR="00000000" w:rsidRPr="00000000">
        <w:rPr>
          <w:rFonts w:ascii="Lato" w:cs="Lato" w:eastAsia="Lato" w:hAnsi="Lato"/>
          <w:b w:val="0"/>
          <w:i w:val="0"/>
          <w:smallCaps w:val="0"/>
          <w:strike w:val="0"/>
          <w:color w:val="434343"/>
          <w:sz w:val="22"/>
          <w:szCs w:val="22"/>
          <w:u w:val="none"/>
          <w:shd w:fill="auto" w:val="clear"/>
          <w:vertAlign w:val="baseline"/>
          <w:rtl w:val="0"/>
        </w:rPr>
        <w:t xml:space="preserve">This report has been prepared from a human rights approach, with a gender, intersectional, and territorial perspective, recognizing that inequality in access to and guarantee of sexual and reproductive rights does not affect all people equally. Women, girls, adolescents, LGBTIQ+ people, migrants, indigenous peoples, and persons with disabilities face particular obstacles that deepen structural exclusion and discrimination in access to health services, education, and information.</w:t>
      </w:r>
    </w:p>
    <w:p w:rsidR="00000000" w:rsidDel="00000000" w:rsidP="00000000" w:rsidRDefault="00000000" w:rsidRPr="00000000" w14:paraId="0000001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u w:val="none"/>
          <w:shd w:fill="auto" w:val="clear"/>
          <w:vertAlign w:val="baseline"/>
        </w:rPr>
      </w:pPr>
      <w:r w:rsidDel="00000000" w:rsidR="00000000" w:rsidRPr="00000000">
        <w:rPr>
          <w:rFonts w:ascii="Lato" w:cs="Lato" w:eastAsia="Lato" w:hAnsi="Lato"/>
          <w:b w:val="0"/>
          <w:i w:val="0"/>
          <w:smallCaps w:val="0"/>
          <w:strike w:val="0"/>
          <w:color w:val="434343"/>
          <w:sz w:val="22"/>
          <w:szCs w:val="22"/>
          <w:u w:val="none"/>
          <w:shd w:fill="auto" w:val="clear"/>
          <w:vertAlign w:val="baseline"/>
          <w:rtl w:val="0"/>
        </w:rPr>
        <w:t xml:space="preserve">This document is based on a combined analysis of national and international legislation, public policies, official statistics, academic studies, and evidence produced by civil society organizations, including testimonies, surveys, requests for access to information, and case monitoring. Each section presents an empirically based assessment, identifies the ICESCR or other applicable international instruments, establishes the State's obligations to respect, protect, and fulfill rights, and presents a specific recommendation to the Committee, consistent with its previous observations, </w:t>
      </w:r>
      <w:r w:rsidDel="00000000" w:rsidR="00000000" w:rsidRPr="00000000">
        <w:rPr>
          <w:rFonts w:ascii="Lato" w:cs="Lato" w:eastAsia="Lato" w:hAnsi="Lato"/>
          <w:color w:val="434343"/>
          <w:sz w:val="22"/>
          <w:szCs w:val="22"/>
          <w:rtl w:val="0"/>
        </w:rPr>
        <w:t xml:space="preserve">intending to strengthen</w:t>
      </w:r>
      <w:r w:rsidDel="00000000" w:rsidR="00000000" w:rsidRPr="00000000">
        <w:rPr>
          <w:rFonts w:ascii="Lato" w:cs="Lato" w:eastAsia="Lato" w:hAnsi="Lato"/>
          <w:b w:val="0"/>
          <w:i w:val="0"/>
          <w:smallCaps w:val="0"/>
          <w:strike w:val="0"/>
          <w:color w:val="434343"/>
          <w:sz w:val="22"/>
          <w:szCs w:val="22"/>
          <w:u w:val="none"/>
          <w:shd w:fill="auto" w:val="clear"/>
          <w:vertAlign w:val="baseline"/>
          <w:rtl w:val="0"/>
        </w:rPr>
        <w:t xml:space="preserve"> monitoring and effective fulfillment of sexual and reproductive rights in the country.</w:t>
      </w:r>
    </w:p>
    <w:p w:rsidR="00000000" w:rsidDel="00000000" w:rsidP="00000000" w:rsidRDefault="00000000" w:rsidRPr="00000000" w14:paraId="0000001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u w:val="none"/>
          <w:shd w:fill="auto" w:val="clear"/>
          <w:vertAlign w:val="baseline"/>
        </w:rPr>
      </w:pPr>
      <w:r w:rsidDel="00000000" w:rsidR="00000000" w:rsidRPr="00000000">
        <w:rPr>
          <w:rFonts w:ascii="Lato" w:cs="Lato" w:eastAsia="Lato" w:hAnsi="Lato"/>
          <w:b w:val="0"/>
          <w:i w:val="0"/>
          <w:smallCaps w:val="0"/>
          <w:strike w:val="0"/>
          <w:color w:val="434343"/>
          <w:sz w:val="22"/>
          <w:szCs w:val="22"/>
          <w:u w:val="none"/>
          <w:shd w:fill="auto" w:val="clear"/>
          <w:vertAlign w:val="baseline"/>
          <w:rtl w:val="0"/>
        </w:rPr>
        <w:t xml:space="preserve">This report seeks to contribute to the international dialogue on standards for the protection of SRHR and, in particular, to highlight the need to move toward a robust, coordinated, and rights-based public policy that ensures universal, informed, and violence- and discrimination-free access to sexual and reproductive rights in Chile.</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b w:val="1"/>
          <w:i w:val="1"/>
          <w:color w:val="434343"/>
        </w:rPr>
      </w:pPr>
      <w:r w:rsidDel="00000000" w:rsidR="00000000" w:rsidRPr="00000000">
        <w:rPr>
          <w:rFonts w:ascii="Lato" w:cs="Lato" w:eastAsia="Lato" w:hAnsi="Lato"/>
          <w:b w:val="1"/>
          <w:color w:val="434343"/>
          <w:sz w:val="26"/>
          <w:szCs w:val="26"/>
          <w:rtl w:val="0"/>
        </w:rPr>
        <w:t xml:space="preserve">Article 12 – Right to Health: </w:t>
      </w:r>
      <w:r w:rsidDel="00000000" w:rsidR="00000000" w:rsidRPr="00000000">
        <w:rPr>
          <w:rFonts w:ascii="Lato" w:cs="Lato" w:eastAsia="Lato" w:hAnsi="Lato"/>
          <w:b w:val="1"/>
          <w:i w:val="1"/>
          <w:color w:val="434343"/>
          <w:sz w:val="26"/>
          <w:szCs w:val="26"/>
          <w:rtl w:val="0"/>
        </w:rPr>
        <w:t xml:space="preserve">Access to Justice</w:t>
      </w:r>
      <w:r w:rsidDel="00000000" w:rsidR="00000000" w:rsidRPr="00000000">
        <w:rPr>
          <w:rtl w:val="0"/>
        </w:rPr>
      </w:r>
    </w:p>
    <w:p w:rsidR="00000000" w:rsidDel="00000000" w:rsidP="00000000" w:rsidRDefault="00000000" w:rsidRPr="00000000" w14:paraId="0000001D">
      <w:pPr>
        <w:numPr>
          <w:ilvl w:val="0"/>
          <w:numId w:val="4"/>
        </w:numPr>
        <w:spacing w:after="200" w:before="200" w:lineRule="auto"/>
        <w:ind w:left="-283.46456692913375" w:right="-430.8661417322827" w:firstLine="0"/>
        <w:jc w:val="both"/>
        <w:rPr>
          <w:rFonts w:ascii="Lato" w:cs="Lato" w:eastAsia="Lato" w:hAnsi="Lato"/>
          <w:color w:val="434343"/>
          <w:sz w:val="22"/>
          <w:szCs w:val="22"/>
          <w:u w:val="none"/>
        </w:rPr>
      </w:pPr>
      <w:r w:rsidDel="00000000" w:rsidR="00000000" w:rsidRPr="00000000">
        <w:rPr>
          <w:rFonts w:ascii="Lato" w:cs="Lato" w:eastAsia="Lato" w:hAnsi="Lato"/>
          <w:color w:val="434343"/>
          <w:sz w:val="22"/>
          <w:szCs w:val="22"/>
          <w:rtl w:val="0"/>
        </w:rPr>
        <w:t xml:space="preserve">In the Chilean legal framework, termination of pregnancy continues to be regulated by the Penal Code, with three strict exceptions, decriminalized by Law No. 21,030 in 2017 (risk to the life of the pregnant person, fetal inviability, and rape). This legal framework requires girls under the age of 14 to be authorized by their legal guardians to access the service, which constitutes an additional obstacle to that experienced by adolescents and adults. In the absence of such authorization, a </w:t>
      </w:r>
      <w:r w:rsidDel="00000000" w:rsidR="00000000" w:rsidRPr="00000000">
        <w:rPr>
          <w:rFonts w:ascii="Lato" w:cs="Lato" w:eastAsia="Lato" w:hAnsi="Lato"/>
          <w:b w:val="1"/>
          <w:color w:val="434343"/>
          <w:sz w:val="22"/>
          <w:szCs w:val="22"/>
          <w:rtl w:val="0"/>
        </w:rPr>
        <w:t xml:space="preserve">substitute judicial authorization</w:t>
      </w:r>
      <w:r w:rsidDel="00000000" w:rsidR="00000000" w:rsidRPr="00000000">
        <w:rPr>
          <w:rFonts w:ascii="Lato" w:cs="Lato" w:eastAsia="Lato" w:hAnsi="Lato"/>
          <w:color w:val="434343"/>
          <w:sz w:val="22"/>
          <w:szCs w:val="22"/>
          <w:rtl w:val="0"/>
        </w:rPr>
        <w:t xml:space="preserve"> can be provided</w:t>
      </w:r>
      <w:r w:rsidDel="00000000" w:rsidR="00000000" w:rsidRPr="00000000">
        <w:rPr>
          <w:rFonts w:ascii="Lato" w:cs="Lato" w:eastAsia="Lato" w:hAnsi="Lato"/>
          <w:b w:val="1"/>
          <w:color w:val="434343"/>
          <w:sz w:val="22"/>
          <w:szCs w:val="22"/>
          <w:rtl w:val="0"/>
        </w:rPr>
        <w:t xml:space="preserve">, </w:t>
      </w:r>
      <w:r w:rsidDel="00000000" w:rsidR="00000000" w:rsidRPr="00000000">
        <w:rPr>
          <w:rFonts w:ascii="Lato" w:cs="Lato" w:eastAsia="Lato" w:hAnsi="Lato"/>
          <w:color w:val="434343"/>
          <w:sz w:val="22"/>
          <w:szCs w:val="22"/>
          <w:rtl w:val="0"/>
        </w:rPr>
        <w:t xml:space="preserve">i.e., a court authorizes the procedure in the absence or refusal of the guardians. However, girls' access to justice in this area is limited; no minimum measures have been taken to record these cases, nor are there any established protocols for proceeding</w:t>
      </w:r>
      <w:r w:rsidDel="00000000" w:rsidR="00000000" w:rsidRPr="00000000">
        <w:rPr>
          <w:rFonts w:ascii="Lato" w:cs="Lato" w:eastAsia="Lato" w:hAnsi="Lato"/>
          <w:color w:val="434343"/>
          <w:sz w:val="22"/>
          <w:szCs w:val="22"/>
          <w:vertAlign w:val="superscript"/>
        </w:rPr>
        <w:footnoteReference w:customMarkFollows="0" w:id="0"/>
      </w:r>
      <w:r w:rsidDel="00000000" w:rsidR="00000000" w:rsidRPr="00000000">
        <w:rPr>
          <w:rFonts w:ascii="Lato" w:cs="Lato" w:eastAsia="Lato" w:hAnsi="Lato"/>
          <w:color w:val="434343"/>
          <w:sz w:val="22"/>
          <w:szCs w:val="22"/>
          <w:rtl w:val="0"/>
        </w:rPr>
        <w:t xml:space="preserve"> </w:t>
      </w:r>
      <w:r w:rsidDel="00000000" w:rsidR="00000000" w:rsidRPr="00000000">
        <w:rPr>
          <w:rtl w:val="0"/>
        </w:rPr>
      </w:r>
    </w:p>
    <w:p w:rsidR="00000000" w:rsidDel="00000000" w:rsidP="00000000" w:rsidRDefault="00000000" w:rsidRPr="00000000" w14:paraId="0000001E">
      <w:pPr>
        <w:numPr>
          <w:ilvl w:val="0"/>
          <w:numId w:val="4"/>
        </w:numPr>
        <w:spacing w:after="200" w:before="200" w:lineRule="auto"/>
        <w:ind w:left="-283.46456692913375" w:right="-430.8661417322827" w:firstLine="0"/>
        <w:jc w:val="both"/>
        <w:rPr>
          <w:rFonts w:ascii="Lato" w:cs="Lato" w:eastAsia="Lato" w:hAnsi="Lato"/>
          <w:color w:val="434343"/>
          <w:sz w:val="22"/>
          <w:szCs w:val="22"/>
          <w:u w:val="none"/>
        </w:rPr>
      </w:pPr>
      <w:r w:rsidDel="00000000" w:rsidR="00000000" w:rsidRPr="00000000">
        <w:rPr>
          <w:rFonts w:ascii="Lato" w:cs="Lato" w:eastAsia="Lato" w:hAnsi="Lato"/>
          <w:color w:val="434343"/>
          <w:sz w:val="22"/>
          <w:szCs w:val="22"/>
          <w:rtl w:val="0"/>
        </w:rPr>
        <w:t xml:space="preserve">Between 2017 and 2022, only 14 judicial authorizations were processed for access to voluntary termination of pregnancy for girls under the age of 14, of which only two were granted</w:t>
      </w:r>
      <w:r w:rsidDel="00000000" w:rsidR="00000000" w:rsidRPr="00000000">
        <w:rPr>
          <w:rFonts w:ascii="Lato" w:cs="Lato" w:eastAsia="Lato" w:hAnsi="Lato"/>
          <w:color w:val="434343"/>
          <w:sz w:val="22"/>
          <w:szCs w:val="22"/>
          <w:vertAlign w:val="superscript"/>
        </w:rPr>
        <w:footnoteReference w:customMarkFollows="0" w:id="1"/>
      </w:r>
      <w:r w:rsidDel="00000000" w:rsidR="00000000" w:rsidRPr="00000000">
        <w:rPr>
          <w:rFonts w:ascii="Lato" w:cs="Lato" w:eastAsia="Lato" w:hAnsi="Lato"/>
          <w:color w:val="434343"/>
          <w:sz w:val="22"/>
          <w:szCs w:val="22"/>
          <w:rtl w:val="0"/>
        </w:rPr>
        <w:t xml:space="preserve">. During the same period, 214 girls were discharged from public hospitals as mothers, while only 93 cases were filed on the grounds of rape, and only 72 terminated their pregnancies under Law No. 21,030</w:t>
      </w:r>
      <w:r w:rsidDel="00000000" w:rsidR="00000000" w:rsidRPr="00000000">
        <w:rPr>
          <w:rFonts w:ascii="Lato" w:cs="Lato" w:eastAsia="Lato" w:hAnsi="Lato"/>
          <w:color w:val="434343"/>
          <w:sz w:val="22"/>
          <w:szCs w:val="22"/>
          <w:vertAlign w:val="superscript"/>
        </w:rPr>
        <w:footnoteReference w:customMarkFollows="0" w:id="2"/>
      </w:r>
      <w:r w:rsidDel="00000000" w:rsidR="00000000" w:rsidRPr="00000000">
        <w:rPr>
          <w:rFonts w:ascii="Lato" w:cs="Lato" w:eastAsia="Lato" w:hAnsi="Lato"/>
          <w:color w:val="434343"/>
          <w:sz w:val="22"/>
          <w:szCs w:val="22"/>
          <w:rtl w:val="0"/>
        </w:rPr>
        <w:t xml:space="preserve">. These data reflect the existence of serious structural and regulatory barriers to effective access to legal abortion for girls who are victims of sexual violence. Although the law provides for substitute judicial authorization in cases where there is no consent from legal guardians, there are no official protocols or guidelines regulating the procedure, which severely restricts its implementation.</w:t>
      </w:r>
      <w:r w:rsidDel="00000000" w:rsidR="00000000" w:rsidRPr="00000000">
        <w:rPr>
          <w:rtl w:val="0"/>
        </w:rPr>
      </w:r>
    </w:p>
    <w:p w:rsidR="00000000" w:rsidDel="00000000" w:rsidP="00000000" w:rsidRDefault="00000000" w:rsidRPr="00000000" w14:paraId="0000001F">
      <w:pPr>
        <w:numPr>
          <w:ilvl w:val="0"/>
          <w:numId w:val="4"/>
        </w:numPr>
        <w:spacing w:after="200" w:before="200" w:lineRule="auto"/>
        <w:ind w:left="-283.46456692913375" w:right="-430.8661417322827" w:firstLine="0"/>
        <w:jc w:val="both"/>
        <w:rPr>
          <w:rFonts w:ascii="Lato" w:cs="Lato" w:eastAsia="Lato" w:hAnsi="Lato"/>
          <w:color w:val="434343"/>
          <w:sz w:val="22"/>
          <w:szCs w:val="22"/>
          <w:u w:val="none"/>
        </w:rPr>
      </w:pPr>
      <w:r w:rsidDel="00000000" w:rsidR="00000000" w:rsidRPr="00000000">
        <w:rPr>
          <w:rFonts w:ascii="Lato" w:cs="Lato" w:eastAsia="Lato" w:hAnsi="Lato"/>
          <w:color w:val="434343"/>
          <w:sz w:val="22"/>
          <w:szCs w:val="22"/>
          <w:rtl w:val="0"/>
        </w:rPr>
        <w:t xml:space="preserve">Furthermore, </w:t>
      </w:r>
      <w:r w:rsidDel="00000000" w:rsidR="00000000" w:rsidRPr="00000000">
        <w:rPr>
          <w:rFonts w:ascii="Lato" w:cs="Lato" w:eastAsia="Lato" w:hAnsi="Lato"/>
          <w:b w:val="1"/>
          <w:color w:val="434343"/>
          <w:sz w:val="22"/>
          <w:szCs w:val="22"/>
          <w:rtl w:val="0"/>
        </w:rPr>
        <w:t xml:space="preserve">there is a regulatory contradiction between Article 175(d) of the Criminal Procedure Code, which requires health professionals to report any signs of crime, and Article 247 of the Criminal Code, which punishes the disclosure of professional secrets.</w:t>
      </w:r>
      <w:r w:rsidDel="00000000" w:rsidR="00000000" w:rsidRPr="00000000">
        <w:rPr>
          <w:rFonts w:ascii="Lato" w:cs="Lato" w:eastAsia="Lato" w:hAnsi="Lato"/>
          <w:color w:val="434343"/>
          <w:sz w:val="22"/>
          <w:szCs w:val="22"/>
          <w:rtl w:val="0"/>
        </w:rPr>
        <w:t xml:space="preserve"> In practice, this ambiguity has led to an institutional culture of reporting, especially towards women who seek health services for obstetric complications. According to an analysis of 391 cases carried out by Corporación Miles, 19.6% of reports came directly from health personnel, and in 25.7% of cases where the complainant was not identified, care had been provided in a hospital setting, suggesting that </w:t>
      </w:r>
      <w:r w:rsidDel="00000000" w:rsidR="00000000" w:rsidRPr="00000000">
        <w:rPr>
          <w:rFonts w:ascii="Lato" w:cs="Lato" w:eastAsia="Lato" w:hAnsi="Lato"/>
          <w:b w:val="1"/>
          <w:color w:val="434343"/>
          <w:sz w:val="22"/>
          <w:szCs w:val="22"/>
          <w:rtl w:val="0"/>
        </w:rPr>
        <w:t xml:space="preserve">up to 45.3% of charges were initiated by medical teams</w:t>
      </w:r>
      <w:r w:rsidDel="00000000" w:rsidR="00000000" w:rsidRPr="00000000">
        <w:rPr>
          <w:rFonts w:ascii="Lato" w:cs="Lato" w:eastAsia="Lato" w:hAnsi="Lato"/>
          <w:color w:val="434343"/>
          <w:sz w:val="22"/>
          <w:szCs w:val="22"/>
          <w:vertAlign w:val="superscript"/>
        </w:rPr>
        <w:footnoteReference w:customMarkFollows="0" w:id="3"/>
      </w:r>
      <w:r w:rsidDel="00000000" w:rsidR="00000000" w:rsidRPr="00000000">
        <w:rPr>
          <w:rFonts w:ascii="Lato" w:cs="Lato" w:eastAsia="Lato" w:hAnsi="Lato"/>
          <w:color w:val="434343"/>
          <w:sz w:val="22"/>
          <w:szCs w:val="22"/>
          <w:rtl w:val="0"/>
        </w:rPr>
        <w:t xml:space="preserve">.</w:t>
      </w:r>
      <w:r w:rsidDel="00000000" w:rsidR="00000000" w:rsidRPr="00000000">
        <w:rPr>
          <w:rtl w:val="0"/>
        </w:rPr>
      </w:r>
    </w:p>
    <w:p w:rsidR="00000000" w:rsidDel="00000000" w:rsidP="00000000" w:rsidRDefault="00000000" w:rsidRPr="00000000" w14:paraId="00000020">
      <w:pPr>
        <w:numPr>
          <w:ilvl w:val="0"/>
          <w:numId w:val="4"/>
        </w:numPr>
        <w:spacing w:after="200" w:before="200" w:lineRule="auto"/>
        <w:ind w:left="-283.46456692913375" w:right="-430.8661417322827" w:firstLine="0"/>
        <w:jc w:val="both"/>
        <w:rPr>
          <w:rFonts w:ascii="Lato" w:cs="Lato" w:eastAsia="Lato" w:hAnsi="Lato"/>
          <w:color w:val="434343"/>
          <w:sz w:val="22"/>
          <w:szCs w:val="22"/>
          <w:u w:val="none"/>
        </w:rPr>
      </w:pPr>
      <w:r w:rsidDel="00000000" w:rsidR="00000000" w:rsidRPr="00000000">
        <w:rPr>
          <w:rFonts w:ascii="Lato" w:cs="Lato" w:eastAsia="Lato" w:hAnsi="Lato"/>
          <w:color w:val="434343"/>
          <w:sz w:val="22"/>
          <w:szCs w:val="22"/>
          <w:rtl w:val="0"/>
        </w:rPr>
        <w:t xml:space="preserve">This situation constitutes a </w:t>
      </w:r>
      <w:r w:rsidDel="00000000" w:rsidR="00000000" w:rsidRPr="00000000">
        <w:rPr>
          <w:rFonts w:ascii="Lato" w:cs="Lato" w:eastAsia="Lato" w:hAnsi="Lato"/>
          <w:b w:val="1"/>
          <w:color w:val="434343"/>
          <w:sz w:val="22"/>
          <w:szCs w:val="22"/>
          <w:rtl w:val="0"/>
        </w:rPr>
        <w:t xml:space="preserve">violation of the right to health and confidentiality in access to sexual and reproductive health services</w:t>
      </w:r>
      <w:r w:rsidDel="00000000" w:rsidR="00000000" w:rsidRPr="00000000">
        <w:rPr>
          <w:rFonts w:ascii="Lato" w:cs="Lato" w:eastAsia="Lato" w:hAnsi="Lato"/>
          <w:color w:val="434343"/>
          <w:sz w:val="22"/>
          <w:szCs w:val="22"/>
          <w:rtl w:val="0"/>
        </w:rPr>
        <w:t xml:space="preserve">, protected by Article 12 of the International Covenant on Economic, Social and Cultural Rights, and contravenes the provisions of General Comment No. 22 of the Committee, which expressly prohibits the criminalization of abortion as a mechanism for regulating reproductive health. It also violates international standards on the best interests of the child, established in the Convention on the Rights of the Child and developed by the Committee on the Rights of the Child in its General Comment No. 3.</w:t>
      </w:r>
      <w:r w:rsidDel="00000000" w:rsidR="00000000" w:rsidRPr="00000000">
        <w:rPr>
          <w:rtl w:val="0"/>
        </w:rPr>
      </w:r>
    </w:p>
    <w:p w:rsidR="00000000" w:rsidDel="00000000" w:rsidP="00000000" w:rsidRDefault="00000000" w:rsidRPr="00000000" w14:paraId="00000021">
      <w:pPr>
        <w:numPr>
          <w:ilvl w:val="0"/>
          <w:numId w:val="4"/>
        </w:numPr>
        <w:spacing w:after="200" w:before="200" w:lineRule="auto"/>
        <w:ind w:left="-283.46456692913375" w:right="-430.8661417322827" w:firstLine="0"/>
        <w:jc w:val="both"/>
        <w:rPr>
          <w:rFonts w:ascii="Lato" w:cs="Lato" w:eastAsia="Lato" w:hAnsi="Lato"/>
          <w:b w:val="1"/>
          <w:color w:val="434343"/>
          <w:sz w:val="22"/>
          <w:szCs w:val="22"/>
          <w:u w:val="none"/>
        </w:rPr>
      </w:pPr>
      <w:r w:rsidDel="00000000" w:rsidR="00000000" w:rsidRPr="00000000">
        <w:rPr>
          <w:rFonts w:ascii="Lato" w:cs="Lato" w:eastAsia="Lato" w:hAnsi="Lato"/>
          <w:b w:val="1"/>
          <w:color w:val="434343"/>
          <w:sz w:val="22"/>
          <w:szCs w:val="22"/>
          <w:rtl w:val="0"/>
        </w:rPr>
        <w:t xml:space="preserve">Recommendations:</w:t>
      </w:r>
      <w:r w:rsidDel="00000000" w:rsidR="00000000" w:rsidRPr="00000000">
        <w:rPr>
          <w:rtl w:val="0"/>
        </w:rPr>
      </w:r>
    </w:p>
    <w:p w:rsidR="00000000" w:rsidDel="00000000" w:rsidP="00000000" w:rsidRDefault="00000000" w:rsidRPr="00000000" w14:paraId="00000022">
      <w:pPr>
        <w:numPr>
          <w:ilvl w:val="0"/>
          <w:numId w:val="3"/>
        </w:numPr>
        <w:spacing w:after="200" w:before="200" w:line="276" w:lineRule="auto"/>
        <w:ind w:left="-283.46456692913375" w:right="-430.8661417322827" w:firstLine="0"/>
        <w:jc w:val="both"/>
        <w:rPr>
          <w:rFonts w:ascii="Lato" w:cs="Lato" w:eastAsia="Lato" w:hAnsi="Lato"/>
          <w:b w:val="1"/>
          <w:sz w:val="22"/>
          <w:szCs w:val="22"/>
        </w:rPr>
      </w:pPr>
      <w:r w:rsidDel="00000000" w:rsidR="00000000" w:rsidRPr="00000000">
        <w:rPr>
          <w:rFonts w:ascii="Lato" w:cs="Lato" w:eastAsia="Lato" w:hAnsi="Lato"/>
          <w:b w:val="1"/>
          <w:sz w:val="22"/>
          <w:szCs w:val="22"/>
          <w:rtl w:val="0"/>
        </w:rPr>
        <w:t xml:space="preserve">Issue administrative instruments, through the Ministry of Health, instructing health institutions and professionals not to report women and girls when they present symptoms or signs consistent with induced abortion.</w:t>
      </w:r>
    </w:p>
    <w:p w:rsidR="00000000" w:rsidDel="00000000" w:rsidP="00000000" w:rsidRDefault="00000000" w:rsidRPr="00000000" w14:paraId="00000023">
      <w:pPr>
        <w:numPr>
          <w:ilvl w:val="0"/>
          <w:numId w:val="3"/>
        </w:numPr>
        <w:spacing w:after="200" w:before="200" w:line="276" w:lineRule="auto"/>
        <w:ind w:left="-283.46456692913375" w:right="-430.8661417322827" w:firstLine="0"/>
        <w:jc w:val="both"/>
        <w:rPr>
          <w:rFonts w:ascii="Lato" w:cs="Lato" w:eastAsia="Lato" w:hAnsi="Lato"/>
          <w:b w:val="1"/>
          <w:sz w:val="22"/>
          <w:szCs w:val="22"/>
        </w:rPr>
      </w:pPr>
      <w:r w:rsidDel="00000000" w:rsidR="00000000" w:rsidRPr="00000000">
        <w:rPr>
          <w:rFonts w:ascii="Lato" w:cs="Lato" w:eastAsia="Lato" w:hAnsi="Lato"/>
          <w:b w:val="1"/>
          <w:sz w:val="22"/>
          <w:szCs w:val="22"/>
          <w:rtl w:val="0"/>
        </w:rPr>
        <w:t xml:space="preserve">Train health professionals on the meaning and scope of the duty to report and professional confidentiality, with a gender perspective and within the framework of international human rights law. </w:t>
      </w:r>
    </w:p>
    <w:p w:rsidR="00000000" w:rsidDel="00000000" w:rsidP="00000000" w:rsidRDefault="00000000" w:rsidRPr="00000000" w14:paraId="00000024">
      <w:pPr>
        <w:numPr>
          <w:ilvl w:val="0"/>
          <w:numId w:val="3"/>
        </w:numPr>
        <w:spacing w:after="200" w:before="200" w:line="276" w:lineRule="auto"/>
        <w:ind w:left="-283.46456692913375" w:right="-430.8661417322827" w:firstLine="0"/>
        <w:jc w:val="both"/>
        <w:rPr>
          <w:rFonts w:ascii="Lato" w:cs="Lato" w:eastAsia="Lato" w:hAnsi="Lato"/>
          <w:b w:val="1"/>
          <w:sz w:val="22"/>
          <w:szCs w:val="22"/>
        </w:rPr>
      </w:pPr>
      <w:r w:rsidDel="00000000" w:rsidR="00000000" w:rsidRPr="00000000">
        <w:rPr>
          <w:rFonts w:ascii="Lato" w:cs="Lato" w:eastAsia="Lato" w:hAnsi="Lato"/>
          <w:b w:val="1"/>
          <w:sz w:val="22"/>
          <w:szCs w:val="22"/>
          <w:rtl w:val="0"/>
        </w:rPr>
        <w:t xml:space="preserve">Urgently issue the necessary regulatory instruments by the Supreme Court to clearly regulate the procedure for substitute judicial authorization within the framework of Law IVE.</w:t>
      </w:r>
    </w:p>
    <w:p w:rsidR="00000000" w:rsidDel="00000000" w:rsidP="00000000" w:rsidRDefault="00000000" w:rsidRPr="00000000" w14:paraId="00000025">
      <w:pPr>
        <w:numPr>
          <w:ilvl w:val="0"/>
          <w:numId w:val="3"/>
        </w:numPr>
        <w:spacing w:after="200" w:before="200" w:line="276" w:lineRule="auto"/>
        <w:ind w:left="-283.46456692913375" w:right="-430.8661417322827" w:firstLine="0"/>
        <w:jc w:val="both"/>
        <w:rPr>
          <w:rFonts w:ascii="Lato" w:cs="Lato" w:eastAsia="Lato" w:hAnsi="Lato"/>
          <w:b w:val="1"/>
          <w:sz w:val="22"/>
          <w:szCs w:val="22"/>
        </w:rPr>
      </w:pPr>
      <w:r w:rsidDel="00000000" w:rsidR="00000000" w:rsidRPr="00000000">
        <w:rPr>
          <w:rFonts w:ascii="Lato" w:cs="Lato" w:eastAsia="Lato" w:hAnsi="Lato"/>
          <w:b w:val="1"/>
          <w:sz w:val="22"/>
          <w:szCs w:val="22"/>
          <w:rtl w:val="0"/>
        </w:rPr>
        <w:t xml:space="preserve">Implement training for health personnel and the judiciary on the procedure for substitute judicial authorization and the rights of girls, in particular their right to access justice.</w:t>
      </w:r>
    </w:p>
    <w:p w:rsidR="00000000" w:rsidDel="00000000" w:rsidP="00000000" w:rsidRDefault="00000000" w:rsidRPr="00000000" w14:paraId="00000026">
      <w:pPr>
        <w:spacing w:after="200" w:before="200" w:line="276" w:lineRule="auto"/>
        <w:ind w:left="-283.46456692913375" w:right="-430.8661417322827" w:firstLine="0"/>
        <w:jc w:val="both"/>
        <w:rPr>
          <w:rFonts w:ascii="Lato" w:cs="Lato" w:eastAsia="Lato" w:hAnsi="Lato"/>
          <w:b w:val="1"/>
          <w:sz w:val="22"/>
          <w:szCs w:val="22"/>
        </w:rPr>
      </w:pPr>
      <w:r w:rsidDel="00000000" w:rsidR="00000000" w:rsidRPr="00000000">
        <w:rPr>
          <w:rtl w:val="0"/>
        </w:rPr>
      </w:r>
    </w:p>
    <w:p w:rsidR="00000000" w:rsidDel="00000000" w:rsidP="00000000" w:rsidRDefault="00000000" w:rsidRPr="00000000" w14:paraId="00000027">
      <w:pPr>
        <w:pStyle w:val="Heading1"/>
        <w:spacing w:after="200" w:before="200" w:lineRule="auto"/>
        <w:ind w:left="-283.46456692913375" w:right="-430.8661417322827" w:firstLine="0"/>
        <w:rPr/>
      </w:pPr>
      <w:bookmarkStart w:colFirst="0" w:colLast="0" w:name="_heading=h.sa21quaaw34r" w:id="3"/>
      <w:bookmarkEnd w:id="3"/>
      <w:r w:rsidDel="00000000" w:rsidR="00000000" w:rsidRPr="00000000">
        <w:rPr>
          <w:rFonts w:ascii="Lato" w:cs="Lato" w:eastAsia="Lato" w:hAnsi="Lato"/>
          <w:color w:val="434343"/>
          <w:sz w:val="26"/>
          <w:szCs w:val="26"/>
          <w:rtl w:val="0"/>
        </w:rPr>
        <w:t xml:space="preserve">Article 12 – Right to Health: HIV and STIs</w:t>
      </w:r>
      <w:r w:rsidDel="00000000" w:rsidR="00000000" w:rsidRPr="00000000">
        <w:rPr>
          <w:rtl w:val="0"/>
        </w:rPr>
      </w:r>
    </w:p>
    <w:p w:rsidR="00000000" w:rsidDel="00000000" w:rsidP="00000000" w:rsidRDefault="00000000" w:rsidRPr="00000000" w14:paraId="00000028">
      <w:pPr>
        <w:numPr>
          <w:ilvl w:val="0"/>
          <w:numId w:val="4"/>
        </w:numPr>
        <w:spacing w:after="200" w:before="200" w:lineRule="auto"/>
        <w:ind w:left="-283.46456692913375" w:right="-430.8661417322827" w:firstLine="0"/>
        <w:jc w:val="both"/>
        <w:rPr>
          <w:rFonts w:ascii="Lato" w:cs="Lato" w:eastAsia="Lato" w:hAnsi="Lato"/>
          <w:color w:val="434343"/>
          <w:sz w:val="22"/>
          <w:szCs w:val="22"/>
          <w:u w:val="none"/>
        </w:rPr>
      </w:pPr>
      <w:r w:rsidDel="00000000" w:rsidR="00000000" w:rsidRPr="00000000">
        <w:rPr>
          <w:rFonts w:ascii="Lato" w:cs="Lato" w:eastAsia="Lato" w:hAnsi="Lato"/>
          <w:color w:val="434343"/>
          <w:sz w:val="22"/>
          <w:szCs w:val="22"/>
          <w:rtl w:val="0"/>
        </w:rPr>
        <w:t xml:space="preserve">In 2023, HIV self-testing was officially incorporated as a free, universal service, independent of the type of health insurance or registration at a health center, and is available in all regions of the country</w:t>
      </w:r>
      <w:r w:rsidDel="00000000" w:rsidR="00000000" w:rsidRPr="00000000">
        <w:rPr>
          <w:rFonts w:ascii="Lato" w:cs="Lato" w:eastAsia="Lato" w:hAnsi="Lato"/>
          <w:color w:val="434343"/>
          <w:sz w:val="22"/>
          <w:szCs w:val="22"/>
          <w:vertAlign w:val="superscript"/>
        </w:rPr>
        <w:footnoteReference w:customMarkFollows="0" w:id="4"/>
      </w:r>
      <w:r w:rsidDel="00000000" w:rsidR="00000000" w:rsidRPr="00000000">
        <w:rPr>
          <w:rFonts w:ascii="Lato" w:cs="Lato" w:eastAsia="Lato" w:hAnsi="Lato"/>
          <w:color w:val="434343"/>
          <w:sz w:val="22"/>
          <w:szCs w:val="22"/>
          <w:rtl w:val="0"/>
        </w:rPr>
        <w:t xml:space="preserve">. This measure represents a significant advance in access to timely diagnosis. However, structural challenges remain in the prevention, detection, and treatment of HIV and other sexually transmitted infections (STIs), especially among key populations such as LGBTIQ+ people, migrants, sex workers, and adolescents. Chile has a regulatory framework consisting of general laws such as Law No. 20,584 on health rights and duties, Law No. 20,418 on fertility regulation, and Law No. 19,966 establishing Explicit Health Guarantees (GES), which include services related to HIV and STIs</w:t>
      </w:r>
      <w:r w:rsidDel="00000000" w:rsidR="00000000" w:rsidRPr="00000000">
        <w:rPr>
          <w:rFonts w:ascii="Lato" w:cs="Lato" w:eastAsia="Lato" w:hAnsi="Lato"/>
          <w:color w:val="434343"/>
          <w:sz w:val="22"/>
          <w:szCs w:val="22"/>
          <w:vertAlign w:val="superscript"/>
        </w:rPr>
        <w:footnoteReference w:customMarkFollows="0" w:id="5"/>
      </w:r>
      <w:r w:rsidDel="00000000" w:rsidR="00000000" w:rsidRPr="00000000">
        <w:rPr>
          <w:rFonts w:ascii="Lato" w:cs="Lato" w:eastAsia="Lato" w:hAnsi="Lato"/>
          <w:color w:val="434343"/>
          <w:sz w:val="22"/>
          <w:szCs w:val="22"/>
          <w:rtl w:val="0"/>
        </w:rPr>
        <w:t xml:space="preserve"> .</w:t>
      </w:r>
      <w:r w:rsidDel="00000000" w:rsidR="00000000" w:rsidRPr="00000000">
        <w:rPr>
          <w:rtl w:val="0"/>
        </w:rPr>
      </w:r>
    </w:p>
    <w:p w:rsidR="00000000" w:rsidDel="00000000" w:rsidP="00000000" w:rsidRDefault="00000000" w:rsidRPr="00000000" w14:paraId="00000029">
      <w:pPr>
        <w:numPr>
          <w:ilvl w:val="0"/>
          <w:numId w:val="4"/>
        </w:numPr>
        <w:spacing w:after="200" w:before="200" w:lineRule="auto"/>
        <w:ind w:left="-283.46456692913375" w:right="-430.8661417322827" w:firstLine="0"/>
        <w:jc w:val="both"/>
        <w:rPr>
          <w:rFonts w:ascii="Lato" w:cs="Lato" w:eastAsia="Lato" w:hAnsi="Lato"/>
          <w:color w:val="434343"/>
          <w:sz w:val="22"/>
          <w:szCs w:val="22"/>
          <w:u w:val="none"/>
        </w:rPr>
      </w:pPr>
      <w:r w:rsidDel="00000000" w:rsidR="00000000" w:rsidRPr="00000000">
        <w:rPr>
          <w:rFonts w:ascii="Lato" w:cs="Lato" w:eastAsia="Lato" w:hAnsi="Lato"/>
          <w:color w:val="434343"/>
          <w:sz w:val="22"/>
          <w:szCs w:val="22"/>
          <w:rtl w:val="0"/>
        </w:rPr>
        <w:t xml:space="preserve">In turn, Law No. 19,779 establishes specific regulations on HIV, and relevant technical standards have been developed, such as General Technical Standard No. 0141 on the prevention of vertical transmission of HIV and syphilis, and No. 0187 on the diagnosis and treatment of STIs</w:t>
      </w:r>
      <w:r w:rsidDel="00000000" w:rsidR="00000000" w:rsidRPr="00000000">
        <w:rPr>
          <w:rFonts w:ascii="Lato" w:cs="Lato" w:eastAsia="Lato" w:hAnsi="Lato"/>
          <w:color w:val="434343"/>
          <w:sz w:val="22"/>
          <w:szCs w:val="22"/>
          <w:vertAlign w:val="superscript"/>
        </w:rPr>
        <w:footnoteReference w:customMarkFollows="0" w:id="6"/>
      </w:r>
      <w:r w:rsidDel="00000000" w:rsidR="00000000" w:rsidRPr="00000000">
        <w:rPr>
          <w:rFonts w:ascii="Lato" w:cs="Lato" w:eastAsia="Lato" w:hAnsi="Lato"/>
          <w:color w:val="434343"/>
          <w:sz w:val="22"/>
          <w:szCs w:val="22"/>
          <w:rtl w:val="0"/>
        </w:rPr>
        <w:t xml:space="preserve">. However, their effective implementation depends on the local availability of services and the approach of each facility. For example, syphilis screening is available in primary care only for certain target populations, and access to more specific tests such as gonorrhea, chlamydia, herpes, or HPV varies significantly between regions.</w:t>
      </w:r>
      <w:r w:rsidDel="00000000" w:rsidR="00000000" w:rsidRPr="00000000">
        <w:rPr>
          <w:rtl w:val="0"/>
        </w:rPr>
      </w:r>
    </w:p>
    <w:p w:rsidR="00000000" w:rsidDel="00000000" w:rsidP="00000000" w:rsidRDefault="00000000" w:rsidRPr="00000000" w14:paraId="0000002A">
      <w:pPr>
        <w:numPr>
          <w:ilvl w:val="0"/>
          <w:numId w:val="4"/>
        </w:numPr>
        <w:spacing w:after="200" w:before="200" w:lineRule="auto"/>
        <w:ind w:left="-283.46456692913375" w:right="-430.8661417322827" w:firstLine="0"/>
        <w:jc w:val="both"/>
        <w:rPr>
          <w:rFonts w:ascii="Lato" w:cs="Lato" w:eastAsia="Lato" w:hAnsi="Lato"/>
          <w:color w:val="434343"/>
          <w:sz w:val="22"/>
          <w:szCs w:val="22"/>
          <w:u w:val="none"/>
        </w:rPr>
      </w:pPr>
      <w:r w:rsidDel="00000000" w:rsidR="00000000" w:rsidRPr="00000000">
        <w:rPr>
          <w:rFonts w:ascii="Lato" w:cs="Lato" w:eastAsia="Lato" w:hAnsi="Lato"/>
          <w:color w:val="434343"/>
          <w:sz w:val="22"/>
          <w:szCs w:val="22"/>
          <w:rtl w:val="0"/>
        </w:rPr>
        <w:t xml:space="preserve">Despite advances in rapid testing (HIV TRT), prevention campaigns led by NGOs, and the incorporation of self-testing, the Ministry of Health acknowledges that there are still significant gaps in timely diagnosis, especially among young people and those who do not regularly attend health centers. The targeting and frequency of these services remain insufficient to ensure a comprehensive prevention strategy.</w:t>
      </w:r>
      <w:r w:rsidDel="00000000" w:rsidR="00000000" w:rsidRPr="00000000">
        <w:rPr>
          <w:rtl w:val="0"/>
        </w:rPr>
      </w:r>
    </w:p>
    <w:p w:rsidR="00000000" w:rsidDel="00000000" w:rsidP="00000000" w:rsidRDefault="00000000" w:rsidRPr="00000000" w14:paraId="0000002B">
      <w:pPr>
        <w:numPr>
          <w:ilvl w:val="0"/>
          <w:numId w:val="4"/>
        </w:numPr>
        <w:spacing w:after="200" w:before="200" w:lineRule="auto"/>
        <w:ind w:left="-283.46456692913375" w:right="-430.8661417322827" w:firstLine="0"/>
        <w:jc w:val="both"/>
        <w:rPr>
          <w:rFonts w:ascii="Lato" w:cs="Lato" w:eastAsia="Lato" w:hAnsi="Lato"/>
          <w:color w:val="434343"/>
          <w:sz w:val="22"/>
          <w:szCs w:val="22"/>
          <w:u w:val="none"/>
        </w:rPr>
      </w:pPr>
      <w:r w:rsidDel="00000000" w:rsidR="00000000" w:rsidRPr="00000000">
        <w:rPr>
          <w:rFonts w:ascii="Lato" w:cs="Lato" w:eastAsia="Lato" w:hAnsi="Lato"/>
          <w:color w:val="434343"/>
          <w:sz w:val="22"/>
          <w:szCs w:val="22"/>
          <w:rtl w:val="0"/>
        </w:rPr>
        <w:t xml:space="preserve">This situation violates the right to the highest attainable standard of physical and mental health, protected by Article 12 of the International Covenant on Economic, Social and Cultural Rights (ICESCR), and has been highlighted by the Committee in its General Comment No. 14, which emphasizes the obligation of States to ensure accessible, adequate, and culturally acceptable preventive services for the entire population. It also contravenes the UNAIDS Global Plan on HIV/AIDS and the recommendations of the Montevideo Consensus on the elimination of structural barriers to access to sexual and reproductive health services.</w:t>
      </w:r>
      <w:r w:rsidDel="00000000" w:rsidR="00000000" w:rsidRPr="00000000">
        <w:rPr>
          <w:rtl w:val="0"/>
        </w:rPr>
      </w:r>
    </w:p>
    <w:p w:rsidR="00000000" w:rsidDel="00000000" w:rsidP="00000000" w:rsidRDefault="00000000" w:rsidRPr="00000000" w14:paraId="0000002C">
      <w:pPr>
        <w:numPr>
          <w:ilvl w:val="0"/>
          <w:numId w:val="4"/>
        </w:numPr>
        <w:spacing w:after="200" w:before="200" w:lineRule="auto"/>
        <w:ind w:left="-283.46456692913375" w:right="-430.8661417322827" w:firstLine="0"/>
        <w:jc w:val="both"/>
        <w:rPr>
          <w:rFonts w:ascii="Lato" w:cs="Lato" w:eastAsia="Lato" w:hAnsi="Lato"/>
          <w:b w:val="1"/>
          <w:color w:val="434343"/>
          <w:sz w:val="22"/>
          <w:szCs w:val="22"/>
          <w:u w:val="none"/>
        </w:rPr>
      </w:pPr>
      <w:r w:rsidDel="00000000" w:rsidR="00000000" w:rsidRPr="00000000">
        <w:rPr>
          <w:rFonts w:ascii="Lato" w:cs="Lato" w:eastAsia="Lato" w:hAnsi="Lato"/>
          <w:b w:val="1"/>
          <w:color w:val="434343"/>
          <w:sz w:val="22"/>
          <w:szCs w:val="22"/>
          <w:rtl w:val="0"/>
        </w:rPr>
        <w:t xml:space="preserve">Recommendations:</w:t>
      </w:r>
      <w:r w:rsidDel="00000000" w:rsidR="00000000" w:rsidRPr="00000000">
        <w:rPr>
          <w:rtl w:val="0"/>
        </w:rPr>
      </w:r>
    </w:p>
    <w:p w:rsidR="00000000" w:rsidDel="00000000" w:rsidP="00000000" w:rsidRDefault="00000000" w:rsidRPr="00000000" w14:paraId="0000002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1"/>
          <w:i w:val="0"/>
          <w:smallCaps w:val="0"/>
          <w:strike w:val="0"/>
          <w:color w:val="434343"/>
          <w:sz w:val="22"/>
          <w:szCs w:val="22"/>
          <w:shd w:fill="auto" w:val="clear"/>
          <w:vertAlign w:val="baseline"/>
        </w:rPr>
      </w:pPr>
      <w:r w:rsidDel="00000000" w:rsidR="00000000" w:rsidRPr="00000000">
        <w:rPr>
          <w:rFonts w:ascii="Lato" w:cs="Lato" w:eastAsia="Lato" w:hAnsi="Lato"/>
          <w:b w:val="1"/>
          <w:color w:val="434343"/>
          <w:sz w:val="22"/>
          <w:szCs w:val="22"/>
          <w:rtl w:val="0"/>
        </w:rPr>
        <w:t xml:space="preserve">Strengthen </w:t>
      </w:r>
      <w:r w:rsidDel="00000000" w:rsidR="00000000" w:rsidRPr="00000000">
        <w:rPr>
          <w:rFonts w:ascii="Lato" w:cs="Lato" w:eastAsia="Lato" w:hAnsi="Lato"/>
          <w:b w:val="1"/>
          <w:i w:val="0"/>
          <w:smallCaps w:val="0"/>
          <w:strike w:val="0"/>
          <w:color w:val="434343"/>
          <w:sz w:val="22"/>
          <w:szCs w:val="22"/>
          <w:u w:val="none"/>
          <w:shd w:fill="auto" w:val="clear"/>
          <w:vertAlign w:val="baseline"/>
          <w:rtl w:val="0"/>
        </w:rPr>
        <w:t xml:space="preserve">the implementation of comprehensive public policies on HIV and STIs, ensuring universal coverage, timely testing, ongoing training for health personnel, and effective coordination with community organizations.</w:t>
      </w:r>
      <w:r w:rsidDel="00000000" w:rsidR="00000000" w:rsidRPr="00000000">
        <w:rPr>
          <w:rtl w:val="0"/>
        </w:rPr>
      </w:r>
    </w:p>
    <w:p w:rsidR="00000000" w:rsidDel="00000000" w:rsidP="00000000" w:rsidRDefault="00000000" w:rsidRPr="00000000" w14:paraId="0000002E">
      <w:pPr>
        <w:pStyle w:val="Heading1"/>
        <w:spacing w:after="200" w:before="200" w:lineRule="auto"/>
        <w:ind w:left="-283.46456692913375" w:right="-430.8661417322827" w:firstLine="0"/>
        <w:rPr/>
      </w:pPr>
      <w:bookmarkStart w:colFirst="0" w:colLast="0" w:name="_heading=h.4yars7f2c37q" w:id="4"/>
      <w:bookmarkEnd w:id="4"/>
      <w:r w:rsidDel="00000000" w:rsidR="00000000" w:rsidRPr="00000000">
        <w:rPr>
          <w:rFonts w:ascii="Lato" w:cs="Lato" w:eastAsia="Lato" w:hAnsi="Lato"/>
          <w:color w:val="434343"/>
          <w:sz w:val="26"/>
          <w:szCs w:val="26"/>
          <w:rtl w:val="0"/>
        </w:rPr>
        <w:t xml:space="preserve">Article 12 – Right to Health: Women with Disabilities</w:t>
      </w:r>
      <w:r w:rsidDel="00000000" w:rsidR="00000000" w:rsidRPr="00000000">
        <w:rPr>
          <w:rtl w:val="0"/>
        </w:rPr>
      </w:r>
    </w:p>
    <w:p w:rsidR="00000000" w:rsidDel="00000000" w:rsidP="00000000" w:rsidRDefault="00000000" w:rsidRPr="00000000" w14:paraId="0000002F">
      <w:pPr>
        <w:numPr>
          <w:ilvl w:val="0"/>
          <w:numId w:val="4"/>
        </w:numPr>
        <w:spacing w:after="200" w:before="200" w:lineRule="auto"/>
        <w:ind w:left="-283.46456692913375" w:right="-430.8661417322827" w:firstLine="0"/>
        <w:jc w:val="both"/>
        <w:rPr>
          <w:rFonts w:ascii="Lato" w:cs="Lato" w:eastAsia="Lato" w:hAnsi="Lato"/>
          <w:color w:val="434343"/>
          <w:sz w:val="22"/>
          <w:szCs w:val="22"/>
          <w:u w:val="none"/>
        </w:rPr>
      </w:pPr>
      <w:r w:rsidDel="00000000" w:rsidR="00000000" w:rsidRPr="00000000">
        <w:rPr>
          <w:rFonts w:ascii="Lato" w:cs="Lato" w:eastAsia="Lato" w:hAnsi="Lato"/>
          <w:color w:val="434343"/>
          <w:sz w:val="22"/>
          <w:szCs w:val="22"/>
          <w:rtl w:val="0"/>
        </w:rPr>
        <w:t xml:space="preserve">In 2024, UN Chile, together with OHCHR, UN Women, PAHO/WHO, the Ministry of Health, and the National Disability Service, presented the "Model Protocol for Maternity Care for Women with Disabilities," which promotes a respectful approach to the rights, autonomy, and dignity of women with disabilities during all stages of pregnancy, childbirth, and the postpartum period</w:t>
      </w:r>
      <w:r w:rsidDel="00000000" w:rsidR="00000000" w:rsidRPr="00000000">
        <w:rPr>
          <w:rFonts w:ascii="Lato" w:cs="Lato" w:eastAsia="Lato" w:hAnsi="Lato"/>
          <w:color w:val="434343"/>
          <w:sz w:val="22"/>
          <w:szCs w:val="22"/>
          <w:vertAlign w:val="superscript"/>
        </w:rPr>
        <w:footnoteReference w:customMarkFollows="0" w:id="7"/>
      </w:r>
      <w:r w:rsidDel="00000000" w:rsidR="00000000" w:rsidRPr="00000000">
        <w:rPr>
          <w:rFonts w:ascii="Lato" w:cs="Lato" w:eastAsia="Lato" w:hAnsi="Lato"/>
          <w:color w:val="434343"/>
          <w:sz w:val="22"/>
          <w:szCs w:val="22"/>
          <w:rtl w:val="0"/>
        </w:rPr>
        <w:t xml:space="preserve">. This initiative represents an important milestone, but to date, it has not been implemented as mandatory public policy, nor have mechanisms been adopted for its monitoring and evaluation at different levels of the health system.</w:t>
      </w:r>
      <w:r w:rsidDel="00000000" w:rsidR="00000000" w:rsidRPr="00000000">
        <w:rPr>
          <w:rtl w:val="0"/>
        </w:rPr>
      </w:r>
    </w:p>
    <w:p w:rsidR="00000000" w:rsidDel="00000000" w:rsidP="00000000" w:rsidRDefault="00000000" w:rsidRPr="00000000" w14:paraId="00000030">
      <w:pPr>
        <w:numPr>
          <w:ilvl w:val="0"/>
          <w:numId w:val="4"/>
        </w:numPr>
        <w:spacing w:after="200" w:before="200" w:lineRule="auto"/>
        <w:ind w:left="-283.46456692913375" w:right="-430.8661417322827" w:firstLine="0"/>
        <w:jc w:val="both"/>
        <w:rPr>
          <w:rFonts w:ascii="Lato" w:cs="Lato" w:eastAsia="Lato" w:hAnsi="Lato"/>
          <w:sz w:val="22"/>
          <w:szCs w:val="22"/>
          <w:u w:val="none"/>
        </w:rPr>
      </w:pPr>
      <w:r w:rsidDel="00000000" w:rsidR="00000000" w:rsidRPr="00000000">
        <w:rPr>
          <w:rFonts w:ascii="Lato" w:cs="Lato" w:eastAsia="Lato" w:hAnsi="Lato"/>
          <w:color w:val="434343"/>
          <w:sz w:val="22"/>
          <w:szCs w:val="22"/>
          <w:rtl w:val="0"/>
        </w:rPr>
        <w:t xml:space="preserve">The statistical invisibility of women with disabilities in the Chilean health system is one of the main structural barriers to the design and implementation of inclusive sexual and reproductive health services. Currently, disability-related variables are not systematically included in clinical records or official statistics, preventing the generation of adequate diagnoses and differentiated care measures</w:t>
      </w:r>
      <w:r w:rsidDel="00000000" w:rsidR="00000000" w:rsidRPr="00000000">
        <w:rPr>
          <w:rFonts w:ascii="Lato" w:cs="Lato" w:eastAsia="Lato" w:hAnsi="Lato"/>
          <w:color w:val="434343"/>
          <w:sz w:val="22"/>
          <w:szCs w:val="22"/>
          <w:vertAlign w:val="superscript"/>
        </w:rPr>
        <w:footnoteReference w:customMarkFollows="0" w:id="8"/>
      </w:r>
      <w:r w:rsidDel="00000000" w:rsidR="00000000" w:rsidRPr="00000000">
        <w:rPr>
          <w:rFonts w:ascii="Lato" w:cs="Lato" w:eastAsia="Lato" w:hAnsi="Lato"/>
          <w:color w:val="434343"/>
          <w:sz w:val="22"/>
          <w:szCs w:val="22"/>
          <w:rtl w:val="0"/>
        </w:rPr>
        <w:t xml:space="preserve">, resulting in </w:t>
      </w:r>
      <w:r w:rsidDel="00000000" w:rsidR="00000000" w:rsidRPr="00000000">
        <w:rPr>
          <w:rFonts w:ascii="Lato" w:cs="Lato" w:eastAsia="Lato" w:hAnsi="Lato"/>
          <w:b w:val="1"/>
          <w:sz w:val="22"/>
          <w:szCs w:val="22"/>
          <w:rtl w:val="0"/>
        </w:rPr>
        <w:t xml:space="preserve">invisibility and ableist treatment authorized by the State.</w:t>
      </w:r>
      <w:r w:rsidDel="00000000" w:rsidR="00000000" w:rsidRPr="00000000">
        <w:rPr>
          <w:rtl w:val="0"/>
        </w:rPr>
      </w:r>
    </w:p>
    <w:p w:rsidR="00000000" w:rsidDel="00000000" w:rsidP="00000000" w:rsidRDefault="00000000" w:rsidRPr="00000000" w14:paraId="00000031">
      <w:pPr>
        <w:numPr>
          <w:ilvl w:val="0"/>
          <w:numId w:val="4"/>
        </w:numPr>
        <w:spacing w:after="200" w:before="200" w:lineRule="auto"/>
        <w:ind w:left="-283.46456692913375" w:right="-430.8661417322827" w:firstLine="0"/>
        <w:jc w:val="both"/>
        <w:rPr>
          <w:rFonts w:ascii="Lato" w:cs="Lato" w:eastAsia="Lato" w:hAnsi="Lato"/>
          <w:color w:val="434343"/>
          <w:sz w:val="22"/>
          <w:szCs w:val="22"/>
          <w:u w:val="none"/>
        </w:rPr>
      </w:pPr>
      <w:r w:rsidDel="00000000" w:rsidR="00000000" w:rsidRPr="00000000">
        <w:rPr>
          <w:rFonts w:ascii="Lato" w:cs="Lato" w:eastAsia="Lato" w:hAnsi="Lato"/>
          <w:color w:val="434343"/>
          <w:sz w:val="22"/>
          <w:szCs w:val="22"/>
          <w:rtl w:val="0"/>
        </w:rPr>
        <w:t xml:space="preserve">This omission violates the right to health of women with disabilities, enshrined in Article 12 of the International Covenant on Economic, Social and Cultural Rights, and contradicts Chile's international obligations under the Convention on the Rights of Persons with Disabilities. The lack of disaggregated data also prevents compliance with General Comment No. 22 of the Committee on Economic, Social and Cultural Rights, which requires States parties to develop accessible, acceptable, and appropriate sexual and reproductive health services for vulnerable groups.</w:t>
      </w:r>
      <w:r w:rsidDel="00000000" w:rsidR="00000000" w:rsidRPr="00000000">
        <w:rPr>
          <w:rtl w:val="0"/>
        </w:rPr>
      </w:r>
    </w:p>
    <w:p w:rsidR="00000000" w:rsidDel="00000000" w:rsidP="00000000" w:rsidRDefault="00000000" w:rsidRPr="00000000" w14:paraId="00000032">
      <w:pPr>
        <w:numPr>
          <w:ilvl w:val="0"/>
          <w:numId w:val="4"/>
        </w:numPr>
        <w:spacing w:after="200" w:before="200" w:lineRule="auto"/>
        <w:ind w:left="-283.46456692913375" w:right="-430.8661417322827" w:firstLine="0"/>
        <w:jc w:val="both"/>
        <w:rPr>
          <w:rFonts w:ascii="Lato" w:cs="Lato" w:eastAsia="Lato" w:hAnsi="Lato"/>
          <w:b w:val="1"/>
          <w:color w:val="434343"/>
          <w:sz w:val="22"/>
          <w:szCs w:val="22"/>
          <w:u w:val="none"/>
        </w:rPr>
      </w:pPr>
      <w:r w:rsidDel="00000000" w:rsidR="00000000" w:rsidRPr="00000000">
        <w:rPr>
          <w:rFonts w:ascii="Lato" w:cs="Lato" w:eastAsia="Lato" w:hAnsi="Lato"/>
          <w:b w:val="1"/>
          <w:color w:val="434343"/>
          <w:sz w:val="22"/>
          <w:szCs w:val="22"/>
          <w:rtl w:val="0"/>
        </w:rPr>
        <w:t xml:space="preserve">Recommendations:</w:t>
      </w:r>
      <w:r w:rsidDel="00000000" w:rsidR="00000000" w:rsidRPr="00000000">
        <w:rPr>
          <w:rtl w:val="0"/>
        </w:rPr>
      </w:r>
    </w:p>
    <w:p w:rsidR="00000000" w:rsidDel="00000000" w:rsidP="00000000" w:rsidRDefault="00000000" w:rsidRPr="00000000" w14:paraId="0000003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shd w:fill="auto" w:val="clear"/>
          <w:vertAlign w:val="baseline"/>
        </w:rPr>
      </w:pPr>
      <w:r w:rsidDel="00000000" w:rsidR="00000000" w:rsidRPr="00000000">
        <w:rPr>
          <w:rFonts w:ascii="Lato" w:cs="Lato" w:eastAsia="Lato" w:hAnsi="Lato"/>
          <w:color w:val="434343"/>
          <w:sz w:val="22"/>
          <w:szCs w:val="22"/>
          <w:rtl w:val="0"/>
        </w:rPr>
        <w:t xml:space="preserve">Incorporate variables disaggregated by sex, age, and type of disability into all monitoring, registration, and statistical production systems of the Ministry of Health to generate sufficient, up-to-date, and comparable data that allow for a detailed and ongoing assessment of the effective access of women and girls with disabilities to sexual and reproductive health services.</w:t>
      </w:r>
      <w:r w:rsidDel="00000000" w:rsidR="00000000" w:rsidRPr="00000000">
        <w:rPr>
          <w:rtl w:val="0"/>
        </w:rPr>
      </w:r>
    </w:p>
    <w:p w:rsidR="00000000" w:rsidDel="00000000" w:rsidP="00000000" w:rsidRDefault="00000000" w:rsidRPr="00000000" w14:paraId="0000003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shd w:fill="auto" w:val="clear"/>
          <w:vertAlign w:val="baseline"/>
        </w:rPr>
      </w:pPr>
      <w:r w:rsidDel="00000000" w:rsidR="00000000" w:rsidRPr="00000000">
        <w:rPr>
          <w:rFonts w:ascii="Lato" w:cs="Lato" w:eastAsia="Lato" w:hAnsi="Lato"/>
          <w:color w:val="434343"/>
          <w:sz w:val="22"/>
          <w:szCs w:val="22"/>
          <w:rtl w:val="0"/>
        </w:rPr>
        <w:t xml:space="preserve">Implement the protocol on maternity care for women with disabilities as a mandatory national policy, ensuring its funding, monitoring, and evaluation mechanisms, and a continuous training plan for health personnel.</w:t>
      </w:r>
      <w:r w:rsidDel="00000000" w:rsidR="00000000" w:rsidRPr="00000000">
        <w:rPr>
          <w:rtl w:val="0"/>
        </w:rPr>
      </w:r>
    </w:p>
    <w:p w:rsidR="00000000" w:rsidDel="00000000" w:rsidP="00000000" w:rsidRDefault="00000000" w:rsidRPr="00000000" w14:paraId="00000035">
      <w:pPr>
        <w:pStyle w:val="Heading1"/>
        <w:spacing w:after="200" w:before="200" w:lineRule="auto"/>
        <w:ind w:left="-283.46456692913375" w:right="-430.8661417322827" w:firstLine="0"/>
        <w:rPr>
          <w:color w:val="434343"/>
        </w:rPr>
      </w:pPr>
      <w:bookmarkStart w:colFirst="0" w:colLast="0" w:name="_heading=h.u75abqrvgsqb" w:id="5"/>
      <w:bookmarkEnd w:id="5"/>
      <w:r w:rsidDel="00000000" w:rsidR="00000000" w:rsidRPr="00000000">
        <w:rPr>
          <w:rFonts w:ascii="Lato" w:cs="Lato" w:eastAsia="Lato" w:hAnsi="Lato"/>
          <w:color w:val="434343"/>
          <w:sz w:val="26"/>
          <w:szCs w:val="26"/>
          <w:rtl w:val="0"/>
        </w:rPr>
        <w:t xml:space="preserve">Article 12 – Right to Health: On contraception</w:t>
      </w:r>
      <w:r w:rsidDel="00000000" w:rsidR="00000000" w:rsidRPr="00000000">
        <w:rPr>
          <w:rtl w:val="0"/>
        </w:rPr>
      </w:r>
    </w:p>
    <w:p w:rsidR="00000000" w:rsidDel="00000000" w:rsidP="00000000" w:rsidRDefault="00000000" w:rsidRPr="00000000" w14:paraId="00000036">
      <w:pPr>
        <w:numPr>
          <w:ilvl w:val="0"/>
          <w:numId w:val="4"/>
        </w:numPr>
        <w:tabs>
          <w:tab w:val="left" w:leader="none" w:pos="1267"/>
          <w:tab w:val="left" w:leader="none" w:pos="1742"/>
          <w:tab w:val="left" w:leader="none" w:pos="2218"/>
          <w:tab w:val="left" w:leader="none" w:pos="2693"/>
          <w:tab w:val="left" w:leader="none" w:pos="3182"/>
          <w:tab w:val="left" w:leader="none" w:pos="3658"/>
          <w:tab w:val="left" w:leader="none" w:pos="4133"/>
          <w:tab w:val="left" w:leader="none" w:pos="4622"/>
          <w:tab w:val="left" w:leader="none" w:pos="5098"/>
          <w:tab w:val="left" w:leader="none" w:pos="5573"/>
          <w:tab w:val="left" w:leader="none" w:pos="6048"/>
        </w:tabs>
        <w:spacing w:after="200" w:before="200" w:line="276" w:lineRule="auto"/>
        <w:ind w:left="-283.46456692913375" w:right="-430.8661417322827" w:firstLine="0"/>
        <w:jc w:val="both"/>
        <w:rPr>
          <w:rFonts w:ascii="Lato" w:cs="Lato" w:eastAsia="Lato" w:hAnsi="Lato"/>
          <w:color w:val="434343"/>
          <w:sz w:val="22"/>
          <w:szCs w:val="22"/>
        </w:rPr>
      </w:pPr>
      <w:r w:rsidDel="00000000" w:rsidR="00000000" w:rsidRPr="00000000">
        <w:rPr>
          <w:rFonts w:ascii="Lato" w:cs="Lato" w:eastAsia="Lato" w:hAnsi="Lato"/>
          <w:sz w:val="22"/>
          <w:szCs w:val="22"/>
          <w:rtl w:val="0"/>
        </w:rPr>
        <w:t xml:space="preserve">In Chile, Law No. 20,418 of 2010 regulates contraceptive services, establishing the right of every person to information, guidance, and access to available contraceptive methods under conditions of confidentiality. The only exception to this confidentiality is for </w:t>
      </w:r>
      <w:r w:rsidDel="00000000" w:rsidR="00000000" w:rsidRPr="00000000">
        <w:rPr>
          <w:rFonts w:ascii="Lato" w:cs="Lato" w:eastAsia="Lato" w:hAnsi="Lato"/>
          <w:b w:val="1"/>
          <w:sz w:val="22"/>
          <w:szCs w:val="22"/>
          <w:rtl w:val="0"/>
        </w:rPr>
        <w:t xml:space="preserve">minors under the age of 14 who request emergency contraception, in which case the method must be provided and the father, mother, or responsible adult indicated by the girl must be notified</w:t>
      </w:r>
      <w:r w:rsidDel="00000000" w:rsidR="00000000" w:rsidRPr="00000000">
        <w:rPr>
          <w:rFonts w:ascii="Lato" w:cs="Lato" w:eastAsia="Lato" w:hAnsi="Lato"/>
          <w:sz w:val="22"/>
          <w:szCs w:val="22"/>
          <w:vertAlign w:val="superscript"/>
        </w:rPr>
        <w:footnoteReference w:customMarkFollows="0" w:id="9"/>
      </w:r>
      <w:r w:rsidDel="00000000" w:rsidR="00000000" w:rsidRPr="00000000">
        <w:rPr>
          <w:rFonts w:ascii="Lato" w:cs="Lato" w:eastAsia="Lato" w:hAnsi="Lato"/>
          <w:sz w:val="22"/>
          <w:szCs w:val="22"/>
          <w:rtl w:val="0"/>
        </w:rPr>
        <w:t xml:space="preserve">.</w:t>
      </w:r>
      <w:r w:rsidDel="00000000" w:rsidR="00000000" w:rsidRPr="00000000">
        <w:rPr>
          <w:rtl w:val="0"/>
        </w:rPr>
      </w:r>
    </w:p>
    <w:p w:rsidR="00000000" w:rsidDel="00000000" w:rsidP="00000000" w:rsidRDefault="00000000" w:rsidRPr="00000000" w14:paraId="00000037">
      <w:pPr>
        <w:numPr>
          <w:ilvl w:val="0"/>
          <w:numId w:val="4"/>
        </w:numPr>
        <w:tabs>
          <w:tab w:val="left" w:leader="none" w:pos="1267"/>
          <w:tab w:val="left" w:leader="none" w:pos="1742"/>
          <w:tab w:val="left" w:leader="none" w:pos="2218"/>
          <w:tab w:val="left" w:leader="none" w:pos="2693"/>
          <w:tab w:val="left" w:leader="none" w:pos="3182"/>
          <w:tab w:val="left" w:leader="none" w:pos="3658"/>
          <w:tab w:val="left" w:leader="none" w:pos="4133"/>
          <w:tab w:val="left" w:leader="none" w:pos="4622"/>
          <w:tab w:val="left" w:leader="none" w:pos="5098"/>
          <w:tab w:val="left" w:leader="none" w:pos="5573"/>
          <w:tab w:val="left" w:leader="none" w:pos="6048"/>
        </w:tabs>
        <w:spacing w:after="200" w:before="200" w:line="276" w:lineRule="auto"/>
        <w:ind w:left="-283.46456692913375" w:right="-430.8661417322827" w:firstLine="0"/>
        <w:jc w:val="both"/>
        <w:rPr>
          <w:rFonts w:ascii="Lato" w:cs="Lato" w:eastAsia="Lato" w:hAnsi="Lato"/>
          <w:color w:val="434343"/>
          <w:sz w:val="22"/>
          <w:szCs w:val="22"/>
        </w:rPr>
      </w:pPr>
      <w:r w:rsidDel="00000000" w:rsidR="00000000" w:rsidRPr="00000000">
        <w:rPr>
          <w:rFonts w:ascii="Lato" w:cs="Lato" w:eastAsia="Lato" w:hAnsi="Lato"/>
          <w:sz w:val="22"/>
          <w:szCs w:val="22"/>
          <w:rtl w:val="0"/>
        </w:rPr>
        <w:t xml:space="preserve">This regulation is complemented by two other ministerial instruments: the National Regulation on Fertility Regulation</w:t>
      </w:r>
      <w:r w:rsidDel="00000000" w:rsidR="00000000" w:rsidRPr="00000000">
        <w:rPr>
          <w:rFonts w:ascii="Lato" w:cs="Lato" w:eastAsia="Lato" w:hAnsi="Lato"/>
          <w:sz w:val="22"/>
          <w:szCs w:val="22"/>
          <w:vertAlign w:val="superscript"/>
        </w:rPr>
        <w:footnoteReference w:customMarkFollows="0" w:id="10"/>
      </w:r>
      <w:r w:rsidDel="00000000" w:rsidR="00000000" w:rsidRPr="00000000">
        <w:rPr>
          <w:rFonts w:ascii="Lato" w:cs="Lato" w:eastAsia="Lato" w:hAnsi="Lato"/>
          <w:sz w:val="22"/>
          <w:szCs w:val="22"/>
          <w:rtl w:val="0"/>
        </w:rPr>
        <w:t xml:space="preserve"> and the Protocol for the Provision of Emergency Contraception</w:t>
      </w:r>
      <w:r w:rsidDel="00000000" w:rsidR="00000000" w:rsidRPr="00000000">
        <w:rPr>
          <w:rFonts w:ascii="Lato" w:cs="Lato" w:eastAsia="Lato" w:hAnsi="Lato"/>
          <w:sz w:val="22"/>
          <w:szCs w:val="22"/>
          <w:vertAlign w:val="superscript"/>
        </w:rPr>
        <w:footnoteReference w:customMarkFollows="0" w:id="11"/>
      </w:r>
      <w:r w:rsidDel="00000000" w:rsidR="00000000" w:rsidRPr="00000000">
        <w:rPr>
          <w:rFonts w:ascii="Lato" w:cs="Lato" w:eastAsia="Lato" w:hAnsi="Lato"/>
          <w:sz w:val="22"/>
          <w:szCs w:val="22"/>
          <w:rtl w:val="0"/>
        </w:rPr>
        <w:t xml:space="preserve"> .</w:t>
      </w:r>
      <w:r w:rsidDel="00000000" w:rsidR="00000000" w:rsidRPr="00000000">
        <w:rPr>
          <w:rtl w:val="0"/>
        </w:rPr>
      </w:r>
    </w:p>
    <w:p w:rsidR="00000000" w:rsidDel="00000000" w:rsidP="00000000" w:rsidRDefault="00000000" w:rsidRPr="00000000" w14:paraId="00000038">
      <w:pPr>
        <w:numPr>
          <w:ilvl w:val="0"/>
          <w:numId w:val="4"/>
        </w:numPr>
        <w:spacing w:after="200" w:before="200" w:lineRule="auto"/>
        <w:ind w:left="-283.46456692913375" w:right="-430.8661417322827" w:firstLine="0"/>
        <w:jc w:val="both"/>
        <w:rPr>
          <w:rFonts w:ascii="Lato" w:cs="Lato" w:eastAsia="Lato" w:hAnsi="Lato"/>
          <w:color w:val="434343"/>
          <w:sz w:val="22"/>
          <w:szCs w:val="22"/>
          <w:u w:val="none"/>
        </w:rPr>
      </w:pPr>
      <w:r w:rsidDel="00000000" w:rsidR="00000000" w:rsidRPr="00000000">
        <w:rPr>
          <w:rFonts w:ascii="Lato" w:cs="Lato" w:eastAsia="Lato" w:hAnsi="Lato"/>
          <w:sz w:val="22"/>
          <w:szCs w:val="22"/>
          <w:rtl w:val="0"/>
        </w:rPr>
        <w:t xml:space="preserve">Although these regulations do not impose unnecessary requirements, </w:t>
      </w:r>
      <w:r w:rsidDel="00000000" w:rsidR="00000000" w:rsidRPr="00000000">
        <w:rPr>
          <w:rFonts w:ascii="Lato" w:cs="Lato" w:eastAsia="Lato" w:hAnsi="Lato"/>
          <w:color w:val="434343"/>
          <w:sz w:val="22"/>
          <w:szCs w:val="22"/>
          <w:rtl w:val="0"/>
        </w:rPr>
        <w:t xml:space="preserve">in 2022, a study by Corporación Miles revealed that 38% of health facilities required women to be registered with a Family Health Center in order to access contraceptive methods for the first time, while 34% required a prior consultation with a midwife and 67% required consent from a responsible adult in the case of adolescents under the age of 14</w:t>
      </w:r>
      <w:r w:rsidDel="00000000" w:rsidR="00000000" w:rsidRPr="00000000">
        <w:rPr>
          <w:rFonts w:ascii="Lato" w:cs="Lato" w:eastAsia="Lato" w:hAnsi="Lato"/>
          <w:color w:val="434343"/>
          <w:sz w:val="22"/>
          <w:szCs w:val="22"/>
          <w:vertAlign w:val="superscript"/>
        </w:rPr>
        <w:footnoteReference w:customMarkFollows="0" w:id="12"/>
      </w:r>
      <w:r w:rsidDel="00000000" w:rsidR="00000000" w:rsidRPr="00000000">
        <w:rPr>
          <w:rFonts w:ascii="Lato" w:cs="Lato" w:eastAsia="Lato" w:hAnsi="Lato"/>
          <w:color w:val="434343"/>
          <w:sz w:val="22"/>
          <w:szCs w:val="22"/>
          <w:rtl w:val="0"/>
        </w:rPr>
        <w:t xml:space="preserve">. </w:t>
      </w:r>
      <w:r w:rsidDel="00000000" w:rsidR="00000000" w:rsidRPr="00000000">
        <w:rPr>
          <w:rFonts w:ascii="Lato" w:cs="Lato" w:eastAsia="Lato" w:hAnsi="Lato"/>
          <w:b w:val="1"/>
          <w:color w:val="434343"/>
          <w:sz w:val="22"/>
          <w:szCs w:val="22"/>
          <w:rtl w:val="0"/>
        </w:rPr>
        <w:t xml:space="preserve">These administrative barriers, together with discriminatory practices such as the misuse of conscientious objection to deny contraception, hinder access to essential sexual and reproductive health services. </w:t>
      </w:r>
      <w:r w:rsidDel="00000000" w:rsidR="00000000" w:rsidRPr="00000000">
        <w:rPr>
          <w:rtl w:val="0"/>
        </w:rPr>
      </w:r>
    </w:p>
    <w:p w:rsidR="00000000" w:rsidDel="00000000" w:rsidP="00000000" w:rsidRDefault="00000000" w:rsidRPr="00000000" w14:paraId="00000039">
      <w:pPr>
        <w:numPr>
          <w:ilvl w:val="0"/>
          <w:numId w:val="4"/>
        </w:numPr>
        <w:spacing w:after="200" w:before="200" w:lineRule="auto"/>
        <w:ind w:left="-283.46456692913375" w:right="-430.8661417322827" w:firstLine="0"/>
        <w:jc w:val="both"/>
        <w:rPr>
          <w:rFonts w:ascii="Lato" w:cs="Lato" w:eastAsia="Lato" w:hAnsi="Lato"/>
          <w:color w:val="434343"/>
          <w:sz w:val="22"/>
          <w:szCs w:val="22"/>
          <w:u w:val="none"/>
        </w:rPr>
      </w:pPr>
      <w:r w:rsidDel="00000000" w:rsidR="00000000" w:rsidRPr="00000000">
        <w:rPr>
          <w:rFonts w:ascii="Lato" w:cs="Lato" w:eastAsia="Lato" w:hAnsi="Lato"/>
          <w:color w:val="434343"/>
          <w:sz w:val="22"/>
          <w:szCs w:val="22"/>
          <w:rtl w:val="0"/>
        </w:rPr>
        <w:t xml:space="preserve">Furthermore, </w:t>
      </w:r>
      <w:r w:rsidDel="00000000" w:rsidR="00000000" w:rsidRPr="00000000">
        <w:rPr>
          <w:rFonts w:ascii="Lato" w:cs="Lato" w:eastAsia="Lato" w:hAnsi="Lato"/>
          <w:b w:val="1"/>
          <w:color w:val="434343"/>
          <w:sz w:val="22"/>
          <w:szCs w:val="22"/>
          <w:rtl w:val="0"/>
        </w:rPr>
        <w:t xml:space="preserve">since 2020, the Public Health Institute (ISP) has issued seven alerts for defective contraceptives distributed in the public system, </w:t>
      </w:r>
      <w:r w:rsidDel="00000000" w:rsidR="00000000" w:rsidRPr="00000000">
        <w:rPr>
          <w:rFonts w:ascii="Lato" w:cs="Lato" w:eastAsia="Lato" w:hAnsi="Lato"/>
          <w:color w:val="434343"/>
          <w:sz w:val="22"/>
          <w:szCs w:val="22"/>
          <w:rtl w:val="0"/>
        </w:rPr>
        <w:t xml:space="preserve">affecting more than 170,000 blister packs in the case of the drug Anulette CD alone, which led to unplanned pregnancies without the possibility of accessing abortion because none of the three legal grounds were met</w:t>
      </w:r>
      <w:r w:rsidDel="00000000" w:rsidR="00000000" w:rsidRPr="00000000">
        <w:rPr>
          <w:rFonts w:ascii="Lato" w:cs="Lato" w:eastAsia="Lato" w:hAnsi="Lato"/>
          <w:color w:val="434343"/>
          <w:sz w:val="22"/>
          <w:szCs w:val="22"/>
          <w:vertAlign w:val="superscript"/>
        </w:rPr>
        <w:footnoteReference w:customMarkFollows="0" w:id="13"/>
      </w:r>
      <w:r w:rsidDel="00000000" w:rsidR="00000000" w:rsidRPr="00000000">
        <w:rPr>
          <w:rFonts w:ascii="Lato" w:cs="Lato" w:eastAsia="Lato" w:hAnsi="Lato"/>
          <w:color w:val="434343"/>
          <w:sz w:val="22"/>
          <w:szCs w:val="22"/>
          <w:rtl w:val="0"/>
        </w:rPr>
        <w:t xml:space="preserve">. Although at least 227 women contacted Corporación Miles for support, only seven were able to take legal action, as there is no special procedure to facilitate access to justice in such cases.</w:t>
      </w:r>
      <w:r w:rsidDel="00000000" w:rsidR="00000000" w:rsidRPr="00000000">
        <w:rPr>
          <w:rtl w:val="0"/>
        </w:rPr>
      </w:r>
    </w:p>
    <w:p w:rsidR="00000000" w:rsidDel="00000000" w:rsidP="00000000" w:rsidRDefault="00000000" w:rsidRPr="00000000" w14:paraId="0000003A">
      <w:pPr>
        <w:numPr>
          <w:ilvl w:val="0"/>
          <w:numId w:val="4"/>
        </w:numPr>
        <w:spacing w:after="200" w:before="200" w:lineRule="auto"/>
        <w:ind w:left="-283.46456692913375" w:right="-430.8661417322827" w:firstLine="0"/>
        <w:jc w:val="both"/>
        <w:rPr>
          <w:rFonts w:ascii="Lato" w:cs="Lato" w:eastAsia="Lato" w:hAnsi="Lato"/>
          <w:color w:val="434343"/>
          <w:sz w:val="22"/>
          <w:szCs w:val="22"/>
          <w:u w:val="none"/>
        </w:rPr>
      </w:pPr>
      <w:r w:rsidDel="00000000" w:rsidR="00000000" w:rsidRPr="00000000">
        <w:rPr>
          <w:rFonts w:ascii="Lato" w:cs="Lato" w:eastAsia="Lato" w:hAnsi="Lato"/>
          <w:color w:val="434343"/>
          <w:sz w:val="22"/>
          <w:szCs w:val="22"/>
          <w:rtl w:val="0"/>
        </w:rPr>
        <w:t xml:space="preserve">In 2021, a bill was introduced to amend the Health Code and incorporate a presumption of civil liability in the event of contraceptive failure, but it has been stalled in the second stage of the legislative process since January 2024</w:t>
      </w:r>
      <w:r w:rsidDel="00000000" w:rsidR="00000000" w:rsidRPr="00000000">
        <w:rPr>
          <w:rFonts w:ascii="Lato" w:cs="Lato" w:eastAsia="Lato" w:hAnsi="Lato"/>
          <w:color w:val="434343"/>
          <w:sz w:val="22"/>
          <w:szCs w:val="22"/>
          <w:vertAlign w:val="superscript"/>
        </w:rPr>
        <w:footnoteReference w:customMarkFollows="0" w:id="14"/>
      </w:r>
      <w:r w:rsidDel="00000000" w:rsidR="00000000" w:rsidRPr="00000000">
        <w:rPr>
          <w:rFonts w:ascii="Lato" w:cs="Lato" w:eastAsia="Lato" w:hAnsi="Lato"/>
          <w:color w:val="434343"/>
          <w:sz w:val="22"/>
          <w:szCs w:val="22"/>
          <w:rtl w:val="0"/>
        </w:rPr>
        <w:t xml:space="preserve">. Meanwhile, the measures adopted by the Ministries of Health and Women have been insufficient, shifting the burden of detecting packaging defects onto users without implementing robust traceability or inspection systems.</w:t>
      </w:r>
      <w:r w:rsidDel="00000000" w:rsidR="00000000" w:rsidRPr="00000000">
        <w:rPr>
          <w:rtl w:val="0"/>
        </w:rPr>
      </w:r>
    </w:p>
    <w:p w:rsidR="00000000" w:rsidDel="00000000" w:rsidP="00000000" w:rsidRDefault="00000000" w:rsidRPr="00000000" w14:paraId="0000003B">
      <w:pPr>
        <w:numPr>
          <w:ilvl w:val="0"/>
          <w:numId w:val="4"/>
        </w:numPr>
        <w:spacing w:after="200" w:before="200" w:lineRule="auto"/>
        <w:ind w:left="-283.46456692913375" w:right="-430.8661417322827" w:firstLine="0"/>
        <w:jc w:val="both"/>
        <w:rPr>
          <w:rFonts w:ascii="Lato" w:cs="Lato" w:eastAsia="Lato" w:hAnsi="Lato"/>
          <w:color w:val="434343"/>
          <w:sz w:val="22"/>
          <w:szCs w:val="22"/>
          <w:u w:val="none"/>
        </w:rPr>
      </w:pPr>
      <w:r w:rsidDel="00000000" w:rsidR="00000000" w:rsidRPr="00000000">
        <w:rPr>
          <w:rFonts w:ascii="Lato" w:cs="Lato" w:eastAsia="Lato" w:hAnsi="Lato"/>
          <w:color w:val="434343"/>
          <w:sz w:val="22"/>
          <w:szCs w:val="22"/>
          <w:rtl w:val="0"/>
        </w:rPr>
        <w:t xml:space="preserve">Furthermore, even though </w:t>
      </w:r>
      <w:r w:rsidDel="00000000" w:rsidR="00000000" w:rsidRPr="00000000">
        <w:rPr>
          <w:rFonts w:ascii="Lato" w:cs="Lato" w:eastAsia="Lato" w:hAnsi="Lato"/>
          <w:b w:val="1"/>
          <w:color w:val="434343"/>
          <w:sz w:val="22"/>
          <w:szCs w:val="22"/>
          <w:rtl w:val="0"/>
        </w:rPr>
        <w:t xml:space="preserve">emergency contraception (EC) </w:t>
      </w:r>
      <w:r w:rsidDel="00000000" w:rsidR="00000000" w:rsidRPr="00000000">
        <w:rPr>
          <w:rFonts w:ascii="Lato" w:cs="Lato" w:eastAsia="Lato" w:hAnsi="Lato"/>
          <w:color w:val="434343"/>
          <w:sz w:val="22"/>
          <w:szCs w:val="22"/>
          <w:rtl w:val="0"/>
        </w:rPr>
        <w:t xml:space="preserve">is guaranteed by Law No. 20,418, </w:t>
      </w:r>
      <w:r w:rsidDel="00000000" w:rsidR="00000000" w:rsidRPr="00000000">
        <w:rPr>
          <w:rFonts w:ascii="Lato" w:cs="Lato" w:eastAsia="Lato" w:hAnsi="Lato"/>
          <w:b w:val="1"/>
          <w:color w:val="434343"/>
          <w:sz w:val="22"/>
          <w:szCs w:val="22"/>
          <w:rtl w:val="0"/>
        </w:rPr>
        <w:t xml:space="preserve">barriers to its effective delivery persist: 24% of people who requested it in the public system were unable to access it, </w:t>
      </w:r>
      <w:r w:rsidDel="00000000" w:rsidR="00000000" w:rsidRPr="00000000">
        <w:rPr>
          <w:rFonts w:ascii="Lato" w:cs="Lato" w:eastAsia="Lato" w:hAnsi="Lato"/>
          <w:color w:val="434343"/>
          <w:sz w:val="22"/>
          <w:szCs w:val="22"/>
          <w:rtl w:val="0"/>
        </w:rPr>
        <w:t xml:space="preserve">citing lack of stock or arbitrary justifications such as age or marital status. This has led to 84% of people purchasing ECPs in private pharmacies, where access is more expeditious</w:t>
      </w:r>
      <w:r w:rsidDel="00000000" w:rsidR="00000000" w:rsidRPr="00000000">
        <w:rPr>
          <w:rFonts w:ascii="Lato" w:cs="Lato" w:eastAsia="Lato" w:hAnsi="Lato"/>
          <w:color w:val="434343"/>
          <w:sz w:val="22"/>
          <w:szCs w:val="22"/>
          <w:vertAlign w:val="superscript"/>
        </w:rPr>
        <w:footnoteReference w:customMarkFollows="0" w:id="15"/>
      </w:r>
      <w:r w:rsidDel="00000000" w:rsidR="00000000" w:rsidRPr="00000000">
        <w:rPr>
          <w:rFonts w:ascii="Lato" w:cs="Lato" w:eastAsia="Lato" w:hAnsi="Lato"/>
          <w:color w:val="434343"/>
          <w:sz w:val="22"/>
          <w:szCs w:val="22"/>
          <w:rtl w:val="0"/>
        </w:rPr>
        <w:t xml:space="preserve">.</w:t>
      </w:r>
      <w:r w:rsidDel="00000000" w:rsidR="00000000" w:rsidRPr="00000000">
        <w:rPr>
          <w:rtl w:val="0"/>
        </w:rPr>
      </w:r>
    </w:p>
    <w:p w:rsidR="00000000" w:rsidDel="00000000" w:rsidP="00000000" w:rsidRDefault="00000000" w:rsidRPr="00000000" w14:paraId="0000003C">
      <w:pPr>
        <w:numPr>
          <w:ilvl w:val="0"/>
          <w:numId w:val="4"/>
        </w:numPr>
        <w:spacing w:after="200" w:before="200" w:lineRule="auto"/>
        <w:ind w:left="-283.46456692913375" w:right="-430.8661417322827" w:firstLine="0"/>
        <w:jc w:val="both"/>
        <w:rPr>
          <w:rFonts w:ascii="Lato" w:cs="Lato" w:eastAsia="Lato" w:hAnsi="Lato"/>
          <w:color w:val="434343"/>
          <w:sz w:val="22"/>
          <w:szCs w:val="22"/>
          <w:u w:val="none"/>
        </w:rPr>
      </w:pPr>
      <w:r w:rsidDel="00000000" w:rsidR="00000000" w:rsidRPr="00000000">
        <w:rPr>
          <w:rFonts w:ascii="Lato" w:cs="Lato" w:eastAsia="Lato" w:hAnsi="Lato"/>
          <w:color w:val="434343"/>
          <w:sz w:val="22"/>
          <w:szCs w:val="22"/>
          <w:rtl w:val="0"/>
        </w:rPr>
        <w:t xml:space="preserve">These situations constitute a violation of the right to health, enshrined in Article 12 of the ICESCR and developed by the Committee in its General Comment No. 22, which establishes the obligation of States to guarantee safe, accessible, and non-discriminatory contraceptive services. The systematic failure to provide contraceptive methods, as well as institutional barriers to access, disproportionately affect young women, those with lower incomes, and residents of rural areas.</w:t>
      </w:r>
      <w:r w:rsidDel="00000000" w:rsidR="00000000" w:rsidRPr="00000000">
        <w:rPr>
          <w:rtl w:val="0"/>
        </w:rPr>
      </w:r>
    </w:p>
    <w:p w:rsidR="00000000" w:rsidDel="00000000" w:rsidP="00000000" w:rsidRDefault="00000000" w:rsidRPr="00000000" w14:paraId="0000003D">
      <w:pPr>
        <w:numPr>
          <w:ilvl w:val="0"/>
          <w:numId w:val="4"/>
        </w:numPr>
        <w:spacing w:after="200" w:before="200" w:lineRule="auto"/>
        <w:ind w:left="-283.46456692913375" w:right="-430.8661417322827" w:firstLine="0"/>
        <w:jc w:val="both"/>
        <w:rPr>
          <w:rFonts w:ascii="Lato" w:cs="Lato" w:eastAsia="Lato" w:hAnsi="Lato"/>
          <w:b w:val="1"/>
          <w:color w:val="434343"/>
          <w:sz w:val="22"/>
          <w:szCs w:val="22"/>
        </w:rPr>
      </w:pPr>
      <w:r w:rsidDel="00000000" w:rsidR="00000000" w:rsidRPr="00000000">
        <w:rPr>
          <w:rFonts w:ascii="Lato" w:cs="Lato" w:eastAsia="Lato" w:hAnsi="Lato"/>
          <w:b w:val="1"/>
          <w:color w:val="434343"/>
          <w:sz w:val="22"/>
          <w:szCs w:val="22"/>
          <w:rtl w:val="0"/>
        </w:rPr>
        <w:t xml:space="preserve">Recommendations:</w:t>
      </w:r>
    </w:p>
    <w:p w:rsidR="00000000" w:rsidDel="00000000" w:rsidP="00000000" w:rsidRDefault="00000000" w:rsidRPr="00000000" w14:paraId="0000003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vertAlign w:val="baseline"/>
        </w:rPr>
      </w:pPr>
      <w:r w:rsidDel="00000000" w:rsidR="00000000" w:rsidRPr="00000000">
        <w:rPr>
          <w:rFonts w:ascii="Lato" w:cs="Lato" w:eastAsia="Lato" w:hAnsi="Lato"/>
          <w:color w:val="434343"/>
          <w:sz w:val="22"/>
          <w:szCs w:val="22"/>
          <w:rtl w:val="0"/>
        </w:rPr>
        <w:t xml:space="preserve">Decriminalize abortion by removing its regulation from the Penal Code and guaranteeing access to abortion services, following the recommendation of the special mechanisms in communication AL CHL/421 dated June 7, 2021, which is specific in this regard.</w:t>
      </w:r>
      <w:r w:rsidDel="00000000" w:rsidR="00000000" w:rsidRPr="00000000">
        <w:rPr>
          <w:rtl w:val="0"/>
        </w:rPr>
      </w:r>
    </w:p>
    <w:p w:rsidR="00000000" w:rsidDel="00000000" w:rsidP="00000000" w:rsidRDefault="00000000" w:rsidRPr="00000000" w14:paraId="0000003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vertAlign w:val="baseline"/>
        </w:rPr>
      </w:pPr>
      <w:r w:rsidDel="00000000" w:rsidR="00000000" w:rsidRPr="00000000">
        <w:rPr>
          <w:rFonts w:ascii="Lato" w:cs="Lato" w:eastAsia="Lato" w:hAnsi="Lato"/>
          <w:color w:val="434343"/>
          <w:sz w:val="22"/>
          <w:szCs w:val="22"/>
          <w:rtl w:val="0"/>
        </w:rPr>
        <w:t xml:space="preserve">Provide full reparation to all women affected by the distribution of defective contraceptives in the public health system.</w:t>
      </w:r>
      <w:r w:rsidDel="00000000" w:rsidR="00000000" w:rsidRPr="00000000">
        <w:rPr>
          <w:rtl w:val="0"/>
        </w:rPr>
      </w:r>
    </w:p>
    <w:p w:rsidR="00000000" w:rsidDel="00000000" w:rsidP="00000000" w:rsidRDefault="00000000" w:rsidRPr="00000000" w14:paraId="0000004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vertAlign w:val="baseline"/>
        </w:rPr>
      </w:pPr>
      <w:r w:rsidDel="00000000" w:rsidR="00000000" w:rsidRPr="00000000">
        <w:rPr>
          <w:rFonts w:ascii="Lato" w:cs="Lato" w:eastAsia="Lato" w:hAnsi="Lato"/>
          <w:color w:val="434343"/>
          <w:sz w:val="22"/>
          <w:szCs w:val="22"/>
          <w:rtl w:val="0"/>
        </w:rPr>
        <w:t xml:space="preserve">Implement ongoing training for officials at different levels to update them on contraceptive methods, with an emphasis on long-acting methods.</w:t>
      </w:r>
      <w:r w:rsidDel="00000000" w:rsidR="00000000" w:rsidRPr="00000000">
        <w:rPr>
          <w:rtl w:val="0"/>
        </w:rPr>
      </w:r>
    </w:p>
    <w:p w:rsidR="00000000" w:rsidDel="00000000" w:rsidP="00000000" w:rsidRDefault="00000000" w:rsidRPr="00000000" w14:paraId="0000004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vertAlign w:val="baseline"/>
        </w:rPr>
      </w:pPr>
      <w:r w:rsidDel="00000000" w:rsidR="00000000" w:rsidRPr="00000000">
        <w:rPr>
          <w:rFonts w:ascii="Lato" w:cs="Lato" w:eastAsia="Lato" w:hAnsi="Lato"/>
          <w:color w:val="434343"/>
          <w:sz w:val="22"/>
          <w:szCs w:val="22"/>
          <w:rtl w:val="0"/>
        </w:rPr>
        <w:t xml:space="preserve">Provide technical support from the Health Services to remove barriers to access and work together with primary health care teams to develop updated protocols based on current regulations.</w:t>
      </w:r>
      <w:r w:rsidDel="00000000" w:rsidR="00000000" w:rsidRPr="00000000">
        <w:rPr>
          <w:rtl w:val="0"/>
        </w:rPr>
      </w:r>
    </w:p>
    <w:p w:rsidR="00000000" w:rsidDel="00000000" w:rsidP="00000000" w:rsidRDefault="00000000" w:rsidRPr="00000000" w14:paraId="0000004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vertAlign w:val="baseline"/>
        </w:rPr>
      </w:pPr>
      <w:r w:rsidDel="00000000" w:rsidR="00000000" w:rsidRPr="00000000">
        <w:rPr>
          <w:rFonts w:ascii="Lato" w:cs="Lato" w:eastAsia="Lato" w:hAnsi="Lato"/>
          <w:color w:val="434343"/>
          <w:sz w:val="22"/>
          <w:szCs w:val="22"/>
          <w:rtl w:val="0"/>
        </w:rPr>
        <w:t xml:space="preserve">Design and implement an inspection manual to ensure compliance with the National Regulation on Fertility Regulation, published in 2010.</w:t>
      </w:r>
      <w:r w:rsidDel="00000000" w:rsidR="00000000" w:rsidRPr="00000000">
        <w:rPr>
          <w:rtl w:val="0"/>
        </w:rPr>
      </w:r>
    </w:p>
    <w:p w:rsidR="00000000" w:rsidDel="00000000" w:rsidP="00000000" w:rsidRDefault="00000000" w:rsidRPr="00000000" w14:paraId="0000004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vertAlign w:val="baseline"/>
        </w:rPr>
      </w:pPr>
      <w:r w:rsidDel="00000000" w:rsidR="00000000" w:rsidRPr="00000000">
        <w:rPr>
          <w:rFonts w:ascii="Lato" w:cs="Lato" w:eastAsia="Lato" w:hAnsi="Lato"/>
          <w:color w:val="434343"/>
          <w:sz w:val="22"/>
          <w:szCs w:val="22"/>
          <w:rtl w:val="0"/>
        </w:rPr>
        <w:t xml:space="preserve">Hire sufficient qualified health personnel to allow expedited access to fertility regulation methods.</w:t>
      </w:r>
      <w:r w:rsidDel="00000000" w:rsidR="00000000" w:rsidRPr="00000000">
        <w:rPr>
          <w:rtl w:val="0"/>
        </w:rPr>
      </w:r>
    </w:p>
    <w:p w:rsidR="00000000" w:rsidDel="00000000" w:rsidP="00000000" w:rsidRDefault="00000000" w:rsidRPr="00000000" w14:paraId="0000004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vertAlign w:val="baseline"/>
        </w:rPr>
      </w:pPr>
      <w:r w:rsidDel="00000000" w:rsidR="00000000" w:rsidRPr="00000000">
        <w:rPr>
          <w:rFonts w:ascii="Lato" w:cs="Lato" w:eastAsia="Lato" w:hAnsi="Lato"/>
          <w:color w:val="434343"/>
          <w:sz w:val="22"/>
          <w:szCs w:val="22"/>
          <w:rtl w:val="0"/>
        </w:rPr>
        <w:t xml:space="preserve">Create mechanisms to ensure the timely provision of contraceptive methods and emergency contraception in the public health system based on current demand.</w:t>
      </w:r>
      <w:r w:rsidDel="00000000" w:rsidR="00000000" w:rsidRPr="00000000">
        <w:rPr>
          <w:rtl w:val="0"/>
        </w:rPr>
      </w:r>
    </w:p>
    <w:p w:rsidR="00000000" w:rsidDel="00000000" w:rsidP="00000000" w:rsidRDefault="00000000" w:rsidRPr="00000000" w14:paraId="0000004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vertAlign w:val="baseline"/>
        </w:rPr>
      </w:pPr>
      <w:r w:rsidDel="00000000" w:rsidR="00000000" w:rsidRPr="00000000">
        <w:rPr>
          <w:rFonts w:ascii="Lato" w:cs="Lato" w:eastAsia="Lato" w:hAnsi="Lato"/>
          <w:color w:val="434343"/>
          <w:sz w:val="22"/>
          <w:szCs w:val="22"/>
          <w:rtl w:val="0"/>
        </w:rPr>
        <w:t xml:space="preserve">Modify the Rayen computer system, or any system that replaces it, so that the contraceptive batch number can be recorded at the time the medication is dispensed.</w:t>
      </w:r>
      <w:r w:rsidDel="00000000" w:rsidR="00000000" w:rsidRPr="00000000">
        <w:rPr>
          <w:rtl w:val="0"/>
        </w:rPr>
      </w:r>
    </w:p>
    <w:p w:rsidR="00000000" w:rsidDel="00000000" w:rsidP="00000000" w:rsidRDefault="00000000" w:rsidRPr="00000000" w14:paraId="0000004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vertAlign w:val="baseline"/>
        </w:rPr>
      </w:pPr>
      <w:r w:rsidDel="00000000" w:rsidR="00000000" w:rsidRPr="00000000">
        <w:rPr>
          <w:rFonts w:ascii="Lato" w:cs="Lato" w:eastAsia="Lato" w:hAnsi="Lato"/>
          <w:color w:val="434343"/>
          <w:sz w:val="22"/>
          <w:szCs w:val="22"/>
          <w:rtl w:val="0"/>
        </w:rPr>
        <w:t xml:space="preserve">Strengthen and improve inspection and health alert protocols for contraception.</w:t>
      </w:r>
      <w:r w:rsidDel="00000000" w:rsidR="00000000" w:rsidRPr="00000000">
        <w:rPr>
          <w:rtl w:val="0"/>
        </w:rPr>
      </w:r>
    </w:p>
    <w:p w:rsidR="00000000" w:rsidDel="00000000" w:rsidP="00000000" w:rsidRDefault="00000000" w:rsidRPr="00000000" w14:paraId="0000004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vertAlign w:val="baseline"/>
        </w:rPr>
      </w:pPr>
      <w:r w:rsidDel="00000000" w:rsidR="00000000" w:rsidRPr="00000000">
        <w:rPr>
          <w:rFonts w:ascii="Lato" w:cs="Lato" w:eastAsia="Lato" w:hAnsi="Lato"/>
          <w:color w:val="434343"/>
          <w:sz w:val="22"/>
          <w:szCs w:val="22"/>
          <w:rtl w:val="0"/>
        </w:rPr>
        <w:t xml:space="preserve">Expand and strengthen fertility regulation standards in Law No. 20.418 for the dissemination of information, guidance, and services on issues such as contraceptive failure and unplanned pregnancies in adult women, as well as their physical, emotional, and social consequences.</w:t>
      </w:r>
      <w:r w:rsidDel="00000000" w:rsidR="00000000" w:rsidRPr="00000000">
        <w:rPr>
          <w:rtl w:val="0"/>
        </w:rPr>
      </w:r>
    </w:p>
    <w:p w:rsidR="00000000" w:rsidDel="00000000" w:rsidP="00000000" w:rsidRDefault="00000000" w:rsidRPr="00000000" w14:paraId="0000004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vertAlign w:val="baseline"/>
        </w:rPr>
      </w:pPr>
      <w:r w:rsidDel="00000000" w:rsidR="00000000" w:rsidRPr="00000000">
        <w:rPr>
          <w:rFonts w:ascii="Lato" w:cs="Lato" w:eastAsia="Lato" w:hAnsi="Lato"/>
          <w:color w:val="434343"/>
          <w:sz w:val="22"/>
          <w:szCs w:val="22"/>
          <w:rtl w:val="0"/>
        </w:rPr>
        <w:t xml:space="preserve">Approve the bill that amends the Health Code to establish a presumption of civil liability for damages caused by defective contraceptive drugs (Bulletin No. 14094-11).</w:t>
      </w:r>
      <w:r w:rsidDel="00000000" w:rsidR="00000000" w:rsidRPr="00000000">
        <w:rPr>
          <w:rtl w:val="0"/>
        </w:rPr>
      </w:r>
    </w:p>
    <w:p w:rsidR="00000000" w:rsidDel="00000000" w:rsidP="00000000" w:rsidRDefault="00000000" w:rsidRPr="00000000" w14:paraId="0000004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vertAlign w:val="baseline"/>
        </w:rPr>
      </w:pPr>
      <w:r w:rsidDel="00000000" w:rsidR="00000000" w:rsidRPr="00000000">
        <w:rPr>
          <w:rFonts w:ascii="Lato" w:cs="Lato" w:eastAsia="Lato" w:hAnsi="Lato"/>
          <w:color w:val="434343"/>
          <w:sz w:val="22"/>
          <w:szCs w:val="22"/>
          <w:rtl w:val="0"/>
        </w:rPr>
        <w:t xml:space="preserve">Implement a protocol for CESFAM officials and all primary care services in the country for the visual verification of contraceptives they dispense in the course of their duties and for reporting alerts of defects in contraceptive drugs.</w:t>
      </w:r>
      <w:r w:rsidDel="00000000" w:rsidR="00000000" w:rsidRPr="00000000">
        <w:rPr>
          <w:rtl w:val="0"/>
        </w:rPr>
      </w:r>
    </w:p>
    <w:p w:rsidR="00000000" w:rsidDel="00000000" w:rsidP="00000000" w:rsidRDefault="00000000" w:rsidRPr="00000000" w14:paraId="0000004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vertAlign w:val="baseline"/>
        </w:rPr>
      </w:pPr>
      <w:r w:rsidDel="00000000" w:rsidR="00000000" w:rsidRPr="00000000">
        <w:rPr>
          <w:rFonts w:ascii="Lato" w:cs="Lato" w:eastAsia="Lato" w:hAnsi="Lato"/>
          <w:color w:val="434343"/>
          <w:sz w:val="22"/>
          <w:szCs w:val="22"/>
          <w:rtl w:val="0"/>
        </w:rPr>
        <w:t xml:space="preserve">Develop a special alert protocol in case of contraceptive failure to effectively prevent and minimize the potential harm caused by the circulation of defective contraceptive drugs.</w:t>
      </w:r>
      <w:r w:rsidDel="00000000" w:rsidR="00000000" w:rsidRPr="00000000">
        <w:rPr>
          <w:rtl w:val="0"/>
        </w:rPr>
      </w:r>
    </w:p>
    <w:p w:rsidR="00000000" w:rsidDel="00000000" w:rsidP="00000000" w:rsidRDefault="00000000" w:rsidRPr="00000000" w14:paraId="0000004B">
      <w:pPr>
        <w:pStyle w:val="Heading1"/>
        <w:spacing w:after="200" w:before="200" w:lineRule="auto"/>
        <w:ind w:left="-283.46456692913375" w:right="-430.8661417322827" w:firstLine="0"/>
        <w:rPr>
          <w:color w:val="434343"/>
        </w:rPr>
      </w:pPr>
      <w:bookmarkStart w:colFirst="0" w:colLast="0" w:name="_heading=h.wgv5x0icofez" w:id="6"/>
      <w:bookmarkEnd w:id="6"/>
      <w:r w:rsidDel="00000000" w:rsidR="00000000" w:rsidRPr="00000000">
        <w:rPr>
          <w:rFonts w:ascii="Lato" w:cs="Lato" w:eastAsia="Lato" w:hAnsi="Lato"/>
          <w:color w:val="434343"/>
          <w:sz w:val="26"/>
          <w:szCs w:val="26"/>
          <w:rtl w:val="0"/>
        </w:rPr>
        <w:t xml:space="preserve">Article 12 – Right to Health: On the implementation of Law IVE</w:t>
      </w:r>
      <w:r w:rsidDel="00000000" w:rsidR="00000000" w:rsidRPr="00000000">
        <w:rPr>
          <w:rtl w:val="0"/>
        </w:rPr>
      </w:r>
    </w:p>
    <w:p w:rsidR="00000000" w:rsidDel="00000000" w:rsidP="00000000" w:rsidRDefault="00000000" w:rsidRPr="00000000" w14:paraId="0000004C">
      <w:pPr>
        <w:numPr>
          <w:ilvl w:val="0"/>
          <w:numId w:val="4"/>
        </w:numPr>
        <w:spacing w:after="200" w:before="200" w:lineRule="auto"/>
        <w:ind w:left="-283.46456692913375" w:right="-430.8661417322827" w:firstLine="0"/>
        <w:jc w:val="both"/>
        <w:rPr>
          <w:rFonts w:ascii="Lato" w:cs="Lato" w:eastAsia="Lato" w:hAnsi="Lato"/>
          <w:color w:val="434343"/>
          <w:sz w:val="22"/>
          <w:szCs w:val="22"/>
          <w:u w:val="none"/>
        </w:rPr>
      </w:pPr>
      <w:r w:rsidDel="00000000" w:rsidR="00000000" w:rsidRPr="00000000">
        <w:rPr>
          <w:rFonts w:ascii="Lato" w:cs="Lato" w:eastAsia="Lato" w:hAnsi="Lato"/>
          <w:color w:val="434343"/>
          <w:sz w:val="22"/>
          <w:szCs w:val="22"/>
          <w:rtl w:val="0"/>
        </w:rPr>
        <w:t xml:space="preserve">Seven years after the entry into force of Law No. 21,030 regulating voluntary termination of pregnancy on three grounds, serious deficiencies in its effective implementation persist. </w:t>
      </w:r>
      <w:r w:rsidDel="00000000" w:rsidR="00000000" w:rsidRPr="00000000">
        <w:rPr>
          <w:rFonts w:ascii="Lato" w:cs="Lato" w:eastAsia="Lato" w:hAnsi="Lato"/>
          <w:sz w:val="22"/>
          <w:szCs w:val="22"/>
          <w:rtl w:val="0"/>
        </w:rPr>
        <w:t xml:space="preserve">Although it represents an important step forward in the recognition of reproductive rights, </w:t>
      </w:r>
      <w:r w:rsidDel="00000000" w:rsidR="00000000" w:rsidRPr="00000000">
        <w:rPr>
          <w:rFonts w:ascii="Lato" w:cs="Lato" w:eastAsia="Lato" w:hAnsi="Lato"/>
          <w:b w:val="1"/>
          <w:sz w:val="22"/>
          <w:szCs w:val="22"/>
          <w:rtl w:val="0"/>
        </w:rPr>
        <w:t xml:space="preserve">its implementation has been marred by various irregularities that affect the exercise of these rights, </w:t>
      </w:r>
      <w:r w:rsidDel="00000000" w:rsidR="00000000" w:rsidRPr="00000000">
        <w:rPr>
          <w:rFonts w:ascii="Lato" w:cs="Lato" w:eastAsia="Lato" w:hAnsi="Lato"/>
          <w:sz w:val="22"/>
          <w:szCs w:val="22"/>
          <w:rtl w:val="0"/>
        </w:rPr>
        <w:t xml:space="preserve">especially concerning the personal integrity and reproductive autonomy of women and pregnant persons. The case of defective Anulette CD contraceptives is also a very serious example of how the law is not being implemented as it should be, as many women affected by the defect were unable to terminate their pregnancies because the situation did not allegedly fall within the decriminalized grounds.</w:t>
      </w:r>
      <w:r w:rsidDel="00000000" w:rsidR="00000000" w:rsidRPr="00000000">
        <w:rPr>
          <w:rtl w:val="0"/>
        </w:rPr>
      </w:r>
    </w:p>
    <w:p w:rsidR="00000000" w:rsidDel="00000000" w:rsidP="00000000" w:rsidRDefault="00000000" w:rsidRPr="00000000" w14:paraId="0000004D">
      <w:pPr>
        <w:numPr>
          <w:ilvl w:val="0"/>
          <w:numId w:val="4"/>
        </w:numPr>
        <w:spacing w:after="200" w:before="200" w:lineRule="auto"/>
        <w:ind w:left="-283.46456692913375" w:right="-430.8661417322827" w:firstLine="0"/>
        <w:jc w:val="both"/>
        <w:rPr>
          <w:rFonts w:ascii="Lato" w:cs="Lato" w:eastAsia="Lato" w:hAnsi="Lato"/>
          <w:color w:val="434343"/>
          <w:sz w:val="22"/>
          <w:szCs w:val="22"/>
          <w:u w:val="none"/>
        </w:rPr>
      </w:pPr>
      <w:r w:rsidDel="00000000" w:rsidR="00000000" w:rsidRPr="00000000">
        <w:rPr>
          <w:rFonts w:ascii="Lato" w:cs="Lato" w:eastAsia="Lato" w:hAnsi="Lato"/>
          <w:color w:val="434343"/>
          <w:sz w:val="22"/>
          <w:szCs w:val="22"/>
          <w:rtl w:val="0"/>
        </w:rPr>
        <w:t xml:space="preserve">Similarly, a study by Corporación Miles revealed that 57 of the 69 authorized hospitals have internal protocols, several of which impose additional requirements to those required by law, such as redundant diagnoses, undue gestational restrictions, and mandatory reporting requirements that contravene the current regulatory framework</w:t>
      </w:r>
      <w:r w:rsidDel="00000000" w:rsidR="00000000" w:rsidRPr="00000000">
        <w:rPr>
          <w:rFonts w:ascii="Lato" w:cs="Lato" w:eastAsia="Lato" w:hAnsi="Lato"/>
          <w:color w:val="434343"/>
          <w:sz w:val="22"/>
          <w:szCs w:val="22"/>
          <w:vertAlign w:val="superscript"/>
        </w:rPr>
        <w:footnoteReference w:customMarkFollows="0" w:id="16"/>
      </w:r>
      <w:r w:rsidDel="00000000" w:rsidR="00000000" w:rsidRPr="00000000">
        <w:rPr>
          <w:rFonts w:ascii="Lato" w:cs="Lato" w:eastAsia="Lato" w:hAnsi="Lato"/>
          <w:color w:val="434343"/>
          <w:sz w:val="22"/>
          <w:szCs w:val="22"/>
          <w:rtl w:val="0"/>
        </w:rPr>
        <w:t xml:space="preserve">.</w:t>
      </w:r>
      <w:r w:rsidDel="00000000" w:rsidR="00000000" w:rsidRPr="00000000">
        <w:rPr>
          <w:rtl w:val="0"/>
        </w:rPr>
      </w:r>
    </w:p>
    <w:p w:rsidR="00000000" w:rsidDel="00000000" w:rsidP="00000000" w:rsidRDefault="00000000" w:rsidRPr="00000000" w14:paraId="0000004E">
      <w:pPr>
        <w:numPr>
          <w:ilvl w:val="0"/>
          <w:numId w:val="4"/>
        </w:numPr>
        <w:spacing w:after="200" w:before="200" w:lineRule="auto"/>
        <w:ind w:left="-283.46456692913375" w:right="-430.8661417322827" w:firstLine="0"/>
        <w:jc w:val="both"/>
        <w:rPr>
          <w:rFonts w:ascii="Lato" w:cs="Lato" w:eastAsia="Lato" w:hAnsi="Lato"/>
          <w:color w:val="434343"/>
          <w:sz w:val="22"/>
          <w:szCs w:val="22"/>
          <w:u w:val="none"/>
        </w:rPr>
      </w:pPr>
      <w:r w:rsidDel="00000000" w:rsidR="00000000" w:rsidRPr="00000000">
        <w:rPr>
          <w:rFonts w:ascii="Lato" w:cs="Lato" w:eastAsia="Lato" w:hAnsi="Lato"/>
          <w:color w:val="434343"/>
          <w:sz w:val="22"/>
          <w:szCs w:val="22"/>
          <w:rtl w:val="0"/>
        </w:rPr>
        <w:t xml:space="preserve">Conscientious objection, both individual and institutional, remains a structural barrier to access to abortion. In 2023, 45.8% of gynecologists and obstetricians declared themselves objectors in cases of rape, a percentage that has remained stable since 2018. In five public hospitals, all professionals invoke this right, affecting users' access to the service</w:t>
      </w:r>
      <w:r w:rsidDel="00000000" w:rsidR="00000000" w:rsidRPr="00000000">
        <w:rPr>
          <w:rFonts w:ascii="Lato" w:cs="Lato" w:eastAsia="Lato" w:hAnsi="Lato"/>
          <w:color w:val="434343"/>
          <w:sz w:val="22"/>
          <w:szCs w:val="22"/>
          <w:vertAlign w:val="superscript"/>
        </w:rPr>
        <w:footnoteReference w:customMarkFollows="0" w:id="17"/>
      </w:r>
      <w:r w:rsidDel="00000000" w:rsidR="00000000" w:rsidRPr="00000000">
        <w:rPr>
          <w:rFonts w:ascii="Lato" w:cs="Lato" w:eastAsia="Lato" w:hAnsi="Lato"/>
          <w:color w:val="434343"/>
          <w:sz w:val="22"/>
          <w:szCs w:val="22"/>
          <w:rtl w:val="0"/>
        </w:rPr>
        <w:t xml:space="preserve">. In addition, a study found that one in three professionals is unaware of the legal limits of this objection, and 87.8% believe that it negatively affects timely care</w:t>
      </w:r>
      <w:r w:rsidDel="00000000" w:rsidR="00000000" w:rsidRPr="00000000">
        <w:rPr>
          <w:rFonts w:ascii="Lato" w:cs="Lato" w:eastAsia="Lato" w:hAnsi="Lato"/>
          <w:color w:val="434343"/>
          <w:sz w:val="22"/>
          <w:szCs w:val="22"/>
          <w:vertAlign w:val="superscript"/>
        </w:rPr>
        <w:footnoteReference w:customMarkFollows="0" w:id="18"/>
      </w:r>
      <w:r w:rsidDel="00000000" w:rsidR="00000000" w:rsidRPr="00000000">
        <w:rPr>
          <w:rFonts w:ascii="Lato" w:cs="Lato" w:eastAsia="Lato" w:hAnsi="Lato"/>
          <w:color w:val="434343"/>
          <w:sz w:val="22"/>
          <w:szCs w:val="22"/>
          <w:rtl w:val="0"/>
        </w:rPr>
        <w:t xml:space="preserve"> .</w:t>
      </w:r>
      <w:r w:rsidDel="00000000" w:rsidR="00000000" w:rsidRPr="00000000">
        <w:rPr>
          <w:rtl w:val="0"/>
        </w:rPr>
      </w:r>
    </w:p>
    <w:p w:rsidR="00000000" w:rsidDel="00000000" w:rsidP="00000000" w:rsidRDefault="00000000" w:rsidRPr="00000000" w14:paraId="0000004F">
      <w:pPr>
        <w:numPr>
          <w:ilvl w:val="0"/>
          <w:numId w:val="4"/>
        </w:numPr>
        <w:spacing w:after="200" w:before="200" w:lineRule="auto"/>
        <w:ind w:left="-283.46456692913375" w:right="-430.8661417322827" w:firstLine="0"/>
        <w:jc w:val="both"/>
        <w:rPr>
          <w:rFonts w:ascii="Lato" w:cs="Lato" w:eastAsia="Lato" w:hAnsi="Lato"/>
          <w:color w:val="434343"/>
          <w:sz w:val="22"/>
          <w:szCs w:val="22"/>
          <w:u w:val="none"/>
        </w:rPr>
      </w:pPr>
      <w:r w:rsidDel="00000000" w:rsidR="00000000" w:rsidRPr="00000000">
        <w:rPr>
          <w:rFonts w:ascii="Lato" w:cs="Lato" w:eastAsia="Lato" w:hAnsi="Lato"/>
          <w:color w:val="434343"/>
          <w:sz w:val="22"/>
          <w:szCs w:val="22"/>
          <w:rtl w:val="0"/>
        </w:rPr>
        <w:t xml:space="preserve">The techniques used also reflect a failure to comply with international standards. Uterine curettage remains widely used, despite WHO recommendations on the use of MVA and pharmacological regimens with mifepristone and misoprostol. The lack of availability of mifepristone has led to an almost exclusive reliance on misoprostol in several hospitals in the country</w:t>
      </w:r>
      <w:r w:rsidDel="00000000" w:rsidR="00000000" w:rsidRPr="00000000">
        <w:rPr>
          <w:rFonts w:ascii="Lato" w:cs="Lato" w:eastAsia="Lato" w:hAnsi="Lato"/>
          <w:color w:val="434343"/>
          <w:sz w:val="22"/>
          <w:szCs w:val="22"/>
          <w:vertAlign w:val="superscript"/>
        </w:rPr>
        <w:footnoteReference w:customMarkFollows="0" w:id="19"/>
      </w:r>
      <w:r w:rsidDel="00000000" w:rsidR="00000000" w:rsidRPr="00000000">
        <w:rPr>
          <w:rFonts w:ascii="Lato" w:cs="Lato" w:eastAsia="Lato" w:hAnsi="Lato"/>
          <w:color w:val="434343"/>
          <w:sz w:val="22"/>
          <w:szCs w:val="22"/>
          <w:rtl w:val="0"/>
        </w:rPr>
        <w:t xml:space="preserve"> .</w:t>
      </w:r>
      <w:r w:rsidDel="00000000" w:rsidR="00000000" w:rsidRPr="00000000">
        <w:rPr>
          <w:rtl w:val="0"/>
        </w:rPr>
      </w:r>
    </w:p>
    <w:p w:rsidR="00000000" w:rsidDel="00000000" w:rsidP="00000000" w:rsidRDefault="00000000" w:rsidRPr="00000000" w14:paraId="00000050">
      <w:pPr>
        <w:numPr>
          <w:ilvl w:val="0"/>
          <w:numId w:val="4"/>
        </w:numPr>
        <w:spacing w:after="200" w:before="200" w:lineRule="auto"/>
        <w:ind w:left="-283.46456692913375" w:right="-430.8661417322827" w:firstLine="0"/>
        <w:jc w:val="both"/>
        <w:rPr>
          <w:rFonts w:ascii="Lato" w:cs="Lato" w:eastAsia="Lato" w:hAnsi="Lato"/>
          <w:color w:val="434343"/>
          <w:sz w:val="22"/>
          <w:szCs w:val="22"/>
          <w:u w:val="none"/>
        </w:rPr>
      </w:pPr>
      <w:r w:rsidDel="00000000" w:rsidR="00000000" w:rsidRPr="00000000">
        <w:rPr>
          <w:rFonts w:ascii="Lato" w:cs="Lato" w:eastAsia="Lato" w:hAnsi="Lato"/>
          <w:color w:val="434343"/>
          <w:sz w:val="22"/>
          <w:szCs w:val="22"/>
          <w:rtl w:val="0"/>
        </w:rPr>
        <w:t xml:space="preserve">With regard to access to information, Article 119 quater of the IVE Law prohibits the public dissemination of information on the availability of abortion services, which constitutes a serious restriction on the right to information and hinders effective access to services. The Council for Transparency warned in 2021 that one in three hospitals does not publish or provide care protocols, and that there is little institutional knowledge about referral and complaint mechanisms</w:t>
      </w:r>
      <w:r w:rsidDel="00000000" w:rsidR="00000000" w:rsidRPr="00000000">
        <w:rPr>
          <w:rFonts w:ascii="Lato" w:cs="Lato" w:eastAsia="Lato" w:hAnsi="Lato"/>
          <w:color w:val="434343"/>
          <w:sz w:val="22"/>
          <w:szCs w:val="22"/>
          <w:vertAlign w:val="superscript"/>
        </w:rPr>
        <w:footnoteReference w:customMarkFollows="0" w:id="20"/>
      </w:r>
      <w:r w:rsidDel="00000000" w:rsidR="00000000" w:rsidRPr="00000000">
        <w:rPr>
          <w:rFonts w:ascii="Lato" w:cs="Lato" w:eastAsia="Lato" w:hAnsi="Lato"/>
          <w:color w:val="434343"/>
          <w:sz w:val="22"/>
          <w:szCs w:val="22"/>
          <w:rtl w:val="0"/>
        </w:rPr>
        <w:t xml:space="preserve"> .</w:t>
      </w:r>
      <w:r w:rsidDel="00000000" w:rsidR="00000000" w:rsidRPr="00000000">
        <w:rPr>
          <w:rtl w:val="0"/>
        </w:rPr>
      </w:r>
    </w:p>
    <w:p w:rsidR="00000000" w:rsidDel="00000000" w:rsidP="00000000" w:rsidRDefault="00000000" w:rsidRPr="00000000" w14:paraId="00000051">
      <w:pPr>
        <w:numPr>
          <w:ilvl w:val="0"/>
          <w:numId w:val="4"/>
        </w:numPr>
        <w:spacing w:after="200" w:before="200" w:lineRule="auto"/>
        <w:ind w:left="-283.46456692913375" w:right="-430.8661417322827" w:firstLine="0"/>
        <w:jc w:val="both"/>
        <w:rPr>
          <w:rFonts w:ascii="Lato" w:cs="Lato" w:eastAsia="Lato" w:hAnsi="Lato"/>
          <w:color w:val="434343"/>
          <w:sz w:val="22"/>
          <w:szCs w:val="22"/>
          <w:u w:val="none"/>
        </w:rPr>
      </w:pPr>
      <w:r w:rsidDel="00000000" w:rsidR="00000000" w:rsidRPr="00000000">
        <w:rPr>
          <w:rFonts w:ascii="Lato" w:cs="Lato" w:eastAsia="Lato" w:hAnsi="Lato"/>
          <w:color w:val="434343"/>
          <w:sz w:val="22"/>
          <w:szCs w:val="22"/>
          <w:rtl w:val="0"/>
        </w:rPr>
        <w:t xml:space="preserve">These situations constitute a violation of the right to health, protected by Article 12 of the ICESCR, as well as the right to information and the principle of non-discrimination. The Committee has stated in its General Observation No. 22 that States parties must guarantee the availability and accessibility of legal abortion services, eliminate legal and practical barriers that impede access, and ensure access to comprehensive, evidence-based, and culturally appropriate information.</w:t>
      </w:r>
      <w:r w:rsidDel="00000000" w:rsidR="00000000" w:rsidRPr="00000000">
        <w:rPr>
          <w:rtl w:val="0"/>
        </w:rPr>
      </w:r>
    </w:p>
    <w:p w:rsidR="00000000" w:rsidDel="00000000" w:rsidP="00000000" w:rsidRDefault="00000000" w:rsidRPr="00000000" w14:paraId="00000052">
      <w:pPr>
        <w:numPr>
          <w:ilvl w:val="0"/>
          <w:numId w:val="4"/>
        </w:numPr>
        <w:spacing w:after="200" w:before="200" w:lineRule="auto"/>
        <w:ind w:left="-283.46456692913375" w:right="-430.8661417322827" w:firstLine="0"/>
        <w:jc w:val="both"/>
        <w:rPr>
          <w:rFonts w:ascii="Lato" w:cs="Lato" w:eastAsia="Lato" w:hAnsi="Lato"/>
          <w:b w:val="1"/>
          <w:color w:val="434343"/>
          <w:sz w:val="22"/>
          <w:szCs w:val="22"/>
        </w:rPr>
      </w:pPr>
      <w:r w:rsidDel="00000000" w:rsidR="00000000" w:rsidRPr="00000000">
        <w:rPr>
          <w:rFonts w:ascii="Lato" w:cs="Lato" w:eastAsia="Lato" w:hAnsi="Lato"/>
          <w:b w:val="1"/>
          <w:color w:val="434343"/>
          <w:sz w:val="22"/>
          <w:szCs w:val="22"/>
          <w:rtl w:val="0"/>
        </w:rPr>
        <w:t xml:space="preserve">Recommendations:</w:t>
      </w:r>
    </w:p>
    <w:p w:rsidR="00000000" w:rsidDel="00000000" w:rsidP="00000000" w:rsidRDefault="00000000" w:rsidRPr="00000000" w14:paraId="0000005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shd w:fill="auto" w:val="clear"/>
          <w:vertAlign w:val="baseline"/>
        </w:rPr>
      </w:pPr>
      <w:r w:rsidDel="00000000" w:rsidR="00000000" w:rsidRPr="00000000">
        <w:rPr>
          <w:rFonts w:ascii="Lato" w:cs="Lato" w:eastAsia="Lato" w:hAnsi="Lato"/>
          <w:color w:val="434343"/>
          <w:sz w:val="22"/>
          <w:szCs w:val="22"/>
          <w:rtl w:val="0"/>
        </w:rPr>
        <w:t xml:space="preserve">Apply strict justification requirements to prevent the general use of conscientious objection by doctors who refuse to perform abortions, particularly in cases of teenage pregnancies, and ensure that these measures also apply to medical personnel in private clinics.</w:t>
      </w:r>
      <w:r w:rsidDel="00000000" w:rsidR="00000000" w:rsidRPr="00000000">
        <w:rPr>
          <w:rtl w:val="0"/>
        </w:rPr>
      </w:r>
    </w:p>
    <w:p w:rsidR="00000000" w:rsidDel="00000000" w:rsidP="00000000" w:rsidRDefault="00000000" w:rsidRPr="00000000" w14:paraId="0000005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shd w:fill="auto" w:val="clear"/>
          <w:vertAlign w:val="baseline"/>
        </w:rPr>
      </w:pPr>
      <w:r w:rsidDel="00000000" w:rsidR="00000000" w:rsidRPr="00000000">
        <w:rPr>
          <w:rFonts w:ascii="Lato" w:cs="Lato" w:eastAsia="Lato" w:hAnsi="Lato"/>
          <w:color w:val="434343"/>
          <w:sz w:val="22"/>
          <w:szCs w:val="22"/>
          <w:rtl w:val="0"/>
        </w:rPr>
        <w:t xml:space="preserve">Repeal the concept of institutional conscientious objection from Law No. 21.030</w:t>
      </w:r>
      <w:r w:rsidDel="00000000" w:rsidR="00000000" w:rsidRPr="00000000">
        <w:rPr>
          <w:rtl w:val="0"/>
        </w:rPr>
      </w:r>
    </w:p>
    <w:p w:rsidR="00000000" w:rsidDel="00000000" w:rsidP="00000000" w:rsidRDefault="00000000" w:rsidRPr="00000000" w14:paraId="0000005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shd w:fill="auto" w:val="clear"/>
          <w:vertAlign w:val="baseline"/>
        </w:rPr>
      </w:pPr>
      <w:r w:rsidDel="00000000" w:rsidR="00000000" w:rsidRPr="00000000">
        <w:rPr>
          <w:rFonts w:ascii="Lato" w:cs="Lato" w:eastAsia="Lato" w:hAnsi="Lato"/>
          <w:color w:val="434343"/>
          <w:sz w:val="22"/>
          <w:szCs w:val="22"/>
          <w:rtl w:val="0"/>
        </w:rPr>
        <w:t xml:space="preserve">Ensure that women, including girls and adolescents under the age of 18, have access to safe abortion and post-abortion care services, and that health services provide psychological support to victims of sexual violence.</w:t>
      </w:r>
      <w:r w:rsidDel="00000000" w:rsidR="00000000" w:rsidRPr="00000000">
        <w:rPr>
          <w:rtl w:val="0"/>
        </w:rPr>
      </w:r>
    </w:p>
    <w:p w:rsidR="00000000" w:rsidDel="00000000" w:rsidP="00000000" w:rsidRDefault="00000000" w:rsidRPr="00000000" w14:paraId="0000005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shd w:fill="auto" w:val="clear"/>
          <w:vertAlign w:val="baseline"/>
        </w:rPr>
      </w:pPr>
      <w:r w:rsidDel="00000000" w:rsidR="00000000" w:rsidRPr="00000000">
        <w:rPr>
          <w:rFonts w:ascii="Lato" w:cs="Lato" w:eastAsia="Lato" w:hAnsi="Lato"/>
          <w:color w:val="434343"/>
          <w:sz w:val="22"/>
          <w:szCs w:val="22"/>
          <w:rtl w:val="0"/>
        </w:rPr>
        <w:t xml:space="preserve">Simplify administrative processes or strengthen training to reduce legal concerns that may discourage professionals from participating.</w:t>
      </w:r>
      <w:r w:rsidDel="00000000" w:rsidR="00000000" w:rsidRPr="00000000">
        <w:rPr>
          <w:rtl w:val="0"/>
        </w:rPr>
      </w:r>
    </w:p>
    <w:p w:rsidR="00000000" w:rsidDel="00000000" w:rsidP="00000000" w:rsidRDefault="00000000" w:rsidRPr="00000000" w14:paraId="0000005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shd w:fill="auto" w:val="clear"/>
          <w:vertAlign w:val="baseline"/>
        </w:rPr>
      </w:pPr>
      <w:r w:rsidDel="00000000" w:rsidR="00000000" w:rsidRPr="00000000">
        <w:rPr>
          <w:rFonts w:ascii="Lato" w:cs="Lato" w:eastAsia="Lato" w:hAnsi="Lato"/>
          <w:color w:val="434343"/>
          <w:sz w:val="22"/>
          <w:szCs w:val="22"/>
          <w:rtl w:val="0"/>
        </w:rPr>
        <w:t xml:space="preserve">Ensure that modern contraceptive methods are universal, affordable, and available to all women and girls, particularly in rural or remote areas.</w:t>
      </w:r>
      <w:r w:rsidDel="00000000" w:rsidR="00000000" w:rsidRPr="00000000">
        <w:rPr>
          <w:rtl w:val="0"/>
        </w:rPr>
      </w:r>
    </w:p>
    <w:p w:rsidR="00000000" w:rsidDel="00000000" w:rsidP="00000000" w:rsidRDefault="00000000" w:rsidRPr="00000000" w14:paraId="0000005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shd w:fill="auto" w:val="clear"/>
          <w:vertAlign w:val="baseline"/>
        </w:rPr>
      </w:pPr>
      <w:r w:rsidDel="00000000" w:rsidR="00000000" w:rsidRPr="00000000">
        <w:rPr>
          <w:rFonts w:ascii="Lato" w:cs="Lato" w:eastAsia="Lato" w:hAnsi="Lato"/>
          <w:color w:val="434343"/>
          <w:sz w:val="22"/>
          <w:szCs w:val="22"/>
          <w:rtl w:val="0"/>
        </w:rPr>
        <w:t xml:space="preserve">Take measures to ensure that public health care services, especially gynecological services, are accessible to all women, including migrants, indigenous women, and women with disabilities.</w:t>
      </w:r>
      <w:r w:rsidDel="00000000" w:rsidR="00000000" w:rsidRPr="00000000">
        <w:rPr>
          <w:rtl w:val="0"/>
        </w:rPr>
      </w:r>
    </w:p>
    <w:p w:rsidR="00000000" w:rsidDel="00000000" w:rsidP="00000000" w:rsidRDefault="00000000" w:rsidRPr="00000000" w14:paraId="0000005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shd w:fill="auto" w:val="clear"/>
          <w:vertAlign w:val="baseline"/>
        </w:rPr>
      </w:pPr>
      <w:r w:rsidDel="00000000" w:rsidR="00000000" w:rsidRPr="00000000">
        <w:rPr>
          <w:rFonts w:ascii="Lato" w:cs="Lato" w:eastAsia="Lato" w:hAnsi="Lato"/>
          <w:color w:val="434343"/>
          <w:sz w:val="22"/>
          <w:szCs w:val="22"/>
          <w:rtl w:val="0"/>
        </w:rPr>
        <w:t xml:space="preserve">Ensure the full implementation of the National Standards on Fertility Regulation, guaranteeing that medical personnel request fully informed consent before performing sterilizations, that professionals who perform sterilizations without such consent are punished, and that monetary reparation and compensation are offered to victims of non-consensual sterilizations.</w:t>
      </w:r>
      <w:r w:rsidDel="00000000" w:rsidR="00000000" w:rsidRPr="00000000">
        <w:rPr>
          <w:rtl w:val="0"/>
        </w:rPr>
      </w:r>
    </w:p>
    <w:p w:rsidR="00000000" w:rsidDel="00000000" w:rsidP="00000000" w:rsidRDefault="00000000" w:rsidRPr="00000000" w14:paraId="0000005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shd w:fill="auto" w:val="clear"/>
          <w:vertAlign w:val="baseline"/>
        </w:rPr>
      </w:pPr>
      <w:r w:rsidDel="00000000" w:rsidR="00000000" w:rsidRPr="00000000">
        <w:rPr>
          <w:rFonts w:ascii="Lato" w:cs="Lato" w:eastAsia="Lato" w:hAnsi="Lato"/>
          <w:color w:val="434343"/>
          <w:sz w:val="22"/>
          <w:szCs w:val="22"/>
          <w:rtl w:val="0"/>
        </w:rPr>
        <w:t xml:space="preserve">Implement training for health personnel and institutions responsible for monitoring and enforcing compliance with the IVE Law, in order to strengthen knowledge of current regulations and promote an active role in inspection work, without limiting themselves to the guidelines established in the Inspection Manual.</w:t>
      </w:r>
      <w:r w:rsidDel="00000000" w:rsidR="00000000" w:rsidRPr="00000000">
        <w:rPr>
          <w:rtl w:val="0"/>
        </w:rPr>
      </w:r>
    </w:p>
    <w:p w:rsidR="00000000" w:rsidDel="00000000" w:rsidP="00000000" w:rsidRDefault="00000000" w:rsidRPr="00000000" w14:paraId="0000005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shd w:fill="auto" w:val="clear"/>
          <w:vertAlign w:val="baseline"/>
        </w:rPr>
      </w:pPr>
      <w:r w:rsidDel="00000000" w:rsidR="00000000" w:rsidRPr="00000000">
        <w:rPr>
          <w:rFonts w:ascii="Lato" w:cs="Lato" w:eastAsia="Lato" w:hAnsi="Lato"/>
          <w:color w:val="434343"/>
          <w:sz w:val="22"/>
          <w:szCs w:val="22"/>
          <w:rtl w:val="0"/>
        </w:rPr>
        <w:t xml:space="preserve">Review and update the inspection guidelines in the Inspection Manual through a participatory process, so that they enable comprehensive oversight of the IVE pathway. </w:t>
      </w:r>
      <w:r w:rsidDel="00000000" w:rsidR="00000000" w:rsidRPr="00000000">
        <w:rPr>
          <w:rtl w:val="0"/>
        </w:rPr>
      </w:r>
    </w:p>
    <w:p w:rsidR="00000000" w:rsidDel="00000000" w:rsidP="00000000" w:rsidRDefault="00000000" w:rsidRPr="00000000" w14:paraId="0000005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shd w:fill="auto" w:val="clear"/>
          <w:vertAlign w:val="baseline"/>
        </w:rPr>
      </w:pPr>
      <w:r w:rsidDel="00000000" w:rsidR="00000000" w:rsidRPr="00000000">
        <w:rPr>
          <w:rFonts w:ascii="Lato" w:cs="Lato" w:eastAsia="Lato" w:hAnsi="Lato"/>
          <w:color w:val="434343"/>
          <w:sz w:val="22"/>
          <w:szCs w:val="22"/>
          <w:rtl w:val="0"/>
        </w:rPr>
        <w:t xml:space="preserve">Promote the adequate recording of information on complaints and inspections by the health authorities responsible for monitoring and enforcing compliance with the IVE Law. This involves promoting the implementation of data disaggregation mechanisms with a human rights and gender approach.</w:t>
      </w:r>
      <w:r w:rsidDel="00000000" w:rsidR="00000000" w:rsidRPr="00000000">
        <w:rPr>
          <w:rtl w:val="0"/>
        </w:rPr>
      </w:r>
    </w:p>
    <w:p w:rsidR="00000000" w:rsidDel="00000000" w:rsidP="00000000" w:rsidRDefault="00000000" w:rsidRPr="00000000" w14:paraId="0000005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shd w:fill="auto" w:val="clear"/>
          <w:vertAlign w:val="baseline"/>
        </w:rPr>
      </w:pPr>
      <w:r w:rsidDel="00000000" w:rsidR="00000000" w:rsidRPr="00000000">
        <w:rPr>
          <w:rFonts w:ascii="Lato" w:cs="Lato" w:eastAsia="Lato" w:hAnsi="Lato"/>
          <w:color w:val="434343"/>
          <w:sz w:val="22"/>
          <w:szCs w:val="22"/>
          <w:rtl w:val="0"/>
        </w:rPr>
        <w:t xml:space="preserve">Review the IVE Law, especially Article 119 quater of the Chilean Health Code, to lift the ban on the dissemination of information on abortion in physical or digital media, based on good practices in other States and relevant international standards on sexual and reproductive health, freedom of expression, the right to information, digital rights, and access to the internet. </w:t>
      </w:r>
      <w:r w:rsidDel="00000000" w:rsidR="00000000" w:rsidRPr="00000000">
        <w:rPr>
          <w:rtl w:val="0"/>
        </w:rPr>
      </w:r>
    </w:p>
    <w:p w:rsidR="00000000" w:rsidDel="00000000" w:rsidP="00000000" w:rsidRDefault="00000000" w:rsidRPr="00000000" w14:paraId="0000005E">
      <w:pPr>
        <w:pStyle w:val="Heading1"/>
        <w:spacing w:after="200" w:before="200" w:lineRule="auto"/>
        <w:ind w:left="-283.46456692913375" w:right="-430.8661417322827" w:firstLine="0"/>
        <w:rPr>
          <w:color w:val="434343"/>
        </w:rPr>
      </w:pPr>
      <w:bookmarkStart w:colFirst="0" w:colLast="0" w:name="_heading=h.f1w86wz0aivz" w:id="7"/>
      <w:bookmarkEnd w:id="7"/>
      <w:r w:rsidDel="00000000" w:rsidR="00000000" w:rsidRPr="00000000">
        <w:rPr>
          <w:rFonts w:ascii="Lato" w:cs="Lato" w:eastAsia="Lato" w:hAnsi="Lato"/>
          <w:color w:val="434343"/>
          <w:sz w:val="26"/>
          <w:szCs w:val="26"/>
          <w:rtl w:val="0"/>
        </w:rPr>
        <w:t xml:space="preserve">Article 13 – Right to Education: On comprehensive sexuality education</w:t>
      </w:r>
      <w:r w:rsidDel="00000000" w:rsidR="00000000" w:rsidRPr="00000000">
        <w:rPr>
          <w:rtl w:val="0"/>
        </w:rPr>
      </w:r>
    </w:p>
    <w:p w:rsidR="00000000" w:rsidDel="00000000" w:rsidP="00000000" w:rsidRDefault="00000000" w:rsidRPr="00000000" w14:paraId="0000005F">
      <w:pPr>
        <w:numPr>
          <w:ilvl w:val="0"/>
          <w:numId w:val="4"/>
        </w:numPr>
        <w:spacing w:after="200" w:before="200" w:lineRule="auto"/>
        <w:ind w:left="-283.46456692913375" w:right="-430.8661417322827" w:firstLine="0"/>
        <w:jc w:val="both"/>
        <w:rPr>
          <w:rFonts w:ascii="Lato" w:cs="Lato" w:eastAsia="Lato" w:hAnsi="Lato"/>
          <w:color w:val="434343"/>
          <w:sz w:val="22"/>
          <w:szCs w:val="22"/>
          <w:u w:val="none"/>
        </w:rPr>
      </w:pPr>
      <w:r w:rsidDel="00000000" w:rsidR="00000000" w:rsidRPr="00000000">
        <w:rPr>
          <w:rFonts w:ascii="Lato" w:cs="Lato" w:eastAsia="Lato" w:hAnsi="Lato"/>
          <w:color w:val="434343"/>
          <w:sz w:val="22"/>
          <w:szCs w:val="22"/>
          <w:rtl w:val="0"/>
        </w:rPr>
        <w:t xml:space="preserve">In 2021, 56% of teachers in Chile had not received training in sex education, according to the Fundación Chile necesita ESI (Chile Needs Comprehensive Sex Education)</w:t>
      </w:r>
      <w:r w:rsidDel="00000000" w:rsidR="00000000" w:rsidRPr="00000000">
        <w:rPr>
          <w:rFonts w:ascii="Lato" w:cs="Lato" w:eastAsia="Lato" w:hAnsi="Lato"/>
          <w:color w:val="434343"/>
          <w:sz w:val="22"/>
          <w:szCs w:val="22"/>
          <w:vertAlign w:val="superscript"/>
        </w:rPr>
        <w:footnoteReference w:customMarkFollows="0" w:id="21"/>
      </w:r>
      <w:r w:rsidDel="00000000" w:rsidR="00000000" w:rsidRPr="00000000">
        <w:rPr>
          <w:rFonts w:ascii="Lato" w:cs="Lato" w:eastAsia="Lato" w:hAnsi="Lato"/>
          <w:color w:val="434343"/>
          <w:sz w:val="22"/>
          <w:szCs w:val="22"/>
          <w:rtl w:val="0"/>
        </w:rPr>
        <w:t xml:space="preserve">. This situation highlights a serious failure on the part of the State to guarantee comprehensive, scientific, and secular sex education at all levels of the education system, following international human rights standards. The populations most affected by this deficiency are children and adolescents from vulnerable contexts, including rural areas, migrant populations, and LGBTIQ+ students. Although Law No. 20.418 mandates the existence of programs on Affectivity, Sexuality, and Gender in secondary education, their implementation depends on the criteria of each educational establishment, without oversight or mandatory minimum content</w:t>
      </w:r>
      <w:r w:rsidDel="00000000" w:rsidR="00000000" w:rsidRPr="00000000">
        <w:rPr>
          <w:rFonts w:ascii="Lato" w:cs="Lato" w:eastAsia="Lato" w:hAnsi="Lato"/>
          <w:color w:val="434343"/>
          <w:sz w:val="22"/>
          <w:szCs w:val="22"/>
          <w:vertAlign w:val="superscript"/>
        </w:rPr>
        <w:footnoteReference w:customMarkFollows="0" w:id="22"/>
      </w:r>
      <w:r w:rsidDel="00000000" w:rsidR="00000000" w:rsidRPr="00000000">
        <w:rPr>
          <w:rFonts w:ascii="Lato" w:cs="Lato" w:eastAsia="Lato" w:hAnsi="Lato"/>
          <w:color w:val="434343"/>
          <w:sz w:val="22"/>
          <w:szCs w:val="22"/>
          <w:rtl w:val="0"/>
        </w:rPr>
        <w:t xml:space="preserve">.</w:t>
      </w:r>
      <w:r w:rsidDel="00000000" w:rsidR="00000000" w:rsidRPr="00000000">
        <w:rPr>
          <w:rtl w:val="0"/>
        </w:rPr>
      </w:r>
    </w:p>
    <w:p w:rsidR="00000000" w:rsidDel="00000000" w:rsidP="00000000" w:rsidRDefault="00000000" w:rsidRPr="00000000" w14:paraId="00000060">
      <w:pPr>
        <w:numPr>
          <w:ilvl w:val="0"/>
          <w:numId w:val="4"/>
        </w:numPr>
        <w:spacing w:after="200" w:before="200" w:lineRule="auto"/>
        <w:ind w:left="-283.46456692913375" w:right="-430.8661417322827" w:firstLine="0"/>
        <w:jc w:val="both"/>
        <w:rPr>
          <w:rFonts w:ascii="Lato" w:cs="Lato" w:eastAsia="Lato" w:hAnsi="Lato"/>
          <w:color w:val="434343"/>
          <w:sz w:val="22"/>
          <w:szCs w:val="22"/>
          <w:u w:val="none"/>
        </w:rPr>
      </w:pPr>
      <w:r w:rsidDel="00000000" w:rsidR="00000000" w:rsidRPr="00000000">
        <w:rPr>
          <w:rFonts w:ascii="Lato" w:cs="Lato" w:eastAsia="Lato" w:hAnsi="Lato"/>
          <w:color w:val="434343"/>
          <w:sz w:val="22"/>
          <w:szCs w:val="22"/>
          <w:rtl w:val="0"/>
        </w:rPr>
        <w:t xml:space="preserve">Furthermore, Law No. 21,430, which establishes a System of Guarantees for the Rights of Children and Adolescents, mandates in Article 41 that the State guarantee comprehensive sexual and affective education</w:t>
      </w:r>
      <w:r w:rsidDel="00000000" w:rsidR="00000000" w:rsidRPr="00000000">
        <w:rPr>
          <w:rFonts w:ascii="Lato" w:cs="Lato" w:eastAsia="Lato" w:hAnsi="Lato"/>
          <w:color w:val="434343"/>
          <w:sz w:val="22"/>
          <w:szCs w:val="22"/>
          <w:vertAlign w:val="superscript"/>
        </w:rPr>
        <w:footnoteReference w:customMarkFollows="0" w:id="23"/>
      </w:r>
      <w:r w:rsidDel="00000000" w:rsidR="00000000" w:rsidRPr="00000000">
        <w:rPr>
          <w:rFonts w:ascii="Lato" w:cs="Lato" w:eastAsia="Lato" w:hAnsi="Lato"/>
          <w:color w:val="434343"/>
          <w:sz w:val="22"/>
          <w:szCs w:val="22"/>
          <w:rtl w:val="0"/>
        </w:rPr>
        <w:t xml:space="preserve">. However, the National Policy and its Action Plan (2024–2032) barely mention the development of a strategy in this area, without providing guarantees of implementation or intersectoral institutionality. In addition, the curriculum update proposal presented in 2023 was evaluated by the Chile Needs ESI Foundation, which warned of persistent weaknesses such as limited progression of content, lack of mainstreaming, and weak incorporation of topics such as consent, pleasure, self-care, and diversity</w:t>
      </w:r>
      <w:r w:rsidDel="00000000" w:rsidR="00000000" w:rsidRPr="00000000">
        <w:rPr>
          <w:rFonts w:ascii="Lato" w:cs="Lato" w:eastAsia="Lato" w:hAnsi="Lato"/>
          <w:color w:val="434343"/>
          <w:sz w:val="22"/>
          <w:szCs w:val="22"/>
          <w:vertAlign w:val="superscript"/>
        </w:rPr>
        <w:footnoteReference w:customMarkFollows="0" w:id="24"/>
      </w:r>
      <w:r w:rsidDel="00000000" w:rsidR="00000000" w:rsidRPr="00000000">
        <w:rPr>
          <w:rFonts w:ascii="Lato" w:cs="Lato" w:eastAsia="Lato" w:hAnsi="Lato"/>
          <w:color w:val="434343"/>
          <w:sz w:val="22"/>
          <w:szCs w:val="22"/>
          <w:rtl w:val="0"/>
        </w:rPr>
        <w:t xml:space="preserve">.</w:t>
      </w:r>
      <w:r w:rsidDel="00000000" w:rsidR="00000000" w:rsidRPr="00000000">
        <w:rPr>
          <w:rtl w:val="0"/>
        </w:rPr>
      </w:r>
    </w:p>
    <w:p w:rsidR="00000000" w:rsidDel="00000000" w:rsidP="00000000" w:rsidRDefault="00000000" w:rsidRPr="00000000" w14:paraId="00000061">
      <w:pPr>
        <w:numPr>
          <w:ilvl w:val="0"/>
          <w:numId w:val="4"/>
        </w:numPr>
        <w:spacing w:after="200" w:before="200" w:lineRule="auto"/>
        <w:ind w:left="-283.46456692913375" w:right="-430.8661417322827" w:firstLine="0"/>
        <w:jc w:val="both"/>
        <w:rPr>
          <w:rFonts w:ascii="Lato" w:cs="Lato" w:eastAsia="Lato" w:hAnsi="Lato"/>
          <w:color w:val="434343"/>
          <w:sz w:val="22"/>
          <w:szCs w:val="22"/>
          <w:u w:val="none"/>
        </w:rPr>
      </w:pPr>
      <w:r w:rsidDel="00000000" w:rsidR="00000000" w:rsidRPr="00000000">
        <w:rPr>
          <w:rFonts w:ascii="Lato" w:cs="Lato" w:eastAsia="Lato" w:hAnsi="Lato"/>
          <w:color w:val="434343"/>
          <w:sz w:val="22"/>
          <w:szCs w:val="22"/>
          <w:rtl w:val="0"/>
        </w:rPr>
        <w:t xml:space="preserve">This lack of sex education is also evident in the perceptions of educational communities. The 2025 Diagnosis on the Rights of Children and Adolescents, prepared by the Children's Ombudsman's Office, reveals that 41.5% of children and adolescents identify the lack of sex education as their main concern, while only 57% received sexuality classes during the last year, of which barely half were satisfied with the content covered</w:t>
      </w:r>
      <w:r w:rsidDel="00000000" w:rsidR="00000000" w:rsidRPr="00000000">
        <w:rPr>
          <w:rFonts w:ascii="Lato" w:cs="Lato" w:eastAsia="Lato" w:hAnsi="Lato"/>
          <w:color w:val="434343"/>
          <w:sz w:val="22"/>
          <w:szCs w:val="22"/>
          <w:vertAlign w:val="superscript"/>
        </w:rPr>
        <w:footnoteReference w:customMarkFollows="0" w:id="25"/>
      </w:r>
      <w:r w:rsidDel="00000000" w:rsidR="00000000" w:rsidRPr="00000000">
        <w:rPr>
          <w:rFonts w:ascii="Lato" w:cs="Lato" w:eastAsia="Lato" w:hAnsi="Lato"/>
          <w:color w:val="434343"/>
          <w:sz w:val="22"/>
          <w:szCs w:val="22"/>
          <w:rtl w:val="0"/>
        </w:rPr>
        <w:t xml:space="preserve">.</w:t>
      </w:r>
      <w:r w:rsidDel="00000000" w:rsidR="00000000" w:rsidRPr="00000000">
        <w:rPr>
          <w:rtl w:val="0"/>
        </w:rPr>
      </w:r>
    </w:p>
    <w:p w:rsidR="00000000" w:rsidDel="00000000" w:rsidP="00000000" w:rsidRDefault="00000000" w:rsidRPr="00000000" w14:paraId="00000062">
      <w:pPr>
        <w:numPr>
          <w:ilvl w:val="0"/>
          <w:numId w:val="4"/>
        </w:numPr>
        <w:spacing w:after="200" w:before="200" w:lineRule="auto"/>
        <w:ind w:left="-283.46456692913375" w:right="-430.8661417322827" w:firstLine="0"/>
        <w:jc w:val="both"/>
        <w:rPr>
          <w:rFonts w:ascii="Lato" w:cs="Lato" w:eastAsia="Lato" w:hAnsi="Lato"/>
          <w:color w:val="434343"/>
          <w:sz w:val="22"/>
          <w:szCs w:val="22"/>
          <w:u w:val="none"/>
        </w:rPr>
      </w:pPr>
      <w:r w:rsidDel="00000000" w:rsidR="00000000" w:rsidRPr="00000000">
        <w:rPr>
          <w:rFonts w:ascii="Lato" w:cs="Lato" w:eastAsia="Lato" w:hAnsi="Lato"/>
          <w:color w:val="434343"/>
          <w:sz w:val="22"/>
          <w:szCs w:val="22"/>
          <w:rtl w:val="0"/>
        </w:rPr>
        <w:t xml:space="preserve">This situation constitutes a violation of the right to education, enshrined in Article 13 of the International Covenant on Economic, Social, and Cultural Rights. In its 2015 Concluding Observations on Chile, the Committee recommended ensuring comprehensive and rights-based sex education, promoting gender equality, and the prevention of violence</w:t>
      </w:r>
      <w:r w:rsidDel="00000000" w:rsidR="00000000" w:rsidRPr="00000000">
        <w:rPr>
          <w:rFonts w:ascii="Lato" w:cs="Lato" w:eastAsia="Lato" w:hAnsi="Lato"/>
          <w:color w:val="434343"/>
          <w:sz w:val="22"/>
          <w:szCs w:val="22"/>
          <w:vertAlign w:val="superscript"/>
        </w:rPr>
        <w:footnoteReference w:customMarkFollows="0" w:id="26"/>
      </w:r>
      <w:r w:rsidDel="00000000" w:rsidR="00000000" w:rsidRPr="00000000">
        <w:rPr>
          <w:rFonts w:ascii="Lato" w:cs="Lato" w:eastAsia="Lato" w:hAnsi="Lato"/>
          <w:color w:val="434343"/>
          <w:sz w:val="22"/>
          <w:szCs w:val="22"/>
          <w:rtl w:val="0"/>
        </w:rPr>
        <w:t xml:space="preserve">. In addition, the Committee on the Rights of the Child has reiterated the State's obligation to integrate sex education as a compulsory part of the school curriculum, in line with General Comment No. 20 on adolescence</w:t>
      </w:r>
      <w:r w:rsidDel="00000000" w:rsidR="00000000" w:rsidRPr="00000000">
        <w:rPr>
          <w:rFonts w:ascii="Lato" w:cs="Lato" w:eastAsia="Lato" w:hAnsi="Lato"/>
          <w:color w:val="434343"/>
          <w:sz w:val="22"/>
          <w:szCs w:val="22"/>
          <w:vertAlign w:val="superscript"/>
        </w:rPr>
        <w:footnoteReference w:customMarkFollows="0" w:id="27"/>
      </w:r>
      <w:r w:rsidDel="00000000" w:rsidR="00000000" w:rsidRPr="00000000">
        <w:rPr>
          <w:rFonts w:ascii="Lato" w:cs="Lato" w:eastAsia="Lato" w:hAnsi="Lato"/>
          <w:color w:val="434343"/>
          <w:sz w:val="22"/>
          <w:szCs w:val="22"/>
          <w:rtl w:val="0"/>
        </w:rPr>
        <w:t xml:space="preserve">. Similarly, in the report of the Special Rapporteur on the right of everyone to the enjoyment of the highest attainable standard of physical and mental health, on her recent visit to Chile, she highlighted her concern about the absence of comprehensive sexuality education programs in schools, urging the adoption of a comprehensive plan in this area and specifically recommending "L) Formulate and promote comprehensive sexuality education programs in public schools."</w:t>
      </w:r>
      <w:r w:rsidDel="00000000" w:rsidR="00000000" w:rsidRPr="00000000">
        <w:rPr>
          <w:rFonts w:ascii="Lato" w:cs="Lato" w:eastAsia="Lato" w:hAnsi="Lato"/>
          <w:color w:val="434343"/>
          <w:sz w:val="22"/>
          <w:szCs w:val="22"/>
          <w:vertAlign w:val="superscript"/>
        </w:rPr>
        <w:footnoteReference w:customMarkFollows="0" w:id="28"/>
      </w:r>
      <w:r w:rsidDel="00000000" w:rsidR="00000000" w:rsidRPr="00000000">
        <w:rPr>
          <w:rFonts w:ascii="Lato" w:cs="Lato" w:eastAsia="Lato" w:hAnsi="Lato"/>
          <w:color w:val="434343"/>
          <w:sz w:val="22"/>
          <w:szCs w:val="22"/>
          <w:rtl w:val="0"/>
        </w:rPr>
        <w:t xml:space="preserve"> .</w:t>
      </w:r>
      <w:r w:rsidDel="00000000" w:rsidR="00000000" w:rsidRPr="00000000">
        <w:rPr>
          <w:rtl w:val="0"/>
        </w:rPr>
      </w:r>
    </w:p>
    <w:p w:rsidR="00000000" w:rsidDel="00000000" w:rsidP="00000000" w:rsidRDefault="00000000" w:rsidRPr="00000000" w14:paraId="00000063">
      <w:pPr>
        <w:numPr>
          <w:ilvl w:val="0"/>
          <w:numId w:val="4"/>
        </w:numPr>
        <w:spacing w:after="200" w:before="200" w:lineRule="auto"/>
        <w:ind w:left="-283.46456692913375" w:right="-430.8661417322827" w:firstLine="0"/>
        <w:jc w:val="both"/>
        <w:rPr>
          <w:rFonts w:ascii="Lato" w:cs="Lato" w:eastAsia="Lato" w:hAnsi="Lato"/>
          <w:b w:val="1"/>
          <w:color w:val="434343"/>
          <w:sz w:val="22"/>
          <w:szCs w:val="22"/>
        </w:rPr>
      </w:pPr>
      <w:r w:rsidDel="00000000" w:rsidR="00000000" w:rsidRPr="00000000">
        <w:rPr>
          <w:rFonts w:ascii="Lato" w:cs="Lato" w:eastAsia="Lato" w:hAnsi="Lato"/>
          <w:b w:val="1"/>
          <w:color w:val="434343"/>
          <w:sz w:val="22"/>
          <w:szCs w:val="22"/>
          <w:rtl w:val="0"/>
        </w:rPr>
        <w:t xml:space="preserve">Recommendations:</w:t>
      </w:r>
    </w:p>
    <w:p w:rsidR="00000000" w:rsidDel="00000000" w:rsidP="00000000" w:rsidRDefault="00000000" w:rsidRPr="00000000" w14:paraId="0000006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shd w:fill="auto" w:val="clear"/>
          <w:vertAlign w:val="baseline"/>
        </w:rPr>
      </w:pPr>
      <w:r w:rsidDel="00000000" w:rsidR="00000000" w:rsidRPr="00000000">
        <w:rPr>
          <w:rFonts w:ascii="Lato" w:cs="Lato" w:eastAsia="Lato" w:hAnsi="Lato"/>
          <w:color w:val="434343"/>
          <w:sz w:val="22"/>
          <w:szCs w:val="22"/>
          <w:rtl w:val="0"/>
        </w:rPr>
        <w:t xml:space="preserve">Pass a comprehensive sex education law, mandatory at all educational levels, with progressive and age-appropriate content.</w:t>
      </w:r>
      <w:r w:rsidDel="00000000" w:rsidR="00000000" w:rsidRPr="00000000">
        <w:rPr>
          <w:rtl w:val="0"/>
        </w:rPr>
      </w:r>
    </w:p>
    <w:p w:rsidR="00000000" w:rsidDel="00000000" w:rsidP="00000000" w:rsidRDefault="00000000" w:rsidRPr="00000000" w14:paraId="0000006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shd w:fill="auto" w:val="clear"/>
          <w:vertAlign w:val="baseline"/>
        </w:rPr>
      </w:pPr>
      <w:r w:rsidDel="00000000" w:rsidR="00000000" w:rsidRPr="00000000">
        <w:rPr>
          <w:rFonts w:ascii="Lato" w:cs="Lato" w:eastAsia="Lato" w:hAnsi="Lato"/>
          <w:color w:val="434343"/>
          <w:sz w:val="22"/>
          <w:szCs w:val="22"/>
          <w:rtl w:val="0"/>
        </w:rPr>
        <w:t xml:space="preserve">Incorporate minimum mandatory standards for comprehensive sexuality education into national curriculum guidelines, ensuring the mainstreaming of content such as consent, diversity, self-care, and violence prevention at all educational levels, starting in early childhood education.</w:t>
      </w:r>
      <w:r w:rsidDel="00000000" w:rsidR="00000000" w:rsidRPr="00000000">
        <w:rPr>
          <w:rtl w:val="0"/>
        </w:rPr>
      </w:r>
    </w:p>
    <w:p w:rsidR="00000000" w:rsidDel="00000000" w:rsidP="00000000" w:rsidRDefault="00000000" w:rsidRPr="00000000" w14:paraId="0000006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shd w:fill="auto" w:val="clear"/>
          <w:vertAlign w:val="baseline"/>
        </w:rPr>
      </w:pPr>
      <w:r w:rsidDel="00000000" w:rsidR="00000000" w:rsidRPr="00000000">
        <w:rPr>
          <w:rFonts w:ascii="Lato" w:cs="Lato" w:eastAsia="Lato" w:hAnsi="Lato"/>
          <w:color w:val="434343"/>
          <w:sz w:val="22"/>
          <w:szCs w:val="22"/>
          <w:rtl w:val="0"/>
        </w:rPr>
        <w:t xml:space="preserve">Design and implement a national plan for initial and ongoing training in comprehensive sexuality education for teachers and psychosocial teams, with annual goals and an allocated budget, prioritizing rural areas and educational communities with greater structural inequality.</w:t>
      </w:r>
      <w:r w:rsidDel="00000000" w:rsidR="00000000" w:rsidRPr="00000000">
        <w:rPr>
          <w:rtl w:val="0"/>
        </w:rPr>
      </w:r>
    </w:p>
    <w:p w:rsidR="00000000" w:rsidDel="00000000" w:rsidP="00000000" w:rsidRDefault="00000000" w:rsidRPr="00000000" w14:paraId="0000006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shd w:fill="auto" w:val="clear"/>
          <w:vertAlign w:val="baseline"/>
        </w:rPr>
      </w:pPr>
      <w:r w:rsidDel="00000000" w:rsidR="00000000" w:rsidRPr="00000000">
        <w:rPr>
          <w:rFonts w:ascii="Lato" w:cs="Lato" w:eastAsia="Lato" w:hAnsi="Lato"/>
          <w:color w:val="434343"/>
          <w:sz w:val="22"/>
          <w:szCs w:val="22"/>
          <w:rtl w:val="0"/>
        </w:rPr>
        <w:t xml:space="preserve">Establish a system to monitor and evaluate the implementation of content on affectivity, sexuality, and gender in educational institutions, including indicators of compliance and active participation by students, teachers, and parents.</w:t>
      </w:r>
      <w:r w:rsidDel="00000000" w:rsidR="00000000" w:rsidRPr="00000000">
        <w:rPr>
          <w:rtl w:val="0"/>
        </w:rPr>
      </w:r>
    </w:p>
    <w:p w:rsidR="00000000" w:rsidDel="00000000" w:rsidP="00000000" w:rsidRDefault="00000000" w:rsidRPr="00000000" w14:paraId="0000006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shd w:fill="auto" w:val="clear"/>
          <w:vertAlign w:val="baseline"/>
        </w:rPr>
      </w:pPr>
      <w:r w:rsidDel="00000000" w:rsidR="00000000" w:rsidRPr="00000000">
        <w:rPr>
          <w:rFonts w:ascii="Lato" w:cs="Lato" w:eastAsia="Lato" w:hAnsi="Lato"/>
          <w:color w:val="434343"/>
          <w:sz w:val="22"/>
          <w:szCs w:val="22"/>
          <w:rtl w:val="0"/>
        </w:rPr>
        <w:t xml:space="preserve">Reform the Action Plan of the National Policy on Guarantees of the Rights of Children and Adolescents, incorporating a specific focus on comprehensive sexuality education, with verifiable goals, budget allocation, and intersectoral institutional responsibility for its implementation and evaluation.</w:t>
      </w:r>
      <w:r w:rsidDel="00000000" w:rsidR="00000000" w:rsidRPr="00000000">
        <w:rPr>
          <w:rtl w:val="0"/>
        </w:rPr>
      </w:r>
    </w:p>
    <w:p w:rsidR="00000000" w:rsidDel="00000000" w:rsidP="00000000" w:rsidRDefault="00000000" w:rsidRPr="00000000" w14:paraId="0000006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shd w:fill="auto" w:val="clear"/>
          <w:vertAlign w:val="baseline"/>
        </w:rPr>
      </w:pPr>
      <w:r w:rsidDel="00000000" w:rsidR="00000000" w:rsidRPr="00000000">
        <w:rPr>
          <w:rFonts w:ascii="Lato" w:cs="Lato" w:eastAsia="Lato" w:hAnsi="Lato"/>
          <w:color w:val="434343"/>
          <w:sz w:val="22"/>
          <w:szCs w:val="22"/>
          <w:rtl w:val="0"/>
        </w:rPr>
        <w:t xml:space="preserve">Conduct, annually starting in 2025, a participatory national assessment of children's and adolescents' perceptions of the sex education they receive, disaggregated by territory, age, gender, sexual orientation, gender identity, migrant origin, or disability status, to strengthen the inclusive and non-discriminatory approach in education policy.</w:t>
      </w:r>
      <w:r w:rsidDel="00000000" w:rsidR="00000000" w:rsidRPr="00000000">
        <w:rPr>
          <w:rtl w:val="0"/>
        </w:rPr>
      </w:r>
    </w:p>
    <w:p w:rsidR="00000000" w:rsidDel="00000000" w:rsidP="00000000" w:rsidRDefault="00000000" w:rsidRPr="00000000" w14:paraId="0000006A">
      <w:pPr>
        <w:spacing w:after="200" w:before="200" w:lineRule="auto"/>
        <w:ind w:left="-283.46456692913375" w:right="-430.8661417322827" w:firstLine="0"/>
        <w:jc w:val="both"/>
        <w:rPr>
          <w:rFonts w:ascii="Lato" w:cs="Lato" w:eastAsia="Lato" w:hAnsi="Lato"/>
          <w:color w:val="434343"/>
          <w:sz w:val="22"/>
          <w:szCs w:val="22"/>
        </w:rPr>
      </w:pPr>
      <w:r w:rsidDel="00000000" w:rsidR="00000000" w:rsidRPr="00000000">
        <w:rPr>
          <w:rtl w:val="0"/>
        </w:rPr>
      </w:r>
    </w:p>
    <w:sectPr>
      <w:headerReference r:id="rId8" w:type="default"/>
      <w:footerReference r:id="rId9" w:type="default"/>
      <w:pgSz w:h="15840" w:w="12240" w:orient="portrait"/>
      <w:pgMar w:bottom="1440" w:top="1440" w:left="1800" w:right="1800" w:header="833.3858267716537"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Courier New"/>
  <w:font w:name="La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ato Black">
    <w:embedBold w:fontKey="{00000000-0000-0000-0000-000000000000}" r:id="rId5" w:subsetted="0"/>
    <w:embedBoldItalic w:fontKey="{00000000-0000-0000-0000-000000000000}" r:id="rId6" w:subsetted="0"/>
  </w:font>
  <w:font w:name="Noto Sans Symbols">
    <w:embedRegular w:fontKey="{00000000-0000-0000-0000-000000000000}" r:id="rId7" w:subsetted="0"/>
    <w:embedBold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B">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1">
    <w:p w:rsidR="00000000" w:rsidDel="00000000" w:rsidP="00000000" w:rsidRDefault="00000000" w:rsidRPr="00000000" w14:paraId="0000006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ato" w:cs="Lato" w:eastAsia="Lato" w:hAnsi="Lato"/>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Lato" w:cs="Lato" w:eastAsia="Lato" w:hAnsi="Lato"/>
          <w:b w:val="0"/>
          <w:i w:val="0"/>
          <w:smallCaps w:val="0"/>
          <w:strike w:val="0"/>
          <w:color w:val="000000"/>
          <w:sz w:val="20"/>
          <w:szCs w:val="20"/>
          <w:u w:val="none"/>
          <w:shd w:fill="auto" w:val="clear"/>
          <w:vertAlign w:val="baseline"/>
          <w:rtl w:val="0"/>
        </w:rPr>
        <w:t xml:space="preserve"> Miles Corporation. Report on access to </w:t>
      </w:r>
      <w:r w:rsidDel="00000000" w:rsidR="00000000" w:rsidRPr="00000000">
        <w:rPr>
          <w:rFonts w:ascii="Lato" w:cs="Lato" w:eastAsia="Lato" w:hAnsi="Lato"/>
          <w:sz w:val="20"/>
          <w:szCs w:val="20"/>
          <w:rtl w:val="0"/>
        </w:rPr>
        <w:t xml:space="preserve">Voluntary Pregnancy Interruption</w:t>
      </w:r>
      <w:r w:rsidDel="00000000" w:rsidR="00000000" w:rsidRPr="00000000">
        <w:rPr>
          <w:rFonts w:ascii="Lato" w:cs="Lato" w:eastAsia="Lato" w:hAnsi="Lato"/>
          <w:b w:val="0"/>
          <w:i w:val="0"/>
          <w:smallCaps w:val="0"/>
          <w:strike w:val="0"/>
          <w:color w:val="000000"/>
          <w:sz w:val="20"/>
          <w:szCs w:val="20"/>
          <w:u w:val="none"/>
          <w:shd w:fill="auto" w:val="clear"/>
          <w:vertAlign w:val="baseline"/>
          <w:rtl w:val="0"/>
        </w:rPr>
        <w:t xml:space="preserve"> for girls under 14, 2023.</w:t>
      </w:r>
    </w:p>
  </w:footnote>
  <w:footnote w:id="2">
    <w:p w:rsidR="00000000" w:rsidDel="00000000" w:rsidP="00000000" w:rsidRDefault="00000000" w:rsidRPr="00000000" w14:paraId="0000006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ato" w:cs="Lato" w:eastAsia="Lato" w:hAnsi="Lato"/>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Lato" w:cs="Lato" w:eastAsia="Lato" w:hAnsi="Lato"/>
          <w:b w:val="0"/>
          <w:i w:val="0"/>
          <w:smallCaps w:val="0"/>
          <w:strike w:val="0"/>
          <w:color w:val="000000"/>
          <w:sz w:val="20"/>
          <w:szCs w:val="20"/>
          <w:u w:val="none"/>
          <w:shd w:fill="auto" w:val="clear"/>
          <w:vertAlign w:val="baseline"/>
          <w:rtl w:val="0"/>
        </w:rPr>
        <w:t xml:space="preserve"> Ministry of Health and hospital records. Data on hospital discharges for childbirth and causes under Law 21.030, 2023–2024.</w:t>
      </w:r>
    </w:p>
  </w:footnote>
  <w:footnote w:id="3">
    <w:p w:rsidR="00000000" w:rsidDel="00000000" w:rsidP="00000000" w:rsidRDefault="00000000" w:rsidRPr="00000000" w14:paraId="0000006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Lato" w:cs="Lato" w:eastAsia="Lato" w:hAnsi="Lato"/>
          <w:b w:val="0"/>
          <w:i w:val="0"/>
          <w:smallCaps w:val="0"/>
          <w:strike w:val="0"/>
          <w:color w:val="000000"/>
          <w:sz w:val="20"/>
          <w:szCs w:val="20"/>
          <w:u w:val="none"/>
          <w:shd w:fill="auto" w:val="clear"/>
          <w:vertAlign w:val="baseline"/>
          <w:rtl w:val="0"/>
        </w:rPr>
        <w:t xml:space="preserve"> Corporación Miles. Analysis of court cases involving abortion and the role of health personnel, 2023.</w:t>
      </w:r>
      <w:r w:rsidDel="00000000" w:rsidR="00000000" w:rsidRPr="00000000">
        <w:rPr>
          <w:rtl w:val="0"/>
        </w:rPr>
      </w:r>
    </w:p>
  </w:footnote>
  <w:footnote w:id="4">
    <w:p w:rsidR="00000000" w:rsidDel="00000000" w:rsidP="00000000" w:rsidRDefault="00000000" w:rsidRPr="00000000" w14:paraId="0000006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ato" w:cs="Lato" w:eastAsia="Lato" w:hAnsi="Lato"/>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Lato" w:cs="Lato" w:eastAsia="Lato" w:hAnsi="Lato"/>
          <w:b w:val="0"/>
          <w:i w:val="0"/>
          <w:smallCaps w:val="0"/>
          <w:strike w:val="0"/>
          <w:color w:val="000000"/>
          <w:sz w:val="20"/>
          <w:szCs w:val="20"/>
          <w:u w:val="none"/>
          <w:shd w:fill="auto" w:val="clear"/>
          <w:vertAlign w:val="baseline"/>
          <w:rtl w:val="0"/>
        </w:rPr>
        <w:t xml:space="preserve"> Chilean Ministry of Health. “National HIV/AIDS and STI Plan,” 2023. Available at: </w:t>
      </w:r>
      <w:hyperlink r:id="rId1">
        <w:r w:rsidDel="00000000" w:rsidR="00000000" w:rsidRPr="00000000">
          <w:rPr>
            <w:rFonts w:ascii="Lato" w:cs="Lato" w:eastAsia="Lato" w:hAnsi="Lato"/>
            <w:b w:val="0"/>
            <w:i w:val="0"/>
            <w:smallCaps w:val="0"/>
            <w:strike w:val="0"/>
            <w:color w:val="0000ff"/>
            <w:sz w:val="20"/>
            <w:szCs w:val="20"/>
            <w:u w:val="single"/>
            <w:shd w:fill="auto" w:val="clear"/>
            <w:vertAlign w:val="baseline"/>
            <w:rtl w:val="0"/>
          </w:rPr>
          <w:t xml:space="preserve">https://www.minsal.cl/</w:t>
        </w:r>
      </w:hyperlink>
      <w:r w:rsidDel="00000000" w:rsidR="00000000" w:rsidRPr="00000000">
        <w:rPr>
          <w:rtl w:val="0"/>
        </w:rPr>
      </w:r>
    </w:p>
  </w:footnote>
  <w:footnote w:id="5">
    <w:p w:rsidR="00000000" w:rsidDel="00000000" w:rsidP="00000000" w:rsidRDefault="00000000" w:rsidRPr="00000000" w14:paraId="0000006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ato" w:cs="Lato" w:eastAsia="Lato" w:hAnsi="Lato"/>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Lato" w:cs="Lato" w:eastAsia="Lato" w:hAnsi="Lato"/>
          <w:b w:val="0"/>
          <w:i w:val="0"/>
          <w:smallCaps w:val="0"/>
          <w:strike w:val="0"/>
          <w:color w:val="000000"/>
          <w:sz w:val="20"/>
          <w:szCs w:val="20"/>
          <w:u w:val="none"/>
          <w:shd w:fill="auto" w:val="clear"/>
          <w:vertAlign w:val="baseline"/>
          <w:rtl w:val="0"/>
        </w:rPr>
        <w:t xml:space="preserve"> Law No. 20,584. Regulates the rights and duties of individuals in relation to actions related to their health care. Official Gazette, April 24, 2012.</w:t>
      </w:r>
    </w:p>
  </w:footnote>
  <w:footnote w:id="6">
    <w:p w:rsidR="00000000" w:rsidDel="00000000" w:rsidP="00000000" w:rsidRDefault="00000000" w:rsidRPr="00000000" w14:paraId="0000007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ato" w:cs="Lato" w:eastAsia="Lato" w:hAnsi="Lato"/>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Lato" w:cs="Lato" w:eastAsia="Lato" w:hAnsi="Lato"/>
          <w:b w:val="0"/>
          <w:i w:val="0"/>
          <w:smallCaps w:val="0"/>
          <w:strike w:val="0"/>
          <w:color w:val="000000"/>
          <w:sz w:val="20"/>
          <w:szCs w:val="20"/>
          <w:u w:val="none"/>
          <w:shd w:fill="auto" w:val="clear"/>
          <w:vertAlign w:val="baseline"/>
          <w:rtl w:val="0"/>
        </w:rPr>
        <w:t xml:space="preserve"> Ministry of Health. General Technical Standard No. 0187 on the diagnosis and treatment of sexually transmitted infections. Available at: </w:t>
      </w:r>
      <w:hyperlink r:id="rId2">
        <w:r w:rsidDel="00000000" w:rsidR="00000000" w:rsidRPr="00000000">
          <w:rPr>
            <w:rFonts w:ascii="Lato" w:cs="Lato" w:eastAsia="Lato" w:hAnsi="Lato"/>
            <w:b w:val="0"/>
            <w:i w:val="0"/>
            <w:smallCaps w:val="0"/>
            <w:strike w:val="0"/>
            <w:color w:val="0000ff"/>
            <w:sz w:val="20"/>
            <w:szCs w:val="20"/>
            <w:u w:val="single"/>
            <w:shd w:fill="auto" w:val="clear"/>
            <w:vertAlign w:val="baseline"/>
            <w:rtl w:val="0"/>
          </w:rPr>
          <w:t xml:space="preserve">https://www.minsal.cl/</w:t>
        </w:r>
      </w:hyperlink>
      <w:r w:rsidDel="00000000" w:rsidR="00000000" w:rsidRPr="00000000">
        <w:rPr>
          <w:rtl w:val="0"/>
        </w:rPr>
      </w:r>
    </w:p>
    <w:p w:rsidR="00000000" w:rsidDel="00000000" w:rsidP="00000000" w:rsidRDefault="00000000" w:rsidRPr="00000000" w14:paraId="0000007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ato" w:cs="Lato" w:eastAsia="Lato" w:hAnsi="Lato"/>
          <w:b w:val="0"/>
          <w:i w:val="0"/>
          <w:smallCaps w:val="0"/>
          <w:strike w:val="0"/>
          <w:color w:val="000000"/>
          <w:sz w:val="20"/>
          <w:szCs w:val="20"/>
          <w:u w:val="none"/>
          <w:shd w:fill="auto" w:val="clear"/>
          <w:vertAlign w:val="baseline"/>
        </w:rPr>
      </w:pPr>
      <w:r w:rsidDel="00000000" w:rsidR="00000000" w:rsidRPr="00000000">
        <w:rPr>
          <w:rtl w:val="0"/>
        </w:rPr>
      </w:r>
    </w:p>
  </w:footnote>
  <w:footnote w:id="7">
    <w:p w:rsidR="00000000" w:rsidDel="00000000" w:rsidP="00000000" w:rsidRDefault="00000000" w:rsidRPr="00000000" w14:paraId="00000072">
      <w:pPr>
        <w:spacing w:after="0" w:line="240" w:lineRule="auto"/>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Lato" w:cs="Lato" w:eastAsia="Lato" w:hAnsi="Lato"/>
          <w:sz w:val="20"/>
          <w:szCs w:val="20"/>
          <w:rtl w:val="0"/>
        </w:rPr>
        <w:t xml:space="preserve"> UN Chile, OHCHR, UN Women, PAHO/WHO, Ministry of Health, and SENADIS. Model protocol for maternity care for women with disabilities, 2024.</w:t>
      </w:r>
      <w:r w:rsidDel="00000000" w:rsidR="00000000" w:rsidRPr="00000000">
        <w:rPr>
          <w:rtl w:val="0"/>
        </w:rPr>
      </w:r>
    </w:p>
  </w:footnote>
  <w:footnote w:id="8">
    <w:p w:rsidR="00000000" w:rsidDel="00000000" w:rsidP="00000000" w:rsidRDefault="00000000" w:rsidRPr="00000000" w14:paraId="00000073">
      <w:pPr>
        <w:spacing w:after="0" w:line="240" w:lineRule="auto"/>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Lato" w:cs="Lato" w:eastAsia="Lato" w:hAnsi="Lato"/>
          <w:sz w:val="20"/>
          <w:szCs w:val="20"/>
          <w:rtl w:val="0"/>
        </w:rPr>
        <w:t xml:space="preserve"> Corporación Miles. Analysis of the incorporation of disability variables in health system records, 2023.</w:t>
      </w:r>
      <w:r w:rsidDel="00000000" w:rsidR="00000000" w:rsidRPr="00000000">
        <w:rPr>
          <w:rtl w:val="0"/>
        </w:rPr>
      </w:r>
    </w:p>
  </w:footnote>
  <w:footnote w:id="12">
    <w:p w:rsidR="00000000" w:rsidDel="00000000" w:rsidP="00000000" w:rsidRDefault="00000000" w:rsidRPr="00000000" w14:paraId="0000007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ato" w:cs="Lato" w:eastAsia="Lato" w:hAnsi="Lato"/>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Lato" w:cs="Lato" w:eastAsia="Lato" w:hAnsi="Lato"/>
          <w:b w:val="0"/>
          <w:i w:val="0"/>
          <w:smallCaps w:val="0"/>
          <w:strike w:val="0"/>
          <w:color w:val="000000"/>
          <w:sz w:val="20"/>
          <w:szCs w:val="20"/>
          <w:u w:val="none"/>
          <w:shd w:fill="auto" w:val="clear"/>
          <w:vertAlign w:val="baseline"/>
          <w:rtl w:val="0"/>
        </w:rPr>
        <w:t xml:space="preserve"> Corporación Miles. Report on barriers to access to contraception in health facilities, 2022.</w:t>
      </w:r>
    </w:p>
  </w:footnote>
  <w:footnote w:id="13">
    <w:p w:rsidR="00000000" w:rsidDel="00000000" w:rsidP="00000000" w:rsidRDefault="00000000" w:rsidRPr="00000000" w14:paraId="0000007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ato" w:cs="Lato" w:eastAsia="Lato" w:hAnsi="Lato"/>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Lato" w:cs="Lato" w:eastAsia="Lato" w:hAnsi="Lato"/>
          <w:b w:val="0"/>
          <w:i w:val="0"/>
          <w:smallCaps w:val="0"/>
          <w:strike w:val="0"/>
          <w:color w:val="000000"/>
          <w:sz w:val="20"/>
          <w:szCs w:val="20"/>
          <w:u w:val="none"/>
          <w:shd w:fill="auto" w:val="clear"/>
          <w:vertAlign w:val="baseline"/>
          <w:rtl w:val="0"/>
        </w:rPr>
        <w:t xml:space="preserve"> Institute of Public Health. Health alerts for defective contraceptives, series B20034A and B20035A, 2020–2021.</w:t>
      </w:r>
    </w:p>
  </w:footnote>
  <w:footnote w:id="14">
    <w:p w:rsidR="00000000" w:rsidDel="00000000" w:rsidP="00000000" w:rsidRDefault="00000000" w:rsidRPr="00000000" w14:paraId="0000007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ato" w:cs="Lato" w:eastAsia="Lato" w:hAnsi="Lato"/>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Lato" w:cs="Lato" w:eastAsia="Lato" w:hAnsi="Lato"/>
          <w:b w:val="0"/>
          <w:i w:val="0"/>
          <w:smallCaps w:val="0"/>
          <w:strike w:val="0"/>
          <w:color w:val="000000"/>
          <w:sz w:val="20"/>
          <w:szCs w:val="20"/>
          <w:u w:val="none"/>
          <w:shd w:fill="auto" w:val="clear"/>
          <w:vertAlign w:val="baseline"/>
          <w:rtl w:val="0"/>
        </w:rPr>
        <w:t xml:space="preserve"> Bill No. 14094-11. Amends the Health Code to establish presumption of civil liability for damages caused by defective contraceptive drugs.</w:t>
      </w:r>
    </w:p>
  </w:footnote>
  <w:footnote w:id="15">
    <w:p w:rsidR="00000000" w:rsidDel="00000000" w:rsidP="00000000" w:rsidRDefault="00000000" w:rsidRPr="00000000" w14:paraId="0000007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Lato" w:cs="Lato" w:eastAsia="Lato" w:hAnsi="Lato"/>
          <w:b w:val="0"/>
          <w:i w:val="0"/>
          <w:smallCaps w:val="0"/>
          <w:strike w:val="0"/>
          <w:color w:val="000000"/>
          <w:sz w:val="20"/>
          <w:szCs w:val="20"/>
          <w:u w:val="none"/>
          <w:shd w:fill="auto" w:val="clear"/>
          <w:vertAlign w:val="baseline"/>
          <w:rtl w:val="0"/>
        </w:rPr>
        <w:t xml:space="preserve"> Corporación Miles. Study on access to emergency contraception, 2023.</w:t>
      </w:r>
      <w:r w:rsidDel="00000000" w:rsidR="00000000" w:rsidRPr="00000000">
        <w:rPr>
          <w:rtl w:val="0"/>
        </w:rPr>
      </w:r>
    </w:p>
  </w:footnote>
  <w:footnote w:id="16">
    <w:p w:rsidR="00000000" w:rsidDel="00000000" w:rsidP="00000000" w:rsidRDefault="00000000" w:rsidRPr="00000000" w14:paraId="0000007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ato" w:cs="Lato" w:eastAsia="Lato" w:hAnsi="Lato"/>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Lato" w:cs="Lato" w:eastAsia="Lato" w:hAnsi="Lato"/>
          <w:b w:val="0"/>
          <w:i w:val="0"/>
          <w:smallCaps w:val="0"/>
          <w:strike w:val="0"/>
          <w:color w:val="000000"/>
          <w:sz w:val="20"/>
          <w:szCs w:val="20"/>
          <w:u w:val="none"/>
          <w:shd w:fill="auto" w:val="clear"/>
          <w:vertAlign w:val="baseline"/>
          <w:rtl w:val="0"/>
        </w:rPr>
        <w:t xml:space="preserve"> Corporación Miles. IVE Report: Barriers Seven Years After the Enactment of the Law, 2024.</w:t>
      </w:r>
    </w:p>
  </w:footnote>
  <w:footnote w:id="17">
    <w:p w:rsidR="00000000" w:rsidDel="00000000" w:rsidP="00000000" w:rsidRDefault="00000000" w:rsidRPr="00000000" w14:paraId="0000007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ato" w:cs="Lato" w:eastAsia="Lato" w:hAnsi="Lato"/>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Lato" w:cs="Lato" w:eastAsia="Lato" w:hAnsi="Lato"/>
          <w:b w:val="0"/>
          <w:i w:val="0"/>
          <w:smallCaps w:val="0"/>
          <w:strike w:val="0"/>
          <w:color w:val="000000"/>
          <w:sz w:val="20"/>
          <w:szCs w:val="20"/>
          <w:u w:val="none"/>
          <w:shd w:fill="auto" w:val="clear"/>
          <w:vertAlign w:val="baseline"/>
          <w:rtl w:val="0"/>
        </w:rPr>
        <w:t xml:space="preserve"> Ministry of Health. Statistics on conscientious objection in public establishments, 2023.</w:t>
      </w:r>
    </w:p>
  </w:footnote>
  <w:footnote w:id="18">
    <w:p w:rsidR="00000000" w:rsidDel="00000000" w:rsidP="00000000" w:rsidRDefault="00000000" w:rsidRPr="00000000" w14:paraId="0000007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Lato" w:cs="Lato" w:eastAsia="Lato" w:hAnsi="Lato"/>
          <w:b w:val="0"/>
          <w:i w:val="0"/>
          <w:smallCaps w:val="0"/>
          <w:strike w:val="0"/>
          <w:color w:val="000000"/>
          <w:sz w:val="20"/>
          <w:szCs w:val="20"/>
          <w:u w:val="none"/>
          <w:shd w:fill="auto" w:val="clear"/>
          <w:vertAlign w:val="baseline"/>
          <w:rtl w:val="0"/>
        </w:rPr>
        <w:t xml:space="preserve"> Corporación Miles. Study on health professionals' knowledge of conscientious objection, 2023.</w:t>
      </w:r>
      <w:r w:rsidDel="00000000" w:rsidR="00000000" w:rsidRPr="00000000">
        <w:rPr>
          <w:rtl w:val="0"/>
        </w:rPr>
      </w:r>
    </w:p>
  </w:footnote>
  <w:footnote w:id="19">
    <w:p w:rsidR="00000000" w:rsidDel="00000000" w:rsidP="00000000" w:rsidRDefault="00000000" w:rsidRPr="00000000" w14:paraId="0000007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ato" w:cs="Lato" w:eastAsia="Lato" w:hAnsi="Lato"/>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Lato" w:cs="Lato" w:eastAsia="Lato" w:hAnsi="Lato"/>
          <w:b w:val="0"/>
          <w:i w:val="0"/>
          <w:smallCaps w:val="0"/>
          <w:strike w:val="0"/>
          <w:color w:val="000000"/>
          <w:sz w:val="20"/>
          <w:szCs w:val="20"/>
          <w:u w:val="none"/>
          <w:shd w:fill="auto" w:val="clear"/>
          <w:vertAlign w:val="baseline"/>
          <w:rtl w:val="0"/>
        </w:rPr>
        <w:t xml:space="preserve"> World Health Organization. Recommendations for the clinical management of safe abortion, 2022.</w:t>
      </w:r>
    </w:p>
  </w:footnote>
  <w:footnote w:id="20">
    <w:p w:rsidR="00000000" w:rsidDel="00000000" w:rsidP="00000000" w:rsidRDefault="00000000" w:rsidRPr="00000000" w14:paraId="0000007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ato" w:cs="Lato" w:eastAsia="Lato" w:hAnsi="Lato"/>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Lato" w:cs="Lato" w:eastAsia="Lato" w:hAnsi="Lato"/>
          <w:b w:val="0"/>
          <w:i w:val="0"/>
          <w:smallCaps w:val="0"/>
          <w:strike w:val="0"/>
          <w:color w:val="000000"/>
          <w:sz w:val="20"/>
          <w:szCs w:val="20"/>
          <w:u w:val="none"/>
          <w:shd w:fill="auto" w:val="clear"/>
          <w:vertAlign w:val="baseline"/>
          <w:rtl w:val="0"/>
        </w:rPr>
        <w:t xml:space="preserve"> Council for Transparency. Report on access to information in public health services, 2021.</w:t>
      </w:r>
    </w:p>
  </w:footnote>
  <w:footnote w:id="21">
    <w:p w:rsidR="00000000" w:rsidDel="00000000" w:rsidP="00000000" w:rsidRDefault="00000000" w:rsidRPr="00000000" w14:paraId="0000007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ato" w:cs="Lato" w:eastAsia="Lato" w:hAnsi="Lato"/>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Lato" w:cs="Lato" w:eastAsia="Lato" w:hAnsi="Lato"/>
          <w:b w:val="0"/>
          <w:i w:val="0"/>
          <w:smallCaps w:val="0"/>
          <w:strike w:val="0"/>
          <w:color w:val="000000"/>
          <w:sz w:val="20"/>
          <w:szCs w:val="20"/>
          <w:u w:val="none"/>
          <w:shd w:fill="auto" w:val="clear"/>
          <w:vertAlign w:val="baseline"/>
          <w:rtl w:val="0"/>
        </w:rPr>
        <w:t xml:space="preserve"> Chile Needs ESI Foundation. Fundamental pillars for thinking about initial and continuing training in comprehensive sexuality education, 2021.</w:t>
      </w:r>
    </w:p>
  </w:footnote>
  <w:footnote w:id="22">
    <w:p w:rsidR="00000000" w:rsidDel="00000000" w:rsidP="00000000" w:rsidRDefault="00000000" w:rsidRPr="00000000" w14:paraId="0000007E">
      <w:pPr>
        <w:spacing w:after="0" w:line="240" w:lineRule="auto"/>
        <w:rPr>
          <w:rFonts w:ascii="Lato" w:cs="Lato" w:eastAsia="Lato" w:hAnsi="Lato"/>
          <w:sz w:val="20"/>
          <w:szCs w:val="20"/>
        </w:rPr>
      </w:pPr>
      <w:r w:rsidDel="00000000" w:rsidR="00000000" w:rsidRPr="00000000">
        <w:rPr>
          <w:rStyle w:val="FootnoteReference"/>
          <w:vertAlign w:val="superscript"/>
        </w:rPr>
        <w:footnoteRef/>
      </w:r>
      <w:r w:rsidDel="00000000" w:rsidR="00000000" w:rsidRPr="00000000">
        <w:rPr>
          <w:rFonts w:ascii="Lato" w:cs="Lato" w:eastAsia="Lato" w:hAnsi="Lato"/>
          <w:sz w:val="20"/>
          <w:szCs w:val="20"/>
          <w:rtl w:val="0"/>
        </w:rPr>
        <w:t xml:space="preserve"> Law No. 20,418, Article 1, final paragraph. Available at: </w:t>
      </w:r>
      <w:hyperlink r:id="rId3">
        <w:r w:rsidDel="00000000" w:rsidR="00000000" w:rsidRPr="00000000">
          <w:rPr>
            <w:rFonts w:ascii="Lato" w:cs="Lato" w:eastAsia="Lato" w:hAnsi="Lato"/>
            <w:color w:val="0000ff"/>
            <w:sz w:val="20"/>
            <w:szCs w:val="20"/>
            <w:u w:val="single"/>
            <w:rtl w:val="0"/>
          </w:rPr>
          <w:t xml:space="preserve">https://www.bcn.cl/leychile/navegar?idNorma=1011110</w:t>
        </w:r>
      </w:hyperlink>
      <w:r w:rsidDel="00000000" w:rsidR="00000000" w:rsidRPr="00000000">
        <w:rPr>
          <w:rtl w:val="0"/>
        </w:rPr>
      </w:r>
    </w:p>
  </w:footnote>
  <w:footnote w:id="23">
    <w:p w:rsidR="00000000" w:rsidDel="00000000" w:rsidP="00000000" w:rsidRDefault="00000000" w:rsidRPr="00000000" w14:paraId="0000007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ato" w:cs="Lato" w:eastAsia="Lato" w:hAnsi="Lato"/>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Lato" w:cs="Lato" w:eastAsia="Lato" w:hAnsi="Lato"/>
          <w:b w:val="0"/>
          <w:i w:val="0"/>
          <w:smallCaps w:val="0"/>
          <w:strike w:val="0"/>
          <w:color w:val="000000"/>
          <w:sz w:val="20"/>
          <w:szCs w:val="20"/>
          <w:u w:val="none"/>
          <w:shd w:fill="auto" w:val="clear"/>
          <w:vertAlign w:val="baseline"/>
          <w:rtl w:val="0"/>
        </w:rPr>
        <w:t xml:space="preserve"> Law No. 21,430, Article 41. Available at: </w:t>
      </w:r>
      <w:hyperlink r:id="rId4">
        <w:r w:rsidDel="00000000" w:rsidR="00000000" w:rsidRPr="00000000">
          <w:rPr>
            <w:rFonts w:ascii="Lato" w:cs="Lato" w:eastAsia="Lato" w:hAnsi="Lato"/>
            <w:b w:val="0"/>
            <w:i w:val="0"/>
            <w:smallCaps w:val="0"/>
            <w:strike w:val="0"/>
            <w:color w:val="0000ff"/>
            <w:sz w:val="20"/>
            <w:szCs w:val="20"/>
            <w:u w:val="single"/>
            <w:shd w:fill="auto" w:val="clear"/>
            <w:vertAlign w:val="baseline"/>
            <w:rtl w:val="0"/>
          </w:rPr>
          <w:t xml:space="preserve">https://www.bcn.cl/leychile/navegar?idNorma=1175452</w:t>
        </w:r>
      </w:hyperlink>
      <w:r w:rsidDel="00000000" w:rsidR="00000000" w:rsidRPr="00000000">
        <w:rPr>
          <w:rtl w:val="0"/>
        </w:rPr>
      </w:r>
    </w:p>
  </w:footnote>
  <w:footnote w:id="24">
    <w:p w:rsidR="00000000" w:rsidDel="00000000" w:rsidP="00000000" w:rsidRDefault="00000000" w:rsidRPr="00000000" w14:paraId="0000008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ato" w:cs="Lato" w:eastAsia="Lato" w:hAnsi="Lato"/>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Lato" w:cs="Lato" w:eastAsia="Lato" w:hAnsi="Lato"/>
          <w:b w:val="0"/>
          <w:i w:val="0"/>
          <w:smallCaps w:val="0"/>
          <w:strike w:val="0"/>
          <w:color w:val="000000"/>
          <w:sz w:val="20"/>
          <w:szCs w:val="20"/>
          <w:u w:val="none"/>
          <w:shd w:fill="auto" w:val="clear"/>
          <w:vertAlign w:val="baseline"/>
          <w:rtl w:val="0"/>
        </w:rPr>
        <w:t xml:space="preserve"> Fundación Chile necesita ESI. Report on the review of the proposal for curriculum updating, 2023.</w:t>
      </w:r>
    </w:p>
  </w:footnote>
  <w:footnote w:id="25">
    <w:p w:rsidR="00000000" w:rsidDel="00000000" w:rsidP="00000000" w:rsidRDefault="00000000" w:rsidRPr="00000000" w14:paraId="0000008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ato" w:cs="Lato" w:eastAsia="Lato" w:hAnsi="Lato"/>
          <w:b w:val="0"/>
          <w:i w:val="0"/>
          <w:smallCaps w:val="0"/>
          <w:strike w:val="0"/>
          <w:color w:val="000000"/>
          <w:sz w:val="22"/>
          <w:szCs w:val="22"/>
          <w:u w:val="none"/>
          <w:shd w:fill="auto" w:val="clear"/>
          <w:vertAlign w:val="superscript"/>
        </w:rPr>
      </w:pPr>
      <w:r w:rsidDel="00000000" w:rsidR="00000000" w:rsidRPr="00000000">
        <w:rPr>
          <w:rStyle w:val="FootnoteReference"/>
          <w:vertAlign w:val="superscript"/>
        </w:rPr>
        <w:footnoteRef/>
      </w:r>
      <w:r w:rsidDel="00000000" w:rsidR="00000000" w:rsidRPr="00000000">
        <w:rPr>
          <w:rFonts w:ascii="Lato" w:cs="Lato" w:eastAsia="Lato" w:hAnsi="Lato"/>
          <w:sz w:val="20"/>
          <w:szCs w:val="20"/>
          <w:rtl w:val="0"/>
        </w:rPr>
        <w:t xml:space="preserve"> Children's Ombudsman. Diagnosis of the rights of children and adolescents in Chile, 2025.</w:t>
      </w:r>
      <w:r w:rsidDel="00000000" w:rsidR="00000000" w:rsidRPr="00000000">
        <w:rPr>
          <w:rtl w:val="0"/>
        </w:rPr>
      </w:r>
    </w:p>
  </w:footnote>
  <w:footnote w:id="26">
    <w:p w:rsidR="00000000" w:rsidDel="00000000" w:rsidP="00000000" w:rsidRDefault="00000000" w:rsidRPr="00000000" w14:paraId="0000008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ato" w:cs="Lato" w:eastAsia="Lato" w:hAnsi="Lato"/>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Lato" w:cs="Lato" w:eastAsia="Lato" w:hAnsi="Lato"/>
          <w:b w:val="0"/>
          <w:i w:val="0"/>
          <w:smallCaps w:val="0"/>
          <w:strike w:val="0"/>
          <w:color w:val="000000"/>
          <w:sz w:val="20"/>
          <w:szCs w:val="20"/>
          <w:u w:val="none"/>
          <w:shd w:fill="auto" w:val="clear"/>
          <w:vertAlign w:val="baseline"/>
          <w:rtl w:val="0"/>
        </w:rPr>
        <w:t xml:space="preserve"> Committee on Economic, Social and Cultural Rights. Concluding observations on the fourth periodic report of Chile, E/C.12/CHL/CO/4, 2015.</w:t>
      </w:r>
    </w:p>
  </w:footnote>
  <w:footnote w:id="27">
    <w:p w:rsidR="00000000" w:rsidDel="00000000" w:rsidP="00000000" w:rsidRDefault="00000000" w:rsidRPr="00000000" w14:paraId="0000008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Lato" w:cs="Lato" w:eastAsia="Lato" w:hAnsi="Lato"/>
          <w:b w:val="0"/>
          <w:i w:val="0"/>
          <w:smallCaps w:val="0"/>
          <w:strike w:val="0"/>
          <w:color w:val="000000"/>
          <w:sz w:val="20"/>
          <w:szCs w:val="20"/>
          <w:u w:val="none"/>
          <w:shd w:fill="auto" w:val="clear"/>
          <w:vertAlign w:val="baseline"/>
          <w:rtl w:val="0"/>
        </w:rPr>
        <w:t xml:space="preserve"> Committee on the Rights of the Child. General Comment No. 20 (2016) on the effectiveness of rights during adolescence.</w:t>
      </w:r>
      <w:r w:rsidDel="00000000" w:rsidR="00000000" w:rsidRPr="00000000">
        <w:rPr>
          <w:rtl w:val="0"/>
        </w:rPr>
      </w:r>
    </w:p>
  </w:footnote>
  <w:footnote w:id="0">
    <w:p w:rsidR="00000000" w:rsidDel="00000000" w:rsidP="00000000" w:rsidRDefault="00000000" w:rsidRPr="00000000" w14:paraId="00000084">
      <w:pPr>
        <w:spacing w:after="0" w:line="240" w:lineRule="auto"/>
        <w:rPr>
          <w:sz w:val="20"/>
          <w:szCs w:val="20"/>
        </w:rPr>
      </w:pPr>
      <w:r w:rsidDel="00000000" w:rsidR="00000000" w:rsidRPr="00000000">
        <w:rPr>
          <w:rStyle w:val="FootnoteReference"/>
          <w:vertAlign w:val="superscript"/>
        </w:rPr>
        <w:footnoteRef/>
      </w:r>
      <w:r w:rsidDel="00000000" w:rsidR="00000000" w:rsidRPr="00000000">
        <w:rPr>
          <w:rFonts w:ascii="Lato" w:cs="Lato" w:eastAsia="Lato" w:hAnsi="Lato"/>
          <w:sz w:val="20"/>
          <w:szCs w:val="20"/>
          <w:rtl w:val="0"/>
        </w:rPr>
        <w:t xml:space="preserve">  Corporación Miles (2023). </w:t>
      </w:r>
      <w:r w:rsidDel="00000000" w:rsidR="00000000" w:rsidRPr="00000000">
        <w:rPr>
          <w:rFonts w:ascii="Lato" w:cs="Lato" w:eastAsia="Lato" w:hAnsi="Lato"/>
          <w:i w:val="1"/>
          <w:sz w:val="20"/>
          <w:szCs w:val="20"/>
          <w:rtl w:val="0"/>
        </w:rPr>
        <w:t xml:space="preserve">Law No. 21,030 for girls under 14 and the reality of substitute judicial authorization. Fifth Report on Sexual and Reproductive Rights in Chile. Pp</w:t>
      </w:r>
      <w:r w:rsidDel="00000000" w:rsidR="00000000" w:rsidRPr="00000000">
        <w:rPr>
          <w:rFonts w:ascii="Lato" w:cs="Lato" w:eastAsia="Lato" w:hAnsi="Lato"/>
          <w:sz w:val="20"/>
          <w:szCs w:val="20"/>
          <w:rtl w:val="0"/>
        </w:rPr>
        <w:t xml:space="preserve">. 76-77. Available at </w:t>
      </w:r>
      <w:hyperlink r:id="rId5">
        <w:r w:rsidDel="00000000" w:rsidR="00000000" w:rsidRPr="00000000">
          <w:rPr>
            <w:rFonts w:ascii="Lato" w:cs="Lato" w:eastAsia="Lato" w:hAnsi="Lato"/>
            <w:color w:val="1155cc"/>
            <w:sz w:val="20"/>
            <w:szCs w:val="20"/>
            <w:u w:val="single"/>
            <w:rtl w:val="0"/>
          </w:rPr>
          <w:t xml:space="preserve">https://mileschile.cl/wp-content/uploads/2023/06/V-Informe-Corporacio%CC%81n-Miles_web.pdf </w:t>
        </w:r>
      </w:hyperlink>
      <w:r w:rsidDel="00000000" w:rsidR="00000000" w:rsidRPr="00000000">
        <w:rPr>
          <w:rtl w:val="0"/>
        </w:rPr>
      </w:r>
    </w:p>
  </w:footnote>
  <w:footnote w:id="9">
    <w:p w:rsidR="00000000" w:rsidDel="00000000" w:rsidP="00000000" w:rsidRDefault="00000000" w:rsidRPr="00000000" w14:paraId="00000085">
      <w:pPr>
        <w:spacing w:after="0" w:line="240" w:lineRule="auto"/>
        <w:rPr>
          <w:rFonts w:ascii="Lato" w:cs="Lato" w:eastAsia="Lato" w:hAnsi="Lato"/>
          <w:sz w:val="20"/>
          <w:szCs w:val="20"/>
        </w:rPr>
      </w:pPr>
      <w:r w:rsidDel="00000000" w:rsidR="00000000" w:rsidRPr="00000000">
        <w:rPr>
          <w:rStyle w:val="FootnoteReference"/>
          <w:vertAlign w:val="superscript"/>
        </w:rPr>
        <w:footnoteRef/>
      </w:r>
      <w:r w:rsidDel="00000000" w:rsidR="00000000" w:rsidRPr="00000000">
        <w:rPr>
          <w:rFonts w:ascii="Lato" w:cs="Lato" w:eastAsia="Lato" w:hAnsi="Lato"/>
          <w:sz w:val="20"/>
          <w:szCs w:val="20"/>
          <w:rtl w:val="0"/>
        </w:rPr>
        <w:t xml:space="preserve"> Ministry of Health (2010), Law No. 20,418, which </w:t>
      </w:r>
      <w:r w:rsidDel="00000000" w:rsidR="00000000" w:rsidRPr="00000000">
        <w:rPr>
          <w:rFonts w:ascii="Lato" w:cs="Lato" w:eastAsia="Lato" w:hAnsi="Lato"/>
          <w:i w:val="1"/>
          <w:sz w:val="20"/>
          <w:szCs w:val="20"/>
          <w:rtl w:val="0"/>
        </w:rPr>
        <w:t xml:space="preserve">"Establishes standards on information, guidance, and services in the area of fertility regulation,</w:t>
      </w:r>
      <w:hyperlink r:id="rId6">
        <w:r w:rsidDel="00000000" w:rsidR="00000000" w:rsidRPr="00000000">
          <w:rPr>
            <w:rFonts w:ascii="Lato" w:cs="Lato" w:eastAsia="Lato" w:hAnsi="Lato"/>
            <w:color w:val="1155cc"/>
            <w:sz w:val="20"/>
            <w:szCs w:val="20"/>
            <w:u w:val="single"/>
            <w:rtl w:val="0"/>
          </w:rPr>
          <w:t xml:space="preserve">"</w:t>
        </w:r>
      </w:hyperlink>
      <w:r w:rsidDel="00000000" w:rsidR="00000000" w:rsidRPr="00000000">
        <w:rPr>
          <w:rFonts w:ascii="Lato" w:cs="Lato" w:eastAsia="Lato" w:hAnsi="Lato"/>
          <w:i w:val="1"/>
          <w:sz w:val="20"/>
          <w:szCs w:val="20"/>
          <w:rtl w:val="0"/>
        </w:rPr>
        <w:t xml:space="preserve"> </w:t>
      </w:r>
      <w:r w:rsidDel="00000000" w:rsidR="00000000" w:rsidRPr="00000000">
        <w:rPr>
          <w:rFonts w:ascii="Lato" w:cs="Lato" w:eastAsia="Lato" w:hAnsi="Lato"/>
          <w:sz w:val="20"/>
          <w:szCs w:val="20"/>
          <w:rtl w:val="0"/>
        </w:rPr>
        <w:t xml:space="preserve">Article 1. Available at: </w:t>
      </w:r>
      <w:hyperlink r:id="rId7">
        <w:r w:rsidDel="00000000" w:rsidR="00000000" w:rsidRPr="00000000">
          <w:rPr>
            <w:rFonts w:ascii="Lato" w:cs="Lato" w:eastAsia="Lato" w:hAnsi="Lato"/>
            <w:color w:val="1155cc"/>
            <w:sz w:val="20"/>
            <w:szCs w:val="20"/>
            <w:u w:val="single"/>
            <w:rtl w:val="0"/>
          </w:rPr>
          <w:t xml:space="preserve">https://www.bcn.cl/leychile/navegar?idNorma=1010482 </w:t>
        </w:r>
      </w:hyperlink>
      <w:r w:rsidDel="00000000" w:rsidR="00000000" w:rsidRPr="00000000">
        <w:rPr>
          <w:rtl w:val="0"/>
        </w:rPr>
      </w:r>
    </w:p>
  </w:footnote>
  <w:footnote w:id="10">
    <w:p w:rsidR="00000000" w:rsidDel="00000000" w:rsidP="00000000" w:rsidRDefault="00000000" w:rsidRPr="00000000" w14:paraId="00000086">
      <w:pPr>
        <w:spacing w:after="0" w:line="240" w:lineRule="auto"/>
        <w:rPr>
          <w:rFonts w:ascii="Lato" w:cs="Lato" w:eastAsia="Lato" w:hAnsi="Lato"/>
          <w:sz w:val="20"/>
          <w:szCs w:val="20"/>
        </w:rPr>
      </w:pPr>
      <w:r w:rsidDel="00000000" w:rsidR="00000000" w:rsidRPr="00000000">
        <w:rPr>
          <w:rStyle w:val="FootnoteReference"/>
          <w:vertAlign w:val="superscript"/>
        </w:rPr>
        <w:footnoteRef/>
      </w:r>
      <w:r w:rsidDel="00000000" w:rsidR="00000000" w:rsidRPr="00000000">
        <w:rPr>
          <w:rFonts w:ascii="Lato" w:cs="Lato" w:eastAsia="Lato" w:hAnsi="Lato"/>
          <w:sz w:val="20"/>
          <w:szCs w:val="20"/>
          <w:rtl w:val="0"/>
        </w:rPr>
        <w:t xml:space="preserve"> Last reviewed on August 20, 2024, available at </w:t>
      </w:r>
      <w:hyperlink r:id="rId8">
        <w:r w:rsidDel="00000000" w:rsidR="00000000" w:rsidRPr="00000000">
          <w:rPr>
            <w:rFonts w:ascii="Lato" w:cs="Lato" w:eastAsia="Lato" w:hAnsi="Lato"/>
            <w:color w:val="1155cc"/>
            <w:sz w:val="20"/>
            <w:szCs w:val="20"/>
            <w:u w:val="single"/>
            <w:rtl w:val="0"/>
          </w:rPr>
          <w:t xml:space="preserve">https://www.minsal.cl/salud-de-la-mujer/ </w:t>
        </w:r>
      </w:hyperlink>
      <w:r w:rsidDel="00000000" w:rsidR="00000000" w:rsidRPr="00000000">
        <w:rPr>
          <w:rtl w:val="0"/>
        </w:rPr>
      </w:r>
    </w:p>
  </w:footnote>
  <w:footnote w:id="11">
    <w:p w:rsidR="00000000" w:rsidDel="00000000" w:rsidP="00000000" w:rsidRDefault="00000000" w:rsidRPr="00000000" w14:paraId="00000087">
      <w:pPr>
        <w:spacing w:after="0" w:line="240" w:lineRule="auto"/>
        <w:rPr>
          <w:rFonts w:ascii="Lato" w:cs="Lato" w:eastAsia="Lato" w:hAnsi="Lato"/>
          <w:sz w:val="20"/>
          <w:szCs w:val="20"/>
        </w:rPr>
      </w:pPr>
      <w:r w:rsidDel="00000000" w:rsidR="00000000" w:rsidRPr="00000000">
        <w:rPr>
          <w:rStyle w:val="FootnoteReference"/>
          <w:vertAlign w:val="superscript"/>
        </w:rPr>
        <w:footnoteRef/>
      </w:r>
      <w:r w:rsidDel="00000000" w:rsidR="00000000" w:rsidRPr="00000000">
        <w:rPr>
          <w:rFonts w:ascii="Lato" w:cs="Lato" w:eastAsia="Lato" w:hAnsi="Lato"/>
          <w:sz w:val="20"/>
          <w:szCs w:val="20"/>
          <w:rtl w:val="0"/>
        </w:rPr>
        <w:t xml:space="preserve"> Ministry of Health, Government of Chile (2021). </w:t>
      </w:r>
      <w:r w:rsidDel="00000000" w:rsidR="00000000" w:rsidRPr="00000000">
        <w:rPr>
          <w:rFonts w:ascii="Lato" w:cs="Lato" w:eastAsia="Lato" w:hAnsi="Lato"/>
          <w:i w:val="1"/>
          <w:sz w:val="20"/>
          <w:szCs w:val="20"/>
          <w:rtl w:val="0"/>
        </w:rPr>
        <w:t xml:space="preserve">Protocol for the provision of emergency contraception. </w:t>
      </w:r>
      <w:r w:rsidDel="00000000" w:rsidR="00000000" w:rsidRPr="00000000">
        <w:rPr>
          <w:rFonts w:ascii="Lato" w:cs="Lato" w:eastAsia="Lato" w:hAnsi="Lato"/>
          <w:sz w:val="20"/>
          <w:szCs w:val="20"/>
          <w:rtl w:val="0"/>
        </w:rPr>
        <w:t xml:space="preserve">Last reviewed on August 23, 2023. Available at </w:t>
      </w:r>
      <w:hyperlink r:id="rId9">
        <w:r w:rsidDel="00000000" w:rsidR="00000000" w:rsidRPr="00000000">
          <w:rPr>
            <w:rFonts w:ascii="Lato" w:cs="Lato" w:eastAsia="Lato" w:hAnsi="Lato"/>
            <w:color w:val="1155cc"/>
            <w:sz w:val="20"/>
            <w:szCs w:val="20"/>
            <w:u w:val="single"/>
            <w:rtl w:val="0"/>
          </w:rPr>
          <w:t xml:space="preserve">https://diprece.minsal.cl/wp-content/uploads/2021/06/PROTOCOLO-ANTICONCEPCION-ISBN_v2.pdf </w:t>
        </w:r>
      </w:hyperlink>
      <w:r w:rsidDel="00000000" w:rsidR="00000000" w:rsidRPr="00000000">
        <w:rPr>
          <w:rtl w:val="0"/>
        </w:rPr>
      </w:r>
    </w:p>
  </w:footnote>
  <w:footnote w:id="28">
    <w:p w:rsidR="00000000" w:rsidDel="00000000" w:rsidP="00000000" w:rsidRDefault="00000000" w:rsidRPr="00000000" w14:paraId="0000008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ato" w:cs="Lato" w:eastAsia="Lato" w:hAnsi="Lato"/>
          <w:sz w:val="20"/>
          <w:szCs w:val="20"/>
        </w:rPr>
      </w:pPr>
      <w:r w:rsidDel="00000000" w:rsidR="00000000" w:rsidRPr="00000000">
        <w:rPr>
          <w:rStyle w:val="FootnoteReference"/>
          <w:vertAlign w:val="superscript"/>
        </w:rPr>
        <w:footnoteRef/>
      </w:r>
      <w:r w:rsidDel="00000000" w:rsidR="00000000" w:rsidRPr="00000000">
        <w:rPr>
          <w:rFonts w:ascii="Lato" w:cs="Lato" w:eastAsia="Lato" w:hAnsi="Lato"/>
          <w:sz w:val="20"/>
          <w:szCs w:val="20"/>
          <w:rtl w:val="0"/>
        </w:rPr>
        <w:t xml:space="preserve"> Special Rapporteur on the right of everyone to the enjoyment of the highest attainable standard of physical and mental health, Tlaleng Mofokeng. Visit to Chile. lA/HRC/59/48/Add.1</w:t>
      </w:r>
    </w:p>
    <w:p w:rsidR="00000000" w:rsidDel="00000000" w:rsidP="00000000" w:rsidRDefault="00000000" w:rsidRPr="00000000" w14:paraId="00000089">
      <w:pPr>
        <w:spacing w:after="0" w:line="240" w:lineRule="auto"/>
        <w:rPr>
          <w:sz w:val="20"/>
          <w:szCs w:val="20"/>
        </w:rPr>
      </w:pP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A">
    <w:pPr>
      <w:rPr/>
    </w:pPr>
    <w:r w:rsidDel="00000000" w:rsidR="00000000" w:rsidRPr="00000000">
      <w:rPr/>
      <w:drawing>
        <wp:anchor allowOverlap="1" behindDoc="0" distB="114300" distT="114300" distL="114300" distR="114300" hidden="0" layoutInCell="1" locked="0" relativeHeight="0" simplePos="0">
          <wp:simplePos x="0" y="0"/>
          <wp:positionH relativeFrom="page">
            <wp:posOffset>2633663</wp:posOffset>
          </wp:positionH>
          <wp:positionV relativeFrom="page">
            <wp:posOffset>1066800</wp:posOffset>
          </wp:positionV>
          <wp:extent cx="2501900" cy="279400"/>
          <wp:effectExtent b="0" l="0" r="0" t="0"/>
          <wp:wrapNone/>
          <wp:docPr id="20"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501900" cy="279400"/>
                  </a:xfrm>
                  <a:prstGeom prst="rect"/>
                  <a:ln/>
                </pic:spPr>
              </pic:pic>
            </a:graphicData>
          </a:graphic>
        </wp:anchor>
      </w:drawing>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114300</wp:posOffset>
          </wp:positionH>
          <wp:positionV relativeFrom="paragraph">
            <wp:posOffset>114300</wp:posOffset>
          </wp:positionV>
          <wp:extent cx="1128713" cy="1128713"/>
          <wp:effectExtent b="0" l="0" r="0" t="0"/>
          <wp:wrapSquare wrapText="bothSides" distB="114300" distT="114300" distL="114300" distR="114300"/>
          <wp:docPr id="22" name="image2.jpg"/>
          <a:graphic>
            <a:graphicData uri="http://schemas.openxmlformats.org/drawingml/2006/picture">
              <pic:pic>
                <pic:nvPicPr>
                  <pic:cNvPr id="0" name="image2.jpg"/>
                  <pic:cNvPicPr preferRelativeResize="0"/>
                </pic:nvPicPr>
                <pic:blipFill>
                  <a:blip r:embed="rId2"/>
                  <a:srcRect b="0" l="0" r="0" t="0"/>
                  <a:stretch>
                    <a:fillRect/>
                  </a:stretch>
                </pic:blipFill>
                <pic:spPr>
                  <a:xfrm>
                    <a:off x="0" y="0"/>
                    <a:ext cx="1128713" cy="1128713"/>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4543425</wp:posOffset>
          </wp:positionH>
          <wp:positionV relativeFrom="paragraph">
            <wp:posOffset>114300</wp:posOffset>
          </wp:positionV>
          <wp:extent cx="938213" cy="922832"/>
          <wp:effectExtent b="0" l="0" r="0" t="0"/>
          <wp:wrapTopAndBottom distB="114300" distT="114300"/>
          <wp:docPr id="21" name="image3.png"/>
          <a:graphic>
            <a:graphicData uri="http://schemas.openxmlformats.org/drawingml/2006/picture">
              <pic:pic>
                <pic:nvPicPr>
                  <pic:cNvPr id="0" name="image3.png"/>
                  <pic:cNvPicPr preferRelativeResize="0"/>
                </pic:nvPicPr>
                <pic:blipFill>
                  <a:blip r:embed="rId3"/>
                  <a:srcRect b="0" l="0" r="0" t="0"/>
                  <a:stretch>
                    <a:fillRect/>
                  </a:stretch>
                </pic:blipFill>
                <pic:spPr>
                  <a:xfrm>
                    <a:off x="0" y="0"/>
                    <a:ext cx="938213" cy="922832"/>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s-CL"/>
      </w:rPr>
    </w:rPrDefault>
    <w:pPrDefault>
      <w:pPr>
        <w:spacing w:after="200"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0" w:before="480" w:lineRule="auto"/>
    </w:pPr>
    <w:rPr>
      <w:rFonts w:ascii="Calibri" w:cs="Calibri" w:eastAsia="Calibri" w:hAnsi="Calibri"/>
      <w:b w:val="1"/>
      <w:color w:val="366091"/>
      <w:sz w:val="28"/>
      <w:szCs w:val="28"/>
    </w:rPr>
  </w:style>
  <w:style w:type="paragraph" w:styleId="Heading2">
    <w:name w:val="heading 2"/>
    <w:basedOn w:val="Normal"/>
    <w:next w:val="Normal"/>
    <w:pPr>
      <w:keepNext w:val="1"/>
      <w:keepLines w:val="1"/>
      <w:spacing w:after="0" w:before="200" w:lineRule="auto"/>
    </w:pPr>
    <w:rPr>
      <w:rFonts w:ascii="Calibri" w:cs="Calibri" w:eastAsia="Calibri" w:hAnsi="Calibri"/>
      <w:b w:val="1"/>
      <w:color w:val="4f81bd"/>
      <w:sz w:val="26"/>
      <w:szCs w:val="26"/>
    </w:rPr>
  </w:style>
  <w:style w:type="paragraph" w:styleId="Heading3">
    <w:name w:val="heading 3"/>
    <w:basedOn w:val="Normal"/>
    <w:next w:val="Normal"/>
    <w:pPr>
      <w:keepNext w:val="1"/>
      <w:keepLines w:val="1"/>
      <w:spacing w:after="0" w:before="200" w:lineRule="auto"/>
    </w:pPr>
    <w:rPr>
      <w:rFonts w:ascii="Calibri" w:cs="Calibri" w:eastAsia="Calibri" w:hAnsi="Calibri"/>
      <w:b w:val="1"/>
      <w:color w:val="4f81bd"/>
    </w:rPr>
  </w:style>
  <w:style w:type="paragraph" w:styleId="Heading4">
    <w:name w:val="heading 4"/>
    <w:basedOn w:val="Normal"/>
    <w:next w:val="Normal"/>
    <w:pPr>
      <w:keepNext w:val="1"/>
      <w:keepLines w:val="1"/>
      <w:spacing w:after="0" w:before="200" w:lineRule="auto"/>
    </w:pPr>
    <w:rPr>
      <w:rFonts w:ascii="Calibri" w:cs="Calibri" w:eastAsia="Calibri" w:hAnsi="Calibri"/>
      <w:b w:val="1"/>
      <w:i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color w:val="243f61"/>
    </w:rPr>
  </w:style>
  <w:style w:type="paragraph" w:styleId="Title">
    <w:name w:val="Title"/>
    <w:basedOn w:val="Normal"/>
    <w:next w:val="Normal"/>
    <w:pPr>
      <w:pBdr>
        <w:bottom w:color="4f81bd" w:space="4" w:sz="8" w:val="single"/>
      </w:pBdr>
      <w:spacing w:after="300" w:line="240" w:lineRule="auto"/>
    </w:pPr>
    <w:rPr>
      <w:rFonts w:ascii="Calibri" w:cs="Calibri" w:eastAsia="Calibri" w:hAnsi="Calibri"/>
      <w:color w:val="595959"/>
      <w:sz w:val="52"/>
      <w:szCs w:val="52"/>
    </w:rPr>
  </w:style>
  <w:style w:type="paragraph" w:styleId="Normal" w:default="1">
    <w:name w:val="normal"/>
  </w:style>
  <w:style w:type="table" w:styleId="TableNormal" w:default="1">
    <w:name w:val="TableNormal"/>
  </w:style>
  <w:style w:type="paragraph" w:styleId="Ttulo7">
    <w:name w:val="heading 7"/>
    <w:basedOn w:val="Normal"/>
    <w:next w:val="Normal"/>
    <w:link w:val="Ttulo7Car"/>
    <w:uiPriority w:val="9"/>
    <w:semiHidden w:val="1"/>
    <w:unhideWhenUsed w:val="1"/>
    <w:qFormat w:val="1"/>
    <w:rsid w:val="00FC693F"/>
    <w:pPr>
      <w:keepNext w:val="1"/>
      <w:keepLines w:val="1"/>
      <w:spacing w:after="0" w:before="200"/>
      <w:outlineLvl w:val="6"/>
    </w:pPr>
    <w:rPr>
      <w:rFonts w:asciiTheme="majorHAnsi" w:cstheme="majorBidi" w:eastAsiaTheme="majorEastAsia" w:hAnsiTheme="majorHAnsi"/>
      <w:i w:val="1"/>
      <w:iCs w:val="1"/>
      <w:color w:val="404040" w:themeColor="text1" w:themeTint="0000BF"/>
    </w:rPr>
  </w:style>
  <w:style w:type="paragraph" w:styleId="Ttulo8">
    <w:name w:val="heading 8"/>
    <w:basedOn w:val="Normal"/>
    <w:next w:val="Normal"/>
    <w:link w:val="Ttulo8Car"/>
    <w:uiPriority w:val="9"/>
    <w:semiHidden w:val="1"/>
    <w:unhideWhenUsed w:val="1"/>
    <w:qFormat w:val="1"/>
    <w:rsid w:val="00FC693F"/>
    <w:pPr>
      <w:keepNext w:val="1"/>
      <w:keepLines w:val="1"/>
      <w:spacing w:after="0" w:before="200"/>
      <w:outlineLvl w:val="7"/>
    </w:pPr>
    <w:rPr>
      <w:rFonts w:asciiTheme="majorHAnsi" w:cstheme="majorBidi" w:eastAsiaTheme="majorEastAsia" w:hAnsiTheme="majorHAnsi"/>
      <w:color w:val="4f81bd" w:themeColor="accent1"/>
      <w:sz w:val="20"/>
      <w:szCs w:val="20"/>
    </w:rPr>
  </w:style>
  <w:style w:type="paragraph" w:styleId="Ttulo9">
    <w:name w:val="heading 9"/>
    <w:basedOn w:val="Normal"/>
    <w:next w:val="Normal"/>
    <w:link w:val="Ttulo9Car"/>
    <w:uiPriority w:val="9"/>
    <w:semiHidden w:val="1"/>
    <w:unhideWhenUsed w:val="1"/>
    <w:qFormat w:val="1"/>
    <w:rsid w:val="00FC693F"/>
    <w:pPr>
      <w:keepNext w:val="1"/>
      <w:keepLines w:val="1"/>
      <w:spacing w:after="0" w:before="200"/>
      <w:outlineLvl w:val="8"/>
    </w:pPr>
    <w:rPr>
      <w:rFonts w:asciiTheme="majorHAnsi" w:cstheme="majorBidi" w:eastAsiaTheme="majorEastAsia" w:hAnsiTheme="majorHAnsi"/>
      <w:i w:val="1"/>
      <w:iCs w:val="1"/>
      <w:color w:val="404040" w:themeColor="text1" w:themeTint="0000BF"/>
      <w:sz w:val="20"/>
      <w:szCs w:val="20"/>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basedOn w:val="Normal"/>
    <w:link w:val="EncabezadoCar"/>
    <w:uiPriority w:val="99"/>
    <w:unhideWhenUsed w:val="1"/>
    <w:rsid w:val="00E618BF"/>
    <w:pPr>
      <w:tabs>
        <w:tab w:val="center" w:pos="4680"/>
        <w:tab w:val="right" w:pos="9360"/>
      </w:tabs>
      <w:spacing w:after="0" w:line="240" w:lineRule="auto"/>
    </w:pPr>
  </w:style>
  <w:style w:type="character" w:styleId="EncabezadoCar" w:customStyle="1">
    <w:name w:val="Encabezado Car"/>
    <w:basedOn w:val="Fuentedeprrafopredeter"/>
    <w:link w:val="Encabezado"/>
    <w:uiPriority w:val="99"/>
    <w:rsid w:val="00E618BF"/>
  </w:style>
  <w:style w:type="paragraph" w:styleId="Piedepgina">
    <w:name w:val="footer"/>
    <w:basedOn w:val="Normal"/>
    <w:link w:val="PiedepginaCar"/>
    <w:uiPriority w:val="99"/>
    <w:unhideWhenUsed w:val="1"/>
    <w:rsid w:val="00E618BF"/>
    <w:pPr>
      <w:tabs>
        <w:tab w:val="center" w:pos="4680"/>
        <w:tab w:val="right" w:pos="9360"/>
      </w:tabs>
      <w:spacing w:after="0" w:line="240" w:lineRule="auto"/>
    </w:pPr>
  </w:style>
  <w:style w:type="character" w:styleId="PiedepginaCar" w:customStyle="1">
    <w:name w:val="Pie de página Car"/>
    <w:basedOn w:val="Fuentedeprrafopredeter"/>
    <w:link w:val="Piedepgina"/>
    <w:uiPriority w:val="99"/>
    <w:rsid w:val="00E618BF"/>
  </w:style>
  <w:style w:type="paragraph" w:styleId="Sinespaciado">
    <w:name w:val="No Spacing"/>
    <w:uiPriority w:val="1"/>
    <w:qFormat w:val="1"/>
    <w:rsid w:val="00FC693F"/>
    <w:pPr>
      <w:spacing w:after="0" w:line="240" w:lineRule="auto"/>
    </w:pPr>
  </w:style>
  <w:style w:type="character" w:styleId="Ttulo1Car" w:customStyle="1">
    <w:name w:val="Título 1 Car"/>
    <w:basedOn w:val="Fuentedeprrafopredeter"/>
    <w:link w:val="Ttulo1"/>
    <w:uiPriority w:val="9"/>
    <w:rsid w:val="00FC693F"/>
    <w:rPr>
      <w:rFonts w:asciiTheme="majorHAnsi" w:cstheme="majorBidi" w:eastAsiaTheme="majorEastAsia" w:hAnsiTheme="majorHAnsi"/>
      <w:b w:val="1"/>
      <w:bCs w:val="1"/>
      <w:color w:val="365f91" w:themeColor="accent1" w:themeShade="0000BF"/>
      <w:sz w:val="28"/>
      <w:szCs w:val="28"/>
    </w:rPr>
  </w:style>
  <w:style w:type="character" w:styleId="Ttulo2Car" w:customStyle="1">
    <w:name w:val="Título 2 Car"/>
    <w:basedOn w:val="Fuentedeprrafopredeter"/>
    <w:link w:val="Ttulo2"/>
    <w:uiPriority w:val="9"/>
    <w:rsid w:val="00FC693F"/>
    <w:rPr>
      <w:rFonts w:asciiTheme="majorHAnsi" w:cstheme="majorBidi" w:eastAsiaTheme="majorEastAsia" w:hAnsiTheme="majorHAnsi"/>
      <w:b w:val="1"/>
      <w:bCs w:val="1"/>
      <w:color w:val="4f81bd" w:themeColor="accent1"/>
      <w:sz w:val="26"/>
      <w:szCs w:val="26"/>
    </w:rPr>
  </w:style>
  <w:style w:type="character" w:styleId="Ttulo3Car" w:customStyle="1">
    <w:name w:val="Título 3 Car"/>
    <w:basedOn w:val="Fuentedeprrafopredeter"/>
    <w:link w:val="Ttulo3"/>
    <w:uiPriority w:val="9"/>
    <w:rsid w:val="00FC693F"/>
    <w:rPr>
      <w:rFonts w:asciiTheme="majorHAnsi" w:cstheme="majorBidi" w:eastAsiaTheme="majorEastAsia" w:hAnsiTheme="majorHAnsi"/>
      <w:b w:val="1"/>
      <w:bCs w:val="1"/>
      <w:color w:val="4f81bd" w:themeColor="accent1"/>
    </w:rPr>
  </w:style>
  <w:style w:type="character" w:styleId="TtuloCar" w:customStyle="1">
    <w:name w:val="Título Car"/>
    <w:basedOn w:val="Fuentedeprrafopredeter"/>
    <w:link w:val="Ttulo"/>
    <w:uiPriority w:val="10"/>
    <w:rsid w:val="00FA4272"/>
    <w:rPr>
      <w:rFonts w:asciiTheme="majorHAnsi" w:cstheme="majorBidi" w:eastAsiaTheme="majorEastAsia" w:hAnsiTheme="majorHAnsi"/>
      <w:color w:val="595959" w:themeColor="text1" w:themeTint="0000A6"/>
      <w:spacing w:val="5"/>
      <w:kern w:val="28"/>
      <w:sz w:val="52"/>
      <w:szCs w:val="52"/>
    </w:rPr>
  </w:style>
  <w:style w:type="character" w:styleId="SubttuloCar" w:customStyle="1">
    <w:name w:val="Subtítulo Car"/>
    <w:basedOn w:val="Fuentedeprrafopredeter"/>
    <w:link w:val="Subttulo"/>
    <w:uiPriority w:val="11"/>
    <w:rsid w:val="00FC693F"/>
    <w:rPr>
      <w:rFonts w:asciiTheme="majorHAnsi" w:cstheme="majorBidi" w:eastAsiaTheme="majorEastAsia" w:hAnsiTheme="majorHAnsi"/>
      <w:i w:val="1"/>
      <w:iCs w:val="1"/>
      <w:color w:val="4f81bd" w:themeColor="accent1"/>
      <w:spacing w:val="15"/>
      <w:sz w:val="24"/>
      <w:szCs w:val="24"/>
    </w:rPr>
  </w:style>
  <w:style w:type="paragraph" w:styleId="Prrafodelista">
    <w:name w:val="List Paragraph"/>
    <w:basedOn w:val="Normal"/>
    <w:uiPriority w:val="34"/>
    <w:qFormat w:val="1"/>
    <w:rsid w:val="00FC693F"/>
    <w:pPr>
      <w:ind w:left="720"/>
      <w:contextualSpacing w:val="1"/>
    </w:pPr>
  </w:style>
  <w:style w:type="paragraph" w:styleId="Textoindependiente">
    <w:name w:val="Body Text"/>
    <w:basedOn w:val="Normal"/>
    <w:link w:val="TextoindependienteCar"/>
    <w:uiPriority w:val="99"/>
    <w:unhideWhenUsed w:val="1"/>
    <w:rsid w:val="00AA1D8D"/>
    <w:pPr>
      <w:spacing w:after="120"/>
    </w:pPr>
  </w:style>
  <w:style w:type="character" w:styleId="TextoindependienteCar" w:customStyle="1">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val="1"/>
    <w:rsid w:val="00AA1D8D"/>
    <w:pPr>
      <w:spacing w:after="120" w:line="480" w:lineRule="auto"/>
    </w:pPr>
  </w:style>
  <w:style w:type="character" w:styleId="Textoindependiente2Car" w:customStyle="1">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val="1"/>
    <w:rsid w:val="00AA1D8D"/>
    <w:pPr>
      <w:spacing w:after="120"/>
    </w:pPr>
    <w:rPr>
      <w:sz w:val="16"/>
      <w:szCs w:val="16"/>
    </w:rPr>
  </w:style>
  <w:style w:type="character" w:styleId="Textoindependiente3Car" w:customStyle="1">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val="1"/>
    <w:rsid w:val="00AA1D8D"/>
    <w:pPr>
      <w:ind w:left="360" w:hanging="360"/>
      <w:contextualSpacing w:val="1"/>
    </w:pPr>
  </w:style>
  <w:style w:type="paragraph" w:styleId="Lista2">
    <w:name w:val="List 2"/>
    <w:basedOn w:val="Normal"/>
    <w:uiPriority w:val="99"/>
    <w:unhideWhenUsed w:val="1"/>
    <w:rsid w:val="00326F90"/>
    <w:pPr>
      <w:ind w:left="720" w:hanging="360"/>
      <w:contextualSpacing w:val="1"/>
    </w:pPr>
  </w:style>
  <w:style w:type="paragraph" w:styleId="Lista3">
    <w:name w:val="List 3"/>
    <w:basedOn w:val="Normal"/>
    <w:uiPriority w:val="99"/>
    <w:unhideWhenUsed w:val="1"/>
    <w:rsid w:val="00326F90"/>
    <w:pPr>
      <w:ind w:left="1080" w:hanging="360"/>
      <w:contextualSpacing w:val="1"/>
    </w:pPr>
  </w:style>
  <w:style w:type="paragraph" w:styleId="Listaconvietas">
    <w:name w:val="List Bullet"/>
    <w:basedOn w:val="Normal"/>
    <w:uiPriority w:val="99"/>
    <w:unhideWhenUsed w:val="1"/>
    <w:rsid w:val="00326F90"/>
    <w:pPr>
      <w:numPr>
        <w:numId w:val="1"/>
      </w:numPr>
      <w:contextualSpacing w:val="1"/>
    </w:pPr>
  </w:style>
  <w:style w:type="paragraph" w:styleId="Listaconvietas2">
    <w:name w:val="List Bullet 2"/>
    <w:basedOn w:val="Normal"/>
    <w:uiPriority w:val="99"/>
    <w:unhideWhenUsed w:val="1"/>
    <w:rsid w:val="00326F90"/>
    <w:pPr>
      <w:numPr>
        <w:numId w:val="2"/>
      </w:numPr>
      <w:contextualSpacing w:val="1"/>
    </w:pPr>
  </w:style>
  <w:style w:type="paragraph" w:styleId="Listaconvietas3">
    <w:name w:val="List Bullet 3"/>
    <w:basedOn w:val="Normal"/>
    <w:uiPriority w:val="99"/>
    <w:unhideWhenUsed w:val="1"/>
    <w:rsid w:val="00326F90"/>
    <w:pPr>
      <w:numPr>
        <w:numId w:val="3"/>
      </w:numPr>
      <w:contextualSpacing w:val="1"/>
    </w:pPr>
  </w:style>
  <w:style w:type="paragraph" w:styleId="Listaconnmeros">
    <w:name w:val="List Number"/>
    <w:basedOn w:val="Normal"/>
    <w:uiPriority w:val="99"/>
    <w:unhideWhenUsed w:val="1"/>
    <w:rsid w:val="00326F90"/>
    <w:pPr>
      <w:numPr>
        <w:numId w:val="5"/>
      </w:numPr>
      <w:contextualSpacing w:val="1"/>
    </w:pPr>
  </w:style>
  <w:style w:type="paragraph" w:styleId="Listaconnmeros2">
    <w:name w:val="List Number 2"/>
    <w:basedOn w:val="Normal"/>
    <w:uiPriority w:val="99"/>
    <w:unhideWhenUsed w:val="1"/>
    <w:rsid w:val="0029639D"/>
    <w:pPr>
      <w:numPr>
        <w:numId w:val="6"/>
      </w:numPr>
      <w:contextualSpacing w:val="1"/>
    </w:pPr>
  </w:style>
  <w:style w:type="paragraph" w:styleId="Listaconnmeros3">
    <w:name w:val="List Number 3"/>
    <w:basedOn w:val="Normal"/>
    <w:uiPriority w:val="99"/>
    <w:unhideWhenUsed w:val="1"/>
    <w:rsid w:val="0029639D"/>
    <w:pPr>
      <w:numPr>
        <w:numId w:val="7"/>
      </w:numPr>
      <w:contextualSpacing w:val="1"/>
    </w:pPr>
  </w:style>
  <w:style w:type="paragraph" w:styleId="Continuarlista">
    <w:name w:val="List Continue"/>
    <w:basedOn w:val="Normal"/>
    <w:uiPriority w:val="99"/>
    <w:unhideWhenUsed w:val="1"/>
    <w:rsid w:val="0029639D"/>
    <w:pPr>
      <w:spacing w:after="120"/>
      <w:ind w:left="360"/>
      <w:contextualSpacing w:val="1"/>
    </w:pPr>
  </w:style>
  <w:style w:type="paragraph" w:styleId="Continuarlista2">
    <w:name w:val="List Continue 2"/>
    <w:basedOn w:val="Normal"/>
    <w:uiPriority w:val="99"/>
    <w:unhideWhenUsed w:val="1"/>
    <w:rsid w:val="0029639D"/>
    <w:pPr>
      <w:spacing w:after="120"/>
      <w:ind w:left="720"/>
      <w:contextualSpacing w:val="1"/>
    </w:pPr>
  </w:style>
  <w:style w:type="paragraph" w:styleId="Continuarlista3">
    <w:name w:val="List Continue 3"/>
    <w:basedOn w:val="Normal"/>
    <w:uiPriority w:val="99"/>
    <w:unhideWhenUsed w:val="1"/>
    <w:rsid w:val="0029639D"/>
    <w:pPr>
      <w:spacing w:after="120"/>
      <w:ind w:left="1080"/>
      <w:contextualSpacing w:val="1"/>
    </w:pPr>
  </w:style>
  <w:style w:type="paragraph" w:styleId="Textomacro">
    <w:name w:val="macro"/>
    <w:link w:val="TextomacroCar"/>
    <w:uiPriority w:val="99"/>
    <w:unhideWhenUsed w:val="1"/>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TextomacroCar" w:customStyle="1">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val="1"/>
    <w:rsid w:val="00FC693F"/>
    <w:rPr>
      <w:i w:val="1"/>
      <w:iCs w:val="1"/>
      <w:color w:val="000000" w:themeColor="text1"/>
    </w:rPr>
  </w:style>
  <w:style w:type="character" w:styleId="CitaCar" w:customStyle="1">
    <w:name w:val="Cita Car"/>
    <w:basedOn w:val="Fuentedeprrafopredeter"/>
    <w:link w:val="Cita"/>
    <w:uiPriority w:val="29"/>
    <w:rsid w:val="00FC693F"/>
    <w:rPr>
      <w:i w:val="1"/>
      <w:iCs w:val="1"/>
      <w:color w:val="000000" w:themeColor="text1"/>
    </w:rPr>
  </w:style>
  <w:style w:type="character" w:styleId="Ttulo4Car" w:customStyle="1">
    <w:name w:val="Título 4 Car"/>
    <w:basedOn w:val="Fuentedeprrafopredeter"/>
    <w:link w:val="Ttulo4"/>
    <w:uiPriority w:val="9"/>
    <w:semiHidden w:val="1"/>
    <w:rsid w:val="00FC693F"/>
    <w:rPr>
      <w:rFonts w:asciiTheme="majorHAnsi" w:cstheme="majorBidi" w:eastAsiaTheme="majorEastAsia" w:hAnsiTheme="majorHAnsi"/>
      <w:b w:val="1"/>
      <w:bCs w:val="1"/>
      <w:i w:val="1"/>
      <w:iCs w:val="1"/>
      <w:color w:val="4f81bd" w:themeColor="accent1"/>
    </w:rPr>
  </w:style>
  <w:style w:type="character" w:styleId="Ttulo5Car" w:customStyle="1">
    <w:name w:val="Título 5 Car"/>
    <w:basedOn w:val="Fuentedeprrafopredeter"/>
    <w:link w:val="Ttulo5"/>
    <w:uiPriority w:val="9"/>
    <w:semiHidden w:val="1"/>
    <w:rsid w:val="00FC693F"/>
    <w:rPr>
      <w:rFonts w:asciiTheme="majorHAnsi" w:cstheme="majorBidi" w:eastAsiaTheme="majorEastAsia" w:hAnsiTheme="majorHAnsi"/>
      <w:color w:val="243f60" w:themeColor="accent1" w:themeShade="00007F"/>
    </w:rPr>
  </w:style>
  <w:style w:type="character" w:styleId="Ttulo6Car" w:customStyle="1">
    <w:name w:val="Título 6 Car"/>
    <w:basedOn w:val="Fuentedeprrafopredeter"/>
    <w:link w:val="Ttulo6"/>
    <w:uiPriority w:val="9"/>
    <w:semiHidden w:val="1"/>
    <w:rsid w:val="00FC693F"/>
    <w:rPr>
      <w:rFonts w:asciiTheme="majorHAnsi" w:cstheme="majorBidi" w:eastAsiaTheme="majorEastAsia" w:hAnsiTheme="majorHAnsi"/>
      <w:i w:val="1"/>
      <w:iCs w:val="1"/>
      <w:color w:val="243f60" w:themeColor="accent1" w:themeShade="00007F"/>
    </w:rPr>
  </w:style>
  <w:style w:type="character" w:styleId="Ttulo7Car" w:customStyle="1">
    <w:name w:val="Título 7 Car"/>
    <w:basedOn w:val="Fuentedeprrafopredeter"/>
    <w:link w:val="Ttulo7"/>
    <w:uiPriority w:val="9"/>
    <w:semiHidden w:val="1"/>
    <w:rsid w:val="00FC693F"/>
    <w:rPr>
      <w:rFonts w:asciiTheme="majorHAnsi" w:cstheme="majorBidi" w:eastAsiaTheme="majorEastAsia" w:hAnsiTheme="majorHAnsi"/>
      <w:i w:val="1"/>
      <w:iCs w:val="1"/>
      <w:color w:val="404040" w:themeColor="text1" w:themeTint="0000BF"/>
    </w:rPr>
  </w:style>
  <w:style w:type="character" w:styleId="Ttulo8Car" w:customStyle="1">
    <w:name w:val="Título 8 Car"/>
    <w:basedOn w:val="Fuentedeprrafopredeter"/>
    <w:link w:val="Ttulo8"/>
    <w:uiPriority w:val="9"/>
    <w:semiHidden w:val="1"/>
    <w:rsid w:val="00FC693F"/>
    <w:rPr>
      <w:rFonts w:asciiTheme="majorHAnsi" w:cstheme="majorBidi" w:eastAsiaTheme="majorEastAsia" w:hAnsiTheme="majorHAnsi"/>
      <w:color w:val="4f81bd" w:themeColor="accent1"/>
      <w:sz w:val="20"/>
      <w:szCs w:val="20"/>
    </w:rPr>
  </w:style>
  <w:style w:type="character" w:styleId="Ttulo9Car" w:customStyle="1">
    <w:name w:val="Título 9 Car"/>
    <w:basedOn w:val="Fuentedeprrafopredeter"/>
    <w:link w:val="Ttulo9"/>
    <w:uiPriority w:val="9"/>
    <w:semiHidden w:val="1"/>
    <w:rsid w:val="00FC693F"/>
    <w:rPr>
      <w:rFonts w:asciiTheme="majorHAnsi" w:cstheme="majorBidi" w:eastAsiaTheme="majorEastAsia" w:hAnsiTheme="majorHAnsi"/>
      <w:i w:val="1"/>
      <w:iCs w:val="1"/>
      <w:color w:val="404040" w:themeColor="text1" w:themeTint="0000BF"/>
      <w:sz w:val="20"/>
      <w:szCs w:val="20"/>
    </w:rPr>
  </w:style>
  <w:style w:type="paragraph" w:styleId="Descripcin">
    <w:name w:val="caption"/>
    <w:basedOn w:val="Normal"/>
    <w:next w:val="Normal"/>
    <w:uiPriority w:val="35"/>
    <w:semiHidden w:val="1"/>
    <w:unhideWhenUsed w:val="1"/>
    <w:qFormat w:val="1"/>
    <w:rsid w:val="00FC693F"/>
    <w:pPr>
      <w:spacing w:line="240" w:lineRule="auto"/>
    </w:pPr>
    <w:rPr>
      <w:b w:val="1"/>
      <w:bCs w:val="1"/>
      <w:color w:val="4f81bd" w:themeColor="accent1"/>
      <w:sz w:val="18"/>
      <w:szCs w:val="18"/>
    </w:rPr>
  </w:style>
  <w:style w:type="character" w:styleId="Textoennegrita">
    <w:name w:val="Strong"/>
    <w:basedOn w:val="Fuentedeprrafopredeter"/>
    <w:uiPriority w:val="22"/>
    <w:qFormat w:val="1"/>
    <w:rsid w:val="00FC693F"/>
    <w:rPr>
      <w:b w:val="1"/>
      <w:bCs w:val="1"/>
    </w:rPr>
  </w:style>
  <w:style w:type="character" w:styleId="nfasis">
    <w:name w:val="Emphasis"/>
    <w:basedOn w:val="Fuentedeprrafopredeter"/>
    <w:uiPriority w:val="20"/>
    <w:qFormat w:val="1"/>
    <w:rsid w:val="00FC693F"/>
    <w:rPr>
      <w:i w:val="1"/>
      <w:iCs w:val="1"/>
    </w:rPr>
  </w:style>
  <w:style w:type="paragraph" w:styleId="Citadestacada">
    <w:name w:val="Intense Quote"/>
    <w:basedOn w:val="Normal"/>
    <w:next w:val="Normal"/>
    <w:link w:val="CitadestacadaCar"/>
    <w:uiPriority w:val="30"/>
    <w:qFormat w:val="1"/>
    <w:rsid w:val="00FC693F"/>
    <w:pPr>
      <w:pBdr>
        <w:bottom w:color="4f81bd" w:space="4" w:sz="4" w:themeColor="accent1" w:val="single"/>
      </w:pBdr>
      <w:spacing w:after="280" w:before="200"/>
      <w:ind w:left="936" w:right="936"/>
    </w:pPr>
    <w:rPr>
      <w:b w:val="1"/>
      <w:bCs w:val="1"/>
      <w:i w:val="1"/>
      <w:iCs w:val="1"/>
      <w:color w:val="4f81bd" w:themeColor="accent1"/>
    </w:rPr>
  </w:style>
  <w:style w:type="character" w:styleId="CitadestacadaCar" w:customStyle="1">
    <w:name w:val="Cita destacada Car"/>
    <w:basedOn w:val="Fuentedeprrafopredeter"/>
    <w:link w:val="Citadestacada"/>
    <w:uiPriority w:val="30"/>
    <w:rsid w:val="00FC693F"/>
    <w:rPr>
      <w:b w:val="1"/>
      <w:bCs w:val="1"/>
      <w:i w:val="1"/>
      <w:iCs w:val="1"/>
      <w:color w:val="4f81bd" w:themeColor="accent1"/>
    </w:rPr>
  </w:style>
  <w:style w:type="character" w:styleId="nfasissutil">
    <w:name w:val="Subtle Emphasis"/>
    <w:basedOn w:val="Fuentedeprrafopredeter"/>
    <w:uiPriority w:val="19"/>
    <w:qFormat w:val="1"/>
    <w:rsid w:val="00FC693F"/>
    <w:rPr>
      <w:i w:val="1"/>
      <w:iCs w:val="1"/>
      <w:color w:val="808080" w:themeColor="text1" w:themeTint="00007F"/>
    </w:rPr>
  </w:style>
  <w:style w:type="character" w:styleId="nfasisintenso">
    <w:name w:val="Intense Emphasis"/>
    <w:basedOn w:val="Fuentedeprrafopredeter"/>
    <w:uiPriority w:val="21"/>
    <w:qFormat w:val="1"/>
    <w:rsid w:val="00FC693F"/>
    <w:rPr>
      <w:b w:val="1"/>
      <w:bCs w:val="1"/>
      <w:i w:val="1"/>
      <w:iCs w:val="1"/>
      <w:color w:val="4f81bd" w:themeColor="accent1"/>
    </w:rPr>
  </w:style>
  <w:style w:type="character" w:styleId="Referenciasutil">
    <w:name w:val="Subtle Reference"/>
    <w:basedOn w:val="Fuentedeprrafopredeter"/>
    <w:uiPriority w:val="31"/>
    <w:qFormat w:val="1"/>
    <w:rsid w:val="00FC693F"/>
    <w:rPr>
      <w:smallCaps w:val="1"/>
      <w:color w:val="c0504d" w:themeColor="accent2"/>
      <w:u w:val="single"/>
    </w:rPr>
  </w:style>
  <w:style w:type="character" w:styleId="Referenciaintensa">
    <w:name w:val="Intense Reference"/>
    <w:basedOn w:val="Fuentedeprrafopredeter"/>
    <w:uiPriority w:val="32"/>
    <w:qFormat w:val="1"/>
    <w:rsid w:val="00FC693F"/>
    <w:rPr>
      <w:b w:val="1"/>
      <w:bCs w:val="1"/>
      <w:smallCaps w:val="1"/>
      <w:color w:val="c0504d" w:themeColor="accent2"/>
      <w:spacing w:val="5"/>
      <w:u w:val="single"/>
    </w:rPr>
  </w:style>
  <w:style w:type="character" w:styleId="Ttulodellibro">
    <w:name w:val="Book Title"/>
    <w:basedOn w:val="Fuentedeprrafopredeter"/>
    <w:uiPriority w:val="33"/>
    <w:qFormat w:val="1"/>
    <w:rsid w:val="00FC693F"/>
    <w:rPr>
      <w:b w:val="1"/>
      <w:bCs w:val="1"/>
      <w:smallCaps w:val="1"/>
      <w:spacing w:val="5"/>
    </w:rPr>
  </w:style>
  <w:style w:type="paragraph" w:styleId="TtuloTDC">
    <w:name w:val="TOC Heading"/>
    <w:basedOn w:val="Ttulo1"/>
    <w:next w:val="Normal"/>
    <w:uiPriority w:val="39"/>
    <w:unhideWhenUsed w:val="1"/>
    <w:qFormat w:val="1"/>
    <w:rsid w:val="00FC693F"/>
    <w:pPr>
      <w:outlineLvl w:val="9"/>
    </w:pPr>
  </w:style>
  <w:style w:type="table" w:styleId="Tablaconcuadrcula">
    <w:name w:val="Table Grid"/>
    <w:basedOn w:val="Tablanormal"/>
    <w:uiPriority w:val="59"/>
    <w:rsid w:val="00FC693F"/>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Sombreadoclaro">
    <w:name w:val="Light Shading"/>
    <w:basedOn w:val="Tablanormal"/>
    <w:uiPriority w:val="60"/>
    <w:rsid w:val="00FC693F"/>
    <w:pPr>
      <w:spacing w:after="0" w:line="240" w:lineRule="auto"/>
    </w:pPr>
    <w:rPr>
      <w:color w:val="000000" w:themeColor="text1" w:themeShade="0000BF"/>
    </w:rPr>
    <w:tblPr>
      <w:tblStyleRowBandSize w:val="1"/>
      <w:tblStyleColBandSize w:val="1"/>
      <w:tblBorders>
        <w:top w:color="000000" w:space="0" w:sz="8" w:themeColor="text1" w:val="single"/>
        <w:bottom w:color="000000" w:space="0" w:sz="8" w:themeColor="text1" w:val="single"/>
      </w:tblBorders>
    </w:tblPr>
    <w:tblStylePr w:type="fir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left w:space="0" w:sz="0" w:val="nil"/>
          <w:right w:space="0" w:sz="0" w:val="nil"/>
          <w:insideH w:space="0" w:sz="0" w:val="nil"/>
          <w:insideV w:space="0" w:sz="0" w:val="nil"/>
        </w:tcBorders>
        <w:shd w:color="auto" w:fill="c0c0c0" w:themeFill="text1" w:themeFillTint="00003F" w:val="clear"/>
      </w:tcPr>
    </w:tblStylePr>
  </w:style>
  <w:style w:type="table" w:styleId="Sombreadoclaro-nfasis1">
    <w:name w:val="Light Shading Accent 1"/>
    <w:basedOn w:val="Tablanormal"/>
    <w:uiPriority w:val="60"/>
    <w:rsid w:val="00FC693F"/>
    <w:pPr>
      <w:spacing w:after="0" w:line="240" w:lineRule="auto"/>
    </w:pPr>
    <w:rPr>
      <w:color w:val="365f91" w:themeColor="accent1" w:themeShade="0000BF"/>
    </w:rPr>
    <w:tblPr>
      <w:tblStyleRowBandSize w:val="1"/>
      <w:tblStyleColBandSize w:val="1"/>
      <w:tblBorders>
        <w:top w:color="4f81bd" w:space="0" w:sz="8" w:themeColor="accent1" w:val="single"/>
        <w:bottom w:color="4f81bd" w:space="0" w:sz="8" w:themeColor="accent1" w:val="single"/>
      </w:tblBorders>
    </w:tblPr>
    <w:tblStylePr w:type="fir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left w:space="0" w:sz="0" w:val="nil"/>
          <w:right w:space="0" w:sz="0" w:val="nil"/>
          <w:insideH w:space="0" w:sz="0" w:val="nil"/>
          <w:insideV w:space="0" w:sz="0" w:val="nil"/>
        </w:tcBorders>
        <w:shd w:color="auto" w:fill="d3dfee" w:themeFill="accent1" w:themeFillTint="00003F" w:val="clear"/>
      </w:tcPr>
    </w:tblStylePr>
  </w:style>
  <w:style w:type="table" w:styleId="Sombreadoclaro-nfasis2">
    <w:name w:val="Light Shading Accent 2"/>
    <w:basedOn w:val="Tablanormal"/>
    <w:uiPriority w:val="60"/>
    <w:rsid w:val="00FC693F"/>
    <w:pPr>
      <w:spacing w:after="0" w:line="240" w:lineRule="auto"/>
    </w:pPr>
    <w:rPr>
      <w:color w:val="943634" w:themeColor="accent2" w:themeShade="0000BF"/>
    </w:rPr>
    <w:tblPr>
      <w:tblStyleRowBandSize w:val="1"/>
      <w:tblStyleColBandSize w:val="1"/>
      <w:tblBorders>
        <w:top w:color="c0504d" w:space="0" w:sz="8" w:themeColor="accent2" w:val="single"/>
        <w:bottom w:color="c0504d" w:space="0" w:sz="8" w:themeColor="accent2" w:val="single"/>
      </w:tblBorders>
    </w:tblPr>
    <w:tblStylePr w:type="fir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la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left w:space="0" w:sz="0" w:val="nil"/>
          <w:right w:space="0" w:sz="0" w:val="nil"/>
          <w:insideH w:space="0" w:sz="0" w:val="nil"/>
          <w:insideV w:space="0" w:sz="0" w:val="nil"/>
        </w:tcBorders>
        <w:shd w:color="auto" w:fill="efd3d2" w:themeFill="accent2" w:themeFillTint="00003F" w:val="clear"/>
      </w:tcPr>
    </w:tblStylePr>
  </w:style>
  <w:style w:type="table" w:styleId="Sombreadoclaro-nfasis3">
    <w:name w:val="Light Shading Accent 3"/>
    <w:basedOn w:val="Tablanormal"/>
    <w:uiPriority w:val="60"/>
    <w:rsid w:val="00FC693F"/>
    <w:pPr>
      <w:spacing w:after="0" w:line="240" w:lineRule="auto"/>
    </w:pPr>
    <w:rPr>
      <w:color w:val="76923c" w:themeColor="accent3" w:themeShade="0000BF"/>
    </w:rPr>
    <w:tblPr>
      <w:tblStyleRowBandSize w:val="1"/>
      <w:tblStyleColBandSize w:val="1"/>
      <w:tblBorders>
        <w:top w:color="9bbb59" w:space="0" w:sz="8" w:themeColor="accent3" w:val="single"/>
        <w:bottom w:color="9bbb59" w:space="0" w:sz="8" w:themeColor="accent3" w:val="single"/>
      </w:tblBorders>
    </w:tblPr>
    <w:tblStylePr w:type="fir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la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left w:space="0" w:sz="0" w:val="nil"/>
          <w:right w:space="0" w:sz="0" w:val="nil"/>
          <w:insideH w:space="0" w:sz="0" w:val="nil"/>
          <w:insideV w:space="0" w:sz="0" w:val="nil"/>
        </w:tcBorders>
        <w:shd w:color="auto" w:fill="e6eed5" w:themeFill="accent3" w:themeFillTint="00003F" w:val="clear"/>
      </w:tcPr>
    </w:tblStylePr>
  </w:style>
  <w:style w:type="table" w:styleId="Sombreadoclaro-nfasis4">
    <w:name w:val="Light Shading Accent 4"/>
    <w:basedOn w:val="Tablanormal"/>
    <w:uiPriority w:val="60"/>
    <w:rsid w:val="00FC693F"/>
    <w:pPr>
      <w:spacing w:after="0" w:line="240" w:lineRule="auto"/>
    </w:pPr>
    <w:rPr>
      <w:color w:val="5f497a" w:themeColor="accent4" w:themeShade="0000BF"/>
    </w:rPr>
    <w:tblPr>
      <w:tblStyleRowBandSize w:val="1"/>
      <w:tblStyleColBandSize w:val="1"/>
      <w:tblBorders>
        <w:top w:color="8064a2" w:space="0" w:sz="8" w:themeColor="accent4" w:val="single"/>
        <w:bottom w:color="8064a2" w:space="0" w:sz="8" w:themeColor="accent4" w:val="single"/>
      </w:tblBorders>
    </w:tblPr>
    <w:tblStylePr w:type="fir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la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left w:space="0" w:sz="0" w:val="nil"/>
          <w:right w:space="0" w:sz="0" w:val="nil"/>
          <w:insideH w:space="0" w:sz="0" w:val="nil"/>
          <w:insideV w:space="0" w:sz="0" w:val="nil"/>
        </w:tcBorders>
        <w:shd w:color="auto" w:fill="dfd8e8" w:themeFill="accent4" w:themeFillTint="00003F" w:val="clear"/>
      </w:tcPr>
    </w:tblStylePr>
  </w:style>
  <w:style w:type="table" w:styleId="Sombreadoclaro-nfasis5">
    <w:name w:val="Light Shading Accent 5"/>
    <w:basedOn w:val="Tablanormal"/>
    <w:uiPriority w:val="60"/>
    <w:rsid w:val="00FC693F"/>
    <w:pPr>
      <w:spacing w:after="0" w:line="240" w:lineRule="auto"/>
    </w:pPr>
    <w:rPr>
      <w:color w:val="31849b" w:themeColor="accent5" w:themeShade="0000BF"/>
    </w:rPr>
    <w:tblPr>
      <w:tblStyleRowBandSize w:val="1"/>
      <w:tblStyleColBandSize w:val="1"/>
      <w:tblBorders>
        <w:top w:color="4bacc6" w:space="0" w:sz="8" w:themeColor="accent5" w:val="single"/>
        <w:bottom w:color="4bacc6" w:space="0" w:sz="8" w:themeColor="accent5" w:val="single"/>
      </w:tblBorders>
    </w:tblPr>
    <w:tblStylePr w:type="fir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la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left w:space="0" w:sz="0" w:val="nil"/>
          <w:right w:space="0" w:sz="0" w:val="nil"/>
          <w:insideH w:space="0" w:sz="0" w:val="nil"/>
          <w:insideV w:space="0" w:sz="0" w:val="nil"/>
        </w:tcBorders>
        <w:shd w:color="auto" w:fill="d2eaf1" w:themeFill="accent5" w:themeFillTint="00003F" w:val="clear"/>
      </w:tcPr>
    </w:tblStylePr>
  </w:style>
  <w:style w:type="table" w:styleId="Sombreadoclaro-nfasis6">
    <w:name w:val="Light Shading Accent 6"/>
    <w:basedOn w:val="Tablanormal"/>
    <w:uiPriority w:val="60"/>
    <w:rsid w:val="00FC693F"/>
    <w:pPr>
      <w:spacing w:after="0" w:line="240" w:lineRule="auto"/>
    </w:pPr>
    <w:rPr>
      <w:color w:val="e36c0a" w:themeColor="accent6" w:themeShade="0000BF"/>
    </w:rPr>
    <w:tblPr>
      <w:tblStyleRowBandSize w:val="1"/>
      <w:tblStyleColBandSize w:val="1"/>
      <w:tblBorders>
        <w:top w:color="f79646" w:space="0" w:sz="8" w:themeColor="accent6" w:val="single"/>
        <w:bottom w:color="f79646" w:space="0" w:sz="8" w:themeColor="accent6" w:val="single"/>
      </w:tblBorders>
    </w:tblPr>
    <w:tblStylePr w:type="fir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la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left w:space="0" w:sz="0" w:val="nil"/>
          <w:right w:space="0" w:sz="0" w:val="nil"/>
          <w:insideH w:space="0" w:sz="0" w:val="nil"/>
          <w:insideV w:space="0" w:sz="0" w:val="nil"/>
        </w:tcBorders>
        <w:shd w:color="auto" w:fill="fde4d0" w:themeFill="accent6" w:themeFillTint="00003F" w:val="clear"/>
      </w:tcPr>
    </w:tblStylePr>
  </w:style>
  <w:style w:type="table" w:styleId="Listaclara">
    <w:name w:val="Light List"/>
    <w:basedOn w:val="Tablanormal"/>
    <w:uiPriority w:val="61"/>
    <w:rsid w:val="00FC693F"/>
    <w:pPr>
      <w:spacing w:after="0" w:line="240" w:lineRule="auto"/>
    </w:p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pPr>
        <w:spacing w:after="0" w:before="0" w:line="240" w:lineRule="auto"/>
      </w:pPr>
      <w:rPr>
        <w:b w:val="1"/>
        <w:bCs w:val="1"/>
        <w:color w:val="ffffff" w:themeColor="background1"/>
      </w:rPr>
      <w:tblPr/>
      <w:tcPr>
        <w:shd w:color="auto" w:fill="000000" w:themeFill="text1" w:val="clear"/>
      </w:tcPr>
    </w:tblStylePr>
    <w:tblStylePr w:type="lastRow">
      <w:pPr>
        <w:spacing w:after="0" w:before="0" w:line="240" w:lineRule="auto"/>
      </w:pPr>
      <w:rPr>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val="1"/>
        <w:bCs w:val="1"/>
      </w:rPr>
    </w:tblStylePr>
    <w:tblStylePr w:type="lastCol">
      <w:rPr>
        <w:b w:val="1"/>
        <w:bCs w:val="1"/>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pPr>
        <w:spacing w:after="0" w:before="0" w:line="240" w:lineRule="auto"/>
      </w:pPr>
      <w:rPr>
        <w:b w:val="1"/>
        <w:bCs w:val="1"/>
        <w:color w:val="ffffff" w:themeColor="background1"/>
      </w:rPr>
      <w:tblPr/>
      <w:tcPr>
        <w:shd w:color="auto" w:fill="4f81bd" w:themeFill="accent1" w:val="clear"/>
      </w:tcPr>
    </w:tblStylePr>
    <w:tblStylePr w:type="lastRow">
      <w:pPr>
        <w:spacing w:after="0" w:before="0" w:line="240" w:lineRule="auto"/>
      </w:pPr>
      <w:rPr>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val="1"/>
        <w:bCs w:val="1"/>
      </w:rPr>
    </w:tblStylePr>
    <w:tblStylePr w:type="lastCol">
      <w:rPr>
        <w:b w:val="1"/>
        <w:bCs w:val="1"/>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pPr>
        <w:spacing w:after="0" w:before="0" w:line="240" w:lineRule="auto"/>
      </w:pPr>
      <w:rPr>
        <w:b w:val="1"/>
        <w:bCs w:val="1"/>
        <w:color w:val="ffffff" w:themeColor="background1"/>
      </w:rPr>
      <w:tblPr/>
      <w:tcPr>
        <w:shd w:color="auto" w:fill="c0504d" w:themeFill="accent2" w:val="clear"/>
      </w:tcPr>
    </w:tblStylePr>
    <w:tblStylePr w:type="lastRow">
      <w:pPr>
        <w:spacing w:after="0" w:before="0" w:line="240" w:lineRule="auto"/>
      </w:pPr>
      <w:rPr>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val="1"/>
        <w:bCs w:val="1"/>
      </w:rPr>
    </w:tblStylePr>
    <w:tblStylePr w:type="lastCol">
      <w:rPr>
        <w:b w:val="1"/>
        <w:bCs w:val="1"/>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pPr>
        <w:spacing w:after="0" w:before="0" w:line="240" w:lineRule="auto"/>
      </w:pPr>
      <w:rPr>
        <w:b w:val="1"/>
        <w:bCs w:val="1"/>
        <w:color w:val="ffffff" w:themeColor="background1"/>
      </w:rPr>
      <w:tblPr/>
      <w:tcPr>
        <w:shd w:color="auto" w:fill="9bbb59" w:themeFill="accent3" w:val="clear"/>
      </w:tcPr>
    </w:tblStylePr>
    <w:tblStylePr w:type="lastRow">
      <w:pPr>
        <w:spacing w:after="0" w:before="0" w:line="240" w:lineRule="auto"/>
      </w:pPr>
      <w:rPr>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val="1"/>
        <w:bCs w:val="1"/>
      </w:rPr>
    </w:tblStylePr>
    <w:tblStylePr w:type="lastCol">
      <w:rPr>
        <w:b w:val="1"/>
        <w:bCs w:val="1"/>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pPr>
        <w:spacing w:after="0" w:before="0" w:line="240" w:lineRule="auto"/>
      </w:pPr>
      <w:rPr>
        <w:b w:val="1"/>
        <w:bCs w:val="1"/>
        <w:color w:val="ffffff" w:themeColor="background1"/>
      </w:rPr>
      <w:tblPr/>
      <w:tcPr>
        <w:shd w:color="auto" w:fill="8064a2" w:themeFill="accent4" w:val="clear"/>
      </w:tcPr>
    </w:tblStylePr>
    <w:tblStylePr w:type="lastRow">
      <w:pPr>
        <w:spacing w:after="0" w:before="0" w:line="240" w:lineRule="auto"/>
      </w:pPr>
      <w:rPr>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val="1"/>
        <w:bCs w:val="1"/>
      </w:rPr>
    </w:tblStylePr>
    <w:tblStylePr w:type="lastCol">
      <w:rPr>
        <w:b w:val="1"/>
        <w:bCs w:val="1"/>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pPr>
        <w:spacing w:after="0" w:before="0" w:line="240" w:lineRule="auto"/>
      </w:pPr>
      <w:rPr>
        <w:b w:val="1"/>
        <w:bCs w:val="1"/>
        <w:color w:val="ffffff" w:themeColor="background1"/>
      </w:rPr>
      <w:tblPr/>
      <w:tcPr>
        <w:shd w:color="auto" w:fill="4bacc6" w:themeFill="accent5" w:val="clear"/>
      </w:tcPr>
    </w:tblStylePr>
    <w:tblStylePr w:type="lastRow">
      <w:pPr>
        <w:spacing w:after="0" w:before="0" w:line="240" w:lineRule="auto"/>
      </w:pPr>
      <w:rPr>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val="1"/>
        <w:bCs w:val="1"/>
      </w:rPr>
    </w:tblStylePr>
    <w:tblStylePr w:type="lastCol">
      <w:rPr>
        <w:b w:val="1"/>
        <w:bCs w:val="1"/>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pPr>
        <w:spacing w:after="0" w:before="0" w:line="240" w:lineRule="auto"/>
      </w:pPr>
      <w:rPr>
        <w:b w:val="1"/>
        <w:bCs w:val="1"/>
        <w:color w:val="ffffff" w:themeColor="background1"/>
      </w:rPr>
      <w:tblPr/>
      <w:tcPr>
        <w:shd w:color="auto" w:fill="f79646" w:themeFill="accent6" w:val="clear"/>
      </w:tcPr>
    </w:tblStylePr>
    <w:tblStylePr w:type="lastRow">
      <w:pPr>
        <w:spacing w:after="0" w:before="0" w:line="240" w:lineRule="auto"/>
      </w:pPr>
      <w:rPr>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val="1"/>
        <w:bCs w:val="1"/>
      </w:rPr>
    </w:tblStylePr>
    <w:tblStylePr w:type="lastCol">
      <w:rPr>
        <w:b w:val="1"/>
        <w:bCs w:val="1"/>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blStylePr w:type="firstRow">
      <w:pPr>
        <w:spacing w:after="0" w:before="0" w:line="240" w:lineRule="auto"/>
      </w:pPr>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space="0" w:sz="0"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space="0" w:sz="0" w:val="nil"/>
          <w:insideV w:color="000000" w:space="0" w:sz="8" w:themeColor="tex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0000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0000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blStylePr w:type="firstRow">
      <w:pPr>
        <w:spacing w:after="0" w:before="0" w:line="240" w:lineRule="auto"/>
      </w:pPr>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space="0" w:sz="0"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space="0" w:sz="0" w:val="nil"/>
          <w:insideV w:color="4f81bd" w:space="0" w:sz="8" w:themeColor="accen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0000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0000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blStylePr w:type="firstRow">
      <w:pPr>
        <w:spacing w:after="0" w:before="0" w:line="240" w:lineRule="auto"/>
      </w:pPr>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space="0" w:sz="0"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space="0" w:sz="0" w:val="nil"/>
          <w:insideV w:color="c0504d" w:space="0" w:sz="8" w:themeColor="accent2"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0000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0000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blStylePr w:type="firstRow">
      <w:pPr>
        <w:spacing w:after="0" w:before="0" w:line="240" w:lineRule="auto"/>
      </w:pPr>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space="0" w:sz="0"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space="0" w:sz="0" w:val="nil"/>
          <w:insideV w:color="9bbb59" w:space="0" w:sz="8" w:themeColor="accent3"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0000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0000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blStylePr w:type="firstRow">
      <w:pPr>
        <w:spacing w:after="0" w:before="0" w:line="240" w:lineRule="auto"/>
      </w:pPr>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space="0" w:sz="0"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space="0" w:sz="0" w:val="nil"/>
          <w:insideV w:color="8064a2" w:space="0" w:sz="8" w:themeColor="accent4"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0000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0000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blStylePr w:type="firstRow">
      <w:pPr>
        <w:spacing w:after="0" w:before="0" w:line="240" w:lineRule="auto"/>
      </w:pPr>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space="0" w:sz="0"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space="0" w:sz="0" w:val="nil"/>
          <w:insideV w:color="4bacc6" w:space="0" w:sz="8" w:themeColor="accent5"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0000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0000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blStylePr w:type="firstRow">
      <w:pPr>
        <w:spacing w:after="0" w:before="0" w:line="240" w:lineRule="auto"/>
      </w:pPr>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space="0" w:sz="0"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space="0" w:sz="0" w:val="nil"/>
          <w:insideV w:color="f79646" w:space="0" w:sz="8" w:themeColor="accent6"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0000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0000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tblBorders>
    </w:tblPr>
    <w:tblStylePr w:type="firstRow">
      <w:pPr>
        <w:spacing w:after="0" w:before="0" w:line="240" w:lineRule="auto"/>
      </w:pPr>
      <w:rPr>
        <w:b w:val="1"/>
        <w:bCs w:val="1"/>
        <w:color w:val="ffffff" w:themeColor="background1"/>
      </w:rPr>
      <w:tblPr/>
      <w:tcPr>
        <w:tc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shd w:color="auto" w:fill="000000" w:themeFill="text1" w:val="clear"/>
      </w:tcPr>
    </w:tblStylePr>
    <w:tblStylePr w:type="lastRow">
      <w:pPr>
        <w:spacing w:after="0" w:before="0" w:line="240" w:lineRule="auto"/>
      </w:pPr>
      <w:rPr>
        <w:b w:val="1"/>
        <w:bCs w:val="1"/>
      </w:rPr>
      <w:tblPr/>
      <w:tcPr>
        <w:tcBorders>
          <w:top w:color="404040" w:space="0" w:sz="6" w:themeColor="text1" w:themeTint="0000BF" w:val="doub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c0c0c0" w:themeFill="text1" w:themeFillTint="00003F" w:val="clear"/>
      </w:tcPr>
    </w:tblStylePr>
    <w:tblStylePr w:type="band1Horz">
      <w:tblPr/>
      <w:tcPr>
        <w:tcBorders>
          <w:insideH w:space="0" w:sz="0" w:val="nil"/>
          <w:insideV w:space="0" w:sz="0" w:val="nil"/>
        </w:tcBorders>
        <w:shd w:color="auto" w:fill="c0c0c0" w:themeFill="text1" w:themeFillTint="00003F" w:val="clear"/>
      </w:tcPr>
    </w:tblStylePr>
    <w:tblStylePr w:type="band2Horz">
      <w:tblPr/>
      <w:tcPr>
        <w:tcBorders>
          <w:insideH w:space="0" w:sz="0" w:val="nil"/>
          <w:insideV w:space="0" w:sz="0"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tblBorders>
    </w:tblPr>
    <w:tblStylePr w:type="firstRow">
      <w:pPr>
        <w:spacing w:after="0" w:before="0" w:line="240" w:lineRule="auto"/>
      </w:pPr>
      <w:rPr>
        <w:b w:val="1"/>
        <w:bCs w:val="1"/>
        <w:color w:val="ffffff" w:themeColor="background1"/>
      </w:rPr>
      <w:tblPr/>
      <w:tcPr>
        <w:tc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shd w:color="auto" w:fill="4f81bd" w:themeFill="accent1" w:val="clear"/>
      </w:tcPr>
    </w:tblStylePr>
    <w:tblStylePr w:type="lastRow">
      <w:pPr>
        <w:spacing w:after="0" w:before="0" w:line="240" w:lineRule="auto"/>
      </w:pPr>
      <w:rPr>
        <w:b w:val="1"/>
        <w:bCs w:val="1"/>
      </w:rPr>
      <w:tblPr/>
      <w:tcPr>
        <w:tcBorders>
          <w:top w:color="7ba0cd" w:space="0" w:sz="6" w:themeColor="accent1" w:themeTint="0000BF" w:val="doub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3dfee" w:themeFill="accent1" w:themeFillTint="00003F" w:val="clear"/>
      </w:tcPr>
    </w:tblStylePr>
    <w:tblStylePr w:type="band1Horz">
      <w:tblPr/>
      <w:tcPr>
        <w:tcBorders>
          <w:insideH w:space="0" w:sz="0" w:val="nil"/>
          <w:insideV w:space="0" w:sz="0" w:val="nil"/>
        </w:tcBorders>
        <w:shd w:color="auto" w:fill="d3dfee" w:themeFill="accent1" w:themeFillTint="00003F" w:val="clear"/>
      </w:tcPr>
    </w:tblStylePr>
    <w:tblStylePr w:type="band2Horz">
      <w:tblPr/>
      <w:tcPr>
        <w:tcBorders>
          <w:insideH w:space="0" w:sz="0" w:val="nil"/>
          <w:insideV w:space="0" w:sz="0"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tblBorders>
    </w:tblPr>
    <w:tblStylePr w:type="firstRow">
      <w:pPr>
        <w:spacing w:after="0" w:before="0" w:line="240" w:lineRule="auto"/>
      </w:pPr>
      <w:rPr>
        <w:b w:val="1"/>
        <w:bCs w:val="1"/>
        <w:color w:val="ffffff" w:themeColor="background1"/>
      </w:rPr>
      <w:tblPr/>
      <w:tcPr>
        <w:tc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shd w:color="auto" w:fill="c0504d" w:themeFill="accent2" w:val="clear"/>
      </w:tcPr>
    </w:tblStylePr>
    <w:tblStylePr w:type="lastRow">
      <w:pPr>
        <w:spacing w:after="0" w:before="0" w:line="240" w:lineRule="auto"/>
      </w:pPr>
      <w:rPr>
        <w:b w:val="1"/>
        <w:bCs w:val="1"/>
      </w:rPr>
      <w:tblPr/>
      <w:tcPr>
        <w:tcBorders>
          <w:top w:color="cf7b79" w:space="0" w:sz="6" w:themeColor="accent2" w:themeTint="0000BF" w:val="doub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fd3d2" w:themeFill="accent2" w:themeFillTint="00003F" w:val="clear"/>
      </w:tcPr>
    </w:tblStylePr>
    <w:tblStylePr w:type="band1Horz">
      <w:tblPr/>
      <w:tcPr>
        <w:tcBorders>
          <w:insideH w:space="0" w:sz="0" w:val="nil"/>
          <w:insideV w:space="0" w:sz="0" w:val="nil"/>
        </w:tcBorders>
        <w:shd w:color="auto" w:fill="efd3d2" w:themeFill="accent2" w:themeFillTint="00003F" w:val="clear"/>
      </w:tcPr>
    </w:tblStylePr>
    <w:tblStylePr w:type="band2Horz">
      <w:tblPr/>
      <w:tcPr>
        <w:tcBorders>
          <w:insideH w:space="0" w:sz="0" w:val="nil"/>
          <w:insideV w:space="0" w:sz="0"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tblBorders>
    </w:tblPr>
    <w:tblStylePr w:type="firstRow">
      <w:pPr>
        <w:spacing w:after="0" w:before="0" w:line="240" w:lineRule="auto"/>
      </w:pPr>
      <w:rPr>
        <w:b w:val="1"/>
        <w:bCs w:val="1"/>
        <w:color w:val="ffffff" w:themeColor="background1"/>
      </w:rPr>
      <w:tblPr/>
      <w:tcPr>
        <w:tc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shd w:color="auto" w:fill="9bbb59" w:themeFill="accent3" w:val="clear"/>
      </w:tcPr>
    </w:tblStylePr>
    <w:tblStylePr w:type="lastRow">
      <w:pPr>
        <w:spacing w:after="0" w:before="0" w:line="240" w:lineRule="auto"/>
      </w:pPr>
      <w:rPr>
        <w:b w:val="1"/>
        <w:bCs w:val="1"/>
      </w:rPr>
      <w:tblPr/>
      <w:tcPr>
        <w:tcBorders>
          <w:top w:color="b3cc82" w:space="0" w:sz="6" w:themeColor="accent3" w:themeTint="0000BF" w:val="doub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6eed5" w:themeFill="accent3" w:themeFillTint="00003F" w:val="clear"/>
      </w:tcPr>
    </w:tblStylePr>
    <w:tblStylePr w:type="band1Horz">
      <w:tblPr/>
      <w:tcPr>
        <w:tcBorders>
          <w:insideH w:space="0" w:sz="0" w:val="nil"/>
          <w:insideV w:space="0" w:sz="0" w:val="nil"/>
        </w:tcBorders>
        <w:shd w:color="auto" w:fill="e6eed5" w:themeFill="accent3" w:themeFillTint="00003F" w:val="clear"/>
      </w:tcPr>
    </w:tblStylePr>
    <w:tblStylePr w:type="band2Horz">
      <w:tblPr/>
      <w:tcPr>
        <w:tcBorders>
          <w:insideH w:space="0" w:sz="0" w:val="nil"/>
          <w:insideV w:space="0" w:sz="0"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tblBorders>
    </w:tblPr>
    <w:tblStylePr w:type="firstRow">
      <w:pPr>
        <w:spacing w:after="0" w:before="0" w:line="240" w:lineRule="auto"/>
      </w:pPr>
      <w:rPr>
        <w:b w:val="1"/>
        <w:bCs w:val="1"/>
        <w:color w:val="ffffff" w:themeColor="background1"/>
      </w:rPr>
      <w:tblPr/>
      <w:tcPr>
        <w:tc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shd w:color="auto" w:fill="8064a2" w:themeFill="accent4" w:val="clear"/>
      </w:tcPr>
    </w:tblStylePr>
    <w:tblStylePr w:type="lastRow">
      <w:pPr>
        <w:spacing w:after="0" w:before="0" w:line="240" w:lineRule="auto"/>
      </w:pPr>
      <w:rPr>
        <w:b w:val="1"/>
        <w:bCs w:val="1"/>
      </w:rPr>
      <w:tblPr/>
      <w:tcPr>
        <w:tcBorders>
          <w:top w:color="9f8ab9" w:space="0" w:sz="6" w:themeColor="accent4" w:themeTint="0000BF" w:val="doub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fd8e8" w:themeFill="accent4" w:themeFillTint="00003F" w:val="clear"/>
      </w:tcPr>
    </w:tblStylePr>
    <w:tblStylePr w:type="band1Horz">
      <w:tblPr/>
      <w:tcPr>
        <w:tcBorders>
          <w:insideH w:space="0" w:sz="0" w:val="nil"/>
          <w:insideV w:space="0" w:sz="0" w:val="nil"/>
        </w:tcBorders>
        <w:shd w:color="auto" w:fill="dfd8e8" w:themeFill="accent4" w:themeFillTint="00003F" w:val="clear"/>
      </w:tcPr>
    </w:tblStylePr>
    <w:tblStylePr w:type="band2Horz">
      <w:tblPr/>
      <w:tcPr>
        <w:tcBorders>
          <w:insideH w:space="0" w:sz="0" w:val="nil"/>
          <w:insideV w:space="0" w:sz="0"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tblBorders>
    </w:tblPr>
    <w:tblStylePr w:type="firstRow">
      <w:pPr>
        <w:spacing w:after="0" w:before="0" w:line="240" w:lineRule="auto"/>
      </w:pPr>
      <w:rPr>
        <w:b w:val="1"/>
        <w:bCs w:val="1"/>
        <w:color w:val="ffffff" w:themeColor="background1"/>
      </w:rPr>
      <w:tblPr/>
      <w:tcPr>
        <w:tc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shd w:color="auto" w:fill="4bacc6" w:themeFill="accent5" w:val="clear"/>
      </w:tcPr>
    </w:tblStylePr>
    <w:tblStylePr w:type="lastRow">
      <w:pPr>
        <w:spacing w:after="0" w:before="0" w:line="240" w:lineRule="auto"/>
      </w:pPr>
      <w:rPr>
        <w:b w:val="1"/>
        <w:bCs w:val="1"/>
      </w:rPr>
      <w:tblPr/>
      <w:tcPr>
        <w:tcBorders>
          <w:top w:color="78c0d4" w:space="0" w:sz="6" w:themeColor="accent5" w:themeTint="0000BF" w:val="doub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2eaf1" w:themeFill="accent5" w:themeFillTint="00003F" w:val="clear"/>
      </w:tcPr>
    </w:tblStylePr>
    <w:tblStylePr w:type="band1Horz">
      <w:tblPr/>
      <w:tcPr>
        <w:tcBorders>
          <w:insideH w:space="0" w:sz="0" w:val="nil"/>
          <w:insideV w:space="0" w:sz="0" w:val="nil"/>
        </w:tcBorders>
        <w:shd w:color="auto" w:fill="d2eaf1" w:themeFill="accent5" w:themeFillTint="00003F" w:val="clear"/>
      </w:tcPr>
    </w:tblStylePr>
    <w:tblStylePr w:type="band2Horz">
      <w:tblPr/>
      <w:tcPr>
        <w:tcBorders>
          <w:insideH w:space="0" w:sz="0" w:val="nil"/>
          <w:insideV w:space="0" w:sz="0"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tblBorders>
    </w:tblPr>
    <w:tblStylePr w:type="firstRow">
      <w:pPr>
        <w:spacing w:after="0" w:before="0" w:line="240" w:lineRule="auto"/>
      </w:pPr>
      <w:rPr>
        <w:b w:val="1"/>
        <w:bCs w:val="1"/>
        <w:color w:val="ffffff" w:themeColor="background1"/>
      </w:rPr>
      <w:tblPr/>
      <w:tcPr>
        <w:tc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shd w:color="auto" w:fill="f79646" w:themeFill="accent6" w:val="clear"/>
      </w:tcPr>
    </w:tblStylePr>
    <w:tblStylePr w:type="lastRow">
      <w:pPr>
        <w:spacing w:after="0" w:before="0" w:line="240" w:lineRule="auto"/>
      </w:pPr>
      <w:rPr>
        <w:b w:val="1"/>
        <w:bCs w:val="1"/>
      </w:rPr>
      <w:tblPr/>
      <w:tcPr>
        <w:tcBorders>
          <w:top w:color="f9b074" w:space="0" w:sz="6" w:themeColor="accent6" w:themeTint="0000BF" w:val="doub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fde4d0" w:themeFill="accent6" w:themeFillTint="00003F" w:val="clear"/>
      </w:tcPr>
    </w:tblStylePr>
    <w:tblStylePr w:type="band1Horz">
      <w:tblPr/>
      <w:tcPr>
        <w:tcBorders>
          <w:insideH w:space="0" w:sz="0" w:val="nil"/>
          <w:insideV w:space="0" w:sz="0" w:val="nil"/>
        </w:tcBorders>
        <w:shd w:color="auto" w:fill="fde4d0" w:themeFill="accent6" w:themeFillTint="00003F" w:val="clear"/>
      </w:tcPr>
    </w:tblStylePr>
    <w:tblStylePr w:type="band2Horz">
      <w:tblPr/>
      <w:tcPr>
        <w:tcBorders>
          <w:insideH w:space="0" w:sz="0" w:val="nil"/>
          <w:insideV w:space="0" w:sz="0"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000000" w:themeFill="tex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000000" w:themeFill="tex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000000" w:themeFill="tex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f81bd" w:themeFill="accen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f81bd" w:themeFill="accen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f81bd" w:themeFill="accen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c0504d" w:themeFill="accent2"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c0504d" w:themeFill="accent2"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c0504d" w:themeFill="accent2"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9bbb59" w:themeFill="accent3"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9bbb59" w:themeFill="accent3"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9bbb59" w:themeFill="accent3"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8064a2" w:themeFill="accent4"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8064a2" w:themeFill="accent4"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8064a2" w:themeFill="accent4"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bacc6" w:themeFill="accent5"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bacc6" w:themeFill="accent5"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bacc6" w:themeFill="accent5"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f79646" w:themeFill="accent6"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f79646" w:themeFill="accent6"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f79646" w:themeFill="accent6"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color="000000" w:space="0" w:sz="8" w:themeColor="text1" w:val="single"/>
        <w:bottom w:color="000000" w:space="0" w:sz="8" w:themeColor="text1" w:val="single"/>
      </w:tblBorders>
    </w:tblPr>
    <w:tblStylePr w:type="firstRow">
      <w:rPr>
        <w:rFonts w:asciiTheme="majorHAnsi" w:cstheme="majorBidi" w:eastAsiaTheme="majorEastAsia" w:hAnsiTheme="majorHAnsi"/>
      </w:rPr>
      <w:tblPr/>
      <w:tcPr>
        <w:tcBorders>
          <w:top w:space="0" w:sz="0" w:val="nil"/>
          <w:bottom w:color="000000" w:space="0" w:sz="8" w:themeColor="text1" w:val="single"/>
        </w:tcBorders>
      </w:tcPr>
    </w:tblStylePr>
    <w:tblStylePr w:type="lastRow">
      <w:rPr>
        <w:b w:val="1"/>
        <w:bCs w:val="1"/>
        <w:color w:val="1f497d" w:themeColor="text2"/>
      </w:rPr>
      <w:tblPr/>
      <w:tcPr>
        <w:tcBorders>
          <w:top w:color="000000" w:space="0" w:sz="8" w:themeColor="text1" w:val="single"/>
          <w:bottom w:color="000000" w:space="0" w:sz="8" w:themeColor="text1" w:val="single"/>
        </w:tcBorders>
      </w:tcPr>
    </w:tblStylePr>
    <w:tblStylePr w:type="firstCol">
      <w:rPr>
        <w:b w:val="1"/>
        <w:bCs w:val="1"/>
      </w:rPr>
    </w:tblStylePr>
    <w:tblStylePr w:type="lastCol">
      <w:rPr>
        <w:b w:val="1"/>
        <w:bCs w:val="1"/>
      </w:rPr>
      <w:tblPr/>
      <w:tcPr>
        <w:tcBorders>
          <w:top w:color="000000" w:space="0" w:sz="8" w:themeColor="text1" w:val="single"/>
          <w:bottom w:color="000000" w:space="0" w:sz="8" w:themeColor="text1" w:val="single"/>
        </w:tcBorders>
      </w:tcPr>
    </w:tblStylePr>
    <w:tblStylePr w:type="band1Vert">
      <w:tblPr/>
      <w:tcPr>
        <w:shd w:color="auto" w:fill="c0c0c0" w:themeFill="text1" w:themeFillTint="00003F" w:val="clear"/>
      </w:tcPr>
    </w:tblStylePr>
    <w:tblStylePr w:type="band1Horz">
      <w:tblPr/>
      <w:tcPr>
        <w:shd w:color="auto" w:fill="c0c0c0" w:themeFill="text1" w:themeFillTint="00003F" w:val="clear"/>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color="4f81bd" w:space="0" w:sz="8" w:themeColor="accent1" w:val="single"/>
        <w:bottom w:color="4f81bd" w:space="0" w:sz="8" w:themeColor="accent1" w:val="single"/>
      </w:tblBorders>
    </w:tblPr>
    <w:tblStylePr w:type="firstRow">
      <w:rPr>
        <w:rFonts w:asciiTheme="majorHAnsi" w:cstheme="majorBidi" w:eastAsiaTheme="majorEastAsia" w:hAnsiTheme="majorHAnsi"/>
      </w:rPr>
      <w:tblPr/>
      <w:tcPr>
        <w:tcBorders>
          <w:top w:space="0" w:sz="0" w:val="nil"/>
          <w:bottom w:color="4f81bd" w:space="0" w:sz="8" w:themeColor="accent1" w:val="single"/>
        </w:tcBorders>
      </w:tcPr>
    </w:tblStylePr>
    <w:tblStylePr w:type="lastRow">
      <w:rPr>
        <w:b w:val="1"/>
        <w:bCs w:val="1"/>
        <w:color w:val="1f497d" w:themeColor="text2"/>
      </w:rPr>
      <w:tblPr/>
      <w:tcPr>
        <w:tcBorders>
          <w:top w:color="4f81bd" w:space="0" w:sz="8" w:themeColor="accent1" w:val="single"/>
          <w:bottom w:color="4f81bd" w:space="0" w:sz="8" w:themeColor="accent1" w:val="single"/>
        </w:tcBorders>
      </w:tcPr>
    </w:tblStylePr>
    <w:tblStylePr w:type="firstCol">
      <w:rPr>
        <w:b w:val="1"/>
        <w:bCs w:val="1"/>
      </w:rPr>
    </w:tblStylePr>
    <w:tblStylePr w:type="lastCol">
      <w:rPr>
        <w:b w:val="1"/>
        <w:bCs w:val="1"/>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00003F" w:val="clear"/>
      </w:tcPr>
    </w:tblStylePr>
    <w:tblStylePr w:type="band1Horz">
      <w:tblPr/>
      <w:tcPr>
        <w:shd w:color="auto" w:fill="d3dfee" w:themeFill="accent1" w:themeFillTint="00003F" w:val="clear"/>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color="c0504d" w:space="0" w:sz="8" w:themeColor="accent2" w:val="single"/>
        <w:bottom w:color="c0504d" w:space="0" w:sz="8" w:themeColor="accent2" w:val="single"/>
      </w:tblBorders>
    </w:tblPr>
    <w:tblStylePr w:type="firstRow">
      <w:rPr>
        <w:rFonts w:asciiTheme="majorHAnsi" w:cstheme="majorBidi" w:eastAsiaTheme="majorEastAsia" w:hAnsiTheme="majorHAnsi"/>
      </w:rPr>
      <w:tblPr/>
      <w:tcPr>
        <w:tcBorders>
          <w:top w:space="0" w:sz="0" w:val="nil"/>
          <w:bottom w:color="c0504d" w:space="0" w:sz="8" w:themeColor="accent2" w:val="single"/>
        </w:tcBorders>
      </w:tcPr>
    </w:tblStylePr>
    <w:tblStylePr w:type="lastRow">
      <w:rPr>
        <w:b w:val="1"/>
        <w:bCs w:val="1"/>
        <w:color w:val="1f497d" w:themeColor="text2"/>
      </w:rPr>
      <w:tblPr/>
      <w:tcPr>
        <w:tcBorders>
          <w:top w:color="c0504d" w:space="0" w:sz="8" w:themeColor="accent2" w:val="single"/>
          <w:bottom w:color="c0504d" w:space="0" w:sz="8" w:themeColor="accent2" w:val="single"/>
        </w:tcBorders>
      </w:tcPr>
    </w:tblStylePr>
    <w:tblStylePr w:type="firstCol">
      <w:rPr>
        <w:b w:val="1"/>
        <w:bCs w:val="1"/>
      </w:rPr>
    </w:tblStylePr>
    <w:tblStylePr w:type="lastCol">
      <w:rPr>
        <w:b w:val="1"/>
        <w:bCs w:val="1"/>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00003F" w:val="clear"/>
      </w:tcPr>
    </w:tblStylePr>
    <w:tblStylePr w:type="band1Horz">
      <w:tblPr/>
      <w:tcPr>
        <w:shd w:color="auto" w:fill="efd3d2" w:themeFill="accent2" w:themeFillTint="00003F" w:val="clear"/>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color="9bbb59" w:space="0" w:sz="8" w:themeColor="accent3" w:val="single"/>
        <w:bottom w:color="9bbb59" w:space="0" w:sz="8" w:themeColor="accent3" w:val="single"/>
      </w:tblBorders>
    </w:tblPr>
    <w:tblStylePr w:type="firstRow">
      <w:rPr>
        <w:rFonts w:asciiTheme="majorHAnsi" w:cstheme="majorBidi" w:eastAsiaTheme="majorEastAsia" w:hAnsiTheme="majorHAnsi"/>
      </w:rPr>
      <w:tblPr/>
      <w:tcPr>
        <w:tcBorders>
          <w:top w:space="0" w:sz="0" w:val="nil"/>
          <w:bottom w:color="9bbb59" w:space="0" w:sz="8" w:themeColor="accent3" w:val="single"/>
        </w:tcBorders>
      </w:tcPr>
    </w:tblStylePr>
    <w:tblStylePr w:type="lastRow">
      <w:rPr>
        <w:b w:val="1"/>
        <w:bCs w:val="1"/>
        <w:color w:val="1f497d" w:themeColor="text2"/>
      </w:rPr>
      <w:tblPr/>
      <w:tcPr>
        <w:tcBorders>
          <w:top w:color="9bbb59" w:space="0" w:sz="8" w:themeColor="accent3" w:val="single"/>
          <w:bottom w:color="9bbb59" w:space="0" w:sz="8" w:themeColor="accent3" w:val="single"/>
        </w:tcBorders>
      </w:tcPr>
    </w:tblStylePr>
    <w:tblStylePr w:type="firstCol">
      <w:rPr>
        <w:b w:val="1"/>
        <w:bCs w:val="1"/>
      </w:rPr>
    </w:tblStylePr>
    <w:tblStylePr w:type="lastCol">
      <w:rPr>
        <w:b w:val="1"/>
        <w:bCs w:val="1"/>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00003F" w:val="clear"/>
      </w:tcPr>
    </w:tblStylePr>
    <w:tblStylePr w:type="band1Horz">
      <w:tblPr/>
      <w:tcPr>
        <w:shd w:color="auto" w:fill="e6eed5" w:themeFill="accent3" w:themeFillTint="00003F" w:val="clear"/>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color="8064a2" w:space="0" w:sz="8" w:themeColor="accent4" w:val="single"/>
        <w:bottom w:color="8064a2" w:space="0" w:sz="8" w:themeColor="accent4" w:val="single"/>
      </w:tblBorders>
    </w:tblPr>
    <w:tblStylePr w:type="firstRow">
      <w:rPr>
        <w:rFonts w:asciiTheme="majorHAnsi" w:cstheme="majorBidi" w:eastAsiaTheme="majorEastAsia" w:hAnsiTheme="majorHAnsi"/>
      </w:rPr>
      <w:tblPr/>
      <w:tcPr>
        <w:tcBorders>
          <w:top w:space="0" w:sz="0" w:val="nil"/>
          <w:bottom w:color="8064a2" w:space="0" w:sz="8" w:themeColor="accent4" w:val="single"/>
        </w:tcBorders>
      </w:tcPr>
    </w:tblStylePr>
    <w:tblStylePr w:type="lastRow">
      <w:rPr>
        <w:b w:val="1"/>
        <w:bCs w:val="1"/>
        <w:color w:val="1f497d" w:themeColor="text2"/>
      </w:rPr>
      <w:tblPr/>
      <w:tcPr>
        <w:tcBorders>
          <w:top w:color="8064a2" w:space="0" w:sz="8" w:themeColor="accent4" w:val="single"/>
          <w:bottom w:color="8064a2" w:space="0" w:sz="8" w:themeColor="accent4" w:val="single"/>
        </w:tcBorders>
      </w:tcPr>
    </w:tblStylePr>
    <w:tblStylePr w:type="firstCol">
      <w:rPr>
        <w:b w:val="1"/>
        <w:bCs w:val="1"/>
      </w:rPr>
    </w:tblStylePr>
    <w:tblStylePr w:type="lastCol">
      <w:rPr>
        <w:b w:val="1"/>
        <w:bCs w:val="1"/>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00003F" w:val="clear"/>
      </w:tcPr>
    </w:tblStylePr>
    <w:tblStylePr w:type="band1Horz">
      <w:tblPr/>
      <w:tcPr>
        <w:shd w:color="auto" w:fill="dfd8e8" w:themeFill="accent4" w:themeFillTint="00003F" w:val="clear"/>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color="4bacc6" w:space="0" w:sz="8" w:themeColor="accent5" w:val="single"/>
        <w:bottom w:color="4bacc6" w:space="0" w:sz="8" w:themeColor="accent5" w:val="single"/>
      </w:tblBorders>
    </w:tblPr>
    <w:tblStylePr w:type="firstRow">
      <w:rPr>
        <w:rFonts w:asciiTheme="majorHAnsi" w:cstheme="majorBidi" w:eastAsiaTheme="majorEastAsia" w:hAnsiTheme="majorHAnsi"/>
      </w:rPr>
      <w:tblPr/>
      <w:tcPr>
        <w:tcBorders>
          <w:top w:space="0" w:sz="0" w:val="nil"/>
          <w:bottom w:color="4bacc6" w:space="0" w:sz="8" w:themeColor="accent5" w:val="single"/>
        </w:tcBorders>
      </w:tcPr>
    </w:tblStylePr>
    <w:tblStylePr w:type="lastRow">
      <w:rPr>
        <w:b w:val="1"/>
        <w:bCs w:val="1"/>
        <w:color w:val="1f497d" w:themeColor="text2"/>
      </w:rPr>
      <w:tblPr/>
      <w:tcPr>
        <w:tcBorders>
          <w:top w:color="4bacc6" w:space="0" w:sz="8" w:themeColor="accent5" w:val="single"/>
          <w:bottom w:color="4bacc6" w:space="0" w:sz="8" w:themeColor="accent5" w:val="single"/>
        </w:tcBorders>
      </w:tcPr>
    </w:tblStylePr>
    <w:tblStylePr w:type="firstCol">
      <w:rPr>
        <w:b w:val="1"/>
        <w:bCs w:val="1"/>
      </w:rPr>
    </w:tblStylePr>
    <w:tblStylePr w:type="lastCol">
      <w:rPr>
        <w:b w:val="1"/>
        <w:bCs w:val="1"/>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00003F" w:val="clear"/>
      </w:tcPr>
    </w:tblStylePr>
    <w:tblStylePr w:type="band1Horz">
      <w:tblPr/>
      <w:tcPr>
        <w:shd w:color="auto" w:fill="d2eaf1" w:themeFill="accent5" w:themeFillTint="00003F" w:val="clear"/>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color="f79646" w:space="0" w:sz="8" w:themeColor="accent6" w:val="single"/>
        <w:bottom w:color="f79646" w:space="0" w:sz="8" w:themeColor="accent6" w:val="single"/>
      </w:tblBorders>
    </w:tblPr>
    <w:tblStylePr w:type="firstRow">
      <w:rPr>
        <w:rFonts w:asciiTheme="majorHAnsi" w:cstheme="majorBidi" w:eastAsiaTheme="majorEastAsia" w:hAnsiTheme="majorHAnsi"/>
      </w:rPr>
      <w:tblPr/>
      <w:tcPr>
        <w:tcBorders>
          <w:top w:space="0" w:sz="0" w:val="nil"/>
          <w:bottom w:color="f79646" w:space="0" w:sz="8" w:themeColor="accent6" w:val="single"/>
        </w:tcBorders>
      </w:tcPr>
    </w:tblStylePr>
    <w:tblStylePr w:type="lastRow">
      <w:rPr>
        <w:b w:val="1"/>
        <w:bCs w:val="1"/>
        <w:color w:val="1f497d" w:themeColor="text2"/>
      </w:rPr>
      <w:tblPr/>
      <w:tcPr>
        <w:tcBorders>
          <w:top w:color="f79646" w:space="0" w:sz="8" w:themeColor="accent6" w:val="single"/>
          <w:bottom w:color="f79646" w:space="0" w:sz="8" w:themeColor="accent6" w:val="single"/>
        </w:tcBorders>
      </w:tcPr>
    </w:tblStylePr>
    <w:tblStylePr w:type="firstCol">
      <w:rPr>
        <w:b w:val="1"/>
        <w:bCs w:val="1"/>
      </w:rPr>
    </w:tblStylePr>
    <w:tblStylePr w:type="lastCol">
      <w:rPr>
        <w:b w:val="1"/>
        <w:bCs w:val="1"/>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00003F" w:val="clear"/>
      </w:tcPr>
    </w:tblStylePr>
    <w:tblStylePr w:type="band1Horz">
      <w:tblPr/>
      <w:tcPr>
        <w:shd w:color="auto" w:fill="fde4d0" w:themeFill="accent6" w:themeFillTint="00003F" w:val="clear"/>
      </w:tcPr>
    </w:tblStylePr>
  </w:style>
  <w:style w:type="table" w:styleId="Listamedia2">
    <w:name w:val="Medium List 2"/>
    <w:basedOn w:val="Tabla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rPr>
        <w:sz w:val="24"/>
        <w:szCs w:val="24"/>
      </w:rPr>
      <w:tblPr/>
      <w:tcPr>
        <w:tcBorders>
          <w:top w:space="0" w:sz="0" w:val="nil"/>
          <w:left w:space="0" w:sz="0" w:val="nil"/>
          <w:bottom w:color="000000" w:space="0" w:sz="24" w:themeColor="text1" w:val="single"/>
          <w:right w:space="0" w:sz="0" w:val="nil"/>
          <w:insideH w:space="0" w:sz="0" w:val="nil"/>
          <w:insideV w:space="0" w:sz="0" w:val="nil"/>
        </w:tcBorders>
        <w:shd w:color="auto" w:fill="ffffff" w:themeFill="background1" w:val="clear"/>
      </w:tcPr>
    </w:tblStylePr>
    <w:tblStylePr w:type="lastRow">
      <w:tblPr/>
      <w:tcPr>
        <w:tcBorders>
          <w:top w:color="000000" w:space="0" w:sz="8"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000000" w:space="0" w:sz="8" w:themeColor="text1" w:val="single"/>
          <w:insideH w:space="0" w:sz="0" w:val="nil"/>
          <w:insideV w:space="0" w:sz="0" w:val="nil"/>
        </w:tcBorders>
        <w:shd w:color="auto" w:fill="ffffff" w:themeFill="background1" w:val="clear"/>
      </w:tcPr>
    </w:tblStylePr>
    <w:tblStylePr w:type="lastCol">
      <w:tblPr/>
      <w:tcPr>
        <w:tcBorders>
          <w:top w:space="0" w:sz="0" w:val="nil"/>
          <w:left w:color="000000" w:space="0" w:sz="8" w:themeColor="tex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top w:space="0" w:sz="0" w:val="nil"/>
          <w:bottom w:space="0" w:sz="0" w:val="nil"/>
          <w:insideH w:space="0" w:sz="0" w:val="nil"/>
          <w:insideV w:space="0" w:sz="0" w:val="nil"/>
        </w:tcBorders>
        <w:shd w:color="auto" w:fill="c0c0c0" w:themeFill="tex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Listamedia2-nfasis1">
    <w:name w:val="Medium List 2 Accent 1"/>
    <w:basedOn w:val="Tabla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rPr>
        <w:sz w:val="24"/>
        <w:szCs w:val="24"/>
      </w:rPr>
      <w:tblPr/>
      <w:tcPr>
        <w:tcBorders>
          <w:top w:space="0" w:sz="0" w:val="nil"/>
          <w:left w:space="0" w:sz="0" w:val="nil"/>
          <w:bottom w:color="4f81bd" w:space="0" w:sz="24" w:themeColor="accent1" w:val="single"/>
          <w:right w:space="0" w:sz="0" w:val="nil"/>
          <w:insideH w:space="0" w:sz="0" w:val="nil"/>
          <w:insideV w:space="0" w:sz="0" w:val="nil"/>
        </w:tcBorders>
        <w:shd w:color="auto" w:fill="ffffff" w:themeFill="background1" w:val="clear"/>
      </w:tcPr>
    </w:tblStylePr>
    <w:tblStylePr w:type="lastRow">
      <w:tblPr/>
      <w:tcPr>
        <w:tcBorders>
          <w:top w:color="4f81bd" w:space="0" w:sz="8" w:themeColor="accen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f81bd" w:space="0" w:sz="8" w:themeColor="accent1" w:val="single"/>
          <w:insideH w:space="0" w:sz="0" w:val="nil"/>
          <w:insideV w:space="0" w:sz="0" w:val="nil"/>
        </w:tcBorders>
        <w:shd w:color="auto" w:fill="ffffff" w:themeFill="background1" w:val="clear"/>
      </w:tcPr>
    </w:tblStylePr>
    <w:tblStylePr w:type="lastCol">
      <w:tblPr/>
      <w:tcPr>
        <w:tcBorders>
          <w:top w:space="0" w:sz="0" w:val="nil"/>
          <w:left w:color="4f81bd" w:space="0" w:sz="8" w:themeColor="accen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top w:space="0" w:sz="0" w:val="nil"/>
          <w:bottom w:space="0" w:sz="0" w:val="nil"/>
          <w:insideH w:space="0" w:sz="0" w:val="nil"/>
          <w:insideV w:space="0" w:sz="0" w:val="nil"/>
        </w:tcBorders>
        <w:shd w:color="auto" w:fill="d3dfee" w:themeFill="accen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Listamedia2-nfasis2">
    <w:name w:val="Medium List 2 Accent 2"/>
    <w:basedOn w:val="Tabla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rPr>
        <w:sz w:val="24"/>
        <w:szCs w:val="24"/>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tblPr/>
      <w:tcPr>
        <w:tcBorders>
          <w:top w:color="c0504d" w:space="0" w:sz="8" w:themeColor="accent2"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c0504d" w:space="0" w:sz="8" w:themeColor="accent2" w:val="single"/>
          <w:insideH w:space="0" w:sz="0" w:val="nil"/>
          <w:insideV w:space="0" w:sz="0" w:val="nil"/>
        </w:tcBorders>
        <w:shd w:color="auto" w:fill="ffffff" w:themeFill="background1" w:val="clear"/>
      </w:tcPr>
    </w:tblStylePr>
    <w:tblStylePr w:type="lastCol">
      <w:tblPr/>
      <w:tcPr>
        <w:tcBorders>
          <w:top w:space="0" w:sz="0" w:val="nil"/>
          <w:left w:color="c0504d" w:space="0" w:sz="8" w:themeColor="accent2"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top w:space="0" w:sz="0" w:val="nil"/>
          <w:bottom w:space="0" w:sz="0" w:val="nil"/>
          <w:insideH w:space="0" w:sz="0" w:val="nil"/>
          <w:insideV w:space="0" w:sz="0" w:val="nil"/>
        </w:tcBorders>
        <w:shd w:color="auto" w:fill="efd3d2" w:themeFill="accent2"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Listamedia2-nfasis3">
    <w:name w:val="Medium List 2 Accent 3"/>
    <w:basedOn w:val="Tabla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rPr>
        <w:sz w:val="24"/>
        <w:szCs w:val="24"/>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tblPr/>
      <w:tcPr>
        <w:tcBorders>
          <w:top w:color="9bbb59" w:space="0" w:sz="8" w:themeColor="accent3"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9bbb59" w:space="0" w:sz="8" w:themeColor="accent3" w:val="single"/>
          <w:insideH w:space="0" w:sz="0" w:val="nil"/>
          <w:insideV w:space="0" w:sz="0" w:val="nil"/>
        </w:tcBorders>
        <w:shd w:color="auto" w:fill="ffffff" w:themeFill="background1" w:val="clear"/>
      </w:tcPr>
    </w:tblStylePr>
    <w:tblStylePr w:type="lastCol">
      <w:tblPr/>
      <w:tcPr>
        <w:tcBorders>
          <w:top w:space="0" w:sz="0" w:val="nil"/>
          <w:left w:color="9bbb59" w:space="0" w:sz="8" w:themeColor="accent3"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top w:space="0" w:sz="0" w:val="nil"/>
          <w:bottom w:space="0" w:sz="0" w:val="nil"/>
          <w:insideH w:space="0" w:sz="0" w:val="nil"/>
          <w:insideV w:space="0" w:sz="0" w:val="nil"/>
        </w:tcBorders>
        <w:shd w:color="auto" w:fill="e6eed5" w:themeFill="accent3"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Listamedia2-nfasis4">
    <w:name w:val="Medium List 2 Accent 4"/>
    <w:basedOn w:val="Tabla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rPr>
        <w:sz w:val="24"/>
        <w:szCs w:val="24"/>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tblPr/>
      <w:tcPr>
        <w:tcBorders>
          <w:top w:color="8064a2" w:space="0" w:sz="8" w:themeColor="accent4"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8064a2" w:space="0" w:sz="8" w:themeColor="accent4" w:val="single"/>
          <w:insideH w:space="0" w:sz="0" w:val="nil"/>
          <w:insideV w:space="0" w:sz="0" w:val="nil"/>
        </w:tcBorders>
        <w:shd w:color="auto" w:fill="ffffff" w:themeFill="background1" w:val="clear"/>
      </w:tcPr>
    </w:tblStylePr>
    <w:tblStylePr w:type="lastCol">
      <w:tblPr/>
      <w:tcPr>
        <w:tcBorders>
          <w:top w:space="0" w:sz="0" w:val="nil"/>
          <w:left w:color="8064a2" w:space="0" w:sz="8" w:themeColor="accent4"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top w:space="0" w:sz="0" w:val="nil"/>
          <w:bottom w:space="0" w:sz="0" w:val="nil"/>
          <w:insideH w:space="0" w:sz="0" w:val="nil"/>
          <w:insideV w:space="0" w:sz="0" w:val="nil"/>
        </w:tcBorders>
        <w:shd w:color="auto" w:fill="dfd8e8" w:themeFill="accent4"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Listamedia2-nfasis5">
    <w:name w:val="Medium List 2 Accent 5"/>
    <w:basedOn w:val="Tabla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rPr>
        <w:sz w:val="24"/>
        <w:szCs w:val="24"/>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tblPr/>
      <w:tcPr>
        <w:tcBorders>
          <w:top w:color="4bacc6" w:space="0" w:sz="8" w:themeColor="accent5"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bacc6" w:space="0" w:sz="8" w:themeColor="accent5" w:val="single"/>
          <w:insideH w:space="0" w:sz="0" w:val="nil"/>
          <w:insideV w:space="0" w:sz="0" w:val="nil"/>
        </w:tcBorders>
        <w:shd w:color="auto" w:fill="ffffff" w:themeFill="background1" w:val="clear"/>
      </w:tcPr>
    </w:tblStylePr>
    <w:tblStylePr w:type="lastCol">
      <w:tblPr/>
      <w:tcPr>
        <w:tcBorders>
          <w:top w:space="0" w:sz="0" w:val="nil"/>
          <w:left w:color="4bacc6" w:space="0" w:sz="8" w:themeColor="accent5"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top w:space="0" w:sz="0" w:val="nil"/>
          <w:bottom w:space="0" w:sz="0" w:val="nil"/>
          <w:insideH w:space="0" w:sz="0" w:val="nil"/>
          <w:insideV w:space="0" w:sz="0" w:val="nil"/>
        </w:tcBorders>
        <w:shd w:color="auto" w:fill="d2eaf1" w:themeFill="accent5"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Listamedia2-nfasis6">
    <w:name w:val="Medium List 2 Accent 6"/>
    <w:basedOn w:val="Tabla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rPr>
        <w:sz w:val="24"/>
        <w:szCs w:val="24"/>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tblPr/>
      <w:tcPr>
        <w:tcBorders>
          <w:top w:color="f79646" w:space="0" w:sz="8" w:themeColor="accent6"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f79646" w:space="0" w:sz="8" w:themeColor="accent6" w:val="single"/>
          <w:insideH w:space="0" w:sz="0" w:val="nil"/>
          <w:insideV w:space="0" w:sz="0" w:val="nil"/>
        </w:tcBorders>
        <w:shd w:color="auto" w:fill="ffffff" w:themeFill="background1" w:val="clear"/>
      </w:tcPr>
    </w:tblStylePr>
    <w:tblStylePr w:type="lastCol">
      <w:tblPr/>
      <w:tcPr>
        <w:tcBorders>
          <w:top w:space="0" w:sz="0" w:val="nil"/>
          <w:left w:color="f79646" w:space="0" w:sz="8" w:themeColor="accent6"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top w:space="0" w:sz="0" w:val="nil"/>
          <w:bottom w:space="0" w:sz="0" w:val="nil"/>
          <w:insideH w:space="0" w:sz="0" w:val="nil"/>
          <w:insideV w:space="0" w:sz="0" w:val="nil"/>
        </w:tcBorders>
        <w:shd w:color="auto" w:fill="fde4d0" w:themeFill="accent6"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insideV w:color="404040" w:space="0" w:sz="8" w:themeColor="text1" w:themeTint="0000BF" w:val="single"/>
      </w:tblBorders>
    </w:tblPr>
    <w:tcPr>
      <w:shd w:color="auto" w:fill="c0c0c0" w:themeFill="text1" w:themeFillTint="00003F" w:val="clear"/>
    </w:tcPr>
    <w:tblStylePr w:type="firstRow">
      <w:rPr>
        <w:b w:val="1"/>
        <w:bCs w:val="1"/>
      </w:rPr>
    </w:tblStylePr>
    <w:tblStylePr w:type="lastRow">
      <w:rPr>
        <w:b w:val="1"/>
        <w:bCs w:val="1"/>
      </w:rPr>
      <w:tblPr/>
      <w:tcPr>
        <w:tcBorders>
          <w:top w:color="404040" w:space="0" w:sz="18" w:themeColor="text1" w:themeTint="0000BF" w:val="single"/>
        </w:tcBorders>
      </w:tcPr>
    </w:tblStylePr>
    <w:tblStylePr w:type="firstCol">
      <w:rPr>
        <w:b w:val="1"/>
        <w:bCs w:val="1"/>
      </w:rPr>
    </w:tblStylePr>
    <w:tblStylePr w:type="lastCol">
      <w:rPr>
        <w:b w:val="1"/>
        <w:bCs w:val="1"/>
      </w:r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insideV w:color="7ba0cd" w:space="0" w:sz="8" w:themeColor="accent1" w:themeTint="0000BF" w:val="single"/>
      </w:tblBorders>
    </w:tblPr>
    <w:tcPr>
      <w:shd w:color="auto" w:fill="d3dfee" w:themeFill="accent1" w:themeFillTint="00003F" w:val="clear"/>
    </w:tcPr>
    <w:tblStylePr w:type="firstRow">
      <w:rPr>
        <w:b w:val="1"/>
        <w:bCs w:val="1"/>
      </w:rPr>
    </w:tblStylePr>
    <w:tblStylePr w:type="lastRow">
      <w:rPr>
        <w:b w:val="1"/>
        <w:bCs w:val="1"/>
      </w:rPr>
      <w:tblPr/>
      <w:tcPr>
        <w:tcBorders>
          <w:top w:color="7ba0cd" w:space="0" w:sz="18" w:themeColor="accent1" w:themeTint="0000BF" w:val="single"/>
        </w:tcBorders>
      </w:tcPr>
    </w:tblStylePr>
    <w:tblStylePr w:type="firstCol">
      <w:rPr>
        <w:b w:val="1"/>
        <w:bCs w:val="1"/>
      </w:rPr>
    </w:tblStylePr>
    <w:tblStylePr w:type="lastCol">
      <w:rPr>
        <w:b w:val="1"/>
        <w:bCs w:val="1"/>
      </w:r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insideV w:color="cf7b79" w:space="0" w:sz="8" w:themeColor="accent2" w:themeTint="0000BF" w:val="single"/>
      </w:tblBorders>
    </w:tblPr>
    <w:tcPr>
      <w:shd w:color="auto" w:fill="efd3d2" w:themeFill="accent2" w:themeFillTint="00003F" w:val="clear"/>
    </w:tcPr>
    <w:tblStylePr w:type="firstRow">
      <w:rPr>
        <w:b w:val="1"/>
        <w:bCs w:val="1"/>
      </w:rPr>
    </w:tblStylePr>
    <w:tblStylePr w:type="lastRow">
      <w:rPr>
        <w:b w:val="1"/>
        <w:bCs w:val="1"/>
      </w:rPr>
      <w:tblPr/>
      <w:tcPr>
        <w:tcBorders>
          <w:top w:color="cf7b79" w:space="0" w:sz="18" w:themeColor="accent2" w:themeTint="0000BF" w:val="single"/>
        </w:tcBorders>
      </w:tcPr>
    </w:tblStylePr>
    <w:tblStylePr w:type="firstCol">
      <w:rPr>
        <w:b w:val="1"/>
        <w:bCs w:val="1"/>
      </w:rPr>
    </w:tblStylePr>
    <w:tblStylePr w:type="lastCol">
      <w:rPr>
        <w:b w:val="1"/>
        <w:bCs w:val="1"/>
      </w:r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insideV w:color="b3cc82" w:space="0" w:sz="8" w:themeColor="accent3" w:themeTint="0000BF" w:val="single"/>
      </w:tblBorders>
    </w:tblPr>
    <w:tcPr>
      <w:shd w:color="auto" w:fill="e6eed5" w:themeFill="accent3" w:themeFillTint="00003F" w:val="clear"/>
    </w:tcPr>
    <w:tblStylePr w:type="firstRow">
      <w:rPr>
        <w:b w:val="1"/>
        <w:bCs w:val="1"/>
      </w:rPr>
    </w:tblStylePr>
    <w:tblStylePr w:type="lastRow">
      <w:rPr>
        <w:b w:val="1"/>
        <w:bCs w:val="1"/>
      </w:rPr>
      <w:tblPr/>
      <w:tcPr>
        <w:tcBorders>
          <w:top w:color="b3cc82" w:space="0" w:sz="18" w:themeColor="accent3" w:themeTint="0000BF" w:val="single"/>
        </w:tcBorders>
      </w:tcPr>
    </w:tblStylePr>
    <w:tblStylePr w:type="firstCol">
      <w:rPr>
        <w:b w:val="1"/>
        <w:bCs w:val="1"/>
      </w:rPr>
    </w:tblStylePr>
    <w:tblStylePr w:type="lastCol">
      <w:rPr>
        <w:b w:val="1"/>
        <w:bCs w:val="1"/>
      </w:r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insideV w:color="9f8ab9" w:space="0" w:sz="8" w:themeColor="accent4" w:themeTint="0000BF" w:val="single"/>
      </w:tblBorders>
    </w:tblPr>
    <w:tcPr>
      <w:shd w:color="auto" w:fill="dfd8e8" w:themeFill="accent4" w:themeFillTint="00003F" w:val="clear"/>
    </w:tcPr>
    <w:tblStylePr w:type="firstRow">
      <w:rPr>
        <w:b w:val="1"/>
        <w:bCs w:val="1"/>
      </w:rPr>
    </w:tblStylePr>
    <w:tblStylePr w:type="lastRow">
      <w:rPr>
        <w:b w:val="1"/>
        <w:bCs w:val="1"/>
      </w:rPr>
      <w:tblPr/>
      <w:tcPr>
        <w:tcBorders>
          <w:top w:color="9f8ab9" w:space="0" w:sz="18" w:themeColor="accent4" w:themeTint="0000BF" w:val="single"/>
        </w:tcBorders>
      </w:tcPr>
    </w:tblStylePr>
    <w:tblStylePr w:type="firstCol">
      <w:rPr>
        <w:b w:val="1"/>
        <w:bCs w:val="1"/>
      </w:rPr>
    </w:tblStylePr>
    <w:tblStylePr w:type="lastCol">
      <w:rPr>
        <w:b w:val="1"/>
        <w:bCs w:val="1"/>
      </w:r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insideV w:color="78c0d4" w:space="0" w:sz="8" w:themeColor="accent5" w:themeTint="0000BF" w:val="single"/>
      </w:tblBorders>
    </w:tblPr>
    <w:tcPr>
      <w:shd w:color="auto" w:fill="d2eaf1" w:themeFill="accent5" w:themeFillTint="00003F" w:val="clear"/>
    </w:tcPr>
    <w:tblStylePr w:type="firstRow">
      <w:rPr>
        <w:b w:val="1"/>
        <w:bCs w:val="1"/>
      </w:rPr>
    </w:tblStylePr>
    <w:tblStylePr w:type="lastRow">
      <w:rPr>
        <w:b w:val="1"/>
        <w:bCs w:val="1"/>
      </w:rPr>
      <w:tblPr/>
      <w:tcPr>
        <w:tcBorders>
          <w:top w:color="78c0d4" w:space="0" w:sz="18" w:themeColor="accent5" w:themeTint="0000BF" w:val="single"/>
        </w:tcBorders>
      </w:tcPr>
    </w:tblStylePr>
    <w:tblStylePr w:type="firstCol">
      <w:rPr>
        <w:b w:val="1"/>
        <w:bCs w:val="1"/>
      </w:rPr>
    </w:tblStylePr>
    <w:tblStylePr w:type="lastCol">
      <w:rPr>
        <w:b w:val="1"/>
        <w:bCs w:val="1"/>
      </w:r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insideV w:color="f9b074" w:space="0" w:sz="8" w:themeColor="accent6" w:themeTint="0000BF" w:val="single"/>
      </w:tblBorders>
    </w:tblPr>
    <w:tcPr>
      <w:shd w:color="auto" w:fill="fde4d0" w:themeFill="accent6" w:themeFillTint="00003F" w:val="clear"/>
    </w:tcPr>
    <w:tblStylePr w:type="firstRow">
      <w:rPr>
        <w:b w:val="1"/>
        <w:bCs w:val="1"/>
      </w:rPr>
    </w:tblStylePr>
    <w:tblStylePr w:type="lastRow">
      <w:rPr>
        <w:b w:val="1"/>
        <w:bCs w:val="1"/>
      </w:rPr>
      <w:tblPr/>
      <w:tcPr>
        <w:tcBorders>
          <w:top w:color="f9b074" w:space="0" w:sz="18" w:themeColor="accent6" w:themeTint="0000BF" w:val="single"/>
        </w:tcBorders>
      </w:tcPr>
    </w:tblStylePr>
    <w:tblStylePr w:type="firstCol">
      <w:rPr>
        <w:b w:val="1"/>
        <w:bCs w:val="1"/>
      </w:rPr>
    </w:tblStylePr>
    <w:tblStylePr w:type="lastCol">
      <w:rPr>
        <w:b w:val="1"/>
        <w:bCs w:val="1"/>
      </w:r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table" w:styleId="Cuadrculamedia2">
    <w:name w:val="Medium Grid 2"/>
    <w:basedOn w:val="Tabla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cPr>
      <w:shd w:color="auto" w:fill="c0c0c0" w:themeFill="text1" w:themeFillTint="00003F" w:val="clear"/>
    </w:tcPr>
    <w:tblStylePr w:type="firstRow">
      <w:rPr>
        <w:b w:val="1"/>
        <w:bCs w:val="1"/>
        <w:color w:val="000000" w:themeColor="text1"/>
      </w:rPr>
      <w:tblPr/>
      <w:tcPr>
        <w:shd w:color="auto" w:fill="e6e6e6" w:themeFill="tex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cccccc" w:themeFill="text1" w:themeFillTint="000033" w:val="clear"/>
      </w:tcPr>
    </w:tblStylePr>
    <w:tblStylePr w:type="band1Vert">
      <w:tblPr/>
      <w:tcPr>
        <w:shd w:color="auto" w:fill="808080" w:themeFill="text1" w:themeFillTint="00007F" w:val="clear"/>
      </w:tcPr>
    </w:tblStylePr>
    <w:tblStylePr w:type="band1Horz">
      <w:tblPr/>
      <w:tcPr>
        <w:tcBorders>
          <w:insideH w:color="000000" w:space="0" w:sz="6" w:themeColor="text1" w:val="single"/>
          <w:insideV w:color="000000" w:space="0" w:sz="6" w:themeColor="text1" w:val="single"/>
        </w:tcBorders>
        <w:shd w:color="auto" w:fill="808080" w:themeFill="text1" w:themeFillTint="00007F" w:val="clear"/>
      </w:tcPr>
    </w:tblStylePr>
    <w:tblStylePr w:type="nwCell">
      <w:tblPr/>
      <w:tcPr>
        <w:shd w:color="auto" w:fill="ffffff" w:themeFill="background1" w:val="clear"/>
      </w:tcPr>
    </w:tblStylePr>
  </w:style>
  <w:style w:type="table" w:styleId="Cuadrculamedia2-nfasis1">
    <w:name w:val="Medium Grid 2 Accent 1"/>
    <w:basedOn w:val="Tabla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cPr>
      <w:shd w:color="auto" w:fill="d3dfee" w:themeFill="accent1" w:themeFillTint="00003F" w:val="clear"/>
    </w:tcPr>
    <w:tblStylePr w:type="firstRow">
      <w:rPr>
        <w:b w:val="1"/>
        <w:bCs w:val="1"/>
        <w:color w:val="000000" w:themeColor="text1"/>
      </w:rPr>
      <w:tblPr/>
      <w:tcPr>
        <w:shd w:color="auto" w:fill="edf2f8" w:themeFill="accen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be5f1" w:themeFill="accent1" w:themeFillTint="000033" w:val="clear"/>
      </w:tcPr>
    </w:tblStylePr>
    <w:tblStylePr w:type="band1Vert">
      <w:tblPr/>
      <w:tcPr>
        <w:shd w:color="auto" w:fill="a7bfde" w:themeFill="accent1" w:themeFillTint="0000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00007F" w:val="clear"/>
      </w:tcPr>
    </w:tblStylePr>
    <w:tblStylePr w:type="nwCell">
      <w:tblPr/>
      <w:tcPr>
        <w:shd w:color="auto" w:fill="ffffff" w:themeFill="background1" w:val="clear"/>
      </w:tcPr>
    </w:tblStylePr>
  </w:style>
  <w:style w:type="table" w:styleId="Cuadrculamedia2-nfasis2">
    <w:name w:val="Medium Grid 2 Accent 2"/>
    <w:basedOn w:val="Tabla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cPr>
      <w:shd w:color="auto" w:fill="efd3d2" w:themeFill="accent2" w:themeFillTint="00003F" w:val="clear"/>
    </w:tcPr>
    <w:tblStylePr w:type="firstRow">
      <w:rPr>
        <w:b w:val="1"/>
        <w:bCs w:val="1"/>
        <w:color w:val="000000" w:themeColor="text1"/>
      </w:rPr>
      <w:tblPr/>
      <w:tcPr>
        <w:shd w:color="auto" w:fill="f8eded" w:themeFill="accent2"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2dbdb" w:themeFill="accent2" w:themeFillTint="000033" w:val="clear"/>
      </w:tcPr>
    </w:tblStylePr>
    <w:tblStylePr w:type="band1Vert">
      <w:tblPr/>
      <w:tcPr>
        <w:shd w:color="auto" w:fill="dfa7a6" w:themeFill="accent2" w:themeFillTint="0000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00007F" w:val="clear"/>
      </w:tcPr>
    </w:tblStylePr>
    <w:tblStylePr w:type="nwCell">
      <w:tblPr/>
      <w:tcPr>
        <w:shd w:color="auto" w:fill="ffffff" w:themeFill="background1" w:val="clear"/>
      </w:tcPr>
    </w:tblStylePr>
  </w:style>
  <w:style w:type="table" w:styleId="Cuadrculamedia2-nfasis3">
    <w:name w:val="Medium Grid 2 Accent 3"/>
    <w:basedOn w:val="Tabla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cPr>
      <w:shd w:color="auto" w:fill="e6eed5" w:themeFill="accent3" w:themeFillTint="00003F" w:val="clear"/>
    </w:tcPr>
    <w:tblStylePr w:type="firstRow">
      <w:rPr>
        <w:b w:val="1"/>
        <w:bCs w:val="1"/>
        <w:color w:val="000000" w:themeColor="text1"/>
      </w:rPr>
      <w:tblPr/>
      <w:tcPr>
        <w:shd w:color="auto" w:fill="f5f8ee" w:themeFill="accent3"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af1dd" w:themeFill="accent3" w:themeFillTint="000033" w:val="clear"/>
      </w:tcPr>
    </w:tblStylePr>
    <w:tblStylePr w:type="band1Vert">
      <w:tblPr/>
      <w:tcPr>
        <w:shd w:color="auto" w:fill="cdddac" w:themeFill="accent3" w:themeFillTint="0000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00007F" w:val="clear"/>
      </w:tcPr>
    </w:tblStylePr>
    <w:tblStylePr w:type="nwCell">
      <w:tblPr/>
      <w:tcPr>
        <w:shd w:color="auto" w:fill="ffffff" w:themeFill="background1" w:val="clear"/>
      </w:tcPr>
    </w:tblStylePr>
  </w:style>
  <w:style w:type="table" w:styleId="Cuadrculamedia2-nfasis4">
    <w:name w:val="Medium Grid 2 Accent 4"/>
    <w:basedOn w:val="Tabla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cPr>
      <w:shd w:color="auto" w:fill="dfd8e8" w:themeFill="accent4" w:themeFillTint="00003F" w:val="clear"/>
    </w:tcPr>
    <w:tblStylePr w:type="firstRow">
      <w:rPr>
        <w:b w:val="1"/>
        <w:bCs w:val="1"/>
        <w:color w:val="000000" w:themeColor="text1"/>
      </w:rPr>
      <w:tblPr/>
      <w:tcPr>
        <w:shd w:color="auto" w:fill="f2eff6" w:themeFill="accent4"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5dfec" w:themeFill="accent4" w:themeFillTint="000033" w:val="clear"/>
      </w:tcPr>
    </w:tblStylePr>
    <w:tblStylePr w:type="band1Vert">
      <w:tblPr/>
      <w:tcPr>
        <w:shd w:color="auto" w:fill="bfb1d0" w:themeFill="accent4" w:themeFillTint="0000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00007F" w:val="clear"/>
      </w:tcPr>
    </w:tblStylePr>
    <w:tblStylePr w:type="nwCell">
      <w:tblPr/>
      <w:tcPr>
        <w:shd w:color="auto" w:fill="ffffff" w:themeFill="background1" w:val="clear"/>
      </w:tcPr>
    </w:tblStylePr>
  </w:style>
  <w:style w:type="table" w:styleId="Cuadrculamedia2-nfasis5">
    <w:name w:val="Medium Grid 2 Accent 5"/>
    <w:basedOn w:val="Tabla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cPr>
      <w:shd w:color="auto" w:fill="d2eaf1" w:themeFill="accent5" w:themeFillTint="00003F" w:val="clear"/>
    </w:tcPr>
    <w:tblStylePr w:type="firstRow">
      <w:rPr>
        <w:b w:val="1"/>
        <w:bCs w:val="1"/>
        <w:color w:val="000000" w:themeColor="text1"/>
      </w:rPr>
      <w:tblPr/>
      <w:tcPr>
        <w:shd w:color="auto" w:fill="edf6f9" w:themeFill="accent5"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aeef3" w:themeFill="accent5" w:themeFillTint="000033" w:val="clear"/>
      </w:tcPr>
    </w:tblStylePr>
    <w:tblStylePr w:type="band1Vert">
      <w:tblPr/>
      <w:tcPr>
        <w:shd w:color="auto" w:fill="a5d5e2" w:themeFill="accent5" w:themeFillTint="0000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00007F" w:val="clear"/>
      </w:tcPr>
    </w:tblStylePr>
    <w:tblStylePr w:type="nwCell">
      <w:tblPr/>
      <w:tcPr>
        <w:shd w:color="auto" w:fill="ffffff" w:themeFill="background1" w:val="clear"/>
      </w:tcPr>
    </w:tblStylePr>
  </w:style>
  <w:style w:type="table" w:styleId="Cuadrculamedia2-nfasis6">
    <w:name w:val="Medium Grid 2 Accent 6"/>
    <w:basedOn w:val="Tabla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cPr>
      <w:shd w:color="auto" w:fill="fde4d0" w:themeFill="accent6" w:themeFillTint="00003F" w:val="clear"/>
    </w:tcPr>
    <w:tblStylePr w:type="firstRow">
      <w:rPr>
        <w:b w:val="1"/>
        <w:bCs w:val="1"/>
        <w:color w:val="000000" w:themeColor="text1"/>
      </w:rPr>
      <w:tblPr/>
      <w:tcPr>
        <w:shd w:color="auto" w:fill="fef4ec" w:themeFill="accent6"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de9d9" w:themeFill="accent6" w:themeFillTint="000033" w:val="clear"/>
      </w:tcPr>
    </w:tblStylePr>
    <w:tblStylePr w:type="band1Vert">
      <w:tblPr/>
      <w:tcPr>
        <w:shd w:color="auto" w:fill="fbcaa2" w:themeFill="accent6" w:themeFillTint="0000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00007F" w:val="clear"/>
      </w:tcPr>
    </w:tblStylePr>
    <w:tblStylePr w:type="nwCell">
      <w:tblPr/>
      <w:tcPr>
        <w:shd w:color="auto" w:fill="ffffff" w:themeFill="background1" w:val="clear"/>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c0c0c0" w:themeFill="tex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000000" w:themeFill="tex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808080" w:themeFill="tex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00007F" w:val="clear"/>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3dfee" w:themeFill="accen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f81bd" w:themeFill="accen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7bfde" w:themeFill="accen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00007F" w:val="clear"/>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fd3d2" w:themeFill="accent2"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c0504d" w:themeFill="accent2"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dfa7a6" w:themeFill="accent2"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00007F" w:val="clear"/>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6eed5" w:themeFill="accent3"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9bbb59" w:themeFill="accent3"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cdddac" w:themeFill="accent3"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00007F" w:val="clear"/>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fd8e8" w:themeFill="accent4"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8064a2" w:themeFill="accent4"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bfb1d0" w:themeFill="accent4"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00007F" w:val="clear"/>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2eaf1" w:themeFill="accent5"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bacc6" w:themeFill="accent5"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5d5e2" w:themeFill="accent5"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00007F" w:val="clear"/>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fde4d0" w:themeFill="accent6"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f79646" w:themeFill="accent6"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fbcaa2" w:themeFill="accent6"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00007F" w:val="clear"/>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color="auto" w:fill="000000" w:themeFill="tex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000000" w:themeFill="tex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000000" w:themeFill="tex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000000" w:themeFill="tex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color="auto" w:fill="4f81bd" w:themeFill="accen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43f60" w:themeFill="accen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65f91" w:themeFill="accen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65f91" w:themeFill="accen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color="auto" w:fill="c0504d" w:themeFill="accent2"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622423" w:themeFill="accent2"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943634" w:themeFill="accent2"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943634" w:themeFill="accent2"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color="auto" w:fill="9bbb59" w:themeFill="accent3"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4e6128" w:themeFill="accent3"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76923c" w:themeFill="accent3"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76923c" w:themeFill="accent3"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color="auto" w:fill="8064a2" w:themeFill="accent4"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3f3151" w:themeFill="accent4"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5f497a" w:themeFill="accent4"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5f497a" w:themeFill="accent4"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color="auto" w:fill="4bacc6" w:themeFill="accent5"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05867" w:themeFill="accent5"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1849b" w:themeFill="accent5"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1849b" w:themeFill="accent5"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color="auto" w:fill="f79646" w:themeFill="accent6"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974706" w:themeFill="accent6"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e36c0a" w:themeFill="accent6"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e36c0a" w:themeFill="accent6"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Pr>
    <w:tcPr>
      <w:shd w:color="auto" w:fill="e6e6e6" w:themeFill="tex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000000" w:themeFill="text1" w:themeFillShade="000099" w:val="clear"/>
      </w:tcPr>
    </w:tblStylePr>
    <w:tblStylePr w:type="firstCol">
      <w:rPr>
        <w:color w:val="ffffff" w:themeColor="background1"/>
      </w:rPr>
      <w:tblPr/>
      <w:tcPr>
        <w:tcBorders>
          <w:top w:space="0" w:sz="0" w:val="nil"/>
          <w:left w:space="0" w:sz="0" w:val="nil"/>
          <w:bottom w:space="0" w:sz="0" w:val="nil"/>
          <w:right w:space="0" w:sz="0" w:val="nil"/>
          <w:insideH w:color="000000" w:space="0" w:sz="4" w:themeColor="text1" w:themeShade="000099" w:val="single"/>
          <w:insideV w:space="0" w:sz="0" w:val="nil"/>
        </w:tcBorders>
        <w:shd w:color="auto" w:fill="000000" w:themeFill="tex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Vert">
      <w:tblPr/>
      <w:tcPr>
        <w:shd w:color="auto" w:fill="999999" w:themeFill="text1" w:themeFillTint="000066" w:val="clear"/>
      </w:tcPr>
    </w:tblStylePr>
    <w:tblStylePr w:type="band1Horz">
      <w:tblPr/>
      <w:tcPr>
        <w:shd w:color="auto" w:fill="808080" w:themeFill="text1" w:themeFillTint="00007F" w:val="clear"/>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Pr>
    <w:tcPr>
      <w:shd w:color="auto" w:fill="edf2f8" w:themeFill="accen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c4c74" w:themeFill="accent1" w:themeFillShade="000099" w:val="clear"/>
      </w:tcPr>
    </w:tblStylePr>
    <w:tblStylePr w:type="firstCol">
      <w:rPr>
        <w:color w:val="ffffff" w:themeColor="background1"/>
      </w:rPr>
      <w:tblPr/>
      <w:tcPr>
        <w:tcBorders>
          <w:top w:space="0" w:sz="0" w:val="nil"/>
          <w:left w:space="0" w:sz="0" w:val="nil"/>
          <w:bottom w:space="0" w:sz="0" w:val="nil"/>
          <w:right w:space="0" w:sz="0" w:val="nil"/>
          <w:insideH w:color="2c4c74" w:space="0" w:sz="4" w:themeColor="accent1" w:themeShade="000099" w:val="single"/>
          <w:insideV w:space="0" w:sz="0" w:val="nil"/>
        </w:tcBorders>
        <w:shd w:color="auto" w:fill="2c4c74" w:themeFill="accen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c4c74" w:themeFill="accent1" w:themeFillShade="000099" w:val="clear"/>
      </w:tcPr>
    </w:tblStylePr>
    <w:tblStylePr w:type="band1Vert">
      <w:tblPr/>
      <w:tcPr>
        <w:shd w:color="auto" w:fill="b8cce4" w:themeFill="accent1" w:themeFillTint="000066" w:val="clear"/>
      </w:tcPr>
    </w:tblStylePr>
    <w:tblStylePr w:type="band1Horz">
      <w:tblPr/>
      <w:tcPr>
        <w:shd w:color="auto" w:fill="a7bfde" w:themeFill="accent1" w:themeFillTint="00007F" w:val="clear"/>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Pr>
    <w:tcPr>
      <w:shd w:color="auto" w:fill="f8eded" w:themeFill="accent2"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772c2a" w:themeFill="accent2" w:themeFillShade="000099" w:val="clear"/>
      </w:tcPr>
    </w:tblStylePr>
    <w:tblStylePr w:type="firstCol">
      <w:rPr>
        <w:color w:val="ffffff" w:themeColor="background1"/>
      </w:rPr>
      <w:tblPr/>
      <w:tcPr>
        <w:tcBorders>
          <w:top w:space="0" w:sz="0" w:val="nil"/>
          <w:left w:space="0" w:sz="0" w:val="nil"/>
          <w:bottom w:space="0" w:sz="0" w:val="nil"/>
          <w:right w:space="0" w:sz="0" w:val="nil"/>
          <w:insideH w:color="772c2a" w:space="0" w:sz="4" w:themeColor="accent2" w:themeShade="000099" w:val="single"/>
          <w:insideV w:space="0" w:sz="0" w:val="nil"/>
        </w:tcBorders>
        <w:shd w:color="auto" w:fill="772c2a" w:themeFill="accent2"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772c2a" w:themeFill="accent2" w:themeFillShade="000099" w:val="clear"/>
      </w:tcPr>
    </w:tblStylePr>
    <w:tblStylePr w:type="band1Vert">
      <w:tblPr/>
      <w:tcPr>
        <w:shd w:color="auto" w:fill="e5b8b7" w:themeFill="accent2" w:themeFillTint="000066" w:val="clear"/>
      </w:tcPr>
    </w:tblStylePr>
    <w:tblStylePr w:type="band1Horz">
      <w:tblPr/>
      <w:tcPr>
        <w:shd w:color="auto" w:fill="dfa7a6" w:themeFill="accent2" w:themeFillTint="00007F" w:val="clear"/>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Pr>
    <w:tcPr>
      <w:shd w:color="auto" w:fill="f5f8ee" w:themeFill="accent3" w:themeFillTint="000019" w:val="clear"/>
    </w:tcPr>
    <w:tblStylePr w:type="firstRow">
      <w:rPr>
        <w:b w:val="1"/>
        <w:bCs w:val="1"/>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5e7530" w:themeFill="accent3" w:themeFillShade="000099" w:val="clear"/>
      </w:tcPr>
    </w:tblStylePr>
    <w:tblStylePr w:type="firstCol">
      <w:rPr>
        <w:color w:val="ffffff" w:themeColor="background1"/>
      </w:rPr>
      <w:tblPr/>
      <w:tcPr>
        <w:tcBorders>
          <w:top w:space="0" w:sz="0" w:val="nil"/>
          <w:left w:space="0" w:sz="0" w:val="nil"/>
          <w:bottom w:space="0" w:sz="0" w:val="nil"/>
          <w:right w:space="0" w:sz="0" w:val="nil"/>
          <w:insideH w:color="5e7530" w:space="0" w:sz="4" w:themeColor="accent3" w:themeShade="000099" w:val="single"/>
          <w:insideV w:space="0" w:sz="0" w:val="nil"/>
        </w:tcBorders>
        <w:shd w:color="auto" w:fill="5e7530" w:themeFill="accent3"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5e7530" w:themeFill="accent3" w:themeFillShade="000099" w:val="clear"/>
      </w:tcPr>
    </w:tblStylePr>
    <w:tblStylePr w:type="band1Vert">
      <w:tblPr/>
      <w:tcPr>
        <w:shd w:color="auto" w:fill="d6e3bc" w:themeFill="accent3" w:themeFillTint="000066" w:val="clear"/>
      </w:tcPr>
    </w:tblStylePr>
    <w:tblStylePr w:type="band1Horz">
      <w:tblPr/>
      <w:tcPr>
        <w:shd w:color="auto" w:fill="cdddac" w:themeFill="accent3" w:themeFillTint="00007F" w:val="clear"/>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Pr>
    <w:tcPr>
      <w:shd w:color="auto" w:fill="f2eff6" w:themeFill="accent4" w:themeFillTint="000019" w:val="clear"/>
    </w:tcPr>
    <w:tblStylePr w:type="firstRow">
      <w:rPr>
        <w:b w:val="1"/>
        <w:bCs w:val="1"/>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4c3b62" w:themeFill="accent4" w:themeFillShade="000099" w:val="clear"/>
      </w:tcPr>
    </w:tblStylePr>
    <w:tblStylePr w:type="firstCol">
      <w:rPr>
        <w:color w:val="ffffff" w:themeColor="background1"/>
      </w:rPr>
      <w:tblPr/>
      <w:tcPr>
        <w:tcBorders>
          <w:top w:space="0" w:sz="0" w:val="nil"/>
          <w:left w:space="0" w:sz="0" w:val="nil"/>
          <w:bottom w:space="0" w:sz="0" w:val="nil"/>
          <w:right w:space="0" w:sz="0" w:val="nil"/>
          <w:insideH w:color="4c3b62" w:space="0" w:sz="4" w:themeColor="accent4" w:themeShade="000099" w:val="single"/>
          <w:insideV w:space="0" w:sz="0" w:val="nil"/>
        </w:tcBorders>
        <w:shd w:color="auto" w:fill="4c3b62" w:themeFill="accent4"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4c3b62" w:themeFill="accent4" w:themeFillShade="000099" w:val="clear"/>
      </w:tcPr>
    </w:tblStylePr>
    <w:tblStylePr w:type="band1Vert">
      <w:tblPr/>
      <w:tcPr>
        <w:shd w:color="auto" w:fill="ccc0d9" w:themeFill="accent4" w:themeFillTint="000066" w:val="clear"/>
      </w:tcPr>
    </w:tblStylePr>
    <w:tblStylePr w:type="band1Horz">
      <w:tblPr/>
      <w:tcPr>
        <w:shd w:color="auto" w:fill="bfb1d0" w:themeFill="accent4" w:themeFillTint="00007F" w:val="clear"/>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Pr>
    <w:tcPr>
      <w:shd w:color="auto" w:fill="edf6f9" w:themeFill="accent5" w:themeFillTint="000019" w:val="clear"/>
    </w:tcPr>
    <w:tblStylePr w:type="firstRow">
      <w:rPr>
        <w:b w:val="1"/>
        <w:bCs w:val="1"/>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76a7c" w:themeFill="accent5" w:themeFillShade="000099" w:val="clear"/>
      </w:tcPr>
    </w:tblStylePr>
    <w:tblStylePr w:type="firstCol">
      <w:rPr>
        <w:color w:val="ffffff" w:themeColor="background1"/>
      </w:rPr>
      <w:tblPr/>
      <w:tcPr>
        <w:tcBorders>
          <w:top w:space="0" w:sz="0" w:val="nil"/>
          <w:left w:space="0" w:sz="0" w:val="nil"/>
          <w:bottom w:space="0" w:sz="0" w:val="nil"/>
          <w:right w:space="0" w:sz="0" w:val="nil"/>
          <w:insideH w:color="276a7c" w:space="0" w:sz="4" w:themeColor="accent5" w:themeShade="000099" w:val="single"/>
          <w:insideV w:space="0" w:sz="0" w:val="nil"/>
        </w:tcBorders>
        <w:shd w:color="auto" w:fill="276a7c" w:themeFill="accent5"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76a7c" w:themeFill="accent5" w:themeFillShade="000099" w:val="clear"/>
      </w:tcPr>
    </w:tblStylePr>
    <w:tblStylePr w:type="band1Vert">
      <w:tblPr/>
      <w:tcPr>
        <w:shd w:color="auto" w:fill="b6dde8" w:themeFill="accent5" w:themeFillTint="000066" w:val="clear"/>
      </w:tcPr>
    </w:tblStylePr>
    <w:tblStylePr w:type="band1Horz">
      <w:tblPr/>
      <w:tcPr>
        <w:shd w:color="auto" w:fill="a5d5e2" w:themeFill="accent5" w:themeFillTint="00007F" w:val="clear"/>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Pr>
    <w:tcPr>
      <w:shd w:color="auto" w:fill="fef4ec" w:themeFill="accent6" w:themeFillTint="000019" w:val="clear"/>
    </w:tcPr>
    <w:tblStylePr w:type="firstRow">
      <w:rPr>
        <w:b w:val="1"/>
        <w:bCs w:val="1"/>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b65608" w:themeFill="accent6" w:themeFillShade="000099" w:val="clear"/>
      </w:tcPr>
    </w:tblStylePr>
    <w:tblStylePr w:type="firstCol">
      <w:rPr>
        <w:color w:val="ffffff" w:themeColor="background1"/>
      </w:rPr>
      <w:tblPr/>
      <w:tcPr>
        <w:tcBorders>
          <w:top w:space="0" w:sz="0" w:val="nil"/>
          <w:left w:space="0" w:sz="0" w:val="nil"/>
          <w:bottom w:space="0" w:sz="0" w:val="nil"/>
          <w:right w:space="0" w:sz="0" w:val="nil"/>
          <w:insideH w:color="b65608" w:space="0" w:sz="4" w:themeColor="accent6" w:themeShade="000099" w:val="single"/>
          <w:insideV w:space="0" w:sz="0" w:val="nil"/>
        </w:tcBorders>
        <w:shd w:color="auto" w:fill="b65608" w:themeFill="accent6"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b65608" w:themeFill="accent6" w:themeFillShade="000099" w:val="clear"/>
      </w:tcPr>
    </w:tblStylePr>
    <w:tblStylePr w:type="band1Vert">
      <w:tblPr/>
      <w:tcPr>
        <w:shd w:color="auto" w:fill="fbd4b4" w:themeFill="accent6" w:themeFillTint="000066" w:val="clear"/>
      </w:tcPr>
    </w:tblStylePr>
    <w:tblStylePr w:type="band1Horz">
      <w:tblPr/>
      <w:tcPr>
        <w:shd w:color="auto" w:fill="fbcaa2" w:themeFill="accent6" w:themeFillTint="00007F" w:val="clear"/>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color="auto" w:fill="e6e6e6" w:themeFill="tex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c0c0c0" w:themeFill="text1" w:themeFillTint="00003F" w:val="clear"/>
      </w:tcPr>
    </w:tblStylePr>
    <w:tblStylePr w:type="band1Horz">
      <w:tblPr/>
      <w:tcPr>
        <w:shd w:color="auto" w:fill="cccccc" w:themeFill="text1" w:themeFillTint="000033" w:val="clear"/>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color="auto" w:fill="edf2f8" w:themeFill="accen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3dfee" w:themeFill="accent1" w:themeFillTint="00003F" w:val="clear"/>
      </w:tcPr>
    </w:tblStylePr>
    <w:tblStylePr w:type="band1Horz">
      <w:tblPr/>
      <w:tcPr>
        <w:shd w:color="auto" w:fill="dbe5f1" w:themeFill="accent1" w:themeFillTint="000033" w:val="clear"/>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color="auto" w:fill="f8eded" w:themeFill="accent2"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fd3d2" w:themeFill="accent2" w:themeFillTint="00003F" w:val="clear"/>
      </w:tcPr>
    </w:tblStylePr>
    <w:tblStylePr w:type="band1Horz">
      <w:tblPr/>
      <w:tcPr>
        <w:shd w:color="auto" w:fill="f2dbdb" w:themeFill="accent2" w:themeFillTint="000033" w:val="clear"/>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color="auto" w:fill="f5f8ee" w:themeFill="accent3" w:themeFillTint="000019" w:val="clear"/>
    </w:tcPr>
    <w:tblStylePr w:type="firstRow">
      <w:rPr>
        <w:b w:val="1"/>
        <w:bCs w:val="1"/>
        <w:color w:val="ffffff" w:themeColor="background1"/>
      </w:rPr>
      <w:tblPr/>
      <w:tcPr>
        <w:tcBorders>
          <w:bottom w:color="ffffff" w:space="0" w:sz="12" w:themeColor="background1" w:val="single"/>
        </w:tcBorders>
        <w:shd w:color="auto" w:fill="664e82" w:themeFill="accent4" w:themeFillShade="0000CC" w:val="clear"/>
      </w:tcPr>
    </w:tblStylePr>
    <w:tblStylePr w:type="lastRow">
      <w:rPr>
        <w:b w:val="1"/>
        <w:bCs w:val="1"/>
        <w:color w:val="664e82" w:themeColor="accent4"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6eed5" w:themeFill="accent3" w:themeFillTint="00003F" w:val="clear"/>
      </w:tcPr>
    </w:tblStylePr>
    <w:tblStylePr w:type="band1Horz">
      <w:tblPr/>
      <w:tcPr>
        <w:shd w:color="auto" w:fill="eaf1dd" w:themeFill="accent3" w:themeFillTint="000033" w:val="clear"/>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color="auto" w:fill="f2eff6" w:themeFill="accent4" w:themeFillTint="000019" w:val="clear"/>
    </w:tcPr>
    <w:tblStylePr w:type="firstRow">
      <w:rPr>
        <w:b w:val="1"/>
        <w:bCs w:val="1"/>
        <w:color w:val="ffffff" w:themeColor="background1"/>
      </w:rPr>
      <w:tblPr/>
      <w:tcPr>
        <w:tcBorders>
          <w:bottom w:color="ffffff" w:space="0" w:sz="12" w:themeColor="background1" w:val="single"/>
        </w:tcBorders>
        <w:shd w:color="auto" w:fill="7e9c40" w:themeFill="accent3" w:themeFillShade="0000CC" w:val="clear"/>
      </w:tcPr>
    </w:tblStylePr>
    <w:tblStylePr w:type="lastRow">
      <w:rPr>
        <w:b w:val="1"/>
        <w:bCs w:val="1"/>
        <w:color w:val="7e9c40" w:themeColor="accent3"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fd8e8" w:themeFill="accent4" w:themeFillTint="00003F" w:val="clear"/>
      </w:tcPr>
    </w:tblStylePr>
    <w:tblStylePr w:type="band1Horz">
      <w:tblPr/>
      <w:tcPr>
        <w:shd w:color="auto" w:fill="e5dfec" w:themeFill="accent4" w:themeFillTint="000033" w:val="clear"/>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color="auto" w:fill="edf6f9" w:themeFill="accent5" w:themeFillTint="000019" w:val="clear"/>
    </w:tcPr>
    <w:tblStylePr w:type="firstRow">
      <w:rPr>
        <w:b w:val="1"/>
        <w:bCs w:val="1"/>
        <w:color w:val="ffffff" w:themeColor="background1"/>
      </w:rPr>
      <w:tblPr/>
      <w:tcPr>
        <w:tcBorders>
          <w:bottom w:color="ffffff" w:space="0" w:sz="12" w:themeColor="background1" w:val="single"/>
        </w:tcBorders>
        <w:shd w:color="auto" w:fill="f2730a" w:themeFill="accent6" w:themeFillShade="0000CC" w:val="clear"/>
      </w:tcPr>
    </w:tblStylePr>
    <w:tblStylePr w:type="lastRow">
      <w:rPr>
        <w:b w:val="1"/>
        <w:bCs w:val="1"/>
        <w:color w:val="f2730a" w:themeColor="accent6"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2eaf1" w:themeFill="accent5" w:themeFillTint="00003F" w:val="clear"/>
      </w:tcPr>
    </w:tblStylePr>
    <w:tblStylePr w:type="band1Horz">
      <w:tblPr/>
      <w:tcPr>
        <w:shd w:color="auto" w:fill="daeef3" w:themeFill="accent5" w:themeFillTint="000033" w:val="clear"/>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color="auto" w:fill="fef4ec" w:themeFill="accent6" w:themeFillTint="000019" w:val="clear"/>
    </w:tcPr>
    <w:tblStylePr w:type="firstRow">
      <w:rPr>
        <w:b w:val="1"/>
        <w:bCs w:val="1"/>
        <w:color w:val="ffffff" w:themeColor="background1"/>
      </w:rPr>
      <w:tblPr/>
      <w:tcPr>
        <w:tcBorders>
          <w:bottom w:color="ffffff" w:space="0" w:sz="12" w:themeColor="background1" w:val="single"/>
        </w:tcBorders>
        <w:shd w:color="auto" w:fill="348da5" w:themeFill="accent5" w:themeFillShade="0000CC" w:val="clear"/>
      </w:tcPr>
    </w:tblStylePr>
    <w:tblStylePr w:type="lastRow">
      <w:rPr>
        <w:b w:val="1"/>
        <w:bCs w:val="1"/>
        <w:color w:val="348da5" w:themeColor="accent5"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fde4d0" w:themeFill="accent6" w:themeFillTint="00003F" w:val="clear"/>
      </w:tcPr>
    </w:tblStylePr>
    <w:tblStylePr w:type="band1Horz">
      <w:tblPr/>
      <w:tcPr>
        <w:shd w:color="auto" w:fill="fde9d9" w:themeFill="accent6" w:themeFillTint="000033" w:val="clear"/>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cccccc" w:themeFill="text1" w:themeFillTint="000033" w:val="clear"/>
    </w:tcPr>
    <w:tblStylePr w:type="firstRow">
      <w:rPr>
        <w:b w:val="1"/>
        <w:bCs w:val="1"/>
      </w:rPr>
      <w:tblPr/>
      <w:tcPr>
        <w:shd w:color="auto" w:fill="999999" w:themeFill="text1" w:themeFillTint="000066" w:val="clear"/>
      </w:tcPr>
    </w:tblStylePr>
    <w:tblStylePr w:type="lastRow">
      <w:rPr>
        <w:b w:val="1"/>
        <w:bCs w:val="1"/>
        <w:color w:val="000000" w:themeColor="text1"/>
      </w:rPr>
      <w:tblPr/>
      <w:tcPr>
        <w:shd w:color="auto" w:fill="999999" w:themeFill="text1" w:themeFillTint="000066" w:val="clear"/>
      </w:tcPr>
    </w:tblStylePr>
    <w:tblStylePr w:type="firstCol">
      <w:rPr>
        <w:color w:val="ffffff" w:themeColor="background1"/>
      </w:rPr>
      <w:tblPr/>
      <w:tcPr>
        <w:shd w:color="auto" w:fill="000000" w:themeFill="text1" w:themeFillShade="0000BF" w:val="clear"/>
      </w:tcPr>
    </w:tblStylePr>
    <w:tblStylePr w:type="lastCol">
      <w:rPr>
        <w:color w:val="ffffff" w:themeColor="background1"/>
      </w:rPr>
      <w:tblPr/>
      <w:tcPr>
        <w:shd w:color="auto" w:fill="000000" w:themeFill="text1" w:themeFillShade="0000BF" w:val="clear"/>
      </w:tc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dbe5f1" w:themeFill="accent1" w:themeFillTint="000033" w:val="clear"/>
    </w:tcPr>
    <w:tblStylePr w:type="firstRow">
      <w:rPr>
        <w:b w:val="1"/>
        <w:bCs w:val="1"/>
      </w:rPr>
      <w:tblPr/>
      <w:tcPr>
        <w:shd w:color="auto" w:fill="b8cce4" w:themeFill="accent1" w:themeFillTint="000066" w:val="clear"/>
      </w:tcPr>
    </w:tblStylePr>
    <w:tblStylePr w:type="lastRow">
      <w:rPr>
        <w:b w:val="1"/>
        <w:bCs w:val="1"/>
        <w:color w:val="000000" w:themeColor="text1"/>
      </w:rPr>
      <w:tblPr/>
      <w:tcPr>
        <w:shd w:color="auto" w:fill="b8cce4" w:themeFill="accent1" w:themeFillTint="000066" w:val="clear"/>
      </w:tcPr>
    </w:tblStylePr>
    <w:tblStylePr w:type="firstCol">
      <w:rPr>
        <w:color w:val="ffffff" w:themeColor="background1"/>
      </w:rPr>
      <w:tblPr/>
      <w:tcPr>
        <w:shd w:color="auto" w:fill="365f91" w:themeFill="accent1" w:themeFillShade="0000BF" w:val="clear"/>
      </w:tcPr>
    </w:tblStylePr>
    <w:tblStylePr w:type="lastCol">
      <w:rPr>
        <w:color w:val="ffffff" w:themeColor="background1"/>
      </w:rPr>
      <w:tblPr/>
      <w:tcPr>
        <w:shd w:color="auto" w:fill="365f91" w:themeFill="accent1" w:themeFillShade="0000BF" w:val="clear"/>
      </w:tc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f2dbdb" w:themeFill="accent2" w:themeFillTint="000033" w:val="clear"/>
    </w:tcPr>
    <w:tblStylePr w:type="firstRow">
      <w:rPr>
        <w:b w:val="1"/>
        <w:bCs w:val="1"/>
      </w:rPr>
      <w:tblPr/>
      <w:tcPr>
        <w:shd w:color="auto" w:fill="e5b8b7" w:themeFill="accent2" w:themeFillTint="000066" w:val="clear"/>
      </w:tcPr>
    </w:tblStylePr>
    <w:tblStylePr w:type="lastRow">
      <w:rPr>
        <w:b w:val="1"/>
        <w:bCs w:val="1"/>
        <w:color w:val="000000" w:themeColor="text1"/>
      </w:rPr>
      <w:tblPr/>
      <w:tcPr>
        <w:shd w:color="auto" w:fill="e5b8b7" w:themeFill="accent2" w:themeFillTint="000066" w:val="clear"/>
      </w:tcPr>
    </w:tblStylePr>
    <w:tblStylePr w:type="firstCol">
      <w:rPr>
        <w:color w:val="ffffff" w:themeColor="background1"/>
      </w:rPr>
      <w:tblPr/>
      <w:tcPr>
        <w:shd w:color="auto" w:fill="943634" w:themeFill="accent2" w:themeFillShade="0000BF" w:val="clear"/>
      </w:tcPr>
    </w:tblStylePr>
    <w:tblStylePr w:type="lastCol">
      <w:rPr>
        <w:color w:val="ffffff" w:themeColor="background1"/>
      </w:rPr>
      <w:tblPr/>
      <w:tcPr>
        <w:shd w:color="auto" w:fill="943634" w:themeFill="accent2" w:themeFillShade="0000BF" w:val="clear"/>
      </w:tc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eaf1dd" w:themeFill="accent3" w:themeFillTint="000033" w:val="clear"/>
    </w:tcPr>
    <w:tblStylePr w:type="firstRow">
      <w:rPr>
        <w:b w:val="1"/>
        <w:bCs w:val="1"/>
      </w:rPr>
      <w:tblPr/>
      <w:tcPr>
        <w:shd w:color="auto" w:fill="d6e3bc" w:themeFill="accent3" w:themeFillTint="000066" w:val="clear"/>
      </w:tcPr>
    </w:tblStylePr>
    <w:tblStylePr w:type="lastRow">
      <w:rPr>
        <w:b w:val="1"/>
        <w:bCs w:val="1"/>
        <w:color w:val="000000" w:themeColor="text1"/>
      </w:rPr>
      <w:tblPr/>
      <w:tcPr>
        <w:shd w:color="auto" w:fill="d6e3bc" w:themeFill="accent3" w:themeFillTint="000066" w:val="clear"/>
      </w:tcPr>
    </w:tblStylePr>
    <w:tblStylePr w:type="firstCol">
      <w:rPr>
        <w:color w:val="ffffff" w:themeColor="background1"/>
      </w:rPr>
      <w:tblPr/>
      <w:tcPr>
        <w:shd w:color="auto" w:fill="76923c" w:themeFill="accent3" w:themeFillShade="0000BF" w:val="clear"/>
      </w:tcPr>
    </w:tblStylePr>
    <w:tblStylePr w:type="lastCol">
      <w:rPr>
        <w:color w:val="ffffff" w:themeColor="background1"/>
      </w:rPr>
      <w:tblPr/>
      <w:tcPr>
        <w:shd w:color="auto" w:fill="76923c" w:themeFill="accent3" w:themeFillShade="0000BF" w:val="clear"/>
      </w:tc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e5dfec" w:themeFill="accent4" w:themeFillTint="000033" w:val="clear"/>
    </w:tcPr>
    <w:tblStylePr w:type="firstRow">
      <w:rPr>
        <w:b w:val="1"/>
        <w:bCs w:val="1"/>
      </w:rPr>
      <w:tblPr/>
      <w:tcPr>
        <w:shd w:color="auto" w:fill="ccc0d9" w:themeFill="accent4" w:themeFillTint="000066" w:val="clear"/>
      </w:tcPr>
    </w:tblStylePr>
    <w:tblStylePr w:type="lastRow">
      <w:rPr>
        <w:b w:val="1"/>
        <w:bCs w:val="1"/>
        <w:color w:val="000000" w:themeColor="text1"/>
      </w:rPr>
      <w:tblPr/>
      <w:tcPr>
        <w:shd w:color="auto" w:fill="ccc0d9" w:themeFill="accent4" w:themeFillTint="000066" w:val="clear"/>
      </w:tcPr>
    </w:tblStylePr>
    <w:tblStylePr w:type="firstCol">
      <w:rPr>
        <w:color w:val="ffffff" w:themeColor="background1"/>
      </w:rPr>
      <w:tblPr/>
      <w:tcPr>
        <w:shd w:color="auto" w:fill="5f497a" w:themeFill="accent4" w:themeFillShade="0000BF" w:val="clear"/>
      </w:tcPr>
    </w:tblStylePr>
    <w:tblStylePr w:type="lastCol">
      <w:rPr>
        <w:color w:val="ffffff" w:themeColor="background1"/>
      </w:rPr>
      <w:tblPr/>
      <w:tcPr>
        <w:shd w:color="auto" w:fill="5f497a" w:themeFill="accent4" w:themeFillShade="0000BF" w:val="clear"/>
      </w:tc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daeef3" w:themeFill="accent5" w:themeFillTint="000033" w:val="clear"/>
    </w:tcPr>
    <w:tblStylePr w:type="firstRow">
      <w:rPr>
        <w:b w:val="1"/>
        <w:bCs w:val="1"/>
      </w:rPr>
      <w:tblPr/>
      <w:tcPr>
        <w:shd w:color="auto" w:fill="b6dde8" w:themeFill="accent5" w:themeFillTint="000066" w:val="clear"/>
      </w:tcPr>
    </w:tblStylePr>
    <w:tblStylePr w:type="lastRow">
      <w:rPr>
        <w:b w:val="1"/>
        <w:bCs w:val="1"/>
        <w:color w:val="000000" w:themeColor="text1"/>
      </w:rPr>
      <w:tblPr/>
      <w:tcPr>
        <w:shd w:color="auto" w:fill="b6dde8" w:themeFill="accent5" w:themeFillTint="000066" w:val="clear"/>
      </w:tcPr>
    </w:tblStylePr>
    <w:tblStylePr w:type="firstCol">
      <w:rPr>
        <w:color w:val="ffffff" w:themeColor="background1"/>
      </w:rPr>
      <w:tblPr/>
      <w:tcPr>
        <w:shd w:color="auto" w:fill="31849b" w:themeFill="accent5" w:themeFillShade="0000BF" w:val="clear"/>
      </w:tcPr>
    </w:tblStylePr>
    <w:tblStylePr w:type="lastCol">
      <w:rPr>
        <w:color w:val="ffffff" w:themeColor="background1"/>
      </w:rPr>
      <w:tblPr/>
      <w:tcPr>
        <w:shd w:color="auto" w:fill="31849b" w:themeFill="accent5" w:themeFillShade="0000BF" w:val="clear"/>
      </w:tc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fde9d9" w:themeFill="accent6" w:themeFillTint="000033" w:val="clear"/>
    </w:tcPr>
    <w:tblStylePr w:type="firstRow">
      <w:rPr>
        <w:b w:val="1"/>
        <w:bCs w:val="1"/>
      </w:rPr>
      <w:tblPr/>
      <w:tcPr>
        <w:shd w:color="auto" w:fill="fbd4b4" w:themeFill="accent6" w:themeFillTint="000066" w:val="clear"/>
      </w:tcPr>
    </w:tblStylePr>
    <w:tblStylePr w:type="lastRow">
      <w:rPr>
        <w:b w:val="1"/>
        <w:bCs w:val="1"/>
        <w:color w:val="000000" w:themeColor="text1"/>
      </w:rPr>
      <w:tblPr/>
      <w:tcPr>
        <w:shd w:color="auto" w:fill="fbd4b4" w:themeFill="accent6" w:themeFillTint="000066" w:val="clear"/>
      </w:tcPr>
    </w:tblStylePr>
    <w:tblStylePr w:type="firstCol">
      <w:rPr>
        <w:color w:val="ffffff" w:themeColor="background1"/>
      </w:rPr>
      <w:tblPr/>
      <w:tcPr>
        <w:shd w:color="auto" w:fill="e36c0a" w:themeFill="accent6" w:themeFillShade="0000BF" w:val="clear"/>
      </w:tcPr>
    </w:tblStylePr>
    <w:tblStylePr w:type="lastCol">
      <w:rPr>
        <w:color w:val="ffffff" w:themeColor="background1"/>
      </w:rPr>
      <w:tblPr/>
      <w:tcPr>
        <w:shd w:color="auto" w:fill="e36c0a" w:themeFill="accent6" w:themeFillShade="0000BF" w:val="clear"/>
      </w:tc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paragraph" w:styleId="Textonotapie">
    <w:name w:val="footnote text"/>
    <w:basedOn w:val="Normal"/>
    <w:link w:val="TextonotapieCar"/>
    <w:uiPriority w:val="99"/>
    <w:semiHidden w:val="1"/>
    <w:unhideWhenUsed w:val="1"/>
    <w:rsid w:val="004B77D8"/>
    <w:pPr>
      <w:spacing w:after="0" w:line="240" w:lineRule="auto"/>
    </w:pPr>
    <w:rPr>
      <w:sz w:val="20"/>
      <w:szCs w:val="20"/>
    </w:rPr>
  </w:style>
  <w:style w:type="character" w:styleId="TextonotapieCar" w:customStyle="1">
    <w:name w:val="Texto nota pie Car"/>
    <w:basedOn w:val="Fuentedeprrafopredeter"/>
    <w:link w:val="Textonotapie"/>
    <w:uiPriority w:val="99"/>
    <w:semiHidden w:val="1"/>
    <w:rsid w:val="004B77D8"/>
    <w:rPr>
      <w:rFonts w:ascii="Times New Roman" w:hAnsi="Times New Roman"/>
      <w:sz w:val="20"/>
      <w:szCs w:val="20"/>
    </w:rPr>
  </w:style>
  <w:style w:type="character" w:styleId="Refdenotaalpie">
    <w:name w:val="footnote reference"/>
    <w:basedOn w:val="Fuentedeprrafopredeter"/>
    <w:uiPriority w:val="99"/>
    <w:semiHidden w:val="1"/>
    <w:unhideWhenUsed w:val="1"/>
    <w:rsid w:val="004B77D8"/>
    <w:rPr>
      <w:vertAlign w:val="superscript"/>
    </w:rPr>
  </w:style>
  <w:style w:type="character" w:styleId="Hipervnculo">
    <w:name w:val="Hyperlink"/>
    <w:basedOn w:val="Fuentedeprrafopredeter"/>
    <w:uiPriority w:val="99"/>
    <w:unhideWhenUsed w:val="1"/>
    <w:rsid w:val="004B77D8"/>
    <w:rPr>
      <w:color w:val="0000ff" w:themeColor="hyperlink"/>
      <w:u w:val="single"/>
    </w:rPr>
  </w:style>
  <w:style w:type="character" w:styleId="Mencinsinresolver">
    <w:name w:val="Unresolved Mention"/>
    <w:basedOn w:val="Fuentedeprrafopredeter"/>
    <w:uiPriority w:val="99"/>
    <w:semiHidden w:val="1"/>
    <w:unhideWhenUsed w:val="1"/>
    <w:rsid w:val="004B77D8"/>
    <w:rPr>
      <w:color w:val="605e5c"/>
      <w:shd w:color="auto" w:fill="e1dfdd" w:val="clear"/>
    </w:rPr>
  </w:style>
  <w:style w:type="paragraph" w:styleId="Textodeglobo">
    <w:name w:val="Balloon Text"/>
    <w:basedOn w:val="Normal"/>
    <w:link w:val="TextodegloboCar"/>
    <w:uiPriority w:val="99"/>
    <w:semiHidden w:val="1"/>
    <w:unhideWhenUsed w:val="1"/>
    <w:rsid w:val="00880FEF"/>
    <w:pPr>
      <w:spacing w:after="0"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880FEF"/>
    <w:rPr>
      <w:rFonts w:ascii="Segoe UI" w:cs="Segoe UI" w:hAnsi="Segoe UI"/>
      <w:sz w:val="18"/>
      <w:szCs w:val="18"/>
    </w:rPr>
  </w:style>
  <w:style w:type="paragraph" w:styleId="TDC1">
    <w:name w:val="toc 1"/>
    <w:basedOn w:val="Normal"/>
    <w:next w:val="Normal"/>
    <w:autoRedefine w:val="1"/>
    <w:uiPriority w:val="39"/>
    <w:unhideWhenUsed w:val="1"/>
    <w:rsid w:val="00F15903"/>
    <w:pPr>
      <w:spacing w:after="100"/>
    </w:pPr>
  </w:style>
  <w:style w:type="paragraph" w:styleId="NormalWeb">
    <w:name w:val="Normal (Web)"/>
    <w:basedOn w:val="Normal"/>
    <w:uiPriority w:val="99"/>
    <w:unhideWhenUsed w:val="1"/>
    <w:rsid w:val="008C5CC9"/>
    <w:pPr>
      <w:spacing w:after="100" w:afterAutospacing="1" w:before="100" w:beforeAutospacing="1" w:line="240" w:lineRule="auto"/>
    </w:pPr>
    <w:rPr>
      <w:rFonts w:cs="Times New Roman" w:eastAsia="Times New Roman"/>
      <w:szCs w:val="24"/>
      <w:lang w:eastAsia="es-CL"/>
    </w:rPr>
  </w:style>
  <w:style w:type="paragraph" w:styleId="Subtitle">
    <w:name w:val="Subtitle"/>
    <w:basedOn w:val="Normal"/>
    <w:next w:val="Normal"/>
    <w:pPr/>
    <w:rPr>
      <w:rFonts w:ascii="Calibri" w:cs="Calibri" w:eastAsia="Calibri" w:hAnsi="Calibri"/>
      <w:i w:val="1"/>
      <w:color w:val="4f81bd"/>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Lato-regular.ttf"/><Relationship Id="rId2" Type="http://schemas.openxmlformats.org/officeDocument/2006/relationships/font" Target="fonts/Lato-bold.ttf"/><Relationship Id="rId3" Type="http://schemas.openxmlformats.org/officeDocument/2006/relationships/font" Target="fonts/Lato-italic.ttf"/><Relationship Id="rId4" Type="http://schemas.openxmlformats.org/officeDocument/2006/relationships/font" Target="fonts/Lato-boldItalic.ttf"/><Relationship Id="rId5" Type="http://schemas.openxmlformats.org/officeDocument/2006/relationships/font" Target="fonts/LatoBlack-bold.ttf"/><Relationship Id="rId6" Type="http://schemas.openxmlformats.org/officeDocument/2006/relationships/font" Target="fonts/LatoBlack-boldItalic.ttf"/><Relationship Id="rId7" Type="http://schemas.openxmlformats.org/officeDocument/2006/relationships/font" Target="fonts/NotoSansSymbols-regular.ttf"/><Relationship Id="rId8" Type="http://schemas.openxmlformats.org/officeDocument/2006/relationships/font" Target="fonts/NotoSansSymbols-bold.ttf"/></Relationships>
</file>

<file path=word/_rels/footnotes.xml.rels><?xml version="1.0" encoding="UTF-8" standalone="yes"?><Relationships xmlns="http://schemas.openxmlformats.org/package/2006/relationships"><Relationship Id="rId1" Type="http://schemas.openxmlformats.org/officeDocument/2006/relationships/hyperlink" Target="https://www.minsal.cl/" TargetMode="External"/><Relationship Id="rId2" Type="http://schemas.openxmlformats.org/officeDocument/2006/relationships/hyperlink" Target="https://www.minsal.cl/" TargetMode="External"/><Relationship Id="rId3" Type="http://schemas.openxmlformats.org/officeDocument/2006/relationships/hyperlink" Target="https://www.bcn.cl/leychile/navegar?idNorma=1011110" TargetMode="External"/><Relationship Id="rId4" Type="http://schemas.openxmlformats.org/officeDocument/2006/relationships/hyperlink" Target="https://www.bcn.cl/leychile/navegar?idNorma=1175452" TargetMode="External"/><Relationship Id="rId9" Type="http://schemas.openxmlformats.org/officeDocument/2006/relationships/hyperlink" Target="https://diprece.minsal.cl/wp-content/uploads/2021/06/PROTOCOLO-ANTICONCEPCION-ISBN_v2.pdf" TargetMode="External"/><Relationship Id="rId5" Type="http://schemas.openxmlformats.org/officeDocument/2006/relationships/hyperlink" Target="https://mileschile.cl/wp-content/uploads/2023/06/V-Informe-Corporacio%CC%81n-Miles_web.pdf" TargetMode="External"/><Relationship Id="rId6" Type="http://schemas.openxmlformats.org/officeDocument/2006/relationships/hyperlink" Target="https://www.bcn.cl/leychile/navegar?idNorma=1010482" TargetMode="External"/><Relationship Id="rId7" Type="http://schemas.openxmlformats.org/officeDocument/2006/relationships/hyperlink" Target="https://www.bcn.cl/leychile/navegar?idNorma=1010482" TargetMode="External"/><Relationship Id="rId8" Type="http://schemas.openxmlformats.org/officeDocument/2006/relationships/hyperlink" Target="https://www.minsal.cl/salud-de-la-muje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jpg"/><Relationship Id="rId3"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szF3Gzv879vUk/ppc1Yob22kpg==">CgMxLjAyDmguZW90dTkxNXp0cW9pMg5oLmcwcDM0dTFlYTk0MTIOaC5lbzh6YTU1eDEybjcyDmguc2EyMXF1YWF3MzRyMg5oLjR5YXJzN2YyYzM3cTIOaC51NzVhYnFydmdzcWIyDmgud2d2NXgwaWNvZmV6Mg5oLmYxdzg2d3owYWl2ejgAciExa2hUZU54VHp0a21PMlE3dHZFblN1Q2xDOTJkV2xGQVU=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2013-12-23T23:15:00.0000000Z</dcterms:created>
  <dc:creator>python-docx</dc:creator>
</cp:coreProperties>
</file>