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9AB" w:rsidRPr="00E56298" w:rsidRDefault="005172E6" w:rsidP="00F059AB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smallCaps/>
          <w:sz w:val="24"/>
          <w:szCs w:val="24"/>
          <w:lang w:val="es-ES"/>
        </w:rPr>
      </w:pPr>
      <w:bookmarkStart w:id="0" w:name="_GoBack"/>
      <w:bookmarkEnd w:id="0"/>
      <w:r w:rsidRPr="00E56298">
        <w:rPr>
          <w:rFonts w:ascii="Times New Roman" w:eastAsia="Times New Roman" w:hAnsi="Times New Roman" w:cs="Times New Roman"/>
          <w:b/>
          <w:bCs/>
          <w:smallCaps/>
          <w:sz w:val="24"/>
          <w:szCs w:val="24"/>
          <w:bdr w:val="nil"/>
          <w:lang w:val="es-ES"/>
        </w:rPr>
        <w:t>ANEXOS</w:t>
      </w:r>
    </w:p>
    <w:p w:rsidR="00F059AB" w:rsidRDefault="005172E6" w:rsidP="00F059AB">
      <w:pPr>
        <w:keepNext/>
        <w:spacing w:line="240" w:lineRule="auto"/>
        <w:rPr>
          <w:rFonts w:ascii="Times New Roman" w:eastAsia="Times New Roman" w:hAnsi="Times New Roman" w:cs="Times New Roman"/>
          <w:b/>
          <w:bCs/>
          <w:smallCaps/>
          <w:sz w:val="24"/>
          <w:szCs w:val="24"/>
          <w:bdr w:val="nil"/>
          <w:lang w:val="es-ES"/>
        </w:rPr>
      </w:pPr>
      <w:r w:rsidRPr="00E56298">
        <w:rPr>
          <w:rFonts w:ascii="Times New Roman" w:eastAsia="Times New Roman" w:hAnsi="Times New Roman" w:cs="Times New Roman"/>
          <w:b/>
          <w:bCs/>
          <w:smallCaps/>
          <w:sz w:val="24"/>
          <w:szCs w:val="24"/>
          <w:bdr w:val="nil"/>
          <w:lang w:val="es-ES"/>
        </w:rPr>
        <w:t>TABLA 1.  Ilustración del aislamiento de los CF y su dependencia del gobierno local</w:t>
      </w:r>
    </w:p>
    <w:p w:rsidR="00D679C0" w:rsidRPr="00E56298" w:rsidRDefault="00AA5C29" w:rsidP="00F059AB">
      <w:pPr>
        <w:keepNext/>
        <w:spacing w:line="240" w:lineRule="auto"/>
        <w:rPr>
          <w:rFonts w:ascii="Times New Roman" w:eastAsia="Times New Roman" w:hAnsi="Times New Roman" w:cs="Times New Roman"/>
          <w:b/>
          <w:bCs/>
          <w:smallCaps/>
          <w:sz w:val="24"/>
          <w:szCs w:val="24"/>
          <w:lang w:val="es-ES"/>
        </w:rPr>
      </w:pPr>
      <w:r w:rsidRPr="00AA5C29">
        <w:rPr>
          <w:rFonts w:ascii="Times New Roman" w:eastAsia="Times New Roman" w:hAnsi="Times New Roman" w:cs="Times New Roman"/>
          <w:b/>
          <w:bCs/>
          <w:smallCaps/>
          <w:noProof/>
          <w:sz w:val="24"/>
          <w:szCs w:val="24"/>
        </w:rPr>
        <w:drawing>
          <wp:inline distT="0" distB="0" distL="0" distR="0" wp14:anchorId="02AD2C70" wp14:editId="01659174">
            <wp:extent cx="7095744" cy="397764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648" r="1936" b="6661"/>
                    <a:stretch/>
                  </pic:blipFill>
                  <pic:spPr bwMode="auto">
                    <a:xfrm>
                      <a:off x="0" y="0"/>
                      <a:ext cx="7095744" cy="3977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4B3D" w:rsidRPr="00E56298" w:rsidRDefault="00AA5C29" w:rsidP="00F059AB">
      <w:pPr>
        <w:rPr>
          <w:rFonts w:ascii="Times New Roman" w:eastAsia="Times New Roman" w:hAnsi="Times New Roman" w:cs="Times New Roman"/>
          <w:lang w:val="es-ES"/>
        </w:rPr>
      </w:pPr>
      <w:r>
        <w:rPr>
          <w:rFonts w:ascii="Times New Roman" w:eastAsia="Times New Roman" w:hAnsi="Times New Roman" w:cs="Times New Roman"/>
          <w:bdr w:val="nil"/>
          <w:lang w:val="es-ES"/>
        </w:rPr>
        <w:t>F</w:t>
      </w:r>
      <w:r w:rsidR="005172E6" w:rsidRPr="00E56298">
        <w:rPr>
          <w:rFonts w:ascii="Times New Roman" w:eastAsia="Times New Roman" w:hAnsi="Times New Roman" w:cs="Times New Roman"/>
          <w:bdr w:val="nil"/>
          <w:lang w:val="es-ES"/>
        </w:rPr>
        <w:t>uente:  Nuestro análisis; datos de entrevistas</w:t>
      </w:r>
    </w:p>
    <w:p w:rsidR="00CD4B3D" w:rsidRPr="00E56298" w:rsidRDefault="00CD4B3D" w:rsidP="00F059AB">
      <w:pPr>
        <w:rPr>
          <w:rFonts w:ascii="Times New Roman" w:eastAsia="Times New Roman" w:hAnsi="Times New Roman" w:cs="Times New Roman"/>
          <w:lang w:val="es-ES"/>
        </w:rPr>
      </w:pPr>
    </w:p>
    <w:p w:rsidR="00304B21" w:rsidRPr="00E56298" w:rsidRDefault="00304B21" w:rsidP="00F059AB">
      <w:pPr>
        <w:rPr>
          <w:rFonts w:ascii="Times New Roman" w:eastAsia="Times New Roman" w:hAnsi="Times New Roman" w:cs="Times New Roman"/>
          <w:lang w:val="es-ES"/>
        </w:rPr>
      </w:pPr>
    </w:p>
    <w:p w:rsidR="000A6266" w:rsidRDefault="000A6266" w:rsidP="00CD4B3D">
      <w:pPr>
        <w:keepNext/>
        <w:spacing w:line="240" w:lineRule="auto"/>
        <w:rPr>
          <w:rFonts w:ascii="Times New Roman" w:eastAsia="Times New Roman" w:hAnsi="Times New Roman" w:cs="Times New Roman"/>
          <w:b/>
          <w:bCs/>
          <w:smallCaps/>
          <w:sz w:val="24"/>
          <w:szCs w:val="24"/>
          <w:bdr w:val="nil"/>
          <w:lang w:val="es-ES"/>
        </w:rPr>
      </w:pPr>
    </w:p>
    <w:p w:rsidR="000A6266" w:rsidRDefault="000A6266" w:rsidP="00CD4B3D">
      <w:pPr>
        <w:keepNext/>
        <w:spacing w:line="240" w:lineRule="auto"/>
        <w:rPr>
          <w:rFonts w:ascii="Times New Roman" w:eastAsia="Times New Roman" w:hAnsi="Times New Roman" w:cs="Times New Roman"/>
          <w:b/>
          <w:bCs/>
          <w:smallCaps/>
          <w:sz w:val="24"/>
          <w:szCs w:val="24"/>
          <w:bdr w:val="nil"/>
          <w:lang w:val="es-ES"/>
        </w:rPr>
      </w:pPr>
    </w:p>
    <w:p w:rsidR="00F059AB" w:rsidRPr="00E56298" w:rsidRDefault="005172E6" w:rsidP="00CD4B3D">
      <w:pPr>
        <w:keepNext/>
        <w:spacing w:line="240" w:lineRule="auto"/>
        <w:rPr>
          <w:rFonts w:ascii="Times New Roman" w:eastAsia="Times New Roman" w:hAnsi="Times New Roman" w:cs="Times New Roman"/>
          <w:b/>
          <w:bCs/>
          <w:smallCaps/>
          <w:sz w:val="24"/>
          <w:szCs w:val="24"/>
          <w:lang w:val="es-ES"/>
        </w:rPr>
      </w:pPr>
      <w:r w:rsidRPr="00E56298">
        <w:rPr>
          <w:rFonts w:ascii="Times New Roman" w:eastAsia="Times New Roman" w:hAnsi="Times New Roman" w:cs="Times New Roman"/>
          <w:b/>
          <w:bCs/>
          <w:smallCaps/>
          <w:sz w:val="24"/>
          <w:szCs w:val="24"/>
          <w:bdr w:val="nil"/>
          <w:lang w:val="es-ES"/>
        </w:rPr>
        <w:t>TABLA 2.  Las características sociodemográficas predicen ciertas características de las violencias contra las mujeres y otros tipos de violencia intrafamiliar</w:t>
      </w:r>
    </w:p>
    <w:tbl>
      <w:tblPr>
        <w:tblW w:w="9828" w:type="dxa"/>
        <w:tblInd w:w="-11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831"/>
        <w:gridCol w:w="6997"/>
      </w:tblGrid>
      <w:tr w:rsidR="00D5087D" w:rsidRPr="0084497A" w:rsidTr="00CD4B3D">
        <w:trPr>
          <w:trHeight w:val="646"/>
          <w:tblHeader/>
        </w:trPr>
        <w:tc>
          <w:tcPr>
            <w:tcW w:w="2831" w:type="dxa"/>
            <w:shd w:val="clear" w:color="auto" w:fill="E7E6E6"/>
          </w:tcPr>
          <w:p w:rsidR="00F059AB" w:rsidRPr="00E56298" w:rsidRDefault="005172E6" w:rsidP="00F059A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il"/>
                <w:lang w:val="es-ES"/>
              </w:rPr>
              <w:t>Características de la población</w:t>
            </w:r>
          </w:p>
        </w:tc>
        <w:tc>
          <w:tcPr>
            <w:tcW w:w="6997" w:type="dxa"/>
            <w:shd w:val="clear" w:color="auto" w:fill="E7E6E6"/>
          </w:tcPr>
          <w:p w:rsidR="00F059AB" w:rsidRPr="00E56298" w:rsidRDefault="005172E6" w:rsidP="00F059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il"/>
                <w:lang w:val="es-ES"/>
              </w:rPr>
              <w:t xml:space="preserve">Lo que les dice el perfil </w:t>
            </w:r>
            <w:r w:rsidR="00BF24E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il"/>
                <w:lang w:val="es-ES"/>
              </w:rPr>
              <w:t xml:space="preserve">poblacional </w:t>
            </w:r>
            <w:r w:rsidRPr="00E562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il"/>
                <w:lang w:val="es-ES"/>
              </w:rPr>
              <w:t>a los Comisarios de Familia, y los CF que trabajan como Defensores de Familia, sobre los casos que recibirán</w:t>
            </w:r>
          </w:p>
        </w:tc>
      </w:tr>
      <w:tr w:rsidR="00D5087D" w:rsidRPr="0084497A" w:rsidTr="00736112">
        <w:tc>
          <w:tcPr>
            <w:tcW w:w="9828" w:type="dxa"/>
            <w:gridSpan w:val="2"/>
            <w:shd w:val="clear" w:color="auto" w:fill="D0CECE"/>
          </w:tcPr>
          <w:p w:rsidR="00F059AB" w:rsidRPr="00E56298" w:rsidRDefault="005172E6" w:rsidP="00F05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il"/>
                <w:lang w:val="es-ES"/>
              </w:rPr>
              <w:t>Relacionadas con el conflicto armado</w:t>
            </w:r>
          </w:p>
        </w:tc>
      </w:tr>
      <w:tr w:rsidR="00D5087D" w:rsidRPr="0084497A" w:rsidTr="00736112">
        <w:trPr>
          <w:trHeight w:val="1457"/>
        </w:trPr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8"/>
              </w:numPr>
              <w:spacing w:after="0" w:line="240" w:lineRule="auto"/>
              <w:ind w:left="171" w:right="1010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Paramilitares y guerrilleros desmovilizados en contextos urbanos </w:t>
            </w:r>
          </w:p>
          <w:p w:rsidR="00F059AB" w:rsidRPr="00E56298" w:rsidRDefault="00F059AB" w:rsidP="00F059AB">
            <w:pPr>
              <w:spacing w:line="240" w:lineRule="auto"/>
              <w:ind w:left="171" w:right="1010" w:hanging="171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6997" w:type="dxa"/>
            <w:vMerge w:val="restart"/>
          </w:tcPr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Alta densidad/auto</w:t>
            </w:r>
            <w:r w:rsidR="00BF24E6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construcción</w:t>
            </w: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/vivienda pública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La violencia está normalizada como táctica de solución de conflictos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VP brutal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VP con amenazas de muerte contra la víctima/familiares 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Abuso infantil grave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Relaciones en serie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Consumo de sustancias elevado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Sistema de justicia paralelo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Con las BACRIM, renuencia a denunciar la VP o el maltrato infantil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Obstáculos invisibles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Amenazas/intimidación contra los equipos de las Comisarías de Familia</w:t>
            </w:r>
          </w:p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Puede haber peligro y dificultades </w:t>
            </w:r>
            <w:r w:rsidRPr="00E562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il"/>
                <w:lang w:val="es-ES"/>
              </w:rPr>
              <w:t>al proporcionar el debido proceso exigido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2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BACRIM en zonas urbanas y algunas zonas rurales</w:t>
            </w:r>
          </w:p>
          <w:p w:rsidR="00F059AB" w:rsidRPr="00E56298" w:rsidRDefault="00F059AB" w:rsidP="00F059AB">
            <w:pPr>
              <w:spacing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</w:p>
        </w:tc>
        <w:tc>
          <w:tcPr>
            <w:tcW w:w="6997" w:type="dxa"/>
            <w:vMerge/>
          </w:tcPr>
          <w:p w:rsidR="00F059AB" w:rsidRPr="00E56298" w:rsidRDefault="00F059AB" w:rsidP="00F059AB">
            <w:pPr>
              <w:spacing w:line="240" w:lineRule="auto"/>
              <w:ind w:left="134" w:hanging="134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</w:p>
        </w:tc>
      </w:tr>
      <w:tr w:rsidR="00D5087D" w:rsidRPr="00E56298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7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Personas desplazadas en zonas rurales y urbanas</w:t>
            </w: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7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Alta densidad/auto</w:t>
            </w:r>
            <w:r w:rsidR="00BF24E6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construcción</w:t>
            </w: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/vivienda pública</w:t>
            </w:r>
          </w:p>
          <w:p w:rsidR="00F059AB" w:rsidRPr="00E56298" w:rsidRDefault="005172E6" w:rsidP="00F059AB">
            <w:pPr>
              <w:numPr>
                <w:ilvl w:val="0"/>
                <w:numId w:val="7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Sobrepoblación</w:t>
            </w:r>
          </w:p>
          <w:p w:rsidR="00F059AB" w:rsidRPr="00E56298" w:rsidRDefault="005172E6" w:rsidP="00F059AB">
            <w:pPr>
              <w:numPr>
                <w:ilvl w:val="0"/>
                <w:numId w:val="7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Las víctimas infantiles abusan a su vez de otros menores</w:t>
            </w:r>
          </w:p>
          <w:p w:rsidR="00F059AB" w:rsidRPr="00E56298" w:rsidRDefault="005172E6" w:rsidP="00F059AB">
            <w:pPr>
              <w:numPr>
                <w:ilvl w:val="0"/>
                <w:numId w:val="7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Relaciones en serie/madres solteras</w:t>
            </w:r>
          </w:p>
          <w:p w:rsidR="00F059AB" w:rsidRPr="00E56298" w:rsidRDefault="005172E6" w:rsidP="00F059AB">
            <w:pPr>
              <w:numPr>
                <w:ilvl w:val="0"/>
                <w:numId w:val="7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Madres adolescentes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3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Áreas rurales en zonas de conflicto</w:t>
            </w: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Áreas remotas, la dificultad de acceso es aún peor debido a la destrucción de la infraestructura de transporte por parte de las FARC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La VP y el maltrato infantil se enfrentan mediante un sistema de justicia paralelo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Niñas soldado embarazadas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Niños y niñas soldado y menores de edad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Falta de una red familiar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Los CF deben participar en las redadas por drogas cuando puede haber niños o niñas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Peligro para los CF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Dificultades para la entrega de notificaciones según el debido proceso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4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Paramilitares en el sector minero</w:t>
            </w: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4"/>
              </w:numPr>
              <w:spacing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Boyacá occidental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Formas brutales de VP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Tráfico sexual de menores, turismo sexual</w:t>
            </w:r>
          </w:p>
          <w:p w:rsidR="00F059AB" w:rsidRPr="00E56298" w:rsidRDefault="005172E6" w:rsidP="00F059AB">
            <w:pPr>
              <w:numPr>
                <w:ilvl w:val="0"/>
                <w:numId w:val="4"/>
              </w:numPr>
              <w:spacing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Formas brutales de maltrato infantil</w:t>
            </w:r>
          </w:p>
        </w:tc>
      </w:tr>
      <w:tr w:rsidR="00D5087D" w:rsidRPr="00E56298" w:rsidTr="00736112">
        <w:trPr>
          <w:trHeight w:val="304"/>
        </w:trPr>
        <w:tc>
          <w:tcPr>
            <w:tcW w:w="9828" w:type="dxa"/>
            <w:gridSpan w:val="2"/>
            <w:shd w:val="clear" w:color="auto" w:fill="D0CECE"/>
          </w:tcPr>
          <w:p w:rsidR="00F059AB" w:rsidRPr="00E56298" w:rsidRDefault="005172E6" w:rsidP="00F059AB">
            <w:pPr>
              <w:spacing w:after="0" w:line="240" w:lineRule="auto"/>
              <w:ind w:left="171" w:hanging="171"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il"/>
                <w:lang w:val="es-ES"/>
              </w:rPr>
              <w:t>2</w:t>
            </w:r>
            <w:r w:rsidRPr="00E56298">
              <w:rPr>
                <w:rFonts w:ascii="Times New Roman" w:eastAsia="Times New Roman" w:hAnsi="Times New Roman" w:cs="Times New Roman"/>
                <w:b/>
                <w:bCs/>
                <w:bdr w:val="nil"/>
                <w:lang w:val="es-ES"/>
              </w:rPr>
              <w:t xml:space="preserve">. </w:t>
            </w:r>
            <w:r w:rsidRPr="00E56298">
              <w:rPr>
                <w:rFonts w:ascii="Times New Roman" w:eastAsia="Times New Roman" w:hAnsi="Times New Roman" w:cs="Times New Roman"/>
                <w:bdr w:val="nil"/>
                <w:lang w:val="es-ES"/>
              </w:rPr>
              <w:t>Estrato</w:t>
            </w:r>
            <w:r w:rsidR="005B5B5A" w:rsidRPr="00E56298">
              <w:rPr>
                <w:rFonts w:ascii="Times New Roman" w:eastAsia="Times New Roman" w:hAnsi="Times New Roman" w:cs="Times New Roman"/>
                <w:bdr w:val="nil"/>
                <w:lang w:val="es-ES"/>
              </w:rPr>
              <w:t>s</w:t>
            </w:r>
            <w:r w:rsidRPr="00E56298">
              <w:rPr>
                <w:rFonts w:ascii="Times New Roman" w:eastAsia="Times New Roman" w:hAnsi="Times New Roman" w:cs="Times New Roman"/>
                <w:bdr w:val="nil"/>
                <w:lang w:val="es-ES"/>
              </w:rPr>
              <w:t xml:space="preserve"> social</w:t>
            </w:r>
            <w:r w:rsidR="005B5B5A" w:rsidRPr="00E56298">
              <w:rPr>
                <w:rFonts w:ascii="Times New Roman" w:eastAsia="Times New Roman" w:hAnsi="Times New Roman" w:cs="Times New Roman"/>
                <w:bdr w:val="nil"/>
                <w:lang w:val="es-ES"/>
              </w:rPr>
              <w:t>es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Estrato 0 en zonas urbanas</w:t>
            </w: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Falta de vivienda e indigencia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Dificultad para localizar al agresor/contactar a la víctima y efectuar las notificaciones según el debido proceso 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Inseguridad alimentaria y de ingresos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Los hombres y las mujeres están empleados solo en los puestos más bajos de la economía informal; muchos sobreviven como vendedores callejeros ilegales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Relaciones en serie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Dependencia económica de las mujeres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lastRenderedPageBreak/>
              <w:t xml:space="preserve">Maltrato infantil  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Alto índice de retorno con los abusadores, abandono de los procesos por VP, si se entablan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lastRenderedPageBreak/>
              <w:t>Estratos 1-4 en zonas urbanas y rurales</w:t>
            </w: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Alta densidad/autoayuda/vivienda pública (estratos 1-2) 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Dependencia económica de las mujeres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Alto índice de retorno con los abusadores y abandono de los procesos por VP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La VP y otros tipos denunciados de violencia intrafamiliar son físicos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Mucha reincidencia 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Se utiliza mucho a los CF para </w:t>
            </w:r>
            <w:r w:rsidRPr="00E562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bdr w:val="nil"/>
                <w:lang w:val="es-ES"/>
              </w:rPr>
              <w:t xml:space="preserve">todo tipo de </w:t>
            </w: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asuntos familiares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Estrato 1: los hombres y las mujeres están empleados solo en los puestos más bajos de la economía informal; muchos sobreviven como vendedores callejeros ilegales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Maltrato infantil, en particular en los estratos 1 y 2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Estratos 5 y 6 en zonas urbanas</w:t>
            </w: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VP estigmatizada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Mayor dificultad para demostrar la violencia psicológica y económica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Uso de abogados por ambas partes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Casos que duran varias audiencias</w:t>
            </w:r>
          </w:p>
          <w:p w:rsidR="00F059AB" w:rsidRPr="00E56298" w:rsidRDefault="005172E6" w:rsidP="00F059AB">
            <w:pPr>
              <w:numPr>
                <w:ilvl w:val="0"/>
                <w:numId w:val="1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Necesidad de conocimientos vastos sobre el derecho procedimental</w:t>
            </w:r>
          </w:p>
        </w:tc>
      </w:tr>
      <w:tr w:rsidR="00D5087D" w:rsidRPr="00E56298" w:rsidTr="00736112">
        <w:tc>
          <w:tcPr>
            <w:tcW w:w="9828" w:type="dxa"/>
            <w:gridSpan w:val="2"/>
            <w:shd w:val="clear" w:color="auto" w:fill="D0CECE"/>
          </w:tcPr>
          <w:p w:rsidR="00F059AB" w:rsidRPr="00E56298" w:rsidRDefault="005172E6" w:rsidP="00F059AB">
            <w:pPr>
              <w:spacing w:after="0" w:line="240" w:lineRule="auto"/>
              <w:ind w:left="171" w:hanging="171"/>
              <w:rPr>
                <w:rFonts w:ascii="Times New Roman" w:eastAsia="Times New Roman" w:hAnsi="Times New Roman" w:cs="Times New Roman"/>
                <w:b/>
                <w:highlight w:val="lightGray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bdr w:val="nil"/>
                <w:lang w:val="es-ES"/>
              </w:rPr>
              <w:t>3. Cinco factores universales</w:t>
            </w:r>
          </w:p>
        </w:tc>
      </w:tr>
      <w:tr w:rsidR="00D5087D" w:rsidRPr="0084497A" w:rsidTr="00736112">
        <w:trPr>
          <w:trHeight w:val="1240"/>
        </w:trPr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6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Consumo de alcohol y sustancias</w:t>
            </w:r>
            <w:r w:rsidR="00BF24E6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 psicoactivas</w:t>
            </w:r>
          </w:p>
          <w:p w:rsidR="00F059AB" w:rsidRPr="00E56298" w:rsidRDefault="00F059AB" w:rsidP="00F059AB">
            <w:pPr>
              <w:spacing w:line="240" w:lineRule="auto"/>
              <w:ind w:left="171" w:hanging="17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"/>
              </w:rPr>
            </w:pP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Provoca e intensifica los conflictos y la violencia</w:t>
            </w:r>
          </w:p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Aumento del consumo indebido, especialmente de drogas, por parte de menores. Para los Comisarios de Familia/Defensores de Familia, el restablecimiento de derechos para los menores adictos es tremendamente complicado y requiere una gran inversión de tiempo, debido a la falta de apoyo en cuestión de servicios sociales y de salud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Enfermedades mentales sin tratamiento</w:t>
            </w:r>
          </w:p>
          <w:p w:rsidR="00F059AB" w:rsidRPr="00E56298" w:rsidRDefault="00F059AB" w:rsidP="00F059AB">
            <w:pPr>
              <w:spacing w:line="240" w:lineRule="auto"/>
              <w:ind w:left="171" w:hanging="17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"/>
              </w:rPr>
            </w:pP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La enfermedad mental de un integrante de la familia desencadena conflictos en la familia que pueden llevar a la violencia</w:t>
            </w:r>
          </w:p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Como no hay servicios para las personas con enfermedad mental, es difícil y tardado resolver los problemas cuando una persona con enfermedad mental está involucrada en un asunto de VP, violencia intrafamiliar contra niños o niñas o cualquier otro tipo de maltrato infantil que se lleva ante un Comisario de Familia (que ejerce sus propias funciones o las de un Defensor de Familia)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Pobreza en cuestión de ingresos, educación, empleo o vivienda</w:t>
            </w: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right="-1360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Alta densidad/autoayuda/vivienda pública</w:t>
            </w:r>
          </w:p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Vivienda ilegal, barrios de invasión, sectores de la ciudad a los que no llegan los servicios municipales, calles sin señalización </w:t>
            </w:r>
          </w:p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Hacinamiento intenso, varias generaciones viviendo juntas</w:t>
            </w:r>
          </w:p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Necesidad de dedicar mucho tiempo a explicar a las mujeres cuáles son sus derechos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Normalización de la violencia en la vida familiar y la sociedad</w:t>
            </w: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Aceptación de la VP como parte del contrato matrimonial y algo que se espera a cambio de la dependencia económica</w:t>
            </w:r>
          </w:p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Incapacidad de las mujeres para reconocer la VP </w:t>
            </w:r>
          </w:p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 menudo, necesidad de invertir mucho tiempo</w:t>
            </w:r>
            <w:r w:rsidR="00BF24E6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 del personal para resolver casos</w:t>
            </w: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 xml:space="preserve"> </w:t>
            </w:r>
          </w:p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Aceptación de prácticas de crianza infantil que implican violencia física</w:t>
            </w:r>
          </w:p>
        </w:tc>
      </w:tr>
      <w:tr w:rsidR="00D5087D" w:rsidRPr="0084497A" w:rsidTr="00736112">
        <w:tc>
          <w:tcPr>
            <w:tcW w:w="2831" w:type="dxa"/>
          </w:tcPr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71" w:hanging="171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Vínculos afectivos y de otro tipo que hacen que las mujeres regresen con sus agresores</w:t>
            </w:r>
          </w:p>
        </w:tc>
        <w:tc>
          <w:tcPr>
            <w:tcW w:w="6997" w:type="dxa"/>
          </w:tcPr>
          <w:p w:rsidR="00F059AB" w:rsidRPr="00E56298" w:rsidRDefault="005172E6" w:rsidP="00F059AB">
            <w:pPr>
              <w:numPr>
                <w:ilvl w:val="0"/>
                <w:numId w:val="5"/>
              </w:numPr>
              <w:spacing w:after="0" w:line="240" w:lineRule="auto"/>
              <w:ind w:left="134" w:hanging="134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es-ES"/>
              </w:rPr>
            </w:pPr>
            <w:r w:rsidRPr="00E56298"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es-ES"/>
              </w:rPr>
              <w:t>Dependencia económica de las mujeres</w:t>
            </w:r>
          </w:p>
        </w:tc>
      </w:tr>
    </w:tbl>
    <w:p w:rsidR="00F059AB" w:rsidRPr="00E56298" w:rsidRDefault="00F059AB" w:rsidP="00F059AB">
      <w:pPr>
        <w:tabs>
          <w:tab w:val="left" w:pos="360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:rsidR="00F059AB" w:rsidRPr="00E56298" w:rsidRDefault="005172E6" w:rsidP="00F059AB">
      <w:pPr>
        <w:tabs>
          <w:tab w:val="left" w:pos="360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es-ES"/>
        </w:rPr>
      </w:pPr>
      <w:r w:rsidRPr="00E56298">
        <w:rPr>
          <w:rFonts w:ascii="Times New Roman" w:eastAsia="Times New Roman" w:hAnsi="Times New Roman" w:cs="Times New Roman"/>
          <w:sz w:val="20"/>
          <w:szCs w:val="20"/>
          <w:bdr w:val="nil"/>
          <w:lang w:val="es-ES"/>
        </w:rPr>
        <w:t>Fuente: Nuestro análisis; datos de entrevistas</w:t>
      </w:r>
    </w:p>
    <w:p w:rsidR="00F059AB" w:rsidRPr="00E56298" w:rsidRDefault="005172E6" w:rsidP="00F059AB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es-ES"/>
        </w:rPr>
      </w:pPr>
      <w:r w:rsidRPr="00E56298">
        <w:rPr>
          <w:rFonts w:ascii="Times New Roman" w:eastAsia="Times New Roman" w:hAnsi="Times New Roman" w:cs="Times New Roman"/>
          <w:b/>
          <w:bCs/>
          <w:sz w:val="24"/>
          <w:szCs w:val="24"/>
          <w:bdr w:val="nil"/>
          <w:vertAlign w:val="superscript"/>
          <w:lang w:val="es-ES"/>
        </w:rPr>
        <w:br w:type="page"/>
      </w:r>
      <w:r w:rsidRPr="00E56298">
        <w:rPr>
          <w:rFonts w:ascii="Times New Roman" w:eastAsia="Times New Roman" w:hAnsi="Times New Roman" w:cs="Times New Roman"/>
          <w:b/>
          <w:bCs/>
          <w:sz w:val="24"/>
          <w:szCs w:val="24"/>
          <w:bdr w:val="nil"/>
          <w:lang w:val="es-ES"/>
        </w:rPr>
        <w:lastRenderedPageBreak/>
        <w:t>TABLA</w:t>
      </w:r>
      <w:r w:rsidRPr="00E56298">
        <w:rPr>
          <w:rFonts w:ascii="Times New Roman" w:eastAsia="Times New Roman" w:hAnsi="Times New Roman" w:cs="Times New Roman"/>
          <w:b/>
          <w:bCs/>
          <w:sz w:val="24"/>
          <w:szCs w:val="24"/>
          <w:bdr w:val="nil"/>
          <w:vertAlign w:val="superscript"/>
          <w:lang w:val="es-ES"/>
        </w:rPr>
        <w:t xml:space="preserve"> </w:t>
      </w:r>
      <w:r w:rsidRPr="00E56298">
        <w:rPr>
          <w:rFonts w:ascii="Times New Roman" w:eastAsia="Times New Roman" w:hAnsi="Times New Roman" w:cs="Times New Roman"/>
          <w:b/>
          <w:bCs/>
          <w:sz w:val="24"/>
          <w:szCs w:val="24"/>
          <w:bdr w:val="nil"/>
          <w:lang w:val="es-ES"/>
        </w:rPr>
        <w:t>3. La verdadera historia: comparación de los municipios colombianos y cómo se cumplen o no se cumplen los requisitos sobre equipos interdisciplinarios</w:t>
      </w:r>
    </w:p>
    <w:p w:rsidR="00F059AB" w:rsidRPr="00E56298" w:rsidRDefault="00F059AB" w:rsidP="00F059AB">
      <w:pPr>
        <w:spacing w:after="0"/>
        <w:rPr>
          <w:rFonts w:ascii="Times New Roman" w:eastAsia="Times New Roman" w:hAnsi="Times New Roman" w:cs="Times New Roman"/>
          <w:sz w:val="20"/>
          <w:szCs w:val="20"/>
          <w:vertAlign w:val="superscript"/>
          <w:lang w:val="es-ES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1975"/>
        <w:gridCol w:w="1203"/>
        <w:gridCol w:w="1341"/>
        <w:gridCol w:w="1341"/>
        <w:gridCol w:w="4051"/>
      </w:tblGrid>
      <w:tr w:rsidR="00D5087D" w:rsidRPr="00E56298" w:rsidTr="00736112">
        <w:trPr>
          <w:trHeight w:val="719"/>
          <w:tblHeader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bdr w:val="nil"/>
                <w:lang w:val="es-ES"/>
              </w:rPr>
              <w:t>Clasificación por población municipal según la Ley 1098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bdr w:val="nil"/>
                <w:lang w:val="es-ES"/>
              </w:rPr>
              <w:t>El Comisario de Familia también es Defensor de Familia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bdr w:val="nil"/>
                <w:lang w:val="es-ES"/>
              </w:rPr>
              <w:t>La Ley 1098 exige un</w:t>
            </w:r>
          </w:p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bdr w:val="nil"/>
                <w:lang w:val="es-ES"/>
              </w:rPr>
              <w:t>equipo interdisciplinario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bdr w:val="nil"/>
                <w:lang w:val="es-ES"/>
              </w:rPr>
              <w:t>Se cumple el requisito de equipo</w:t>
            </w:r>
          </w:p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bdr w:val="nil"/>
                <w:lang w:val="es-ES"/>
              </w:rPr>
              <w:t>interdisciplinario según la Ley 1098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  <w:bdr w:val="nil"/>
                <w:lang w:val="es-ES"/>
              </w:rPr>
              <w:t>Composición del equipo interdisciplinario</w:t>
            </w:r>
          </w:p>
        </w:tc>
      </w:tr>
      <w:tr w:rsidR="00D5087D" w:rsidRPr="00E56298" w:rsidTr="00736112">
        <w:trPr>
          <w:trHeight w:val="98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Mayor densidad (Especial)</w:t>
            </w:r>
          </w:p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Bogotá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Todos tienen equipos interdisciplinarios completos; para responder al volumen y la demanda, una Comisaría de Familia suele tener varios psicólogos, trabajadores sociales, un </w:t>
            </w:r>
            <w:r w:rsidR="0026353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notificador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, secretarios o asistentes administrativos. Muchas Comisarías de Familia cuentan con varios CF que trabajan en distintos turnos. Modelo único e innovador.</w:t>
            </w:r>
          </w:p>
        </w:tc>
      </w:tr>
      <w:tr w:rsidR="00D5087D" w:rsidRPr="0084497A" w:rsidTr="00736112">
        <w:trPr>
          <w:trHeight w:val="45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Mayor densidad (Especial)</w:t>
            </w:r>
          </w:p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Medellín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1-3 secretarios, psicólogo, trabajador social, </w:t>
            </w:r>
            <w:r w:rsidR="004962E7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un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asistente administrativo</w:t>
            </w:r>
            <w:r w:rsidR="004962E7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</w:t>
            </w:r>
            <w:r w:rsidR="0026353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entrega las notificaciones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. Su historia es variada, después de la huelga, y luego con la administración actual se ha estabilizado su modelo, los contratos siguen siendo intermitentes.</w:t>
            </w:r>
          </w:p>
        </w:tc>
      </w:tr>
      <w:tr w:rsidR="00D5087D" w:rsidRPr="00DF08C4" w:rsidTr="00736112">
        <w:trPr>
          <w:trHeight w:val="116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Mayor densidad (</w:t>
            </w:r>
            <w:r w:rsidR="00752693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1.</w:t>
            </w:r>
            <w:r w:rsidR="00752693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 xml:space="preserve">a </w:t>
            </w:r>
            <w:r w:rsidR="00752693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categoría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)</w:t>
            </w:r>
            <w:r w:rsidR="00CE0E4E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,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</w:t>
            </w:r>
            <w:r w:rsidR="00CE0E4E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c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apital de un departamento, entre 100,0001 y 500,000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Los distintos equipos tienen composiciones diferentes; a uno le hace falta un trabajador social, pero cuenta con un contrato para asistente; a otro le falta un psicólogo y no tiene abogado asistente. Dependen de </w:t>
            </w:r>
            <w:r w:rsidR="00DF08C4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pasantes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de derecho y psicología de las universidades locales. La estancia de los becarios es de 3 meses (entrevistas 75, 76).</w:t>
            </w:r>
          </w:p>
        </w:tc>
      </w:tr>
      <w:tr w:rsidR="00D5087D" w:rsidRPr="0084497A" w:rsidTr="00736112">
        <w:trPr>
          <w:trHeight w:val="675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Mayor densidad (1.a categoría) entre 100,001 y 500,000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Psicólogo, trabajador social, secretario, becarios en periodos de 2.5 meses, 3 días a la semana, 2 en psicología y 3 en asistencia jurídica (entrevista 81).</w:t>
            </w:r>
          </w:p>
        </w:tc>
      </w:tr>
      <w:tr w:rsidR="00D5087D" w:rsidRPr="0084497A" w:rsidTr="00736112">
        <w:trPr>
          <w:trHeight w:val="30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Mayor densidad (1.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100,001 y 500,000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Psicólogo, trabajador social, </w:t>
            </w:r>
            <w:r w:rsidR="00DF08C4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pasante,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secretario (entrevista 84).</w:t>
            </w:r>
          </w:p>
        </w:tc>
      </w:tr>
      <w:tr w:rsidR="00D5087D" w:rsidRPr="0084497A" w:rsidTr="00736112">
        <w:trPr>
          <w:trHeight w:val="45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Mayor densidad (1.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100,001 y 500,000 según la Ley 1098, pero solo 5.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 por baja institucionalidad según Contaduría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Psicólogo, trabajador social, secretario, abogado asistente (entrevista 127).</w:t>
            </w:r>
          </w:p>
        </w:tc>
      </w:tr>
      <w:tr w:rsidR="00D5087D" w:rsidRPr="0084497A" w:rsidTr="00736112">
        <w:trPr>
          <w:trHeight w:val="98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Mediana densidad (2.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</w:t>
            </w:r>
            <w:r w:rsidR="005E21A2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) entre 50,001 y 100,000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Una Comisaría está en el centro urbano y la otra, en la zona rural; administrativo (asistente/secretario), psicólogo, trabajador social, una persona con formación en psicología y educación que lleva el seguimiento, abogado asistente (entrevista 21).</w:t>
            </w:r>
          </w:p>
        </w:tc>
      </w:tr>
      <w:tr w:rsidR="00D5087D" w:rsidRPr="0084497A" w:rsidTr="00736112">
        <w:trPr>
          <w:trHeight w:val="45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Mediana densidad (2.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50,001 y 100,000, pero solo 5.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 por baja institucionalidad según Contaduría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2 psicólogos, trabajador social, secretario, asistente técnico administrativo (entrevista 88).</w:t>
            </w:r>
          </w:p>
        </w:tc>
      </w:tr>
      <w:tr w:rsidR="00D5087D" w:rsidRPr="0084497A" w:rsidTr="00736112">
        <w:trPr>
          <w:trHeight w:val="467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Mediana densidad (2.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</w:t>
            </w:r>
            <w:r w:rsidR="005E21A2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)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entre 50,001 y 100,000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Asistente auxiliar, trabajador social, sin secretario (el alcalde le dijo al CF: "no te mereces una secretaria, solamente hay para personas importantes") (entrevista 94).</w:t>
            </w:r>
          </w:p>
        </w:tc>
      </w:tr>
      <w:tr w:rsidR="00D5087D" w:rsidRPr="0084497A" w:rsidTr="00736112">
        <w:trPr>
          <w:trHeight w:val="45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lastRenderedPageBreak/>
              <w:t>Menor densidad (3.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30,001 y 50,000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Psicólogo, trabajador social, secretario, teólogo (posiblemente un voluntario). La presencia de un teólogo parece contraponerse a la separación entre el Estado y la iglesia en Colombia (entrevista 102).</w:t>
            </w:r>
          </w:p>
        </w:tc>
      </w:tr>
      <w:tr w:rsidR="00D5087D" w:rsidRPr="00E56298" w:rsidTr="00736112">
        <w:trPr>
          <w:trHeight w:val="45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Menor densidad (3.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30,001 y 50,000, (4.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15,001 y 30,000, (5.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7,000 y 15,000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Psicólogo, secretario (entrevistas 85, 102, 103)</w:t>
            </w:r>
            <w:r w:rsidR="005E21A2"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.</w:t>
            </w:r>
          </w:p>
        </w:tc>
      </w:tr>
      <w:tr w:rsidR="00D5087D" w:rsidRPr="00E56298" w:rsidTr="00736112">
        <w:trPr>
          <w:trHeight w:val="30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Menor densidad (4.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15,001 y 30,000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Psicólogo, secretario compartido (entrevista 125).</w:t>
            </w:r>
          </w:p>
        </w:tc>
      </w:tr>
      <w:tr w:rsidR="00D5087D" w:rsidRPr="0084497A" w:rsidTr="00736112">
        <w:trPr>
          <w:trHeight w:val="30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Menor densidad (4.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15,001 y 30,000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2 psicólogos (pero uno se dedica de tiempo completo a cuestiones de drogas en las escuelas y no suele estar disponible para el CF), trabajador social, secretario, 1 judicante (estudiante de derecho que busca experiencia práctica) (entrevista 97).</w:t>
            </w:r>
          </w:p>
        </w:tc>
      </w:tr>
      <w:tr w:rsidR="00D5087D" w:rsidRPr="0084497A" w:rsidTr="00736112">
        <w:trPr>
          <w:trHeight w:val="30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Menor densidad (5.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entre 7,000 y 15,000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2 psicólogos (pero uno se dedica de tiempo completo a proporcionar servicios a víctimas del conflicto armado y no está disponible para ayudar al CF), secretario (entrevista 85).</w:t>
            </w:r>
          </w:p>
        </w:tc>
      </w:tr>
      <w:tr w:rsidR="00D5087D" w:rsidRPr="00E56298" w:rsidTr="00736112">
        <w:trPr>
          <w:trHeight w:val="30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Menor densidad (6.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menos de 7,000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Psicólogo de medio tiempo y, por primera vez, un trabajador social de medio tiempo. Medio tiempo implica 2.5 días a la semana (entrevista 95).</w:t>
            </w:r>
          </w:p>
        </w:tc>
      </w:tr>
      <w:tr w:rsidR="00D5087D" w:rsidRPr="0084497A" w:rsidTr="00736112">
        <w:trPr>
          <w:trHeight w:val="30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Menor densidad (6.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 xml:space="preserve">a 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categoría) menos de 7,000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Psicólogo de medio tiempo (entrevista 79).</w:t>
            </w:r>
          </w:p>
        </w:tc>
      </w:tr>
      <w:tr w:rsidR="00D5087D" w:rsidRPr="0084497A" w:rsidTr="00736112">
        <w:trPr>
          <w:trHeight w:val="30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Menor densidad (6.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menos de 7,000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Psicólogo; en palabras de la CF: "</w:t>
            </w:r>
            <w:r w:rsidRPr="00E56298">
              <w:rPr>
                <w:rFonts w:ascii="Calibri" w:eastAsia="Calibri" w:hAnsi="Calibri" w:cs="Calibri"/>
                <w:i/>
                <w:iCs/>
                <w:color w:val="000000"/>
                <w:sz w:val="16"/>
                <w:szCs w:val="16"/>
                <w:bdr w:val="nil"/>
                <w:lang w:val="es-ES"/>
              </w:rPr>
              <w:t>la secretaria soy yo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" (entrevista 85).</w:t>
            </w:r>
          </w:p>
        </w:tc>
      </w:tr>
      <w:tr w:rsidR="00D5087D" w:rsidRPr="00E56298" w:rsidTr="00736112">
        <w:trPr>
          <w:trHeight w:val="45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Menor densidad (6.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vertAlign w:val="superscript"/>
                <w:lang w:val="es-ES"/>
              </w:rPr>
              <w:t>a</w:t>
            </w: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 xml:space="preserve"> categoría) menos de 7,000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Sí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AB" w:rsidRPr="00E56298" w:rsidRDefault="005172E6" w:rsidP="00F059AB">
            <w:pPr>
              <w:spacing w:after="0" w:line="276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No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59AB" w:rsidRPr="00E56298" w:rsidRDefault="005172E6" w:rsidP="00F059AB">
            <w:pPr>
              <w:keepNext/>
              <w:spacing w:after="0" w:line="276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"/>
              </w:rPr>
            </w:pPr>
            <w:r w:rsidRPr="00E56298">
              <w:rPr>
                <w:rFonts w:ascii="Calibri" w:eastAsia="Calibri" w:hAnsi="Calibri" w:cs="Calibri"/>
                <w:color w:val="000000"/>
                <w:sz w:val="16"/>
                <w:szCs w:val="16"/>
                <w:bdr w:val="nil"/>
                <w:lang w:val="es-ES"/>
              </w:rPr>
              <w:t>Ninguno (entrevista 106).</w:t>
            </w:r>
          </w:p>
        </w:tc>
      </w:tr>
    </w:tbl>
    <w:p w:rsidR="00F059AB" w:rsidRPr="00E56298" w:rsidRDefault="00F059AB" w:rsidP="00F059AB">
      <w:pPr>
        <w:spacing w:after="0"/>
        <w:rPr>
          <w:rFonts w:ascii="Times New Roman" w:eastAsia="Times New Roman" w:hAnsi="Times New Roman" w:cs="Times New Roman"/>
          <w:vertAlign w:val="superscript"/>
          <w:lang w:val="es-ES"/>
        </w:rPr>
      </w:pPr>
    </w:p>
    <w:p w:rsidR="00F059AB" w:rsidRPr="00E56298" w:rsidRDefault="005172E6" w:rsidP="00F059AB">
      <w:pPr>
        <w:spacing w:after="0"/>
        <w:rPr>
          <w:rFonts w:ascii="Times New Roman" w:eastAsia="Times New Roman" w:hAnsi="Times New Roman" w:cs="Times New Roman"/>
          <w:vertAlign w:val="superscript"/>
          <w:lang w:val="es-ES"/>
        </w:rPr>
      </w:pPr>
      <w:r w:rsidRPr="00E56298">
        <w:rPr>
          <w:rFonts w:ascii="Times New Roman" w:eastAsia="Times New Roman" w:hAnsi="Times New Roman" w:cs="Times New Roman"/>
          <w:bdr w:val="nil"/>
          <w:vertAlign w:val="superscript"/>
          <w:lang w:val="es-ES"/>
        </w:rPr>
        <w:t>Fuentes: Nuestro análisis; datos de entrevistas; clasificación de municipios por población según la Ley 1098. Las referencias de números de entrevista se refieren a los números que asignamos a las entrevistas individuales en nuestra base de datos analítica para proteger la confidencialidad de las personas entrevistadas.</w:t>
      </w:r>
    </w:p>
    <w:p w:rsidR="00F059AB" w:rsidRPr="00E56298" w:rsidRDefault="00F059AB" w:rsidP="00F059AB">
      <w:pPr>
        <w:tabs>
          <w:tab w:val="left" w:pos="360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:rsidR="00F059AB" w:rsidRPr="00E56298" w:rsidRDefault="00F059AB" w:rsidP="00F059AB">
      <w:pPr>
        <w:pStyle w:val="Subtitle"/>
        <w:rPr>
          <w:lang w:val="es-ES"/>
        </w:rPr>
      </w:pPr>
    </w:p>
    <w:sectPr w:rsidR="00F059AB" w:rsidRPr="00E56298" w:rsidSect="002351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2240" w:h="15840"/>
      <w:pgMar w:top="1440" w:right="1440" w:bottom="1440" w:left="1440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8D6" w:rsidRDefault="003848D6">
      <w:pPr>
        <w:spacing w:after="0" w:line="240" w:lineRule="auto"/>
      </w:pPr>
      <w:r>
        <w:separator/>
      </w:r>
    </w:p>
  </w:endnote>
  <w:endnote w:type="continuationSeparator" w:id="0">
    <w:p w:rsidR="003848D6" w:rsidRDefault="003848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97D" w:rsidRDefault="005172E6" w:rsidP="00BF40C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4197D" w:rsidRDefault="00E4197D" w:rsidP="00BF40C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97D" w:rsidRDefault="005172E6" w:rsidP="00BF40C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497A">
      <w:rPr>
        <w:rStyle w:val="PageNumber"/>
        <w:noProof/>
      </w:rPr>
      <w:t>5</w:t>
    </w:r>
    <w:r>
      <w:rPr>
        <w:rStyle w:val="PageNumber"/>
      </w:rPr>
      <w:fldChar w:fldCharType="end"/>
    </w:r>
  </w:p>
  <w:p w:rsidR="00E4197D" w:rsidRPr="00651CBA" w:rsidRDefault="00E4197D" w:rsidP="00BF40C3">
    <w:pPr>
      <w:pStyle w:val="Footer"/>
      <w:ind w:right="360"/>
      <w:jc w:val="center"/>
      <w:rPr>
        <w:rFonts w:ascii="Times New Roman" w:hAnsi="Times New Roman"/>
        <w:sz w:val="20"/>
        <w:szCs w:val="20"/>
      </w:rPr>
    </w:pPr>
  </w:p>
  <w:p w:rsidR="00E4197D" w:rsidRPr="008D2E4C" w:rsidRDefault="00E4197D">
    <w:pPr>
      <w:pStyle w:val="Footer"/>
      <w:rPr>
        <w:rFonts w:ascii="Verdana" w:hAnsi="Verdana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97D" w:rsidRPr="00F606FD" w:rsidRDefault="005172E6" w:rsidP="00F606FD">
    <w:pPr>
      <w:pStyle w:val="Footer"/>
      <w:spacing w:after="0"/>
      <w:jc w:val="both"/>
      <w:rPr>
        <w:rFonts w:ascii="Times New Roman" w:hAnsi="Times New Roman"/>
        <w:sz w:val="18"/>
      </w:rPr>
    </w:pPr>
    <w:r w:rsidRPr="00D537E4">
      <w:rPr>
        <w:rFonts w:ascii="Times New Roman" w:hAnsi="Times New Roman"/>
        <w:sz w:val="18"/>
        <w:szCs w:val="18"/>
        <w:bdr w:val="nil"/>
      </w:rPr>
      <w:t xml:space="preserve">The Advocates for Human Rights </w:t>
    </w:r>
    <w:r w:rsidRPr="00D537E4">
      <w:rPr>
        <w:rFonts w:ascii="Times New Roman" w:hAnsi="Times New Roman"/>
        <w:sz w:val="18"/>
        <w:szCs w:val="18"/>
        <w:bdr w:val="nil"/>
      </w:rPr>
      <w:tab/>
    </w:r>
    <w:r w:rsidRPr="00D537E4">
      <w:rPr>
        <w:rFonts w:ascii="Times New Roman" w:hAnsi="Times New Roman"/>
        <w:sz w:val="18"/>
        <w:szCs w:val="18"/>
        <w:bdr w:val="nil"/>
      </w:rPr>
      <w:tab/>
      <w:t xml:space="preserve">Humphrey School of Public Affairs, University of Minnesota </w:t>
    </w:r>
  </w:p>
  <w:p w:rsidR="00E4197D" w:rsidRPr="00F606FD" w:rsidRDefault="005172E6" w:rsidP="00F606FD">
    <w:pPr>
      <w:pStyle w:val="Footer"/>
      <w:spacing w:after="0"/>
      <w:jc w:val="both"/>
      <w:rPr>
        <w:rFonts w:ascii="Times New Roman" w:hAnsi="Times New Roman"/>
        <w:sz w:val="18"/>
      </w:rPr>
    </w:pPr>
    <w:r w:rsidRPr="00D537E4">
      <w:rPr>
        <w:rFonts w:ascii="Times New Roman" w:hAnsi="Times New Roman"/>
        <w:sz w:val="18"/>
        <w:szCs w:val="18"/>
        <w:bdr w:val="nil"/>
      </w:rPr>
      <w:t xml:space="preserve">330 Second Avenue South Suite 800 </w:t>
    </w:r>
    <w:r w:rsidRPr="00D537E4">
      <w:rPr>
        <w:rFonts w:ascii="Times New Roman" w:hAnsi="Times New Roman"/>
        <w:sz w:val="18"/>
        <w:szCs w:val="18"/>
        <w:bdr w:val="nil"/>
      </w:rPr>
      <w:tab/>
      <w:t>267 Humphrey Center</w:t>
    </w:r>
  </w:p>
  <w:p w:rsidR="00E4197D" w:rsidRPr="00F606FD" w:rsidRDefault="005172E6" w:rsidP="00F606FD">
    <w:pPr>
      <w:pStyle w:val="Footer"/>
      <w:spacing w:after="0"/>
      <w:jc w:val="both"/>
      <w:rPr>
        <w:rFonts w:ascii="Times New Roman" w:hAnsi="Times New Roman"/>
        <w:sz w:val="18"/>
      </w:rPr>
    </w:pPr>
    <w:r w:rsidRPr="00D537E4">
      <w:rPr>
        <w:rFonts w:ascii="Times New Roman" w:hAnsi="Times New Roman"/>
        <w:sz w:val="18"/>
        <w:szCs w:val="18"/>
        <w:bdr w:val="nil"/>
      </w:rPr>
      <w:t>Minneapolis, MN 55401 US</w:t>
    </w:r>
    <w:r w:rsidRPr="00D537E4">
      <w:rPr>
        <w:rFonts w:ascii="Times New Roman" w:hAnsi="Times New Roman"/>
        <w:sz w:val="18"/>
        <w:szCs w:val="18"/>
        <w:bdr w:val="nil"/>
      </w:rPr>
      <w:tab/>
      <w:t xml:space="preserve">                                                             Minneapolis, MN 55455, USA</w:t>
    </w:r>
    <w:r w:rsidRPr="00D537E4">
      <w:rPr>
        <w:rFonts w:ascii="Times New Roman" w:hAnsi="Times New Roman"/>
        <w:sz w:val="18"/>
        <w:szCs w:val="18"/>
        <w:bdr w:val="nil"/>
      </w:rPr>
      <w:tab/>
    </w:r>
  </w:p>
  <w:p w:rsidR="00E4197D" w:rsidRPr="00F606FD" w:rsidRDefault="005172E6" w:rsidP="00CD4B3D">
    <w:pPr>
      <w:pStyle w:val="Footer"/>
      <w:spacing w:after="0" w:line="240" w:lineRule="auto"/>
      <w:jc w:val="both"/>
      <w:rPr>
        <w:rFonts w:ascii="Times New Roman" w:hAnsi="Times New Roman"/>
        <w:sz w:val="18"/>
      </w:rPr>
    </w:pPr>
    <w:r w:rsidRPr="00D537E4">
      <w:rPr>
        <w:rFonts w:ascii="Times New Roman" w:hAnsi="Times New Roman"/>
        <w:sz w:val="18"/>
        <w:szCs w:val="18"/>
        <w:bdr w:val="nil"/>
      </w:rPr>
      <w:t xml:space="preserve">1- 612-341-3302 </w:t>
    </w:r>
    <w:r w:rsidRPr="00D537E4">
      <w:rPr>
        <w:rFonts w:ascii="Times New Roman" w:hAnsi="Times New Roman"/>
        <w:sz w:val="18"/>
        <w:szCs w:val="18"/>
        <w:bdr w:val="nil"/>
      </w:rPr>
      <w:tab/>
      <w:t xml:space="preserve">                                                                    1-612-625-4747; 1-917-375-5337</w:t>
    </w:r>
    <w:r w:rsidRPr="00D537E4">
      <w:rPr>
        <w:rFonts w:ascii="Times New Roman" w:hAnsi="Times New Roman"/>
        <w:sz w:val="18"/>
        <w:szCs w:val="18"/>
        <w:bdr w:val="nil"/>
      </w:rPr>
      <w:tab/>
      <w:t xml:space="preserve">                                                                     </w:t>
    </w:r>
    <w:hyperlink r:id="rId1" w:history="1">
      <w:r w:rsidRPr="00D537E4">
        <w:rPr>
          <w:rFonts w:ascii="Times New Roman" w:hAnsi="Times New Roman"/>
          <w:color w:val="0000FF"/>
          <w:sz w:val="18"/>
          <w:szCs w:val="18"/>
          <w:u w:val="single"/>
          <w:bdr w:val="nil"/>
        </w:rPr>
        <w:t>hrights@advrights.org</w:t>
      </w:r>
    </w:hyperlink>
    <w:r w:rsidRPr="00D537E4">
      <w:rPr>
        <w:rFonts w:ascii="Times New Roman" w:hAnsi="Times New Roman"/>
        <w:sz w:val="18"/>
        <w:szCs w:val="18"/>
        <w:bdr w:val="nil"/>
      </w:rPr>
      <w:t xml:space="preserve">                                                                           </w:t>
    </w:r>
    <w:hyperlink r:id="rId2" w:history="1">
      <w:r w:rsidRPr="00D537E4">
        <w:rPr>
          <w:rFonts w:ascii="Times New Roman" w:hAnsi="Times New Roman"/>
          <w:color w:val="0000FF"/>
          <w:sz w:val="18"/>
          <w:szCs w:val="18"/>
          <w:u w:val="single"/>
          <w:bdr w:val="nil"/>
        </w:rPr>
        <w:t>gfs@umn.edu</w:t>
      </w:r>
    </w:hyperlink>
    <w:r w:rsidRPr="00D537E4">
      <w:rPr>
        <w:rFonts w:ascii="Times New Roman" w:hAnsi="Times New Roman"/>
        <w:sz w:val="18"/>
        <w:szCs w:val="18"/>
        <w:bdr w:val="nil"/>
      </w:rPr>
      <w:t xml:space="preserve">  </w:t>
    </w:r>
    <w:hyperlink r:id="rId3" w:history="1">
      <w:r w:rsidRPr="00D537E4">
        <w:rPr>
          <w:rFonts w:ascii="Times New Roman" w:hAnsi="Times New Roman"/>
          <w:color w:val="0000FF"/>
          <w:sz w:val="18"/>
          <w:szCs w:val="18"/>
          <w:u w:val="single"/>
          <w:bdr w:val="nil"/>
        </w:rPr>
        <w:t>griev007@umn.edu</w:t>
      </w:r>
    </w:hyperlink>
    <w:r w:rsidRPr="00D537E4">
      <w:rPr>
        <w:rFonts w:ascii="Times New Roman" w:hAnsi="Times New Roman"/>
        <w:sz w:val="18"/>
        <w:szCs w:val="18"/>
        <w:bdr w:val="nil"/>
      </w:rPr>
      <w:t xml:space="preserve"> </w:t>
    </w:r>
  </w:p>
  <w:p w:rsidR="00E4197D" w:rsidRPr="00235125" w:rsidRDefault="005172E6" w:rsidP="00F606FD">
    <w:pPr>
      <w:pStyle w:val="Footer"/>
      <w:spacing w:after="0" w:line="240" w:lineRule="auto"/>
      <w:jc w:val="both"/>
      <w:rPr>
        <w:sz w:val="18"/>
      </w:rPr>
    </w:pPr>
    <w:proofErr w:type="spellStart"/>
    <w:r>
      <w:rPr>
        <w:rFonts w:ascii="Times New Roman" w:hAnsi="Times New Roman"/>
        <w:sz w:val="18"/>
        <w:szCs w:val="18"/>
        <w:bdr w:val="nil"/>
        <w:lang w:val="es-ES_tradnl"/>
      </w:rPr>
      <w:t>TheAdvocatesForHumanRights.org</w:t>
    </w:r>
    <w:proofErr w:type="spellEnd"/>
    <w:r>
      <w:rPr>
        <w:rFonts w:ascii="Times New Roman" w:hAnsi="Times New Roman"/>
        <w:sz w:val="18"/>
        <w:szCs w:val="18"/>
        <w:bdr w:val="nil"/>
        <w:lang w:val="es-ES_tradnl"/>
      </w:rPr>
      <w:tab/>
    </w:r>
    <w:r>
      <w:rPr>
        <w:rFonts w:ascii="Times New Roman" w:hAnsi="Times New Roman"/>
        <w:sz w:val="18"/>
        <w:szCs w:val="18"/>
        <w:bdr w:val="nil"/>
        <w:lang w:val="es-ES_tradnl"/>
      </w:rPr>
      <w:tab/>
    </w:r>
    <w:hyperlink r:id="rId4" w:history="1"/>
    <w:r>
      <w:rPr>
        <w:rFonts w:ascii="Times New Roman" w:hAnsi="Times New Roman"/>
        <w:sz w:val="18"/>
        <w:szCs w:val="18"/>
        <w:bdr w:val="nil"/>
        <w:lang w:val="es-ES_tradnl"/>
      </w:rPr>
      <w:tab/>
    </w:r>
    <w:r>
      <w:rPr>
        <w:rFonts w:eastAsia="Calibri" w:cs="Calibri"/>
        <w:sz w:val="18"/>
        <w:szCs w:val="18"/>
        <w:bdr w:val="nil"/>
        <w:lang w:val="es-ES_tradn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8D6" w:rsidRDefault="003848D6">
      <w:pPr>
        <w:spacing w:after="0" w:line="240" w:lineRule="auto"/>
      </w:pPr>
      <w:r>
        <w:separator/>
      </w:r>
    </w:p>
  </w:footnote>
  <w:footnote w:type="continuationSeparator" w:id="0">
    <w:p w:rsidR="003848D6" w:rsidRDefault="003848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21" w:rsidRDefault="00304B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97D" w:rsidRPr="00FE67AF" w:rsidRDefault="00E4197D" w:rsidP="00D7768A">
    <w:pPr>
      <w:pStyle w:val="Header"/>
      <w:jc w:val="center"/>
      <w:rPr>
        <w:rFonts w:ascii="Verdana" w:hAnsi="Verdana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97D" w:rsidRDefault="005172E6" w:rsidP="00072257">
    <w:pPr>
      <w:pStyle w:val="Header"/>
    </w:pPr>
    <w:r>
      <w:rPr>
        <w:rFonts w:ascii="Times" w:hAnsi="Times" w:cs="Times"/>
        <w:noProof/>
        <w:sz w:val="24"/>
        <w:szCs w:val="24"/>
      </w:rPr>
      <w:drawing>
        <wp:inline distT="0" distB="0" distL="0" distR="0">
          <wp:extent cx="2105025" cy="733425"/>
          <wp:effectExtent l="0" t="0" r="9525" b="9525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6480437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050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" w:hAnsi="Times" w:cs="Times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5454650</wp:posOffset>
              </wp:positionH>
              <wp:positionV relativeFrom="paragraph">
                <wp:posOffset>-297815</wp:posOffset>
              </wp:positionV>
              <wp:extent cx="45085" cy="74295"/>
              <wp:effectExtent l="0" t="0" r="0" b="444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085" cy="742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4197D" w:rsidRDefault="00E4197D"/>
                      </w:txbxContent>
                    </wps:txbx>
                    <wps:bodyPr rot="0" vert="horz" wrap="square" lIns="91440" tIns="91440" rIns="91440" bIns="9144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429.5pt;margin-top:-23.45pt;width:3.55pt;height: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" filled="f" stroked="f">
              <v:textbox inset=",7.2pt,,7.2pt">
                <w:txbxContent>
                  <w:p w:rsidR="00E4197D" w:rsidRDefault="00E4197D"/>
                </w:txbxContent>
              </v:textbox>
            </v:shape>
          </w:pict>
        </mc:Fallback>
      </mc:AlternateContent>
    </w:r>
    <w:r w:rsidR="00EE0E2B">
      <w:rPr>
        <w:rFonts w:ascii="Times" w:hAnsi="Times" w:cs="Times"/>
        <w:sz w:val="24"/>
        <w:szCs w:val="24"/>
      </w:rPr>
      <w:t xml:space="preserve">    </w:t>
    </w:r>
    <w:r w:rsidR="00EE0E2B">
      <w:rPr>
        <w:rFonts w:ascii="Times" w:hAnsi="Times" w:cs="Times"/>
        <w:sz w:val="24"/>
        <w:szCs w:val="24"/>
      </w:rPr>
      <w:tab/>
    </w:r>
    <w:r w:rsidR="00EE0E2B">
      <w:rPr>
        <w:rFonts w:ascii="Times" w:hAnsi="Times" w:cs="Times"/>
        <w:sz w:val="24"/>
        <w:szCs w:val="24"/>
      </w:rPr>
      <w:tab/>
    </w:r>
    <w:r>
      <w:rPr>
        <w:rFonts w:ascii="Times" w:hAnsi="Times" w:cs="Times"/>
        <w:noProof/>
        <w:sz w:val="24"/>
        <w:szCs w:val="24"/>
      </w:rPr>
      <w:drawing>
        <wp:inline distT="0" distB="0" distL="0" distR="0">
          <wp:extent cx="1952625" cy="609600"/>
          <wp:effectExtent l="0" t="0" r="9525" b="0"/>
          <wp:docPr id="3" name="Picture 3" descr="HHH+M_Wordmk_hori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1331813" name="Picture 3" descr="HHH+M_Wordmk_hori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E0E2B">
      <w:rPr>
        <w:rFonts w:ascii="Times" w:hAnsi="Times" w:cs="Times"/>
        <w:sz w:val="24"/>
        <w:szCs w:val="24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F019B"/>
    <w:multiLevelType w:val="hybridMultilevel"/>
    <w:tmpl w:val="5BB80D8A"/>
    <w:lvl w:ilvl="0" w:tplc="768694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91E437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8C0F9B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DBE2C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B909D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30AB9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69ACF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C46A5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98045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417354"/>
    <w:multiLevelType w:val="hybridMultilevel"/>
    <w:tmpl w:val="51162190"/>
    <w:lvl w:ilvl="0" w:tplc="59302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FABC82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72FCC2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7803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6AA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7A61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3C25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5A0E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D8ED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27A19"/>
    <w:multiLevelType w:val="hybridMultilevel"/>
    <w:tmpl w:val="B51EE7BA"/>
    <w:lvl w:ilvl="0" w:tplc="865A97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1046C7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700DD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081D7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B4C65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B1288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5E409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88E95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912F5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8B325F"/>
    <w:multiLevelType w:val="hybridMultilevel"/>
    <w:tmpl w:val="BA0041B0"/>
    <w:lvl w:ilvl="0" w:tplc="63180C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6D00DA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BD4CC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78ADA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DEE9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61EC7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B66CB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ADC66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C6AF10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EC2716"/>
    <w:multiLevelType w:val="hybridMultilevel"/>
    <w:tmpl w:val="006C7A86"/>
    <w:lvl w:ilvl="0" w:tplc="D8AA74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578C8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3836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4E9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BBA919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9864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92B34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8642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42C2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6A6A9A"/>
    <w:multiLevelType w:val="hybridMultilevel"/>
    <w:tmpl w:val="EA72A264"/>
    <w:lvl w:ilvl="0" w:tplc="4DCE6B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AE5C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5837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442B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CF5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B7C98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7CE0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D4B56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7820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1704D"/>
    <w:multiLevelType w:val="hybridMultilevel"/>
    <w:tmpl w:val="F7BED1F0"/>
    <w:lvl w:ilvl="0" w:tplc="0EE4C4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BDA04E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E66ECE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E8D2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22C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2D631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3DE406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40C6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2AA3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AD3B57"/>
    <w:multiLevelType w:val="hybridMultilevel"/>
    <w:tmpl w:val="3150428A"/>
    <w:lvl w:ilvl="0" w:tplc="EE8E8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DC48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2A99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6687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1460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9269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8863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AE52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B5616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345B21"/>
    <w:multiLevelType w:val="hybridMultilevel"/>
    <w:tmpl w:val="B2D0478E"/>
    <w:lvl w:ilvl="0" w:tplc="011CC9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8EA48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A881F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BE38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3361CB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EC792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F5816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8C9F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4A081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3DC7D6C"/>
    <w:multiLevelType w:val="hybridMultilevel"/>
    <w:tmpl w:val="E93410CC"/>
    <w:lvl w:ilvl="0" w:tplc="77E4F70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B7820E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8224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3269E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970F3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AF8F19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56AD66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3F67D5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F881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5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Y3srA0MTIyNzCyMDNX0lEKTi0uzszPAykwrAUAC5r2RywAAAA="/>
    <w:docVar w:name="dgnword-docGUID" w:val="{05090804-F7C8-4427-9414-D64CDB307631}"/>
    <w:docVar w:name="dgnword-eventsink" w:val="728764784"/>
  </w:docVars>
  <w:rsids>
    <w:rsidRoot w:val="00F059AB"/>
    <w:rsid w:val="00072257"/>
    <w:rsid w:val="000A6266"/>
    <w:rsid w:val="00235125"/>
    <w:rsid w:val="00263538"/>
    <w:rsid w:val="002F5D24"/>
    <w:rsid w:val="00304B21"/>
    <w:rsid w:val="00304F34"/>
    <w:rsid w:val="003848D6"/>
    <w:rsid w:val="003E54FF"/>
    <w:rsid w:val="00475225"/>
    <w:rsid w:val="0047769E"/>
    <w:rsid w:val="004962E7"/>
    <w:rsid w:val="005172E6"/>
    <w:rsid w:val="00571314"/>
    <w:rsid w:val="005B5B5A"/>
    <w:rsid w:val="005E21A2"/>
    <w:rsid w:val="00651CBA"/>
    <w:rsid w:val="00752693"/>
    <w:rsid w:val="00764093"/>
    <w:rsid w:val="007912DB"/>
    <w:rsid w:val="00793477"/>
    <w:rsid w:val="007C5B48"/>
    <w:rsid w:val="00810C80"/>
    <w:rsid w:val="0084497A"/>
    <w:rsid w:val="00871DC6"/>
    <w:rsid w:val="008D2E4C"/>
    <w:rsid w:val="00A42EEC"/>
    <w:rsid w:val="00AA5C29"/>
    <w:rsid w:val="00BF24E6"/>
    <w:rsid w:val="00BF40C3"/>
    <w:rsid w:val="00CD421F"/>
    <w:rsid w:val="00CD4B3D"/>
    <w:rsid w:val="00CE0E4E"/>
    <w:rsid w:val="00D10CB4"/>
    <w:rsid w:val="00D5087D"/>
    <w:rsid w:val="00D537E4"/>
    <w:rsid w:val="00D679C0"/>
    <w:rsid w:val="00D7768A"/>
    <w:rsid w:val="00DF08C4"/>
    <w:rsid w:val="00E4197D"/>
    <w:rsid w:val="00E56298"/>
    <w:rsid w:val="00EE0E2B"/>
    <w:rsid w:val="00F059AB"/>
    <w:rsid w:val="00F606FD"/>
    <w:rsid w:val="00F67ECC"/>
    <w:rsid w:val="00FE6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4BE624-23C5-4BCA-8A85-F63F3DC3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uiPriority w:val="99"/>
    <w:unhideWhenUsed/>
    <w:rsid w:val="00F059AB"/>
    <w:pPr>
      <w:tabs>
        <w:tab w:val="center" w:pos="4680"/>
        <w:tab w:val="right" w:pos="9360"/>
      </w:tabs>
    </w:pPr>
    <w:rPr>
      <w:rFonts w:ascii="Calibri" w:eastAsia="Times New Roman" w:hAnsi="Calibri" w:cs="Times New Roman"/>
    </w:rPr>
  </w:style>
  <w:style w:type="character" w:customStyle="1" w:styleId="HeaderChar">
    <w:name w:val="Header Char"/>
    <w:aliases w:val="6_G Char"/>
    <w:basedOn w:val="DefaultParagraphFont"/>
    <w:link w:val="Header"/>
    <w:uiPriority w:val="99"/>
    <w:rsid w:val="00F059AB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F059AB"/>
    <w:pPr>
      <w:tabs>
        <w:tab w:val="center" w:pos="4680"/>
        <w:tab w:val="right" w:pos="9360"/>
      </w:tabs>
    </w:pPr>
    <w:rPr>
      <w:rFonts w:ascii="Calibri" w:eastAsia="Times New Roman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F059AB"/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F059AB"/>
    <w:rPr>
      <w:color w:val="0000FF"/>
      <w:u w:val="single"/>
    </w:rPr>
  </w:style>
  <w:style w:type="character" w:styleId="PageNumber">
    <w:name w:val="page number"/>
    <w:uiPriority w:val="99"/>
    <w:semiHidden/>
    <w:unhideWhenUsed/>
    <w:rsid w:val="00F059AB"/>
  </w:style>
  <w:style w:type="paragraph" w:styleId="Subtitle">
    <w:name w:val="Subtitle"/>
    <w:basedOn w:val="Normal"/>
    <w:next w:val="Normal"/>
    <w:link w:val="SubtitleChar"/>
    <w:uiPriority w:val="11"/>
    <w:qFormat/>
    <w:rsid w:val="00F059A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059AB"/>
    <w:rPr>
      <w:rFonts w:eastAsiaTheme="minorEastAsia"/>
      <w:color w:val="5A5A5A" w:themeColor="text1" w:themeTint="A5"/>
      <w:spacing w:val="15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CD4B3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7E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F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F5D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griev007@umn.edu" TargetMode="External"/><Relationship Id="rId2" Type="http://schemas.openxmlformats.org/officeDocument/2006/relationships/hyperlink" Target="mailto:gfs@umn.edu" TargetMode="External"/><Relationship Id="rId1" Type="http://schemas.openxmlformats.org/officeDocument/2006/relationships/hyperlink" Target="mailto:hrights@advrights.org" TargetMode="External"/><Relationship Id="rId4" Type="http://schemas.openxmlformats.org/officeDocument/2006/relationships/hyperlink" Target="mailto:gfs@umn.edu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548DC0-A7C0-4C49-B245-1032C4BF59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E75920-D495-41E6-B3E8-C093DF3DB7D0}"/>
</file>

<file path=customXml/itemProps3.xml><?xml version="1.0" encoding="utf-8"?>
<ds:datastoreItem xmlns:ds="http://schemas.openxmlformats.org/officeDocument/2006/customXml" ds:itemID="{09D96F46-8B50-48A1-9B6F-8AD9CBFEB9C0}"/>
</file>

<file path=customXml/itemProps4.xml><?xml version="1.0" encoding="utf-8"?>
<ds:datastoreItem xmlns:ds="http://schemas.openxmlformats.org/officeDocument/2006/customXml" ds:itemID="{3B2D4C0F-AFFA-468D-AC5C-23B608C41A4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1530</Words>
  <Characters>8723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</dc:creator>
  <cp:lastModifiedBy>Greta Friedemann-Sanchez</cp:lastModifiedBy>
  <cp:revision>2</cp:revision>
  <dcterms:created xsi:type="dcterms:W3CDTF">2019-09-23T16:18:00Z</dcterms:created>
  <dcterms:modified xsi:type="dcterms:W3CDTF">2019-09-23T16:18:00Z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