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7A02C" w14:textId="77777777" w:rsidR="00676AAF" w:rsidRPr="00664979" w:rsidRDefault="00ED6A3F" w:rsidP="00664979">
      <w:pPr>
        <w:spacing w:line="360" w:lineRule="auto"/>
        <w:rPr>
          <w:rFonts w:ascii="Times New Roman" w:hAnsi="Times New Roman" w:cs="Times New Roman"/>
          <w:sz w:val="28"/>
          <w:szCs w:val="28"/>
        </w:rPr>
      </w:pPr>
      <w:r w:rsidRPr="00664979">
        <w:rPr>
          <w:rFonts w:ascii="Times New Roman" w:hAnsi="Times New Roman" w:cs="Times New Roman"/>
          <w:sz w:val="28"/>
          <w:szCs w:val="28"/>
        </w:rPr>
        <w:t>A</w:t>
      </w:r>
      <w:r w:rsidR="00AF2AF1" w:rsidRPr="00664979">
        <w:rPr>
          <w:rFonts w:ascii="Times New Roman" w:hAnsi="Times New Roman" w:cs="Times New Roman"/>
          <w:sz w:val="28"/>
          <w:szCs w:val="28"/>
        </w:rPr>
        <w:t xml:space="preserve">AIL’s Submissions on the </w:t>
      </w:r>
      <w:r w:rsidR="00676AAF" w:rsidRPr="00664979">
        <w:rPr>
          <w:rFonts w:ascii="Times New Roman" w:hAnsi="Times New Roman" w:cs="Times New Roman"/>
          <w:sz w:val="28"/>
          <w:szCs w:val="28"/>
        </w:rPr>
        <w:t>Relationship between the national security law and academic freedom</w:t>
      </w:r>
    </w:p>
    <w:p w14:paraId="76A9B49A" w14:textId="77777777" w:rsidR="00676AAF" w:rsidRPr="00664979" w:rsidRDefault="00676AAF" w:rsidP="00664979">
      <w:pPr>
        <w:spacing w:line="360" w:lineRule="auto"/>
        <w:rPr>
          <w:rFonts w:ascii="Times New Roman" w:hAnsi="Times New Roman" w:cs="Times New Roman"/>
          <w:sz w:val="28"/>
          <w:szCs w:val="28"/>
        </w:rPr>
      </w:pPr>
    </w:p>
    <w:p w14:paraId="40ED4A06" w14:textId="3E85DE13" w:rsidR="000E2B59" w:rsidRDefault="00676AAF" w:rsidP="00664979">
      <w:pPr>
        <w:pStyle w:val="ListParagraph"/>
        <w:numPr>
          <w:ilvl w:val="0"/>
          <w:numId w:val="1"/>
        </w:numPr>
        <w:spacing w:line="360" w:lineRule="auto"/>
        <w:ind w:left="567" w:hanging="567"/>
        <w:jc w:val="both"/>
        <w:rPr>
          <w:rFonts w:ascii="Times New Roman" w:hAnsi="Times New Roman" w:cs="Times New Roman"/>
          <w:sz w:val="28"/>
          <w:szCs w:val="28"/>
        </w:rPr>
      </w:pPr>
      <w:r w:rsidRPr="00664979">
        <w:rPr>
          <w:rFonts w:ascii="Times New Roman" w:hAnsi="Times New Roman" w:cs="Times New Roman"/>
          <w:sz w:val="28"/>
          <w:szCs w:val="28"/>
        </w:rPr>
        <w:t>AAIL submits that there is no evidential basis to suggest that the implementation of the Law of the People’s Republic of China on Safeguarding National Security in Hong Kong Special Administrative Region (“HKNSL”) has threatened the academic freedom enjoyed by the public (including the higher education sector) and protected by law.</w:t>
      </w:r>
      <w:r w:rsidR="000E2B59">
        <w:rPr>
          <w:rFonts w:ascii="Times New Roman" w:hAnsi="Times New Roman" w:cs="Times New Roman"/>
          <w:sz w:val="28"/>
          <w:szCs w:val="28"/>
        </w:rPr>
        <w:t xml:space="preserve">  The HK</w:t>
      </w:r>
      <w:r w:rsidR="00CB42C8">
        <w:rPr>
          <w:rFonts w:ascii="Times New Roman" w:hAnsi="Times New Roman" w:cs="Times New Roman"/>
          <w:sz w:val="28"/>
          <w:szCs w:val="28"/>
        </w:rPr>
        <w:t>N</w:t>
      </w:r>
      <w:r w:rsidR="000E2B59">
        <w:rPr>
          <w:rFonts w:ascii="Times New Roman" w:hAnsi="Times New Roman" w:cs="Times New Roman"/>
          <w:sz w:val="28"/>
          <w:szCs w:val="28"/>
        </w:rPr>
        <w:t>SL was enacted to bring back to normal an insurgency situation unparalleled in the history of the HKSAR.  Its terms are only to protect the Nation and the HKSAR from falling into chaos and into the hands of meddling third State Parties</w:t>
      </w:r>
      <w:r w:rsidR="00CB42C8">
        <w:rPr>
          <w:rFonts w:ascii="Times New Roman" w:hAnsi="Times New Roman" w:cs="Times New Roman"/>
          <w:sz w:val="28"/>
          <w:szCs w:val="28"/>
        </w:rPr>
        <w:t xml:space="preserve"> intent on exploiting the situation</w:t>
      </w:r>
      <w:r w:rsidR="000E2B59">
        <w:rPr>
          <w:rFonts w:ascii="Times New Roman" w:hAnsi="Times New Roman" w:cs="Times New Roman"/>
          <w:sz w:val="28"/>
          <w:szCs w:val="28"/>
        </w:rPr>
        <w:t xml:space="preserve">.  No Nation State would tolerate the kind of chaos that Hong Kong experienced in 2019.  The HKNSL is no different in scope and content from the national securities laws of civilized nations. </w:t>
      </w:r>
    </w:p>
    <w:p w14:paraId="3702F578" w14:textId="77777777" w:rsidR="000E2B59" w:rsidRDefault="000E2B59" w:rsidP="008D63BF">
      <w:pPr>
        <w:pStyle w:val="ListParagraph"/>
        <w:spacing w:line="360" w:lineRule="auto"/>
        <w:ind w:left="567"/>
        <w:jc w:val="both"/>
        <w:rPr>
          <w:rFonts w:ascii="Times New Roman" w:hAnsi="Times New Roman" w:cs="Times New Roman"/>
          <w:sz w:val="28"/>
          <w:szCs w:val="28"/>
        </w:rPr>
      </w:pPr>
    </w:p>
    <w:p w14:paraId="146C1594" w14:textId="153F6B33" w:rsidR="00676AAF" w:rsidRPr="00664979" w:rsidRDefault="000E2B59" w:rsidP="00664979">
      <w:pPr>
        <w:pStyle w:val="ListParagraph"/>
        <w:numPr>
          <w:ilvl w:val="0"/>
          <w:numId w:val="1"/>
        </w:numPr>
        <w:spacing w:line="360" w:lineRule="auto"/>
        <w:ind w:left="567" w:hanging="567"/>
        <w:jc w:val="both"/>
        <w:rPr>
          <w:rFonts w:ascii="Times New Roman" w:hAnsi="Times New Roman" w:cs="Times New Roman"/>
          <w:sz w:val="28"/>
          <w:szCs w:val="28"/>
        </w:rPr>
      </w:pPr>
      <w:r>
        <w:rPr>
          <w:rFonts w:ascii="Times New Roman" w:hAnsi="Times New Roman" w:cs="Times New Roman"/>
          <w:sz w:val="28"/>
          <w:szCs w:val="28"/>
        </w:rPr>
        <w:t>In particular, the HKNSL does not infringe academic freedom.  On the contrary, because it seeks to promote public order</w:t>
      </w:r>
      <w:r w:rsidR="00CB42C8">
        <w:rPr>
          <w:rFonts w:ascii="Times New Roman" w:hAnsi="Times New Roman" w:cs="Times New Roman"/>
          <w:sz w:val="28"/>
          <w:szCs w:val="28"/>
        </w:rPr>
        <w:t xml:space="preserve"> so</w:t>
      </w:r>
      <w:r>
        <w:rPr>
          <w:rFonts w:ascii="Times New Roman" w:hAnsi="Times New Roman" w:cs="Times New Roman"/>
          <w:sz w:val="28"/>
          <w:szCs w:val="28"/>
        </w:rPr>
        <w:t xml:space="preserve"> that all lawful pursuits of civil society may take place in safety.  This includes the lawful pursuits of academia.</w:t>
      </w:r>
    </w:p>
    <w:p w14:paraId="23181B1D" w14:textId="77777777" w:rsidR="00676AAF" w:rsidRPr="00664979" w:rsidRDefault="00676AAF" w:rsidP="00664979">
      <w:pPr>
        <w:pStyle w:val="ListParagraph"/>
        <w:spacing w:line="360" w:lineRule="auto"/>
        <w:ind w:left="567"/>
        <w:jc w:val="both"/>
        <w:rPr>
          <w:rFonts w:ascii="Times New Roman" w:hAnsi="Times New Roman" w:cs="Times New Roman"/>
          <w:sz w:val="28"/>
          <w:szCs w:val="28"/>
        </w:rPr>
      </w:pPr>
    </w:p>
    <w:p w14:paraId="3D10DA5A" w14:textId="2F553C3B" w:rsidR="00DF50D4" w:rsidRPr="00664979" w:rsidRDefault="00676AAF" w:rsidP="00664979">
      <w:pPr>
        <w:pStyle w:val="ListParagraph"/>
        <w:numPr>
          <w:ilvl w:val="0"/>
          <w:numId w:val="1"/>
        </w:numPr>
        <w:spacing w:line="360" w:lineRule="auto"/>
        <w:ind w:left="567" w:hanging="567"/>
        <w:jc w:val="both"/>
        <w:rPr>
          <w:rFonts w:ascii="Times New Roman" w:hAnsi="Times New Roman" w:cs="Times New Roman"/>
          <w:sz w:val="28"/>
          <w:szCs w:val="28"/>
        </w:rPr>
      </w:pPr>
      <w:r w:rsidRPr="00664979">
        <w:rPr>
          <w:rFonts w:ascii="Times New Roman" w:hAnsi="Times New Roman" w:cs="Times New Roman"/>
          <w:sz w:val="28"/>
          <w:szCs w:val="28"/>
        </w:rPr>
        <w:t>According to CESCR General Comment No.13 on the Right to Education (Art. 13), academic freedom includes the following aspects:</w:t>
      </w:r>
    </w:p>
    <w:p w14:paraId="032F325C" w14:textId="77777777" w:rsidR="00676AAF" w:rsidRPr="00664979" w:rsidRDefault="00676AAF" w:rsidP="00664979">
      <w:pPr>
        <w:pStyle w:val="ListParagraph"/>
        <w:spacing w:line="360" w:lineRule="auto"/>
        <w:jc w:val="both"/>
        <w:rPr>
          <w:rFonts w:ascii="Times New Roman" w:hAnsi="Times New Roman" w:cs="Times New Roman"/>
          <w:sz w:val="28"/>
          <w:szCs w:val="28"/>
        </w:rPr>
      </w:pPr>
    </w:p>
    <w:p w14:paraId="73F46E0F" w14:textId="2D867608" w:rsidR="00676AAF" w:rsidRPr="00664979" w:rsidRDefault="00676AAF" w:rsidP="00664979">
      <w:pPr>
        <w:pStyle w:val="ListParagraph"/>
        <w:numPr>
          <w:ilvl w:val="1"/>
          <w:numId w:val="1"/>
        </w:numPr>
        <w:spacing w:line="360" w:lineRule="auto"/>
        <w:ind w:left="1134" w:hanging="567"/>
        <w:jc w:val="both"/>
        <w:rPr>
          <w:rFonts w:ascii="Times New Roman" w:hAnsi="Times New Roman" w:cs="Times New Roman"/>
          <w:sz w:val="28"/>
          <w:szCs w:val="28"/>
        </w:rPr>
      </w:pPr>
      <w:r w:rsidRPr="00664979">
        <w:rPr>
          <w:rFonts w:ascii="Times New Roman" w:hAnsi="Times New Roman" w:cs="Times New Roman"/>
          <w:sz w:val="28"/>
          <w:szCs w:val="28"/>
        </w:rPr>
        <w:t>Members of the academic community being free to pursue, develop and transmit knowledge and ideas, through research, teaching, study, discussion, documentation, production, creation or writing;</w:t>
      </w:r>
    </w:p>
    <w:p w14:paraId="1A6AD0E6" w14:textId="77777777" w:rsidR="00676AAF" w:rsidRPr="00664979" w:rsidRDefault="00676AAF" w:rsidP="00664979">
      <w:pPr>
        <w:pStyle w:val="ListParagraph"/>
        <w:spacing w:line="360" w:lineRule="auto"/>
        <w:ind w:left="1134"/>
        <w:jc w:val="both"/>
        <w:rPr>
          <w:rFonts w:ascii="Times New Roman" w:hAnsi="Times New Roman" w:cs="Times New Roman"/>
          <w:sz w:val="28"/>
          <w:szCs w:val="28"/>
        </w:rPr>
      </w:pPr>
    </w:p>
    <w:p w14:paraId="699FAB96" w14:textId="4857E012" w:rsidR="00676AAF" w:rsidRPr="00664979" w:rsidRDefault="00676AAF" w:rsidP="00664979">
      <w:pPr>
        <w:pStyle w:val="ListParagraph"/>
        <w:numPr>
          <w:ilvl w:val="1"/>
          <w:numId w:val="1"/>
        </w:numPr>
        <w:spacing w:line="360" w:lineRule="auto"/>
        <w:ind w:left="1134" w:hanging="567"/>
        <w:jc w:val="both"/>
        <w:rPr>
          <w:rFonts w:ascii="Times New Roman" w:hAnsi="Times New Roman" w:cs="Times New Roman"/>
          <w:sz w:val="28"/>
          <w:szCs w:val="28"/>
        </w:rPr>
      </w:pPr>
      <w:r w:rsidRPr="00664979">
        <w:rPr>
          <w:rFonts w:ascii="Times New Roman" w:hAnsi="Times New Roman" w:cs="Times New Roman"/>
          <w:sz w:val="28"/>
          <w:szCs w:val="28"/>
        </w:rPr>
        <w:lastRenderedPageBreak/>
        <w:t>It includes the liberty of individuals to express freely opinions about the institution or system in which they work, to fulfil their functions without discrimination or fear of repression by the State or any other actor, to participate in professional or representative academic bodies, and to enjoy all the internationally recognized human rights applicable to other individuals in the same jurisdiction</w:t>
      </w:r>
      <w:r w:rsidR="001B685E" w:rsidRPr="00664979">
        <w:rPr>
          <w:rFonts w:ascii="Times New Roman" w:hAnsi="Times New Roman" w:cs="Times New Roman"/>
          <w:sz w:val="28"/>
          <w:szCs w:val="28"/>
        </w:rPr>
        <w:t>; and</w:t>
      </w:r>
    </w:p>
    <w:p w14:paraId="096CD37F" w14:textId="77777777" w:rsidR="001B685E" w:rsidRPr="00664979" w:rsidRDefault="001B685E" w:rsidP="00664979">
      <w:pPr>
        <w:pStyle w:val="ListParagraph"/>
        <w:spacing w:line="360" w:lineRule="auto"/>
        <w:rPr>
          <w:rFonts w:ascii="Times New Roman" w:hAnsi="Times New Roman" w:cs="Times New Roman"/>
          <w:sz w:val="28"/>
          <w:szCs w:val="28"/>
        </w:rPr>
      </w:pPr>
    </w:p>
    <w:p w14:paraId="6E3BDBD1" w14:textId="457D4BA6" w:rsidR="001B685E" w:rsidRPr="00664979" w:rsidRDefault="001B685E" w:rsidP="00664979">
      <w:pPr>
        <w:pStyle w:val="ListParagraph"/>
        <w:numPr>
          <w:ilvl w:val="1"/>
          <w:numId w:val="1"/>
        </w:numPr>
        <w:spacing w:line="360" w:lineRule="auto"/>
        <w:ind w:left="1134" w:hanging="567"/>
        <w:jc w:val="both"/>
        <w:rPr>
          <w:rFonts w:ascii="Times New Roman" w:hAnsi="Times New Roman" w:cs="Times New Roman"/>
          <w:sz w:val="28"/>
          <w:szCs w:val="28"/>
        </w:rPr>
      </w:pPr>
      <w:r w:rsidRPr="00664979">
        <w:rPr>
          <w:rFonts w:ascii="Times New Roman" w:hAnsi="Times New Roman" w:cs="Times New Roman"/>
          <w:sz w:val="28"/>
          <w:szCs w:val="28"/>
        </w:rPr>
        <w:t>Institutions of higher education enjoys a degree of self-governance necessary for effective decision-making by institutions of higher education in relation to their academic work, standards, management and related activities.  Self-governance, however, must be consistent with systems of public accountability.</w:t>
      </w:r>
    </w:p>
    <w:p w14:paraId="57203739" w14:textId="77777777" w:rsidR="00676AAF" w:rsidRPr="00664979" w:rsidRDefault="00676AAF" w:rsidP="00664979">
      <w:pPr>
        <w:pStyle w:val="ListParagraph"/>
        <w:spacing w:line="360" w:lineRule="auto"/>
        <w:jc w:val="both"/>
        <w:rPr>
          <w:rFonts w:ascii="Times New Roman" w:hAnsi="Times New Roman" w:cs="Times New Roman"/>
          <w:sz w:val="28"/>
          <w:szCs w:val="28"/>
        </w:rPr>
      </w:pPr>
    </w:p>
    <w:p w14:paraId="22308B72" w14:textId="77777777" w:rsidR="00907B5C" w:rsidRPr="00664979" w:rsidRDefault="00907B5C" w:rsidP="00664979">
      <w:pPr>
        <w:pStyle w:val="ListParagraph"/>
        <w:numPr>
          <w:ilvl w:val="0"/>
          <w:numId w:val="1"/>
        </w:numPr>
        <w:spacing w:line="360" w:lineRule="auto"/>
        <w:ind w:left="567" w:hanging="567"/>
        <w:jc w:val="both"/>
        <w:rPr>
          <w:rFonts w:ascii="Times New Roman" w:hAnsi="Times New Roman" w:cs="Times New Roman"/>
          <w:sz w:val="28"/>
          <w:szCs w:val="28"/>
        </w:rPr>
      </w:pPr>
      <w:r w:rsidRPr="00664979">
        <w:rPr>
          <w:rFonts w:ascii="Times New Roman" w:hAnsi="Times New Roman" w:cs="Times New Roman"/>
          <w:sz w:val="28"/>
          <w:szCs w:val="28"/>
        </w:rPr>
        <w:t>Academic freedom is protected by the Basic Law of the HKSAR.  Article 137 provides that:</w:t>
      </w:r>
    </w:p>
    <w:p w14:paraId="3B62518E" w14:textId="77777777" w:rsidR="00907B5C" w:rsidRPr="00664979" w:rsidRDefault="00907B5C" w:rsidP="00664979">
      <w:pPr>
        <w:pStyle w:val="ListParagraph"/>
        <w:spacing w:line="360" w:lineRule="auto"/>
        <w:ind w:left="1440"/>
        <w:jc w:val="both"/>
        <w:rPr>
          <w:rFonts w:ascii="Times New Roman" w:hAnsi="Times New Roman" w:cs="Times New Roman"/>
          <w:sz w:val="28"/>
          <w:szCs w:val="28"/>
        </w:rPr>
      </w:pPr>
    </w:p>
    <w:p w14:paraId="45DF96D1" w14:textId="77777777" w:rsidR="00907B5C" w:rsidRPr="00664979" w:rsidRDefault="00907B5C" w:rsidP="00664979">
      <w:pPr>
        <w:pStyle w:val="NormalWeb"/>
        <w:spacing w:before="0" w:beforeAutospacing="0" w:after="0" w:afterAutospacing="0" w:line="360" w:lineRule="auto"/>
        <w:ind w:left="720"/>
        <w:jc w:val="both"/>
        <w:textAlignment w:val="baseline"/>
        <w:rPr>
          <w:rFonts w:eastAsiaTheme="minorEastAsia"/>
          <w:sz w:val="28"/>
          <w:szCs w:val="28"/>
          <w:lang w:val="en-GB"/>
        </w:rPr>
      </w:pPr>
      <w:r w:rsidRPr="00664979">
        <w:rPr>
          <w:rFonts w:eastAsiaTheme="minorEastAsia"/>
          <w:sz w:val="28"/>
          <w:szCs w:val="28"/>
          <w:lang w:val="en-GB"/>
        </w:rPr>
        <w:t>“Educational institutions of all kinds may retain their autonomy and enjoy academic freedom. They may continue to recruit staff and use teaching materials from outside the Hong Kong Special Administrative Region. Schools run by religious organizations may continue to provide religious education, including courses in religion.</w:t>
      </w:r>
    </w:p>
    <w:p w14:paraId="2DA9AEC9" w14:textId="77777777" w:rsidR="00907B5C" w:rsidRPr="00664979" w:rsidRDefault="00907B5C" w:rsidP="00664979">
      <w:pPr>
        <w:pStyle w:val="NormalWeb"/>
        <w:spacing w:before="240" w:beforeAutospacing="0" w:after="0" w:afterAutospacing="0" w:line="360" w:lineRule="auto"/>
        <w:ind w:left="720"/>
        <w:jc w:val="both"/>
        <w:textAlignment w:val="baseline"/>
        <w:rPr>
          <w:rFonts w:eastAsiaTheme="minorEastAsia"/>
          <w:sz w:val="28"/>
          <w:szCs w:val="28"/>
          <w:lang w:val="en-GB"/>
        </w:rPr>
      </w:pPr>
      <w:r w:rsidRPr="00664979">
        <w:rPr>
          <w:rFonts w:eastAsiaTheme="minorEastAsia"/>
          <w:sz w:val="28"/>
          <w:szCs w:val="28"/>
          <w:lang w:val="en-GB"/>
        </w:rPr>
        <w:t>Students shall enjoy freedom of choice of educational institutions and freedom to pursue their education outside the Hong Kong Special Administrative Region.”</w:t>
      </w:r>
    </w:p>
    <w:p w14:paraId="4C0A4270" w14:textId="77777777" w:rsidR="00907B5C" w:rsidRPr="00664979" w:rsidRDefault="00907B5C" w:rsidP="00664979">
      <w:pPr>
        <w:pStyle w:val="ListParagraph"/>
        <w:spacing w:line="360" w:lineRule="auto"/>
        <w:ind w:left="567"/>
        <w:jc w:val="both"/>
        <w:rPr>
          <w:rFonts w:ascii="Times New Roman" w:hAnsi="Times New Roman" w:cs="Times New Roman"/>
          <w:sz w:val="28"/>
          <w:szCs w:val="28"/>
        </w:rPr>
      </w:pPr>
    </w:p>
    <w:p w14:paraId="61BE216F" w14:textId="26D4BE10" w:rsidR="00907B5C" w:rsidRPr="00664979" w:rsidRDefault="003B135C" w:rsidP="00664979">
      <w:pPr>
        <w:pStyle w:val="ListParagraph"/>
        <w:numPr>
          <w:ilvl w:val="0"/>
          <w:numId w:val="1"/>
        </w:numPr>
        <w:spacing w:line="360" w:lineRule="auto"/>
        <w:ind w:left="567" w:hanging="567"/>
        <w:jc w:val="both"/>
        <w:rPr>
          <w:rFonts w:ascii="Times New Roman" w:hAnsi="Times New Roman" w:cs="Times New Roman"/>
          <w:sz w:val="28"/>
          <w:szCs w:val="28"/>
        </w:rPr>
      </w:pPr>
      <w:r w:rsidRPr="00664979">
        <w:rPr>
          <w:rFonts w:ascii="Times New Roman" w:hAnsi="Times New Roman" w:cs="Times New Roman"/>
          <w:sz w:val="28"/>
          <w:szCs w:val="28"/>
        </w:rPr>
        <w:t xml:space="preserve">The said understanding is deeply rooted as a matter of law.  </w:t>
      </w:r>
      <w:r w:rsidR="00907B5C" w:rsidRPr="00664979">
        <w:rPr>
          <w:rFonts w:ascii="Times New Roman" w:hAnsi="Times New Roman" w:cs="Times New Roman"/>
          <w:sz w:val="28"/>
          <w:szCs w:val="28"/>
        </w:rPr>
        <w:t xml:space="preserve">In </w:t>
      </w:r>
      <w:r w:rsidR="00907B5C" w:rsidRPr="00664979">
        <w:rPr>
          <w:rFonts w:ascii="Times New Roman" w:hAnsi="Times New Roman" w:cs="Times New Roman"/>
          <w:b/>
          <w:bCs/>
          <w:i/>
          <w:iCs/>
          <w:sz w:val="28"/>
          <w:szCs w:val="28"/>
        </w:rPr>
        <w:t xml:space="preserve">Secretary for Justice v. Commission of Inquiry on Allegations relating to the Hong Kong Institute of Education </w:t>
      </w:r>
      <w:r w:rsidR="00907B5C" w:rsidRPr="00664979">
        <w:rPr>
          <w:rFonts w:ascii="Times New Roman" w:hAnsi="Times New Roman" w:cs="Times New Roman"/>
          <w:sz w:val="28"/>
          <w:szCs w:val="28"/>
        </w:rPr>
        <w:t xml:space="preserve">[2009] 4 HKLRD 1, the court of the HKSAR </w:t>
      </w:r>
      <w:r w:rsidR="00907B5C" w:rsidRPr="00664979">
        <w:rPr>
          <w:rFonts w:ascii="Times New Roman" w:hAnsi="Times New Roman" w:cs="Times New Roman"/>
          <w:sz w:val="28"/>
          <w:szCs w:val="28"/>
        </w:rPr>
        <w:lastRenderedPageBreak/>
        <w:t xml:space="preserve">refers to Frankfurter J’s judgment t in </w:t>
      </w:r>
      <w:proofErr w:type="spellStart"/>
      <w:r w:rsidR="00907B5C" w:rsidRPr="00664979">
        <w:rPr>
          <w:rFonts w:ascii="Times New Roman" w:hAnsi="Times New Roman" w:cs="Times New Roman"/>
          <w:b/>
          <w:bCs/>
          <w:i/>
          <w:iCs/>
          <w:sz w:val="28"/>
          <w:szCs w:val="28"/>
        </w:rPr>
        <w:t>Sweezy</w:t>
      </w:r>
      <w:proofErr w:type="spellEnd"/>
      <w:r w:rsidR="00907B5C" w:rsidRPr="00664979">
        <w:rPr>
          <w:rFonts w:ascii="Times New Roman" w:hAnsi="Times New Roman" w:cs="Times New Roman"/>
          <w:b/>
          <w:bCs/>
          <w:i/>
          <w:iCs/>
          <w:sz w:val="28"/>
          <w:szCs w:val="28"/>
        </w:rPr>
        <w:t xml:space="preserve"> v. New Hampshire </w:t>
      </w:r>
      <w:r w:rsidR="00907B5C" w:rsidRPr="00664979">
        <w:rPr>
          <w:rFonts w:ascii="Times New Roman" w:hAnsi="Times New Roman" w:cs="Times New Roman"/>
          <w:sz w:val="28"/>
          <w:szCs w:val="28"/>
        </w:rPr>
        <w:t>354 US 234 (1957), in which the judge the following statement concerning “business of a university” being:</w:t>
      </w:r>
    </w:p>
    <w:p w14:paraId="6FC9C5FC" w14:textId="2ABD4132" w:rsidR="00907B5C" w:rsidRPr="00664979" w:rsidRDefault="00907B5C" w:rsidP="00664979">
      <w:pPr>
        <w:pStyle w:val="ListParagraph"/>
        <w:spacing w:line="360" w:lineRule="auto"/>
        <w:ind w:left="567"/>
        <w:jc w:val="both"/>
        <w:rPr>
          <w:rFonts w:ascii="Times New Roman" w:hAnsi="Times New Roman" w:cs="Times New Roman"/>
          <w:sz w:val="28"/>
          <w:szCs w:val="28"/>
        </w:rPr>
      </w:pPr>
    </w:p>
    <w:p w14:paraId="7BB2C099" w14:textId="5EA04949" w:rsidR="00907B5C" w:rsidRPr="00664979" w:rsidRDefault="00907B5C" w:rsidP="00664979">
      <w:pPr>
        <w:pStyle w:val="NormalWeb"/>
        <w:spacing w:before="0" w:beforeAutospacing="0" w:after="0" w:afterAutospacing="0" w:line="360" w:lineRule="auto"/>
        <w:ind w:left="709"/>
        <w:jc w:val="both"/>
        <w:textAlignment w:val="baseline"/>
        <w:rPr>
          <w:rFonts w:eastAsiaTheme="minorEastAsia"/>
          <w:sz w:val="28"/>
          <w:szCs w:val="28"/>
          <w:lang w:val="en-GB"/>
        </w:rPr>
      </w:pPr>
      <w:r w:rsidRPr="00664979">
        <w:rPr>
          <w:rFonts w:eastAsiaTheme="minorEastAsia"/>
          <w:sz w:val="28"/>
          <w:szCs w:val="28"/>
          <w:lang w:val="en-GB"/>
        </w:rPr>
        <w:t>“… to provide that atmosphere which is most conductive to speculation, experiment and creation.  It is an atmosphere in which there prevail ‘the four essential freedoms’ of a university- to determine for itself on academic grounds who may teach, what may be taught, how it shall be taught, and who may be admitted to study.”</w:t>
      </w:r>
    </w:p>
    <w:p w14:paraId="13939CDB" w14:textId="46286BC2" w:rsidR="00907B5C" w:rsidRPr="00664979" w:rsidRDefault="00907B5C" w:rsidP="00664979">
      <w:pPr>
        <w:pStyle w:val="ListParagraph"/>
        <w:spacing w:line="360" w:lineRule="auto"/>
        <w:ind w:left="567"/>
        <w:jc w:val="both"/>
        <w:rPr>
          <w:rFonts w:ascii="Times New Roman" w:hAnsi="Times New Roman" w:cs="Times New Roman"/>
          <w:sz w:val="28"/>
          <w:szCs w:val="28"/>
        </w:rPr>
      </w:pPr>
    </w:p>
    <w:p w14:paraId="17BABD15" w14:textId="3126C7AC" w:rsidR="00907B5C" w:rsidRPr="00664979" w:rsidRDefault="00907B5C" w:rsidP="00664979">
      <w:pPr>
        <w:pStyle w:val="ListParagraph"/>
        <w:spacing w:line="360" w:lineRule="auto"/>
        <w:ind w:left="709"/>
        <w:jc w:val="both"/>
        <w:rPr>
          <w:rFonts w:ascii="Times New Roman" w:hAnsi="Times New Roman" w:cs="Times New Roman"/>
          <w:sz w:val="28"/>
          <w:szCs w:val="28"/>
        </w:rPr>
      </w:pPr>
      <w:r w:rsidRPr="00664979">
        <w:rPr>
          <w:rFonts w:ascii="Times New Roman" w:hAnsi="Times New Roman" w:cs="Times New Roman"/>
          <w:sz w:val="28"/>
          <w:szCs w:val="28"/>
        </w:rPr>
        <w:t xml:space="preserve">“A university ceases to be true to its own nature if it becomes the tool of Church or State or any sectional interest.  A university is characterized by the spirit of free inquiry, its ideal being the ideal of Socrates – ‘to follow the argument where </w:t>
      </w:r>
      <w:proofErr w:type="gramStart"/>
      <w:r w:rsidRPr="00664979">
        <w:rPr>
          <w:rFonts w:ascii="Times New Roman" w:hAnsi="Times New Roman" w:cs="Times New Roman"/>
          <w:sz w:val="28"/>
          <w:szCs w:val="28"/>
        </w:rPr>
        <w:t>it</w:t>
      </w:r>
      <w:proofErr w:type="gramEnd"/>
      <w:r w:rsidRPr="00664979">
        <w:rPr>
          <w:rFonts w:ascii="Times New Roman" w:hAnsi="Times New Roman" w:cs="Times New Roman"/>
          <w:sz w:val="28"/>
          <w:szCs w:val="28"/>
        </w:rPr>
        <w:t xml:space="preserve"> leads’.  This implies the right to examine, question, modify or reject traditional ideas and beliefs.  Dogma and hypothesis are incompatible, and the concept of an immutable doctrine is repugnant to the spirit of a university.”</w:t>
      </w:r>
    </w:p>
    <w:p w14:paraId="397ADD54" w14:textId="20F526FF" w:rsidR="00907B5C" w:rsidRPr="00664979" w:rsidRDefault="00907B5C" w:rsidP="00664979">
      <w:pPr>
        <w:pStyle w:val="ListParagraph"/>
        <w:spacing w:line="360" w:lineRule="auto"/>
        <w:ind w:left="567"/>
        <w:jc w:val="both"/>
        <w:rPr>
          <w:rFonts w:ascii="Times New Roman" w:hAnsi="Times New Roman" w:cs="Times New Roman"/>
          <w:sz w:val="28"/>
          <w:szCs w:val="28"/>
        </w:rPr>
      </w:pPr>
    </w:p>
    <w:p w14:paraId="0053809F" w14:textId="04C0D24C" w:rsidR="003B135C" w:rsidRPr="00664979" w:rsidRDefault="003B135C" w:rsidP="00664979">
      <w:pPr>
        <w:pStyle w:val="ListParagraph"/>
        <w:spacing w:line="360" w:lineRule="auto"/>
        <w:ind w:left="1560" w:hanging="993"/>
        <w:jc w:val="both"/>
        <w:rPr>
          <w:rFonts w:ascii="Times New Roman" w:hAnsi="Times New Roman" w:cs="Times New Roman"/>
          <w:sz w:val="28"/>
          <w:szCs w:val="28"/>
        </w:rPr>
      </w:pPr>
      <w:r w:rsidRPr="00664979">
        <w:rPr>
          <w:rFonts w:ascii="Times New Roman" w:hAnsi="Times New Roman" w:cs="Times New Roman"/>
          <w:sz w:val="28"/>
          <w:szCs w:val="28"/>
        </w:rPr>
        <w:t>See also:</w:t>
      </w:r>
      <w:r w:rsidRPr="00664979">
        <w:rPr>
          <w:rFonts w:ascii="Times New Roman" w:hAnsi="Times New Roman" w:cs="Times New Roman"/>
          <w:sz w:val="28"/>
          <w:szCs w:val="28"/>
        </w:rPr>
        <w:tab/>
      </w:r>
      <w:r w:rsidRPr="00664979">
        <w:rPr>
          <w:rFonts w:ascii="Times New Roman" w:hAnsi="Times New Roman" w:cs="Times New Roman"/>
          <w:b/>
          <w:bCs/>
          <w:i/>
          <w:iCs/>
          <w:sz w:val="28"/>
          <w:szCs w:val="28"/>
        </w:rPr>
        <w:t xml:space="preserve">Lok Ming Yin v. Hong Kong Examinations and Assessment Authority </w:t>
      </w:r>
      <w:r w:rsidRPr="00664979">
        <w:rPr>
          <w:rFonts w:ascii="Times New Roman" w:hAnsi="Times New Roman" w:cs="Times New Roman"/>
          <w:sz w:val="28"/>
          <w:szCs w:val="28"/>
        </w:rPr>
        <w:t>[2020] 6 HKC 565</w:t>
      </w:r>
    </w:p>
    <w:p w14:paraId="32FAA72D" w14:textId="77777777" w:rsidR="003B135C" w:rsidRPr="00664979" w:rsidRDefault="003B135C" w:rsidP="00664979">
      <w:pPr>
        <w:pStyle w:val="ListParagraph"/>
        <w:spacing w:line="360" w:lineRule="auto"/>
        <w:ind w:left="567"/>
        <w:jc w:val="both"/>
        <w:rPr>
          <w:rFonts w:ascii="Times New Roman" w:hAnsi="Times New Roman" w:cs="Times New Roman"/>
          <w:sz w:val="28"/>
          <w:szCs w:val="28"/>
        </w:rPr>
      </w:pPr>
    </w:p>
    <w:p w14:paraId="7014F235" w14:textId="4A8C382A" w:rsidR="00907B5C" w:rsidRPr="00664979" w:rsidRDefault="00907B5C" w:rsidP="00664979">
      <w:pPr>
        <w:pStyle w:val="ListParagraph"/>
        <w:numPr>
          <w:ilvl w:val="0"/>
          <w:numId w:val="1"/>
        </w:numPr>
        <w:spacing w:line="360" w:lineRule="auto"/>
        <w:ind w:left="567" w:hanging="567"/>
        <w:jc w:val="both"/>
        <w:rPr>
          <w:rFonts w:ascii="Times New Roman" w:hAnsi="Times New Roman" w:cs="Times New Roman"/>
          <w:sz w:val="28"/>
          <w:szCs w:val="28"/>
        </w:rPr>
      </w:pPr>
      <w:r w:rsidRPr="00664979">
        <w:rPr>
          <w:rFonts w:ascii="Times New Roman" w:hAnsi="Times New Roman" w:cs="Times New Roman"/>
          <w:sz w:val="28"/>
          <w:szCs w:val="28"/>
        </w:rPr>
        <w:t xml:space="preserve">Thus, in the </w:t>
      </w:r>
      <w:r w:rsidRPr="00664979">
        <w:rPr>
          <w:rFonts w:ascii="Times New Roman" w:hAnsi="Times New Roman" w:cs="Times New Roman"/>
          <w:b/>
          <w:bCs/>
          <w:i/>
          <w:iCs/>
          <w:sz w:val="28"/>
          <w:szCs w:val="28"/>
        </w:rPr>
        <w:t>Commission of Inquiry</w:t>
      </w:r>
      <w:r w:rsidRPr="00664979">
        <w:rPr>
          <w:rFonts w:ascii="Times New Roman" w:hAnsi="Times New Roman" w:cs="Times New Roman"/>
          <w:i/>
          <w:iCs/>
          <w:sz w:val="28"/>
          <w:szCs w:val="28"/>
        </w:rPr>
        <w:t xml:space="preserve"> </w:t>
      </w:r>
      <w:r w:rsidRPr="00664979">
        <w:rPr>
          <w:rFonts w:ascii="Times New Roman" w:hAnsi="Times New Roman" w:cs="Times New Roman"/>
          <w:sz w:val="28"/>
          <w:szCs w:val="28"/>
        </w:rPr>
        <w:t>case, the court acknowledged that the academic freedom vested in an educational institution by the Basic Law encompa</w:t>
      </w:r>
      <w:r w:rsidR="0000243B" w:rsidRPr="00664979">
        <w:rPr>
          <w:rFonts w:ascii="Times New Roman" w:hAnsi="Times New Roman" w:cs="Times New Roman"/>
          <w:sz w:val="28"/>
          <w:szCs w:val="28"/>
        </w:rPr>
        <w:t>ss</w:t>
      </w:r>
      <w:r w:rsidRPr="00664979">
        <w:rPr>
          <w:rFonts w:ascii="Times New Roman" w:hAnsi="Times New Roman" w:cs="Times New Roman"/>
          <w:sz w:val="28"/>
          <w:szCs w:val="28"/>
        </w:rPr>
        <w:t>es the</w:t>
      </w:r>
      <w:r w:rsidR="0000243B" w:rsidRPr="00664979">
        <w:rPr>
          <w:rFonts w:ascii="Times New Roman" w:hAnsi="Times New Roman" w:cs="Times New Roman"/>
          <w:sz w:val="28"/>
          <w:szCs w:val="28"/>
        </w:rPr>
        <w:t xml:space="preserve"> educational institutions’ freedom to determine for themselves on academic grounds who may teach, what may be taught, how it shall be taught, and who may be admitted to study.  The said freedom </w:t>
      </w:r>
      <w:r w:rsidRPr="00664979">
        <w:rPr>
          <w:rFonts w:ascii="Times New Roman" w:hAnsi="Times New Roman" w:cs="Times New Roman"/>
          <w:sz w:val="28"/>
          <w:szCs w:val="28"/>
        </w:rPr>
        <w:t>extends not simply to the administration of th</w:t>
      </w:r>
      <w:r w:rsidR="0000243B" w:rsidRPr="00664979">
        <w:rPr>
          <w:rFonts w:ascii="Times New Roman" w:hAnsi="Times New Roman" w:cs="Times New Roman"/>
          <w:sz w:val="28"/>
          <w:szCs w:val="28"/>
        </w:rPr>
        <w:t>e</w:t>
      </w:r>
      <w:r w:rsidRPr="00664979">
        <w:rPr>
          <w:rFonts w:ascii="Times New Roman" w:hAnsi="Times New Roman" w:cs="Times New Roman"/>
          <w:sz w:val="28"/>
          <w:szCs w:val="28"/>
        </w:rPr>
        <w:t xml:space="preserve"> institution</w:t>
      </w:r>
      <w:r w:rsidR="0000243B" w:rsidRPr="00664979">
        <w:rPr>
          <w:rFonts w:ascii="Times New Roman" w:hAnsi="Times New Roman" w:cs="Times New Roman"/>
          <w:sz w:val="28"/>
          <w:szCs w:val="28"/>
        </w:rPr>
        <w:t>s</w:t>
      </w:r>
      <w:r w:rsidRPr="00664979">
        <w:rPr>
          <w:rFonts w:ascii="Times New Roman" w:hAnsi="Times New Roman" w:cs="Times New Roman"/>
          <w:sz w:val="28"/>
          <w:szCs w:val="28"/>
        </w:rPr>
        <w:t xml:space="preserve"> but to the faculty of academics too, giving it freedom to pursue the search for knowledge without fear of external sanction.</w:t>
      </w:r>
    </w:p>
    <w:p w14:paraId="1B32AF80" w14:textId="77777777" w:rsidR="0000243B" w:rsidRPr="00664979" w:rsidRDefault="0000243B" w:rsidP="00664979">
      <w:pPr>
        <w:pStyle w:val="ListParagraph"/>
        <w:spacing w:line="360" w:lineRule="auto"/>
        <w:ind w:left="567"/>
        <w:jc w:val="both"/>
        <w:rPr>
          <w:rFonts w:ascii="Times New Roman" w:hAnsi="Times New Roman" w:cs="Times New Roman"/>
          <w:sz w:val="28"/>
          <w:szCs w:val="28"/>
        </w:rPr>
      </w:pPr>
    </w:p>
    <w:p w14:paraId="3FCDE1E3" w14:textId="56039CCB" w:rsidR="0000243B" w:rsidRPr="00664979" w:rsidRDefault="0000243B" w:rsidP="00664979">
      <w:pPr>
        <w:pStyle w:val="ListParagraph"/>
        <w:numPr>
          <w:ilvl w:val="0"/>
          <w:numId w:val="1"/>
        </w:numPr>
        <w:spacing w:line="360" w:lineRule="auto"/>
        <w:ind w:left="567" w:hanging="567"/>
        <w:jc w:val="both"/>
        <w:rPr>
          <w:rFonts w:ascii="Times New Roman" w:hAnsi="Times New Roman" w:cs="Times New Roman"/>
          <w:sz w:val="28"/>
          <w:szCs w:val="28"/>
        </w:rPr>
      </w:pPr>
      <w:r w:rsidRPr="00664979">
        <w:rPr>
          <w:rFonts w:ascii="Times New Roman" w:hAnsi="Times New Roman" w:cs="Times New Roman"/>
          <w:sz w:val="28"/>
          <w:szCs w:val="28"/>
        </w:rPr>
        <w:t xml:space="preserve">However, in line with other common law jurisdictions, academic freedom does not afford an individual academic standing in a position than any other ordinary citizens.  In the </w:t>
      </w:r>
      <w:r w:rsidRPr="00664979">
        <w:rPr>
          <w:rFonts w:ascii="Times New Roman" w:hAnsi="Times New Roman" w:cs="Times New Roman"/>
          <w:b/>
          <w:bCs/>
          <w:i/>
          <w:iCs/>
          <w:sz w:val="28"/>
          <w:szCs w:val="28"/>
        </w:rPr>
        <w:t xml:space="preserve">Commission of Inquiry </w:t>
      </w:r>
      <w:r w:rsidRPr="00664979">
        <w:rPr>
          <w:rFonts w:ascii="Times New Roman" w:hAnsi="Times New Roman" w:cs="Times New Roman"/>
          <w:sz w:val="28"/>
          <w:szCs w:val="28"/>
        </w:rPr>
        <w:t>case, the court held that:</w:t>
      </w:r>
    </w:p>
    <w:p w14:paraId="7BC7A86C" w14:textId="77777777" w:rsidR="0000243B" w:rsidRPr="00664979" w:rsidRDefault="0000243B" w:rsidP="00664979">
      <w:pPr>
        <w:pStyle w:val="ListParagraph"/>
        <w:spacing w:line="360" w:lineRule="auto"/>
        <w:rPr>
          <w:rFonts w:ascii="Times New Roman" w:hAnsi="Times New Roman" w:cs="Times New Roman"/>
          <w:sz w:val="28"/>
          <w:szCs w:val="28"/>
        </w:rPr>
      </w:pPr>
    </w:p>
    <w:p w14:paraId="63A2E8BE" w14:textId="28E365F0" w:rsidR="0000243B" w:rsidRPr="00664979" w:rsidRDefault="0000243B" w:rsidP="00664979">
      <w:pPr>
        <w:pStyle w:val="ListParagraph"/>
        <w:spacing w:line="360" w:lineRule="auto"/>
        <w:ind w:left="709"/>
        <w:jc w:val="both"/>
        <w:rPr>
          <w:rFonts w:ascii="Times New Roman" w:hAnsi="Times New Roman" w:cs="Times New Roman"/>
          <w:sz w:val="28"/>
          <w:szCs w:val="28"/>
        </w:rPr>
      </w:pPr>
      <w:r w:rsidRPr="00664979">
        <w:rPr>
          <w:rFonts w:ascii="Times New Roman" w:hAnsi="Times New Roman" w:cs="Times New Roman"/>
          <w:sz w:val="28"/>
          <w:szCs w:val="28"/>
        </w:rPr>
        <w:t>“… if an academic chooses to publish the result of his research, he is, as an individual, in no better position than any other Hong Kong resident who chooses to disseminate his opinions in the public domain. …”</w:t>
      </w:r>
    </w:p>
    <w:p w14:paraId="124C02B7" w14:textId="77777777" w:rsidR="0000243B" w:rsidRPr="00664979" w:rsidRDefault="0000243B" w:rsidP="00664979">
      <w:pPr>
        <w:pStyle w:val="ListParagraph"/>
        <w:spacing w:line="360" w:lineRule="auto"/>
        <w:rPr>
          <w:rFonts w:ascii="Times New Roman" w:hAnsi="Times New Roman" w:cs="Times New Roman"/>
          <w:sz w:val="28"/>
          <w:szCs w:val="28"/>
        </w:rPr>
      </w:pPr>
    </w:p>
    <w:p w14:paraId="21CB60C4" w14:textId="63924FA6" w:rsidR="0000243B" w:rsidRPr="00664979" w:rsidRDefault="0000243B" w:rsidP="00664979">
      <w:pPr>
        <w:pStyle w:val="ListParagraph"/>
        <w:numPr>
          <w:ilvl w:val="0"/>
          <w:numId w:val="1"/>
        </w:numPr>
        <w:spacing w:line="360" w:lineRule="auto"/>
        <w:ind w:left="567" w:hanging="567"/>
        <w:jc w:val="both"/>
        <w:rPr>
          <w:rFonts w:ascii="Times New Roman" w:hAnsi="Times New Roman" w:cs="Times New Roman"/>
          <w:sz w:val="28"/>
          <w:szCs w:val="28"/>
        </w:rPr>
      </w:pPr>
      <w:r w:rsidRPr="00664979">
        <w:rPr>
          <w:rFonts w:ascii="Times New Roman" w:hAnsi="Times New Roman" w:cs="Times New Roman"/>
          <w:sz w:val="28"/>
          <w:szCs w:val="28"/>
        </w:rPr>
        <w:t xml:space="preserve">In support of the foregoing proposition, the court referred to </w:t>
      </w:r>
      <w:r w:rsidRPr="00664979">
        <w:rPr>
          <w:rFonts w:ascii="Times New Roman" w:hAnsi="Times New Roman" w:cs="Times New Roman"/>
          <w:b/>
          <w:bCs/>
          <w:i/>
          <w:iCs/>
          <w:sz w:val="28"/>
          <w:szCs w:val="28"/>
        </w:rPr>
        <w:t xml:space="preserve">Riggs v. University of Waikato </w:t>
      </w:r>
      <w:r w:rsidRPr="00664979">
        <w:rPr>
          <w:rFonts w:ascii="Times New Roman" w:hAnsi="Times New Roman" w:cs="Times New Roman"/>
          <w:sz w:val="28"/>
          <w:szCs w:val="28"/>
        </w:rPr>
        <w:t xml:space="preserve">[1984] 1 </w:t>
      </w:r>
      <w:r w:rsidR="00874277" w:rsidRPr="00664979">
        <w:rPr>
          <w:rFonts w:ascii="Times New Roman" w:hAnsi="Times New Roman" w:cs="Times New Roman"/>
          <w:sz w:val="28"/>
          <w:szCs w:val="28"/>
        </w:rPr>
        <w:t>NZL</w:t>
      </w:r>
      <w:r w:rsidRPr="00664979">
        <w:rPr>
          <w:rFonts w:ascii="Times New Roman" w:hAnsi="Times New Roman" w:cs="Times New Roman"/>
          <w:sz w:val="28"/>
          <w:szCs w:val="28"/>
        </w:rPr>
        <w:t>R 148, in which it was held:</w:t>
      </w:r>
    </w:p>
    <w:p w14:paraId="170C7363" w14:textId="53B367D1" w:rsidR="0000243B" w:rsidRPr="00664979" w:rsidRDefault="0000243B" w:rsidP="00664979">
      <w:pPr>
        <w:pStyle w:val="ListParagraph"/>
        <w:spacing w:line="360" w:lineRule="auto"/>
        <w:ind w:left="567"/>
        <w:jc w:val="both"/>
        <w:rPr>
          <w:rFonts w:ascii="Times New Roman" w:hAnsi="Times New Roman" w:cs="Times New Roman"/>
          <w:sz w:val="28"/>
          <w:szCs w:val="28"/>
        </w:rPr>
      </w:pPr>
    </w:p>
    <w:p w14:paraId="24A2A860" w14:textId="423948FD" w:rsidR="0000243B" w:rsidRPr="00664979" w:rsidRDefault="0000243B" w:rsidP="00664979">
      <w:pPr>
        <w:pStyle w:val="ListParagraph"/>
        <w:spacing w:line="360" w:lineRule="auto"/>
        <w:ind w:left="709"/>
        <w:jc w:val="both"/>
        <w:rPr>
          <w:rFonts w:ascii="Times New Roman" w:hAnsi="Times New Roman" w:cs="Times New Roman"/>
          <w:sz w:val="28"/>
          <w:szCs w:val="28"/>
        </w:rPr>
      </w:pPr>
      <w:r w:rsidRPr="00664979">
        <w:rPr>
          <w:rFonts w:ascii="Times New Roman" w:hAnsi="Times New Roman" w:cs="Times New Roman"/>
          <w:sz w:val="28"/>
          <w:szCs w:val="28"/>
        </w:rPr>
        <w:t>“… we are unable to accept the notion, as propounded to us by Mr Rigg, that there is some kind of freedom of expression, relevant to the present case, which cannot be correctly defined as academic freedom of expression in the strict sense yet is enjoyed by academics when speaking in their capacity ‘as members of the university community’ or ‘citizens of the university’ and is greater than any freedom of enjoyment enjoyed by ordinary citizens in ordinary life.”</w:t>
      </w:r>
    </w:p>
    <w:p w14:paraId="2DAAD512" w14:textId="77777777" w:rsidR="0000243B" w:rsidRPr="00664979" w:rsidRDefault="0000243B" w:rsidP="00664979">
      <w:pPr>
        <w:pStyle w:val="ListParagraph"/>
        <w:spacing w:line="360" w:lineRule="auto"/>
        <w:ind w:left="567"/>
        <w:jc w:val="both"/>
        <w:rPr>
          <w:rFonts w:ascii="Times New Roman" w:hAnsi="Times New Roman" w:cs="Times New Roman"/>
          <w:sz w:val="28"/>
          <w:szCs w:val="28"/>
        </w:rPr>
      </w:pPr>
    </w:p>
    <w:p w14:paraId="50BADA22" w14:textId="5F30B27A" w:rsidR="0000243B" w:rsidRPr="00664979" w:rsidRDefault="0000243B" w:rsidP="00664979">
      <w:pPr>
        <w:pStyle w:val="ListParagraph"/>
        <w:numPr>
          <w:ilvl w:val="0"/>
          <w:numId w:val="1"/>
        </w:numPr>
        <w:spacing w:line="360" w:lineRule="auto"/>
        <w:ind w:left="567" w:hanging="567"/>
        <w:jc w:val="both"/>
        <w:rPr>
          <w:rFonts w:ascii="Times New Roman" w:hAnsi="Times New Roman" w:cs="Times New Roman"/>
          <w:sz w:val="28"/>
          <w:szCs w:val="28"/>
        </w:rPr>
      </w:pPr>
      <w:r w:rsidRPr="00664979">
        <w:rPr>
          <w:rFonts w:ascii="Times New Roman" w:hAnsi="Times New Roman" w:cs="Times New Roman"/>
          <w:sz w:val="28"/>
          <w:szCs w:val="28"/>
        </w:rPr>
        <w:t>Rather, an individual academic’s right to publish his/her research is protected by the freedom of expression, which is also protected by the Basic Law.  Yet, the freedom is not absolute and subject to restrictions as provided by law in necessary for (1) respect of the rights and reputations of others; or (2) the protection of national security or of public order (order public), or of public health or morals.</w:t>
      </w:r>
    </w:p>
    <w:p w14:paraId="6A3BC8B6" w14:textId="77777777" w:rsidR="0000243B" w:rsidRPr="00664979" w:rsidRDefault="0000243B" w:rsidP="00664979">
      <w:pPr>
        <w:pStyle w:val="ListParagraph"/>
        <w:spacing w:line="360" w:lineRule="auto"/>
        <w:ind w:left="567"/>
        <w:jc w:val="both"/>
        <w:rPr>
          <w:rFonts w:ascii="Times New Roman" w:hAnsi="Times New Roman" w:cs="Times New Roman"/>
          <w:sz w:val="28"/>
          <w:szCs w:val="28"/>
        </w:rPr>
      </w:pPr>
    </w:p>
    <w:p w14:paraId="2E8357E2" w14:textId="3AD6E7A2" w:rsidR="00490009" w:rsidRPr="00664979" w:rsidRDefault="009D4641" w:rsidP="00664979">
      <w:pPr>
        <w:pStyle w:val="ListParagraph"/>
        <w:numPr>
          <w:ilvl w:val="0"/>
          <w:numId w:val="1"/>
        </w:numPr>
        <w:spacing w:line="360" w:lineRule="auto"/>
        <w:ind w:left="567" w:hanging="567"/>
        <w:jc w:val="both"/>
        <w:rPr>
          <w:rFonts w:ascii="Times New Roman" w:hAnsi="Times New Roman" w:cs="Times New Roman"/>
          <w:sz w:val="28"/>
          <w:szCs w:val="28"/>
          <w:lang w:eastAsia="zh-TW"/>
        </w:rPr>
      </w:pPr>
      <w:r w:rsidRPr="00664979">
        <w:rPr>
          <w:rFonts w:ascii="Times New Roman" w:hAnsi="Times New Roman" w:cs="Times New Roman"/>
          <w:sz w:val="28"/>
          <w:szCs w:val="28"/>
        </w:rPr>
        <w:t xml:space="preserve">HKNSL </w:t>
      </w:r>
      <w:r w:rsidR="00EA70C7" w:rsidRPr="00664979">
        <w:rPr>
          <w:rFonts w:ascii="Times New Roman" w:hAnsi="Times New Roman" w:cs="Times New Roman"/>
          <w:sz w:val="28"/>
          <w:szCs w:val="28"/>
        </w:rPr>
        <w:t xml:space="preserve">does not seek to undermine the academic freedom protected under the Basic Law.  Quite to the contrary, an </w:t>
      </w:r>
      <w:r w:rsidR="000E2B59">
        <w:rPr>
          <w:rFonts w:ascii="Times New Roman" w:hAnsi="Times New Roman" w:cs="Times New Roman"/>
          <w:sz w:val="28"/>
          <w:szCs w:val="28"/>
        </w:rPr>
        <w:t>essential</w:t>
      </w:r>
      <w:r w:rsidR="00EA70C7" w:rsidRPr="00664979">
        <w:rPr>
          <w:rFonts w:ascii="Times New Roman" w:hAnsi="Times New Roman" w:cs="Times New Roman"/>
          <w:sz w:val="28"/>
          <w:szCs w:val="28"/>
        </w:rPr>
        <w:t xml:space="preserve"> underlying </w:t>
      </w:r>
      <w:r w:rsidR="000E2B59">
        <w:rPr>
          <w:rFonts w:ascii="Times New Roman" w:hAnsi="Times New Roman" w:cs="Times New Roman"/>
          <w:sz w:val="28"/>
          <w:szCs w:val="28"/>
        </w:rPr>
        <w:t xml:space="preserve">concept </w:t>
      </w:r>
      <w:proofErr w:type="spellStart"/>
      <w:r w:rsidR="000E2B59">
        <w:rPr>
          <w:rFonts w:ascii="Times New Roman" w:hAnsi="Times New Roman" w:cs="Times New Roman"/>
          <w:sz w:val="28"/>
          <w:szCs w:val="28"/>
        </w:rPr>
        <w:lastRenderedPageBreak/>
        <w:t>underpinng</w:t>
      </w:r>
      <w:proofErr w:type="spellEnd"/>
      <w:r w:rsidR="000E2B59">
        <w:rPr>
          <w:rFonts w:ascii="Times New Roman" w:hAnsi="Times New Roman" w:cs="Times New Roman"/>
          <w:sz w:val="28"/>
          <w:szCs w:val="28"/>
        </w:rPr>
        <w:t xml:space="preserve"> </w:t>
      </w:r>
      <w:r w:rsidR="00EA70C7" w:rsidRPr="00664979">
        <w:rPr>
          <w:rFonts w:ascii="Times New Roman" w:hAnsi="Times New Roman" w:cs="Times New Roman"/>
          <w:sz w:val="28"/>
          <w:szCs w:val="28"/>
        </w:rPr>
        <w:t>the entire piece of HKNSL is that human rights shall be respected and protected, and rights and freedoms, including academic freedom protected under the Basic Law and ICCPR (as applied to the HKSAR) shall be protected: Article 4.  The said Article is one of the “General Principles” of the HKNSL and represents a guiding principle when other provisions of the HKNSL are enforced.</w:t>
      </w:r>
    </w:p>
    <w:p w14:paraId="7FCF3424" w14:textId="77777777" w:rsidR="00490009" w:rsidRPr="00664979" w:rsidRDefault="00490009" w:rsidP="00664979">
      <w:pPr>
        <w:pStyle w:val="ListParagraph"/>
        <w:spacing w:line="360" w:lineRule="auto"/>
        <w:rPr>
          <w:rFonts w:ascii="Times New Roman" w:hAnsi="Times New Roman" w:cs="Times New Roman"/>
          <w:sz w:val="28"/>
          <w:szCs w:val="28"/>
        </w:rPr>
      </w:pPr>
    </w:p>
    <w:p w14:paraId="1D684D63" w14:textId="77777777" w:rsidR="00490009" w:rsidRPr="00664979" w:rsidRDefault="00490009" w:rsidP="00664979">
      <w:pPr>
        <w:pStyle w:val="ListParagraph"/>
        <w:numPr>
          <w:ilvl w:val="0"/>
          <w:numId w:val="1"/>
        </w:numPr>
        <w:spacing w:line="360" w:lineRule="auto"/>
        <w:ind w:left="567" w:hanging="567"/>
        <w:jc w:val="both"/>
        <w:rPr>
          <w:rFonts w:ascii="Times New Roman" w:hAnsi="Times New Roman" w:cs="Times New Roman"/>
          <w:sz w:val="28"/>
          <w:szCs w:val="28"/>
          <w:lang w:eastAsia="zh-TW"/>
        </w:rPr>
      </w:pPr>
      <w:r w:rsidRPr="00664979">
        <w:rPr>
          <w:rFonts w:ascii="Times New Roman" w:hAnsi="Times New Roman" w:cs="Times New Roman"/>
          <w:sz w:val="28"/>
          <w:szCs w:val="28"/>
        </w:rPr>
        <w:t xml:space="preserve">The foregoing is expounded by the judgment of the Hong Kong Court of Final Appeal in </w:t>
      </w:r>
      <w:r w:rsidRPr="00664979">
        <w:rPr>
          <w:rFonts w:ascii="Times New Roman" w:hAnsi="Times New Roman" w:cs="Times New Roman"/>
          <w:b/>
          <w:bCs/>
          <w:i/>
          <w:iCs/>
          <w:sz w:val="28"/>
          <w:szCs w:val="28"/>
        </w:rPr>
        <w:t xml:space="preserve">HKSAR v. Lai Chee Ying </w:t>
      </w:r>
      <w:r w:rsidRPr="00664979">
        <w:rPr>
          <w:rFonts w:ascii="Times New Roman" w:hAnsi="Times New Roman" w:cs="Times New Roman"/>
          <w:sz w:val="28"/>
          <w:szCs w:val="28"/>
        </w:rPr>
        <w:t>[2021] HKCFA 3.  The Court emphasized the following:</w:t>
      </w:r>
    </w:p>
    <w:p w14:paraId="456DA13C" w14:textId="77777777" w:rsidR="00490009" w:rsidRPr="00664979" w:rsidRDefault="00490009" w:rsidP="00664979">
      <w:pPr>
        <w:pStyle w:val="ListParagraph"/>
        <w:spacing w:line="360" w:lineRule="auto"/>
        <w:rPr>
          <w:rFonts w:ascii="Times New Roman" w:hAnsi="Times New Roman" w:cs="Times New Roman"/>
          <w:sz w:val="28"/>
          <w:szCs w:val="28"/>
        </w:rPr>
      </w:pPr>
    </w:p>
    <w:p w14:paraId="371FDCCF" w14:textId="1C7AFE43" w:rsidR="00490009" w:rsidRPr="00664979" w:rsidRDefault="00490009" w:rsidP="00664979">
      <w:pPr>
        <w:pStyle w:val="ListParagraph"/>
        <w:spacing w:line="360" w:lineRule="auto"/>
        <w:ind w:left="851"/>
        <w:jc w:val="both"/>
        <w:rPr>
          <w:rFonts w:ascii="Times New Roman" w:hAnsi="Times New Roman" w:cs="Times New Roman"/>
          <w:sz w:val="28"/>
          <w:szCs w:val="28"/>
          <w:lang w:eastAsia="zh-TW"/>
        </w:rPr>
      </w:pPr>
      <w:r w:rsidRPr="00664979">
        <w:rPr>
          <w:rFonts w:ascii="Times New Roman" w:hAnsi="Times New Roman" w:cs="Times New Roman"/>
          <w:sz w:val="28"/>
          <w:szCs w:val="28"/>
        </w:rPr>
        <w:t xml:space="preserve">“… that is not to say that human rights and freedoms and rule of law values are inapplicable.  On the contrary, NSL 4 and NSL 5 expressly stipulate that those rights, freedoms and values are to be protected and adhered to in applying the NSL.  They provide the context in which NSL 42(2) must be construed and applied.  As far as possible, NSL 42(2) is to be given a meaning and effect compatible with those rights, freedoms and values …” </w:t>
      </w:r>
      <w:r w:rsidR="00EA70C7" w:rsidRPr="00664979">
        <w:rPr>
          <w:rFonts w:ascii="Times New Roman" w:hAnsi="Times New Roman" w:cs="Times New Roman"/>
          <w:sz w:val="28"/>
          <w:szCs w:val="28"/>
        </w:rPr>
        <w:t xml:space="preserve">  </w:t>
      </w:r>
    </w:p>
    <w:p w14:paraId="43D9DEB8" w14:textId="77777777" w:rsidR="00490009" w:rsidRPr="00664979" w:rsidRDefault="00490009" w:rsidP="00664979">
      <w:pPr>
        <w:pStyle w:val="ListParagraph"/>
        <w:spacing w:line="360" w:lineRule="auto"/>
        <w:rPr>
          <w:rFonts w:ascii="Times New Roman" w:hAnsi="Times New Roman" w:cs="Times New Roman"/>
          <w:sz w:val="28"/>
          <w:szCs w:val="28"/>
          <w:lang w:eastAsia="zh-TW"/>
        </w:rPr>
      </w:pPr>
    </w:p>
    <w:p w14:paraId="3F4983C9" w14:textId="5DC2653F" w:rsidR="00490009" w:rsidRPr="00664979" w:rsidRDefault="00490009" w:rsidP="00664979">
      <w:pPr>
        <w:pStyle w:val="ListParagraph"/>
        <w:numPr>
          <w:ilvl w:val="0"/>
          <w:numId w:val="1"/>
        </w:numPr>
        <w:spacing w:line="360" w:lineRule="auto"/>
        <w:ind w:left="567" w:hanging="567"/>
        <w:jc w:val="both"/>
        <w:rPr>
          <w:rFonts w:ascii="Times New Roman" w:hAnsi="Times New Roman" w:cs="Times New Roman"/>
          <w:sz w:val="28"/>
          <w:szCs w:val="28"/>
          <w:lang w:eastAsia="zh-TW"/>
        </w:rPr>
      </w:pPr>
      <w:r w:rsidRPr="00664979">
        <w:rPr>
          <w:rFonts w:ascii="Times New Roman" w:hAnsi="Times New Roman" w:cs="Times New Roman"/>
          <w:sz w:val="28"/>
          <w:szCs w:val="28"/>
          <w:lang w:eastAsia="zh-TW"/>
        </w:rPr>
        <w:t xml:space="preserve">Coming back to the question of academic freedom, the entire piece of HKNSL, including Articles 9, 10, 16 and 18 </w:t>
      </w:r>
      <w:r w:rsidR="00070E85">
        <w:rPr>
          <w:rFonts w:ascii="Times New Roman" w:hAnsi="Times New Roman" w:cs="Times New Roman"/>
          <w:sz w:val="28"/>
          <w:szCs w:val="28"/>
          <w:lang w:eastAsia="zh-TW"/>
        </w:rPr>
        <w:t>seeks</w:t>
      </w:r>
      <w:r w:rsidRPr="00664979">
        <w:rPr>
          <w:rFonts w:ascii="Times New Roman" w:hAnsi="Times New Roman" w:cs="Times New Roman"/>
          <w:sz w:val="28"/>
          <w:szCs w:val="28"/>
          <w:lang w:eastAsia="zh-TW"/>
        </w:rPr>
        <w:t xml:space="preserve"> to unde</w:t>
      </w:r>
      <w:r w:rsidR="000E2B59">
        <w:rPr>
          <w:rFonts w:ascii="Times New Roman" w:hAnsi="Times New Roman" w:cs="Times New Roman"/>
          <w:sz w:val="28"/>
          <w:szCs w:val="28"/>
          <w:lang w:eastAsia="zh-TW"/>
        </w:rPr>
        <w:t>rpin</w:t>
      </w:r>
      <w:r w:rsidRPr="00664979">
        <w:rPr>
          <w:rFonts w:ascii="Times New Roman" w:hAnsi="Times New Roman" w:cs="Times New Roman"/>
          <w:sz w:val="28"/>
          <w:szCs w:val="28"/>
          <w:lang w:eastAsia="zh-TW"/>
        </w:rPr>
        <w:t xml:space="preserve"> the autonomy of higher education institutions.  Those institutions</w:t>
      </w:r>
      <w:r w:rsidR="009D4641" w:rsidRPr="00664979">
        <w:rPr>
          <w:rFonts w:ascii="Times New Roman" w:hAnsi="Times New Roman" w:cs="Times New Roman"/>
          <w:sz w:val="28"/>
          <w:szCs w:val="28"/>
          <w:lang w:eastAsia="zh-TW"/>
        </w:rPr>
        <w:t xml:space="preserve"> retain the </w:t>
      </w:r>
      <w:r w:rsidRPr="00664979">
        <w:rPr>
          <w:rFonts w:ascii="Times New Roman" w:hAnsi="Times New Roman" w:cs="Times New Roman"/>
          <w:sz w:val="28"/>
          <w:szCs w:val="28"/>
          <w:lang w:eastAsia="zh-TW"/>
        </w:rPr>
        <w:t xml:space="preserve">same </w:t>
      </w:r>
      <w:r w:rsidR="009D4641" w:rsidRPr="00664979">
        <w:rPr>
          <w:rFonts w:ascii="Times New Roman" w:hAnsi="Times New Roman" w:cs="Times New Roman"/>
          <w:sz w:val="28"/>
          <w:szCs w:val="28"/>
          <w:lang w:eastAsia="zh-TW"/>
        </w:rPr>
        <w:t>degree of self-governance an</w:t>
      </w:r>
      <w:r w:rsidRPr="00664979">
        <w:rPr>
          <w:rFonts w:ascii="Times New Roman" w:hAnsi="Times New Roman" w:cs="Times New Roman"/>
          <w:sz w:val="28"/>
          <w:szCs w:val="28"/>
          <w:lang w:eastAsia="zh-TW"/>
        </w:rPr>
        <w:t>d autonomy as they all along have been enjoying before the HKNSL</w:t>
      </w:r>
      <w:r w:rsidR="009D4641" w:rsidRPr="00664979">
        <w:rPr>
          <w:rFonts w:ascii="Times New Roman" w:hAnsi="Times New Roman" w:cs="Times New Roman"/>
          <w:sz w:val="28"/>
          <w:szCs w:val="28"/>
          <w:lang w:eastAsia="zh-TW"/>
        </w:rPr>
        <w:t>.</w:t>
      </w:r>
    </w:p>
    <w:p w14:paraId="0AA4A3A7" w14:textId="77777777" w:rsidR="00490009" w:rsidRPr="00664979" w:rsidRDefault="00490009" w:rsidP="00664979">
      <w:pPr>
        <w:pStyle w:val="ListParagraph"/>
        <w:spacing w:line="360" w:lineRule="auto"/>
        <w:ind w:left="567"/>
        <w:jc w:val="both"/>
        <w:rPr>
          <w:rFonts w:ascii="Times New Roman" w:hAnsi="Times New Roman" w:cs="Times New Roman"/>
          <w:sz w:val="28"/>
          <w:szCs w:val="28"/>
          <w:lang w:eastAsia="zh-TW"/>
        </w:rPr>
      </w:pPr>
    </w:p>
    <w:p w14:paraId="10936385" w14:textId="6DF3CE11" w:rsidR="00266F3A" w:rsidRPr="00664979" w:rsidRDefault="00490009" w:rsidP="00664979">
      <w:pPr>
        <w:pStyle w:val="ListParagraph"/>
        <w:numPr>
          <w:ilvl w:val="0"/>
          <w:numId w:val="1"/>
        </w:numPr>
        <w:spacing w:line="360" w:lineRule="auto"/>
        <w:ind w:left="567" w:hanging="567"/>
        <w:jc w:val="both"/>
        <w:rPr>
          <w:rFonts w:ascii="Times New Roman" w:hAnsi="Times New Roman" w:cs="Times New Roman"/>
          <w:sz w:val="28"/>
          <w:szCs w:val="28"/>
          <w:lang w:eastAsia="zh-TW"/>
        </w:rPr>
      </w:pPr>
      <w:r w:rsidRPr="00664979">
        <w:rPr>
          <w:rFonts w:ascii="Times New Roman" w:hAnsi="Times New Roman" w:cs="Times New Roman"/>
          <w:sz w:val="28"/>
          <w:szCs w:val="28"/>
          <w:lang w:eastAsia="zh-TW"/>
        </w:rPr>
        <w:t xml:space="preserve">If evidence of assurance is required, one may refer to the University Accountability Agreements (2022/23 – 2024/25 Triennium) concluded between the University Grant Committee </w:t>
      </w:r>
      <w:r w:rsidR="00266F3A" w:rsidRPr="00664979">
        <w:rPr>
          <w:rFonts w:ascii="Times New Roman" w:hAnsi="Times New Roman" w:cs="Times New Roman"/>
          <w:sz w:val="28"/>
          <w:szCs w:val="28"/>
          <w:lang w:eastAsia="zh-TW"/>
        </w:rPr>
        <w:t>(“</w:t>
      </w:r>
      <w:r w:rsidR="00266F3A" w:rsidRPr="00664979">
        <w:rPr>
          <w:rFonts w:ascii="Times New Roman" w:hAnsi="Times New Roman" w:cs="Times New Roman"/>
          <w:b/>
          <w:bCs/>
          <w:sz w:val="28"/>
          <w:szCs w:val="28"/>
          <w:lang w:eastAsia="zh-TW"/>
        </w:rPr>
        <w:t>UGC</w:t>
      </w:r>
      <w:r w:rsidR="00266F3A" w:rsidRPr="00664979">
        <w:rPr>
          <w:rFonts w:ascii="Times New Roman" w:hAnsi="Times New Roman" w:cs="Times New Roman"/>
          <w:sz w:val="28"/>
          <w:szCs w:val="28"/>
          <w:lang w:eastAsia="zh-TW"/>
        </w:rPr>
        <w:t xml:space="preserve">”) </w:t>
      </w:r>
      <w:r w:rsidRPr="00664979">
        <w:rPr>
          <w:rFonts w:ascii="Times New Roman" w:hAnsi="Times New Roman" w:cs="Times New Roman"/>
          <w:sz w:val="28"/>
          <w:szCs w:val="28"/>
          <w:lang w:eastAsia="zh-TW"/>
        </w:rPr>
        <w:t xml:space="preserve">on one hand and the </w:t>
      </w:r>
      <w:r w:rsidRPr="00664979">
        <w:rPr>
          <w:rFonts w:ascii="Times New Roman" w:hAnsi="Times New Roman" w:cs="Times New Roman"/>
          <w:sz w:val="28"/>
          <w:szCs w:val="28"/>
          <w:lang w:eastAsia="zh-TW"/>
        </w:rPr>
        <w:lastRenderedPageBreak/>
        <w:t xml:space="preserve">publicly funded universities on the other.  In those Agreements, it was expressly provided </w:t>
      </w:r>
      <w:r w:rsidR="00266F3A" w:rsidRPr="00664979">
        <w:rPr>
          <w:rFonts w:ascii="Times New Roman" w:hAnsi="Times New Roman" w:cs="Times New Roman"/>
          <w:sz w:val="28"/>
          <w:szCs w:val="28"/>
          <w:lang w:eastAsia="zh-TW"/>
        </w:rPr>
        <w:t>that:</w:t>
      </w:r>
    </w:p>
    <w:p w14:paraId="015DAF93" w14:textId="77777777" w:rsidR="00266F3A" w:rsidRPr="00664979" w:rsidRDefault="00266F3A" w:rsidP="00664979">
      <w:pPr>
        <w:pStyle w:val="ListParagraph"/>
        <w:spacing w:line="360" w:lineRule="auto"/>
        <w:rPr>
          <w:rFonts w:ascii="Times New Roman" w:hAnsi="Times New Roman" w:cs="Times New Roman"/>
          <w:sz w:val="28"/>
          <w:szCs w:val="28"/>
          <w:lang w:eastAsia="zh-TW"/>
        </w:rPr>
      </w:pPr>
    </w:p>
    <w:p w14:paraId="0FE855CF" w14:textId="1D7920C6" w:rsidR="0000243B" w:rsidRPr="00664979" w:rsidRDefault="00266F3A" w:rsidP="00664979">
      <w:pPr>
        <w:pStyle w:val="ListParagraph"/>
        <w:spacing w:line="360" w:lineRule="auto"/>
        <w:ind w:left="851"/>
        <w:jc w:val="both"/>
        <w:rPr>
          <w:rFonts w:ascii="Times New Roman" w:hAnsi="Times New Roman" w:cs="Times New Roman"/>
          <w:sz w:val="28"/>
          <w:szCs w:val="28"/>
        </w:rPr>
      </w:pPr>
      <w:r w:rsidRPr="00664979">
        <w:rPr>
          <w:rFonts w:ascii="Times New Roman" w:hAnsi="Times New Roman" w:cs="Times New Roman"/>
          <w:sz w:val="28"/>
          <w:szCs w:val="28"/>
        </w:rPr>
        <w:t>“2. … The Agreement reinforces the autonomous status of the universities by allowing them to articulate their individual missions, visions and strategic goals. The Agreement allows the UGC to be satisfied that the wider public interest is both recognised and met by [the name of the concerning university], as well as providing assurance through high-level performance measures of a commitment to continuous quality improvement. For [the name of the concerning university], the Agreement assures members of its governing body as well as its staff and students that the key elements are in place of the robust institutional governance which helps to guarantee [the name of the university]’s autonomy.”</w:t>
      </w:r>
      <w:r w:rsidR="00EA70C7" w:rsidRPr="00664979">
        <w:rPr>
          <w:rFonts w:ascii="Times New Roman" w:hAnsi="Times New Roman" w:cs="Times New Roman"/>
          <w:sz w:val="28"/>
          <w:szCs w:val="28"/>
        </w:rPr>
        <w:t xml:space="preserve">  </w:t>
      </w:r>
    </w:p>
    <w:p w14:paraId="4AEB1A61" w14:textId="6E136540" w:rsidR="00266F3A" w:rsidRPr="00664979" w:rsidRDefault="00266F3A" w:rsidP="00664979">
      <w:pPr>
        <w:spacing w:line="360" w:lineRule="auto"/>
        <w:jc w:val="both"/>
        <w:rPr>
          <w:rFonts w:ascii="Times New Roman" w:hAnsi="Times New Roman" w:cs="Times New Roman"/>
          <w:sz w:val="28"/>
          <w:szCs w:val="28"/>
        </w:rPr>
      </w:pPr>
      <w:r w:rsidRPr="00664979">
        <w:rPr>
          <w:rFonts w:ascii="Times New Roman" w:hAnsi="Times New Roman" w:cs="Times New Roman"/>
          <w:sz w:val="28"/>
          <w:szCs w:val="28"/>
        </w:rPr>
        <w:tab/>
      </w:r>
    </w:p>
    <w:p w14:paraId="3F62A84A" w14:textId="234560A8" w:rsidR="00266F3A" w:rsidRPr="00664979" w:rsidRDefault="00266F3A" w:rsidP="00664979">
      <w:pPr>
        <w:spacing w:line="360" w:lineRule="auto"/>
        <w:ind w:left="567"/>
        <w:jc w:val="both"/>
        <w:rPr>
          <w:rFonts w:ascii="Times New Roman" w:hAnsi="Times New Roman" w:cs="Times New Roman"/>
          <w:sz w:val="28"/>
          <w:szCs w:val="28"/>
        </w:rPr>
      </w:pPr>
      <w:r w:rsidRPr="00664979">
        <w:rPr>
          <w:rFonts w:ascii="Times New Roman" w:hAnsi="Times New Roman" w:cs="Times New Roman"/>
          <w:sz w:val="28"/>
          <w:szCs w:val="28"/>
        </w:rPr>
        <w:t xml:space="preserve">Copies of the said Agreements are publicly available at the UGC’s website: </w:t>
      </w:r>
    </w:p>
    <w:p w14:paraId="79204C0C" w14:textId="703582B1" w:rsidR="00266F3A" w:rsidRPr="00664979" w:rsidRDefault="00266F3A" w:rsidP="00664979">
      <w:pPr>
        <w:spacing w:line="360" w:lineRule="auto"/>
        <w:ind w:left="567"/>
        <w:jc w:val="both"/>
        <w:rPr>
          <w:rFonts w:ascii="Times New Roman" w:hAnsi="Times New Roman" w:cs="Times New Roman"/>
          <w:sz w:val="28"/>
          <w:szCs w:val="28"/>
        </w:rPr>
      </w:pPr>
      <w:r w:rsidRPr="00664979">
        <w:rPr>
          <w:rFonts w:ascii="Times New Roman" w:hAnsi="Times New Roman" w:cs="Times New Roman"/>
          <w:sz w:val="28"/>
          <w:szCs w:val="28"/>
        </w:rPr>
        <w:t>https://www.ugc.edu.hk/eng/ugc/activity/university_acc_agree.html</w:t>
      </w:r>
    </w:p>
    <w:p w14:paraId="4E7D6FF2" w14:textId="77777777" w:rsidR="009D4641" w:rsidRPr="00664979" w:rsidRDefault="009D4641" w:rsidP="00664979">
      <w:pPr>
        <w:pStyle w:val="ListParagraph"/>
        <w:spacing w:line="360" w:lineRule="auto"/>
        <w:rPr>
          <w:rFonts w:ascii="Times New Roman" w:hAnsi="Times New Roman" w:cs="Times New Roman"/>
          <w:sz w:val="28"/>
          <w:szCs w:val="28"/>
        </w:rPr>
      </w:pPr>
    </w:p>
    <w:p w14:paraId="730F1ED3" w14:textId="3B1A81EF" w:rsidR="00266F3A" w:rsidRPr="008D63BF" w:rsidRDefault="00266F3A" w:rsidP="00CB42C8">
      <w:pPr>
        <w:pStyle w:val="ListParagraph"/>
        <w:numPr>
          <w:ilvl w:val="0"/>
          <w:numId w:val="1"/>
        </w:numPr>
        <w:spacing w:line="360" w:lineRule="auto"/>
        <w:ind w:left="567" w:hanging="567"/>
        <w:jc w:val="both"/>
        <w:rPr>
          <w:rFonts w:ascii="Times New Roman" w:hAnsi="Times New Roman" w:cs="Times New Roman"/>
          <w:sz w:val="28"/>
          <w:szCs w:val="28"/>
          <w:lang w:eastAsia="zh-TW"/>
        </w:rPr>
      </w:pPr>
      <w:r w:rsidRPr="00664979">
        <w:rPr>
          <w:rFonts w:ascii="Times New Roman" w:hAnsi="Times New Roman" w:cs="Times New Roman"/>
          <w:sz w:val="28"/>
          <w:szCs w:val="28"/>
          <w:lang w:eastAsia="zh-TW"/>
        </w:rPr>
        <w:t>The Agreements represent yet another assurance of the higher educational institution’s autonomy, which is the core of academic freedom as understood as a matter of not only domestic law but also international law.</w:t>
      </w:r>
      <w:r w:rsidR="00CB42C8">
        <w:rPr>
          <w:rFonts w:ascii="Times New Roman" w:hAnsi="Times New Roman" w:cs="Times New Roman"/>
          <w:sz w:val="28"/>
          <w:szCs w:val="28"/>
          <w:lang w:eastAsia="zh-TW"/>
        </w:rPr>
        <w:t xml:space="preserve">  </w:t>
      </w:r>
      <w:r w:rsidR="00435C8C" w:rsidRPr="008D63BF">
        <w:rPr>
          <w:rFonts w:ascii="Times New Roman" w:hAnsi="Times New Roman" w:cs="Times New Roman"/>
          <w:sz w:val="28"/>
          <w:szCs w:val="28"/>
          <w:lang w:eastAsia="zh-TW"/>
        </w:rPr>
        <w:t>It was provided in the Agreements:</w:t>
      </w:r>
    </w:p>
    <w:p w14:paraId="30C0A8CF" w14:textId="77777777" w:rsidR="00435C8C" w:rsidRPr="00664979" w:rsidRDefault="00435C8C" w:rsidP="00664979">
      <w:pPr>
        <w:pStyle w:val="ListParagraph"/>
        <w:spacing w:line="360" w:lineRule="auto"/>
        <w:rPr>
          <w:rFonts w:ascii="Times New Roman" w:hAnsi="Times New Roman" w:cs="Times New Roman"/>
          <w:sz w:val="28"/>
          <w:szCs w:val="28"/>
          <w:lang w:eastAsia="zh-TW"/>
        </w:rPr>
      </w:pPr>
    </w:p>
    <w:p w14:paraId="1AFAF243" w14:textId="77777777" w:rsidR="00435C8C" w:rsidRPr="00664979" w:rsidRDefault="00435C8C" w:rsidP="00664979">
      <w:pPr>
        <w:pStyle w:val="ListParagraph"/>
        <w:spacing w:line="360" w:lineRule="auto"/>
        <w:ind w:left="851"/>
        <w:jc w:val="both"/>
        <w:rPr>
          <w:rFonts w:ascii="Times New Roman" w:hAnsi="Times New Roman" w:cs="Times New Roman"/>
          <w:sz w:val="28"/>
          <w:szCs w:val="28"/>
          <w:lang w:eastAsia="zh-TW"/>
        </w:rPr>
      </w:pPr>
      <w:r w:rsidRPr="00664979">
        <w:rPr>
          <w:rFonts w:ascii="Times New Roman" w:hAnsi="Times New Roman" w:cs="Times New Roman"/>
          <w:sz w:val="28"/>
          <w:szCs w:val="28"/>
          <w:lang w:eastAsia="zh-TW"/>
        </w:rPr>
        <w:t>“9(c) Whole-person development</w:t>
      </w:r>
    </w:p>
    <w:p w14:paraId="3439A08F" w14:textId="749EDAA9" w:rsidR="00435C8C" w:rsidRPr="00664979" w:rsidRDefault="00435C8C" w:rsidP="00664979">
      <w:pPr>
        <w:pStyle w:val="ListParagraph"/>
        <w:spacing w:line="360" w:lineRule="auto"/>
        <w:ind w:left="851"/>
        <w:jc w:val="both"/>
        <w:rPr>
          <w:rFonts w:ascii="Times New Roman" w:hAnsi="Times New Roman" w:cs="Times New Roman"/>
          <w:sz w:val="28"/>
          <w:szCs w:val="28"/>
          <w:lang w:eastAsia="zh-TW"/>
        </w:rPr>
      </w:pPr>
      <w:r w:rsidRPr="00664979">
        <w:rPr>
          <w:rFonts w:ascii="Times New Roman" w:hAnsi="Times New Roman" w:cs="Times New Roman"/>
          <w:sz w:val="28"/>
          <w:szCs w:val="28"/>
          <w:lang w:eastAsia="zh-TW"/>
        </w:rPr>
        <w:t xml:space="preserve">While recognising the significant efforts made by the universities on the academic front, the whole-person development of university students should also be accorded priority. As graduates are the future pillars of our society, it is pivotal that a strong sense of civic duty could be instilled into them through value education at university level. The education on the Constitution, the Basic Law and the National Security Law should also </w:t>
      </w:r>
      <w:r w:rsidRPr="00664979">
        <w:rPr>
          <w:rFonts w:ascii="Times New Roman" w:hAnsi="Times New Roman" w:cs="Times New Roman"/>
          <w:sz w:val="28"/>
          <w:szCs w:val="28"/>
          <w:lang w:eastAsia="zh-TW"/>
        </w:rPr>
        <w:lastRenderedPageBreak/>
        <w:t>form part and parcel of students' university studies to nurture them as law-abiding responsible citizens.”</w:t>
      </w:r>
    </w:p>
    <w:p w14:paraId="0D376BFA" w14:textId="77777777" w:rsidR="00435C8C" w:rsidRPr="00664979" w:rsidRDefault="00435C8C" w:rsidP="00664979">
      <w:pPr>
        <w:pStyle w:val="ListParagraph"/>
        <w:spacing w:line="360" w:lineRule="auto"/>
        <w:ind w:left="851"/>
        <w:jc w:val="both"/>
        <w:rPr>
          <w:rFonts w:ascii="Times New Roman" w:hAnsi="Times New Roman" w:cs="Times New Roman"/>
          <w:sz w:val="28"/>
          <w:szCs w:val="28"/>
          <w:lang w:eastAsia="zh-TW"/>
        </w:rPr>
      </w:pPr>
    </w:p>
    <w:p w14:paraId="5AC37C8E" w14:textId="12710098" w:rsidR="00435C8C" w:rsidRDefault="00435C8C" w:rsidP="00664979">
      <w:pPr>
        <w:pStyle w:val="ListParagraph"/>
        <w:numPr>
          <w:ilvl w:val="0"/>
          <w:numId w:val="1"/>
        </w:numPr>
        <w:spacing w:line="360" w:lineRule="auto"/>
        <w:ind w:left="567" w:hanging="567"/>
        <w:jc w:val="both"/>
        <w:rPr>
          <w:rFonts w:ascii="Times New Roman" w:hAnsi="Times New Roman" w:cs="Times New Roman"/>
          <w:sz w:val="28"/>
          <w:szCs w:val="28"/>
          <w:lang w:eastAsia="zh-TW"/>
        </w:rPr>
      </w:pPr>
      <w:r w:rsidRPr="00664979">
        <w:rPr>
          <w:rFonts w:ascii="Times New Roman" w:hAnsi="Times New Roman" w:cs="Times New Roman"/>
          <w:sz w:val="28"/>
          <w:szCs w:val="28"/>
          <w:lang w:eastAsia="zh-TW"/>
        </w:rPr>
        <w:t>As evidenced in the Agreements, students of higher educational institutions are only expected to gain an adequate understanding of the constitutional legal framework of China, within which the HKSAR is founded.  This understanding is important for most of the graduates will be living and working within the said constitutional framework.  The Agreements do not dictate how such education is to be delivered, for it is within the sphere of academic freedom.</w:t>
      </w:r>
    </w:p>
    <w:p w14:paraId="0951D1B1" w14:textId="77777777" w:rsidR="00CB42C8" w:rsidRDefault="00CB42C8" w:rsidP="008D63BF">
      <w:pPr>
        <w:pStyle w:val="ListParagraph"/>
        <w:spacing w:line="360" w:lineRule="auto"/>
        <w:ind w:left="567"/>
        <w:jc w:val="both"/>
        <w:rPr>
          <w:rFonts w:ascii="Times New Roman" w:hAnsi="Times New Roman" w:cs="Times New Roman"/>
          <w:sz w:val="28"/>
          <w:szCs w:val="28"/>
          <w:lang w:eastAsia="zh-TW"/>
        </w:rPr>
      </w:pPr>
    </w:p>
    <w:p w14:paraId="22319F6F" w14:textId="1B00D0AA" w:rsidR="00CB42C8" w:rsidRDefault="00CB42C8" w:rsidP="00CB42C8">
      <w:pPr>
        <w:pStyle w:val="ListParagraph"/>
        <w:numPr>
          <w:ilvl w:val="0"/>
          <w:numId w:val="1"/>
        </w:numPr>
        <w:spacing w:line="360" w:lineRule="auto"/>
        <w:ind w:left="567" w:hanging="567"/>
        <w:jc w:val="both"/>
        <w:rPr>
          <w:rFonts w:ascii="Times New Roman" w:hAnsi="Times New Roman" w:cs="Times New Roman"/>
          <w:sz w:val="28"/>
          <w:szCs w:val="28"/>
          <w:lang w:eastAsia="zh-TW"/>
        </w:rPr>
      </w:pPr>
      <w:r w:rsidRPr="00664979">
        <w:rPr>
          <w:rFonts w:ascii="Times New Roman" w:hAnsi="Times New Roman" w:cs="Times New Roman"/>
          <w:sz w:val="28"/>
          <w:szCs w:val="28"/>
          <w:lang w:eastAsia="zh-TW"/>
        </w:rPr>
        <w:t xml:space="preserve">There has been doubt whether implementation of Article 10 of the HKNSL amounts to intrusion to academic freedom.  </w:t>
      </w:r>
      <w:r>
        <w:rPr>
          <w:rFonts w:ascii="Times New Roman" w:hAnsi="Times New Roman" w:cs="Times New Roman"/>
          <w:sz w:val="28"/>
          <w:szCs w:val="28"/>
          <w:lang w:eastAsia="zh-TW"/>
        </w:rPr>
        <w:t xml:space="preserve"> It states:</w:t>
      </w:r>
    </w:p>
    <w:p w14:paraId="64BE28D5" w14:textId="77777777" w:rsidR="00CB42C8" w:rsidRPr="00A9037D" w:rsidRDefault="00CB42C8" w:rsidP="008D63BF">
      <w:pPr>
        <w:pStyle w:val="ListParagraph"/>
        <w:spacing w:line="360" w:lineRule="auto"/>
        <w:ind w:left="851"/>
        <w:jc w:val="both"/>
        <w:rPr>
          <w:rFonts w:ascii="Times New Roman" w:hAnsi="Times New Roman" w:cs="Times New Roman"/>
          <w:sz w:val="28"/>
          <w:szCs w:val="28"/>
          <w:lang w:eastAsia="zh-TW"/>
        </w:rPr>
      </w:pPr>
    </w:p>
    <w:p w14:paraId="6E316677" w14:textId="77777777" w:rsidR="00CB42C8" w:rsidRDefault="00CB42C8" w:rsidP="008D63BF">
      <w:pPr>
        <w:pStyle w:val="ListParagraph"/>
        <w:spacing w:line="360" w:lineRule="auto"/>
        <w:ind w:left="851"/>
        <w:jc w:val="both"/>
        <w:rPr>
          <w:rFonts w:ascii="Times New Roman" w:hAnsi="Times New Roman" w:cs="Times New Roman"/>
          <w:sz w:val="28"/>
          <w:szCs w:val="28"/>
          <w:lang w:eastAsia="zh-TW"/>
        </w:rPr>
      </w:pPr>
      <w:r w:rsidRPr="008D63BF">
        <w:rPr>
          <w:rFonts w:ascii="Times New Roman" w:hAnsi="Times New Roman" w:cs="Times New Roman"/>
          <w:sz w:val="28"/>
          <w:szCs w:val="28"/>
          <w:lang w:eastAsia="zh-TW"/>
        </w:rPr>
        <w:t>“Article 10 The Hong Kong Special Administrative Region shall promote national security education in schools and universities and through social organisations, the media, the internet and other means to raise the awareness of Hong Kong residents of national security and of the obligation to abide by the law.”</w:t>
      </w:r>
    </w:p>
    <w:p w14:paraId="7834E36E" w14:textId="77777777" w:rsidR="00CB42C8" w:rsidRPr="00A9037D" w:rsidRDefault="00CB42C8" w:rsidP="00CB42C8">
      <w:pPr>
        <w:pStyle w:val="ListParagraph"/>
        <w:rPr>
          <w:rFonts w:ascii="Times New Roman" w:hAnsi="Times New Roman" w:cs="Times New Roman"/>
          <w:sz w:val="28"/>
          <w:szCs w:val="28"/>
          <w:lang w:eastAsia="zh-TW"/>
        </w:rPr>
      </w:pPr>
    </w:p>
    <w:p w14:paraId="17AAAE88" w14:textId="554F701A" w:rsidR="00CB42C8" w:rsidRDefault="00CB42C8" w:rsidP="00CB42C8">
      <w:pPr>
        <w:pStyle w:val="ListParagraph"/>
        <w:numPr>
          <w:ilvl w:val="0"/>
          <w:numId w:val="1"/>
        </w:numPr>
        <w:spacing w:line="360" w:lineRule="auto"/>
        <w:ind w:left="567" w:hanging="567"/>
        <w:jc w:val="both"/>
        <w:rPr>
          <w:rFonts w:ascii="Times New Roman" w:hAnsi="Times New Roman" w:cs="Times New Roman"/>
          <w:sz w:val="28"/>
          <w:szCs w:val="28"/>
          <w:lang w:eastAsia="zh-TW"/>
        </w:rPr>
      </w:pPr>
      <w:r>
        <w:rPr>
          <w:rFonts w:ascii="Times New Roman" w:hAnsi="Times New Roman" w:cs="Times New Roman"/>
          <w:sz w:val="28"/>
          <w:szCs w:val="28"/>
          <w:lang w:eastAsia="zh-TW"/>
        </w:rPr>
        <w:t xml:space="preserve">The Oath of Allegiance of the United States taken from time to time by young students in nearly if not all schools </w:t>
      </w:r>
      <w:proofErr w:type="gramStart"/>
      <w:r>
        <w:rPr>
          <w:rFonts w:ascii="Times New Roman" w:hAnsi="Times New Roman" w:cs="Times New Roman"/>
          <w:sz w:val="28"/>
          <w:szCs w:val="28"/>
          <w:lang w:eastAsia="zh-TW"/>
        </w:rPr>
        <w:t>is</w:t>
      </w:r>
      <w:proofErr w:type="gramEnd"/>
      <w:r>
        <w:rPr>
          <w:rFonts w:ascii="Times New Roman" w:hAnsi="Times New Roman" w:cs="Times New Roman"/>
          <w:sz w:val="28"/>
          <w:szCs w:val="28"/>
          <w:lang w:eastAsia="zh-TW"/>
        </w:rPr>
        <w:t xml:space="preserve"> a pledge of national identity and allegiance inculcated in all children from an early age.  Many countries follow the same tradition.  It is normal for all nation states to educate their citizens in national security.  When national security has been weakened after such chaos, it is only natural that the H</w:t>
      </w:r>
      <w:r w:rsidR="008D63BF">
        <w:rPr>
          <w:rFonts w:ascii="Times New Roman" w:hAnsi="Times New Roman" w:cs="Times New Roman"/>
          <w:sz w:val="28"/>
          <w:szCs w:val="28"/>
          <w:lang w:eastAsia="zh-TW"/>
        </w:rPr>
        <w:t>K</w:t>
      </w:r>
      <w:r>
        <w:rPr>
          <w:rFonts w:ascii="Times New Roman" w:hAnsi="Times New Roman" w:cs="Times New Roman"/>
          <w:sz w:val="28"/>
          <w:szCs w:val="28"/>
          <w:lang w:eastAsia="zh-TW"/>
        </w:rPr>
        <w:t xml:space="preserve">NSL seeks to impose a duty to promote and educate the citizenry on national education, when in other </w:t>
      </w:r>
      <w:r w:rsidR="008D63BF">
        <w:rPr>
          <w:rFonts w:ascii="Times New Roman" w:hAnsi="Times New Roman" w:cs="Times New Roman"/>
          <w:sz w:val="28"/>
          <w:szCs w:val="28"/>
          <w:lang w:eastAsia="zh-TW"/>
        </w:rPr>
        <w:t>circumstances</w:t>
      </w:r>
      <w:r>
        <w:rPr>
          <w:rFonts w:ascii="Times New Roman" w:hAnsi="Times New Roman" w:cs="Times New Roman"/>
          <w:sz w:val="28"/>
          <w:szCs w:val="28"/>
          <w:lang w:eastAsia="zh-TW"/>
        </w:rPr>
        <w:t>, that would have been a natural duty.</w:t>
      </w:r>
    </w:p>
    <w:p w14:paraId="143090BA" w14:textId="77777777" w:rsidR="00CB42C8" w:rsidRPr="00664979" w:rsidRDefault="00CB42C8" w:rsidP="008D63BF">
      <w:pPr>
        <w:pStyle w:val="ListParagraph"/>
        <w:spacing w:line="360" w:lineRule="auto"/>
        <w:ind w:left="567"/>
        <w:jc w:val="both"/>
        <w:rPr>
          <w:rFonts w:ascii="Times New Roman" w:hAnsi="Times New Roman" w:cs="Times New Roman"/>
          <w:sz w:val="28"/>
          <w:szCs w:val="28"/>
          <w:lang w:eastAsia="zh-TW"/>
        </w:rPr>
      </w:pPr>
    </w:p>
    <w:p w14:paraId="60A89BED" w14:textId="77777777" w:rsidR="00435C8C" w:rsidRPr="00664979" w:rsidRDefault="00435C8C" w:rsidP="00664979">
      <w:pPr>
        <w:pStyle w:val="ListParagraph"/>
        <w:spacing w:line="360" w:lineRule="auto"/>
        <w:ind w:left="567"/>
        <w:jc w:val="both"/>
        <w:rPr>
          <w:rFonts w:ascii="Times New Roman" w:hAnsi="Times New Roman" w:cs="Times New Roman"/>
          <w:sz w:val="28"/>
          <w:szCs w:val="28"/>
          <w:lang w:eastAsia="zh-TW"/>
        </w:rPr>
      </w:pPr>
    </w:p>
    <w:p w14:paraId="5A5A4746" w14:textId="5AA61E23" w:rsidR="008145A7" w:rsidRPr="00664979" w:rsidRDefault="00435C8C" w:rsidP="00664979">
      <w:pPr>
        <w:pStyle w:val="ListParagraph"/>
        <w:numPr>
          <w:ilvl w:val="0"/>
          <w:numId w:val="1"/>
        </w:numPr>
        <w:spacing w:line="360" w:lineRule="auto"/>
        <w:ind w:left="567" w:hanging="567"/>
        <w:jc w:val="both"/>
        <w:rPr>
          <w:rFonts w:ascii="Times New Roman" w:hAnsi="Times New Roman" w:cs="Times New Roman"/>
          <w:sz w:val="28"/>
          <w:szCs w:val="28"/>
          <w:lang w:eastAsia="zh-TW"/>
        </w:rPr>
      </w:pPr>
      <w:r w:rsidRPr="00664979">
        <w:rPr>
          <w:rFonts w:ascii="Times New Roman" w:hAnsi="Times New Roman" w:cs="Times New Roman"/>
          <w:sz w:val="28"/>
          <w:szCs w:val="28"/>
          <w:lang w:eastAsia="zh-TW"/>
        </w:rPr>
        <w:t xml:space="preserve">It is submitted that Article 10 of the HKNSL does not undermine academic freedom.  Hartmann J. in </w:t>
      </w:r>
      <w:r w:rsidRPr="00664979">
        <w:rPr>
          <w:rFonts w:ascii="Times New Roman" w:hAnsi="Times New Roman" w:cs="Times New Roman"/>
          <w:sz w:val="28"/>
          <w:szCs w:val="28"/>
        </w:rPr>
        <w:t xml:space="preserve">the </w:t>
      </w:r>
      <w:r w:rsidRPr="00664979">
        <w:rPr>
          <w:rFonts w:ascii="Times New Roman" w:hAnsi="Times New Roman" w:cs="Times New Roman"/>
          <w:b/>
          <w:bCs/>
          <w:i/>
          <w:iCs/>
          <w:sz w:val="28"/>
          <w:szCs w:val="28"/>
        </w:rPr>
        <w:t>Commission of Inquiry</w:t>
      </w:r>
      <w:r w:rsidRPr="00664979">
        <w:rPr>
          <w:rFonts w:ascii="Times New Roman" w:hAnsi="Times New Roman" w:cs="Times New Roman"/>
          <w:i/>
          <w:iCs/>
          <w:sz w:val="28"/>
          <w:szCs w:val="28"/>
        </w:rPr>
        <w:t xml:space="preserve"> </w:t>
      </w:r>
      <w:r w:rsidRPr="00664979">
        <w:rPr>
          <w:rFonts w:ascii="Times New Roman" w:hAnsi="Times New Roman" w:cs="Times New Roman"/>
          <w:sz w:val="28"/>
          <w:szCs w:val="28"/>
        </w:rPr>
        <w:t>case quite rightly pointed out:</w:t>
      </w:r>
    </w:p>
    <w:p w14:paraId="01A5D1CB" w14:textId="77777777" w:rsidR="00435C8C" w:rsidRPr="00664979" w:rsidRDefault="00435C8C" w:rsidP="00664979">
      <w:pPr>
        <w:pStyle w:val="ListParagraph"/>
        <w:spacing w:line="360" w:lineRule="auto"/>
        <w:ind w:left="851"/>
        <w:jc w:val="both"/>
        <w:rPr>
          <w:rFonts w:ascii="Times New Roman" w:hAnsi="Times New Roman" w:cs="Times New Roman"/>
          <w:sz w:val="28"/>
          <w:szCs w:val="28"/>
          <w:lang w:eastAsia="zh-TW"/>
        </w:rPr>
      </w:pPr>
    </w:p>
    <w:p w14:paraId="6E6A5E05" w14:textId="31EDAFA0" w:rsidR="00435C8C" w:rsidRPr="00664979" w:rsidRDefault="00435C8C" w:rsidP="00664979">
      <w:pPr>
        <w:pStyle w:val="ListParagraph"/>
        <w:spacing w:line="360" w:lineRule="auto"/>
        <w:ind w:left="851"/>
        <w:jc w:val="both"/>
        <w:rPr>
          <w:rFonts w:ascii="Times New Roman" w:hAnsi="Times New Roman" w:cs="Times New Roman"/>
          <w:sz w:val="28"/>
          <w:szCs w:val="28"/>
          <w:lang w:eastAsia="zh-TW"/>
        </w:rPr>
      </w:pPr>
      <w:r w:rsidRPr="00664979">
        <w:rPr>
          <w:rFonts w:ascii="Times New Roman" w:hAnsi="Times New Roman" w:cs="Times New Roman"/>
          <w:sz w:val="28"/>
          <w:szCs w:val="28"/>
          <w:lang w:eastAsia="zh-TW"/>
        </w:rPr>
        <w:t>“</w:t>
      </w:r>
      <w:r w:rsidR="0070597F" w:rsidRPr="00664979">
        <w:rPr>
          <w:rFonts w:ascii="Times New Roman" w:hAnsi="Times New Roman" w:cs="Times New Roman"/>
          <w:sz w:val="28"/>
          <w:szCs w:val="28"/>
          <w:lang w:eastAsia="zh-TW"/>
        </w:rPr>
        <w:t>Whatever the perception may be, academics today are not cloistered in ivory towers divorced from the realities of the world. To the contrary, academics work in association with both the private sector and the public in all areas of advancement. This applies not only in respect of scientific and technological innovation but in areas of law reform, social welfare and the like. Academia, with its intellectual rigour, also plays an important role in analysing and, if necessary, criticising the nature and effectiveness of public policies and measures.”</w:t>
      </w:r>
    </w:p>
    <w:p w14:paraId="5EA0B6B4" w14:textId="77777777" w:rsidR="00435C8C" w:rsidRPr="00664979" w:rsidRDefault="00435C8C" w:rsidP="00664979">
      <w:pPr>
        <w:pStyle w:val="ListParagraph"/>
        <w:spacing w:line="360" w:lineRule="auto"/>
        <w:rPr>
          <w:rFonts w:ascii="Times New Roman" w:hAnsi="Times New Roman" w:cs="Times New Roman"/>
          <w:sz w:val="28"/>
          <w:szCs w:val="28"/>
          <w:lang w:eastAsia="zh-TW"/>
        </w:rPr>
      </w:pPr>
    </w:p>
    <w:p w14:paraId="07AEF95A" w14:textId="1C8EF36E" w:rsidR="00435C8C" w:rsidRPr="00664979" w:rsidRDefault="0070597F" w:rsidP="00664979">
      <w:pPr>
        <w:pStyle w:val="ListParagraph"/>
        <w:numPr>
          <w:ilvl w:val="0"/>
          <w:numId w:val="1"/>
        </w:numPr>
        <w:spacing w:line="360" w:lineRule="auto"/>
        <w:ind w:left="567" w:hanging="567"/>
        <w:jc w:val="both"/>
        <w:rPr>
          <w:rFonts w:ascii="Times New Roman" w:hAnsi="Times New Roman" w:cs="Times New Roman"/>
          <w:sz w:val="28"/>
          <w:szCs w:val="28"/>
          <w:lang w:eastAsia="zh-TW"/>
        </w:rPr>
      </w:pPr>
      <w:r w:rsidRPr="00664979">
        <w:rPr>
          <w:rFonts w:ascii="Times New Roman" w:hAnsi="Times New Roman" w:cs="Times New Roman"/>
          <w:sz w:val="28"/>
          <w:szCs w:val="28"/>
          <w:lang w:eastAsia="zh-TW"/>
        </w:rPr>
        <w:t xml:space="preserve">Taking into account that most of the university graduates will spend most of their time after graduation living and working in the HKSAR, it is wholly misconceived to suggest that they should be severed from the constitutional framework upon which the HKSAR is founded and maintained.    </w:t>
      </w:r>
    </w:p>
    <w:p w14:paraId="546D2F61" w14:textId="77777777" w:rsidR="008145A7" w:rsidRPr="00664979" w:rsidRDefault="008145A7" w:rsidP="00664979">
      <w:pPr>
        <w:pStyle w:val="ListParagraph"/>
        <w:spacing w:line="360" w:lineRule="auto"/>
        <w:rPr>
          <w:rFonts w:ascii="Times New Roman" w:hAnsi="Times New Roman" w:cs="Times New Roman"/>
          <w:sz w:val="28"/>
          <w:szCs w:val="28"/>
          <w:lang w:eastAsia="zh-TW"/>
        </w:rPr>
      </w:pPr>
    </w:p>
    <w:p w14:paraId="02D96EF4" w14:textId="640A9342" w:rsidR="003B135C" w:rsidRPr="00664979" w:rsidRDefault="0070597F" w:rsidP="00664979">
      <w:pPr>
        <w:pStyle w:val="ListParagraph"/>
        <w:numPr>
          <w:ilvl w:val="0"/>
          <w:numId w:val="1"/>
        </w:numPr>
        <w:spacing w:line="360" w:lineRule="auto"/>
        <w:ind w:left="567" w:hanging="567"/>
        <w:jc w:val="both"/>
        <w:rPr>
          <w:rFonts w:ascii="Times New Roman" w:hAnsi="Times New Roman" w:cs="Times New Roman"/>
          <w:sz w:val="28"/>
          <w:szCs w:val="28"/>
          <w:lang w:eastAsia="zh-TW"/>
        </w:rPr>
      </w:pPr>
      <w:r w:rsidRPr="00664979">
        <w:rPr>
          <w:rFonts w:ascii="Times New Roman" w:hAnsi="Times New Roman" w:cs="Times New Roman"/>
          <w:sz w:val="28"/>
          <w:szCs w:val="28"/>
          <w:lang w:eastAsia="zh-TW"/>
        </w:rPr>
        <w:t xml:space="preserve">In relation to concern about employment security of university professors, </w:t>
      </w:r>
      <w:r w:rsidR="003B135C" w:rsidRPr="00664979">
        <w:rPr>
          <w:rFonts w:ascii="Times New Roman" w:hAnsi="Times New Roman" w:cs="Times New Roman"/>
          <w:sz w:val="28"/>
          <w:szCs w:val="28"/>
          <w:lang w:eastAsia="zh-TW"/>
        </w:rPr>
        <w:t xml:space="preserve">it is important to point out that one should not conflate academic freedom with freedom of speech.  As stated in </w:t>
      </w:r>
      <w:r w:rsidR="003B135C" w:rsidRPr="00664979">
        <w:rPr>
          <w:rFonts w:ascii="Times New Roman" w:hAnsi="Times New Roman" w:cs="Times New Roman"/>
          <w:b/>
          <w:bCs/>
          <w:i/>
          <w:iCs/>
          <w:sz w:val="28"/>
          <w:szCs w:val="28"/>
          <w:lang w:eastAsia="zh-TW"/>
        </w:rPr>
        <w:t>Riggs</w:t>
      </w:r>
      <w:r w:rsidR="003B135C" w:rsidRPr="00664979">
        <w:rPr>
          <w:rFonts w:ascii="Times New Roman" w:hAnsi="Times New Roman" w:cs="Times New Roman"/>
          <w:sz w:val="28"/>
          <w:szCs w:val="28"/>
          <w:lang w:eastAsia="zh-TW"/>
        </w:rPr>
        <w:t>, individual academics should not stand in a position higher than ordinary citizens in enjoying freedom of expression.  The said freedom is protected by law, and at the same time restricted by law as necessary for specified purposes (</w:t>
      </w:r>
      <w:proofErr w:type="gramStart"/>
      <w:r w:rsidR="003B135C" w:rsidRPr="00664979">
        <w:rPr>
          <w:rFonts w:ascii="Times New Roman" w:hAnsi="Times New Roman" w:cs="Times New Roman"/>
          <w:sz w:val="28"/>
          <w:szCs w:val="28"/>
          <w:lang w:eastAsia="zh-TW"/>
        </w:rPr>
        <w:t>e.g.</w:t>
      </w:r>
      <w:proofErr w:type="gramEnd"/>
      <w:r w:rsidR="003B135C" w:rsidRPr="00664979">
        <w:rPr>
          <w:rFonts w:ascii="Times New Roman" w:hAnsi="Times New Roman" w:cs="Times New Roman"/>
          <w:sz w:val="28"/>
          <w:szCs w:val="28"/>
          <w:lang w:eastAsia="zh-TW"/>
        </w:rPr>
        <w:t xml:space="preserve"> national security).</w:t>
      </w:r>
    </w:p>
    <w:p w14:paraId="335CCDCB" w14:textId="77777777" w:rsidR="003B135C" w:rsidRPr="00664979" w:rsidRDefault="003B135C" w:rsidP="00664979">
      <w:pPr>
        <w:pStyle w:val="ListParagraph"/>
        <w:spacing w:line="360" w:lineRule="auto"/>
        <w:rPr>
          <w:rFonts w:ascii="Times New Roman" w:hAnsi="Times New Roman" w:cs="Times New Roman"/>
          <w:sz w:val="28"/>
          <w:szCs w:val="28"/>
          <w:lang w:eastAsia="zh-TW"/>
        </w:rPr>
      </w:pPr>
    </w:p>
    <w:p w14:paraId="5F284A09" w14:textId="46C15C32" w:rsidR="0070597F" w:rsidRPr="00664979" w:rsidRDefault="009960CF" w:rsidP="00664979">
      <w:pPr>
        <w:pStyle w:val="ListParagraph"/>
        <w:numPr>
          <w:ilvl w:val="0"/>
          <w:numId w:val="1"/>
        </w:numPr>
        <w:spacing w:line="360" w:lineRule="auto"/>
        <w:ind w:left="567" w:hanging="567"/>
        <w:jc w:val="both"/>
        <w:rPr>
          <w:rFonts w:ascii="Times New Roman" w:hAnsi="Times New Roman" w:cs="Times New Roman"/>
          <w:sz w:val="28"/>
          <w:szCs w:val="28"/>
          <w:lang w:eastAsia="zh-TW"/>
        </w:rPr>
      </w:pPr>
      <w:r w:rsidRPr="00664979">
        <w:rPr>
          <w:rFonts w:ascii="Times New Roman" w:hAnsi="Times New Roman" w:cs="Times New Roman"/>
          <w:sz w:val="28"/>
          <w:szCs w:val="28"/>
          <w:lang w:eastAsia="zh-TW"/>
        </w:rPr>
        <w:t xml:space="preserve">In any event, </w:t>
      </w:r>
      <w:r w:rsidR="0070597F" w:rsidRPr="00664979">
        <w:rPr>
          <w:rFonts w:ascii="Times New Roman" w:hAnsi="Times New Roman" w:cs="Times New Roman"/>
          <w:sz w:val="28"/>
          <w:szCs w:val="28"/>
          <w:lang w:eastAsia="zh-TW"/>
        </w:rPr>
        <w:t xml:space="preserve">it is within the sphere of the governing bodies of the university to make decisions </w:t>
      </w:r>
      <w:r w:rsidRPr="00664979">
        <w:rPr>
          <w:rFonts w:ascii="Times New Roman" w:hAnsi="Times New Roman" w:cs="Times New Roman"/>
          <w:sz w:val="28"/>
          <w:szCs w:val="28"/>
          <w:lang w:eastAsia="zh-TW"/>
        </w:rPr>
        <w:t xml:space="preserve">(including employment / dismissal decisions) </w:t>
      </w:r>
      <w:r w:rsidR="0070597F" w:rsidRPr="00664979">
        <w:rPr>
          <w:rFonts w:ascii="Times New Roman" w:hAnsi="Times New Roman" w:cs="Times New Roman"/>
          <w:sz w:val="28"/>
          <w:szCs w:val="28"/>
          <w:lang w:eastAsia="zh-TW"/>
        </w:rPr>
        <w:t xml:space="preserve">which they consider </w:t>
      </w:r>
      <w:r w:rsidRPr="00664979">
        <w:rPr>
          <w:rFonts w:ascii="Times New Roman" w:hAnsi="Times New Roman" w:cs="Times New Roman"/>
          <w:sz w:val="28"/>
          <w:szCs w:val="28"/>
          <w:lang w:eastAsia="zh-TW"/>
        </w:rPr>
        <w:t xml:space="preserve">to be in </w:t>
      </w:r>
      <w:r w:rsidR="0070597F" w:rsidRPr="00664979">
        <w:rPr>
          <w:rFonts w:ascii="Times New Roman" w:hAnsi="Times New Roman" w:cs="Times New Roman"/>
          <w:sz w:val="28"/>
          <w:szCs w:val="28"/>
          <w:lang w:eastAsia="zh-TW"/>
        </w:rPr>
        <w:t>the best</w:t>
      </w:r>
      <w:r w:rsidRPr="00664979">
        <w:rPr>
          <w:rFonts w:ascii="Times New Roman" w:hAnsi="Times New Roman" w:cs="Times New Roman"/>
          <w:sz w:val="28"/>
          <w:szCs w:val="28"/>
          <w:lang w:eastAsia="zh-TW"/>
        </w:rPr>
        <w:t xml:space="preserve"> interest of the university</w:t>
      </w:r>
      <w:r w:rsidR="0070597F" w:rsidRPr="00664979">
        <w:rPr>
          <w:rFonts w:ascii="Times New Roman" w:hAnsi="Times New Roman" w:cs="Times New Roman"/>
          <w:sz w:val="28"/>
          <w:szCs w:val="28"/>
          <w:lang w:eastAsia="zh-TW"/>
        </w:rPr>
        <w:t xml:space="preserve">.  In a recent judgment of </w:t>
      </w:r>
      <w:r w:rsidR="0070597F" w:rsidRPr="00664979">
        <w:rPr>
          <w:rFonts w:ascii="Times New Roman" w:hAnsi="Times New Roman" w:cs="Times New Roman"/>
          <w:b/>
          <w:bCs/>
          <w:i/>
          <w:iCs/>
          <w:sz w:val="28"/>
          <w:szCs w:val="28"/>
          <w:lang w:eastAsia="zh-TW"/>
        </w:rPr>
        <w:lastRenderedPageBreak/>
        <w:t xml:space="preserve">Professor Chan Yan Cheong v. The Research Grants Council of the University Grants Committee </w:t>
      </w:r>
      <w:r w:rsidR="0070597F" w:rsidRPr="00664979">
        <w:rPr>
          <w:rFonts w:ascii="Times New Roman" w:hAnsi="Times New Roman" w:cs="Times New Roman"/>
          <w:sz w:val="28"/>
          <w:szCs w:val="28"/>
          <w:lang w:eastAsia="zh-TW"/>
        </w:rPr>
        <w:t>[2022] HKCA 1873, the court reiterated the justiciability (or the lack of) on certain decisions made by academic bodies:</w:t>
      </w:r>
    </w:p>
    <w:p w14:paraId="27AD2751" w14:textId="77777777" w:rsidR="0070597F" w:rsidRPr="00664979" w:rsidRDefault="0070597F" w:rsidP="00664979">
      <w:pPr>
        <w:pStyle w:val="ListParagraph"/>
        <w:spacing w:line="360" w:lineRule="auto"/>
        <w:rPr>
          <w:rFonts w:ascii="Times New Roman" w:hAnsi="Times New Roman" w:cs="Times New Roman"/>
          <w:sz w:val="28"/>
          <w:szCs w:val="28"/>
          <w:lang w:eastAsia="zh-TW"/>
        </w:rPr>
      </w:pPr>
    </w:p>
    <w:p w14:paraId="32382B94" w14:textId="77777777" w:rsidR="006D6889" w:rsidRPr="00664979" w:rsidRDefault="0070597F" w:rsidP="00664979">
      <w:pPr>
        <w:pStyle w:val="ListParagraph"/>
        <w:spacing w:line="360" w:lineRule="auto"/>
        <w:ind w:left="851"/>
        <w:jc w:val="both"/>
        <w:rPr>
          <w:rFonts w:ascii="Times New Roman" w:hAnsi="Times New Roman" w:cs="Times New Roman"/>
          <w:sz w:val="28"/>
          <w:szCs w:val="28"/>
          <w:lang w:eastAsia="zh-TW"/>
        </w:rPr>
      </w:pPr>
      <w:r w:rsidRPr="00664979">
        <w:rPr>
          <w:rFonts w:ascii="Times New Roman" w:hAnsi="Times New Roman" w:cs="Times New Roman"/>
          <w:sz w:val="28"/>
          <w:szCs w:val="28"/>
          <w:lang w:eastAsia="zh-TW"/>
        </w:rPr>
        <w:t>“… One should start with the relevant common law principles, which are not really in dispute.  They are that: (1) academic judgment immunity would apply where the central subject of the complaint is a dispute about an academic judgment; (2) not all judgments or decisions made by academics qualify for the immunity; (3) it is the nature and extent of the judgment that determines the point; (4) where the challenge is made to the process by which the academic judgment is made, such as on grounds of procedural unfairness, bias and irrationality, it would be justiciable by the court: </w:t>
      </w:r>
      <w:r w:rsidRPr="00664979">
        <w:rPr>
          <w:rFonts w:ascii="Times New Roman" w:hAnsi="Times New Roman" w:cs="Times New Roman"/>
          <w:i/>
          <w:iCs/>
          <w:sz w:val="28"/>
          <w:szCs w:val="28"/>
          <w:lang w:eastAsia="zh-TW"/>
        </w:rPr>
        <w:t>Clark v University of Lincolnshire and Humberside</w:t>
      </w:r>
      <w:r w:rsidRPr="00664979">
        <w:rPr>
          <w:rFonts w:ascii="Times New Roman" w:hAnsi="Times New Roman" w:cs="Times New Roman"/>
          <w:sz w:val="28"/>
          <w:szCs w:val="28"/>
          <w:lang w:eastAsia="zh-TW"/>
        </w:rPr>
        <w:t>, at [6] and [29]; </w:t>
      </w:r>
      <w:r w:rsidRPr="00664979">
        <w:rPr>
          <w:rFonts w:ascii="Times New Roman" w:hAnsi="Times New Roman" w:cs="Times New Roman"/>
          <w:i/>
          <w:iCs/>
          <w:sz w:val="28"/>
          <w:szCs w:val="28"/>
          <w:lang w:eastAsia="zh-TW"/>
        </w:rPr>
        <w:t>R (</w:t>
      </w:r>
      <w:proofErr w:type="spellStart"/>
      <w:r w:rsidRPr="00664979">
        <w:rPr>
          <w:rFonts w:ascii="Times New Roman" w:hAnsi="Times New Roman" w:cs="Times New Roman"/>
          <w:i/>
          <w:iCs/>
          <w:sz w:val="28"/>
          <w:szCs w:val="28"/>
          <w:lang w:eastAsia="zh-TW"/>
        </w:rPr>
        <w:t>Gopikrishna</w:t>
      </w:r>
      <w:proofErr w:type="spellEnd"/>
      <w:r w:rsidRPr="00664979">
        <w:rPr>
          <w:rFonts w:ascii="Times New Roman" w:hAnsi="Times New Roman" w:cs="Times New Roman"/>
          <w:i/>
          <w:iCs/>
          <w:sz w:val="28"/>
          <w:szCs w:val="28"/>
          <w:lang w:eastAsia="zh-TW"/>
        </w:rPr>
        <w:t>) v The Office of the Independent Adjudicator for Higher Education</w:t>
      </w:r>
      <w:r w:rsidRPr="00664979">
        <w:rPr>
          <w:rFonts w:ascii="Times New Roman" w:hAnsi="Times New Roman" w:cs="Times New Roman"/>
          <w:sz w:val="28"/>
          <w:szCs w:val="28"/>
          <w:lang w:eastAsia="zh-TW"/>
        </w:rPr>
        <w:t> [2015] EWHC 207 (Admin), at [188]; and </w:t>
      </w:r>
      <w:r w:rsidRPr="00664979">
        <w:rPr>
          <w:rFonts w:ascii="Times New Roman" w:hAnsi="Times New Roman" w:cs="Times New Roman"/>
          <w:i/>
          <w:iCs/>
          <w:sz w:val="28"/>
          <w:szCs w:val="28"/>
          <w:lang w:eastAsia="zh-TW"/>
        </w:rPr>
        <w:t>R (on the application of Mustafa) v The Office of the Independent Adjudicator for Higher Education</w:t>
      </w:r>
      <w:r w:rsidRPr="00664979">
        <w:rPr>
          <w:rFonts w:ascii="Times New Roman" w:hAnsi="Times New Roman" w:cs="Times New Roman"/>
          <w:sz w:val="28"/>
          <w:szCs w:val="28"/>
          <w:lang w:eastAsia="zh-TW"/>
        </w:rPr>
        <w:t> [2013] EWHC 1379 (Admin), at [49]. </w:t>
      </w:r>
    </w:p>
    <w:p w14:paraId="20F7A591" w14:textId="77777777" w:rsidR="006D6889" w:rsidRPr="00664979" w:rsidRDefault="006D6889" w:rsidP="00664979">
      <w:pPr>
        <w:pStyle w:val="ListParagraph"/>
        <w:spacing w:line="360" w:lineRule="auto"/>
        <w:ind w:left="851"/>
        <w:jc w:val="both"/>
        <w:rPr>
          <w:rFonts w:ascii="Times New Roman" w:hAnsi="Times New Roman" w:cs="Times New Roman"/>
          <w:sz w:val="28"/>
          <w:szCs w:val="28"/>
          <w:lang w:eastAsia="zh-TW"/>
        </w:rPr>
      </w:pPr>
    </w:p>
    <w:p w14:paraId="4FAFE249" w14:textId="77777777" w:rsidR="006D6889" w:rsidRPr="00664979" w:rsidRDefault="0070597F" w:rsidP="00664979">
      <w:pPr>
        <w:pStyle w:val="ListParagraph"/>
        <w:spacing w:line="360" w:lineRule="auto"/>
        <w:ind w:left="851"/>
        <w:jc w:val="both"/>
        <w:rPr>
          <w:rFonts w:ascii="Times New Roman" w:hAnsi="Times New Roman" w:cs="Times New Roman"/>
          <w:sz w:val="28"/>
          <w:szCs w:val="28"/>
          <w:lang w:eastAsia="zh-TW"/>
        </w:rPr>
      </w:pPr>
      <w:r w:rsidRPr="00664979">
        <w:rPr>
          <w:rFonts w:ascii="Times New Roman" w:hAnsi="Times New Roman" w:cs="Times New Roman"/>
          <w:sz w:val="28"/>
          <w:szCs w:val="28"/>
          <w:lang w:eastAsia="zh-TW"/>
        </w:rPr>
        <w:t>It is also apt to note the words of Males J in </w:t>
      </w:r>
      <w:r w:rsidRPr="00664979">
        <w:rPr>
          <w:rFonts w:ascii="Times New Roman" w:hAnsi="Times New Roman" w:cs="Times New Roman"/>
          <w:i/>
          <w:iCs/>
          <w:sz w:val="28"/>
          <w:szCs w:val="28"/>
          <w:lang w:eastAsia="zh-TW"/>
        </w:rPr>
        <w:t>Mustafa</w:t>
      </w:r>
      <w:r w:rsidRPr="00664979">
        <w:rPr>
          <w:rFonts w:ascii="Times New Roman" w:hAnsi="Times New Roman" w:cs="Times New Roman"/>
          <w:sz w:val="28"/>
          <w:szCs w:val="28"/>
          <w:lang w:eastAsia="zh-TW"/>
        </w:rPr>
        <w:t xml:space="preserve"> at [49] and [54] that the courts have been cautious in determining what constitutes an exercise of academic judgment, and the extent of the area of immunity or exclusion </w:t>
      </w:r>
      <w:r w:rsidR="006D6889" w:rsidRPr="00664979">
        <w:rPr>
          <w:rFonts w:ascii="Times New Roman" w:hAnsi="Times New Roman" w:cs="Times New Roman"/>
          <w:sz w:val="28"/>
          <w:szCs w:val="28"/>
          <w:lang w:eastAsia="zh-TW"/>
        </w:rPr>
        <w:t>‘</w:t>
      </w:r>
      <w:r w:rsidRPr="00664979">
        <w:rPr>
          <w:rFonts w:ascii="Times New Roman" w:hAnsi="Times New Roman" w:cs="Times New Roman"/>
          <w:sz w:val="28"/>
          <w:szCs w:val="28"/>
          <w:lang w:eastAsia="zh-TW"/>
        </w:rPr>
        <w:t>will have to be considered case by case, with the possibility that nice questions may arise, the answers to which will no doubt be affected to some extent by whether the issue raised is one which the court regards itself as competent to determine</w:t>
      </w:r>
      <w:r w:rsidR="006D6889" w:rsidRPr="00664979">
        <w:rPr>
          <w:rFonts w:ascii="Times New Roman" w:hAnsi="Times New Roman" w:cs="Times New Roman"/>
          <w:sz w:val="28"/>
          <w:szCs w:val="28"/>
          <w:lang w:eastAsia="zh-TW"/>
        </w:rPr>
        <w:t>’</w:t>
      </w:r>
      <w:r w:rsidRPr="00664979">
        <w:rPr>
          <w:rFonts w:ascii="Times New Roman" w:hAnsi="Times New Roman" w:cs="Times New Roman"/>
          <w:sz w:val="28"/>
          <w:szCs w:val="28"/>
          <w:lang w:eastAsia="zh-TW"/>
        </w:rPr>
        <w:t xml:space="preserve">.  </w:t>
      </w:r>
      <w:r w:rsidR="006D6889" w:rsidRPr="00664979">
        <w:rPr>
          <w:rFonts w:ascii="Times New Roman" w:hAnsi="Times New Roman" w:cs="Times New Roman"/>
          <w:sz w:val="28"/>
          <w:szCs w:val="28"/>
          <w:lang w:eastAsia="zh-TW"/>
        </w:rPr>
        <w:t>…</w:t>
      </w:r>
    </w:p>
    <w:p w14:paraId="021DE113" w14:textId="77777777" w:rsidR="006D6889" w:rsidRPr="00664979" w:rsidRDefault="006D6889" w:rsidP="00664979">
      <w:pPr>
        <w:pStyle w:val="ListParagraph"/>
        <w:spacing w:line="360" w:lineRule="auto"/>
        <w:ind w:left="851"/>
        <w:jc w:val="both"/>
        <w:rPr>
          <w:rFonts w:ascii="Times New Roman" w:hAnsi="Times New Roman" w:cs="Times New Roman"/>
          <w:sz w:val="28"/>
          <w:szCs w:val="28"/>
          <w:lang w:eastAsia="zh-TW"/>
        </w:rPr>
      </w:pPr>
    </w:p>
    <w:p w14:paraId="3E181783" w14:textId="55E1B246" w:rsidR="0070597F" w:rsidRPr="00664979" w:rsidRDefault="006D6889" w:rsidP="00664979">
      <w:pPr>
        <w:pStyle w:val="ListParagraph"/>
        <w:spacing w:line="360" w:lineRule="auto"/>
        <w:ind w:left="851"/>
        <w:jc w:val="both"/>
        <w:rPr>
          <w:rFonts w:ascii="Times New Roman" w:hAnsi="Times New Roman" w:cs="Times New Roman"/>
          <w:sz w:val="28"/>
          <w:szCs w:val="28"/>
          <w:lang w:eastAsia="zh-TW"/>
        </w:rPr>
      </w:pPr>
      <w:r w:rsidRPr="00664979">
        <w:rPr>
          <w:rFonts w:ascii="Times New Roman" w:hAnsi="Times New Roman" w:cs="Times New Roman"/>
          <w:sz w:val="28"/>
          <w:szCs w:val="28"/>
          <w:lang w:eastAsia="zh-TW"/>
        </w:rPr>
        <w:t xml:space="preserve">In short, whether a challenge relates to an exercise of academic judgment which is not justiciable by the court has to be considered in the context of </w:t>
      </w:r>
      <w:r w:rsidRPr="00664979">
        <w:rPr>
          <w:rFonts w:ascii="Times New Roman" w:hAnsi="Times New Roman" w:cs="Times New Roman"/>
          <w:sz w:val="28"/>
          <w:szCs w:val="28"/>
          <w:lang w:eastAsia="zh-TW"/>
        </w:rPr>
        <w:lastRenderedPageBreak/>
        <w:t>the case, having regard to the facts and the nature of the complaint and dispute.”</w:t>
      </w:r>
      <w:r w:rsidR="0070597F" w:rsidRPr="00664979">
        <w:rPr>
          <w:rFonts w:ascii="Times New Roman" w:hAnsi="Times New Roman" w:cs="Times New Roman"/>
          <w:sz w:val="28"/>
          <w:szCs w:val="28"/>
          <w:lang w:eastAsia="zh-TW"/>
        </w:rPr>
        <w:t> </w:t>
      </w:r>
    </w:p>
    <w:p w14:paraId="3A0F51C8" w14:textId="0C530DC9" w:rsidR="008145A7" w:rsidRPr="00664979" w:rsidRDefault="0070597F" w:rsidP="00664979">
      <w:pPr>
        <w:pStyle w:val="ListParagraph"/>
        <w:spacing w:line="360" w:lineRule="auto"/>
        <w:ind w:left="1440"/>
        <w:jc w:val="both"/>
        <w:rPr>
          <w:rFonts w:ascii="Times New Roman" w:hAnsi="Times New Roman" w:cs="Times New Roman"/>
          <w:sz w:val="28"/>
          <w:szCs w:val="28"/>
          <w:lang w:eastAsia="zh-TW"/>
        </w:rPr>
      </w:pPr>
      <w:r w:rsidRPr="00664979">
        <w:rPr>
          <w:rFonts w:ascii="Times New Roman" w:hAnsi="Times New Roman" w:cs="Times New Roman"/>
          <w:sz w:val="28"/>
          <w:szCs w:val="28"/>
          <w:lang w:eastAsia="zh-TW"/>
        </w:rPr>
        <w:t xml:space="preserve">       </w:t>
      </w:r>
    </w:p>
    <w:p w14:paraId="0447B87E" w14:textId="7DECFDF1" w:rsidR="009D4641" w:rsidRPr="00664979" w:rsidRDefault="006D6889" w:rsidP="00664979">
      <w:pPr>
        <w:pStyle w:val="ListParagraph"/>
        <w:numPr>
          <w:ilvl w:val="0"/>
          <w:numId w:val="1"/>
        </w:numPr>
        <w:spacing w:line="360" w:lineRule="auto"/>
        <w:ind w:left="567" w:hanging="567"/>
        <w:jc w:val="both"/>
        <w:rPr>
          <w:rFonts w:ascii="Times New Roman" w:hAnsi="Times New Roman" w:cs="Times New Roman"/>
          <w:sz w:val="28"/>
          <w:szCs w:val="28"/>
          <w:lang w:eastAsia="zh-TW"/>
        </w:rPr>
      </w:pPr>
      <w:r w:rsidRPr="00664979">
        <w:rPr>
          <w:rFonts w:ascii="Times New Roman" w:hAnsi="Times New Roman" w:cs="Times New Roman"/>
          <w:sz w:val="28"/>
          <w:szCs w:val="28"/>
          <w:lang w:eastAsia="zh-TW"/>
        </w:rPr>
        <w:t xml:space="preserve">Thus, the law strikes a balance between a genuine exercise </w:t>
      </w:r>
      <w:r w:rsidR="003B135C" w:rsidRPr="00664979">
        <w:rPr>
          <w:rFonts w:ascii="Times New Roman" w:hAnsi="Times New Roman" w:cs="Times New Roman"/>
          <w:sz w:val="28"/>
          <w:szCs w:val="28"/>
          <w:lang w:eastAsia="zh-TW"/>
        </w:rPr>
        <w:t>of academic autonomy (which the law will protect subject to any controls under employment law or contract law) and an exercise of a power for a collateral purpose</w:t>
      </w:r>
      <w:r w:rsidR="00080C41">
        <w:rPr>
          <w:rFonts w:ascii="Times New Roman" w:hAnsi="Times New Roman" w:cs="Times New Roman"/>
          <w:sz w:val="28"/>
          <w:szCs w:val="28"/>
          <w:lang w:eastAsia="zh-TW"/>
        </w:rPr>
        <w:t xml:space="preserve"> (which is amenable to scrutiny by courts)</w:t>
      </w:r>
      <w:r w:rsidR="003B135C" w:rsidRPr="00664979">
        <w:rPr>
          <w:rFonts w:ascii="Times New Roman" w:hAnsi="Times New Roman" w:cs="Times New Roman"/>
          <w:sz w:val="28"/>
          <w:szCs w:val="28"/>
          <w:lang w:eastAsia="zh-TW"/>
        </w:rPr>
        <w:t xml:space="preserve">.  </w:t>
      </w:r>
    </w:p>
    <w:p w14:paraId="755D68CE" w14:textId="77777777" w:rsidR="003B135C" w:rsidRPr="00664979" w:rsidRDefault="003B135C" w:rsidP="00664979">
      <w:pPr>
        <w:pStyle w:val="ListParagraph"/>
        <w:spacing w:line="360" w:lineRule="auto"/>
        <w:ind w:left="567"/>
        <w:jc w:val="both"/>
        <w:rPr>
          <w:rFonts w:ascii="Times New Roman" w:hAnsi="Times New Roman" w:cs="Times New Roman"/>
          <w:sz w:val="28"/>
          <w:szCs w:val="28"/>
          <w:lang w:eastAsia="zh-TW"/>
        </w:rPr>
      </w:pPr>
    </w:p>
    <w:p w14:paraId="73662F00" w14:textId="6AD9398A" w:rsidR="00DC6B18" w:rsidRPr="00664979" w:rsidRDefault="00DC6B18" w:rsidP="00664979">
      <w:pPr>
        <w:pStyle w:val="ListParagraph"/>
        <w:spacing w:line="360" w:lineRule="auto"/>
        <w:ind w:left="567"/>
        <w:jc w:val="both"/>
        <w:rPr>
          <w:rFonts w:ascii="Times New Roman" w:hAnsi="Times New Roman" w:cs="Times New Roman"/>
          <w:sz w:val="28"/>
          <w:szCs w:val="28"/>
        </w:rPr>
      </w:pPr>
    </w:p>
    <w:sectPr w:rsidR="00DC6B18" w:rsidRPr="00664979" w:rsidSect="001B2101">
      <w:headerReference w:type="even" r:id="rId7"/>
      <w:headerReference w:type="default" r:id="rId8"/>
      <w:footerReference w:type="even" r:id="rId9"/>
      <w:footerReference w:type="default" r:id="rId10"/>
      <w:headerReference w:type="first" r:id="rId11"/>
      <w:footerReference w:type="firs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385C2E" w14:textId="77777777" w:rsidR="00B20B03" w:rsidRDefault="00B20B03" w:rsidP="00664979">
      <w:r>
        <w:separator/>
      </w:r>
    </w:p>
  </w:endnote>
  <w:endnote w:type="continuationSeparator" w:id="0">
    <w:p w14:paraId="0CFF8AD4" w14:textId="77777777" w:rsidR="00B20B03" w:rsidRDefault="00B20B03" w:rsidP="00664979">
      <w:r>
        <w:continuationSeparator/>
      </w:r>
    </w:p>
  </w:endnote>
  <w:endnote w:type="continuationNotice" w:id="1">
    <w:p w14:paraId="665D93CC" w14:textId="77777777" w:rsidR="00B20B03" w:rsidRDefault="00B20B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68517048"/>
      <w:docPartObj>
        <w:docPartGallery w:val="Page Numbers (Bottom of Page)"/>
        <w:docPartUnique/>
      </w:docPartObj>
    </w:sdtPr>
    <w:sdtEndPr>
      <w:rPr>
        <w:rStyle w:val="PageNumber"/>
      </w:rPr>
    </w:sdtEndPr>
    <w:sdtContent>
      <w:p w14:paraId="12505493" w14:textId="2D158897" w:rsidR="00664979" w:rsidRDefault="00664979" w:rsidP="003E27A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sdtContent>
  </w:sdt>
  <w:p w14:paraId="502E1109" w14:textId="77777777" w:rsidR="00664979" w:rsidRDefault="006649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98290456"/>
      <w:docPartObj>
        <w:docPartGallery w:val="Page Numbers (Bottom of Page)"/>
        <w:docPartUnique/>
      </w:docPartObj>
    </w:sdtPr>
    <w:sdtEndPr>
      <w:rPr>
        <w:rStyle w:val="PageNumber"/>
        <w:rFonts w:ascii="Times New Roman" w:hAnsi="Times New Roman" w:cs="Times New Roman"/>
      </w:rPr>
    </w:sdtEndPr>
    <w:sdtContent>
      <w:p w14:paraId="115B4DF4" w14:textId="43FAD4B6" w:rsidR="00664979" w:rsidRDefault="00664979" w:rsidP="003E27A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46066F9" w14:textId="77777777" w:rsidR="00664979" w:rsidRDefault="0066497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80A9C" w14:textId="77777777" w:rsidR="00664979" w:rsidRDefault="006649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86328F" w14:textId="77777777" w:rsidR="00B20B03" w:rsidRDefault="00B20B03" w:rsidP="00664979">
      <w:r>
        <w:separator/>
      </w:r>
    </w:p>
  </w:footnote>
  <w:footnote w:type="continuationSeparator" w:id="0">
    <w:p w14:paraId="07E5FEC2" w14:textId="77777777" w:rsidR="00B20B03" w:rsidRDefault="00B20B03" w:rsidP="00664979">
      <w:r>
        <w:continuationSeparator/>
      </w:r>
    </w:p>
  </w:footnote>
  <w:footnote w:type="continuationNotice" w:id="1">
    <w:p w14:paraId="2C521CDC" w14:textId="77777777" w:rsidR="00B20B03" w:rsidRDefault="00B20B0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02C73" w14:textId="77777777" w:rsidR="00664979" w:rsidRDefault="006649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97783" w14:textId="77777777" w:rsidR="00664979" w:rsidRDefault="0066497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70C48" w14:textId="77777777" w:rsidR="00664979" w:rsidRDefault="006649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906EB"/>
    <w:multiLevelType w:val="multilevel"/>
    <w:tmpl w:val="80FCA466"/>
    <w:styleLink w:val="CurrentList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5D87D9E"/>
    <w:multiLevelType w:val="hybridMultilevel"/>
    <w:tmpl w:val="E3B2E496"/>
    <w:lvl w:ilvl="0" w:tplc="0809000F">
      <w:start w:val="1"/>
      <w:numFmt w:val="decimal"/>
      <w:lvlText w:val="%1."/>
      <w:lvlJc w:val="left"/>
      <w:pPr>
        <w:ind w:left="720" w:hanging="360"/>
      </w:pPr>
      <w:rPr>
        <w:rFonts w:hint="default"/>
      </w:rPr>
    </w:lvl>
    <w:lvl w:ilvl="1" w:tplc="FFFFFFFF">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A3F"/>
    <w:rsid w:val="0000243B"/>
    <w:rsid w:val="00070E85"/>
    <w:rsid w:val="00080C41"/>
    <w:rsid w:val="000D5C6D"/>
    <w:rsid w:val="000E2B59"/>
    <w:rsid w:val="001B2101"/>
    <w:rsid w:val="001B685E"/>
    <w:rsid w:val="00266F3A"/>
    <w:rsid w:val="00362CF4"/>
    <w:rsid w:val="003B135C"/>
    <w:rsid w:val="00435C8C"/>
    <w:rsid w:val="00490009"/>
    <w:rsid w:val="00507383"/>
    <w:rsid w:val="005A0DB8"/>
    <w:rsid w:val="005A4696"/>
    <w:rsid w:val="005E1CC0"/>
    <w:rsid w:val="005E1D70"/>
    <w:rsid w:val="00664979"/>
    <w:rsid w:val="00676AAF"/>
    <w:rsid w:val="006D0FBD"/>
    <w:rsid w:val="006D6889"/>
    <w:rsid w:val="0070597F"/>
    <w:rsid w:val="007878E1"/>
    <w:rsid w:val="007D00C0"/>
    <w:rsid w:val="008145A7"/>
    <w:rsid w:val="00874277"/>
    <w:rsid w:val="008D63BF"/>
    <w:rsid w:val="00907B5C"/>
    <w:rsid w:val="009960CF"/>
    <w:rsid w:val="009D4641"/>
    <w:rsid w:val="00AF2AF1"/>
    <w:rsid w:val="00B20B03"/>
    <w:rsid w:val="00CB42C8"/>
    <w:rsid w:val="00D00440"/>
    <w:rsid w:val="00DC6B18"/>
    <w:rsid w:val="00DD4A50"/>
    <w:rsid w:val="00E3746D"/>
    <w:rsid w:val="00EA70C7"/>
    <w:rsid w:val="00ED6A3F"/>
    <w:rsid w:val="00EE3B5C"/>
    <w:rsid w:val="00EF08CE"/>
    <w:rsid w:val="00F6725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82A23"/>
  <w14:defaultImageDpi w14:val="32767"/>
  <w15:chartTrackingRefBased/>
  <w15:docId w15:val="{A80B5ECC-7385-1D46-86F2-A08409867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6AAF"/>
    <w:pPr>
      <w:ind w:left="720"/>
      <w:contextualSpacing/>
    </w:pPr>
  </w:style>
  <w:style w:type="numbering" w:customStyle="1" w:styleId="CurrentList1">
    <w:name w:val="Current List1"/>
    <w:uiPriority w:val="99"/>
    <w:rsid w:val="00676AAF"/>
    <w:pPr>
      <w:numPr>
        <w:numId w:val="2"/>
      </w:numPr>
    </w:pPr>
  </w:style>
  <w:style w:type="paragraph" w:styleId="NormalWeb">
    <w:name w:val="Normal (Web)"/>
    <w:basedOn w:val="Normal"/>
    <w:uiPriority w:val="99"/>
    <w:unhideWhenUsed/>
    <w:rsid w:val="00DC6B18"/>
    <w:pPr>
      <w:spacing w:before="100" w:beforeAutospacing="1" w:after="100" w:afterAutospacing="1"/>
    </w:pPr>
    <w:rPr>
      <w:rFonts w:ascii="Times New Roman" w:eastAsia="Times New Roman" w:hAnsi="Times New Roman" w:cs="Times New Roman"/>
      <w:lang w:val="en-HK"/>
    </w:rPr>
  </w:style>
  <w:style w:type="character" w:customStyle="1" w:styleId="apple-converted-space">
    <w:name w:val="apple-converted-space"/>
    <w:basedOn w:val="DefaultParagraphFont"/>
    <w:rsid w:val="00DC6B18"/>
  </w:style>
  <w:style w:type="character" w:customStyle="1" w:styleId="sssh">
    <w:name w:val="ss_sh"/>
    <w:basedOn w:val="DefaultParagraphFont"/>
    <w:rsid w:val="00DC6B18"/>
  </w:style>
  <w:style w:type="paragraph" w:customStyle="1" w:styleId="Quote1">
    <w:name w:val="Quote1"/>
    <w:basedOn w:val="Normal"/>
    <w:rsid w:val="00907B5C"/>
    <w:pPr>
      <w:spacing w:before="100" w:beforeAutospacing="1" w:after="100" w:afterAutospacing="1"/>
    </w:pPr>
    <w:rPr>
      <w:rFonts w:ascii="Times New Roman" w:eastAsia="Times New Roman" w:hAnsi="Times New Roman" w:cs="Times New Roman"/>
      <w:lang w:val="en-HK"/>
    </w:rPr>
  </w:style>
  <w:style w:type="paragraph" w:styleId="Footer">
    <w:name w:val="footer"/>
    <w:basedOn w:val="Normal"/>
    <w:link w:val="FooterChar"/>
    <w:uiPriority w:val="99"/>
    <w:unhideWhenUsed/>
    <w:rsid w:val="00664979"/>
    <w:pPr>
      <w:tabs>
        <w:tab w:val="center" w:pos="4513"/>
        <w:tab w:val="right" w:pos="9026"/>
      </w:tabs>
    </w:pPr>
  </w:style>
  <w:style w:type="character" w:customStyle="1" w:styleId="FooterChar">
    <w:name w:val="Footer Char"/>
    <w:basedOn w:val="DefaultParagraphFont"/>
    <w:link w:val="Footer"/>
    <w:uiPriority w:val="99"/>
    <w:rsid w:val="00664979"/>
  </w:style>
  <w:style w:type="character" w:styleId="PageNumber">
    <w:name w:val="page number"/>
    <w:basedOn w:val="DefaultParagraphFont"/>
    <w:uiPriority w:val="99"/>
    <w:semiHidden/>
    <w:unhideWhenUsed/>
    <w:rsid w:val="00664979"/>
  </w:style>
  <w:style w:type="paragraph" w:styleId="Header">
    <w:name w:val="header"/>
    <w:basedOn w:val="Normal"/>
    <w:link w:val="HeaderChar"/>
    <w:uiPriority w:val="99"/>
    <w:unhideWhenUsed/>
    <w:rsid w:val="00664979"/>
    <w:pPr>
      <w:tabs>
        <w:tab w:val="center" w:pos="4513"/>
        <w:tab w:val="right" w:pos="9026"/>
      </w:tabs>
    </w:pPr>
  </w:style>
  <w:style w:type="character" w:customStyle="1" w:styleId="HeaderChar">
    <w:name w:val="Header Char"/>
    <w:basedOn w:val="DefaultParagraphFont"/>
    <w:link w:val="Header"/>
    <w:uiPriority w:val="99"/>
    <w:rsid w:val="00664979"/>
  </w:style>
  <w:style w:type="paragraph" w:styleId="Revision">
    <w:name w:val="Revision"/>
    <w:hidden/>
    <w:uiPriority w:val="99"/>
    <w:semiHidden/>
    <w:rsid w:val="000E2B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3876326">
      <w:bodyDiv w:val="1"/>
      <w:marLeft w:val="0"/>
      <w:marRight w:val="0"/>
      <w:marTop w:val="0"/>
      <w:marBottom w:val="0"/>
      <w:divBdr>
        <w:top w:val="none" w:sz="0" w:space="0" w:color="auto"/>
        <w:left w:val="none" w:sz="0" w:space="0" w:color="auto"/>
        <w:bottom w:val="none" w:sz="0" w:space="0" w:color="auto"/>
        <w:right w:val="none" w:sz="0" w:space="0" w:color="auto"/>
      </w:divBdr>
      <w:divsChild>
        <w:div w:id="269550780">
          <w:blockQuote w:val="1"/>
          <w:marLeft w:val="567"/>
          <w:marRight w:val="567"/>
          <w:marTop w:val="100"/>
          <w:marBottom w:val="100"/>
          <w:divBdr>
            <w:top w:val="none" w:sz="0" w:space="0" w:color="auto"/>
            <w:left w:val="none" w:sz="0" w:space="0" w:color="auto"/>
            <w:bottom w:val="none" w:sz="0" w:space="0" w:color="auto"/>
            <w:right w:val="none" w:sz="0" w:space="0" w:color="auto"/>
          </w:divBdr>
        </w:div>
      </w:divsChild>
    </w:div>
    <w:div w:id="1039013462">
      <w:bodyDiv w:val="1"/>
      <w:marLeft w:val="0"/>
      <w:marRight w:val="0"/>
      <w:marTop w:val="0"/>
      <w:marBottom w:val="0"/>
      <w:divBdr>
        <w:top w:val="none" w:sz="0" w:space="0" w:color="auto"/>
        <w:left w:val="none" w:sz="0" w:space="0" w:color="auto"/>
        <w:bottom w:val="none" w:sz="0" w:space="0" w:color="auto"/>
        <w:right w:val="none" w:sz="0" w:space="0" w:color="auto"/>
      </w:divBdr>
    </w:div>
    <w:div w:id="1184781569">
      <w:bodyDiv w:val="1"/>
      <w:marLeft w:val="0"/>
      <w:marRight w:val="0"/>
      <w:marTop w:val="0"/>
      <w:marBottom w:val="0"/>
      <w:divBdr>
        <w:top w:val="none" w:sz="0" w:space="0" w:color="auto"/>
        <w:left w:val="none" w:sz="0" w:space="0" w:color="auto"/>
        <w:bottom w:val="none" w:sz="0" w:space="0" w:color="auto"/>
        <w:right w:val="none" w:sz="0" w:space="0" w:color="auto"/>
      </w:divBdr>
    </w:div>
    <w:div w:id="1976642622">
      <w:bodyDiv w:val="1"/>
      <w:marLeft w:val="0"/>
      <w:marRight w:val="0"/>
      <w:marTop w:val="0"/>
      <w:marBottom w:val="0"/>
      <w:divBdr>
        <w:top w:val="none" w:sz="0" w:space="0" w:color="auto"/>
        <w:left w:val="none" w:sz="0" w:space="0" w:color="auto"/>
        <w:bottom w:val="none" w:sz="0" w:space="0" w:color="auto"/>
        <w:right w:val="none" w:sz="0" w:space="0" w:color="auto"/>
      </w:divBdr>
      <w:divsChild>
        <w:div w:id="1574051371">
          <w:marLeft w:val="0"/>
          <w:marRight w:val="0"/>
          <w:marTop w:val="0"/>
          <w:marBottom w:val="0"/>
          <w:divBdr>
            <w:top w:val="none" w:sz="0" w:space="0" w:color="auto"/>
            <w:left w:val="none" w:sz="0" w:space="0" w:color="auto"/>
            <w:bottom w:val="none" w:sz="0" w:space="0" w:color="auto"/>
            <w:right w:val="none" w:sz="0" w:space="0" w:color="auto"/>
          </w:divBdr>
          <w:divsChild>
            <w:div w:id="2071727327">
              <w:marLeft w:val="0"/>
              <w:marRight w:val="0"/>
              <w:marTop w:val="0"/>
              <w:marBottom w:val="0"/>
              <w:divBdr>
                <w:top w:val="none" w:sz="0" w:space="0" w:color="auto"/>
                <w:left w:val="none" w:sz="0" w:space="0" w:color="auto"/>
                <w:bottom w:val="none" w:sz="0" w:space="0" w:color="auto"/>
                <w:right w:val="none" w:sz="0" w:space="0" w:color="auto"/>
              </w:divBdr>
              <w:divsChild>
                <w:div w:id="1920361362">
                  <w:marLeft w:val="0"/>
                  <w:marRight w:val="0"/>
                  <w:marTop w:val="0"/>
                  <w:marBottom w:val="0"/>
                  <w:divBdr>
                    <w:top w:val="none" w:sz="0" w:space="0" w:color="auto"/>
                    <w:left w:val="none" w:sz="0" w:space="0" w:color="auto"/>
                    <w:bottom w:val="none" w:sz="0" w:space="0" w:color="auto"/>
                    <w:right w:val="none" w:sz="0" w:space="0" w:color="auto"/>
                  </w:divBdr>
                  <w:divsChild>
                    <w:div w:id="181274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2202</Words>
  <Characters>12553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Yat Hin Adrian Lai</dc:creator>
  <cp:keywords/>
  <dc:description/>
  <cp:lastModifiedBy>Celine Reynaud</cp:lastModifiedBy>
  <cp:revision>2</cp:revision>
  <dcterms:created xsi:type="dcterms:W3CDTF">2023-01-17T07:49:00Z</dcterms:created>
  <dcterms:modified xsi:type="dcterms:W3CDTF">2023-01-17T07:49:00Z</dcterms:modified>
</cp:coreProperties>
</file>