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7FD" w:rsidRDefault="008617FD" w:rsidP="00F959E6">
      <w:pPr>
        <w:rPr>
          <w:lang w:val="es-ES"/>
        </w:rPr>
      </w:pPr>
    </w:p>
    <w:p w:rsidR="005373EC" w:rsidRPr="004E7F47" w:rsidRDefault="005373EC" w:rsidP="00AE20DA">
      <w:pPr>
        <w:spacing w:line="360" w:lineRule="auto"/>
        <w:jc w:val="center"/>
        <w:rPr>
          <w:rFonts w:ascii="Arial" w:hAnsi="Arial" w:cs="Arial"/>
          <w:sz w:val="32"/>
          <w:szCs w:val="28"/>
          <w:lang w:val="es-ES"/>
        </w:rPr>
      </w:pPr>
    </w:p>
    <w:p w:rsidR="004E7F47" w:rsidRPr="004E7F47" w:rsidRDefault="00E07D93" w:rsidP="00AE20DA">
      <w:pPr>
        <w:spacing w:line="360" w:lineRule="auto"/>
        <w:jc w:val="center"/>
        <w:rPr>
          <w:rFonts w:ascii="Arial" w:hAnsi="Arial" w:cs="Arial"/>
          <w:sz w:val="36"/>
          <w:szCs w:val="32"/>
          <w:lang w:val="es-ES"/>
        </w:rPr>
      </w:pPr>
      <w:bookmarkStart w:id="0" w:name="_GoBack"/>
      <w:bookmarkEnd w:id="0"/>
      <w:r w:rsidRPr="004E7F47">
        <w:rPr>
          <w:noProof/>
          <w:sz w:val="28"/>
          <w:lang w:val="en-GB" w:eastAsia="en-GB"/>
        </w:rPr>
        <w:drawing>
          <wp:anchor distT="0" distB="0" distL="114300" distR="114300" simplePos="0" relativeHeight="251659264" behindDoc="0" locked="0" layoutInCell="1" allowOverlap="1" wp14:anchorId="0E4B3312" wp14:editId="75F2E465">
            <wp:simplePos x="0" y="0"/>
            <wp:positionH relativeFrom="column">
              <wp:posOffset>1957705</wp:posOffset>
            </wp:positionH>
            <wp:positionV relativeFrom="paragraph">
              <wp:posOffset>136525</wp:posOffset>
            </wp:positionV>
            <wp:extent cx="1323975" cy="1323975"/>
            <wp:effectExtent l="0" t="0" r="9525"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7F47" w:rsidRDefault="004E7F47" w:rsidP="004E7F47">
      <w:pPr>
        <w:autoSpaceDE w:val="0"/>
        <w:autoSpaceDN w:val="0"/>
        <w:adjustRightInd w:val="0"/>
        <w:ind w:left="2124"/>
        <w:jc w:val="center"/>
        <w:rPr>
          <w:rFonts w:ascii="GillSansMT" w:hAnsi="GillSansMT" w:cs="GillSansMT"/>
          <w:sz w:val="54"/>
          <w:szCs w:val="36"/>
          <w:lang w:val="es-ES" w:eastAsia="es-ES"/>
        </w:rPr>
      </w:pPr>
    </w:p>
    <w:p w:rsidR="004E7F47" w:rsidRDefault="004E7F47" w:rsidP="004E7F47">
      <w:pPr>
        <w:autoSpaceDE w:val="0"/>
        <w:autoSpaceDN w:val="0"/>
        <w:adjustRightInd w:val="0"/>
        <w:ind w:left="2124"/>
        <w:jc w:val="center"/>
        <w:rPr>
          <w:rFonts w:ascii="GillSansMT" w:hAnsi="GillSansMT" w:cs="GillSansMT"/>
          <w:sz w:val="54"/>
          <w:szCs w:val="36"/>
          <w:lang w:val="es-ES" w:eastAsia="es-ES"/>
        </w:rPr>
      </w:pPr>
    </w:p>
    <w:p w:rsidR="00E07D93" w:rsidRDefault="00E07D93" w:rsidP="004E7F47">
      <w:pPr>
        <w:autoSpaceDE w:val="0"/>
        <w:autoSpaceDN w:val="0"/>
        <w:adjustRightInd w:val="0"/>
        <w:jc w:val="center"/>
        <w:rPr>
          <w:rFonts w:ascii="GillSansMT" w:hAnsi="GillSansMT" w:cs="GillSansMT"/>
          <w:sz w:val="54"/>
          <w:szCs w:val="36"/>
          <w:lang w:val="es-ES" w:eastAsia="es-ES"/>
        </w:rPr>
      </w:pPr>
    </w:p>
    <w:p w:rsidR="004E7F47" w:rsidRPr="004E7F47" w:rsidRDefault="004E7F47" w:rsidP="004E7F47">
      <w:pPr>
        <w:autoSpaceDE w:val="0"/>
        <w:autoSpaceDN w:val="0"/>
        <w:adjustRightInd w:val="0"/>
        <w:jc w:val="center"/>
        <w:rPr>
          <w:rFonts w:ascii="GillSansMT" w:hAnsi="GillSansMT" w:cs="GillSansMT"/>
          <w:sz w:val="54"/>
          <w:szCs w:val="36"/>
          <w:lang w:val="es-ES" w:eastAsia="es-ES"/>
        </w:rPr>
      </w:pPr>
      <w:r w:rsidRPr="004E7F47">
        <w:rPr>
          <w:rFonts w:ascii="GillSansMT" w:hAnsi="GillSansMT" w:cs="GillSansMT"/>
          <w:sz w:val="54"/>
          <w:szCs w:val="36"/>
          <w:lang w:val="es-ES" w:eastAsia="es-ES"/>
        </w:rPr>
        <w:t>Procuración Penitenciaria</w:t>
      </w:r>
      <w:r>
        <w:rPr>
          <w:rFonts w:ascii="GillSansMT" w:hAnsi="GillSansMT" w:cs="GillSansMT"/>
          <w:sz w:val="54"/>
          <w:szCs w:val="36"/>
          <w:lang w:val="es-ES" w:eastAsia="es-ES"/>
        </w:rPr>
        <w:t xml:space="preserve">                        de </w:t>
      </w:r>
      <w:r w:rsidRPr="004E7F47">
        <w:rPr>
          <w:rFonts w:ascii="GillSansMT" w:hAnsi="GillSansMT" w:cs="GillSansMT"/>
          <w:sz w:val="54"/>
          <w:szCs w:val="36"/>
          <w:lang w:val="es-ES" w:eastAsia="es-ES"/>
        </w:rPr>
        <w:t>la Nación</w:t>
      </w:r>
    </w:p>
    <w:p w:rsidR="004E7F47" w:rsidRDefault="004E7F47" w:rsidP="004E7F47">
      <w:pPr>
        <w:spacing w:line="360" w:lineRule="auto"/>
        <w:jc w:val="center"/>
        <w:rPr>
          <w:rFonts w:ascii="Arial" w:hAnsi="Arial" w:cs="Arial"/>
          <w:sz w:val="32"/>
          <w:szCs w:val="32"/>
          <w:lang w:val="es-ES"/>
        </w:rPr>
      </w:pPr>
    </w:p>
    <w:p w:rsidR="004E7F47" w:rsidRDefault="004E7F47" w:rsidP="00AE20DA">
      <w:pPr>
        <w:spacing w:line="360" w:lineRule="auto"/>
        <w:jc w:val="center"/>
        <w:rPr>
          <w:rFonts w:ascii="Arial" w:hAnsi="Arial" w:cs="Arial"/>
          <w:sz w:val="32"/>
          <w:szCs w:val="32"/>
          <w:lang w:val="es-ES"/>
        </w:rPr>
      </w:pPr>
    </w:p>
    <w:p w:rsidR="004E7F47" w:rsidRDefault="004E7F47" w:rsidP="00AE20DA">
      <w:pPr>
        <w:spacing w:line="360" w:lineRule="auto"/>
        <w:jc w:val="center"/>
        <w:rPr>
          <w:rFonts w:ascii="Arial" w:hAnsi="Arial" w:cs="Arial"/>
          <w:sz w:val="32"/>
          <w:szCs w:val="32"/>
          <w:lang w:val="es-ES"/>
        </w:rPr>
      </w:pPr>
    </w:p>
    <w:p w:rsidR="004E7F47" w:rsidRDefault="00E07D93" w:rsidP="00E07D93">
      <w:pPr>
        <w:tabs>
          <w:tab w:val="left" w:pos="7740"/>
        </w:tabs>
        <w:spacing w:line="360" w:lineRule="auto"/>
        <w:rPr>
          <w:rFonts w:ascii="Arial" w:hAnsi="Arial" w:cs="Arial"/>
          <w:sz w:val="32"/>
          <w:szCs w:val="32"/>
          <w:lang w:val="es-ES"/>
        </w:rPr>
      </w:pPr>
      <w:r>
        <w:rPr>
          <w:rFonts w:ascii="Arial" w:hAnsi="Arial" w:cs="Arial"/>
          <w:sz w:val="32"/>
          <w:szCs w:val="32"/>
          <w:lang w:val="es-ES"/>
        </w:rPr>
        <w:tab/>
      </w:r>
    </w:p>
    <w:p w:rsidR="004E7F47" w:rsidRPr="00B26422" w:rsidRDefault="004E7F47" w:rsidP="00B26422">
      <w:pPr>
        <w:spacing w:line="360" w:lineRule="auto"/>
        <w:jc w:val="both"/>
        <w:rPr>
          <w:rFonts w:ascii="Arial" w:hAnsi="Arial" w:cs="Arial"/>
          <w:sz w:val="32"/>
          <w:szCs w:val="32"/>
          <w:lang w:val="es-ES"/>
        </w:rPr>
      </w:pPr>
    </w:p>
    <w:p w:rsidR="00AE20DA" w:rsidRPr="00B26422" w:rsidRDefault="00CF3948" w:rsidP="00B26422">
      <w:pPr>
        <w:spacing w:line="360" w:lineRule="auto"/>
        <w:jc w:val="center"/>
        <w:rPr>
          <w:rFonts w:ascii="Arial" w:hAnsi="Arial" w:cs="Arial"/>
          <w:sz w:val="32"/>
          <w:szCs w:val="32"/>
          <w:lang w:val="es-ES"/>
        </w:rPr>
      </w:pPr>
      <w:r w:rsidRPr="00B26422">
        <w:rPr>
          <w:rFonts w:ascii="Arial" w:hAnsi="Arial" w:cs="Arial"/>
          <w:sz w:val="32"/>
          <w:szCs w:val="32"/>
          <w:lang w:val="es-ES"/>
        </w:rPr>
        <w:t xml:space="preserve">INFORME ALTERNATIVO </w:t>
      </w:r>
      <w:r w:rsidR="008B5898">
        <w:rPr>
          <w:rFonts w:ascii="Arial" w:hAnsi="Arial" w:cs="Arial"/>
          <w:sz w:val="32"/>
          <w:szCs w:val="32"/>
          <w:lang w:val="es-ES"/>
        </w:rPr>
        <w:t xml:space="preserve">SOBRE EL CUMPLIMIENTO DE LA CONVENCIÓN INTERNACIONAL SOBRE LA ELIMINACIÓN DE TODAS LAS FORMAS DE DISCRIMINACIÓN RACIAL (CERD) </w:t>
      </w:r>
      <w:r w:rsidRPr="00B26422">
        <w:rPr>
          <w:rFonts w:ascii="Arial" w:hAnsi="Arial" w:cs="Arial"/>
          <w:sz w:val="32"/>
          <w:szCs w:val="32"/>
          <w:lang w:val="es-ES"/>
        </w:rPr>
        <w:t>EN EL MARCO DEL</w:t>
      </w:r>
      <w:r w:rsidR="008B5898">
        <w:rPr>
          <w:rFonts w:ascii="Arial" w:hAnsi="Arial" w:cs="Arial"/>
          <w:sz w:val="32"/>
          <w:szCs w:val="32"/>
          <w:lang w:val="es-ES"/>
        </w:rPr>
        <w:t xml:space="preserve"> XXI-XXIII CICLO DE PRESENTACIÓN DE INFORMES POR ARGENTINA ANTE EL CERD</w:t>
      </w:r>
      <w:r w:rsidR="005D3B1C">
        <w:rPr>
          <w:rFonts w:ascii="Arial" w:hAnsi="Arial" w:cs="Arial"/>
          <w:sz w:val="32"/>
          <w:szCs w:val="32"/>
          <w:lang w:val="es-ES"/>
        </w:rPr>
        <w:t>.</w:t>
      </w:r>
      <w:r w:rsidR="008B5898">
        <w:rPr>
          <w:rFonts w:ascii="Arial" w:hAnsi="Arial" w:cs="Arial"/>
          <w:sz w:val="32"/>
          <w:szCs w:val="32"/>
          <w:lang w:val="es-ES"/>
        </w:rPr>
        <w:t xml:space="preserve"> </w:t>
      </w:r>
    </w:p>
    <w:p w:rsidR="00B26422" w:rsidRDefault="00B26422" w:rsidP="00AE20DA">
      <w:pPr>
        <w:spacing w:line="360" w:lineRule="auto"/>
        <w:jc w:val="center"/>
        <w:rPr>
          <w:rFonts w:ascii="Arial" w:hAnsi="Arial" w:cs="Arial"/>
          <w:sz w:val="28"/>
          <w:szCs w:val="28"/>
          <w:lang w:val="es-ES"/>
        </w:rPr>
      </w:pPr>
    </w:p>
    <w:p w:rsidR="00B26422" w:rsidRPr="00B26422" w:rsidRDefault="00B26422" w:rsidP="00AE20DA">
      <w:pPr>
        <w:spacing w:line="360" w:lineRule="auto"/>
        <w:jc w:val="center"/>
        <w:rPr>
          <w:rFonts w:ascii="Arial" w:hAnsi="Arial" w:cs="Arial"/>
          <w:sz w:val="28"/>
          <w:szCs w:val="28"/>
          <w:lang w:val="es-ES"/>
        </w:rPr>
      </w:pPr>
    </w:p>
    <w:p w:rsidR="00B26422" w:rsidRPr="00B26422" w:rsidRDefault="008B5898" w:rsidP="00AE20DA">
      <w:pPr>
        <w:spacing w:line="360" w:lineRule="auto"/>
        <w:jc w:val="center"/>
        <w:rPr>
          <w:rFonts w:ascii="Arial" w:hAnsi="Arial" w:cs="Arial"/>
          <w:sz w:val="36"/>
          <w:szCs w:val="36"/>
          <w:lang w:val="es-ES"/>
        </w:rPr>
      </w:pPr>
      <w:r>
        <w:rPr>
          <w:rFonts w:ascii="Arial" w:hAnsi="Arial" w:cs="Arial"/>
          <w:sz w:val="36"/>
          <w:szCs w:val="36"/>
          <w:lang w:val="es-ES"/>
        </w:rPr>
        <w:t>91</w:t>
      </w:r>
      <w:r w:rsidR="00AE20DA" w:rsidRPr="00B26422">
        <w:rPr>
          <w:rFonts w:ascii="Arial" w:hAnsi="Arial" w:cs="Arial"/>
          <w:sz w:val="36"/>
          <w:szCs w:val="36"/>
          <w:lang w:val="es-ES"/>
        </w:rPr>
        <w:t xml:space="preserve">º </w:t>
      </w:r>
      <w:r>
        <w:rPr>
          <w:rFonts w:ascii="Arial" w:hAnsi="Arial" w:cs="Arial"/>
          <w:sz w:val="36"/>
          <w:szCs w:val="36"/>
          <w:lang w:val="es-ES"/>
        </w:rPr>
        <w:t>PERÍODO DE SESIONES</w:t>
      </w:r>
      <w:r w:rsidR="00AE20DA" w:rsidRPr="00B26422">
        <w:rPr>
          <w:rFonts w:ascii="Arial" w:hAnsi="Arial" w:cs="Arial"/>
          <w:sz w:val="36"/>
          <w:szCs w:val="36"/>
          <w:lang w:val="es-ES"/>
        </w:rPr>
        <w:t xml:space="preserve"> </w:t>
      </w:r>
    </w:p>
    <w:p w:rsidR="00AE20DA" w:rsidRPr="00B26422" w:rsidRDefault="00AE20DA" w:rsidP="00AE20DA">
      <w:pPr>
        <w:spacing w:line="360" w:lineRule="auto"/>
        <w:jc w:val="center"/>
        <w:rPr>
          <w:rFonts w:ascii="Arial" w:hAnsi="Arial" w:cs="Arial"/>
          <w:sz w:val="36"/>
          <w:szCs w:val="36"/>
          <w:lang w:val="es-ES"/>
        </w:rPr>
      </w:pPr>
      <w:r w:rsidRPr="008B5898">
        <w:rPr>
          <w:rFonts w:ascii="Arial" w:hAnsi="Arial" w:cs="Arial"/>
          <w:sz w:val="36"/>
          <w:szCs w:val="36"/>
          <w:lang w:val="es-ES"/>
        </w:rPr>
        <w:t>2</w:t>
      </w:r>
      <w:r w:rsidR="008B5898" w:rsidRPr="008B5898">
        <w:rPr>
          <w:rFonts w:ascii="Arial" w:hAnsi="Arial" w:cs="Arial"/>
          <w:sz w:val="36"/>
          <w:szCs w:val="36"/>
          <w:lang w:val="es-ES"/>
        </w:rPr>
        <w:t>1</w:t>
      </w:r>
      <w:r w:rsidRPr="008B5898">
        <w:rPr>
          <w:rFonts w:ascii="Arial" w:hAnsi="Arial" w:cs="Arial"/>
          <w:sz w:val="36"/>
          <w:szCs w:val="36"/>
          <w:lang w:val="es-ES"/>
        </w:rPr>
        <w:t xml:space="preserve"> de </w:t>
      </w:r>
      <w:r w:rsidR="008B5898" w:rsidRPr="008B5898">
        <w:rPr>
          <w:rFonts w:ascii="Arial" w:hAnsi="Arial" w:cs="Arial"/>
          <w:sz w:val="36"/>
          <w:szCs w:val="36"/>
          <w:lang w:val="es-ES"/>
        </w:rPr>
        <w:t>noviembre</w:t>
      </w:r>
      <w:r w:rsidRPr="008B5898">
        <w:rPr>
          <w:rFonts w:ascii="Arial" w:hAnsi="Arial" w:cs="Arial"/>
          <w:sz w:val="36"/>
          <w:szCs w:val="36"/>
          <w:lang w:val="es-ES"/>
        </w:rPr>
        <w:t xml:space="preserve"> – </w:t>
      </w:r>
      <w:r w:rsidR="008B5898" w:rsidRPr="008B5898">
        <w:rPr>
          <w:rFonts w:ascii="Arial" w:hAnsi="Arial" w:cs="Arial"/>
          <w:sz w:val="36"/>
          <w:szCs w:val="36"/>
          <w:lang w:val="es-ES"/>
        </w:rPr>
        <w:t>9</w:t>
      </w:r>
      <w:r w:rsidRPr="008B5898">
        <w:rPr>
          <w:rFonts w:ascii="Arial" w:hAnsi="Arial" w:cs="Arial"/>
          <w:sz w:val="36"/>
          <w:szCs w:val="36"/>
          <w:lang w:val="es-ES"/>
        </w:rPr>
        <w:t xml:space="preserve"> de </w:t>
      </w:r>
      <w:r w:rsidR="008B5898" w:rsidRPr="008B5898">
        <w:rPr>
          <w:rFonts w:ascii="Arial" w:hAnsi="Arial" w:cs="Arial"/>
          <w:sz w:val="36"/>
          <w:szCs w:val="36"/>
          <w:lang w:val="es-ES"/>
        </w:rPr>
        <w:t>diciembre</w:t>
      </w:r>
      <w:r w:rsidRPr="008B5898">
        <w:rPr>
          <w:rFonts w:ascii="Arial" w:hAnsi="Arial" w:cs="Arial"/>
          <w:sz w:val="36"/>
          <w:szCs w:val="36"/>
          <w:lang w:val="es-ES"/>
        </w:rPr>
        <w:t xml:space="preserve"> 2016</w:t>
      </w:r>
    </w:p>
    <w:p w:rsidR="00AE20DA" w:rsidRPr="00B26422" w:rsidRDefault="00AE20DA" w:rsidP="00AE20DA">
      <w:pPr>
        <w:spacing w:line="360" w:lineRule="auto"/>
        <w:jc w:val="center"/>
        <w:rPr>
          <w:rFonts w:ascii="Arial" w:hAnsi="Arial" w:cs="Arial"/>
          <w:sz w:val="36"/>
          <w:szCs w:val="36"/>
          <w:lang w:val="es-ES"/>
        </w:rPr>
      </w:pPr>
    </w:p>
    <w:p w:rsidR="002A1147" w:rsidRPr="002A1147" w:rsidRDefault="002A1147" w:rsidP="00AE20DA">
      <w:pPr>
        <w:spacing w:line="360" w:lineRule="auto"/>
        <w:jc w:val="both"/>
        <w:rPr>
          <w:rFonts w:ascii="Arial" w:hAnsi="Arial" w:cs="Arial"/>
          <w:b/>
          <w:lang w:val="es-ES"/>
        </w:rPr>
      </w:pPr>
      <w:r w:rsidRPr="002A1147">
        <w:rPr>
          <w:rFonts w:ascii="Arial" w:hAnsi="Arial" w:cs="Arial"/>
          <w:b/>
          <w:lang w:val="es-ES"/>
        </w:rPr>
        <w:lastRenderedPageBreak/>
        <w:t xml:space="preserve">1- Introducción </w:t>
      </w:r>
      <w:r w:rsidR="008B5898" w:rsidRPr="002A1147">
        <w:rPr>
          <w:rFonts w:ascii="Arial" w:hAnsi="Arial" w:cs="Arial"/>
          <w:b/>
          <w:lang w:val="es-ES"/>
        </w:rPr>
        <w:tab/>
      </w:r>
    </w:p>
    <w:p w:rsidR="00AE20DA" w:rsidRDefault="002A1147" w:rsidP="00AE20DA">
      <w:pPr>
        <w:spacing w:line="360" w:lineRule="auto"/>
        <w:jc w:val="both"/>
        <w:rPr>
          <w:rFonts w:ascii="Arial" w:hAnsi="Arial" w:cs="Arial"/>
          <w:lang w:val="es-ES"/>
        </w:rPr>
      </w:pPr>
      <w:r>
        <w:rPr>
          <w:rFonts w:ascii="Arial" w:hAnsi="Arial" w:cs="Arial"/>
          <w:lang w:val="es-ES"/>
        </w:rPr>
        <w:tab/>
      </w:r>
      <w:r w:rsidR="00AE20DA">
        <w:rPr>
          <w:rFonts w:ascii="Arial" w:hAnsi="Arial" w:cs="Arial"/>
          <w:lang w:val="es-ES"/>
        </w:rPr>
        <w:t>La Procuración Penitenciaria de la Nación</w:t>
      </w:r>
      <w:r w:rsidR="002465D0">
        <w:rPr>
          <w:rFonts w:ascii="Arial" w:hAnsi="Arial" w:cs="Arial"/>
          <w:lang w:val="es-ES"/>
        </w:rPr>
        <w:t xml:space="preserve"> (PPN)</w:t>
      </w:r>
      <w:r w:rsidR="00AE20DA">
        <w:rPr>
          <w:rFonts w:ascii="Arial" w:hAnsi="Arial" w:cs="Arial"/>
          <w:lang w:val="es-ES"/>
        </w:rPr>
        <w:t xml:space="preserve"> es un organismo estatal independiente, encargado de promover y proteger los derechos de las personas privada</w:t>
      </w:r>
      <w:r w:rsidR="002465D0">
        <w:rPr>
          <w:rFonts w:ascii="Arial" w:hAnsi="Arial" w:cs="Arial"/>
          <w:lang w:val="es-ES"/>
        </w:rPr>
        <w:t xml:space="preserve">s de su libertad en Argentina. </w:t>
      </w:r>
      <w:r w:rsidR="00AE20DA">
        <w:rPr>
          <w:rFonts w:ascii="Arial" w:hAnsi="Arial" w:cs="Arial"/>
          <w:lang w:val="es-ES"/>
        </w:rPr>
        <w:t xml:space="preserve">Sus funciones de control, reconocidas por la </w:t>
      </w:r>
      <w:r w:rsidR="008B5898">
        <w:rPr>
          <w:rFonts w:ascii="Arial" w:hAnsi="Arial" w:cs="Arial"/>
          <w:lang w:val="es-ES"/>
        </w:rPr>
        <w:t>L</w:t>
      </w:r>
      <w:r w:rsidR="00AE20DA">
        <w:rPr>
          <w:rFonts w:ascii="Arial" w:hAnsi="Arial" w:cs="Arial"/>
          <w:lang w:val="es-ES"/>
        </w:rPr>
        <w:t>ey N</w:t>
      </w:r>
      <w:r w:rsidR="008B5898">
        <w:rPr>
          <w:rFonts w:ascii="Arial" w:hAnsi="Arial" w:cs="Arial"/>
          <w:lang w:val="es-ES"/>
        </w:rPr>
        <w:t>º</w:t>
      </w:r>
      <w:r w:rsidR="00AE20DA">
        <w:rPr>
          <w:rFonts w:ascii="Arial" w:hAnsi="Arial" w:cs="Arial"/>
          <w:lang w:val="es-ES"/>
        </w:rPr>
        <w:t xml:space="preserve"> 25.875 se han visto consolidadas desde su designación como parte integrante del Comité Nacional de Prevención de la Tortura y mecanismo local para la prevención de la tortura en el régimen penitenciario federal (arts. 11, 32 y 36, Ley 26.827). </w:t>
      </w:r>
    </w:p>
    <w:p w:rsidR="00A607E2" w:rsidRDefault="008B5898" w:rsidP="00A607E2">
      <w:pPr>
        <w:spacing w:line="360" w:lineRule="auto"/>
        <w:jc w:val="both"/>
        <w:rPr>
          <w:rFonts w:ascii="Arial" w:hAnsi="Arial" w:cs="Arial"/>
          <w:lang w:val="es-ES"/>
        </w:rPr>
      </w:pPr>
      <w:r>
        <w:rPr>
          <w:rFonts w:ascii="Arial" w:hAnsi="Arial" w:cs="Arial"/>
          <w:lang w:val="es-ES"/>
        </w:rPr>
        <w:tab/>
      </w:r>
      <w:r w:rsidR="00AE20DA">
        <w:rPr>
          <w:rFonts w:ascii="Arial" w:hAnsi="Arial" w:cs="Arial"/>
          <w:lang w:val="es-ES"/>
        </w:rPr>
        <w:t xml:space="preserve">Entre sus atribuciones, el organismo audita prisiones, comisarías </w:t>
      </w:r>
      <w:r w:rsidR="00A607E2">
        <w:rPr>
          <w:rFonts w:ascii="Arial" w:hAnsi="Arial" w:cs="Arial"/>
        </w:rPr>
        <w:t>así como todo otro espacio destinado a la privación de libertad</w:t>
      </w:r>
      <w:r w:rsidR="002465D0">
        <w:rPr>
          <w:rFonts w:ascii="Arial" w:hAnsi="Arial" w:cs="Arial"/>
        </w:rPr>
        <w:t xml:space="preserve">, donde por caso se aloja a las </w:t>
      </w:r>
      <w:r w:rsidR="00A607E2">
        <w:rPr>
          <w:rFonts w:ascii="Arial" w:hAnsi="Arial" w:cs="Arial"/>
        </w:rPr>
        <w:t xml:space="preserve">personas extranjeras que son retenidas con fines de su expulsión </w:t>
      </w:r>
      <w:r>
        <w:rPr>
          <w:rFonts w:ascii="Arial" w:hAnsi="Arial" w:cs="Arial"/>
          <w:lang w:val="es-ES"/>
        </w:rPr>
        <w:t>en el marco de la aplicación de la Ley de Migraciones Nº 25.871.</w:t>
      </w:r>
      <w:r w:rsidR="00AE20DA">
        <w:rPr>
          <w:rFonts w:ascii="Arial" w:hAnsi="Arial" w:cs="Arial"/>
          <w:lang w:val="es-ES"/>
        </w:rPr>
        <w:t xml:space="preserve"> </w:t>
      </w:r>
      <w:r w:rsidR="00A607E2">
        <w:rPr>
          <w:rFonts w:ascii="Arial" w:hAnsi="Arial" w:cs="Arial"/>
          <w:lang w:val="es-ES"/>
        </w:rPr>
        <w:t xml:space="preserve">Es de destacar que al no existir una policía migratoria, </w:t>
      </w:r>
      <w:r w:rsidR="002465D0">
        <w:rPr>
          <w:rFonts w:ascii="Arial" w:hAnsi="Arial" w:cs="Arial"/>
          <w:lang w:val="es-ES"/>
        </w:rPr>
        <w:t xml:space="preserve">se utilizan para el alojamiento de las personas extranjeras </w:t>
      </w:r>
      <w:r w:rsidR="00A607E2">
        <w:rPr>
          <w:rFonts w:ascii="Arial" w:hAnsi="Arial" w:cs="Arial"/>
          <w:lang w:val="es-ES"/>
        </w:rPr>
        <w:t xml:space="preserve">dependencias </w:t>
      </w:r>
      <w:r w:rsidR="00A607E2" w:rsidRPr="00A607E2">
        <w:rPr>
          <w:rFonts w:ascii="Arial" w:hAnsi="Arial" w:cs="Arial"/>
          <w:lang w:val="es-ES"/>
        </w:rPr>
        <w:t>pertenecientes a las policías migratorias auxiliares, tales como P</w:t>
      </w:r>
      <w:r w:rsidR="00A607E2">
        <w:rPr>
          <w:rFonts w:ascii="Arial" w:hAnsi="Arial" w:cs="Arial"/>
          <w:lang w:val="es-ES"/>
        </w:rPr>
        <w:t>olicía Federal Argentina, P</w:t>
      </w:r>
      <w:r w:rsidR="00A607E2" w:rsidRPr="00A607E2">
        <w:rPr>
          <w:rFonts w:ascii="Arial" w:hAnsi="Arial" w:cs="Arial"/>
          <w:lang w:val="es-ES"/>
        </w:rPr>
        <w:t>refectura Naval Argentina, Gendarmería Nacional y Policía de Seguridad Aeroportuaria.</w:t>
      </w:r>
    </w:p>
    <w:p w:rsidR="00AE20DA" w:rsidRDefault="00A607E2" w:rsidP="00AE20DA">
      <w:pPr>
        <w:spacing w:line="360" w:lineRule="auto"/>
        <w:jc w:val="both"/>
        <w:rPr>
          <w:rFonts w:ascii="Arial" w:hAnsi="Arial" w:cs="Arial"/>
          <w:lang w:val="es-ES"/>
        </w:rPr>
      </w:pPr>
      <w:r>
        <w:rPr>
          <w:rFonts w:ascii="Arial" w:hAnsi="Arial" w:cs="Arial"/>
          <w:lang w:val="es-ES"/>
        </w:rPr>
        <w:tab/>
      </w:r>
      <w:r w:rsidR="00AE20DA">
        <w:rPr>
          <w:rFonts w:ascii="Arial" w:hAnsi="Arial" w:cs="Arial"/>
          <w:lang w:val="es-ES"/>
        </w:rPr>
        <w:t>Se entrevista a las personas privadas de su libertad</w:t>
      </w:r>
      <w:r w:rsidR="008B5898">
        <w:rPr>
          <w:rFonts w:ascii="Arial" w:hAnsi="Arial" w:cs="Arial"/>
          <w:lang w:val="es-ES"/>
        </w:rPr>
        <w:t xml:space="preserve"> </w:t>
      </w:r>
      <w:r w:rsidR="008B5898" w:rsidRPr="008B5898">
        <w:rPr>
          <w:rFonts w:ascii="Arial" w:hAnsi="Arial" w:cs="Arial"/>
          <w:lang w:val="es-ES"/>
        </w:rPr>
        <w:t>dependientes de autoridad nacional o federal</w:t>
      </w:r>
      <w:r w:rsidR="008B5898">
        <w:rPr>
          <w:rFonts w:ascii="Arial" w:hAnsi="Arial" w:cs="Arial"/>
          <w:lang w:val="es-ES"/>
        </w:rPr>
        <w:t xml:space="preserve">, </w:t>
      </w:r>
      <w:r w:rsidR="00AE20DA">
        <w:rPr>
          <w:rFonts w:ascii="Arial" w:hAnsi="Arial" w:cs="Arial"/>
          <w:lang w:val="es-ES"/>
        </w:rPr>
        <w:t xml:space="preserve">en condiciones de confidencialidad, se realizan recomendaciones administrativas a los diferentes actores del sistema penal, e incide en causas judiciales como denunciante, amigo del tribunal o parte querellante. </w:t>
      </w:r>
    </w:p>
    <w:p w:rsidR="00AE20DA" w:rsidRDefault="008B5898" w:rsidP="00AE20DA">
      <w:pPr>
        <w:spacing w:line="360" w:lineRule="auto"/>
        <w:jc w:val="both"/>
        <w:rPr>
          <w:rFonts w:ascii="Arial" w:hAnsi="Arial" w:cs="Arial"/>
          <w:lang w:val="es-ES"/>
        </w:rPr>
      </w:pPr>
      <w:r>
        <w:rPr>
          <w:rFonts w:ascii="Arial" w:hAnsi="Arial" w:cs="Arial"/>
          <w:lang w:val="es-ES"/>
        </w:rPr>
        <w:tab/>
      </w:r>
      <w:r w:rsidR="00AE20DA" w:rsidRPr="00AE20DA">
        <w:rPr>
          <w:rFonts w:ascii="Arial" w:hAnsi="Arial" w:cs="Arial"/>
          <w:lang w:val="es-ES"/>
        </w:rPr>
        <w:t xml:space="preserve">El organismo cuenta con un equipo específico de </w:t>
      </w:r>
      <w:r>
        <w:rPr>
          <w:rFonts w:ascii="Arial" w:hAnsi="Arial" w:cs="Arial"/>
          <w:lang w:val="es-ES"/>
        </w:rPr>
        <w:t xml:space="preserve">extranjeros en prisión y argentinos privados de libertad en el exterior </w:t>
      </w:r>
      <w:r w:rsidR="00AE20DA" w:rsidRPr="00AE20DA">
        <w:rPr>
          <w:rFonts w:ascii="Arial" w:hAnsi="Arial" w:cs="Arial"/>
          <w:lang w:val="es-ES"/>
        </w:rPr>
        <w:t xml:space="preserve">a fin de poder abordar, detectar y visibilizar la situación de las </w:t>
      </w:r>
      <w:r>
        <w:rPr>
          <w:rFonts w:ascii="Arial" w:hAnsi="Arial" w:cs="Arial"/>
          <w:lang w:val="es-ES"/>
        </w:rPr>
        <w:t xml:space="preserve">personas extranjeras y el colectivo de argentinos encarcelados en otros países. </w:t>
      </w:r>
      <w:r w:rsidR="00AE20DA" w:rsidRPr="00AE20DA">
        <w:rPr>
          <w:rFonts w:ascii="Arial" w:hAnsi="Arial" w:cs="Arial"/>
          <w:lang w:val="es-ES"/>
        </w:rPr>
        <w:t>Este posicionamiento político resulta fundamental y constituye un valor agregado a la labor de los órganos de monitoreo</w:t>
      </w:r>
      <w:r w:rsidR="00AE20DA">
        <w:rPr>
          <w:rStyle w:val="FootnoteReference"/>
          <w:lang w:val="es-ES"/>
        </w:rPr>
        <w:footnoteReference w:id="1"/>
      </w:r>
      <w:r w:rsidR="00AE20DA" w:rsidRPr="00AE20DA">
        <w:rPr>
          <w:rFonts w:ascii="Arial" w:hAnsi="Arial" w:cs="Arial"/>
          <w:lang w:val="es-ES"/>
        </w:rPr>
        <w:t>.</w:t>
      </w:r>
    </w:p>
    <w:p w:rsidR="005C64FE" w:rsidRDefault="005D3B1C" w:rsidP="002A1147">
      <w:pPr>
        <w:spacing w:line="360" w:lineRule="auto"/>
        <w:contextualSpacing/>
        <w:jc w:val="both"/>
        <w:rPr>
          <w:rFonts w:ascii="Arial" w:hAnsi="Arial" w:cs="Arial"/>
          <w:lang w:val="es-ES_tradnl"/>
        </w:rPr>
      </w:pPr>
      <w:r>
        <w:rPr>
          <w:rFonts w:ascii="Arial" w:hAnsi="Arial" w:cs="Arial"/>
        </w:rPr>
        <w:tab/>
      </w:r>
      <w:r w:rsidR="002A1147">
        <w:rPr>
          <w:rFonts w:ascii="Arial" w:hAnsi="Arial" w:cs="Arial"/>
        </w:rPr>
        <w:t>Por su parte, l</w:t>
      </w:r>
      <w:r w:rsidR="002A1147" w:rsidRPr="00A607E2">
        <w:rPr>
          <w:rFonts w:ascii="Arial" w:hAnsi="Arial" w:cs="Arial"/>
          <w:lang w:val="es-ES_tradnl"/>
        </w:rPr>
        <w:t xml:space="preserve">as políticas migratorias vigentes establecen mecanismos de control de ingreso y egreso del territorio argentino de personas que no sean nacionales suyas. </w:t>
      </w:r>
    </w:p>
    <w:p w:rsidR="002A1147" w:rsidRPr="00A607E2" w:rsidRDefault="002A1147" w:rsidP="005C64FE">
      <w:pPr>
        <w:spacing w:line="360" w:lineRule="auto"/>
        <w:ind w:firstLine="708"/>
        <w:contextualSpacing/>
        <w:jc w:val="both"/>
        <w:rPr>
          <w:rFonts w:ascii="Arial" w:hAnsi="Arial" w:cs="Arial"/>
          <w:lang w:val="es-ES_tradnl"/>
        </w:rPr>
      </w:pPr>
      <w:r w:rsidRPr="00A607E2">
        <w:rPr>
          <w:rFonts w:ascii="Arial" w:hAnsi="Arial" w:cs="Arial"/>
          <w:lang w:val="es-ES_tradnl"/>
        </w:rPr>
        <w:lastRenderedPageBreak/>
        <w:t>No obstante dicha potestad estatal, es obligación del mismo Estado garantizar que referidas políticas sean compatibles con las normas constitucionales y con los compromisos asumidos internacionalmente respecto a la protección de los derechos humanos.</w:t>
      </w:r>
    </w:p>
    <w:p w:rsidR="00A607E2" w:rsidRDefault="002A1147" w:rsidP="002A1147">
      <w:pPr>
        <w:spacing w:line="360" w:lineRule="auto"/>
        <w:jc w:val="both"/>
        <w:rPr>
          <w:rFonts w:ascii="Arial" w:hAnsi="Arial" w:cs="Arial"/>
          <w:lang w:val="es-ES"/>
        </w:rPr>
      </w:pPr>
      <w:r>
        <w:rPr>
          <w:rFonts w:ascii="Arial" w:hAnsi="Arial" w:cs="Arial"/>
          <w:lang w:val="es-ES_tradnl"/>
        </w:rPr>
        <w:tab/>
      </w:r>
      <w:r w:rsidRPr="00A607E2">
        <w:rPr>
          <w:rFonts w:ascii="Arial" w:hAnsi="Arial" w:cs="Arial"/>
          <w:lang w:val="es-ES_tradnl"/>
        </w:rPr>
        <w:t>A pesar de mentada obligación, y producto de los trabajos de monitoreo que realiza esta PPN desde el año 2014</w:t>
      </w:r>
      <w:r w:rsidRPr="00A607E2">
        <w:rPr>
          <w:rFonts w:ascii="Arial" w:hAnsi="Arial" w:cs="Arial"/>
          <w:vertAlign w:val="superscript"/>
          <w:lang w:val="es-ES_tradnl"/>
        </w:rPr>
        <w:footnoteReference w:id="2"/>
      </w:r>
      <w:r w:rsidR="00EF1644">
        <w:rPr>
          <w:rFonts w:ascii="Arial" w:hAnsi="Arial" w:cs="Arial"/>
          <w:lang w:val="es-ES_tradnl"/>
        </w:rPr>
        <w:t xml:space="preserve"> en otros espacios destinados a la privación de libertad que no pertenecen al Servicio Penitenciario Federal, </w:t>
      </w:r>
      <w:r w:rsidRPr="00A607E2">
        <w:rPr>
          <w:rFonts w:ascii="Arial" w:hAnsi="Arial" w:cs="Arial"/>
          <w:lang w:val="es-ES_tradnl"/>
        </w:rPr>
        <w:t>se han identificado reiteradas irregularidades en la</w:t>
      </w:r>
      <w:r w:rsidR="00EF1644">
        <w:rPr>
          <w:rFonts w:ascii="Arial" w:hAnsi="Arial" w:cs="Arial"/>
          <w:lang w:val="es-ES_tradnl"/>
        </w:rPr>
        <w:t>s</w:t>
      </w:r>
      <w:r w:rsidRPr="00A607E2">
        <w:rPr>
          <w:rFonts w:ascii="Arial" w:hAnsi="Arial" w:cs="Arial"/>
          <w:lang w:val="es-ES_tradnl"/>
        </w:rPr>
        <w:t xml:space="preserve"> </w:t>
      </w:r>
      <w:r w:rsidR="00EF1644">
        <w:rPr>
          <w:rFonts w:ascii="Arial" w:hAnsi="Arial" w:cs="Arial"/>
          <w:lang w:val="es-ES_tradnl"/>
        </w:rPr>
        <w:t>retenciones</w:t>
      </w:r>
      <w:r w:rsidRPr="00A607E2">
        <w:rPr>
          <w:rFonts w:ascii="Arial" w:hAnsi="Arial" w:cs="Arial"/>
          <w:lang w:val="es-ES_tradnl"/>
        </w:rPr>
        <w:t xml:space="preserve"> de personas extranjeras por incumplimientos a la Ley de Migraciones</w:t>
      </w:r>
      <w:r>
        <w:rPr>
          <w:rFonts w:ascii="Arial" w:hAnsi="Arial" w:cs="Arial"/>
          <w:lang w:val="es-ES_tradnl"/>
        </w:rPr>
        <w:t xml:space="preserve"> Nº 25.871</w:t>
      </w:r>
      <w:r w:rsidRPr="00A607E2">
        <w:rPr>
          <w:rFonts w:ascii="Arial" w:hAnsi="Arial" w:cs="Arial"/>
          <w:lang w:val="es-ES_tradnl"/>
        </w:rPr>
        <w:t xml:space="preserve">, y que fuesen impuestas precisamente por la autoridad migratoria nacional, es decir la Dirección Nacional de Migraciones. </w:t>
      </w:r>
      <w:r>
        <w:rPr>
          <w:rFonts w:ascii="Arial" w:hAnsi="Arial" w:cs="Arial"/>
        </w:rPr>
        <w:t>E</w:t>
      </w:r>
      <w:r w:rsidR="005D3B1C">
        <w:rPr>
          <w:rFonts w:ascii="Arial" w:hAnsi="Arial" w:cs="Arial"/>
        </w:rPr>
        <w:t xml:space="preserve">s </w:t>
      </w:r>
      <w:r w:rsidR="00EF1644">
        <w:rPr>
          <w:rFonts w:ascii="Arial" w:hAnsi="Arial" w:cs="Arial"/>
        </w:rPr>
        <w:t>necesario</w:t>
      </w:r>
      <w:r w:rsidR="005D3B1C">
        <w:rPr>
          <w:rFonts w:ascii="Arial" w:hAnsi="Arial" w:cs="Arial"/>
        </w:rPr>
        <w:t xml:space="preserve"> destacar </w:t>
      </w:r>
      <w:r w:rsidR="007450ED" w:rsidRPr="00782EA5">
        <w:rPr>
          <w:rFonts w:ascii="Arial" w:hAnsi="Arial" w:cs="Arial"/>
        </w:rPr>
        <w:t>que si bien la normativa menciona el término retención, es un eufemismo para referir a una detención por una infracción administrativa</w:t>
      </w:r>
      <w:r w:rsidR="007450ED">
        <w:rPr>
          <w:rFonts w:ascii="Arial" w:hAnsi="Arial" w:cs="Arial"/>
        </w:rPr>
        <w:t>, no por la comisión de un delito</w:t>
      </w:r>
      <w:r w:rsidR="007450ED" w:rsidRPr="00782EA5">
        <w:rPr>
          <w:rFonts w:ascii="Arial" w:hAnsi="Arial" w:cs="Arial"/>
        </w:rPr>
        <w:t>. En rigor se trata de una medida privativa de libertad.</w:t>
      </w:r>
      <w:r w:rsidR="007450ED">
        <w:rPr>
          <w:rFonts w:ascii="Arial" w:hAnsi="Arial" w:cs="Arial"/>
        </w:rPr>
        <w:t xml:space="preserve"> Asimismo que </w:t>
      </w:r>
      <w:r w:rsidR="005D3B1C">
        <w:rPr>
          <w:rFonts w:ascii="Arial" w:hAnsi="Arial" w:cs="Arial"/>
        </w:rPr>
        <w:t xml:space="preserve">la normativa vigente no habilita la retención por situación migratoria irregular, sino que procede en forma excepcional y al solo efecto de hacer efectiva una medida de expulsión firme y consentida. </w:t>
      </w:r>
    </w:p>
    <w:p w:rsidR="005D3B1C" w:rsidRDefault="005D3B1C" w:rsidP="005D3B1C">
      <w:pPr>
        <w:spacing w:line="360" w:lineRule="auto"/>
        <w:jc w:val="both"/>
        <w:rPr>
          <w:rFonts w:ascii="Arial" w:hAnsi="Arial" w:cs="Arial"/>
          <w:lang w:val="es-ES"/>
        </w:rPr>
      </w:pPr>
      <w:r>
        <w:rPr>
          <w:rFonts w:ascii="Arial" w:hAnsi="Arial" w:cs="Arial"/>
          <w:lang w:val="es-ES"/>
        </w:rPr>
        <w:tab/>
      </w:r>
      <w:r w:rsidRPr="007450ED">
        <w:rPr>
          <w:rFonts w:ascii="Arial" w:hAnsi="Arial" w:cs="Arial"/>
          <w:lang w:val="es-ES"/>
        </w:rPr>
        <w:t>En este sentido, el presente informe alternativo pretende complementar y poner en tensión el diagnóstico remitido por el Estado Argentino, en relación a la situación específica de</w:t>
      </w:r>
      <w:r>
        <w:rPr>
          <w:rFonts w:ascii="Arial" w:hAnsi="Arial" w:cs="Arial"/>
          <w:lang w:val="es-ES"/>
        </w:rPr>
        <w:t xml:space="preserve"> las personas extranjeras retenidas</w:t>
      </w:r>
      <w:r w:rsidR="002A1147">
        <w:rPr>
          <w:rFonts w:ascii="Arial" w:hAnsi="Arial" w:cs="Arial"/>
          <w:lang w:val="es-ES"/>
        </w:rPr>
        <w:t xml:space="preserve"> en razón de la Ley de Migraciones Nº 25.871</w:t>
      </w:r>
      <w:r>
        <w:rPr>
          <w:rFonts w:ascii="Arial" w:hAnsi="Arial" w:cs="Arial"/>
          <w:lang w:val="es-ES"/>
        </w:rPr>
        <w:t xml:space="preserve">. </w:t>
      </w:r>
    </w:p>
    <w:p w:rsidR="002A1147" w:rsidRDefault="002A1147" w:rsidP="005D3B1C">
      <w:pPr>
        <w:spacing w:line="360" w:lineRule="auto"/>
        <w:jc w:val="both"/>
        <w:rPr>
          <w:rFonts w:ascii="Arial" w:hAnsi="Arial" w:cs="Arial"/>
          <w:lang w:val="es-ES"/>
        </w:rPr>
      </w:pPr>
    </w:p>
    <w:p w:rsidR="002A1147" w:rsidRPr="00155D22" w:rsidRDefault="002A1147" w:rsidP="002A1147">
      <w:pPr>
        <w:spacing w:line="360" w:lineRule="auto"/>
        <w:jc w:val="both"/>
        <w:rPr>
          <w:rFonts w:ascii="Arial" w:hAnsi="Arial" w:cs="Arial"/>
          <w:lang w:val="es-ES"/>
        </w:rPr>
      </w:pPr>
      <w:r w:rsidRPr="00155D22">
        <w:rPr>
          <w:rFonts w:ascii="Arial" w:hAnsi="Arial" w:cs="Arial"/>
          <w:b/>
          <w:lang w:val="es-ES"/>
        </w:rPr>
        <w:t>2.- Resumen de casos  abordados por la Procuración Penitenciaria de la Nación respecto de personas extranjeras retenidas</w:t>
      </w:r>
    </w:p>
    <w:p w:rsidR="002A1147" w:rsidRDefault="002A1147" w:rsidP="002A1147">
      <w:pPr>
        <w:spacing w:line="360" w:lineRule="auto"/>
        <w:jc w:val="both"/>
        <w:rPr>
          <w:rFonts w:ascii="Arial" w:hAnsi="Arial" w:cs="Arial"/>
          <w:lang w:val="es-ES"/>
        </w:rPr>
      </w:pPr>
    </w:p>
    <w:p w:rsidR="00A607E2" w:rsidRPr="00155D22" w:rsidRDefault="002A1147" w:rsidP="004721AA">
      <w:pPr>
        <w:spacing w:line="360" w:lineRule="auto"/>
        <w:ind w:left="709"/>
        <w:jc w:val="both"/>
        <w:rPr>
          <w:rFonts w:ascii="Arial" w:hAnsi="Arial" w:cs="Arial"/>
          <w:b/>
          <w:lang w:val="es-ES"/>
        </w:rPr>
      </w:pPr>
      <w:r w:rsidRPr="00155D22">
        <w:rPr>
          <w:rFonts w:ascii="Arial" w:hAnsi="Arial" w:cs="Arial"/>
          <w:b/>
          <w:lang w:val="es-ES"/>
        </w:rPr>
        <w:t xml:space="preserve">a) </w:t>
      </w:r>
      <w:r w:rsidR="00A607E2" w:rsidRPr="00155D22">
        <w:rPr>
          <w:rFonts w:ascii="Arial" w:hAnsi="Arial" w:cs="Arial"/>
          <w:b/>
          <w:lang w:val="es-ES"/>
        </w:rPr>
        <w:t>Un Ciudadano peruano y un ciudadano dominicano retenidos en PSA</w:t>
      </w:r>
      <w:r w:rsidRPr="00155D22">
        <w:rPr>
          <w:rFonts w:ascii="Arial" w:hAnsi="Arial" w:cs="Arial"/>
          <w:b/>
          <w:lang w:val="es-ES"/>
        </w:rPr>
        <w:t xml:space="preserve">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En septiembre del 2014 se constató la vulneración de derechos fundamentales de 2 ciudadanos extranjeros retenidos en las dependencias que la Policía de Seguridad Aeroportuaria</w:t>
      </w:r>
      <w:r w:rsidR="00155D22">
        <w:rPr>
          <w:rFonts w:ascii="Arial" w:hAnsi="Arial" w:cs="Arial"/>
          <w:lang w:val="es-ES"/>
        </w:rPr>
        <w:t xml:space="preserve"> (PSA)</w:t>
      </w:r>
      <w:r w:rsidR="00A607E2" w:rsidRPr="00A607E2">
        <w:rPr>
          <w:rFonts w:ascii="Arial" w:hAnsi="Arial" w:cs="Arial"/>
          <w:lang w:val="es-ES"/>
        </w:rPr>
        <w:t xml:space="preserve"> posee en el Aeropuerto Internacional de Ezeiza.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El ciudadano de nacionalidad peruana, se encontraba “retenido” desde el 26 de agosto de 2014 y el ciudadano de nacionalidad dominicana, estaba “retenido” desde el 25 de agosto del mismo año -estuvo previamente detenido por el plazo de 4 días en dependencias de la Policía Federal Argentina-, ambos esperando se practique su expulsión del territorio nacional. Permanecieron privados de su libertad casi 10 días en un caso y 15 días en el otro, a disposición del Poder Ejecutivo –representado en este caso por la autoridad migratoria, DNM- ya que ni el Juzgado en lo Contencioso Administrativo Federal N° 8 Secretaría 1 ni el Juzgado en lo Contencioso Administrativo Federal  N° 12 Secretaria 23,  habían sido notificados de la privación de libertad de las mismas, como así tampoco la Defensoría Pública Oficial ante los Juzgados Federales de Ejecuciones Fiscales Tributarias ni a la Comisión del Migrante de la Defensoría General de la Nación. Reflejándose así las principales irregularidades en la materia.</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Por ellos se interpuso una acción de habeas corpus ante el Juzgado Federal de Primera Instancia en lo Criminal y Correccional N° 2 Secretaría C de Lomas de Zamora (Expte. Nº 32765/2814 (reg. </w:t>
      </w:r>
      <w:proofErr w:type="spellStart"/>
      <w:r w:rsidR="00A607E2" w:rsidRPr="00A607E2">
        <w:rPr>
          <w:rFonts w:ascii="Arial" w:hAnsi="Arial" w:cs="Arial"/>
          <w:lang w:val="es-ES"/>
        </w:rPr>
        <w:t>int</w:t>
      </w:r>
      <w:proofErr w:type="spellEnd"/>
      <w:r w:rsidR="00A607E2" w:rsidRPr="00A607E2">
        <w:rPr>
          <w:rFonts w:ascii="Arial" w:hAnsi="Arial" w:cs="Arial"/>
          <w:lang w:val="es-ES"/>
        </w:rPr>
        <w:t xml:space="preserve">. Nº 7738) caratulado "Espinoza Ortega, </w:t>
      </w:r>
      <w:proofErr w:type="spellStart"/>
      <w:r w:rsidR="00A607E2" w:rsidRPr="00A607E2">
        <w:rPr>
          <w:rFonts w:ascii="Arial" w:hAnsi="Arial" w:cs="Arial"/>
          <w:lang w:val="es-ES"/>
        </w:rPr>
        <w:t>Yonny</w:t>
      </w:r>
      <w:proofErr w:type="spellEnd"/>
      <w:r w:rsidR="00A607E2" w:rsidRPr="00A607E2">
        <w:rPr>
          <w:rFonts w:ascii="Arial" w:hAnsi="Arial" w:cs="Arial"/>
          <w:lang w:val="es-ES"/>
        </w:rPr>
        <w:t xml:space="preserve">; Mella Ortiz, Manuel Eduardo s/habeas corpus"), focalizando en la falta de cumplimiento a las previsiones del artículo 70 de la Ley 25.871. Sin embargo, el Juzgado Federal rechazó la presentación, por lo cual se apeló la resolución y se realizó un </w:t>
      </w:r>
      <w:proofErr w:type="spellStart"/>
      <w:r w:rsidR="00A607E2" w:rsidRPr="00A607E2">
        <w:rPr>
          <w:rFonts w:ascii="Arial" w:hAnsi="Arial" w:cs="Arial"/>
          <w:lang w:val="es-ES"/>
        </w:rPr>
        <w:t>amicus</w:t>
      </w:r>
      <w:proofErr w:type="spellEnd"/>
      <w:r w:rsidR="00A607E2" w:rsidRPr="00A607E2">
        <w:rPr>
          <w:rFonts w:ascii="Arial" w:hAnsi="Arial" w:cs="Arial"/>
          <w:lang w:val="es-ES"/>
        </w:rPr>
        <w:t xml:space="preserve"> </w:t>
      </w:r>
      <w:proofErr w:type="spellStart"/>
      <w:r w:rsidR="00A607E2" w:rsidRPr="00A607E2">
        <w:rPr>
          <w:rFonts w:ascii="Arial" w:hAnsi="Arial" w:cs="Arial"/>
          <w:lang w:val="es-ES"/>
        </w:rPr>
        <w:t>curiae</w:t>
      </w:r>
      <w:proofErr w:type="spellEnd"/>
      <w:r w:rsidR="00A607E2" w:rsidRPr="00A607E2">
        <w:rPr>
          <w:rFonts w:ascii="Arial" w:hAnsi="Arial" w:cs="Arial"/>
          <w:lang w:val="es-ES"/>
        </w:rPr>
        <w:t xml:space="preserve"> ante los juzgados Contencioso Administrativo intervinientes en casa caso,  acompañando el pedido de libertad efectuado por el Defensor. En ese marco, se resolvió  el cese de las retenciones una vez operados los términos, corroborándose posteriormente la recuperación de libertad de ambos extranjeros. </w:t>
      </w:r>
    </w:p>
    <w:p w:rsidR="00A607E2" w:rsidRPr="00A607E2" w:rsidRDefault="002A1147" w:rsidP="00A607E2">
      <w:pPr>
        <w:spacing w:line="360" w:lineRule="auto"/>
        <w:jc w:val="both"/>
        <w:rPr>
          <w:rFonts w:ascii="Arial" w:hAnsi="Arial" w:cs="Arial"/>
          <w:i/>
          <w:lang w:val="es-ES"/>
        </w:rPr>
      </w:pPr>
      <w:r>
        <w:rPr>
          <w:rFonts w:ascii="Arial" w:hAnsi="Arial" w:cs="Arial"/>
          <w:lang w:val="es-ES"/>
        </w:rPr>
        <w:tab/>
      </w:r>
      <w:r w:rsidR="00A607E2" w:rsidRPr="00A607E2">
        <w:rPr>
          <w:rFonts w:ascii="Arial" w:hAnsi="Arial" w:cs="Arial"/>
          <w:lang w:val="es-ES"/>
        </w:rPr>
        <w:t xml:space="preserve">En lo que respecta a la tramitación del habeas corpus, en la audiencia del artículo 14 de la Ley de Procedimiento de Habeas Corpus Nº 23.089 se requirió la extracción de testimonios para la investigación de posibles delitos en los que habría incurrido la DNM durante los procedimientos de retención implementados. Practicada la apelación, la Sala II de la Cámara Federal de La Plata resolvió confirmar el rechazo a la presentación de habeas corpus realizada por la PPN. Resulta importante destacar lo que dijo el Juez Álvarez en relación a que si bien la situación fáctica había desaparecido –los ciudadanos extranjeros se hallaban en libertad- debía hacerse saber a la autoridad administrativa que </w:t>
      </w:r>
      <w:r w:rsidR="00A607E2" w:rsidRPr="00A607E2">
        <w:rPr>
          <w:rFonts w:ascii="Arial" w:hAnsi="Arial" w:cs="Arial"/>
          <w:i/>
          <w:lang w:val="es-ES"/>
        </w:rPr>
        <w:t xml:space="preserve">“Cuando la ley establece que producida la retención se debe dar </w:t>
      </w:r>
      <w:r w:rsidR="00A607E2" w:rsidRPr="00A607E2">
        <w:rPr>
          <w:rFonts w:ascii="Arial" w:hAnsi="Arial" w:cs="Arial"/>
          <w:b/>
          <w:i/>
          <w:lang w:val="es-ES"/>
        </w:rPr>
        <w:t xml:space="preserve">“inmediato conocimiento” </w:t>
      </w:r>
      <w:r w:rsidR="00A607E2" w:rsidRPr="00A607E2">
        <w:rPr>
          <w:rFonts w:ascii="Arial" w:hAnsi="Arial" w:cs="Arial"/>
          <w:i/>
          <w:lang w:val="es-ES"/>
        </w:rPr>
        <w:t>de ella al juez que la hubiera dictado no establécela posibilidad de que dicho conocimiento se demore más que algunos instantes, a lo sumo algunas horas, pero bajo ningún concepto podemos pensar que la ley autoriza que la retención producida por la autoridad administrativa tarde en ser puesta en conocimiento del juez que la ordenó, más de varios días. (…) no debemos dejar de recordar a la Dirección Nacional de Migraciones, que debe cumplir sin dilaciones ni demoras, en toda oportunidad y cada vez que le corresponda intervenir, con lo que ordena la ley del modo y con los plazos que en ella se establecen.”</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En la instancia de la Cámara, tanto el CELS como CAREF han presentado sendos </w:t>
      </w:r>
      <w:proofErr w:type="spellStart"/>
      <w:r w:rsidR="00A607E2" w:rsidRPr="00A607E2">
        <w:rPr>
          <w:rFonts w:ascii="Arial" w:hAnsi="Arial" w:cs="Arial"/>
          <w:i/>
          <w:lang w:val="es-ES"/>
        </w:rPr>
        <w:t>amicus</w:t>
      </w:r>
      <w:proofErr w:type="spellEnd"/>
      <w:r w:rsidR="00A607E2" w:rsidRPr="00A607E2">
        <w:rPr>
          <w:rFonts w:ascii="Arial" w:hAnsi="Arial" w:cs="Arial"/>
          <w:i/>
          <w:lang w:val="es-ES"/>
        </w:rPr>
        <w:t xml:space="preserve"> </w:t>
      </w:r>
      <w:proofErr w:type="spellStart"/>
      <w:r w:rsidR="00A607E2" w:rsidRPr="00A607E2">
        <w:rPr>
          <w:rFonts w:ascii="Arial" w:hAnsi="Arial" w:cs="Arial"/>
          <w:i/>
          <w:lang w:val="es-ES"/>
        </w:rPr>
        <w:t>curiae</w:t>
      </w:r>
      <w:proofErr w:type="spellEnd"/>
      <w:r w:rsidR="00A607E2" w:rsidRPr="00A607E2">
        <w:rPr>
          <w:rFonts w:ascii="Arial" w:hAnsi="Arial" w:cs="Arial"/>
          <w:lang w:val="es-ES"/>
        </w:rPr>
        <w:t xml:space="preserve">. </w:t>
      </w:r>
    </w:p>
    <w:p w:rsidR="002A1147" w:rsidRDefault="002A1147" w:rsidP="002A1147">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Entonces bien, el expediente </w:t>
      </w:r>
      <w:r w:rsidR="00A607E2" w:rsidRPr="00B166A9">
        <w:rPr>
          <w:rFonts w:ascii="Arial" w:hAnsi="Arial" w:cs="Arial"/>
        </w:rPr>
        <w:t xml:space="preserve">Nº 32765/2814 (reg. </w:t>
      </w:r>
      <w:proofErr w:type="spellStart"/>
      <w:r w:rsidR="00A607E2" w:rsidRPr="00B166A9">
        <w:rPr>
          <w:rFonts w:ascii="Arial" w:hAnsi="Arial" w:cs="Arial"/>
        </w:rPr>
        <w:t>int</w:t>
      </w:r>
      <w:proofErr w:type="spellEnd"/>
      <w:r w:rsidR="00A607E2" w:rsidRPr="00B166A9">
        <w:rPr>
          <w:rFonts w:ascii="Arial" w:hAnsi="Arial" w:cs="Arial"/>
        </w:rPr>
        <w:t xml:space="preserve">. </w:t>
      </w:r>
      <w:r w:rsidR="00A607E2" w:rsidRPr="00A607E2">
        <w:rPr>
          <w:rFonts w:ascii="Arial" w:hAnsi="Arial" w:cs="Arial"/>
          <w:lang w:val="es-ES"/>
        </w:rPr>
        <w:t xml:space="preserve">Nº 7738) caratulado "Espinoza Ortega, </w:t>
      </w:r>
      <w:proofErr w:type="spellStart"/>
      <w:r w:rsidR="00A607E2" w:rsidRPr="00A607E2">
        <w:rPr>
          <w:rFonts w:ascii="Arial" w:hAnsi="Arial" w:cs="Arial"/>
          <w:lang w:val="es-ES"/>
        </w:rPr>
        <w:t>Yonny</w:t>
      </w:r>
      <w:proofErr w:type="spellEnd"/>
      <w:r w:rsidR="00A607E2" w:rsidRPr="00A607E2">
        <w:rPr>
          <w:rFonts w:ascii="Arial" w:hAnsi="Arial" w:cs="Arial"/>
          <w:lang w:val="es-ES"/>
        </w:rPr>
        <w:t xml:space="preserve">; Mella Ortiz, Manuel Eduardo s/habeas corpus" Juzgado Federal Nº2 de Lomas de Zamora sec. C se encuentra archivado y respecto a la investigación requerida por este organismo no se han practicado diligencias. En los próximos días se presentará un escrito solicitando se informe las medidas adoptadas, de modo de activar tal tramitación. </w:t>
      </w:r>
    </w:p>
    <w:p w:rsidR="002A1147" w:rsidRDefault="002A1147" w:rsidP="002A1147">
      <w:pPr>
        <w:spacing w:line="360" w:lineRule="auto"/>
        <w:jc w:val="both"/>
        <w:rPr>
          <w:rFonts w:ascii="Arial" w:hAnsi="Arial" w:cs="Arial"/>
          <w:lang w:val="es-ES"/>
        </w:rPr>
      </w:pPr>
    </w:p>
    <w:p w:rsidR="00A607E2" w:rsidRPr="00155D22" w:rsidRDefault="002A1147" w:rsidP="004721AA">
      <w:pPr>
        <w:spacing w:line="360" w:lineRule="auto"/>
        <w:ind w:left="709"/>
        <w:jc w:val="both"/>
        <w:rPr>
          <w:rFonts w:ascii="Arial" w:hAnsi="Arial" w:cs="Arial"/>
          <w:b/>
          <w:lang w:val="es-ES"/>
        </w:rPr>
      </w:pPr>
      <w:r w:rsidRPr="00155D22">
        <w:rPr>
          <w:rFonts w:ascii="Arial" w:hAnsi="Arial" w:cs="Arial"/>
          <w:b/>
          <w:lang w:val="es-ES"/>
        </w:rPr>
        <w:t xml:space="preserve">b) </w:t>
      </w:r>
      <w:r w:rsidR="00A607E2" w:rsidRPr="00155D22">
        <w:rPr>
          <w:rFonts w:ascii="Arial" w:hAnsi="Arial" w:cs="Arial"/>
          <w:b/>
          <w:lang w:val="es-ES"/>
        </w:rPr>
        <w:t>Ciudadano chino retenido en PSA</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En el mes de septiembre de 2014 en una visita efectuada a las dependencias que la PSA posee en el Aeropuerto Internacional de Ezeiza, se constató el alojamiento allí de un ciudadano de origen chino, quien había sido allí trasladado luego de haber estado alojado por aproximadamente 20 días en la Delegación de la PFA en San Luis –provincia en la que residía hace tiempo junto con su pareja, quien es argentina-.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Se advirtió que no había tomado contacto con ningún abogado y que por ende, no tenía conocimiento sobre los motivos de su privación de libertad.  </w:t>
      </w:r>
    </w:p>
    <w:p w:rsidR="002A1147" w:rsidRDefault="00A607E2" w:rsidP="002A1147">
      <w:pPr>
        <w:spacing w:line="360" w:lineRule="auto"/>
        <w:jc w:val="both"/>
        <w:rPr>
          <w:rFonts w:ascii="Arial" w:hAnsi="Arial" w:cs="Arial"/>
          <w:lang w:val="es-ES"/>
        </w:rPr>
      </w:pPr>
      <w:r w:rsidRPr="00A607E2">
        <w:rPr>
          <w:rFonts w:ascii="Arial" w:hAnsi="Arial" w:cs="Arial"/>
          <w:lang w:val="es-ES"/>
        </w:rPr>
        <w:t xml:space="preserve">Corroboradas las irregularidades  también  presentes en este su caso, se presentó un habeas corpus en su favor ante el Juzgado Federal de Primera Instancia en lo Criminal y Correccional N° 2 Secretaría 6 de Lomas de Zamora, luego del cual el extranjero fue liberado. </w:t>
      </w:r>
    </w:p>
    <w:p w:rsidR="002A1147" w:rsidRDefault="002A1147" w:rsidP="002A1147">
      <w:pPr>
        <w:spacing w:line="360" w:lineRule="auto"/>
        <w:jc w:val="both"/>
        <w:rPr>
          <w:rFonts w:ascii="Arial" w:hAnsi="Arial" w:cs="Arial"/>
          <w:lang w:val="es-ES"/>
        </w:rPr>
      </w:pPr>
    </w:p>
    <w:p w:rsidR="00A607E2" w:rsidRPr="00155D22" w:rsidRDefault="002A1147" w:rsidP="004721AA">
      <w:pPr>
        <w:spacing w:line="360" w:lineRule="auto"/>
        <w:ind w:left="709"/>
        <w:jc w:val="both"/>
        <w:rPr>
          <w:rFonts w:ascii="Arial" w:hAnsi="Arial" w:cs="Arial"/>
          <w:b/>
          <w:lang w:val="es-ES"/>
        </w:rPr>
      </w:pPr>
      <w:r w:rsidRPr="00155D22">
        <w:rPr>
          <w:rFonts w:ascii="Arial" w:hAnsi="Arial" w:cs="Arial"/>
          <w:b/>
          <w:lang w:val="es-ES"/>
        </w:rPr>
        <w:t xml:space="preserve">c) </w:t>
      </w:r>
      <w:r w:rsidR="00A607E2" w:rsidRPr="00155D22">
        <w:rPr>
          <w:rFonts w:ascii="Arial" w:hAnsi="Arial" w:cs="Arial"/>
          <w:b/>
          <w:lang w:val="es-ES"/>
        </w:rPr>
        <w:t>Seis ciudadanos chinos retenidos en el destacamento de Gendarmería Nacional  en Orán</w:t>
      </w:r>
    </w:p>
    <w:p w:rsidR="00A607E2" w:rsidRPr="00A607E2" w:rsidRDefault="002A1147" w:rsidP="00A607E2">
      <w:pPr>
        <w:spacing w:line="360" w:lineRule="auto"/>
        <w:jc w:val="both"/>
        <w:rPr>
          <w:rFonts w:ascii="Arial" w:hAnsi="Arial" w:cs="Arial"/>
        </w:rPr>
      </w:pPr>
      <w:r>
        <w:rPr>
          <w:rFonts w:ascii="Arial" w:hAnsi="Arial" w:cs="Arial"/>
        </w:rPr>
        <w:tab/>
      </w:r>
      <w:r w:rsidR="00A607E2" w:rsidRPr="00A607E2">
        <w:rPr>
          <w:rFonts w:ascii="Arial" w:hAnsi="Arial" w:cs="Arial"/>
        </w:rPr>
        <w:t>El martes 14 de octubre de 2014, se recibió un llamado telefónico del Dr. Andrés Reynoso – Defensor Público Oficial en Orán – manifestando que desde el 11 de octubre 6 personas de nacionalidad china se encontraban detenidas a disposición de la Dirección Nacional de Migraciones, sin poder brindar más detalles al respecto.</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Conforme la información relevada con posterioridad, los ciudadanos de nacionalidad china (3 de ellos menores de edad) ingresaron al territorio argentino a través de la frontera con Bolivia en un automóvil conducido por un ciudadano argentino, donde fueron detenidos por las fuerzas de seguridad y luego alojados en el destacamento. Ninguno de los detenidos había sido llevado ante el  juez, ni había recibido explicación alguna sobre los motivos que fundaron la privación de libertad.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Este cuadro de situación descripto motivó la presentación de una acción de habeas corpus, ante la Secretaría Penal del Juzgado Federal de San Ramón de la Nueva Orán, en favor de los seis ciudadanos chinos. A partir de la misma, el Juzgado resolvió dejar sin efecto la orden de retención dispuesta el 14 de octubre y cualquier restricción a la libertad ambulatoria respecto de los tres ciudadanos de nacionalidad china menores de edad –cuyo caso se informó a la </w:t>
      </w:r>
      <w:r w:rsidRPr="002A1147">
        <w:rPr>
          <w:rFonts w:ascii="Arial" w:hAnsi="Arial" w:cs="Arial"/>
          <w:bCs/>
        </w:rPr>
        <w:t>Procuraduría de Trata y Explotación de Personas</w:t>
      </w:r>
      <w:r w:rsidRPr="002A1147">
        <w:rPr>
          <w:rFonts w:ascii="Arial" w:hAnsi="Arial" w:cs="Arial"/>
          <w:b/>
          <w:bCs/>
        </w:rPr>
        <w:t> </w:t>
      </w:r>
      <w:r>
        <w:rPr>
          <w:rFonts w:ascii="Arial" w:hAnsi="Arial" w:cs="Arial"/>
          <w:lang w:val="es-ES"/>
        </w:rPr>
        <w:t>(</w:t>
      </w:r>
      <w:r w:rsidR="00A607E2" w:rsidRPr="00A607E2">
        <w:rPr>
          <w:rFonts w:ascii="Arial" w:hAnsi="Arial" w:cs="Arial"/>
          <w:lang w:val="es-ES"/>
        </w:rPr>
        <w:t>PROTEX</w:t>
      </w:r>
      <w:r>
        <w:rPr>
          <w:rFonts w:ascii="Arial" w:hAnsi="Arial" w:cs="Arial"/>
          <w:lang w:val="es-ES"/>
        </w:rPr>
        <w:t>)</w:t>
      </w:r>
      <w:r w:rsidR="00A607E2" w:rsidRPr="00A607E2">
        <w:rPr>
          <w:rFonts w:ascii="Arial" w:hAnsi="Arial" w:cs="Arial"/>
          <w:lang w:val="es-ES"/>
        </w:rPr>
        <w:t xml:space="preserve">-  y la libertad provisional de dos de los extranjeros adultos. Distinto temperamento adoptó respecto del restante ciudadano chino quien fue indagado por el delito de trata de personas, mientras que el ciudadano argentino por atentado a la autoridad e infracción a la 25.871. </w:t>
      </w:r>
    </w:p>
    <w:p w:rsidR="002A1147" w:rsidRDefault="002A1147" w:rsidP="002A1147">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Se destaca que en este caso la irregularidad más ostensible, fue la falta de comunicación de la detención al juez, motivo por el cual los ciudadanos chinos estuvieron privados de su libertad a disposición del Poder Ejecutivo, desde el 11 al 14 de octubre.</w:t>
      </w:r>
    </w:p>
    <w:p w:rsidR="005C64FE" w:rsidRDefault="005C64FE" w:rsidP="004721AA">
      <w:pPr>
        <w:spacing w:line="360" w:lineRule="auto"/>
        <w:ind w:left="709"/>
        <w:jc w:val="both"/>
        <w:rPr>
          <w:rFonts w:ascii="Arial" w:hAnsi="Arial" w:cs="Arial"/>
          <w:b/>
          <w:lang w:val="es-ES"/>
        </w:rPr>
      </w:pPr>
    </w:p>
    <w:p w:rsidR="00A607E2" w:rsidRPr="00155D22" w:rsidRDefault="002A1147" w:rsidP="004721AA">
      <w:pPr>
        <w:spacing w:line="360" w:lineRule="auto"/>
        <w:ind w:left="709"/>
        <w:jc w:val="both"/>
        <w:rPr>
          <w:rFonts w:ascii="Arial" w:hAnsi="Arial" w:cs="Arial"/>
          <w:b/>
          <w:lang w:val="es-ES"/>
        </w:rPr>
      </w:pPr>
      <w:r w:rsidRPr="00155D22">
        <w:rPr>
          <w:rFonts w:ascii="Arial" w:hAnsi="Arial" w:cs="Arial"/>
          <w:b/>
          <w:lang w:val="es-ES"/>
        </w:rPr>
        <w:t xml:space="preserve">d) </w:t>
      </w:r>
      <w:r w:rsidR="00A607E2" w:rsidRPr="00155D22">
        <w:rPr>
          <w:rFonts w:ascii="Arial" w:hAnsi="Arial" w:cs="Arial"/>
          <w:b/>
          <w:lang w:val="es-ES"/>
        </w:rPr>
        <w:t>Nueve ciudadanos chinos retenidos en PNA</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A mediados del mes de mayo de 2016,  y a raíz que se acercó a las oficinas de la PPN una mujer de origen chino -prima de uno de los detenidos – se tomó conocimiento de la detención de 9 ciudadanos chinos en un destacamento de la Prefectura Naval Argentina ubicado en la ciudad Autónoma de Buenos Aires. En tal oportunidad se relevó que la orden de retención había sido dictada por el Juzgado Federal en lo Criminal y Correccional N°3 de Morón. A partir de la intervención del organismo se sucedieron diversas cuestiones: atento la jurisdicción de Morón cuenta con un juzgado competente en materia contenciosa administrativa federal, el Criminal y correccional declaró su incompetencia y lo remitió al Juzgado Federal N°2 Secretaria 2 en lo Contencioso Administrativo Federal de San Martín. Por consiguiente, los 9 ciudadanos chinos quedaron a disposición de este último Juzgado.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Además de corroborar esta información, y dado el estado de indefensión en el que se encontraban los ciudadanos chinos retenidos, que habían revocado a su abogado particular y no se les había asignado abogado, es que desde el organismo se envió la nota N° 2828/SGPDH/16 a DNM requiriendo le de intervención formal a la Comisión del Migrante de la DGN. Al no haberse obtenido respuesta alguna a dicha nota,  al corroborar al día siguiente a su envío que los ciudadanos chinos continuaban privados de su libertad y sin defensa pública o particular;  y que el  primer plazo de retención se había vencido –sin contar con la orden de prorroga-,  es que se presentó una acción de habeas corpus el día 4 de julio de 2016, ante el Juzgado Nacional de Instrucción N°29, Secretaría 152.  El mismo se fundó en el exceso del plazo de prórroga de la retención –solo prorrogable por 30 días, llegando a un total de 45 días de retención para le expulsión, estando los ciudadanos retenidos por un total de 48- y en el incumplimiento de la autoridad migratoria de su obligación de efectuar una descripción precisa y fundada de por qué se requería la extensión del plazo en primer instancia.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La acción fue rechazada in </w:t>
      </w:r>
      <w:proofErr w:type="spellStart"/>
      <w:r w:rsidR="00A607E2" w:rsidRPr="00A607E2">
        <w:rPr>
          <w:rFonts w:ascii="Arial" w:hAnsi="Arial" w:cs="Arial"/>
          <w:lang w:val="es-ES"/>
        </w:rPr>
        <w:t>limine</w:t>
      </w:r>
      <w:proofErr w:type="spellEnd"/>
      <w:r w:rsidR="00A607E2" w:rsidRPr="00A607E2">
        <w:rPr>
          <w:rFonts w:ascii="Arial" w:hAnsi="Arial" w:cs="Arial"/>
          <w:lang w:val="es-ES"/>
        </w:rPr>
        <w:t xml:space="preserve">, lo cual dio lugar a la presentación del correspondiente recurso de Casación, el cual fue declarado procedente, ante la Cámara Nacional de Casación en lo Criminal y Correccional. Dicha Cámara lo declaró procedente y citó a audiencia a las partes, sin embargo, los ciudadanos retenidos se vieron expulsados del territorio nacional previo a la realización de la misma. En consecuencia, se interpuso el correspondiente Recurso Extraordinario Federal, estando pendiente el examen de admisibilidad ante la Cámara Nacional de Casación Penal.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En el marco del expediente contencioso administrativo federal se plantearon las irregularidades de DNM. En atención a ello, la jueza                                                                                                                                    del Juzgado Federal N°2 Secretaria 2 en lo Contencioso Administrativo Federal de San Martín dio intervención al Juez penal de la jurisdicción, en este caso el Juzgado Federal  Criminal y Correccional Nº 1 de San Martín. Este último juzgado consideró que la competencia correspondía al Juzgado de turno en la jurisdicción de detención, por tanto giró las actuaciones al Juzgado Federal en lo Criminal y Correccional Nº 7   Sec.  14 de CABA. </w:t>
      </w:r>
    </w:p>
    <w:p w:rsidR="002A1147" w:rsidRDefault="002A1147" w:rsidP="002A1147">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Recientemente se tomó vista de la causa </w:t>
      </w:r>
      <w:r>
        <w:rPr>
          <w:rFonts w:ascii="Arial" w:hAnsi="Arial" w:cs="Arial"/>
          <w:lang w:val="es-ES"/>
        </w:rPr>
        <w:t>N</w:t>
      </w:r>
      <w:r w:rsidR="00A607E2" w:rsidRPr="00A607E2">
        <w:rPr>
          <w:rFonts w:ascii="Arial" w:hAnsi="Arial" w:cs="Arial"/>
          <w:lang w:val="es-ES"/>
        </w:rPr>
        <w:t xml:space="preserve">° 50474, ante el Juzgado Federal de CABA, vinculada al posible delito en el que habría incurrido Dirección Nacional de Migraciones. En la misma, el Sr. Fiscal a cargo de la Fiscalía n° 6, en fecha 21 de octubre del corriente, entendió que se debía desestimar las actuaciones pues la conducta denunciada ya había sido materia de revisión, sometida al análisis de otros magistrados y descartada la existencia de delito. Sin perjuicio de ello, se sugirió al Juez remita copia al Poder Ejecutivo y al Congreso de la Nación a fin de que se conozcan las consecuencias prácticas de las decisiones que se adoptaron.  El Juez resolvió en el mismo sentido, puesto que entendió que sin el impulso fiscal no podía actuar de oficio.  El 10 de noviembre se notifica al Fiscal, Dr. Federico Delgado, quien envía copia del dictamen y de la resolución al Jefe de Gabinete y al Congreso de la Nación.  Se está evaluando como continuar desde la PPN. </w:t>
      </w:r>
    </w:p>
    <w:p w:rsidR="005C64FE" w:rsidRDefault="005C64FE" w:rsidP="002A1147">
      <w:pPr>
        <w:spacing w:line="360" w:lineRule="auto"/>
        <w:jc w:val="both"/>
        <w:rPr>
          <w:rFonts w:ascii="Arial" w:hAnsi="Arial" w:cs="Arial"/>
          <w:lang w:val="es-ES"/>
        </w:rPr>
      </w:pPr>
    </w:p>
    <w:p w:rsidR="005C64FE" w:rsidRDefault="005C64FE" w:rsidP="002A1147">
      <w:pPr>
        <w:spacing w:line="360" w:lineRule="auto"/>
        <w:jc w:val="both"/>
        <w:rPr>
          <w:rFonts w:ascii="Arial" w:hAnsi="Arial" w:cs="Arial"/>
          <w:lang w:val="es-ES"/>
        </w:rPr>
      </w:pPr>
    </w:p>
    <w:p w:rsidR="005C64FE" w:rsidRDefault="005C64FE" w:rsidP="002A1147">
      <w:pPr>
        <w:spacing w:line="360" w:lineRule="auto"/>
        <w:jc w:val="both"/>
        <w:rPr>
          <w:rFonts w:ascii="Arial" w:hAnsi="Arial" w:cs="Arial"/>
          <w:lang w:val="es-ES"/>
        </w:rPr>
      </w:pPr>
    </w:p>
    <w:p w:rsidR="002A1147" w:rsidRDefault="002A1147" w:rsidP="002A1147">
      <w:pPr>
        <w:spacing w:line="360" w:lineRule="auto"/>
        <w:jc w:val="both"/>
        <w:rPr>
          <w:rFonts w:ascii="Arial" w:hAnsi="Arial" w:cs="Arial"/>
          <w:lang w:val="es-ES"/>
        </w:rPr>
      </w:pPr>
    </w:p>
    <w:p w:rsidR="00A607E2" w:rsidRPr="00803879" w:rsidRDefault="002A1147" w:rsidP="004721AA">
      <w:pPr>
        <w:spacing w:line="360" w:lineRule="auto"/>
        <w:ind w:left="709"/>
        <w:jc w:val="both"/>
        <w:rPr>
          <w:rFonts w:ascii="Arial" w:hAnsi="Arial" w:cs="Arial"/>
          <w:b/>
          <w:lang w:val="es-ES"/>
        </w:rPr>
      </w:pPr>
      <w:r w:rsidRPr="00803879">
        <w:rPr>
          <w:rFonts w:ascii="Arial" w:hAnsi="Arial" w:cs="Arial"/>
          <w:b/>
          <w:lang w:val="es-ES"/>
        </w:rPr>
        <w:t xml:space="preserve">e) </w:t>
      </w:r>
      <w:r w:rsidR="00A607E2" w:rsidRPr="00803879">
        <w:rPr>
          <w:rFonts w:ascii="Arial" w:hAnsi="Arial" w:cs="Arial"/>
          <w:b/>
          <w:lang w:val="es-ES"/>
        </w:rPr>
        <w:t>Ciudadana china retenida en la Superintendencia de Drogas Peligrosas de la PFA</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En el mes de octubre del año 2016 se relevó un caso de una ciudadana china retenida en la Alcaidía de la Superintendencia de Drogas Peligrosas de la Policía Federal Argentina.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La mujer, de 27 años de edad, oriunda de China y con familiares viviendo en el país, se encontraba privada de su libertad y tal se corroborara con el juzgado interviniente –Juzgado Federal N°1 de Salta- este no se encontraba al tanto de la medida de encierro que pesaba sobre ella. Asimismo se corroboró que su trámite de expulsión constaba del año 2015. </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Ante esta situación se visitaron las dependencias de la PFA y a través de la utilización de una aplicación de traductor se tomó conocimiento de su deseo de permanecer en el país y de contar con la asistencia de la Comisión del Migrante de </w:t>
      </w:r>
      <w:r>
        <w:rPr>
          <w:rFonts w:ascii="Arial" w:hAnsi="Arial" w:cs="Arial"/>
          <w:lang w:val="es-ES"/>
        </w:rPr>
        <w:t xml:space="preserve">la </w:t>
      </w:r>
      <w:r w:rsidR="00A607E2" w:rsidRPr="00A607E2">
        <w:rPr>
          <w:rFonts w:ascii="Arial" w:hAnsi="Arial" w:cs="Arial"/>
          <w:lang w:val="es-ES"/>
        </w:rPr>
        <w:t>D</w:t>
      </w:r>
      <w:r>
        <w:rPr>
          <w:rFonts w:ascii="Arial" w:hAnsi="Arial" w:cs="Arial"/>
          <w:lang w:val="es-ES"/>
        </w:rPr>
        <w:t xml:space="preserve">efensoría </w:t>
      </w:r>
      <w:r w:rsidR="00A607E2" w:rsidRPr="00A607E2">
        <w:rPr>
          <w:rFonts w:ascii="Arial" w:hAnsi="Arial" w:cs="Arial"/>
          <w:lang w:val="es-ES"/>
        </w:rPr>
        <w:t>G</w:t>
      </w:r>
      <w:r>
        <w:rPr>
          <w:rFonts w:ascii="Arial" w:hAnsi="Arial" w:cs="Arial"/>
          <w:lang w:val="es-ES"/>
        </w:rPr>
        <w:t xml:space="preserve">eneral de la </w:t>
      </w:r>
      <w:r w:rsidR="00A607E2" w:rsidRPr="00A607E2">
        <w:rPr>
          <w:rFonts w:ascii="Arial" w:hAnsi="Arial" w:cs="Arial"/>
          <w:lang w:val="es-ES"/>
        </w:rPr>
        <w:t>N</w:t>
      </w:r>
      <w:r>
        <w:rPr>
          <w:rFonts w:ascii="Arial" w:hAnsi="Arial" w:cs="Arial"/>
          <w:lang w:val="es-ES"/>
        </w:rPr>
        <w:t>ación</w:t>
      </w:r>
      <w:r w:rsidR="00A607E2" w:rsidRPr="00A607E2">
        <w:rPr>
          <w:rFonts w:ascii="Arial" w:hAnsi="Arial" w:cs="Arial"/>
          <w:lang w:val="es-ES"/>
        </w:rPr>
        <w:t>.</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A fin de tomar conocimiento sobre la situación migratoria de la ciudadana china, quien manifestaba contar con una residencia precaria aún vigente, se concurrió a DNM. Sin embargo, se denegó a este organismo el acceso al expediente migratorio alegando la falta de legitimación activa de la PPN. Allí se nos informó que la detenida contaba con el patrocinio de un abogado particular.</w:t>
      </w:r>
    </w:p>
    <w:p w:rsidR="00A607E2" w:rsidRPr="00A607E2" w:rsidRDefault="002A1147" w:rsidP="00A607E2">
      <w:pPr>
        <w:spacing w:line="360" w:lineRule="auto"/>
        <w:jc w:val="both"/>
        <w:rPr>
          <w:rFonts w:ascii="Arial" w:hAnsi="Arial" w:cs="Arial"/>
          <w:lang w:val="es-ES"/>
        </w:rPr>
      </w:pPr>
      <w:r>
        <w:rPr>
          <w:rFonts w:ascii="Arial" w:hAnsi="Arial" w:cs="Arial"/>
          <w:lang w:val="es-ES"/>
        </w:rPr>
        <w:tab/>
      </w:r>
      <w:r w:rsidR="00A607E2" w:rsidRPr="00A607E2">
        <w:rPr>
          <w:rFonts w:ascii="Arial" w:hAnsi="Arial" w:cs="Arial"/>
          <w:lang w:val="es-ES"/>
        </w:rPr>
        <w:t xml:space="preserve">Hasta este momento, y habiendo pasado varios días desde la aprehensión de la ciudadana china, el juzgado interviniente aún no había emitido la orden de retención pertinente. Por ello, se presentó una acción de habeas corpus el día 18 de octubre en el Juzgado Nacional de Instrucción Nº 33. Dicha acción fue rechazada </w:t>
      </w:r>
      <w:r w:rsidR="00A607E2" w:rsidRPr="00A607E2">
        <w:rPr>
          <w:rFonts w:ascii="Arial" w:hAnsi="Arial" w:cs="Arial"/>
          <w:i/>
          <w:lang w:val="es-ES"/>
        </w:rPr>
        <w:t xml:space="preserve">in </w:t>
      </w:r>
      <w:proofErr w:type="spellStart"/>
      <w:r w:rsidR="00A607E2" w:rsidRPr="00A607E2">
        <w:rPr>
          <w:rFonts w:ascii="Arial" w:hAnsi="Arial" w:cs="Arial"/>
          <w:i/>
          <w:lang w:val="es-ES"/>
        </w:rPr>
        <w:t>limine</w:t>
      </w:r>
      <w:proofErr w:type="spellEnd"/>
      <w:r w:rsidR="00A607E2" w:rsidRPr="00A607E2">
        <w:rPr>
          <w:rFonts w:ascii="Arial" w:hAnsi="Arial" w:cs="Arial"/>
          <w:i/>
          <w:lang w:val="es-ES"/>
        </w:rPr>
        <w:t>,</w:t>
      </w:r>
      <w:r w:rsidR="00A607E2" w:rsidRPr="00A607E2">
        <w:rPr>
          <w:rFonts w:ascii="Arial" w:hAnsi="Arial" w:cs="Arial"/>
          <w:lang w:val="es-ES"/>
        </w:rPr>
        <w:t xml:space="preserve"> y con posterioridad a su presentación la ciudadana china fue expulsada del territorio nacional antes de que pudiera presentarse el recurso de casación. </w:t>
      </w:r>
    </w:p>
    <w:p w:rsidR="00A607E2" w:rsidRDefault="00A607E2" w:rsidP="00AE20DA">
      <w:pPr>
        <w:spacing w:line="360" w:lineRule="auto"/>
        <w:jc w:val="both"/>
        <w:rPr>
          <w:rFonts w:ascii="Arial" w:hAnsi="Arial" w:cs="Arial"/>
          <w:lang w:val="es-ES"/>
        </w:rPr>
      </w:pPr>
    </w:p>
    <w:p w:rsidR="005C64FE" w:rsidRDefault="005C64FE" w:rsidP="00AE20DA">
      <w:pPr>
        <w:spacing w:line="360" w:lineRule="auto"/>
        <w:jc w:val="both"/>
        <w:rPr>
          <w:rFonts w:ascii="Arial" w:hAnsi="Arial" w:cs="Arial"/>
          <w:lang w:val="es-ES"/>
        </w:rPr>
      </w:pPr>
    </w:p>
    <w:p w:rsidR="005C64FE" w:rsidRDefault="005C64FE" w:rsidP="00AE20DA">
      <w:pPr>
        <w:spacing w:line="360" w:lineRule="auto"/>
        <w:jc w:val="both"/>
        <w:rPr>
          <w:rFonts w:ascii="Arial" w:hAnsi="Arial" w:cs="Arial"/>
          <w:lang w:val="es-ES"/>
        </w:rPr>
      </w:pPr>
    </w:p>
    <w:p w:rsidR="005C64FE" w:rsidRDefault="005C64FE" w:rsidP="00AE20DA">
      <w:pPr>
        <w:spacing w:line="360" w:lineRule="auto"/>
        <w:jc w:val="both"/>
        <w:rPr>
          <w:rFonts w:ascii="Arial" w:hAnsi="Arial" w:cs="Arial"/>
          <w:lang w:val="es-ES"/>
        </w:rPr>
      </w:pPr>
    </w:p>
    <w:p w:rsidR="00A607E2" w:rsidRPr="000B0C27" w:rsidRDefault="002A1147" w:rsidP="00AE20DA">
      <w:pPr>
        <w:spacing w:line="360" w:lineRule="auto"/>
        <w:jc w:val="both"/>
        <w:rPr>
          <w:rFonts w:ascii="Arial" w:hAnsi="Arial" w:cs="Arial"/>
          <w:b/>
          <w:lang w:val="es-ES"/>
        </w:rPr>
      </w:pPr>
      <w:r w:rsidRPr="000B0C27">
        <w:rPr>
          <w:rFonts w:ascii="Arial" w:hAnsi="Arial" w:cs="Arial"/>
          <w:b/>
          <w:lang w:val="es-ES"/>
        </w:rPr>
        <w:t>3.- Principales irregularidades advertidas</w:t>
      </w:r>
    </w:p>
    <w:p w:rsidR="000B0C27" w:rsidRDefault="000B0C27" w:rsidP="000B0C27">
      <w:pPr>
        <w:spacing w:line="360" w:lineRule="auto"/>
        <w:contextualSpacing/>
        <w:jc w:val="both"/>
        <w:rPr>
          <w:rFonts w:ascii="Arial" w:hAnsi="Arial" w:cs="Arial"/>
          <w:b/>
        </w:rPr>
      </w:pPr>
    </w:p>
    <w:p w:rsidR="000B0C27" w:rsidRPr="002C0B98" w:rsidRDefault="000B0C27" w:rsidP="004721AA">
      <w:pPr>
        <w:spacing w:line="360" w:lineRule="auto"/>
        <w:ind w:left="709"/>
        <w:contextualSpacing/>
        <w:jc w:val="both"/>
        <w:rPr>
          <w:rFonts w:ascii="Arial" w:hAnsi="Arial" w:cs="Arial"/>
          <w:b/>
        </w:rPr>
      </w:pPr>
      <w:r>
        <w:rPr>
          <w:rFonts w:ascii="Arial" w:hAnsi="Arial" w:cs="Arial"/>
          <w:b/>
        </w:rPr>
        <w:t xml:space="preserve">a) </w:t>
      </w:r>
      <w:r w:rsidR="00803879">
        <w:rPr>
          <w:rFonts w:ascii="Arial" w:hAnsi="Arial" w:cs="Arial"/>
          <w:b/>
        </w:rPr>
        <w:t xml:space="preserve">Ausencia de garantías durante la </w:t>
      </w:r>
      <w:r w:rsidR="004721AA">
        <w:rPr>
          <w:rFonts w:ascii="Arial" w:hAnsi="Arial" w:cs="Arial"/>
          <w:b/>
        </w:rPr>
        <w:t>detención</w:t>
      </w:r>
    </w:p>
    <w:p w:rsidR="000B0C27" w:rsidRPr="00782EA5" w:rsidRDefault="000B0C27" w:rsidP="000B0C27">
      <w:pPr>
        <w:spacing w:line="360" w:lineRule="auto"/>
        <w:contextualSpacing/>
        <w:jc w:val="both"/>
        <w:rPr>
          <w:rFonts w:ascii="Arial" w:hAnsi="Arial" w:cs="Arial"/>
        </w:rPr>
      </w:pPr>
      <w:r>
        <w:rPr>
          <w:rFonts w:ascii="Arial" w:hAnsi="Arial" w:cs="Arial"/>
        </w:rPr>
        <w:tab/>
        <w:t>E</w:t>
      </w:r>
      <w:r w:rsidRPr="00782EA5">
        <w:rPr>
          <w:rFonts w:ascii="Arial" w:hAnsi="Arial" w:cs="Arial"/>
        </w:rPr>
        <w:t>l marco jurídico establecido por la Ley de Migraciones</w:t>
      </w:r>
      <w:r>
        <w:rPr>
          <w:rFonts w:ascii="Arial" w:hAnsi="Arial" w:cs="Arial"/>
        </w:rPr>
        <w:t xml:space="preserve"> Nº 25.871</w:t>
      </w:r>
      <w:r w:rsidRPr="00782EA5">
        <w:rPr>
          <w:rFonts w:ascii="Arial" w:hAnsi="Arial" w:cs="Arial"/>
        </w:rPr>
        <w:t xml:space="preserve"> y su Decreto Reglamentario Nº 616/2010, habilita </w:t>
      </w:r>
      <w:r>
        <w:rPr>
          <w:rFonts w:ascii="Arial" w:hAnsi="Arial" w:cs="Arial"/>
        </w:rPr>
        <w:t>a la Dirección Nacional de Migraciones (DNM) a</w:t>
      </w:r>
      <w:r w:rsidRPr="00782EA5">
        <w:rPr>
          <w:rFonts w:ascii="Arial" w:hAnsi="Arial" w:cs="Arial"/>
        </w:rPr>
        <w:t xml:space="preserve"> solicitar a la autoridad judicial competente que ordene la retención de una persona extranjera en ciertos casos específicos, a fin de asegurar la efectivización de su expulsión del territorio nacional. </w:t>
      </w:r>
      <w:r>
        <w:rPr>
          <w:rFonts w:ascii="Arial" w:hAnsi="Arial" w:cs="Arial"/>
        </w:rPr>
        <w:t xml:space="preserve"> </w:t>
      </w:r>
    </w:p>
    <w:p w:rsidR="000B0C27" w:rsidRDefault="000B0C27" w:rsidP="000B0C27">
      <w:pPr>
        <w:spacing w:line="360" w:lineRule="auto"/>
        <w:jc w:val="both"/>
        <w:rPr>
          <w:rFonts w:ascii="Arial" w:hAnsi="Arial" w:cs="Arial"/>
        </w:rPr>
      </w:pPr>
      <w:r>
        <w:rPr>
          <w:rFonts w:ascii="Arial" w:hAnsi="Arial" w:cs="Arial"/>
        </w:rPr>
        <w:tab/>
      </w:r>
      <w:r w:rsidRPr="00803879">
        <w:rPr>
          <w:rFonts w:ascii="Arial" w:hAnsi="Arial" w:cs="Arial"/>
        </w:rPr>
        <w:t>En forma particular la reglamentación migratoria establece requisitos de procedencia, de forma y plazos de duración</w:t>
      </w:r>
      <w:r w:rsidR="00803879">
        <w:rPr>
          <w:rFonts w:ascii="Arial" w:hAnsi="Arial" w:cs="Arial"/>
        </w:rPr>
        <w:t xml:space="preserve"> de la retención.</w:t>
      </w:r>
      <w:r>
        <w:rPr>
          <w:rFonts w:ascii="Arial" w:hAnsi="Arial" w:cs="Arial"/>
        </w:rPr>
        <w:t xml:space="preserve"> </w:t>
      </w:r>
    </w:p>
    <w:p w:rsidR="000B0C27" w:rsidRDefault="000B0C27" w:rsidP="000B0C27">
      <w:pPr>
        <w:spacing w:line="360" w:lineRule="auto"/>
        <w:contextualSpacing/>
        <w:jc w:val="both"/>
        <w:rPr>
          <w:rFonts w:ascii="Arial" w:hAnsi="Arial" w:cs="Arial"/>
        </w:rPr>
      </w:pPr>
      <w:r>
        <w:rPr>
          <w:rFonts w:ascii="Arial" w:hAnsi="Arial" w:cs="Arial"/>
        </w:rPr>
        <w:tab/>
        <w:t xml:space="preserve"> </w:t>
      </w:r>
      <w:r w:rsidRPr="00535C47">
        <w:rPr>
          <w:rFonts w:ascii="Arial" w:hAnsi="Arial" w:cs="Arial"/>
        </w:rPr>
        <w:t xml:space="preserve">En concreto, la principal irregularidad se vincula con la falta de tratamiento del instituto de la retención como una medida privativa de libertad excepcional, cautelar y con explicito límite de duración. </w:t>
      </w:r>
      <w:r w:rsidR="00676F5B">
        <w:rPr>
          <w:rFonts w:ascii="Arial" w:hAnsi="Arial" w:cs="Arial"/>
        </w:rPr>
        <w:t>Asimismo</w:t>
      </w:r>
      <w:r w:rsidR="005C64FE">
        <w:rPr>
          <w:rFonts w:ascii="Arial" w:hAnsi="Arial" w:cs="Arial"/>
        </w:rPr>
        <w:t xml:space="preserve">, debe mencionarse como una de las irregularidades más relevantes, </w:t>
      </w:r>
      <w:r w:rsidRPr="00535C47">
        <w:rPr>
          <w:rFonts w:ascii="Arial" w:hAnsi="Arial" w:cs="Arial"/>
        </w:rPr>
        <w:t xml:space="preserve">el incumplimiento de la obligación </w:t>
      </w:r>
      <w:r>
        <w:rPr>
          <w:rFonts w:ascii="Arial" w:hAnsi="Arial" w:cs="Arial"/>
        </w:rPr>
        <w:t xml:space="preserve">por parte de la autoridad de aplicación –Dirección Nacional de Migraciones- </w:t>
      </w:r>
      <w:r w:rsidRPr="00535C47">
        <w:rPr>
          <w:rFonts w:ascii="Arial" w:hAnsi="Arial" w:cs="Arial"/>
        </w:rPr>
        <w:t>de poner en inmediato conocimiento de la retención a los juzgados que la dispusieron</w:t>
      </w:r>
      <w:r w:rsidR="00676F5B">
        <w:rPr>
          <w:rFonts w:ascii="Arial" w:hAnsi="Arial" w:cs="Arial"/>
        </w:rPr>
        <w:t>, en clara vulneración del debido proceso, afectando el derecho de defensa y de control judicial. Así pues, a menudo</w:t>
      </w:r>
      <w:r>
        <w:rPr>
          <w:rFonts w:ascii="Arial" w:hAnsi="Arial" w:cs="Arial"/>
        </w:rPr>
        <w:t xml:space="preserve">, las personas retenidas permanecen privadas de libertad por periodos indefinidos, a disposición del Poder Ejecutivo, </w:t>
      </w:r>
      <w:r w:rsidRPr="00DA3E85">
        <w:rPr>
          <w:rFonts w:ascii="Arial" w:hAnsi="Arial" w:cs="Arial"/>
        </w:rPr>
        <w:t xml:space="preserve">respecto de las cuales el Poder Judicial ignora su </w:t>
      </w:r>
      <w:r>
        <w:rPr>
          <w:rFonts w:ascii="Arial" w:hAnsi="Arial" w:cs="Arial"/>
        </w:rPr>
        <w:t xml:space="preserve">situación. </w:t>
      </w:r>
      <w:r w:rsidR="007276F1">
        <w:rPr>
          <w:rFonts w:ascii="Arial" w:hAnsi="Arial" w:cs="Arial"/>
        </w:rPr>
        <w:t>Tampoco se procede a notificar a las dependencias consultares correspondientes, desatendiendo a las prescripciones dispuestas en la Convención de Viena sobre Relaciones Consulares de 1967.</w:t>
      </w:r>
    </w:p>
    <w:p w:rsidR="00676F5B" w:rsidRPr="007276F1" w:rsidRDefault="00676F5B" w:rsidP="000B0C27">
      <w:pPr>
        <w:spacing w:line="360" w:lineRule="auto"/>
        <w:contextualSpacing/>
        <w:jc w:val="both"/>
        <w:rPr>
          <w:rFonts w:ascii="Arial" w:hAnsi="Arial" w:cs="Arial"/>
        </w:rPr>
      </w:pPr>
      <w:r>
        <w:rPr>
          <w:rFonts w:ascii="Arial" w:hAnsi="Arial" w:cs="Arial"/>
        </w:rPr>
        <w:tab/>
      </w:r>
      <w:r w:rsidRPr="007276F1">
        <w:rPr>
          <w:rFonts w:ascii="Arial" w:hAnsi="Arial" w:cs="Arial"/>
        </w:rPr>
        <w:t xml:space="preserve">El estado de indefensión además se agrava </w:t>
      </w:r>
      <w:r w:rsidR="007276F1" w:rsidRPr="007276F1">
        <w:rPr>
          <w:rFonts w:ascii="Arial" w:hAnsi="Arial" w:cs="Arial"/>
        </w:rPr>
        <w:t xml:space="preserve">dado que </w:t>
      </w:r>
      <w:r w:rsidRPr="007276F1">
        <w:rPr>
          <w:rFonts w:ascii="Arial" w:hAnsi="Arial" w:cs="Arial"/>
        </w:rPr>
        <w:t xml:space="preserve">en la </w:t>
      </w:r>
      <w:r w:rsidR="000B0C27" w:rsidRPr="007276F1">
        <w:rPr>
          <w:rFonts w:ascii="Arial" w:hAnsi="Arial" w:cs="Arial"/>
        </w:rPr>
        <w:t xml:space="preserve">gran mayoría de los casos </w:t>
      </w:r>
      <w:r w:rsidRPr="007276F1">
        <w:rPr>
          <w:rFonts w:ascii="Arial" w:hAnsi="Arial" w:cs="Arial"/>
        </w:rPr>
        <w:t xml:space="preserve">estas personas </w:t>
      </w:r>
      <w:r w:rsidR="000B0C27" w:rsidRPr="007276F1">
        <w:rPr>
          <w:rFonts w:ascii="Arial" w:hAnsi="Arial" w:cs="Arial"/>
        </w:rPr>
        <w:t>no hablan ni comprenden el idioma español</w:t>
      </w:r>
      <w:r w:rsidR="007276F1" w:rsidRPr="007276F1">
        <w:rPr>
          <w:rFonts w:ascii="Arial" w:hAnsi="Arial" w:cs="Arial"/>
        </w:rPr>
        <w:t xml:space="preserve"> </w:t>
      </w:r>
      <w:r w:rsidRPr="007276F1">
        <w:rPr>
          <w:rFonts w:ascii="Arial" w:hAnsi="Arial" w:cs="Arial"/>
        </w:rPr>
        <w:t xml:space="preserve">desconociendo por completo los motivos por los cuales se encuentran encerradas. </w:t>
      </w:r>
      <w:r w:rsidR="007276F1" w:rsidRPr="007276F1">
        <w:rPr>
          <w:rFonts w:ascii="Arial" w:hAnsi="Arial" w:cs="Arial"/>
        </w:rPr>
        <w:t xml:space="preserve"> </w:t>
      </w:r>
    </w:p>
    <w:p w:rsidR="000B0C27" w:rsidRDefault="000B0C27" w:rsidP="000B0C27">
      <w:pPr>
        <w:spacing w:line="360" w:lineRule="auto"/>
        <w:contextualSpacing/>
        <w:jc w:val="both"/>
        <w:rPr>
          <w:rFonts w:ascii="Arial" w:hAnsi="Arial" w:cs="Arial"/>
          <w:lang w:val="es-ES_tradnl"/>
        </w:rPr>
      </w:pPr>
      <w:r>
        <w:rPr>
          <w:rFonts w:ascii="Arial" w:hAnsi="Arial" w:cs="Arial"/>
          <w:lang w:val="es-ES_tradnl"/>
        </w:rPr>
        <w:tab/>
        <w:t>L</w:t>
      </w:r>
      <w:r w:rsidRPr="00535C47">
        <w:rPr>
          <w:rFonts w:ascii="Arial" w:hAnsi="Arial" w:cs="Arial"/>
          <w:lang w:val="es-ES_tradnl"/>
        </w:rPr>
        <w:t xml:space="preserve">a discrecionalidad y arbitrariedad </w:t>
      </w:r>
      <w:r>
        <w:rPr>
          <w:rFonts w:ascii="Arial" w:hAnsi="Arial" w:cs="Arial"/>
          <w:lang w:val="es-ES_tradnl"/>
        </w:rPr>
        <w:t xml:space="preserve">en el actuar </w:t>
      </w:r>
      <w:r w:rsidRPr="00535C47">
        <w:rPr>
          <w:rFonts w:ascii="Arial" w:hAnsi="Arial" w:cs="Arial"/>
          <w:lang w:val="es-ES_tradnl"/>
        </w:rPr>
        <w:t>de la DNM, motivaron la presentación de las denuncias penales correspondientes por parte de este organismo.</w:t>
      </w:r>
      <w:r w:rsidR="004721AA">
        <w:rPr>
          <w:rFonts w:ascii="Arial" w:hAnsi="Arial" w:cs="Arial"/>
          <w:lang w:val="es-ES_tradnl"/>
        </w:rPr>
        <w:t xml:space="preserve"> </w:t>
      </w:r>
      <w:r w:rsidRPr="00535C47">
        <w:rPr>
          <w:rFonts w:ascii="Arial" w:hAnsi="Arial" w:cs="Arial"/>
          <w:lang w:val="es-ES_tradnl"/>
        </w:rPr>
        <w:t xml:space="preserve">El incumplimiento a los deberes de funcionario público de los agentes de la autoridad administrativa y las obstaculizaciones a la labor de </w:t>
      </w:r>
      <w:r w:rsidR="00803879">
        <w:rPr>
          <w:rFonts w:ascii="Arial" w:hAnsi="Arial" w:cs="Arial"/>
          <w:lang w:val="es-ES_tradnl"/>
        </w:rPr>
        <w:t>l</w:t>
      </w:r>
      <w:r w:rsidRPr="00535C47">
        <w:rPr>
          <w:rFonts w:ascii="Arial" w:hAnsi="Arial" w:cs="Arial"/>
          <w:lang w:val="es-ES_tradnl"/>
        </w:rPr>
        <w:t>a P</w:t>
      </w:r>
      <w:r w:rsidR="00803879">
        <w:rPr>
          <w:rFonts w:ascii="Arial" w:hAnsi="Arial" w:cs="Arial"/>
          <w:lang w:val="es-ES_tradnl"/>
        </w:rPr>
        <w:t>PN</w:t>
      </w:r>
      <w:r w:rsidRPr="00535C47">
        <w:rPr>
          <w:rFonts w:ascii="Arial" w:hAnsi="Arial" w:cs="Arial"/>
          <w:lang w:val="es-ES_tradnl"/>
        </w:rPr>
        <w:t xml:space="preserve"> fundamentaron tales denuncias.  </w:t>
      </w:r>
    </w:p>
    <w:p w:rsidR="000B0C27" w:rsidRPr="00921E4E" w:rsidRDefault="000B0C27" w:rsidP="004721AA">
      <w:pPr>
        <w:spacing w:line="360" w:lineRule="auto"/>
        <w:ind w:left="709"/>
        <w:contextualSpacing/>
        <w:jc w:val="both"/>
        <w:rPr>
          <w:rFonts w:ascii="Arial" w:hAnsi="Arial" w:cs="Arial"/>
          <w:b/>
        </w:rPr>
      </w:pPr>
      <w:r>
        <w:rPr>
          <w:rFonts w:ascii="Arial" w:hAnsi="Arial" w:cs="Arial"/>
          <w:b/>
        </w:rPr>
        <w:t>b</w:t>
      </w:r>
      <w:r w:rsidR="004721AA">
        <w:rPr>
          <w:rFonts w:ascii="Arial" w:hAnsi="Arial" w:cs="Arial"/>
          <w:b/>
        </w:rPr>
        <w:t>)</w:t>
      </w:r>
      <w:r w:rsidRPr="00921E4E">
        <w:rPr>
          <w:rFonts w:ascii="Arial" w:hAnsi="Arial" w:cs="Arial"/>
          <w:b/>
        </w:rPr>
        <w:t xml:space="preserve"> </w:t>
      </w:r>
      <w:r>
        <w:rPr>
          <w:rFonts w:ascii="Arial" w:hAnsi="Arial" w:cs="Arial"/>
          <w:b/>
        </w:rPr>
        <w:t>C</w:t>
      </w:r>
      <w:r w:rsidRPr="00921E4E">
        <w:rPr>
          <w:rFonts w:ascii="Arial" w:hAnsi="Arial" w:cs="Arial"/>
          <w:b/>
        </w:rPr>
        <w:t>ondiciones de alojamiento</w:t>
      </w:r>
    </w:p>
    <w:p w:rsidR="000B0C27" w:rsidRDefault="000B0C27" w:rsidP="000B0C27">
      <w:pPr>
        <w:spacing w:line="360" w:lineRule="auto"/>
        <w:contextualSpacing/>
        <w:jc w:val="both"/>
        <w:rPr>
          <w:rFonts w:ascii="Arial" w:hAnsi="Arial" w:cs="Arial"/>
        </w:rPr>
      </w:pPr>
      <w:r>
        <w:rPr>
          <w:rFonts w:ascii="Arial" w:hAnsi="Arial" w:cs="Arial"/>
        </w:rPr>
        <w:tab/>
        <w:t xml:space="preserve">Las personas extranjeras retenidas son alojadas en establecimientos dependientes de las policías migratorias auxiliares –Prefectura Naval Argentina, Gendarmería Nacional, Policía de Seguridad Aeroportuaria, Policía Federal Argentina, etc.-. </w:t>
      </w:r>
    </w:p>
    <w:p w:rsidR="000B0C27" w:rsidRDefault="000B0C27" w:rsidP="000B0C27">
      <w:pPr>
        <w:spacing w:line="360" w:lineRule="auto"/>
        <w:contextualSpacing/>
        <w:jc w:val="both"/>
        <w:rPr>
          <w:rFonts w:ascii="Arial" w:hAnsi="Arial" w:cs="Arial"/>
        </w:rPr>
      </w:pPr>
      <w:r>
        <w:rPr>
          <w:rFonts w:ascii="Arial" w:hAnsi="Arial" w:cs="Arial"/>
        </w:rPr>
        <w:tab/>
        <w:t xml:space="preserve">Se trata de espacios que no han sido construidos para el alojamiento prolongado de personas, en la mayoría de los casos son </w:t>
      </w:r>
      <w:r w:rsidR="005C64FE">
        <w:rPr>
          <w:rFonts w:ascii="Arial" w:hAnsi="Arial" w:cs="Arial"/>
        </w:rPr>
        <w:t xml:space="preserve">celdas </w:t>
      </w:r>
      <w:r>
        <w:rPr>
          <w:rFonts w:ascii="Arial" w:hAnsi="Arial" w:cs="Arial"/>
        </w:rPr>
        <w:t>diminutas, con letrina en su interior, sin ingreso de luz solar ni corriente de aire.</w:t>
      </w:r>
    </w:p>
    <w:p w:rsidR="000B0C27" w:rsidRDefault="000B0C27" w:rsidP="000B0C27">
      <w:pPr>
        <w:spacing w:line="360" w:lineRule="auto"/>
        <w:contextualSpacing/>
        <w:jc w:val="both"/>
        <w:rPr>
          <w:rFonts w:ascii="Arial" w:hAnsi="Arial" w:cs="Arial"/>
        </w:rPr>
      </w:pPr>
      <w:r>
        <w:rPr>
          <w:rFonts w:ascii="Arial" w:hAnsi="Arial" w:cs="Arial"/>
        </w:rPr>
        <w:tab/>
        <w:t xml:space="preserve">Este encierro tampoco tiene previsto la realización de ningún tipo de actividad individual ni colectiva, configurando así una práctica de aislamiento.    </w:t>
      </w:r>
    </w:p>
    <w:p w:rsidR="000B0C27" w:rsidRDefault="000B0C27" w:rsidP="000B0C27">
      <w:pPr>
        <w:spacing w:line="360" w:lineRule="auto"/>
        <w:contextualSpacing/>
        <w:jc w:val="both"/>
        <w:rPr>
          <w:rFonts w:ascii="Arial" w:hAnsi="Arial" w:cs="Arial"/>
        </w:rPr>
      </w:pPr>
      <w:r>
        <w:rPr>
          <w:rFonts w:ascii="Arial" w:hAnsi="Arial" w:cs="Arial"/>
        </w:rPr>
        <w:tab/>
        <w:t xml:space="preserve">En este marco, las personas extranjeras deben transitar su privación de libertad desposeídas de todo tipo de pertenencias y de interlocutores que hablen su mismo idioma. </w:t>
      </w:r>
    </w:p>
    <w:p w:rsidR="000B0C27" w:rsidRDefault="000B0C27" w:rsidP="000B0C27">
      <w:pPr>
        <w:spacing w:line="360" w:lineRule="auto"/>
        <w:contextualSpacing/>
        <w:jc w:val="both"/>
        <w:rPr>
          <w:rFonts w:ascii="Arial" w:hAnsi="Arial" w:cs="Arial"/>
        </w:rPr>
      </w:pPr>
      <w:r>
        <w:rPr>
          <w:rFonts w:ascii="Arial" w:hAnsi="Arial" w:cs="Arial"/>
        </w:rPr>
        <w:tab/>
        <w:t xml:space="preserve">Por </w:t>
      </w:r>
      <w:r w:rsidR="00803879">
        <w:rPr>
          <w:rFonts w:ascii="Arial" w:hAnsi="Arial" w:cs="Arial"/>
        </w:rPr>
        <w:t>otro lado</w:t>
      </w:r>
      <w:r>
        <w:rPr>
          <w:rFonts w:ascii="Arial" w:hAnsi="Arial" w:cs="Arial"/>
        </w:rPr>
        <w:t xml:space="preserve">, en el mes de septiembre de este año se anunció la creación de un Centro de Detención de Migrantes en la Ciudad Autónoma de Buenos Aires, para el alojamiento de personas infractoras a la Ley 25.871. Esto representa un punto de quiebre en la política migratoria argentina, reconocida a nivel mundial por su enfoque de derechos humanos, y cierto retroceso que habría superado la promulgación de la Ley 25.871. </w:t>
      </w:r>
    </w:p>
    <w:p w:rsidR="000B0C27" w:rsidRDefault="000B0C27" w:rsidP="000B0C27">
      <w:pPr>
        <w:spacing w:line="360" w:lineRule="auto"/>
        <w:contextualSpacing/>
        <w:jc w:val="both"/>
        <w:rPr>
          <w:rFonts w:ascii="Arial" w:hAnsi="Arial" w:cs="Arial"/>
          <w:b/>
        </w:rPr>
      </w:pPr>
    </w:p>
    <w:p w:rsidR="000B0C27" w:rsidRPr="005074E3" w:rsidRDefault="004721AA" w:rsidP="004721AA">
      <w:pPr>
        <w:spacing w:line="360" w:lineRule="auto"/>
        <w:ind w:left="709"/>
        <w:contextualSpacing/>
        <w:jc w:val="both"/>
        <w:rPr>
          <w:rFonts w:ascii="Arial" w:hAnsi="Arial" w:cs="Arial"/>
          <w:b/>
        </w:rPr>
      </w:pPr>
      <w:r>
        <w:rPr>
          <w:rFonts w:ascii="Arial" w:hAnsi="Arial" w:cs="Arial"/>
          <w:b/>
        </w:rPr>
        <w:t xml:space="preserve">c) </w:t>
      </w:r>
      <w:r w:rsidR="000B0C27" w:rsidRPr="005074E3">
        <w:rPr>
          <w:rFonts w:ascii="Arial" w:hAnsi="Arial" w:cs="Arial"/>
          <w:b/>
        </w:rPr>
        <w:t>Ausencia de datos</w:t>
      </w:r>
    </w:p>
    <w:p w:rsidR="000B0C27" w:rsidRDefault="000B0C27" w:rsidP="000B0C27">
      <w:pPr>
        <w:spacing w:line="360" w:lineRule="auto"/>
        <w:contextualSpacing/>
        <w:jc w:val="both"/>
        <w:rPr>
          <w:rFonts w:ascii="Arial" w:hAnsi="Arial" w:cs="Arial"/>
        </w:rPr>
      </w:pPr>
      <w:r>
        <w:rPr>
          <w:rFonts w:ascii="Arial" w:hAnsi="Arial" w:cs="Arial"/>
        </w:rPr>
        <w:tab/>
        <w:t xml:space="preserve">Como otras agencias del Estado Nacional, tampoco la Dirección Nacional de Migraciones produce, sistematiza ni publica datos sobre la retención de </w:t>
      </w:r>
      <w:r w:rsidR="007276F1">
        <w:rPr>
          <w:rFonts w:ascii="Arial" w:hAnsi="Arial" w:cs="Arial"/>
        </w:rPr>
        <w:t>personas extranjeras.</w:t>
      </w:r>
    </w:p>
    <w:p w:rsidR="000B0C27" w:rsidRDefault="000B0C27" w:rsidP="000B0C27">
      <w:pPr>
        <w:spacing w:line="360" w:lineRule="auto"/>
        <w:contextualSpacing/>
        <w:jc w:val="both"/>
        <w:rPr>
          <w:rFonts w:ascii="Arial" w:hAnsi="Arial" w:cs="Arial"/>
        </w:rPr>
      </w:pPr>
      <w:r>
        <w:rPr>
          <w:rFonts w:ascii="Arial" w:hAnsi="Arial" w:cs="Arial"/>
        </w:rPr>
        <w:tab/>
        <w:t xml:space="preserve">Ello impide que los organismos del Estado y la sociedad civil, sepan cuando una persona extranjera es retenida a no ser por los medios informales por los cuales podría circular tal información. </w:t>
      </w:r>
    </w:p>
    <w:p w:rsidR="000B0C27" w:rsidRDefault="000B0C27" w:rsidP="000B0C27">
      <w:pPr>
        <w:spacing w:line="360" w:lineRule="auto"/>
        <w:contextualSpacing/>
        <w:jc w:val="both"/>
        <w:rPr>
          <w:rFonts w:ascii="Arial" w:hAnsi="Arial" w:cs="Arial"/>
        </w:rPr>
      </w:pPr>
      <w:r>
        <w:rPr>
          <w:rFonts w:ascii="Arial" w:hAnsi="Arial" w:cs="Arial"/>
        </w:rPr>
        <w:tab/>
        <w:t xml:space="preserve">Este blindaje </w:t>
      </w:r>
      <w:proofErr w:type="spellStart"/>
      <w:r>
        <w:rPr>
          <w:rFonts w:ascii="Arial" w:hAnsi="Arial" w:cs="Arial"/>
        </w:rPr>
        <w:t>invisibiliza</w:t>
      </w:r>
      <w:proofErr w:type="spellEnd"/>
      <w:r>
        <w:rPr>
          <w:rFonts w:ascii="Arial" w:hAnsi="Arial" w:cs="Arial"/>
        </w:rPr>
        <w:t xml:space="preserve"> las situaciones de violencia contra estas personas que puedan suscitarse bajo esta modalidad de detención. Asimismo, no son tomadas en cuenta al momento de evidenciar el fenómeno de la violencia durante la privación de libertad. </w:t>
      </w:r>
    </w:p>
    <w:p w:rsidR="004721AA" w:rsidRDefault="004721AA" w:rsidP="002A1147">
      <w:pPr>
        <w:spacing w:line="360" w:lineRule="auto"/>
        <w:jc w:val="both"/>
        <w:rPr>
          <w:rFonts w:ascii="Arial" w:hAnsi="Arial" w:cs="Arial"/>
          <w:lang w:val="es-ES_tradnl"/>
        </w:rPr>
      </w:pPr>
    </w:p>
    <w:p w:rsidR="000B0C27" w:rsidRPr="004721AA" w:rsidRDefault="004721AA" w:rsidP="002A1147">
      <w:pPr>
        <w:spacing w:line="360" w:lineRule="auto"/>
        <w:jc w:val="both"/>
        <w:rPr>
          <w:rFonts w:ascii="Arial" w:hAnsi="Arial" w:cs="Arial"/>
          <w:b/>
          <w:lang w:val="es-ES_tradnl"/>
        </w:rPr>
      </w:pPr>
      <w:r w:rsidRPr="004721AA">
        <w:rPr>
          <w:rFonts w:ascii="Arial" w:hAnsi="Arial" w:cs="Arial"/>
          <w:b/>
          <w:lang w:val="es-ES_tradnl"/>
        </w:rPr>
        <w:t>4.- Recomendaciones sugeridas</w:t>
      </w:r>
      <w:r w:rsidR="000B0C27" w:rsidRPr="004721AA">
        <w:rPr>
          <w:rFonts w:ascii="Arial" w:hAnsi="Arial" w:cs="Arial"/>
          <w:b/>
          <w:lang w:val="es-ES_tradnl"/>
        </w:rPr>
        <w:tab/>
      </w:r>
    </w:p>
    <w:p w:rsidR="00FE32CE" w:rsidRPr="00E70F2D" w:rsidRDefault="00E70F2D" w:rsidP="00FE32CE">
      <w:pPr>
        <w:spacing w:line="360" w:lineRule="auto"/>
        <w:jc w:val="both"/>
        <w:rPr>
          <w:rFonts w:ascii="Arial" w:hAnsi="Arial" w:cs="Arial"/>
          <w:lang w:val="es-ES"/>
        </w:rPr>
      </w:pPr>
      <w:r w:rsidRPr="00E70F2D">
        <w:rPr>
          <w:rFonts w:ascii="Arial" w:hAnsi="Arial" w:cs="Arial"/>
          <w:lang w:val="es-ES"/>
        </w:rPr>
        <w:tab/>
      </w:r>
      <w:r w:rsidR="00FE32CE" w:rsidRPr="00E70F2D">
        <w:rPr>
          <w:rFonts w:ascii="Arial" w:hAnsi="Arial" w:cs="Arial"/>
          <w:lang w:val="es-ES"/>
        </w:rPr>
        <w:t>En función de la información que antecede, este organismo solicita al Comité que recomiende al Estado argentino:</w:t>
      </w:r>
    </w:p>
    <w:p w:rsidR="00B166A9" w:rsidRDefault="00E70F2D" w:rsidP="00E70F2D">
      <w:pPr>
        <w:pStyle w:val="ListParagraph"/>
        <w:numPr>
          <w:ilvl w:val="0"/>
          <w:numId w:val="18"/>
        </w:numPr>
        <w:spacing w:line="360" w:lineRule="auto"/>
        <w:jc w:val="both"/>
        <w:rPr>
          <w:rFonts w:ascii="Arial" w:hAnsi="Arial" w:cs="Arial"/>
          <w:sz w:val="24"/>
          <w:szCs w:val="24"/>
          <w:lang w:val="es-ES"/>
        </w:rPr>
      </w:pPr>
      <w:r w:rsidRPr="00E70F2D">
        <w:rPr>
          <w:rFonts w:ascii="Arial" w:hAnsi="Arial" w:cs="Arial"/>
          <w:sz w:val="24"/>
          <w:szCs w:val="24"/>
          <w:lang w:val="es-ES"/>
        </w:rPr>
        <w:t>El Estado debe asegurar que producida la retención de una persona extranjera la agencia correspondiente de inmediato conocimiento de ella al juez que la hubiera dictado, a la Defensoría General de la Nación y a la Procuración Penitenciaria de la Nación a fin de cumplir sus facultades propias y</w:t>
      </w:r>
      <w:r w:rsidR="005C64FE">
        <w:rPr>
          <w:rFonts w:ascii="Arial" w:hAnsi="Arial" w:cs="Arial"/>
          <w:sz w:val="24"/>
          <w:szCs w:val="24"/>
          <w:lang w:val="es-ES"/>
        </w:rPr>
        <w:t xml:space="preserve"> en pos de</w:t>
      </w:r>
      <w:r w:rsidRPr="00E70F2D">
        <w:rPr>
          <w:rFonts w:ascii="Arial" w:hAnsi="Arial" w:cs="Arial"/>
          <w:sz w:val="24"/>
          <w:szCs w:val="24"/>
          <w:lang w:val="es-ES"/>
        </w:rPr>
        <w:t xml:space="preserve"> </w:t>
      </w:r>
      <w:r w:rsidR="00B166A9">
        <w:rPr>
          <w:rFonts w:ascii="Arial" w:hAnsi="Arial" w:cs="Arial"/>
          <w:sz w:val="24"/>
          <w:szCs w:val="24"/>
          <w:lang w:val="es-ES"/>
        </w:rPr>
        <w:t>cumplimentar el ejercicio</w:t>
      </w:r>
      <w:r w:rsidR="005C64FE">
        <w:rPr>
          <w:rFonts w:ascii="Arial" w:hAnsi="Arial" w:cs="Arial"/>
          <w:sz w:val="24"/>
          <w:szCs w:val="24"/>
          <w:lang w:val="es-ES"/>
        </w:rPr>
        <w:t xml:space="preserve"> real </w:t>
      </w:r>
      <w:r w:rsidR="00B166A9">
        <w:rPr>
          <w:rFonts w:ascii="Arial" w:hAnsi="Arial" w:cs="Arial"/>
          <w:sz w:val="24"/>
          <w:szCs w:val="24"/>
          <w:lang w:val="es-ES"/>
        </w:rPr>
        <w:t>de las garantías de debido proceso reconocidas en la normativa vigente.</w:t>
      </w:r>
    </w:p>
    <w:p w:rsidR="004721AA" w:rsidRPr="00E70F2D" w:rsidRDefault="00E70F2D" w:rsidP="004721AA">
      <w:pPr>
        <w:pStyle w:val="ListParagraph"/>
        <w:numPr>
          <w:ilvl w:val="0"/>
          <w:numId w:val="18"/>
        </w:numPr>
        <w:spacing w:line="360" w:lineRule="auto"/>
        <w:jc w:val="both"/>
        <w:rPr>
          <w:rFonts w:ascii="Arial" w:hAnsi="Arial" w:cs="Arial"/>
          <w:sz w:val="24"/>
          <w:szCs w:val="24"/>
          <w:lang w:val="es-ES"/>
        </w:rPr>
      </w:pPr>
      <w:r w:rsidRPr="00E70F2D">
        <w:rPr>
          <w:rFonts w:ascii="Arial" w:hAnsi="Arial" w:cs="Arial"/>
          <w:sz w:val="24"/>
          <w:szCs w:val="24"/>
          <w:lang w:val="es-ES"/>
        </w:rPr>
        <w:t xml:space="preserve">La construcción y consolidación </w:t>
      </w:r>
      <w:r w:rsidR="004721AA" w:rsidRPr="00E70F2D">
        <w:rPr>
          <w:rFonts w:ascii="Arial" w:hAnsi="Arial" w:cs="Arial"/>
          <w:sz w:val="24"/>
          <w:szCs w:val="24"/>
          <w:lang w:val="es-ES"/>
        </w:rPr>
        <w:t xml:space="preserve">de bases de datos confiables de las personas retenidas, así como la publicación periódica de información estadística sobre la cantidad de personas retenidas, los lugares empleados a tal efecto, las órdenes de expulsión dictadas y las expulsiones ejecutadas. </w:t>
      </w:r>
    </w:p>
    <w:p w:rsidR="00E70F2D" w:rsidRPr="00E70F2D" w:rsidRDefault="00E70F2D" w:rsidP="00E70F2D">
      <w:pPr>
        <w:pStyle w:val="ListParagraph"/>
        <w:numPr>
          <w:ilvl w:val="0"/>
          <w:numId w:val="18"/>
        </w:numPr>
        <w:spacing w:line="360" w:lineRule="auto"/>
        <w:jc w:val="both"/>
        <w:rPr>
          <w:rFonts w:ascii="Arial" w:hAnsi="Arial" w:cs="Arial"/>
          <w:sz w:val="24"/>
          <w:szCs w:val="24"/>
        </w:rPr>
      </w:pPr>
      <w:r w:rsidRPr="00E70F2D">
        <w:rPr>
          <w:rFonts w:ascii="Arial" w:hAnsi="Arial" w:cs="Arial"/>
          <w:sz w:val="24"/>
          <w:szCs w:val="24"/>
        </w:rPr>
        <w:t xml:space="preserve">La aplicación de los lineamientos pronunciados por la Corte Interamericana de Derechos Humanos en el caso “Vélez Loor c/Panamá” en que se sienta la jurisprudencia para el tratamiento de los casos de irregularidad migratoria y retención. </w:t>
      </w:r>
    </w:p>
    <w:sectPr w:rsidR="00E70F2D" w:rsidRPr="00E70F2D" w:rsidSect="00E07D93">
      <w:footerReference w:type="even" r:id="rId10"/>
      <w:footerReference w:type="default" r:id="rId11"/>
      <w:pgSz w:w="11906" w:h="16838" w:code="9"/>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11A" w:rsidRDefault="00A9611A">
      <w:r>
        <w:separator/>
      </w:r>
    </w:p>
  </w:endnote>
  <w:endnote w:type="continuationSeparator" w:id="0">
    <w:p w:rsidR="00A9611A" w:rsidRDefault="00A96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illSan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7D93" w:rsidRDefault="00E07D93" w:rsidP="00E07D93">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9667181"/>
      <w:docPartObj>
        <w:docPartGallery w:val="Page Numbers (Bottom of Page)"/>
        <w:docPartUnique/>
      </w:docPartObj>
    </w:sdtPr>
    <w:sdtEndPr/>
    <w:sdtContent>
      <w:p w:rsidR="00E07D93" w:rsidRDefault="00E07D93">
        <w:pPr>
          <w:pStyle w:val="Footer"/>
          <w:jc w:val="right"/>
        </w:pPr>
        <w:r>
          <w:fldChar w:fldCharType="begin"/>
        </w:r>
        <w:r>
          <w:instrText>PAGE   \* MERGEFORMAT</w:instrText>
        </w:r>
        <w:r>
          <w:fldChar w:fldCharType="separate"/>
        </w:r>
        <w:r w:rsidR="00275778" w:rsidRPr="00275778">
          <w:rPr>
            <w:noProof/>
            <w:lang w:val="es-ES"/>
          </w:rPr>
          <w:t>1</w:t>
        </w:r>
        <w:r>
          <w:fldChar w:fldCharType="end"/>
        </w:r>
      </w:p>
    </w:sdtContent>
  </w:sdt>
  <w:p w:rsidR="00E07D93" w:rsidRDefault="00E07D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11A" w:rsidRDefault="00A9611A">
      <w:r>
        <w:separator/>
      </w:r>
    </w:p>
  </w:footnote>
  <w:footnote w:type="continuationSeparator" w:id="0">
    <w:p w:rsidR="00A9611A" w:rsidRDefault="00A9611A">
      <w:r>
        <w:continuationSeparator/>
      </w:r>
    </w:p>
  </w:footnote>
  <w:footnote w:id="1">
    <w:p w:rsidR="00AE20DA" w:rsidRPr="00AE20DA" w:rsidRDefault="00AE20DA">
      <w:pPr>
        <w:pStyle w:val="FootnoteText"/>
        <w:rPr>
          <w:lang w:val="es-ES"/>
        </w:rPr>
      </w:pPr>
      <w:r>
        <w:rPr>
          <w:rStyle w:val="FootnoteReference"/>
        </w:rPr>
        <w:footnoteRef/>
      </w:r>
      <w:r>
        <w:t xml:space="preserve"> </w:t>
      </w:r>
      <w:r>
        <w:rPr>
          <w:lang w:val="es-ES"/>
        </w:rPr>
        <w:t xml:space="preserve">Ver página web </w:t>
      </w:r>
      <w:hyperlink r:id="rId1" w:history="1">
        <w:r w:rsidRPr="005F64B6">
          <w:rPr>
            <w:rStyle w:val="Hyperlink"/>
            <w:lang w:val="es-ES"/>
          </w:rPr>
          <w:t>www.ppn.gov.ar</w:t>
        </w:r>
      </w:hyperlink>
      <w:r>
        <w:rPr>
          <w:lang w:val="es-ES"/>
        </w:rPr>
        <w:t xml:space="preserve"> </w:t>
      </w:r>
    </w:p>
  </w:footnote>
  <w:footnote w:id="2">
    <w:p w:rsidR="002A1147" w:rsidRDefault="002A1147" w:rsidP="002A1147">
      <w:pPr>
        <w:pStyle w:val="FootnoteText"/>
        <w:jc w:val="both"/>
      </w:pPr>
      <w:r>
        <w:rPr>
          <w:rStyle w:val="FootnoteReference"/>
        </w:rPr>
        <w:footnoteRef/>
      </w:r>
      <w:r>
        <w:t xml:space="preserve"> A</w:t>
      </w:r>
      <w:r w:rsidRPr="00AE1404">
        <w:t xml:space="preserve"> efectos de poder cumplir con las facultades propias establecidas por la Ley Nº 25.875 y ampliadas por la Ley Nº 26.827 como organismo responsable de la protección de los derechos humanos de las personas privadas de libertad, en cualquier lugar y dependientes de autoridad nacional o federal</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F6EAD"/>
    <w:multiLevelType w:val="hybridMultilevel"/>
    <w:tmpl w:val="B484C0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56C1EE7"/>
    <w:multiLevelType w:val="hybridMultilevel"/>
    <w:tmpl w:val="DEECA66A"/>
    <w:lvl w:ilvl="0" w:tplc="2C0A0013">
      <w:start w:val="1"/>
      <w:numFmt w:val="upperRoman"/>
      <w:lvlText w:val="%1."/>
      <w:lvlJc w:val="right"/>
      <w:pPr>
        <w:ind w:left="1800" w:hanging="360"/>
      </w:pPr>
    </w:lvl>
    <w:lvl w:ilvl="1" w:tplc="2C0A0019" w:tentative="1">
      <w:start w:val="1"/>
      <w:numFmt w:val="lowerLetter"/>
      <w:lvlText w:val="%2."/>
      <w:lvlJc w:val="left"/>
      <w:pPr>
        <w:ind w:left="2520" w:hanging="360"/>
      </w:pPr>
    </w:lvl>
    <w:lvl w:ilvl="2" w:tplc="2C0A001B" w:tentative="1">
      <w:start w:val="1"/>
      <w:numFmt w:val="lowerRoman"/>
      <w:lvlText w:val="%3."/>
      <w:lvlJc w:val="right"/>
      <w:pPr>
        <w:ind w:left="3240" w:hanging="180"/>
      </w:pPr>
    </w:lvl>
    <w:lvl w:ilvl="3" w:tplc="2C0A000F" w:tentative="1">
      <w:start w:val="1"/>
      <w:numFmt w:val="decimal"/>
      <w:lvlText w:val="%4."/>
      <w:lvlJc w:val="left"/>
      <w:pPr>
        <w:ind w:left="3960" w:hanging="360"/>
      </w:pPr>
    </w:lvl>
    <w:lvl w:ilvl="4" w:tplc="2C0A0019" w:tentative="1">
      <w:start w:val="1"/>
      <w:numFmt w:val="lowerLetter"/>
      <w:lvlText w:val="%5."/>
      <w:lvlJc w:val="left"/>
      <w:pPr>
        <w:ind w:left="4680" w:hanging="360"/>
      </w:pPr>
    </w:lvl>
    <w:lvl w:ilvl="5" w:tplc="2C0A001B" w:tentative="1">
      <w:start w:val="1"/>
      <w:numFmt w:val="lowerRoman"/>
      <w:lvlText w:val="%6."/>
      <w:lvlJc w:val="right"/>
      <w:pPr>
        <w:ind w:left="5400" w:hanging="180"/>
      </w:pPr>
    </w:lvl>
    <w:lvl w:ilvl="6" w:tplc="2C0A000F" w:tentative="1">
      <w:start w:val="1"/>
      <w:numFmt w:val="decimal"/>
      <w:lvlText w:val="%7."/>
      <w:lvlJc w:val="left"/>
      <w:pPr>
        <w:ind w:left="6120" w:hanging="360"/>
      </w:pPr>
    </w:lvl>
    <w:lvl w:ilvl="7" w:tplc="2C0A0019" w:tentative="1">
      <w:start w:val="1"/>
      <w:numFmt w:val="lowerLetter"/>
      <w:lvlText w:val="%8."/>
      <w:lvlJc w:val="left"/>
      <w:pPr>
        <w:ind w:left="6840" w:hanging="360"/>
      </w:pPr>
    </w:lvl>
    <w:lvl w:ilvl="8" w:tplc="2C0A001B" w:tentative="1">
      <w:start w:val="1"/>
      <w:numFmt w:val="lowerRoman"/>
      <w:lvlText w:val="%9."/>
      <w:lvlJc w:val="right"/>
      <w:pPr>
        <w:ind w:left="7560" w:hanging="180"/>
      </w:pPr>
    </w:lvl>
  </w:abstractNum>
  <w:abstractNum w:abstractNumId="2">
    <w:nsid w:val="089E4C14"/>
    <w:multiLevelType w:val="hybridMultilevel"/>
    <w:tmpl w:val="9552F296"/>
    <w:lvl w:ilvl="0" w:tplc="C52A6A5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DF1E28"/>
    <w:multiLevelType w:val="multilevel"/>
    <w:tmpl w:val="C284CAB6"/>
    <w:lvl w:ilvl="0">
      <w:start w:val="1"/>
      <w:numFmt w:val="decimal"/>
      <w:lvlText w:val="%1."/>
      <w:lvlJc w:val="left"/>
      <w:pPr>
        <w:ind w:left="720" w:hanging="360"/>
      </w:pPr>
      <w:rPr>
        <w:rFonts w:hint="default"/>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4C7463F"/>
    <w:multiLevelType w:val="hybridMultilevel"/>
    <w:tmpl w:val="1B0CEE88"/>
    <w:lvl w:ilvl="0" w:tplc="0C0A0001">
      <w:start w:val="1"/>
      <w:numFmt w:val="bullet"/>
      <w:lvlText w:val=""/>
      <w:lvlJc w:val="left"/>
      <w:pPr>
        <w:ind w:left="7087" w:hanging="360"/>
      </w:pPr>
      <w:rPr>
        <w:rFonts w:ascii="Symbol" w:hAnsi="Symbol" w:hint="default"/>
      </w:rPr>
    </w:lvl>
    <w:lvl w:ilvl="1" w:tplc="0C0A0003" w:tentative="1">
      <w:start w:val="1"/>
      <w:numFmt w:val="bullet"/>
      <w:lvlText w:val="o"/>
      <w:lvlJc w:val="left"/>
      <w:pPr>
        <w:ind w:left="7807" w:hanging="360"/>
      </w:pPr>
      <w:rPr>
        <w:rFonts w:ascii="Courier New" w:hAnsi="Courier New" w:cs="Courier New" w:hint="default"/>
      </w:rPr>
    </w:lvl>
    <w:lvl w:ilvl="2" w:tplc="0C0A0005" w:tentative="1">
      <w:start w:val="1"/>
      <w:numFmt w:val="bullet"/>
      <w:lvlText w:val=""/>
      <w:lvlJc w:val="left"/>
      <w:pPr>
        <w:ind w:left="8527" w:hanging="360"/>
      </w:pPr>
      <w:rPr>
        <w:rFonts w:ascii="Wingdings" w:hAnsi="Wingdings" w:hint="default"/>
      </w:rPr>
    </w:lvl>
    <w:lvl w:ilvl="3" w:tplc="0C0A0001" w:tentative="1">
      <w:start w:val="1"/>
      <w:numFmt w:val="bullet"/>
      <w:lvlText w:val=""/>
      <w:lvlJc w:val="left"/>
      <w:pPr>
        <w:ind w:left="9247" w:hanging="360"/>
      </w:pPr>
      <w:rPr>
        <w:rFonts w:ascii="Symbol" w:hAnsi="Symbol" w:hint="default"/>
      </w:rPr>
    </w:lvl>
    <w:lvl w:ilvl="4" w:tplc="0C0A0003" w:tentative="1">
      <w:start w:val="1"/>
      <w:numFmt w:val="bullet"/>
      <w:lvlText w:val="o"/>
      <w:lvlJc w:val="left"/>
      <w:pPr>
        <w:ind w:left="9967" w:hanging="360"/>
      </w:pPr>
      <w:rPr>
        <w:rFonts w:ascii="Courier New" w:hAnsi="Courier New" w:cs="Courier New" w:hint="default"/>
      </w:rPr>
    </w:lvl>
    <w:lvl w:ilvl="5" w:tplc="0C0A0005" w:tentative="1">
      <w:start w:val="1"/>
      <w:numFmt w:val="bullet"/>
      <w:lvlText w:val=""/>
      <w:lvlJc w:val="left"/>
      <w:pPr>
        <w:ind w:left="10687" w:hanging="360"/>
      </w:pPr>
      <w:rPr>
        <w:rFonts w:ascii="Wingdings" w:hAnsi="Wingdings" w:hint="default"/>
      </w:rPr>
    </w:lvl>
    <w:lvl w:ilvl="6" w:tplc="0C0A0001" w:tentative="1">
      <w:start w:val="1"/>
      <w:numFmt w:val="bullet"/>
      <w:lvlText w:val=""/>
      <w:lvlJc w:val="left"/>
      <w:pPr>
        <w:ind w:left="11407" w:hanging="360"/>
      </w:pPr>
      <w:rPr>
        <w:rFonts w:ascii="Symbol" w:hAnsi="Symbol" w:hint="default"/>
      </w:rPr>
    </w:lvl>
    <w:lvl w:ilvl="7" w:tplc="0C0A0003" w:tentative="1">
      <w:start w:val="1"/>
      <w:numFmt w:val="bullet"/>
      <w:lvlText w:val="o"/>
      <w:lvlJc w:val="left"/>
      <w:pPr>
        <w:ind w:left="12127" w:hanging="360"/>
      </w:pPr>
      <w:rPr>
        <w:rFonts w:ascii="Courier New" w:hAnsi="Courier New" w:cs="Courier New" w:hint="default"/>
      </w:rPr>
    </w:lvl>
    <w:lvl w:ilvl="8" w:tplc="0C0A0005" w:tentative="1">
      <w:start w:val="1"/>
      <w:numFmt w:val="bullet"/>
      <w:lvlText w:val=""/>
      <w:lvlJc w:val="left"/>
      <w:pPr>
        <w:ind w:left="12847" w:hanging="360"/>
      </w:pPr>
      <w:rPr>
        <w:rFonts w:ascii="Wingdings" w:hAnsi="Wingdings" w:hint="default"/>
      </w:rPr>
    </w:lvl>
  </w:abstractNum>
  <w:abstractNum w:abstractNumId="5">
    <w:nsid w:val="15934BBA"/>
    <w:multiLevelType w:val="hybridMultilevel"/>
    <w:tmpl w:val="EA463E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9F747EF"/>
    <w:multiLevelType w:val="hybridMultilevel"/>
    <w:tmpl w:val="6A302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8F44410"/>
    <w:multiLevelType w:val="hybridMultilevel"/>
    <w:tmpl w:val="D8D85006"/>
    <w:lvl w:ilvl="0" w:tplc="0C0A000F">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nsid w:val="2F2B4AEE"/>
    <w:multiLevelType w:val="hybridMultilevel"/>
    <w:tmpl w:val="996890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FAC2194"/>
    <w:multiLevelType w:val="hybridMultilevel"/>
    <w:tmpl w:val="85A6AAF0"/>
    <w:lvl w:ilvl="0" w:tplc="0B2E69A0">
      <w:start w:val="1"/>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3A71499F"/>
    <w:multiLevelType w:val="hybridMultilevel"/>
    <w:tmpl w:val="4D9E406E"/>
    <w:lvl w:ilvl="0" w:tplc="A9B069AC">
      <w:numFmt w:val="bullet"/>
      <w:lvlText w:val="-"/>
      <w:lvlJc w:val="left"/>
      <w:pPr>
        <w:ind w:left="720" w:hanging="360"/>
      </w:pPr>
      <w:rPr>
        <w:rFonts w:ascii="Arial" w:eastAsia="Times New Roman"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nsid w:val="448904EE"/>
    <w:multiLevelType w:val="hybridMultilevel"/>
    <w:tmpl w:val="0310FB8A"/>
    <w:lvl w:ilvl="0" w:tplc="79F2B6A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06C0CCF"/>
    <w:multiLevelType w:val="hybridMultilevel"/>
    <w:tmpl w:val="458EE7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09C2CC7"/>
    <w:multiLevelType w:val="hybridMultilevel"/>
    <w:tmpl w:val="0784A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5FD01D2"/>
    <w:multiLevelType w:val="hybridMultilevel"/>
    <w:tmpl w:val="7CE4C236"/>
    <w:lvl w:ilvl="0" w:tplc="9D4E2DEE">
      <w:start w:val="1"/>
      <w:numFmt w:val="decimal"/>
      <w:lvlText w:val="%1-"/>
      <w:lvlJc w:val="left"/>
      <w:pPr>
        <w:ind w:left="720" w:hanging="360"/>
      </w:pPr>
      <w:rPr>
        <w:rFonts w:hint="default"/>
        <w:sz w:val="22"/>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5">
    <w:nsid w:val="6BEC783C"/>
    <w:multiLevelType w:val="hybridMultilevel"/>
    <w:tmpl w:val="2E583EAA"/>
    <w:lvl w:ilvl="0" w:tplc="0C0A0001">
      <w:start w:val="1"/>
      <w:numFmt w:val="bullet"/>
      <w:lvlText w:val=""/>
      <w:lvlJc w:val="left"/>
      <w:pPr>
        <w:ind w:left="1428" w:hanging="360"/>
      </w:pPr>
      <w:rPr>
        <w:rFonts w:ascii="Symbol" w:hAnsi="Symbol" w:hint="default"/>
      </w:rPr>
    </w:lvl>
    <w:lvl w:ilvl="1" w:tplc="2C0A0019" w:tentative="1">
      <w:start w:val="1"/>
      <w:numFmt w:val="lowerLetter"/>
      <w:lvlText w:val="%2."/>
      <w:lvlJc w:val="left"/>
      <w:pPr>
        <w:ind w:left="2148" w:hanging="360"/>
      </w:pPr>
    </w:lvl>
    <w:lvl w:ilvl="2" w:tplc="2C0A001B" w:tentative="1">
      <w:start w:val="1"/>
      <w:numFmt w:val="lowerRoman"/>
      <w:lvlText w:val="%3."/>
      <w:lvlJc w:val="right"/>
      <w:pPr>
        <w:ind w:left="2868" w:hanging="180"/>
      </w:pPr>
    </w:lvl>
    <w:lvl w:ilvl="3" w:tplc="2C0A000F" w:tentative="1">
      <w:start w:val="1"/>
      <w:numFmt w:val="decimal"/>
      <w:lvlText w:val="%4."/>
      <w:lvlJc w:val="left"/>
      <w:pPr>
        <w:ind w:left="3588" w:hanging="360"/>
      </w:pPr>
    </w:lvl>
    <w:lvl w:ilvl="4" w:tplc="2C0A0019" w:tentative="1">
      <w:start w:val="1"/>
      <w:numFmt w:val="lowerLetter"/>
      <w:lvlText w:val="%5."/>
      <w:lvlJc w:val="left"/>
      <w:pPr>
        <w:ind w:left="4308" w:hanging="360"/>
      </w:pPr>
    </w:lvl>
    <w:lvl w:ilvl="5" w:tplc="2C0A001B" w:tentative="1">
      <w:start w:val="1"/>
      <w:numFmt w:val="lowerRoman"/>
      <w:lvlText w:val="%6."/>
      <w:lvlJc w:val="right"/>
      <w:pPr>
        <w:ind w:left="5028" w:hanging="180"/>
      </w:pPr>
    </w:lvl>
    <w:lvl w:ilvl="6" w:tplc="2C0A000F" w:tentative="1">
      <w:start w:val="1"/>
      <w:numFmt w:val="decimal"/>
      <w:lvlText w:val="%7."/>
      <w:lvlJc w:val="left"/>
      <w:pPr>
        <w:ind w:left="5748" w:hanging="360"/>
      </w:pPr>
    </w:lvl>
    <w:lvl w:ilvl="7" w:tplc="2C0A0019" w:tentative="1">
      <w:start w:val="1"/>
      <w:numFmt w:val="lowerLetter"/>
      <w:lvlText w:val="%8."/>
      <w:lvlJc w:val="left"/>
      <w:pPr>
        <w:ind w:left="6468" w:hanging="360"/>
      </w:pPr>
    </w:lvl>
    <w:lvl w:ilvl="8" w:tplc="2C0A001B" w:tentative="1">
      <w:start w:val="1"/>
      <w:numFmt w:val="lowerRoman"/>
      <w:lvlText w:val="%9."/>
      <w:lvlJc w:val="right"/>
      <w:pPr>
        <w:ind w:left="7188" w:hanging="180"/>
      </w:pPr>
    </w:lvl>
  </w:abstractNum>
  <w:abstractNum w:abstractNumId="16">
    <w:nsid w:val="6CE44054"/>
    <w:multiLevelType w:val="hybridMultilevel"/>
    <w:tmpl w:val="B6349CEC"/>
    <w:lvl w:ilvl="0" w:tplc="09401DC6">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3E31A2E"/>
    <w:multiLevelType w:val="hybridMultilevel"/>
    <w:tmpl w:val="71D0AD4A"/>
    <w:lvl w:ilvl="0" w:tplc="0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18">
    <w:nsid w:val="742A3312"/>
    <w:multiLevelType w:val="hybridMultilevel"/>
    <w:tmpl w:val="26F00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71E1D61"/>
    <w:multiLevelType w:val="hybridMultilevel"/>
    <w:tmpl w:val="C26404A8"/>
    <w:lvl w:ilvl="0" w:tplc="02BC539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B7A3F04"/>
    <w:multiLevelType w:val="hybridMultilevel"/>
    <w:tmpl w:val="3B1857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
  </w:num>
  <w:num w:numId="3">
    <w:abstractNumId w:val="11"/>
  </w:num>
  <w:num w:numId="4">
    <w:abstractNumId w:val="10"/>
  </w:num>
  <w:num w:numId="5">
    <w:abstractNumId w:val="14"/>
  </w:num>
  <w:num w:numId="6">
    <w:abstractNumId w:val="9"/>
  </w:num>
  <w:num w:numId="7">
    <w:abstractNumId w:val="2"/>
  </w:num>
  <w:num w:numId="8">
    <w:abstractNumId w:val="3"/>
  </w:num>
  <w:num w:numId="9">
    <w:abstractNumId w:val="12"/>
  </w:num>
  <w:num w:numId="10">
    <w:abstractNumId w:val="18"/>
  </w:num>
  <w:num w:numId="11">
    <w:abstractNumId w:val="6"/>
  </w:num>
  <w:num w:numId="12">
    <w:abstractNumId w:val="7"/>
  </w:num>
  <w:num w:numId="13">
    <w:abstractNumId w:val="16"/>
  </w:num>
  <w:num w:numId="14">
    <w:abstractNumId w:val="19"/>
  </w:num>
  <w:num w:numId="15">
    <w:abstractNumId w:val="5"/>
  </w:num>
  <w:num w:numId="16">
    <w:abstractNumId w:val="0"/>
  </w:num>
  <w:num w:numId="17">
    <w:abstractNumId w:val="8"/>
  </w:num>
  <w:num w:numId="18">
    <w:abstractNumId w:val="20"/>
  </w:num>
  <w:num w:numId="19">
    <w:abstractNumId w:val="17"/>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0E4"/>
    <w:rsid w:val="000132C0"/>
    <w:rsid w:val="000269F2"/>
    <w:rsid w:val="00026D1A"/>
    <w:rsid w:val="000300CE"/>
    <w:rsid w:val="000525BF"/>
    <w:rsid w:val="000762A1"/>
    <w:rsid w:val="00076CBF"/>
    <w:rsid w:val="000846A7"/>
    <w:rsid w:val="000909E1"/>
    <w:rsid w:val="000A205A"/>
    <w:rsid w:val="000A2496"/>
    <w:rsid w:val="000A42C1"/>
    <w:rsid w:val="000B0C27"/>
    <w:rsid w:val="000D255A"/>
    <w:rsid w:val="000F59CB"/>
    <w:rsid w:val="00114B8F"/>
    <w:rsid w:val="00120337"/>
    <w:rsid w:val="00145849"/>
    <w:rsid w:val="001467E7"/>
    <w:rsid w:val="00155D22"/>
    <w:rsid w:val="0016561B"/>
    <w:rsid w:val="00165F2A"/>
    <w:rsid w:val="00170A06"/>
    <w:rsid w:val="00176873"/>
    <w:rsid w:val="001771E4"/>
    <w:rsid w:val="00192A68"/>
    <w:rsid w:val="001A01D9"/>
    <w:rsid w:val="001A488C"/>
    <w:rsid w:val="001B4D2E"/>
    <w:rsid w:val="001E0713"/>
    <w:rsid w:val="001E315E"/>
    <w:rsid w:val="00212569"/>
    <w:rsid w:val="0021432E"/>
    <w:rsid w:val="00215422"/>
    <w:rsid w:val="0024512A"/>
    <w:rsid w:val="002465D0"/>
    <w:rsid w:val="00253583"/>
    <w:rsid w:val="00275778"/>
    <w:rsid w:val="00293700"/>
    <w:rsid w:val="002A1147"/>
    <w:rsid w:val="002C39D6"/>
    <w:rsid w:val="002D089A"/>
    <w:rsid w:val="002F2AE5"/>
    <w:rsid w:val="00302FC3"/>
    <w:rsid w:val="00305145"/>
    <w:rsid w:val="0032189C"/>
    <w:rsid w:val="00323E2F"/>
    <w:rsid w:val="00325A9B"/>
    <w:rsid w:val="00333A78"/>
    <w:rsid w:val="0033658C"/>
    <w:rsid w:val="00345DF7"/>
    <w:rsid w:val="00347506"/>
    <w:rsid w:val="00351D2F"/>
    <w:rsid w:val="00356898"/>
    <w:rsid w:val="00386D46"/>
    <w:rsid w:val="003B0DEC"/>
    <w:rsid w:val="003C0A07"/>
    <w:rsid w:val="00411A63"/>
    <w:rsid w:val="00420FA5"/>
    <w:rsid w:val="004226AB"/>
    <w:rsid w:val="004311E5"/>
    <w:rsid w:val="00432AEC"/>
    <w:rsid w:val="0044427C"/>
    <w:rsid w:val="004721AA"/>
    <w:rsid w:val="00480CBB"/>
    <w:rsid w:val="004810DF"/>
    <w:rsid w:val="00483D59"/>
    <w:rsid w:val="00490653"/>
    <w:rsid w:val="00491558"/>
    <w:rsid w:val="004B3B27"/>
    <w:rsid w:val="004C729E"/>
    <w:rsid w:val="004D1311"/>
    <w:rsid w:val="004E7F47"/>
    <w:rsid w:val="00516226"/>
    <w:rsid w:val="00520843"/>
    <w:rsid w:val="00536747"/>
    <w:rsid w:val="005373EC"/>
    <w:rsid w:val="00547F3E"/>
    <w:rsid w:val="005636D9"/>
    <w:rsid w:val="00571529"/>
    <w:rsid w:val="0057444C"/>
    <w:rsid w:val="005773BD"/>
    <w:rsid w:val="00583A0D"/>
    <w:rsid w:val="00594768"/>
    <w:rsid w:val="00597C16"/>
    <w:rsid w:val="005B04F8"/>
    <w:rsid w:val="005C64FE"/>
    <w:rsid w:val="005C7AD7"/>
    <w:rsid w:val="005D3B1C"/>
    <w:rsid w:val="00616081"/>
    <w:rsid w:val="0063790E"/>
    <w:rsid w:val="00646CCF"/>
    <w:rsid w:val="006532EA"/>
    <w:rsid w:val="00661D17"/>
    <w:rsid w:val="00663E5C"/>
    <w:rsid w:val="00676F5B"/>
    <w:rsid w:val="00682C64"/>
    <w:rsid w:val="006873D7"/>
    <w:rsid w:val="006906A6"/>
    <w:rsid w:val="0069150B"/>
    <w:rsid w:val="006B19ED"/>
    <w:rsid w:val="006B249D"/>
    <w:rsid w:val="006B6056"/>
    <w:rsid w:val="006E7F02"/>
    <w:rsid w:val="006F13E6"/>
    <w:rsid w:val="006F7358"/>
    <w:rsid w:val="00711233"/>
    <w:rsid w:val="0071628B"/>
    <w:rsid w:val="007206FA"/>
    <w:rsid w:val="007276F1"/>
    <w:rsid w:val="00733A42"/>
    <w:rsid w:val="007450ED"/>
    <w:rsid w:val="00747536"/>
    <w:rsid w:val="00757E9D"/>
    <w:rsid w:val="0076135F"/>
    <w:rsid w:val="007837D5"/>
    <w:rsid w:val="007C2C60"/>
    <w:rsid w:val="007F6BA5"/>
    <w:rsid w:val="00803879"/>
    <w:rsid w:val="008047BB"/>
    <w:rsid w:val="008430E4"/>
    <w:rsid w:val="008560A4"/>
    <w:rsid w:val="008617FD"/>
    <w:rsid w:val="0087139E"/>
    <w:rsid w:val="008B5898"/>
    <w:rsid w:val="008C529C"/>
    <w:rsid w:val="008D3B03"/>
    <w:rsid w:val="008D5A06"/>
    <w:rsid w:val="008E3CD9"/>
    <w:rsid w:val="008F6AA6"/>
    <w:rsid w:val="009018C8"/>
    <w:rsid w:val="00920EC6"/>
    <w:rsid w:val="0093364F"/>
    <w:rsid w:val="0094469F"/>
    <w:rsid w:val="00965CDA"/>
    <w:rsid w:val="00972B06"/>
    <w:rsid w:val="00987A2D"/>
    <w:rsid w:val="009A4B8F"/>
    <w:rsid w:val="009A5175"/>
    <w:rsid w:val="009B0345"/>
    <w:rsid w:val="009B232D"/>
    <w:rsid w:val="009B6247"/>
    <w:rsid w:val="009C54CA"/>
    <w:rsid w:val="009C6699"/>
    <w:rsid w:val="009D073D"/>
    <w:rsid w:val="00A11E1A"/>
    <w:rsid w:val="00A165E3"/>
    <w:rsid w:val="00A4272E"/>
    <w:rsid w:val="00A465F8"/>
    <w:rsid w:val="00A4757F"/>
    <w:rsid w:val="00A56D1A"/>
    <w:rsid w:val="00A607E2"/>
    <w:rsid w:val="00A7149D"/>
    <w:rsid w:val="00A73E48"/>
    <w:rsid w:val="00A94575"/>
    <w:rsid w:val="00A9611A"/>
    <w:rsid w:val="00AE20DA"/>
    <w:rsid w:val="00B05192"/>
    <w:rsid w:val="00B10578"/>
    <w:rsid w:val="00B166A9"/>
    <w:rsid w:val="00B217D8"/>
    <w:rsid w:val="00B26422"/>
    <w:rsid w:val="00B34EF0"/>
    <w:rsid w:val="00B433C9"/>
    <w:rsid w:val="00B714A9"/>
    <w:rsid w:val="00B71BDE"/>
    <w:rsid w:val="00B96F40"/>
    <w:rsid w:val="00BA47AF"/>
    <w:rsid w:val="00BC0361"/>
    <w:rsid w:val="00BD3CD1"/>
    <w:rsid w:val="00C11E34"/>
    <w:rsid w:val="00C1556E"/>
    <w:rsid w:val="00C54A2A"/>
    <w:rsid w:val="00C626CE"/>
    <w:rsid w:val="00C72B52"/>
    <w:rsid w:val="00CB3AA5"/>
    <w:rsid w:val="00CC3944"/>
    <w:rsid w:val="00CC466C"/>
    <w:rsid w:val="00CD638E"/>
    <w:rsid w:val="00CF3948"/>
    <w:rsid w:val="00D6123F"/>
    <w:rsid w:val="00D741B2"/>
    <w:rsid w:val="00D948FD"/>
    <w:rsid w:val="00D978C6"/>
    <w:rsid w:val="00DD4CA9"/>
    <w:rsid w:val="00DD618D"/>
    <w:rsid w:val="00DF62D0"/>
    <w:rsid w:val="00E07D93"/>
    <w:rsid w:val="00E32EAA"/>
    <w:rsid w:val="00E33766"/>
    <w:rsid w:val="00E40008"/>
    <w:rsid w:val="00E432A6"/>
    <w:rsid w:val="00E70F2D"/>
    <w:rsid w:val="00EA4402"/>
    <w:rsid w:val="00EE7F20"/>
    <w:rsid w:val="00EF1644"/>
    <w:rsid w:val="00EF24FC"/>
    <w:rsid w:val="00EF3A18"/>
    <w:rsid w:val="00EF5035"/>
    <w:rsid w:val="00F06DF5"/>
    <w:rsid w:val="00F15448"/>
    <w:rsid w:val="00F17C73"/>
    <w:rsid w:val="00F36400"/>
    <w:rsid w:val="00F7042D"/>
    <w:rsid w:val="00F74EFD"/>
    <w:rsid w:val="00F959E6"/>
    <w:rsid w:val="00FB6354"/>
    <w:rsid w:val="00FE32CE"/>
    <w:rsid w:val="00FE6F1F"/>
    <w:rsid w:val="00FF5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0CBB"/>
    <w:rPr>
      <w:sz w:val="24"/>
      <w:szCs w:val="24"/>
      <w:lang w:val="es-AR" w:eastAsia="es-AR"/>
    </w:rPr>
  </w:style>
  <w:style w:type="paragraph" w:styleId="Heading2">
    <w:name w:val="heading 2"/>
    <w:basedOn w:val="Normal"/>
    <w:next w:val="Normal"/>
    <w:qFormat/>
    <w:rsid w:val="00480CBB"/>
    <w:pPr>
      <w:keepNext/>
      <w:suppressAutoHyphens/>
      <w:jc w:val="both"/>
      <w:outlineLvl w:val="1"/>
    </w:pPr>
    <w:rPr>
      <w:rFonts w:ascii="Courier New" w:hAnsi="Courier New" w:cs="Courier New"/>
      <w:b/>
      <w:bCs/>
      <w:lang w:val="es-ES_tradnl"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86D46"/>
    <w:pPr>
      <w:tabs>
        <w:tab w:val="center" w:pos="4252"/>
        <w:tab w:val="right" w:pos="8504"/>
      </w:tabs>
    </w:pPr>
  </w:style>
  <w:style w:type="paragraph" w:styleId="Footer">
    <w:name w:val="footer"/>
    <w:basedOn w:val="Normal"/>
    <w:link w:val="FooterChar"/>
    <w:uiPriority w:val="99"/>
    <w:rsid w:val="00386D46"/>
    <w:pPr>
      <w:tabs>
        <w:tab w:val="center" w:pos="4252"/>
        <w:tab w:val="right" w:pos="8504"/>
      </w:tabs>
    </w:pPr>
  </w:style>
  <w:style w:type="character" w:styleId="PageNumber">
    <w:name w:val="page number"/>
    <w:basedOn w:val="DefaultParagraphFont"/>
    <w:rsid w:val="008430E4"/>
  </w:style>
  <w:style w:type="paragraph" w:styleId="BalloonText">
    <w:name w:val="Balloon Text"/>
    <w:basedOn w:val="Normal"/>
    <w:semiHidden/>
    <w:rsid w:val="00C626CE"/>
    <w:rPr>
      <w:rFonts w:ascii="Tahoma" w:hAnsi="Tahoma" w:cs="Tahoma"/>
      <w:sz w:val="16"/>
      <w:szCs w:val="16"/>
    </w:rPr>
  </w:style>
  <w:style w:type="paragraph" w:styleId="BodyTextIndent">
    <w:name w:val="Body Text Indent"/>
    <w:basedOn w:val="Normal"/>
    <w:rsid w:val="00661D17"/>
    <w:pPr>
      <w:suppressAutoHyphens/>
      <w:ind w:firstLine="1416"/>
      <w:jc w:val="both"/>
    </w:pPr>
    <w:rPr>
      <w:rFonts w:ascii="Courier New" w:hAnsi="Courier New" w:cs="Courier New"/>
      <w:lang w:eastAsia="ar-SA"/>
    </w:rPr>
  </w:style>
  <w:style w:type="paragraph" w:customStyle="1" w:styleId="Textoindependiente21">
    <w:name w:val="Texto independiente 21"/>
    <w:basedOn w:val="Normal"/>
    <w:rsid w:val="00480CBB"/>
    <w:pPr>
      <w:suppressAutoHyphens/>
      <w:spacing w:line="360" w:lineRule="auto"/>
      <w:jc w:val="both"/>
    </w:pPr>
    <w:rPr>
      <w:rFonts w:ascii="Courier New" w:hAnsi="Courier New"/>
      <w:lang w:val="es-ES_tradnl" w:eastAsia="ar-SA"/>
    </w:rPr>
  </w:style>
  <w:style w:type="paragraph" w:styleId="FootnoteText">
    <w:name w:val="footnote text"/>
    <w:basedOn w:val="Normal"/>
    <w:link w:val="FootnoteTextChar"/>
    <w:uiPriority w:val="99"/>
    <w:unhideWhenUsed/>
    <w:rsid w:val="008617FD"/>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8617FD"/>
    <w:rPr>
      <w:rFonts w:ascii="Calibri" w:eastAsia="Calibri" w:hAnsi="Calibri"/>
      <w:lang w:val="es-AR" w:eastAsia="en-US"/>
    </w:rPr>
  </w:style>
  <w:style w:type="character" w:styleId="FootnoteReference">
    <w:name w:val="footnote reference"/>
    <w:aliases w:val="Ref,de nota al pie,Footnotes refss,Texto de nota al pie,normal,Appel note de bas de page,Footnote number,referencia nota al pie,BVI fnr,f,4_G,16 Point,Superscript 6 Point,Texto nota al pie,Footnote Reference Char3"/>
    <w:rsid w:val="008617FD"/>
    <w:rPr>
      <w:rFonts w:ascii="Times New Roman" w:hAnsi="Times New Roman" w:cs="Times New Roman"/>
      <w:vertAlign w:val="superscript"/>
    </w:rPr>
  </w:style>
  <w:style w:type="paragraph" w:styleId="ListParagraph">
    <w:name w:val="List Paragraph"/>
    <w:basedOn w:val="Normal"/>
    <w:uiPriority w:val="34"/>
    <w:qFormat/>
    <w:rsid w:val="008617FD"/>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rsid w:val="00AE20DA"/>
    <w:rPr>
      <w:color w:val="0000FF" w:themeColor="hyperlink"/>
      <w:u w:val="single"/>
    </w:rPr>
  </w:style>
  <w:style w:type="paragraph" w:styleId="Caption">
    <w:name w:val="caption"/>
    <w:basedOn w:val="Normal"/>
    <w:next w:val="Normal"/>
    <w:unhideWhenUsed/>
    <w:qFormat/>
    <w:rsid w:val="004E7F47"/>
    <w:pPr>
      <w:spacing w:after="200"/>
    </w:pPr>
    <w:rPr>
      <w:b/>
      <w:bCs/>
      <w:color w:val="4F81BD"/>
      <w:sz w:val="18"/>
      <w:szCs w:val="18"/>
    </w:rPr>
  </w:style>
  <w:style w:type="character" w:customStyle="1" w:styleId="FooterChar">
    <w:name w:val="Footer Char"/>
    <w:basedOn w:val="DefaultParagraphFont"/>
    <w:link w:val="Footer"/>
    <w:uiPriority w:val="99"/>
    <w:rsid w:val="00E07D93"/>
    <w:rPr>
      <w:sz w:val="24"/>
      <w:szCs w:val="24"/>
      <w:lang w:val="es-AR"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0CBB"/>
    <w:rPr>
      <w:sz w:val="24"/>
      <w:szCs w:val="24"/>
      <w:lang w:val="es-AR" w:eastAsia="es-AR"/>
    </w:rPr>
  </w:style>
  <w:style w:type="paragraph" w:styleId="Heading2">
    <w:name w:val="heading 2"/>
    <w:basedOn w:val="Normal"/>
    <w:next w:val="Normal"/>
    <w:qFormat/>
    <w:rsid w:val="00480CBB"/>
    <w:pPr>
      <w:keepNext/>
      <w:suppressAutoHyphens/>
      <w:jc w:val="both"/>
      <w:outlineLvl w:val="1"/>
    </w:pPr>
    <w:rPr>
      <w:rFonts w:ascii="Courier New" w:hAnsi="Courier New" w:cs="Courier New"/>
      <w:b/>
      <w:bCs/>
      <w:lang w:val="es-ES_tradnl"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86D46"/>
    <w:pPr>
      <w:tabs>
        <w:tab w:val="center" w:pos="4252"/>
        <w:tab w:val="right" w:pos="8504"/>
      </w:tabs>
    </w:pPr>
  </w:style>
  <w:style w:type="paragraph" w:styleId="Footer">
    <w:name w:val="footer"/>
    <w:basedOn w:val="Normal"/>
    <w:link w:val="FooterChar"/>
    <w:uiPriority w:val="99"/>
    <w:rsid w:val="00386D46"/>
    <w:pPr>
      <w:tabs>
        <w:tab w:val="center" w:pos="4252"/>
        <w:tab w:val="right" w:pos="8504"/>
      </w:tabs>
    </w:pPr>
  </w:style>
  <w:style w:type="character" w:styleId="PageNumber">
    <w:name w:val="page number"/>
    <w:basedOn w:val="DefaultParagraphFont"/>
    <w:rsid w:val="008430E4"/>
  </w:style>
  <w:style w:type="paragraph" w:styleId="BalloonText">
    <w:name w:val="Balloon Text"/>
    <w:basedOn w:val="Normal"/>
    <w:semiHidden/>
    <w:rsid w:val="00C626CE"/>
    <w:rPr>
      <w:rFonts w:ascii="Tahoma" w:hAnsi="Tahoma" w:cs="Tahoma"/>
      <w:sz w:val="16"/>
      <w:szCs w:val="16"/>
    </w:rPr>
  </w:style>
  <w:style w:type="paragraph" w:styleId="BodyTextIndent">
    <w:name w:val="Body Text Indent"/>
    <w:basedOn w:val="Normal"/>
    <w:rsid w:val="00661D17"/>
    <w:pPr>
      <w:suppressAutoHyphens/>
      <w:ind w:firstLine="1416"/>
      <w:jc w:val="both"/>
    </w:pPr>
    <w:rPr>
      <w:rFonts w:ascii="Courier New" w:hAnsi="Courier New" w:cs="Courier New"/>
      <w:lang w:eastAsia="ar-SA"/>
    </w:rPr>
  </w:style>
  <w:style w:type="paragraph" w:customStyle="1" w:styleId="Textoindependiente21">
    <w:name w:val="Texto independiente 21"/>
    <w:basedOn w:val="Normal"/>
    <w:rsid w:val="00480CBB"/>
    <w:pPr>
      <w:suppressAutoHyphens/>
      <w:spacing w:line="360" w:lineRule="auto"/>
      <w:jc w:val="both"/>
    </w:pPr>
    <w:rPr>
      <w:rFonts w:ascii="Courier New" w:hAnsi="Courier New"/>
      <w:lang w:val="es-ES_tradnl" w:eastAsia="ar-SA"/>
    </w:rPr>
  </w:style>
  <w:style w:type="paragraph" w:styleId="FootnoteText">
    <w:name w:val="footnote text"/>
    <w:basedOn w:val="Normal"/>
    <w:link w:val="FootnoteTextChar"/>
    <w:uiPriority w:val="99"/>
    <w:unhideWhenUsed/>
    <w:rsid w:val="008617FD"/>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8617FD"/>
    <w:rPr>
      <w:rFonts w:ascii="Calibri" w:eastAsia="Calibri" w:hAnsi="Calibri"/>
      <w:lang w:val="es-AR" w:eastAsia="en-US"/>
    </w:rPr>
  </w:style>
  <w:style w:type="character" w:styleId="FootnoteReference">
    <w:name w:val="footnote reference"/>
    <w:aliases w:val="Ref,de nota al pie,Footnotes refss,Texto de nota al pie,normal,Appel note de bas de page,Footnote number,referencia nota al pie,BVI fnr,f,4_G,16 Point,Superscript 6 Point,Texto nota al pie,Footnote Reference Char3"/>
    <w:rsid w:val="008617FD"/>
    <w:rPr>
      <w:rFonts w:ascii="Times New Roman" w:hAnsi="Times New Roman" w:cs="Times New Roman"/>
      <w:vertAlign w:val="superscript"/>
    </w:rPr>
  </w:style>
  <w:style w:type="paragraph" w:styleId="ListParagraph">
    <w:name w:val="List Paragraph"/>
    <w:basedOn w:val="Normal"/>
    <w:uiPriority w:val="34"/>
    <w:qFormat/>
    <w:rsid w:val="008617FD"/>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rsid w:val="00AE20DA"/>
    <w:rPr>
      <w:color w:val="0000FF" w:themeColor="hyperlink"/>
      <w:u w:val="single"/>
    </w:rPr>
  </w:style>
  <w:style w:type="paragraph" w:styleId="Caption">
    <w:name w:val="caption"/>
    <w:basedOn w:val="Normal"/>
    <w:next w:val="Normal"/>
    <w:unhideWhenUsed/>
    <w:qFormat/>
    <w:rsid w:val="004E7F47"/>
    <w:pPr>
      <w:spacing w:after="200"/>
    </w:pPr>
    <w:rPr>
      <w:b/>
      <w:bCs/>
      <w:color w:val="4F81BD"/>
      <w:sz w:val="18"/>
      <w:szCs w:val="18"/>
    </w:rPr>
  </w:style>
  <w:style w:type="character" w:customStyle="1" w:styleId="FooterChar">
    <w:name w:val="Footer Char"/>
    <w:basedOn w:val="DefaultParagraphFont"/>
    <w:link w:val="Footer"/>
    <w:uiPriority w:val="99"/>
    <w:rsid w:val="00E07D93"/>
    <w:rPr>
      <w:sz w:val="24"/>
      <w:szCs w:val="24"/>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210203">
      <w:bodyDiv w:val="1"/>
      <w:marLeft w:val="0"/>
      <w:marRight w:val="0"/>
      <w:marTop w:val="0"/>
      <w:marBottom w:val="0"/>
      <w:divBdr>
        <w:top w:val="none" w:sz="0" w:space="0" w:color="auto"/>
        <w:left w:val="none" w:sz="0" w:space="0" w:color="auto"/>
        <w:bottom w:val="none" w:sz="0" w:space="0" w:color="auto"/>
        <w:right w:val="none" w:sz="0" w:space="0" w:color="auto"/>
      </w:divBdr>
    </w:div>
    <w:div w:id="1239831073">
      <w:bodyDiv w:val="1"/>
      <w:marLeft w:val="0"/>
      <w:marRight w:val="0"/>
      <w:marTop w:val="0"/>
      <w:marBottom w:val="0"/>
      <w:divBdr>
        <w:top w:val="none" w:sz="0" w:space="0" w:color="auto"/>
        <w:left w:val="none" w:sz="0" w:space="0" w:color="auto"/>
        <w:bottom w:val="none" w:sz="0" w:space="0" w:color="auto"/>
        <w:right w:val="none" w:sz="0" w:space="0" w:color="auto"/>
      </w:divBdr>
    </w:div>
    <w:div w:id="156972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ppn.gov.ar"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9848C6-EEE0-4B40-A950-D3BB74E3CC1B}"/>
</file>

<file path=customXml/itemProps2.xml><?xml version="1.0" encoding="utf-8"?>
<ds:datastoreItem xmlns:ds="http://schemas.openxmlformats.org/officeDocument/2006/customXml" ds:itemID="{FD632104-6761-488B-9016-633DD34CFF30}"/>
</file>

<file path=customXml/itemProps3.xml><?xml version="1.0" encoding="utf-8"?>
<ds:datastoreItem xmlns:ds="http://schemas.openxmlformats.org/officeDocument/2006/customXml" ds:itemID="{8B646B93-9CE1-420C-A857-CAD25BA38165}"/>
</file>

<file path=customXml/itemProps4.xml><?xml version="1.0" encoding="utf-8"?>
<ds:datastoreItem xmlns:ds="http://schemas.openxmlformats.org/officeDocument/2006/customXml" ds:itemID="{8942BF17-6210-4847-9E5E-EE3C000A7647}"/>
</file>

<file path=docProps/app.xml><?xml version="1.0" encoding="utf-8"?>
<Properties xmlns="http://schemas.openxmlformats.org/officeDocument/2006/extended-properties" xmlns:vt="http://schemas.openxmlformats.org/officeDocument/2006/docPropsVTypes">
  <Template>Normal.dotm</Template>
  <TotalTime>1</TotalTime>
  <Pages>12</Pages>
  <Words>3453</Words>
  <Characters>18549</Characters>
  <Application>Microsoft Office Word</Application>
  <DocSecurity>0</DocSecurity>
  <Lines>154</Lines>
  <Paragraphs>43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Procuracion</Company>
  <LinksUpToDate>false</LinksUpToDate>
  <CharactersWithSpaces>21959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Nsuarez</dc:creator>
  <cp:lastModifiedBy>Kalpana Singh</cp:lastModifiedBy>
  <cp:revision>2</cp:revision>
  <cp:lastPrinted>2016-09-29T18:53:00Z</cp:lastPrinted>
  <dcterms:created xsi:type="dcterms:W3CDTF">2016-11-18T08:45:00Z</dcterms:created>
  <dcterms:modified xsi:type="dcterms:W3CDTF">2016-11-18T08:45:00Z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